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3213" w:rsidRPr="003F6159" w14:paraId="2466C4E7" w14:textId="77777777">
      <w:pPr>
        <w:spacing w:after="0" w:line="240" w:lineRule="auto"/>
        <w:jc w:val="center"/>
        <w:rPr>
          <w:rFonts w:ascii="Times New Roman" w:hAnsi="Times New Roman"/>
          <w:sz w:val="26"/>
          <w:szCs w:val="24"/>
        </w:rPr>
      </w:pPr>
      <w:r w:rsidRPr="003F6159">
        <w:rPr>
          <w:rFonts w:ascii="Times New Roman" w:hAnsi="Times New Roman"/>
          <w:sz w:val="26"/>
          <w:szCs w:val="24"/>
        </w:rPr>
        <w:t>Supporting Statement for</w:t>
      </w:r>
    </w:p>
    <w:p w:rsidR="003F3213" w:rsidP="00393359" w14:paraId="3370C5F0" w14:textId="5E6A3FBF">
      <w:pPr>
        <w:spacing w:after="0" w:line="240" w:lineRule="auto"/>
        <w:jc w:val="center"/>
        <w:rPr>
          <w:rFonts w:ascii="Times New Roman" w:hAnsi="Times New Roman"/>
          <w:b/>
          <w:sz w:val="26"/>
          <w:szCs w:val="24"/>
        </w:rPr>
      </w:pPr>
      <w:r w:rsidRPr="003F6159">
        <w:rPr>
          <w:rFonts w:ascii="Times New Roman" w:hAnsi="Times New Roman"/>
          <w:b/>
          <w:sz w:val="26"/>
          <w:szCs w:val="24"/>
        </w:rPr>
        <w:t>FERC-517</w:t>
      </w:r>
      <w:r w:rsidRPr="003F6159" w:rsidR="00393359">
        <w:rPr>
          <w:rFonts w:ascii="Times New Roman" w:hAnsi="Times New Roman"/>
          <w:b/>
          <w:sz w:val="26"/>
          <w:szCs w:val="24"/>
        </w:rPr>
        <w:t xml:space="preserve"> </w:t>
      </w:r>
      <w:bookmarkStart w:id="0" w:name="_Hlk182901324"/>
      <w:r w:rsidRPr="003F6159" w:rsidR="00393359">
        <w:rPr>
          <w:rFonts w:ascii="Times New Roman" w:hAnsi="Times New Roman"/>
          <w:b/>
          <w:sz w:val="26"/>
          <w:szCs w:val="24"/>
        </w:rPr>
        <w:t xml:space="preserve">(Safety of </w:t>
      </w:r>
      <w:r w:rsidRPr="003F6159" w:rsidR="00393359">
        <w:rPr>
          <w:rFonts w:ascii="Times New Roman" w:hAnsi="Times New Roman"/>
          <w:b/>
          <w:sz w:val="26"/>
          <w:szCs w:val="24"/>
        </w:rPr>
        <w:t>Water Power</w:t>
      </w:r>
      <w:r w:rsidRPr="003F6159" w:rsidR="00393359">
        <w:rPr>
          <w:rFonts w:ascii="Times New Roman" w:hAnsi="Times New Roman"/>
          <w:b/>
          <w:sz w:val="26"/>
          <w:szCs w:val="24"/>
        </w:rPr>
        <w:t xml:space="preserve"> Projects and Project Works)</w:t>
      </w:r>
      <w:bookmarkEnd w:id="0"/>
    </w:p>
    <w:p w:rsidR="00A27CD9" w:rsidP="00393359" w14:paraId="381B7FED" w14:textId="77777777">
      <w:pPr>
        <w:spacing w:after="0" w:line="240" w:lineRule="auto"/>
        <w:jc w:val="center"/>
        <w:rPr>
          <w:rFonts w:ascii="Times New Roman" w:hAnsi="Times New Roman"/>
          <w:b/>
          <w:sz w:val="26"/>
          <w:szCs w:val="24"/>
        </w:rPr>
      </w:pPr>
    </w:p>
    <w:p w:rsidR="00A27CD9" w:rsidRPr="003F6159" w:rsidP="00393359" w14:paraId="457FC222" w14:textId="4B1D038E">
      <w:pPr>
        <w:spacing w:after="0" w:line="240" w:lineRule="auto"/>
        <w:jc w:val="center"/>
        <w:rPr>
          <w:rFonts w:ascii="Times New Roman" w:hAnsi="Times New Roman"/>
          <w:b/>
          <w:sz w:val="26"/>
          <w:szCs w:val="24"/>
        </w:rPr>
      </w:pPr>
      <w:r>
        <w:rPr>
          <w:rFonts w:ascii="Times New Roman" w:hAnsi="Times New Roman"/>
          <w:b/>
          <w:sz w:val="26"/>
          <w:szCs w:val="24"/>
        </w:rPr>
        <w:t xml:space="preserve">This submission </w:t>
      </w:r>
      <w:r w:rsidR="00590025">
        <w:rPr>
          <w:rFonts w:ascii="Times New Roman" w:hAnsi="Times New Roman"/>
          <w:b/>
          <w:sz w:val="26"/>
          <w:szCs w:val="24"/>
        </w:rPr>
        <w:t>for a request for extension for three years of a currently approved collection FERC-517 (1902-0319).</w:t>
      </w:r>
    </w:p>
    <w:p w:rsidR="003F3213" w:rsidRPr="003F6159" w14:paraId="08665D9C" w14:textId="77777777">
      <w:pPr>
        <w:spacing w:after="0" w:line="240" w:lineRule="auto"/>
        <w:jc w:val="center"/>
        <w:rPr>
          <w:rFonts w:ascii="Times New Roman" w:hAnsi="Times New Roman"/>
          <w:b/>
          <w:sz w:val="26"/>
          <w:szCs w:val="24"/>
        </w:rPr>
      </w:pPr>
    </w:p>
    <w:p w:rsidR="003F3213" w:rsidRPr="003F6159" w:rsidP="002D15F0" w14:paraId="5A21DFD8" w14:textId="5204324D">
      <w:pPr>
        <w:pStyle w:val="ListParagraph"/>
        <w:numPr>
          <w:ilvl w:val="0"/>
          <w:numId w:val="1"/>
        </w:numPr>
        <w:spacing w:after="0" w:line="240" w:lineRule="auto"/>
        <w:ind w:left="360"/>
        <w:rPr>
          <w:rFonts w:ascii="Times New Roman" w:hAnsi="Times New Roman"/>
          <w:b/>
          <w:sz w:val="26"/>
          <w:szCs w:val="24"/>
        </w:rPr>
      </w:pPr>
      <w:r w:rsidRPr="003F6159">
        <w:rPr>
          <w:rFonts w:ascii="Times New Roman" w:hAnsi="Times New Roman"/>
          <w:b/>
          <w:sz w:val="26"/>
          <w:szCs w:val="24"/>
        </w:rPr>
        <w:t>CIRCUMSTANCES THAT MAKE THE COLLECTION OF INFORMATION NECESSARY</w:t>
      </w:r>
    </w:p>
    <w:p w:rsidR="003F3213" w:rsidRPr="003F6159" w14:paraId="609547D2" w14:textId="77777777">
      <w:pPr>
        <w:spacing w:after="0" w:line="240" w:lineRule="auto"/>
        <w:rPr>
          <w:rFonts w:ascii="Times New Roman" w:hAnsi="Times New Roman"/>
          <w:sz w:val="26"/>
          <w:szCs w:val="24"/>
        </w:rPr>
      </w:pPr>
    </w:p>
    <w:p w:rsidR="003F3213" w:rsidRPr="003F6159" w14:paraId="0C526E02" w14:textId="1256507C">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Pr="003F6159" w:rsidR="00BF4AC2">
        <w:rPr>
          <w:rFonts w:ascii="Times New Roman" w:hAnsi="Times New Roman"/>
          <w:sz w:val="26"/>
          <w:szCs w:val="24"/>
        </w:rPr>
        <w:t xml:space="preserve">Federal Energy Regulatory Commission (Commission or FERC) </w:t>
      </w:r>
      <w:r w:rsidRPr="003F6159">
        <w:rPr>
          <w:rFonts w:ascii="Times New Roman" w:hAnsi="Times New Roman"/>
          <w:sz w:val="26"/>
          <w:szCs w:val="24"/>
        </w:rPr>
        <w:t>regulates</w:t>
      </w:r>
      <w:r w:rsidRPr="003F6159" w:rsidR="005109B9">
        <w:rPr>
          <w:rFonts w:ascii="Times New Roman" w:hAnsi="Times New Roman"/>
          <w:sz w:val="26"/>
          <w:szCs w:val="24"/>
        </w:rPr>
        <w:t xml:space="preserve"> certain</w:t>
      </w:r>
      <w:r w:rsidRPr="003F6159">
        <w:rPr>
          <w:rFonts w:ascii="Times New Roman" w:hAnsi="Times New Roman"/>
          <w:sz w:val="26"/>
          <w:szCs w:val="24"/>
        </w:rPr>
        <w:t xml:space="preserve"> non-federal hydropower projects pursuant to Part I of the Federal Power Act (FPA)</w:t>
      </w:r>
      <w:r w:rsidR="00491930">
        <w:rPr>
          <w:rFonts w:ascii="Times New Roman" w:hAnsi="Times New Roman"/>
          <w:sz w:val="26"/>
          <w:szCs w:val="24"/>
        </w:rPr>
        <w:t>,</w:t>
      </w:r>
      <w:r>
        <w:rPr>
          <w:rStyle w:val="FootnoteReference"/>
          <w:rFonts w:ascii="Times New Roman" w:hAnsi="Times New Roman"/>
          <w:sz w:val="26"/>
          <w:szCs w:val="24"/>
          <w:vertAlign w:val="superscript"/>
        </w:rPr>
        <w:footnoteReference w:id="3"/>
      </w:r>
      <w:r w:rsidRPr="003F6159" w:rsidR="00393359">
        <w:rPr>
          <w:rFonts w:ascii="Times New Roman" w:hAnsi="Times New Roman"/>
          <w:sz w:val="26"/>
          <w:szCs w:val="24"/>
        </w:rPr>
        <w:t xml:space="preserve">  </w:t>
      </w:r>
      <w:r w:rsidR="00491930">
        <w:rPr>
          <w:rFonts w:ascii="Times New Roman" w:hAnsi="Times New Roman"/>
          <w:sz w:val="26"/>
          <w:szCs w:val="24"/>
        </w:rPr>
        <w:t>which authorizes</w:t>
      </w:r>
      <w:r w:rsidRPr="003F6159">
        <w:rPr>
          <w:rFonts w:ascii="Times New Roman" w:hAnsi="Times New Roman"/>
          <w:sz w:val="26"/>
          <w:szCs w:val="24"/>
        </w:rPr>
        <w:t xml:space="preserve"> the Commission to issue </w:t>
      </w:r>
      <w:r w:rsidRPr="003F6159" w:rsidR="00336847">
        <w:rPr>
          <w:rFonts w:ascii="Times New Roman" w:hAnsi="Times New Roman"/>
          <w:sz w:val="26"/>
          <w:szCs w:val="24"/>
        </w:rPr>
        <w:t xml:space="preserve">hydropower </w:t>
      </w:r>
      <w:r w:rsidRPr="003F6159">
        <w:rPr>
          <w:rFonts w:ascii="Times New Roman" w:hAnsi="Times New Roman"/>
          <w:sz w:val="26"/>
          <w:szCs w:val="24"/>
        </w:rPr>
        <w:t>licenses</w:t>
      </w:r>
      <w:r w:rsidRPr="003F6159" w:rsidR="00336847">
        <w:rPr>
          <w:rFonts w:ascii="Times New Roman" w:hAnsi="Times New Roman"/>
          <w:sz w:val="26"/>
          <w:szCs w:val="24"/>
        </w:rPr>
        <w:t xml:space="preserve"> and exemptions</w:t>
      </w:r>
      <w:r w:rsidRPr="003F6159">
        <w:rPr>
          <w:rFonts w:ascii="Times New Roman" w:hAnsi="Times New Roman"/>
          <w:sz w:val="26"/>
          <w:szCs w:val="24"/>
        </w:rPr>
        <w:t xml:space="preserve"> to citizens of the United States, or to any association of such citizens, or to any corporation organized under the laws of United States or any State thereof, or to any State or municipality</w:t>
      </w:r>
      <w:r w:rsidRPr="003F6159" w:rsidR="00336847">
        <w:rPr>
          <w:rFonts w:ascii="Times New Roman" w:hAnsi="Times New Roman"/>
          <w:sz w:val="26"/>
          <w:szCs w:val="24"/>
        </w:rPr>
        <w:t>.</w:t>
      </w:r>
      <w:r w:rsidRPr="003F6159">
        <w:rPr>
          <w:rFonts w:ascii="Times New Roman" w:hAnsi="Times New Roman"/>
          <w:sz w:val="26"/>
          <w:szCs w:val="24"/>
        </w:rPr>
        <w:t xml:space="preserve"> </w:t>
      </w:r>
      <w:r w:rsidRPr="003F6159" w:rsidR="00336847">
        <w:rPr>
          <w:rFonts w:ascii="Times New Roman" w:hAnsi="Times New Roman"/>
          <w:sz w:val="26"/>
          <w:szCs w:val="24"/>
        </w:rPr>
        <w:t xml:space="preserve"> Holders of such licenses and exemptions </w:t>
      </w:r>
      <w:r w:rsidRPr="003F6159" w:rsidR="00D5560A">
        <w:rPr>
          <w:rFonts w:ascii="Times New Roman" w:hAnsi="Times New Roman"/>
          <w:sz w:val="26"/>
          <w:szCs w:val="24"/>
        </w:rPr>
        <w:t xml:space="preserve">may </w:t>
      </w:r>
      <w:r w:rsidRPr="003F6159">
        <w:rPr>
          <w:rFonts w:ascii="Times New Roman" w:hAnsi="Times New Roman"/>
          <w:sz w:val="26"/>
          <w:szCs w:val="24"/>
        </w:rPr>
        <w:t>construct, operat</w:t>
      </w:r>
      <w:r w:rsidRPr="003F6159" w:rsidR="00336847">
        <w:rPr>
          <w:rFonts w:ascii="Times New Roman" w:hAnsi="Times New Roman"/>
          <w:sz w:val="26"/>
          <w:szCs w:val="24"/>
        </w:rPr>
        <w:t>e</w:t>
      </w:r>
      <w:r w:rsidRPr="003F6159">
        <w:rPr>
          <w:rFonts w:ascii="Times New Roman" w:hAnsi="Times New Roman"/>
          <w:sz w:val="26"/>
          <w:szCs w:val="24"/>
        </w:rPr>
        <w:t>,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or for the purpose of utilizing the surplus water or water power from any Government dam, with exceptions.</w:t>
      </w:r>
    </w:p>
    <w:p w:rsidR="003F3213" w:rsidRPr="003F6159" w14:paraId="515301D1" w14:textId="77777777">
      <w:pPr>
        <w:spacing w:after="0" w:line="240" w:lineRule="auto"/>
        <w:rPr>
          <w:rFonts w:ascii="Times New Roman" w:hAnsi="Times New Roman"/>
          <w:sz w:val="26"/>
          <w:szCs w:val="24"/>
        </w:rPr>
      </w:pPr>
    </w:p>
    <w:p w:rsidR="003F3213" w14:paraId="78798684" w14:textId="77777777">
      <w:pPr>
        <w:spacing w:after="0" w:line="240" w:lineRule="auto"/>
        <w:rPr>
          <w:rFonts w:ascii="Times New Roman" w:hAnsi="Times New Roman"/>
          <w:sz w:val="26"/>
          <w:szCs w:val="24"/>
        </w:rPr>
      </w:pPr>
      <w:r w:rsidRPr="003F6159">
        <w:rPr>
          <w:rFonts w:ascii="Times New Roman" w:hAnsi="Times New Roman"/>
          <w:sz w:val="26"/>
          <w:szCs w:val="24"/>
        </w:rPr>
        <w:t>Section 10(c) of the FPA (16 U.S.C. 803(c)) requires licensees to maintain the project works in a condition of repair adequate for the purposes of navigation and for the efficient operation of said works in the development and transmission of power, to make all necessary renewals and replacements, to establish and maintain adequate depreciation reserves for such purposes, to maintain, and operate said works as not to impair navigation, and to conform to such rules and regulations as the Commission may from time to time prescribe for the protection of life, health, and property.</w:t>
      </w:r>
    </w:p>
    <w:p w:rsidR="005F413E" w14:paraId="78318B20" w14:textId="77777777">
      <w:pPr>
        <w:spacing w:after="0" w:line="240" w:lineRule="auto"/>
        <w:rPr>
          <w:rFonts w:ascii="Times New Roman" w:hAnsi="Times New Roman"/>
          <w:sz w:val="26"/>
          <w:szCs w:val="24"/>
        </w:rPr>
      </w:pPr>
    </w:p>
    <w:p w:rsidR="005F413E" w:rsidRPr="003F6159" w:rsidP="005F413E" w14:paraId="21FF4B7B" w14:textId="74249704">
      <w:pPr>
        <w:spacing w:after="0" w:line="240" w:lineRule="auto"/>
        <w:rPr>
          <w:rFonts w:ascii="Times New Roman" w:hAnsi="Times New Roman"/>
          <w:sz w:val="26"/>
          <w:szCs w:val="24"/>
        </w:rPr>
      </w:pPr>
      <w:r w:rsidRPr="003F6159">
        <w:rPr>
          <w:rFonts w:ascii="Times New Roman" w:hAnsi="Times New Roman"/>
          <w:sz w:val="26"/>
          <w:szCs w:val="24"/>
        </w:rPr>
        <w:t xml:space="preserve">The regulations </w:t>
      </w:r>
      <w:r w:rsidR="00890616">
        <w:rPr>
          <w:rFonts w:ascii="Times New Roman" w:hAnsi="Times New Roman"/>
          <w:sz w:val="26"/>
          <w:szCs w:val="24"/>
        </w:rPr>
        <w:t>in</w:t>
      </w:r>
      <w:r w:rsidRPr="003F6159">
        <w:rPr>
          <w:rFonts w:ascii="Times New Roman" w:hAnsi="Times New Roman"/>
          <w:sz w:val="26"/>
          <w:szCs w:val="24"/>
        </w:rPr>
        <w:t xml:space="preserve"> 18 CFR Part 12 and the Engineering Guidelines outline the provisions and reporting requirements for the evaluation of safety of </w:t>
      </w:r>
      <w:r w:rsidRPr="003F6159">
        <w:rPr>
          <w:rFonts w:ascii="Times New Roman" w:hAnsi="Times New Roman"/>
          <w:sz w:val="26"/>
          <w:szCs w:val="24"/>
        </w:rPr>
        <w:t>water power</w:t>
      </w:r>
      <w:r w:rsidRPr="003F6159">
        <w:rPr>
          <w:rFonts w:ascii="Times New Roman" w:hAnsi="Times New Roman"/>
          <w:sz w:val="26"/>
          <w:szCs w:val="24"/>
        </w:rPr>
        <w:t xml:space="preserve"> projects and project works </w:t>
      </w:r>
      <w:r>
        <w:rPr>
          <w:rFonts w:ascii="Times New Roman" w:hAnsi="Times New Roman"/>
          <w:sz w:val="26"/>
          <w:szCs w:val="24"/>
        </w:rPr>
        <w:t xml:space="preserve">that </w:t>
      </w:r>
      <w:r w:rsidRPr="003F6159">
        <w:rPr>
          <w:rFonts w:ascii="Times New Roman" w:hAnsi="Times New Roman"/>
          <w:sz w:val="26"/>
          <w:szCs w:val="24"/>
        </w:rPr>
        <w:t>apply to:</w:t>
      </w:r>
    </w:p>
    <w:p w:rsidR="005F413E" w:rsidRPr="003F6159" w:rsidP="005F413E" w14:paraId="59FF5FA9" w14:textId="77777777">
      <w:pPr>
        <w:spacing w:after="0" w:line="240" w:lineRule="auto"/>
        <w:rPr>
          <w:rFonts w:ascii="Times New Roman" w:hAnsi="Times New Roman"/>
          <w:sz w:val="26"/>
          <w:szCs w:val="24"/>
        </w:rPr>
      </w:pPr>
    </w:p>
    <w:p w:rsidR="005F413E" w:rsidRPr="003F6159" w:rsidP="005F413E" w14:paraId="3505B627" w14:textId="77777777">
      <w:pPr>
        <w:spacing w:after="0" w:line="240" w:lineRule="auto"/>
        <w:ind w:firstLine="720"/>
        <w:rPr>
          <w:rFonts w:ascii="Times New Roman" w:hAnsi="Times New Roman"/>
          <w:sz w:val="26"/>
          <w:szCs w:val="24"/>
        </w:rPr>
      </w:pPr>
      <w:r w:rsidRPr="003F6159">
        <w:rPr>
          <w:rFonts w:ascii="Times New Roman" w:hAnsi="Times New Roman"/>
          <w:sz w:val="26"/>
          <w:szCs w:val="24"/>
        </w:rPr>
        <w:t xml:space="preserve">(1) Any project licensed under Part I of the Federal Power </w:t>
      </w:r>
      <w:r w:rsidRPr="003F6159">
        <w:rPr>
          <w:rFonts w:ascii="Times New Roman" w:hAnsi="Times New Roman"/>
          <w:sz w:val="26"/>
          <w:szCs w:val="24"/>
        </w:rPr>
        <w:t>Act;</w:t>
      </w:r>
    </w:p>
    <w:p w:rsidR="005F413E" w:rsidRPr="003F6159" w:rsidP="005F413E" w14:paraId="3729D541" w14:textId="77777777">
      <w:pPr>
        <w:spacing w:after="0" w:line="240" w:lineRule="auto"/>
        <w:ind w:left="1080" w:hanging="360"/>
        <w:rPr>
          <w:rFonts w:ascii="Times New Roman" w:hAnsi="Times New Roman"/>
          <w:sz w:val="26"/>
          <w:szCs w:val="24"/>
        </w:rPr>
      </w:pPr>
      <w:r w:rsidRPr="003F6159">
        <w:rPr>
          <w:rFonts w:ascii="Times New Roman" w:hAnsi="Times New Roman"/>
          <w:sz w:val="26"/>
          <w:szCs w:val="24"/>
        </w:rPr>
        <w:t>(2) Any unlicensed constructed project for which the Commission has determined that an application for license must be filed under Part I of the Act; and</w:t>
      </w:r>
    </w:p>
    <w:p w:rsidR="005F413E" w:rsidRPr="003F6159" w:rsidP="005F413E" w14:paraId="5AE6E558" w14:textId="77777777">
      <w:pPr>
        <w:spacing w:after="0" w:line="240" w:lineRule="auto"/>
        <w:ind w:left="1080" w:hanging="360"/>
        <w:rPr>
          <w:rFonts w:ascii="Times New Roman" w:hAnsi="Times New Roman"/>
          <w:sz w:val="26"/>
          <w:szCs w:val="24"/>
        </w:rPr>
      </w:pPr>
      <w:r w:rsidRPr="003F6159">
        <w:rPr>
          <w:rFonts w:ascii="Times New Roman" w:hAnsi="Times New Roman"/>
          <w:sz w:val="26"/>
          <w:szCs w:val="24"/>
        </w:rPr>
        <w:t xml:space="preserve">(3) Any project exempted from licensing under Part I of the Federal Power Act, pursuant to subparts J or K of 18 CFR Part 4, to the extent that the </w:t>
      </w:r>
      <w:r w:rsidRPr="003F6159">
        <w:rPr>
          <w:rFonts w:ascii="Times New Roman" w:hAnsi="Times New Roman"/>
          <w:sz w:val="26"/>
          <w:szCs w:val="24"/>
        </w:rPr>
        <w:t>Commission has conditioned the exemption on compliance with any particular provisions of 18 CFR Part 12.</w:t>
      </w:r>
    </w:p>
    <w:p w:rsidR="005F413E" w:rsidRPr="003F6159" w14:paraId="07A446FD" w14:textId="77777777">
      <w:pPr>
        <w:spacing w:after="0" w:line="240" w:lineRule="auto"/>
        <w:rPr>
          <w:rFonts w:ascii="Times New Roman" w:hAnsi="Times New Roman"/>
          <w:sz w:val="26"/>
          <w:szCs w:val="24"/>
        </w:rPr>
      </w:pPr>
    </w:p>
    <w:p w:rsidR="003F3213" w:rsidRPr="0055703A" w:rsidP="0055703A" w14:paraId="638BAB43" w14:textId="40794F4E">
      <w:pPr>
        <w:spacing w:after="0" w:line="240" w:lineRule="auto"/>
        <w:rPr>
          <w:rFonts w:ascii="Times New Roman" w:hAnsi="Times New Roman"/>
          <w:sz w:val="26"/>
        </w:rPr>
      </w:pPr>
      <w:r w:rsidRPr="0055703A">
        <w:rPr>
          <w:rFonts w:ascii="Times New Roman" w:hAnsi="Times New Roman"/>
          <w:sz w:val="26"/>
        </w:rPr>
        <w:t>The following four sets of Engineering Guidelines for the Evaluation of Hydropower Projects, which are available on the Commission’s eLibrary system</w:t>
      </w:r>
      <w:r w:rsidRPr="0055703A" w:rsidR="001F1F84">
        <w:rPr>
          <w:rFonts w:ascii="Times New Roman" w:hAnsi="Times New Roman"/>
          <w:sz w:val="26"/>
        </w:rPr>
        <w:t>:</w:t>
      </w:r>
    </w:p>
    <w:p w:rsidR="003F3213" w:rsidRPr="003F6159" w:rsidP="002D15F0" w14:paraId="00361EC2" w14:textId="29D6D8DA">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15 ― Supporting Technical Information Document</w:t>
      </w:r>
      <w:r w:rsidRPr="003F6159" w:rsidR="00B71AC2">
        <w:rPr>
          <w:rFonts w:ascii="Times New Roman" w:hAnsi="Times New Roman"/>
          <w:sz w:val="26"/>
        </w:rPr>
        <w:t xml:space="preserve">, </w:t>
      </w:r>
      <w:r w:rsidRPr="003F6159">
        <w:rPr>
          <w:rFonts w:ascii="Times New Roman" w:hAnsi="Times New Roman"/>
          <w:sz w:val="26"/>
        </w:rPr>
        <w:t>Docket No. AD20-20-</w:t>
      </w:r>
      <w:r w:rsidRPr="003F6159">
        <w:rPr>
          <w:rFonts w:ascii="Times New Roman" w:hAnsi="Times New Roman"/>
          <w:sz w:val="26"/>
        </w:rPr>
        <w:t>000;</w:t>
      </w:r>
    </w:p>
    <w:p w:rsidR="003F3213" w:rsidRPr="003F6159" w:rsidP="002D15F0" w14:paraId="37469DCB" w14:textId="2776F47A">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16 ― Part 12D</w:t>
      </w:r>
      <w:r>
        <w:rPr>
          <w:rStyle w:val="FootnoteReference"/>
          <w:rFonts w:ascii="Times New Roman" w:hAnsi="Times New Roman"/>
          <w:sz w:val="26"/>
          <w:vertAlign w:val="superscript"/>
        </w:rPr>
        <w:footnoteReference w:id="4"/>
      </w:r>
      <w:r w:rsidRPr="003F6159">
        <w:rPr>
          <w:rFonts w:ascii="Times New Roman" w:hAnsi="Times New Roman"/>
          <w:sz w:val="26"/>
        </w:rPr>
        <w:t xml:space="preserve"> Program, </w:t>
      </w:r>
      <w:r w:rsidRPr="003F6159" w:rsidR="00B71AC2">
        <w:rPr>
          <w:rFonts w:ascii="Times New Roman" w:hAnsi="Times New Roman"/>
          <w:sz w:val="26"/>
        </w:rPr>
        <w:t>Do</w:t>
      </w:r>
      <w:r w:rsidRPr="003F6159">
        <w:rPr>
          <w:rFonts w:ascii="Times New Roman" w:hAnsi="Times New Roman"/>
          <w:sz w:val="26"/>
        </w:rPr>
        <w:t>cket No. AD20-21-</w:t>
      </w:r>
      <w:r w:rsidRPr="003F6159">
        <w:rPr>
          <w:rFonts w:ascii="Times New Roman" w:hAnsi="Times New Roman"/>
          <w:sz w:val="26"/>
        </w:rPr>
        <w:t>000;</w:t>
      </w:r>
    </w:p>
    <w:p w:rsidR="003F3213" w:rsidRPr="003F6159" w:rsidP="002D15F0" w14:paraId="2B2039C2" w14:textId="45D957B3">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17 ― Potential Failure Mode Analysis</w:t>
      </w:r>
      <w:r w:rsidRPr="003F6159" w:rsidR="001F1F84">
        <w:rPr>
          <w:rFonts w:ascii="Times New Roman" w:hAnsi="Times New Roman"/>
          <w:sz w:val="26"/>
        </w:rPr>
        <w:t>,</w:t>
      </w:r>
      <w:r w:rsidRPr="003F6159" w:rsidR="00DC2DCF">
        <w:rPr>
          <w:rFonts w:ascii="Times New Roman" w:hAnsi="Times New Roman"/>
          <w:sz w:val="26"/>
        </w:rPr>
        <w:t xml:space="preserve"> </w:t>
      </w:r>
      <w:r w:rsidRPr="003F6159">
        <w:rPr>
          <w:rFonts w:ascii="Times New Roman" w:hAnsi="Times New Roman"/>
          <w:sz w:val="26"/>
        </w:rPr>
        <w:t>Docket No. AD20-22-000; and</w:t>
      </w:r>
    </w:p>
    <w:p w:rsidR="003F3213" w:rsidRPr="003F6159" w:rsidP="002D15F0" w14:paraId="0E549482" w14:textId="5A91D9E8">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18 ― Level 2 Risk Analysis</w:t>
      </w:r>
      <w:r w:rsidRPr="003F6159" w:rsidR="00DC2DCF">
        <w:rPr>
          <w:rFonts w:ascii="Times New Roman" w:hAnsi="Times New Roman"/>
          <w:sz w:val="26"/>
        </w:rPr>
        <w:t xml:space="preserve">, </w:t>
      </w:r>
      <w:r w:rsidRPr="003F6159">
        <w:rPr>
          <w:rFonts w:ascii="Times New Roman" w:hAnsi="Times New Roman"/>
          <w:sz w:val="26"/>
        </w:rPr>
        <w:t>Docket No. AD20-23-000.</w:t>
      </w:r>
    </w:p>
    <w:p w:rsidR="003F3213" w:rsidRPr="003F6159" w14:paraId="5DD1E836" w14:textId="77777777">
      <w:pPr>
        <w:pStyle w:val="ListParagraph"/>
        <w:spacing w:after="0" w:line="240" w:lineRule="auto"/>
        <w:ind w:left="0"/>
        <w:rPr>
          <w:rFonts w:ascii="Times New Roman" w:hAnsi="Times New Roman"/>
          <w:sz w:val="26"/>
          <w:szCs w:val="24"/>
        </w:rPr>
      </w:pPr>
    </w:p>
    <w:p w:rsidR="00037E44" w:rsidRPr="003F6159" w:rsidP="00037E44" w14:paraId="4E46CCA8" w14:textId="77777777">
      <w:pPr>
        <w:spacing w:after="0" w:line="240" w:lineRule="auto"/>
        <w:rPr>
          <w:rFonts w:ascii="Times New Roman" w:hAnsi="Times New Roman"/>
          <w:sz w:val="26"/>
          <w:szCs w:val="24"/>
        </w:rPr>
      </w:pPr>
    </w:p>
    <w:p w:rsidR="003F3213" w:rsidRPr="003F6159" w:rsidP="00037E44" w14:paraId="49E0234A" w14:textId="66F9375A">
      <w:pPr>
        <w:spacing w:after="0" w:line="240" w:lineRule="auto"/>
        <w:rPr>
          <w:rFonts w:ascii="Times New Roman" w:hAnsi="Times New Roman"/>
          <w:sz w:val="26"/>
          <w:szCs w:val="24"/>
        </w:rPr>
      </w:pPr>
      <w:r w:rsidRPr="003F6159">
        <w:rPr>
          <w:rFonts w:ascii="Times New Roman" w:hAnsi="Times New Roman"/>
          <w:b/>
          <w:sz w:val="26"/>
          <w:szCs w:val="24"/>
        </w:rPr>
        <w:t>2.</w:t>
      </w:r>
      <w:r w:rsidRPr="003F6159">
        <w:rPr>
          <w:rFonts w:ascii="Times New Roman" w:hAnsi="Times New Roman"/>
          <w:b/>
          <w:sz w:val="26"/>
          <w:szCs w:val="24"/>
        </w:rPr>
        <w:tab/>
      </w:r>
      <w:r w:rsidRPr="003F6159" w:rsidR="00A54559">
        <w:rPr>
          <w:rFonts w:ascii="Times New Roman" w:hAnsi="Times New Roman"/>
          <w:b/>
          <w:sz w:val="26"/>
          <w:szCs w:val="24"/>
        </w:rPr>
        <w:t>HOW, BY WHOM, AND FOR WHAT PURPOSE THE INFORMATION IS TO BE USED AND THE CONSEQUENCES OF NOT COLLECTING THE INFORMATION</w:t>
      </w:r>
    </w:p>
    <w:p w:rsidR="003F3213" w:rsidRPr="003F6159" w14:paraId="36B69EE2" w14:textId="77777777">
      <w:pPr>
        <w:spacing w:after="0" w:line="240" w:lineRule="auto"/>
        <w:rPr>
          <w:rFonts w:ascii="Times New Roman" w:hAnsi="Times New Roman"/>
          <w:sz w:val="26"/>
          <w:szCs w:val="24"/>
        </w:rPr>
      </w:pPr>
    </w:p>
    <w:p w:rsidR="0042659D" w:rsidRPr="0042659D" w:rsidP="0042659D" w14:paraId="0AB10B13" w14:textId="77777777">
      <w:pPr>
        <w:spacing w:after="0" w:line="240" w:lineRule="auto"/>
        <w:rPr>
          <w:rFonts w:ascii="Times New Roman" w:hAnsi="Times New Roman"/>
          <w:sz w:val="26"/>
          <w:szCs w:val="24"/>
        </w:rPr>
      </w:pPr>
      <w:r w:rsidRPr="0042659D">
        <w:rPr>
          <w:rFonts w:ascii="Times New Roman" w:hAnsi="Times New Roman"/>
          <w:sz w:val="26"/>
          <w:szCs w:val="24"/>
        </w:rPr>
        <w:t>This information collection will assist in the assessment of the safety of waterpower projects and project works licensed by the Commission. The Commission will use the information collection activities to evaluate project-specific dam and public safety assessments, determine whether those assessments are sufficient for the protection of life, health, and property, and to ensure that project works are being maintained in an adequate condition of repair.</w:t>
      </w:r>
    </w:p>
    <w:p w:rsidR="0042659D" w:rsidRPr="0042659D" w:rsidP="0042659D" w14:paraId="45027D4B" w14:textId="77777777">
      <w:pPr>
        <w:spacing w:after="0" w:line="240" w:lineRule="auto"/>
        <w:rPr>
          <w:rFonts w:ascii="Times New Roman" w:hAnsi="Times New Roman"/>
          <w:sz w:val="26"/>
          <w:szCs w:val="24"/>
        </w:rPr>
      </w:pPr>
    </w:p>
    <w:p w:rsidR="0042659D" w:rsidRPr="0042659D" w:rsidP="0042659D" w14:paraId="0B8D723A" w14:textId="77777777">
      <w:pPr>
        <w:spacing w:after="0" w:line="240" w:lineRule="auto"/>
        <w:rPr>
          <w:rFonts w:ascii="Times New Roman" w:hAnsi="Times New Roman"/>
          <w:sz w:val="26"/>
          <w:szCs w:val="24"/>
        </w:rPr>
      </w:pPr>
      <w:r w:rsidRPr="0042659D">
        <w:rPr>
          <w:rFonts w:ascii="Times New Roman" w:hAnsi="Times New Roman"/>
          <w:sz w:val="26"/>
          <w:szCs w:val="24"/>
        </w:rPr>
        <w:t>The information is necessary in order to determine the urgency, priority, and scope of potential safety improvements or risk reduction measures that might be needed for the protection of life, health, and property.</w:t>
      </w:r>
    </w:p>
    <w:p w:rsidR="0042659D" w:rsidRPr="0042659D" w:rsidP="0042659D" w14:paraId="4C63D597" w14:textId="77777777">
      <w:pPr>
        <w:spacing w:after="0" w:line="240" w:lineRule="auto"/>
        <w:rPr>
          <w:rFonts w:ascii="Times New Roman" w:hAnsi="Times New Roman"/>
          <w:sz w:val="26"/>
          <w:szCs w:val="24"/>
        </w:rPr>
      </w:pPr>
    </w:p>
    <w:p w:rsidR="00E11568" w:rsidRPr="00E11568" w:rsidP="00E11568" w14:paraId="2908E6CB" w14:textId="77777777">
      <w:pPr>
        <w:spacing w:after="0" w:line="240" w:lineRule="auto"/>
        <w:rPr>
          <w:rFonts w:ascii="Times New Roman" w:hAnsi="Times New Roman"/>
          <w:b/>
          <w:bCs/>
          <w:sz w:val="26"/>
          <w:szCs w:val="24"/>
        </w:rPr>
      </w:pPr>
      <w:r w:rsidRPr="00E11568">
        <w:rPr>
          <w:rFonts w:ascii="Times New Roman" w:hAnsi="Times New Roman"/>
          <w:b/>
          <w:bCs/>
          <w:sz w:val="26"/>
          <w:szCs w:val="24"/>
        </w:rPr>
        <w:t>18 CFR Part 12, Subpart B (Reports and Records)</w:t>
      </w:r>
    </w:p>
    <w:p w:rsidR="00E11568" w:rsidRPr="00E11568" w:rsidP="00E11568" w14:paraId="558ABB3C" w14:textId="77777777">
      <w:pPr>
        <w:spacing w:after="0" w:line="240" w:lineRule="auto"/>
        <w:rPr>
          <w:rFonts w:ascii="Times New Roman" w:hAnsi="Times New Roman"/>
          <w:sz w:val="26"/>
          <w:szCs w:val="24"/>
        </w:rPr>
      </w:pPr>
    </w:p>
    <w:p w:rsidR="00E11568" w:rsidRPr="00E11568" w:rsidP="00E11568" w14:paraId="463DBD32" w14:textId="77777777">
      <w:pPr>
        <w:spacing w:after="0" w:line="240" w:lineRule="auto"/>
        <w:rPr>
          <w:rFonts w:ascii="Times New Roman" w:hAnsi="Times New Roman"/>
          <w:sz w:val="26"/>
          <w:szCs w:val="24"/>
        </w:rPr>
      </w:pPr>
      <w:r w:rsidRPr="00E11568">
        <w:rPr>
          <w:rFonts w:ascii="Times New Roman" w:hAnsi="Times New Roman"/>
          <w:sz w:val="26"/>
          <w:szCs w:val="24"/>
        </w:rPr>
        <w:t>The regulations at 18 CFR 12.10(a) and (b) require applicants and licensees to report promptly to the Regional Engineer</w:t>
      </w:r>
      <w:r>
        <w:rPr>
          <w:rFonts w:ascii="Times New Roman" w:hAnsi="Times New Roman"/>
          <w:sz w:val="26"/>
          <w:szCs w:val="24"/>
          <w:vertAlign w:val="superscript"/>
        </w:rPr>
        <w:footnoteReference w:id="5"/>
      </w:r>
      <w:r w:rsidRPr="00E11568">
        <w:rPr>
          <w:rFonts w:ascii="Times New Roman" w:hAnsi="Times New Roman"/>
          <w:sz w:val="26"/>
          <w:szCs w:val="24"/>
        </w:rPr>
        <w:t xml:space="preserve"> any incident resulting in death or serious injury that occurs at the relevant project.  Section 12.10(a) requires an oral report to the Regional Engineer by telephone of any condition affecting the safety of a project or projects works, “as soon as practicable after that condition is discovered.”  Section 12.10(b) requires a written report that includes a description of the cause and location of the accident, which must be submitted within the time specified by the Regional Engineer.</w:t>
      </w:r>
    </w:p>
    <w:p w:rsidR="00E11568" w:rsidRPr="00E11568" w:rsidP="00E11568" w14:paraId="498FFD2E" w14:textId="77777777">
      <w:pPr>
        <w:spacing w:after="0" w:line="240" w:lineRule="auto"/>
        <w:rPr>
          <w:rFonts w:ascii="Times New Roman" w:hAnsi="Times New Roman"/>
          <w:sz w:val="26"/>
          <w:szCs w:val="24"/>
        </w:rPr>
      </w:pPr>
    </w:p>
    <w:p w:rsidR="00E11568" w:rsidRPr="00E11568" w:rsidP="00E11568" w14:paraId="33F0BBA2" w14:textId="77777777">
      <w:pPr>
        <w:spacing w:after="0" w:line="240" w:lineRule="auto"/>
        <w:rPr>
          <w:rFonts w:ascii="Times New Roman" w:hAnsi="Times New Roman"/>
          <w:sz w:val="26"/>
          <w:szCs w:val="24"/>
        </w:rPr>
      </w:pPr>
      <w:r w:rsidRPr="00E11568">
        <w:rPr>
          <w:rFonts w:ascii="Times New Roman" w:hAnsi="Times New Roman"/>
          <w:sz w:val="26"/>
          <w:szCs w:val="24"/>
        </w:rPr>
        <w:t xml:space="preserve">The 18 CFR 12.10(b) requires a written report of any death, serious injury, or rescue.  Such reports must describe any remedial actions taken or proposed to avoid or reduce </w:t>
      </w:r>
      <w:r w:rsidRPr="00E11568">
        <w:rPr>
          <w:rFonts w:ascii="Times New Roman" w:hAnsi="Times New Roman"/>
          <w:sz w:val="26"/>
          <w:szCs w:val="24"/>
        </w:rPr>
        <w:t>the chance of similar occurrences in the future and must be verified in accordance with section 12.13.</w:t>
      </w:r>
      <w:r>
        <w:rPr>
          <w:rFonts w:ascii="Times New Roman" w:hAnsi="Times New Roman"/>
          <w:sz w:val="26"/>
          <w:szCs w:val="24"/>
          <w:vertAlign w:val="superscript"/>
        </w:rPr>
        <w:footnoteReference w:id="6"/>
      </w:r>
    </w:p>
    <w:p w:rsidR="00E11568" w:rsidRPr="00E11568" w:rsidP="00E11568" w14:paraId="355AFB3C" w14:textId="77777777">
      <w:pPr>
        <w:spacing w:after="0" w:line="240" w:lineRule="auto"/>
        <w:rPr>
          <w:rFonts w:ascii="Times New Roman" w:hAnsi="Times New Roman"/>
          <w:sz w:val="26"/>
          <w:szCs w:val="24"/>
        </w:rPr>
      </w:pPr>
    </w:p>
    <w:p w:rsidR="00E11568" w:rsidRPr="00E11568" w:rsidP="00E11568" w14:paraId="7E650E46" w14:textId="77777777">
      <w:pPr>
        <w:spacing w:after="0" w:line="240" w:lineRule="auto"/>
        <w:rPr>
          <w:rFonts w:ascii="Times New Roman" w:hAnsi="Times New Roman"/>
          <w:sz w:val="26"/>
          <w:szCs w:val="24"/>
        </w:rPr>
      </w:pPr>
      <w:r w:rsidRPr="00E11568">
        <w:rPr>
          <w:rFonts w:ascii="Times New Roman" w:hAnsi="Times New Roman"/>
          <w:sz w:val="26"/>
          <w:szCs w:val="24"/>
        </w:rPr>
        <w:t>Section 12.10(b)(3), section 12.10(b)(2)(ii) provides that deaths that are not project-related may be reported by providing a copy of a clipping from a newspaper article, if available.</w:t>
      </w:r>
      <w:r w:rsidRPr="00E11568">
        <w:rPr>
          <w:rFonts w:ascii="Times New Roman" w:hAnsi="Times New Roman"/>
          <w:sz w:val="26"/>
        </w:rPr>
        <w:t xml:space="preserve">  </w:t>
      </w:r>
      <w:r w:rsidRPr="00E11568">
        <w:rPr>
          <w:rFonts w:ascii="Times New Roman" w:hAnsi="Times New Roman"/>
          <w:sz w:val="26"/>
          <w:szCs w:val="24"/>
        </w:rPr>
        <w:t xml:space="preserve">Section 12.10(b)(2)(iii) provides that serious injuries and rescues that are not project-related do not require a written report. The initial report must be made by email or telephone as soon as practicable after the condition is discovered, “preferably within 72 hours.”  </w:t>
      </w:r>
    </w:p>
    <w:p w:rsidR="00E11568" w:rsidRPr="00E11568" w:rsidP="00E11568" w14:paraId="05E19FB3" w14:textId="77777777">
      <w:pPr>
        <w:spacing w:after="0" w:line="240" w:lineRule="auto"/>
        <w:rPr>
          <w:rFonts w:ascii="Times New Roman" w:hAnsi="Times New Roman"/>
          <w:b/>
          <w:sz w:val="26"/>
          <w:szCs w:val="24"/>
        </w:rPr>
      </w:pPr>
    </w:p>
    <w:p w:rsidR="00E11568" w:rsidRPr="00E11568" w:rsidP="00E11568" w14:paraId="3BB84AB4" w14:textId="77777777">
      <w:pPr>
        <w:spacing w:after="0" w:line="240" w:lineRule="auto"/>
        <w:rPr>
          <w:rFonts w:ascii="Times New Roman" w:hAnsi="Times New Roman"/>
          <w:b/>
          <w:sz w:val="26"/>
          <w:szCs w:val="24"/>
        </w:rPr>
      </w:pPr>
      <w:r w:rsidRPr="00E11568">
        <w:rPr>
          <w:rFonts w:ascii="Times New Roman" w:hAnsi="Times New Roman"/>
          <w:b/>
          <w:sz w:val="26"/>
          <w:szCs w:val="24"/>
        </w:rPr>
        <w:t>18 CFR Part 12, Subpart D (</w:t>
      </w:r>
      <w:r w:rsidRPr="00E11568">
        <w:rPr>
          <w:rFonts w:ascii="Times New Roman" w:hAnsi="Times New Roman"/>
          <w:b/>
          <w:bCs/>
          <w:sz w:val="26"/>
          <w:szCs w:val="24"/>
        </w:rPr>
        <w:t>Review, Inspection, and Assessment by Independent Consultant)</w:t>
      </w:r>
    </w:p>
    <w:p w:rsidR="00E11568" w:rsidRPr="00E11568" w:rsidP="00E11568" w14:paraId="2816A978" w14:textId="77777777">
      <w:pPr>
        <w:spacing w:after="0" w:line="240" w:lineRule="auto"/>
        <w:rPr>
          <w:rFonts w:ascii="Times New Roman" w:hAnsi="Times New Roman"/>
          <w:sz w:val="26"/>
          <w:szCs w:val="24"/>
        </w:rPr>
      </w:pPr>
    </w:p>
    <w:p w:rsidR="00E11568" w:rsidRPr="00E11568" w:rsidP="00E11568" w14:paraId="08701E6A" w14:textId="77777777">
      <w:pPr>
        <w:spacing w:after="0" w:line="240" w:lineRule="auto"/>
        <w:rPr>
          <w:rFonts w:ascii="Times New Roman" w:hAnsi="Times New Roman"/>
          <w:i/>
          <w:iCs/>
          <w:sz w:val="26"/>
          <w:szCs w:val="24"/>
        </w:rPr>
      </w:pPr>
      <w:r w:rsidRPr="00E11568">
        <w:rPr>
          <w:rFonts w:ascii="Times New Roman" w:hAnsi="Times New Roman"/>
          <w:i/>
          <w:iCs/>
          <w:sz w:val="26"/>
          <w:szCs w:val="24"/>
        </w:rPr>
        <w:t>Overview of Subpart D</w:t>
      </w:r>
    </w:p>
    <w:p w:rsidR="00E11568" w:rsidRPr="00E11568" w:rsidP="00E11568" w14:paraId="504B765D" w14:textId="77777777">
      <w:pPr>
        <w:spacing w:after="0" w:line="240" w:lineRule="auto"/>
        <w:rPr>
          <w:rFonts w:ascii="Times New Roman" w:hAnsi="Times New Roman"/>
          <w:sz w:val="26"/>
          <w:szCs w:val="24"/>
        </w:rPr>
      </w:pPr>
    </w:p>
    <w:p w:rsidR="00E11568" w:rsidRPr="00E11568" w:rsidP="00E11568" w14:paraId="7A08ADEA" w14:textId="77777777">
      <w:pPr>
        <w:spacing w:after="0" w:line="240" w:lineRule="auto"/>
        <w:rPr>
          <w:rFonts w:ascii="Times New Roman" w:hAnsi="Times New Roman"/>
          <w:sz w:val="26"/>
          <w:szCs w:val="24"/>
        </w:rPr>
      </w:pPr>
      <w:r w:rsidRPr="00E11568">
        <w:rPr>
          <w:rFonts w:ascii="Times New Roman" w:hAnsi="Times New Roman"/>
          <w:sz w:val="26"/>
          <w:szCs w:val="24"/>
        </w:rPr>
        <w:t xml:space="preserve">Regulations at 18 CFR Part 12 Subpart D pertain to project safety inspections by independent consultants.  These inspections sometimes are colloquially called “Part 12D inspections.”  These inspections are licensee-facilitated and are in addition to the project safety inspections conducted regularly by Commission staff.  </w:t>
      </w:r>
    </w:p>
    <w:p w:rsidR="00E11568" w:rsidRPr="00E11568" w:rsidP="00E11568" w14:paraId="393D9280" w14:textId="27A0FB16">
      <w:pPr>
        <w:spacing w:after="0" w:line="240" w:lineRule="auto"/>
        <w:rPr>
          <w:rFonts w:ascii="Times New Roman" w:hAnsi="Times New Roman"/>
          <w:sz w:val="26"/>
          <w:szCs w:val="24"/>
        </w:rPr>
      </w:pPr>
      <w:r w:rsidRPr="00E11568">
        <w:rPr>
          <w:rFonts w:ascii="Times New Roman" w:hAnsi="Times New Roman"/>
          <w:sz w:val="26"/>
          <w:szCs w:val="24"/>
        </w:rPr>
        <w:t xml:space="preserve">Subpart D requires two tiers of independent consultant inspections for licensed project developments that meet the criteria shown at section 12.30includes two types of inspections:  a comprehensive assessment (CA) and a periodic inspection (PI).  Each comprehensive assessment will be performed at a ten-year interval, with the periodic inspection occurring midway between comprehensive assessments.  A periodic inspection will focus on a project’s performance over the previous five years, and will include a field inspection, a review of project operations, an in-depth review of monitoring data trends and behavior, and an evaluation of whether any potential failure modes are occurring.  A comprehensive assessment will build on a periodic inspection with a deep dive into every aspect of a project, including a detailed review of the design basis, analyses of record, and construction history; an evaluation of spillway adequacy; a Potential Failure Mode Analysis; and a Risk Analysis.  </w:t>
      </w:r>
    </w:p>
    <w:p w:rsidR="00E11568" w:rsidRPr="00E11568" w:rsidP="00E11568" w14:paraId="0A2A071A" w14:textId="77777777">
      <w:pPr>
        <w:spacing w:after="0" w:line="240" w:lineRule="auto"/>
        <w:rPr>
          <w:rFonts w:ascii="Times New Roman" w:hAnsi="Times New Roman"/>
          <w:sz w:val="26"/>
          <w:szCs w:val="24"/>
        </w:rPr>
      </w:pPr>
    </w:p>
    <w:p w:rsidR="00E11568" w:rsidRPr="00E11568" w:rsidP="00E11568" w14:paraId="095F38AE" w14:textId="77777777">
      <w:pPr>
        <w:spacing w:after="0" w:line="240" w:lineRule="auto"/>
        <w:rPr>
          <w:rFonts w:ascii="Times New Roman" w:hAnsi="Times New Roman"/>
          <w:i/>
          <w:iCs/>
          <w:sz w:val="26"/>
          <w:szCs w:val="24"/>
        </w:rPr>
      </w:pPr>
      <w:r w:rsidRPr="00E11568">
        <w:rPr>
          <w:rFonts w:ascii="Times New Roman" w:hAnsi="Times New Roman"/>
          <w:i/>
          <w:iCs/>
          <w:sz w:val="26"/>
          <w:szCs w:val="24"/>
        </w:rPr>
        <w:t>Engineering Guidelines – Chapters 15 &amp; 16</w:t>
      </w:r>
    </w:p>
    <w:p w:rsidR="00E11568" w:rsidRPr="00E11568" w:rsidP="00E11568" w14:paraId="250E2296" w14:textId="77777777">
      <w:pPr>
        <w:spacing w:after="0" w:line="240" w:lineRule="auto"/>
        <w:rPr>
          <w:rFonts w:ascii="Times New Roman" w:hAnsi="Times New Roman"/>
          <w:sz w:val="26"/>
          <w:szCs w:val="24"/>
          <w:u w:val="single"/>
        </w:rPr>
      </w:pPr>
    </w:p>
    <w:p w:rsidR="00E11568" w:rsidRPr="00E11568" w:rsidP="00E11568" w14:paraId="2A5190E3" w14:textId="77777777">
      <w:pPr>
        <w:spacing w:after="0" w:line="240" w:lineRule="auto"/>
        <w:rPr>
          <w:rFonts w:ascii="Times New Roman" w:hAnsi="Times New Roman"/>
          <w:sz w:val="26"/>
          <w:szCs w:val="24"/>
        </w:rPr>
      </w:pPr>
      <w:r w:rsidRPr="00E11568">
        <w:rPr>
          <w:rFonts w:ascii="Times New Roman" w:hAnsi="Times New Roman"/>
          <w:sz w:val="26"/>
          <w:szCs w:val="24"/>
        </w:rPr>
        <w:t xml:space="preserve">Chapter 15 of the Engineering Guidelines provides guidance on a Supporting Technical Information Document (STID).  A STID serves as a compendium of knowledge and information about a project and greatly facilitates the review and evaluation of the safety and performance of project works by licensees, consultants, and Commission staff.  The STID consists of a hard copy and a digital reference. It is required for all projects subject </w:t>
      </w:r>
      <w:r w:rsidRPr="00E11568">
        <w:rPr>
          <w:rFonts w:ascii="Times New Roman" w:hAnsi="Times New Roman"/>
          <w:sz w:val="26"/>
          <w:szCs w:val="24"/>
        </w:rPr>
        <w:t xml:space="preserve">to 18 CFR 12D and is used for assessing the completeness and appropriateness of technical information. </w:t>
      </w:r>
    </w:p>
    <w:p w:rsidR="00E11568" w:rsidRPr="00E11568" w:rsidP="00E11568" w14:paraId="16301761" w14:textId="77777777">
      <w:pPr>
        <w:spacing w:after="0" w:line="240" w:lineRule="auto"/>
        <w:rPr>
          <w:rFonts w:ascii="Times New Roman" w:hAnsi="Times New Roman"/>
          <w:sz w:val="26"/>
          <w:szCs w:val="24"/>
        </w:rPr>
      </w:pPr>
    </w:p>
    <w:p w:rsidR="00E11568" w:rsidRPr="00E11568" w:rsidP="00E11568" w14:paraId="4DFD9F95" w14:textId="77777777">
      <w:pPr>
        <w:spacing w:after="0" w:line="240" w:lineRule="auto"/>
        <w:rPr>
          <w:rFonts w:ascii="Times New Roman" w:hAnsi="Times New Roman"/>
          <w:sz w:val="26"/>
          <w:szCs w:val="24"/>
        </w:rPr>
      </w:pPr>
      <w:r w:rsidRPr="00E11568">
        <w:rPr>
          <w:rFonts w:ascii="Times New Roman" w:hAnsi="Times New Roman"/>
          <w:sz w:val="26"/>
          <w:szCs w:val="24"/>
        </w:rPr>
        <w:t>The STID summarizes the project elements and details that, except in the event of detailed studies or construction, do not change significantly over time. The digital reference (e.g., a CD, DVD, or other form of electronic media) includes a compilation of all available source material and additional supporting information, formatted so that the licensee, commission staff, or consultants can identify and retrieve the information they need.  A searchable electronic version of the hard copy material must be included on the digital reference. The licensee is responsible for compiling the information for the STID and for creating and maintaining the document for use by themselves, the Part 12D independent consultants, and Commission staff.</w:t>
      </w:r>
    </w:p>
    <w:p w:rsidR="00E11568" w:rsidRPr="00E11568" w:rsidP="00E11568" w14:paraId="15DFEB93" w14:textId="77777777">
      <w:pPr>
        <w:spacing w:after="0" w:line="240" w:lineRule="auto"/>
        <w:rPr>
          <w:rFonts w:ascii="Times New Roman" w:hAnsi="Times New Roman"/>
          <w:sz w:val="26"/>
          <w:szCs w:val="24"/>
        </w:rPr>
      </w:pPr>
    </w:p>
    <w:p w:rsidR="00E11568" w:rsidRPr="00E11568" w:rsidP="00E11568" w14:paraId="4A5D3514" w14:textId="77777777">
      <w:pPr>
        <w:spacing w:after="0" w:line="240" w:lineRule="auto"/>
        <w:rPr>
          <w:rFonts w:ascii="Times New Roman" w:hAnsi="Times New Roman"/>
          <w:sz w:val="26"/>
          <w:szCs w:val="24"/>
        </w:rPr>
      </w:pPr>
      <w:r w:rsidRPr="00E11568">
        <w:rPr>
          <w:rFonts w:ascii="Times New Roman" w:hAnsi="Times New Roman"/>
          <w:sz w:val="26"/>
          <w:szCs w:val="24"/>
        </w:rPr>
        <w:t>Chapter 16 of the Engineering Guidelines requires licensees to submit a detailed Part 12D Inspection Plan prior to conducting either type of inspection (i.e., a periodic inspection or comprehensive assessment) that describes the scope of the inspection, proposes an Independent Consultant Team, and establishes the proposed schedule.  Section 16-3.3.1 of Chapter 16 of the Engineering Guidelines provides that the Part 12D Inspection Plan must include the following information:</w:t>
      </w:r>
    </w:p>
    <w:p w:rsidR="00E11568" w:rsidRPr="00E11568" w:rsidP="00E11568" w14:paraId="74CA0F76" w14:textId="77777777">
      <w:pPr>
        <w:spacing w:after="0" w:line="240" w:lineRule="auto"/>
        <w:rPr>
          <w:rFonts w:ascii="Times New Roman" w:hAnsi="Times New Roman"/>
          <w:sz w:val="26"/>
          <w:szCs w:val="24"/>
        </w:rPr>
      </w:pPr>
    </w:p>
    <w:p w:rsidR="00E11568" w:rsidRPr="00E11568" w:rsidP="00E11568" w14:paraId="06C021D9" w14:textId="77777777">
      <w:pPr>
        <w:numPr>
          <w:ilvl w:val="0"/>
          <w:numId w:val="8"/>
        </w:numPr>
        <w:spacing w:after="0" w:line="240" w:lineRule="auto"/>
        <w:rPr>
          <w:rFonts w:ascii="Times New Roman" w:hAnsi="Times New Roman"/>
          <w:sz w:val="26"/>
          <w:szCs w:val="24"/>
        </w:rPr>
      </w:pPr>
      <w:r w:rsidRPr="00E11568">
        <w:rPr>
          <w:rFonts w:ascii="Times New Roman" w:hAnsi="Times New Roman"/>
          <w:sz w:val="26"/>
          <w:szCs w:val="24"/>
        </w:rPr>
        <w:t xml:space="preserve">Project name, FERC number, and state(s) where the project is </w:t>
      </w:r>
      <w:r w:rsidRPr="00E11568">
        <w:rPr>
          <w:rFonts w:ascii="Times New Roman" w:hAnsi="Times New Roman"/>
          <w:sz w:val="26"/>
          <w:szCs w:val="24"/>
        </w:rPr>
        <w:t>located;</w:t>
      </w:r>
    </w:p>
    <w:p w:rsidR="00E11568" w:rsidRPr="00E11568" w:rsidP="00E11568" w14:paraId="13DF3E9A" w14:textId="77777777">
      <w:pPr>
        <w:numPr>
          <w:ilvl w:val="0"/>
          <w:numId w:val="8"/>
        </w:numPr>
        <w:spacing w:after="0" w:line="240" w:lineRule="auto"/>
        <w:rPr>
          <w:rFonts w:ascii="Times New Roman" w:hAnsi="Times New Roman"/>
          <w:sz w:val="26"/>
          <w:szCs w:val="24"/>
        </w:rPr>
      </w:pPr>
      <w:r w:rsidRPr="00E11568">
        <w:rPr>
          <w:rFonts w:ascii="Times New Roman" w:hAnsi="Times New Roman"/>
          <w:sz w:val="26"/>
          <w:szCs w:val="24"/>
        </w:rPr>
        <w:t xml:space="preserve">Type of Part 12D Inspection (Comprehensive Assessment or Periodic Inspection), and a reminder that a Risk Analysis must be completed for a Comprehensive </w:t>
      </w:r>
      <w:r w:rsidRPr="00E11568">
        <w:rPr>
          <w:rFonts w:ascii="Times New Roman" w:hAnsi="Times New Roman"/>
          <w:sz w:val="26"/>
          <w:szCs w:val="24"/>
        </w:rPr>
        <w:t>Assessment;</w:t>
      </w:r>
    </w:p>
    <w:p w:rsidR="00E11568" w:rsidRPr="00E11568" w:rsidP="00E11568" w14:paraId="76715955" w14:textId="77777777">
      <w:pPr>
        <w:numPr>
          <w:ilvl w:val="0"/>
          <w:numId w:val="8"/>
        </w:numPr>
        <w:spacing w:after="0" w:line="240" w:lineRule="auto"/>
        <w:rPr>
          <w:rFonts w:ascii="Times New Roman" w:hAnsi="Times New Roman"/>
          <w:sz w:val="26"/>
          <w:szCs w:val="24"/>
        </w:rPr>
      </w:pPr>
      <w:r w:rsidRPr="00E11568">
        <w:rPr>
          <w:rFonts w:ascii="Times New Roman" w:hAnsi="Times New Roman"/>
          <w:sz w:val="26"/>
          <w:szCs w:val="24"/>
        </w:rPr>
        <w:t xml:space="preserve">A brief description of the project </w:t>
      </w:r>
      <w:r w:rsidRPr="00E11568">
        <w:rPr>
          <w:rFonts w:ascii="Times New Roman" w:hAnsi="Times New Roman"/>
          <w:sz w:val="26"/>
          <w:szCs w:val="24"/>
        </w:rPr>
        <w:t>features;</w:t>
      </w:r>
    </w:p>
    <w:p w:rsidR="00E11568" w:rsidRPr="00E11568" w:rsidP="00E11568" w14:paraId="757D0557" w14:textId="77777777">
      <w:pPr>
        <w:numPr>
          <w:ilvl w:val="0"/>
          <w:numId w:val="8"/>
        </w:numPr>
        <w:spacing w:after="0" w:line="240" w:lineRule="auto"/>
        <w:rPr>
          <w:rFonts w:ascii="Times New Roman" w:hAnsi="Times New Roman"/>
          <w:sz w:val="26"/>
          <w:szCs w:val="24"/>
        </w:rPr>
      </w:pPr>
      <w:r w:rsidRPr="00E11568">
        <w:rPr>
          <w:rFonts w:ascii="Times New Roman" w:hAnsi="Times New Roman"/>
          <w:sz w:val="26"/>
          <w:szCs w:val="24"/>
        </w:rPr>
        <w:t>A proposed team of Independent Consultants, including the identification and assessment of technical disciplines to be represented on the team of Independent Consultants; the names and resumes for the Independent Consultants; a list of supporting team member roles and their intended areas of expertise; and the names and resumes of facilitators for any Potential Failure Mode Analysis or Risk Analysis as needed; and</w:t>
      </w:r>
    </w:p>
    <w:p w:rsidR="00E11568" w:rsidRPr="00E11568" w:rsidP="00E11568" w14:paraId="5842D75C" w14:textId="77777777">
      <w:pPr>
        <w:numPr>
          <w:ilvl w:val="0"/>
          <w:numId w:val="8"/>
        </w:numPr>
        <w:spacing w:after="0" w:line="240" w:lineRule="auto"/>
        <w:rPr>
          <w:rFonts w:ascii="Times New Roman" w:hAnsi="Times New Roman"/>
          <w:sz w:val="26"/>
          <w:szCs w:val="24"/>
        </w:rPr>
      </w:pPr>
      <w:r w:rsidRPr="00E11568">
        <w:rPr>
          <w:rFonts w:ascii="Times New Roman" w:hAnsi="Times New Roman"/>
          <w:sz w:val="26"/>
          <w:szCs w:val="24"/>
        </w:rPr>
        <w:t>A schedule for Part 12D Inspection-related activities.</w:t>
      </w:r>
    </w:p>
    <w:p w:rsidR="00E11568" w:rsidRPr="00E11568" w:rsidP="00E11568" w14:paraId="174CCEE6" w14:textId="77777777">
      <w:pPr>
        <w:spacing w:after="0" w:line="240" w:lineRule="auto"/>
        <w:rPr>
          <w:rFonts w:ascii="Times New Roman" w:hAnsi="Times New Roman"/>
          <w:sz w:val="26"/>
          <w:szCs w:val="24"/>
        </w:rPr>
      </w:pPr>
    </w:p>
    <w:p w:rsidR="00E11568" w:rsidRPr="00E11568" w:rsidP="00E11568" w14:paraId="78AA054C" w14:textId="77777777">
      <w:pPr>
        <w:spacing w:after="0" w:line="240" w:lineRule="auto"/>
        <w:rPr>
          <w:rFonts w:ascii="Times New Roman" w:hAnsi="Times New Roman"/>
          <w:sz w:val="26"/>
          <w:szCs w:val="24"/>
        </w:rPr>
      </w:pPr>
      <w:r w:rsidRPr="00E11568">
        <w:rPr>
          <w:rFonts w:ascii="Times New Roman" w:hAnsi="Times New Roman"/>
          <w:sz w:val="26"/>
          <w:szCs w:val="24"/>
        </w:rPr>
        <w:t>Under Chapter 16, members of the Independent Consultant Team are required to prepare a Pre-Inspection Preparation Report to document their initial findings from their review of project documentation, instrumentation data, and other information prior to the field inspection.  Chapter 16 provides an outline for this PRA activity.</w:t>
      </w:r>
    </w:p>
    <w:p w:rsidR="00E11568" w:rsidRPr="00E11568" w:rsidP="00E11568" w14:paraId="2D9A3A35" w14:textId="77777777">
      <w:pPr>
        <w:spacing w:after="0" w:line="240" w:lineRule="auto"/>
        <w:rPr>
          <w:rFonts w:ascii="Times New Roman" w:hAnsi="Times New Roman"/>
          <w:sz w:val="26"/>
          <w:szCs w:val="24"/>
        </w:rPr>
      </w:pPr>
    </w:p>
    <w:p w:rsidR="00E11568" w:rsidRPr="00E11568" w:rsidP="00E11568" w14:paraId="10B7D800" w14:textId="77777777">
      <w:pPr>
        <w:spacing w:after="0" w:line="240" w:lineRule="auto"/>
        <w:rPr>
          <w:rFonts w:ascii="Times New Roman" w:hAnsi="Times New Roman"/>
          <w:sz w:val="26"/>
          <w:szCs w:val="24"/>
        </w:rPr>
      </w:pPr>
      <w:r w:rsidRPr="00E11568">
        <w:rPr>
          <w:rFonts w:ascii="Times New Roman" w:hAnsi="Times New Roman"/>
          <w:sz w:val="26"/>
          <w:szCs w:val="24"/>
        </w:rPr>
        <w:t xml:space="preserve">Chapter 16 also provides outlines for, and describes the scope of, the periodic inspections and comprehensive assessments that are required in 18 CFR Part 12 Subpart D.  </w:t>
      </w:r>
    </w:p>
    <w:p w:rsidR="00E11568" w:rsidRPr="00E11568" w:rsidP="00E11568" w14:paraId="77E63C2F" w14:textId="77777777">
      <w:pPr>
        <w:spacing w:after="0" w:line="240" w:lineRule="auto"/>
        <w:rPr>
          <w:rFonts w:ascii="Times New Roman" w:hAnsi="Times New Roman"/>
          <w:sz w:val="26"/>
          <w:szCs w:val="24"/>
        </w:rPr>
      </w:pPr>
    </w:p>
    <w:p w:rsidR="00E11568" w:rsidRPr="00E11568" w:rsidP="00E11568" w14:paraId="569FBC27" w14:textId="77777777">
      <w:pPr>
        <w:spacing w:after="0" w:line="240" w:lineRule="auto"/>
        <w:rPr>
          <w:rFonts w:ascii="Times New Roman" w:hAnsi="Times New Roman"/>
          <w:sz w:val="26"/>
          <w:szCs w:val="24"/>
        </w:rPr>
      </w:pPr>
      <w:r w:rsidRPr="00E11568">
        <w:rPr>
          <w:rFonts w:ascii="Times New Roman" w:hAnsi="Times New Roman"/>
          <w:sz w:val="26"/>
          <w:szCs w:val="24"/>
        </w:rPr>
        <w:t>Chapters 17 and 18 provide additional details and licensee guidance for conducting a Potential Failure Mode Analysis and a Level 2 Risk Analysis, which are required components of a comprehensive assessment.</w:t>
      </w:r>
    </w:p>
    <w:p w:rsidR="00E11568" w:rsidRPr="00E11568" w:rsidP="00E11568" w14:paraId="4901FF5B" w14:textId="77777777">
      <w:pPr>
        <w:spacing w:after="0" w:line="240" w:lineRule="auto"/>
        <w:rPr>
          <w:rFonts w:ascii="Times New Roman" w:hAnsi="Times New Roman"/>
          <w:sz w:val="26"/>
          <w:szCs w:val="24"/>
        </w:rPr>
      </w:pPr>
    </w:p>
    <w:p w:rsidR="00E11568" w:rsidRPr="00E11568" w:rsidP="00E11568" w14:paraId="6CAE2211" w14:textId="77777777">
      <w:pPr>
        <w:spacing w:after="0" w:line="240" w:lineRule="auto"/>
        <w:rPr>
          <w:rFonts w:ascii="Times New Roman" w:hAnsi="Times New Roman"/>
          <w:sz w:val="26"/>
          <w:szCs w:val="24"/>
        </w:rPr>
      </w:pPr>
      <w:r w:rsidRPr="00E11568">
        <w:rPr>
          <w:rFonts w:ascii="Times New Roman" w:hAnsi="Times New Roman"/>
          <w:i/>
          <w:iCs/>
          <w:sz w:val="26"/>
          <w:szCs w:val="24"/>
        </w:rPr>
        <w:t>Independent Consultant Team Proposals and Reports</w:t>
      </w:r>
    </w:p>
    <w:p w:rsidR="00E11568" w:rsidRPr="00E11568" w:rsidP="00E11568" w14:paraId="6F5DE879" w14:textId="77777777">
      <w:pPr>
        <w:spacing w:after="0" w:line="240" w:lineRule="auto"/>
        <w:rPr>
          <w:rFonts w:ascii="Times New Roman" w:hAnsi="Times New Roman"/>
          <w:sz w:val="26"/>
          <w:szCs w:val="24"/>
        </w:rPr>
      </w:pPr>
    </w:p>
    <w:p w:rsidR="00E11568" w:rsidRPr="00E11568" w:rsidP="00E11568" w14:paraId="00AC655E" w14:textId="77777777">
      <w:pPr>
        <w:spacing w:after="0" w:line="240" w:lineRule="auto"/>
        <w:rPr>
          <w:rFonts w:ascii="Times New Roman" w:hAnsi="Times New Roman"/>
          <w:sz w:val="26"/>
          <w:szCs w:val="24"/>
        </w:rPr>
      </w:pPr>
      <w:r w:rsidRPr="00E11568">
        <w:rPr>
          <w:rFonts w:ascii="Times New Roman" w:hAnsi="Times New Roman"/>
          <w:sz w:val="26"/>
          <w:szCs w:val="24"/>
        </w:rPr>
        <w:t xml:space="preserve">The regulations at 18 CFR 12.31(a) and 12.31(b), respectively, list specific qualifications that are required of independent consultants and independent consultant teams.  The regulation at 18 CFR 12.34(a) requires that the licensee obtain written approval of the independent consultant team from the Director of the Division of Dam Safety and Inspections (D2SI) prior to performing a periodic inspection or comprehensive assessment.  </w:t>
      </w:r>
    </w:p>
    <w:p w:rsidR="00E11568" w:rsidRPr="00E11568" w:rsidP="00E11568" w14:paraId="70B980EA" w14:textId="77777777">
      <w:pPr>
        <w:spacing w:after="0" w:line="240" w:lineRule="auto"/>
        <w:rPr>
          <w:rFonts w:ascii="Times New Roman" w:hAnsi="Times New Roman"/>
          <w:sz w:val="26"/>
          <w:szCs w:val="24"/>
        </w:rPr>
      </w:pPr>
    </w:p>
    <w:p w:rsidR="00E11568" w:rsidRPr="00E11568" w:rsidP="00E11568" w14:paraId="179392F0" w14:textId="77777777">
      <w:pPr>
        <w:spacing w:after="0" w:line="240" w:lineRule="auto"/>
        <w:rPr>
          <w:rFonts w:ascii="Times New Roman" w:hAnsi="Times New Roman"/>
          <w:sz w:val="26"/>
          <w:szCs w:val="24"/>
        </w:rPr>
      </w:pPr>
      <w:r w:rsidRPr="00E11568">
        <w:rPr>
          <w:rFonts w:ascii="Times New Roman" w:hAnsi="Times New Roman"/>
          <w:sz w:val="26"/>
          <w:szCs w:val="24"/>
        </w:rPr>
        <w:t>The regulation at 18 CFR 12.34(b)requires that the licensee submit a detailed independent consultant team proposal to the Director of D2SI at least 180 days prior to performing a periodic inspection or comprehensive assessment.  As part of this, the licensee must submit documentation of the experience and qualifications for all members of the independent consultant team, including one or more independent consultants and additional contributing members, as needed.  This enables the Commission staff to evaluate the breadth and depth of the team’s experience and ensure that it is commensurate with the scale, complexity, and technical disciplines of the project and type of review being performed.  The Commission intends for a comprehensive assessment to require a higher level of experience and expertise than a periodic inspection, due to the broader scope of the comprehensive assessment.</w:t>
      </w:r>
    </w:p>
    <w:p w:rsidR="00E11568" w:rsidRPr="00E11568" w:rsidP="00E11568" w14:paraId="6F3A297A" w14:textId="77777777">
      <w:pPr>
        <w:spacing w:after="0" w:line="240" w:lineRule="auto"/>
        <w:rPr>
          <w:rFonts w:ascii="Times New Roman" w:hAnsi="Times New Roman"/>
          <w:sz w:val="26"/>
          <w:szCs w:val="24"/>
        </w:rPr>
      </w:pPr>
    </w:p>
    <w:p w:rsidR="00E11568" w:rsidRPr="00E11568" w:rsidP="00E11568" w14:paraId="25562E80" w14:textId="77777777">
      <w:pPr>
        <w:spacing w:after="0" w:line="240" w:lineRule="auto"/>
        <w:rPr>
          <w:rFonts w:ascii="Times New Roman" w:hAnsi="Times New Roman"/>
          <w:sz w:val="26"/>
          <w:szCs w:val="24"/>
        </w:rPr>
      </w:pPr>
      <w:r w:rsidRPr="00E11568">
        <w:rPr>
          <w:rFonts w:ascii="Times New Roman" w:hAnsi="Times New Roman"/>
          <w:sz w:val="26"/>
          <w:szCs w:val="24"/>
        </w:rPr>
        <w:t>The regulation at 18 CFR 12.34(c) authorizes the Director of D2SI to disapprove an independent consultant team member, regardless of demonstrated experience and qualifications, for good cause, such as having a report rejected by the Commission within the preceding five years.  This provision allows the Commission to ensure that independent consultants’ inspections are performed by qualified parties.</w:t>
      </w:r>
    </w:p>
    <w:p w:rsidR="00E11568" w:rsidRPr="00E11568" w:rsidP="00E11568" w14:paraId="76429DAB" w14:textId="77777777">
      <w:pPr>
        <w:spacing w:after="0" w:line="240" w:lineRule="auto"/>
        <w:rPr>
          <w:rFonts w:ascii="Times New Roman" w:hAnsi="Times New Roman"/>
          <w:sz w:val="26"/>
          <w:szCs w:val="24"/>
        </w:rPr>
      </w:pPr>
    </w:p>
    <w:p w:rsidR="00E11568" w:rsidRPr="00E11568" w:rsidP="00E11568" w14:paraId="74A799A9" w14:textId="77777777">
      <w:pPr>
        <w:spacing w:after="0" w:line="240" w:lineRule="auto"/>
        <w:rPr>
          <w:rFonts w:ascii="Times New Roman" w:hAnsi="Times New Roman"/>
          <w:b/>
          <w:bCs/>
          <w:sz w:val="26"/>
          <w:szCs w:val="24"/>
        </w:rPr>
      </w:pPr>
      <w:r w:rsidRPr="00E11568">
        <w:rPr>
          <w:rFonts w:ascii="Times New Roman" w:hAnsi="Times New Roman"/>
          <w:b/>
          <w:bCs/>
          <w:sz w:val="26"/>
          <w:szCs w:val="24"/>
        </w:rPr>
        <w:t>18 CFR Part 12, Subpart F (Owner’s Dam Safety Program)</w:t>
      </w:r>
    </w:p>
    <w:p w:rsidR="00E11568" w:rsidRPr="00E11568" w:rsidP="00E11568" w14:paraId="5CBEE200" w14:textId="77777777">
      <w:pPr>
        <w:spacing w:after="0" w:line="240" w:lineRule="auto"/>
        <w:rPr>
          <w:rFonts w:ascii="Times New Roman" w:hAnsi="Times New Roman"/>
          <w:sz w:val="26"/>
          <w:szCs w:val="24"/>
        </w:rPr>
      </w:pPr>
    </w:p>
    <w:p w:rsidR="00E11568" w:rsidRPr="00E11568" w:rsidP="00E11568" w14:paraId="21F112B6" w14:textId="77777777">
      <w:pPr>
        <w:spacing w:after="0" w:line="240" w:lineRule="auto"/>
        <w:rPr>
          <w:rFonts w:ascii="Times New Roman" w:hAnsi="Times New Roman"/>
          <w:i/>
          <w:iCs/>
          <w:sz w:val="26"/>
          <w:szCs w:val="24"/>
        </w:rPr>
      </w:pPr>
      <w:r w:rsidRPr="00E11568">
        <w:rPr>
          <w:rFonts w:ascii="Times New Roman" w:hAnsi="Times New Roman"/>
          <w:i/>
          <w:iCs/>
          <w:sz w:val="26"/>
          <w:szCs w:val="24"/>
        </w:rPr>
        <w:t>Overview of Subpart F</w:t>
      </w:r>
    </w:p>
    <w:p w:rsidR="00E11568" w:rsidRPr="00E11568" w:rsidP="00E11568" w14:paraId="38679B7F" w14:textId="77777777">
      <w:pPr>
        <w:spacing w:after="0" w:line="240" w:lineRule="auto"/>
        <w:rPr>
          <w:rFonts w:ascii="Times New Roman" w:hAnsi="Times New Roman"/>
          <w:b/>
          <w:bCs/>
          <w:sz w:val="26"/>
          <w:szCs w:val="24"/>
        </w:rPr>
      </w:pPr>
    </w:p>
    <w:p w:rsidR="00E11568" w:rsidRPr="00E11568" w:rsidP="00E11568" w14:paraId="79C526A2" w14:textId="77777777">
      <w:pPr>
        <w:spacing w:after="0" w:line="240" w:lineRule="auto"/>
        <w:rPr>
          <w:rFonts w:ascii="Times New Roman" w:hAnsi="Times New Roman"/>
          <w:sz w:val="26"/>
          <w:szCs w:val="24"/>
        </w:rPr>
      </w:pPr>
      <w:r w:rsidRPr="00E11568">
        <w:rPr>
          <w:rFonts w:ascii="Times New Roman" w:hAnsi="Times New Roman"/>
          <w:sz w:val="26"/>
          <w:szCs w:val="24"/>
        </w:rPr>
        <w:t>The regulation at 18 CFR 12.60 provides that subpart F applies to all licensees with dams or other project works with a high or significant hazard potential.  The terms “High hazard potential” and “Significant hazard potential and “Low hazard potential” are defined at section 12.3(b)(13).</w:t>
      </w:r>
    </w:p>
    <w:p w:rsidR="00E11568" w:rsidRPr="00E11568" w:rsidP="00E11568" w14:paraId="1B680A57" w14:textId="77777777">
      <w:pPr>
        <w:spacing w:after="0" w:line="240" w:lineRule="auto"/>
        <w:rPr>
          <w:rFonts w:ascii="Times New Roman" w:hAnsi="Times New Roman"/>
          <w:sz w:val="26"/>
          <w:szCs w:val="24"/>
          <w:u w:val="single"/>
        </w:rPr>
      </w:pPr>
    </w:p>
    <w:p w:rsidR="00E11568" w:rsidRPr="00E11568" w:rsidP="00E11568" w14:paraId="01617E41" w14:textId="77777777">
      <w:pPr>
        <w:spacing w:after="0" w:line="240" w:lineRule="auto"/>
        <w:rPr>
          <w:rFonts w:ascii="Times New Roman" w:hAnsi="Times New Roman"/>
          <w:sz w:val="26"/>
          <w:szCs w:val="24"/>
        </w:rPr>
      </w:pPr>
      <w:r w:rsidRPr="00E11568">
        <w:rPr>
          <w:rFonts w:ascii="Times New Roman" w:hAnsi="Times New Roman"/>
          <w:i/>
          <w:iCs/>
          <w:sz w:val="26"/>
          <w:szCs w:val="24"/>
        </w:rPr>
        <w:t>Owner’s Dam Safety Program (ODSP) Document</w:t>
      </w:r>
    </w:p>
    <w:p w:rsidR="00E11568" w:rsidRPr="00E11568" w:rsidP="00E11568" w14:paraId="14354481" w14:textId="77777777">
      <w:pPr>
        <w:spacing w:after="0" w:line="240" w:lineRule="auto"/>
        <w:rPr>
          <w:rFonts w:ascii="Times New Roman" w:hAnsi="Times New Roman"/>
          <w:sz w:val="26"/>
          <w:szCs w:val="24"/>
        </w:rPr>
      </w:pPr>
    </w:p>
    <w:p w:rsidR="00E11568" w:rsidRPr="00E11568" w:rsidP="00E11568" w14:paraId="5A91C7E1" w14:textId="77777777">
      <w:pPr>
        <w:spacing w:after="0" w:line="240" w:lineRule="auto"/>
        <w:rPr>
          <w:rFonts w:ascii="Times New Roman" w:hAnsi="Times New Roman"/>
          <w:sz w:val="26"/>
          <w:szCs w:val="24"/>
        </w:rPr>
      </w:pPr>
      <w:r w:rsidRPr="00E11568">
        <w:rPr>
          <w:rFonts w:ascii="Times New Roman" w:hAnsi="Times New Roman"/>
          <w:sz w:val="26"/>
          <w:szCs w:val="24"/>
        </w:rPr>
        <w:t>Section 12.62 provides that any ODSP Document that includes one or more dams or project features with a high hazard potential must designate a Chief Dam Safety Engineer.</w:t>
      </w:r>
      <w:r>
        <w:rPr>
          <w:rFonts w:ascii="Times New Roman" w:hAnsi="Times New Roman"/>
          <w:sz w:val="26"/>
          <w:szCs w:val="24"/>
          <w:vertAlign w:val="superscript"/>
        </w:rPr>
        <w:footnoteReference w:id="7"/>
      </w:r>
      <w:r w:rsidRPr="00E11568">
        <w:rPr>
          <w:rFonts w:ascii="Times New Roman" w:hAnsi="Times New Roman"/>
          <w:sz w:val="26"/>
          <w:szCs w:val="24"/>
        </w:rPr>
        <w:t xml:space="preserve">  Other ODSPs may designate either a Chief Dam Safety Engineer or Chief Dam Safety Coordinator.</w:t>
      </w:r>
      <w:r>
        <w:rPr>
          <w:rFonts w:ascii="Times New Roman" w:hAnsi="Times New Roman"/>
          <w:sz w:val="26"/>
          <w:szCs w:val="24"/>
          <w:vertAlign w:val="superscript"/>
        </w:rPr>
        <w:footnoteReference w:id="8"/>
      </w:r>
      <w:r w:rsidRPr="00E11568">
        <w:rPr>
          <w:rFonts w:ascii="Times New Roman" w:hAnsi="Times New Roman"/>
          <w:sz w:val="26"/>
          <w:szCs w:val="24"/>
        </w:rPr>
        <w:t xml:space="preserve">  Section 12.62 also requires that the ODSP must be signed by the Owner and, as applicable, the Chief Dam Safety Engineer or the Chief Dam Safety Coordinator.</w:t>
      </w:r>
    </w:p>
    <w:p w:rsidR="00E11568" w:rsidRPr="00E11568" w:rsidP="00E11568" w14:paraId="25ADDEDD" w14:textId="77777777">
      <w:pPr>
        <w:spacing w:after="0" w:line="240" w:lineRule="auto"/>
        <w:rPr>
          <w:rFonts w:ascii="Times New Roman" w:hAnsi="Times New Roman"/>
          <w:sz w:val="26"/>
          <w:szCs w:val="24"/>
        </w:rPr>
      </w:pPr>
    </w:p>
    <w:p w:rsidR="00E11568" w:rsidRPr="00E11568" w:rsidP="00E11568" w14:paraId="1A4B9775" w14:textId="77777777">
      <w:pPr>
        <w:spacing w:after="0" w:line="240" w:lineRule="auto"/>
        <w:rPr>
          <w:rFonts w:ascii="Times New Roman" w:hAnsi="Times New Roman"/>
          <w:sz w:val="26"/>
          <w:szCs w:val="24"/>
        </w:rPr>
      </w:pPr>
      <w:r w:rsidRPr="00E11568">
        <w:rPr>
          <w:rFonts w:ascii="Times New Roman" w:hAnsi="Times New Roman"/>
          <w:sz w:val="26"/>
          <w:szCs w:val="24"/>
        </w:rPr>
        <w:t>The regulation at 18 CFR section 12.63 requires the following additional contents of an ODSP document:</w:t>
      </w:r>
    </w:p>
    <w:p w:rsidR="00E11568" w:rsidRPr="00E11568" w:rsidP="00E11568" w14:paraId="60FE2ECE" w14:textId="77777777">
      <w:pPr>
        <w:spacing w:after="0" w:line="240" w:lineRule="auto"/>
        <w:rPr>
          <w:rFonts w:ascii="Times New Roman" w:hAnsi="Times New Roman"/>
          <w:sz w:val="26"/>
          <w:szCs w:val="24"/>
        </w:rPr>
      </w:pPr>
    </w:p>
    <w:p w:rsidR="00E11568" w:rsidRPr="00E11568" w:rsidP="00E11568" w14:paraId="125683BC"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 xml:space="preserve">Dam safety policy, objectives, and </w:t>
      </w:r>
      <w:r w:rsidRPr="00E11568">
        <w:rPr>
          <w:rFonts w:ascii="Times New Roman" w:hAnsi="Times New Roman"/>
          <w:sz w:val="26"/>
          <w:szCs w:val="24"/>
        </w:rPr>
        <w:t>expectations;</w:t>
      </w:r>
      <w:r w:rsidRPr="00E11568">
        <w:rPr>
          <w:rFonts w:ascii="Times New Roman" w:hAnsi="Times New Roman"/>
          <w:sz w:val="26"/>
          <w:szCs w:val="24"/>
        </w:rPr>
        <w:t xml:space="preserve"> </w:t>
      </w:r>
    </w:p>
    <w:p w:rsidR="00E11568" w:rsidRPr="00E11568" w:rsidP="00E11568" w14:paraId="1C08702E"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 xml:space="preserve">Responsibilities for dam </w:t>
      </w:r>
      <w:r w:rsidRPr="00E11568">
        <w:rPr>
          <w:rFonts w:ascii="Times New Roman" w:hAnsi="Times New Roman"/>
          <w:sz w:val="26"/>
          <w:szCs w:val="24"/>
        </w:rPr>
        <w:t>safety;</w:t>
      </w:r>
    </w:p>
    <w:p w:rsidR="00E11568" w:rsidRPr="00E11568" w:rsidP="00E11568" w14:paraId="0AC466FC"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 xml:space="preserve">Dam safety training </w:t>
      </w:r>
      <w:r w:rsidRPr="00E11568">
        <w:rPr>
          <w:rFonts w:ascii="Times New Roman" w:hAnsi="Times New Roman"/>
          <w:sz w:val="26"/>
          <w:szCs w:val="24"/>
        </w:rPr>
        <w:t>program;</w:t>
      </w:r>
    </w:p>
    <w:p w:rsidR="00E11568" w:rsidRPr="00E11568" w:rsidP="00E11568" w14:paraId="2BAF95F5"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 xml:space="preserve">Communication, coordination, reporting, and </w:t>
      </w:r>
      <w:r w:rsidRPr="00E11568">
        <w:rPr>
          <w:rFonts w:ascii="Times New Roman" w:hAnsi="Times New Roman"/>
          <w:sz w:val="26"/>
          <w:szCs w:val="24"/>
        </w:rPr>
        <w:t>reports;</w:t>
      </w:r>
    </w:p>
    <w:p w:rsidR="00E11568" w:rsidRPr="00E11568" w:rsidP="00E11568" w14:paraId="0A18ABA1"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Record keeping and databases; and</w:t>
      </w:r>
    </w:p>
    <w:p w:rsidR="00E11568" w:rsidRPr="00E11568" w:rsidP="00E11568" w14:paraId="6F7CE7DF" w14:textId="77777777">
      <w:pPr>
        <w:numPr>
          <w:ilvl w:val="0"/>
          <w:numId w:val="4"/>
        </w:numPr>
        <w:spacing w:after="0" w:line="240" w:lineRule="auto"/>
        <w:rPr>
          <w:rFonts w:ascii="Times New Roman" w:hAnsi="Times New Roman"/>
          <w:sz w:val="26"/>
          <w:szCs w:val="24"/>
        </w:rPr>
      </w:pPr>
      <w:r w:rsidRPr="00E11568">
        <w:rPr>
          <w:rFonts w:ascii="Times New Roman" w:hAnsi="Times New Roman"/>
          <w:sz w:val="26"/>
          <w:szCs w:val="24"/>
        </w:rPr>
        <w:t xml:space="preserve">Continuous </w:t>
      </w:r>
      <w:r w:rsidRPr="00E11568">
        <w:rPr>
          <w:rFonts w:ascii="Times New Roman" w:hAnsi="Times New Roman"/>
          <w:sz w:val="26"/>
          <w:szCs w:val="24"/>
        </w:rPr>
        <w:t>improvement;</w:t>
      </w:r>
      <w:r w:rsidRPr="00E11568">
        <w:rPr>
          <w:rFonts w:ascii="Times New Roman" w:hAnsi="Times New Roman"/>
          <w:sz w:val="26"/>
          <w:szCs w:val="24"/>
        </w:rPr>
        <w:t xml:space="preserve"> </w:t>
      </w:r>
    </w:p>
    <w:p w:rsidR="00E11568" w:rsidRPr="00E11568" w:rsidP="00E11568" w14:paraId="25D8528B" w14:textId="77777777">
      <w:pPr>
        <w:spacing w:after="0" w:line="240" w:lineRule="auto"/>
        <w:rPr>
          <w:rFonts w:ascii="Times New Roman" w:hAnsi="Times New Roman"/>
          <w:bCs/>
          <w:sz w:val="26"/>
          <w:szCs w:val="24"/>
        </w:rPr>
      </w:pPr>
    </w:p>
    <w:p w:rsidR="00E11568" w:rsidRPr="00E11568" w:rsidP="00E11568" w14:paraId="76E37423" w14:textId="77777777">
      <w:pPr>
        <w:spacing w:after="0" w:line="240" w:lineRule="auto"/>
        <w:rPr>
          <w:rFonts w:ascii="Times New Roman" w:hAnsi="Times New Roman"/>
          <w:bCs/>
          <w:sz w:val="26"/>
          <w:szCs w:val="24"/>
        </w:rPr>
      </w:pPr>
      <w:r w:rsidRPr="00E11568">
        <w:rPr>
          <w:rFonts w:ascii="Times New Roman" w:hAnsi="Times New Roman"/>
          <w:bCs/>
          <w:sz w:val="26"/>
          <w:szCs w:val="24"/>
        </w:rPr>
        <w:t>The regulation at 18 CFR 12.64 requires any ODSP to be reviewed by the licensee’s dam safety staff and discussed with senior management on an annual basis.  In addition, section 12.64 requires that any findings, analysis, corrective measures, or revisions be submitted to the D2SI Regional Engineer for possible revision.  This requirement applies to any licensee with a dam or other project feature with a high or significant hazard potential.</w:t>
      </w:r>
    </w:p>
    <w:p w:rsidR="00E11568" w:rsidRPr="00E11568" w:rsidP="00E11568" w14:paraId="0EEB5429" w14:textId="77777777">
      <w:pPr>
        <w:spacing w:after="0" w:line="240" w:lineRule="auto"/>
        <w:rPr>
          <w:rFonts w:ascii="Times New Roman" w:hAnsi="Times New Roman"/>
          <w:bCs/>
          <w:sz w:val="26"/>
          <w:szCs w:val="24"/>
        </w:rPr>
      </w:pPr>
    </w:p>
    <w:p w:rsidR="00E11568" w:rsidRPr="00E11568" w:rsidP="00E11568" w14:paraId="75085CAB" w14:textId="77777777">
      <w:pPr>
        <w:spacing w:after="0" w:line="240" w:lineRule="auto"/>
        <w:rPr>
          <w:rFonts w:ascii="Times New Roman" w:hAnsi="Times New Roman"/>
          <w:bCs/>
          <w:sz w:val="26"/>
          <w:szCs w:val="24"/>
        </w:rPr>
      </w:pPr>
      <w:r w:rsidRPr="00E11568">
        <w:rPr>
          <w:rFonts w:ascii="Times New Roman" w:hAnsi="Times New Roman"/>
          <w:bCs/>
          <w:i/>
          <w:iCs/>
          <w:sz w:val="26"/>
          <w:szCs w:val="24"/>
        </w:rPr>
        <w:t>ODSP Qualification Statement for External Audit or Peer Review</w:t>
      </w:r>
    </w:p>
    <w:p w:rsidR="00E11568" w:rsidRPr="00E11568" w:rsidP="00E11568" w14:paraId="5CD7F9AA" w14:textId="77777777">
      <w:pPr>
        <w:spacing w:after="0" w:line="240" w:lineRule="auto"/>
        <w:rPr>
          <w:rFonts w:ascii="Times New Roman" w:hAnsi="Times New Roman"/>
          <w:bCs/>
          <w:sz w:val="26"/>
          <w:szCs w:val="24"/>
        </w:rPr>
      </w:pPr>
    </w:p>
    <w:p w:rsidR="00E11568" w:rsidRPr="00E11568" w:rsidP="00E11568" w14:paraId="6491DE2D" w14:textId="77777777">
      <w:pPr>
        <w:spacing w:after="0" w:line="240" w:lineRule="auto"/>
        <w:rPr>
          <w:rFonts w:ascii="Times New Roman" w:hAnsi="Times New Roman"/>
          <w:bCs/>
          <w:sz w:val="26"/>
          <w:szCs w:val="24"/>
        </w:rPr>
      </w:pPr>
      <w:r w:rsidRPr="00E11568">
        <w:rPr>
          <w:rFonts w:ascii="Times New Roman" w:hAnsi="Times New Roman"/>
          <w:bCs/>
          <w:sz w:val="26"/>
          <w:szCs w:val="24"/>
        </w:rPr>
        <w:t>The regulation at 18 CFR 12.65 applies to licensees of one or more dams or other project features classified as having a high hazard potential.  Section 12.65(a) requires an independent external audit or peer review of the ODSP and its implementation.  The audit or peer review is required to be performed at an interval not to exceed five years.</w:t>
      </w:r>
    </w:p>
    <w:p w:rsidR="00E11568" w:rsidRPr="00E11568" w:rsidP="00E11568" w14:paraId="4B054202" w14:textId="77777777">
      <w:pPr>
        <w:spacing w:after="0" w:line="240" w:lineRule="auto"/>
        <w:rPr>
          <w:rFonts w:ascii="Times New Roman" w:hAnsi="Times New Roman"/>
          <w:bCs/>
          <w:sz w:val="26"/>
          <w:szCs w:val="24"/>
        </w:rPr>
      </w:pPr>
    </w:p>
    <w:p w:rsidR="00E11568" w:rsidRPr="00E11568" w:rsidP="00E11568" w14:paraId="23C22284" w14:textId="77777777">
      <w:pPr>
        <w:spacing w:after="0" w:line="240" w:lineRule="auto"/>
        <w:rPr>
          <w:rFonts w:ascii="Times New Roman" w:hAnsi="Times New Roman"/>
          <w:sz w:val="26"/>
          <w:szCs w:val="24"/>
        </w:rPr>
      </w:pPr>
      <w:r w:rsidRPr="00E11568">
        <w:rPr>
          <w:rFonts w:ascii="Times New Roman" w:hAnsi="Times New Roman"/>
          <w:bCs/>
          <w:sz w:val="26"/>
          <w:szCs w:val="24"/>
        </w:rPr>
        <w:t xml:space="preserve">Before the audit or peer review, 18 CFR 12.65(b) requires the licensee to submit to the Regional Engineer a </w:t>
      </w:r>
      <w:r w:rsidRPr="00E11568">
        <w:rPr>
          <w:rFonts w:ascii="Times New Roman" w:hAnsi="Times New Roman"/>
          <w:sz w:val="26"/>
          <w:szCs w:val="24"/>
        </w:rPr>
        <w:t>statement of qualifications of the prospective auditor(s) or peer review team.  The licensee must receive written acceptance of the statement of qualifications before performing the audit or peer review.</w:t>
      </w:r>
    </w:p>
    <w:p w:rsidR="00E11568" w:rsidRPr="00E11568" w:rsidP="00E11568" w14:paraId="69B2E8FC" w14:textId="77777777">
      <w:pPr>
        <w:spacing w:after="0" w:line="240" w:lineRule="auto"/>
        <w:rPr>
          <w:rFonts w:ascii="Times New Roman" w:hAnsi="Times New Roman"/>
          <w:sz w:val="26"/>
          <w:szCs w:val="24"/>
        </w:rPr>
      </w:pPr>
    </w:p>
    <w:p w:rsidR="00E11568" w:rsidRPr="00E11568" w:rsidP="00E11568" w14:paraId="0FA0ECE2" w14:textId="77777777">
      <w:pPr>
        <w:spacing w:after="0" w:line="240" w:lineRule="auto"/>
        <w:rPr>
          <w:rFonts w:ascii="Times New Roman" w:hAnsi="Times New Roman"/>
          <w:bCs/>
          <w:sz w:val="26"/>
          <w:szCs w:val="24"/>
        </w:rPr>
      </w:pPr>
      <w:r w:rsidRPr="00E11568">
        <w:rPr>
          <w:rFonts w:ascii="Times New Roman" w:hAnsi="Times New Roman"/>
          <w:bCs/>
          <w:i/>
          <w:iCs/>
          <w:sz w:val="26"/>
          <w:szCs w:val="24"/>
        </w:rPr>
        <w:t>ODSP External Audit or Peer Review Report</w:t>
      </w:r>
    </w:p>
    <w:p w:rsidR="00E11568" w:rsidRPr="00E11568" w:rsidP="00E11568" w14:paraId="2BAC4BB5" w14:textId="77777777">
      <w:pPr>
        <w:spacing w:after="0" w:line="240" w:lineRule="auto"/>
        <w:rPr>
          <w:rFonts w:ascii="Times New Roman" w:hAnsi="Times New Roman"/>
          <w:bCs/>
          <w:sz w:val="26"/>
          <w:szCs w:val="24"/>
        </w:rPr>
      </w:pPr>
    </w:p>
    <w:p w:rsidR="00E11568" w:rsidRPr="00E11568" w:rsidP="00E11568" w14:paraId="0BE11BAD" w14:textId="77777777">
      <w:pPr>
        <w:spacing w:after="0" w:line="240" w:lineRule="auto"/>
        <w:rPr>
          <w:rFonts w:ascii="Times New Roman" w:hAnsi="Times New Roman"/>
          <w:bCs/>
          <w:sz w:val="26"/>
          <w:szCs w:val="24"/>
        </w:rPr>
      </w:pPr>
      <w:r w:rsidRPr="00E11568">
        <w:rPr>
          <w:rFonts w:ascii="Times New Roman" w:hAnsi="Times New Roman"/>
          <w:bCs/>
          <w:sz w:val="26"/>
          <w:szCs w:val="24"/>
        </w:rPr>
        <w:t>The regulation at 18 CFR 12.65(c) requires the auditor(s) or peer review team to document their findings in a report.  The report must be reviewed by:</w:t>
      </w:r>
    </w:p>
    <w:p w:rsidR="00E11568" w:rsidRPr="00E11568" w:rsidP="00E11568" w14:paraId="55EF62CF" w14:textId="77777777">
      <w:pPr>
        <w:spacing w:after="0" w:line="240" w:lineRule="auto"/>
        <w:rPr>
          <w:rFonts w:ascii="Times New Roman" w:hAnsi="Times New Roman"/>
          <w:bCs/>
          <w:sz w:val="26"/>
          <w:szCs w:val="24"/>
        </w:rPr>
      </w:pPr>
    </w:p>
    <w:p w:rsidR="00E11568" w:rsidRPr="00E11568" w:rsidP="00E11568" w14:paraId="5BAE8A6C" w14:textId="77777777">
      <w:pPr>
        <w:numPr>
          <w:ilvl w:val="0"/>
          <w:numId w:val="9"/>
        </w:numPr>
        <w:spacing w:after="0" w:line="240" w:lineRule="auto"/>
        <w:contextualSpacing/>
        <w:rPr>
          <w:rFonts w:ascii="Times New Roman" w:hAnsi="Times New Roman"/>
          <w:bCs/>
          <w:sz w:val="26"/>
          <w:szCs w:val="24"/>
        </w:rPr>
      </w:pPr>
      <w:r w:rsidRPr="00E11568">
        <w:rPr>
          <w:rFonts w:ascii="Times New Roman" w:hAnsi="Times New Roman"/>
          <w:bCs/>
          <w:sz w:val="26"/>
          <w:szCs w:val="24"/>
        </w:rPr>
        <w:t>The project’s owner,</w:t>
      </w:r>
    </w:p>
    <w:p w:rsidR="00E11568" w:rsidRPr="00E11568" w:rsidP="00E11568" w14:paraId="5201284D" w14:textId="77777777">
      <w:pPr>
        <w:numPr>
          <w:ilvl w:val="0"/>
          <w:numId w:val="9"/>
        </w:numPr>
        <w:spacing w:after="0" w:line="240" w:lineRule="auto"/>
        <w:contextualSpacing/>
        <w:rPr>
          <w:rFonts w:ascii="Times New Roman" w:hAnsi="Times New Roman"/>
          <w:bCs/>
          <w:sz w:val="26"/>
          <w:szCs w:val="24"/>
        </w:rPr>
      </w:pPr>
      <w:r w:rsidRPr="00E11568">
        <w:rPr>
          <w:rFonts w:ascii="Times New Roman" w:hAnsi="Times New Roman"/>
          <w:bCs/>
          <w:sz w:val="26"/>
          <w:szCs w:val="24"/>
        </w:rPr>
        <w:t>The Chief Dam Safety Engineer or Chief Dam Safety Coordinator, and</w:t>
      </w:r>
    </w:p>
    <w:p w:rsidR="00E11568" w:rsidRPr="00E11568" w:rsidP="00E11568" w14:paraId="1173EE5D" w14:textId="77777777">
      <w:pPr>
        <w:numPr>
          <w:ilvl w:val="0"/>
          <w:numId w:val="9"/>
        </w:numPr>
        <w:spacing w:after="0" w:line="240" w:lineRule="auto"/>
        <w:contextualSpacing/>
        <w:rPr>
          <w:rFonts w:ascii="Times New Roman" w:hAnsi="Times New Roman"/>
          <w:bCs/>
          <w:sz w:val="26"/>
          <w:szCs w:val="24"/>
        </w:rPr>
      </w:pPr>
      <w:r w:rsidRPr="00E11568">
        <w:rPr>
          <w:rFonts w:ascii="Times New Roman" w:hAnsi="Times New Roman"/>
          <w:bCs/>
          <w:sz w:val="26"/>
          <w:szCs w:val="24"/>
        </w:rPr>
        <w:t>Management having responsibility in the area(s) audited or reviewed.</w:t>
      </w:r>
    </w:p>
    <w:p w:rsidR="00E11568" w:rsidRPr="00E11568" w:rsidP="00E11568" w14:paraId="278C17D7" w14:textId="77777777">
      <w:pPr>
        <w:spacing w:after="0" w:line="240" w:lineRule="auto"/>
        <w:rPr>
          <w:rFonts w:ascii="Times New Roman" w:hAnsi="Times New Roman"/>
          <w:bCs/>
          <w:sz w:val="26"/>
          <w:szCs w:val="24"/>
        </w:rPr>
      </w:pPr>
    </w:p>
    <w:p w:rsidR="00E11568" w:rsidP="00E11568" w14:paraId="47351E0E" w14:textId="376560D3">
      <w:pPr>
        <w:spacing w:after="0" w:line="240" w:lineRule="auto"/>
        <w:rPr>
          <w:rFonts w:ascii="Times New Roman" w:hAnsi="Times New Roman"/>
          <w:sz w:val="26"/>
          <w:szCs w:val="24"/>
        </w:rPr>
      </w:pPr>
      <w:r w:rsidRPr="00E11568">
        <w:rPr>
          <w:rFonts w:ascii="Times New Roman" w:hAnsi="Times New Roman"/>
          <w:bCs/>
          <w:sz w:val="26"/>
          <w:szCs w:val="24"/>
        </w:rPr>
        <w:t>Subsequently, the report on the audit or peer review must</w:t>
      </w:r>
      <w:r w:rsidRPr="00E11568">
        <w:rPr>
          <w:rFonts w:ascii="Times New Roman" w:hAnsi="Times New Roman"/>
          <w:sz w:val="26"/>
          <w:szCs w:val="24"/>
        </w:rPr>
        <w:t xml:space="preserve"> be submitted to the Regional Engineer.  </w:t>
      </w:r>
    </w:p>
    <w:p w:rsidR="00E11568" w:rsidRPr="00E11568" w:rsidP="00E11568" w14:paraId="0A89EBB5" w14:textId="77777777">
      <w:pPr>
        <w:spacing w:after="0" w:line="240" w:lineRule="auto"/>
        <w:rPr>
          <w:rFonts w:ascii="Times New Roman" w:hAnsi="Times New Roman"/>
          <w:sz w:val="26"/>
          <w:szCs w:val="24"/>
        </w:rPr>
      </w:pPr>
    </w:p>
    <w:p w:rsidR="00E11568" w:rsidRPr="00E11568" w:rsidP="00E11568" w14:paraId="5BCEE762" w14:textId="77777777">
      <w:pPr>
        <w:tabs>
          <w:tab w:val="center" w:pos="4635"/>
        </w:tabs>
        <w:spacing w:after="0" w:line="240" w:lineRule="auto"/>
        <w:rPr>
          <w:rFonts w:ascii="Times New Roman" w:hAnsi="Times New Roman"/>
          <w:i/>
          <w:iCs/>
          <w:sz w:val="26"/>
          <w:szCs w:val="24"/>
        </w:rPr>
      </w:pPr>
      <w:r w:rsidRPr="00E11568">
        <w:rPr>
          <w:rFonts w:ascii="Times New Roman" w:hAnsi="Times New Roman"/>
          <w:i/>
          <w:iCs/>
          <w:sz w:val="26"/>
          <w:szCs w:val="24"/>
        </w:rPr>
        <w:t>ODSP Request for Extension of Time</w:t>
      </w:r>
      <w:r w:rsidRPr="00E11568">
        <w:rPr>
          <w:rFonts w:ascii="Times New Roman" w:hAnsi="Times New Roman"/>
          <w:i/>
          <w:iCs/>
          <w:sz w:val="26"/>
          <w:szCs w:val="24"/>
        </w:rPr>
        <w:tab/>
      </w:r>
    </w:p>
    <w:p w:rsidR="00E11568" w:rsidRPr="00E11568" w:rsidP="00E11568" w14:paraId="2B8F94D0" w14:textId="77777777">
      <w:pPr>
        <w:spacing w:after="0" w:line="240" w:lineRule="auto"/>
        <w:rPr>
          <w:rFonts w:ascii="Times New Roman" w:hAnsi="Times New Roman"/>
          <w:b/>
          <w:bCs/>
          <w:sz w:val="26"/>
          <w:szCs w:val="24"/>
        </w:rPr>
      </w:pPr>
    </w:p>
    <w:p w:rsidR="00E11568" w:rsidRPr="00E11568" w:rsidP="00E11568" w14:paraId="3E4CACDB" w14:textId="77777777">
      <w:pPr>
        <w:spacing w:after="0" w:line="240" w:lineRule="auto"/>
        <w:rPr>
          <w:rFonts w:ascii="Times New Roman" w:hAnsi="Times New Roman"/>
          <w:sz w:val="26"/>
          <w:szCs w:val="24"/>
        </w:rPr>
      </w:pPr>
      <w:r w:rsidRPr="00E11568">
        <w:rPr>
          <w:rFonts w:ascii="Times New Roman" w:hAnsi="Times New Roman"/>
          <w:sz w:val="26"/>
          <w:szCs w:val="24"/>
        </w:rPr>
        <w:t>Typically, the Commission’s letters to licensees pertaining to ODSPs and ODSP audits require submittal of a plan and schedule or report within a set period of time (e.g., provide a plan and schedule within 30 days from the date of this letter).  Although neither the ODSP regulations nor any of the existing ODSP guidance documents expressly contemplate extension of time requests, there are times when a licensee cannot meet that schedule and therefore files a letter with Commission staff requesting an extension of time to complete ODSP-related tasks.</w:t>
      </w:r>
    </w:p>
    <w:p w:rsidR="0043218B" w:rsidRPr="003F6159" w:rsidP="00D66998" w14:paraId="2B85E7FE" w14:textId="77777777">
      <w:pPr>
        <w:spacing w:after="0" w:line="240" w:lineRule="auto"/>
        <w:rPr>
          <w:rFonts w:ascii="Times New Roman" w:hAnsi="Times New Roman"/>
          <w:b/>
          <w:sz w:val="26"/>
          <w:szCs w:val="24"/>
        </w:rPr>
      </w:pPr>
    </w:p>
    <w:p w:rsidR="003F3213" w:rsidRPr="003F6159" w:rsidP="00D66998" w14:paraId="2041BE37" w14:textId="62A9EA14">
      <w:pPr>
        <w:spacing w:after="0" w:line="240" w:lineRule="auto"/>
        <w:rPr>
          <w:rFonts w:ascii="Times New Roman" w:hAnsi="Times New Roman"/>
          <w:sz w:val="26"/>
          <w:szCs w:val="24"/>
        </w:rPr>
      </w:pPr>
      <w:r w:rsidRPr="003F6159">
        <w:rPr>
          <w:rFonts w:ascii="Times New Roman" w:hAnsi="Times New Roman"/>
          <w:b/>
          <w:sz w:val="26"/>
          <w:szCs w:val="24"/>
        </w:rPr>
        <w:t>3.</w:t>
      </w:r>
      <w:r w:rsidRPr="003F6159">
        <w:rPr>
          <w:rFonts w:ascii="Times New Roman" w:hAnsi="Times New Roman"/>
          <w:b/>
          <w:sz w:val="26"/>
          <w:szCs w:val="24"/>
        </w:rPr>
        <w:tab/>
      </w:r>
      <w:r w:rsidRPr="003F6159" w:rsidR="00032CD7">
        <w:rPr>
          <w:rFonts w:ascii="Times New Roman" w:hAnsi="Times New Roman"/>
          <w:b/>
          <w:sz w:val="26"/>
          <w:szCs w:val="24"/>
        </w:rPr>
        <w:t>D</w:t>
      </w:r>
      <w:r w:rsidRPr="003F6159" w:rsidR="00A54559">
        <w:rPr>
          <w:rFonts w:ascii="Times New Roman" w:hAnsi="Times New Roman"/>
          <w:b/>
          <w:sz w:val="26"/>
          <w:szCs w:val="24"/>
        </w:rPr>
        <w:t>ESCRIBE ANY CONSIDERATION OF THE USE OF IMPROVED INFORMATION TECHNOLOGY TO REDUCE THE BURDEN AND TECHNICAL OR LEGAL OBSTACLES TO REDUCING BURDEN</w:t>
      </w:r>
    </w:p>
    <w:p w:rsidR="003F3213" w:rsidRPr="003F6159" w14:paraId="152AFD4E" w14:textId="77777777">
      <w:pPr>
        <w:spacing w:after="0" w:line="240" w:lineRule="auto"/>
        <w:ind w:left="360" w:hanging="360"/>
        <w:rPr>
          <w:rFonts w:ascii="Times New Roman" w:hAnsi="Times New Roman"/>
          <w:sz w:val="26"/>
          <w:szCs w:val="24"/>
        </w:rPr>
      </w:pPr>
    </w:p>
    <w:p w:rsidR="00D66998" w:rsidRPr="003F6159" w:rsidP="00D66998" w14:paraId="7E15749D" w14:textId="3FC62356">
      <w:pPr>
        <w:spacing w:after="0" w:line="240" w:lineRule="auto"/>
        <w:rPr>
          <w:rFonts w:ascii="Times New Roman" w:hAnsi="Times New Roman"/>
          <w:sz w:val="26"/>
          <w:szCs w:val="24"/>
        </w:rPr>
      </w:pPr>
      <w:r w:rsidRPr="003F6159">
        <w:rPr>
          <w:rFonts w:ascii="Times New Roman" w:hAnsi="Times New Roman"/>
          <w:sz w:val="26"/>
          <w:szCs w:val="24"/>
        </w:rPr>
        <w:t xml:space="preserve">The Commission continually considers the use of improved information technology to reduce burden in the filing requirements for submission of information.  All the information that is reported to the Commission in this collection may be submitted electronically, through the Commission’s </w:t>
      </w:r>
      <w:r w:rsidRPr="003F6159">
        <w:rPr>
          <w:rFonts w:ascii="Times New Roman" w:hAnsi="Times New Roman"/>
          <w:sz w:val="26"/>
          <w:szCs w:val="24"/>
        </w:rPr>
        <w:t>eFiling</w:t>
      </w:r>
      <w:r w:rsidRPr="003F6159">
        <w:rPr>
          <w:rFonts w:ascii="Times New Roman" w:hAnsi="Times New Roman"/>
          <w:sz w:val="26"/>
          <w:szCs w:val="24"/>
        </w:rPr>
        <w:t xml:space="preserve"> system (as described at http://www.ferc.gov/docs-filing/efiling.asp).  </w:t>
      </w:r>
      <w:r w:rsidR="00043CAC">
        <w:rPr>
          <w:rFonts w:ascii="Times New Roman" w:hAnsi="Times New Roman"/>
          <w:sz w:val="26"/>
          <w:szCs w:val="24"/>
        </w:rPr>
        <w:t xml:space="preserve"> </w:t>
      </w:r>
      <w:r w:rsidR="00EA21EC">
        <w:rPr>
          <w:rFonts w:ascii="Times New Roman" w:hAnsi="Times New Roman"/>
          <w:sz w:val="26"/>
          <w:szCs w:val="24"/>
        </w:rPr>
        <w:t xml:space="preserve">In addition, the regulation at 18 CFR </w:t>
      </w:r>
      <w:r w:rsidRPr="003F6159" w:rsidR="00EA21EC">
        <w:rPr>
          <w:rFonts w:ascii="Times New Roman" w:hAnsi="Times New Roman"/>
          <w:sz w:val="26"/>
          <w:szCs w:val="24"/>
        </w:rPr>
        <w:t>12.10(a) requires an oral report to the Regional Engineer by telephone of any condition affecting the safety of a project or projects works, “as soon as practicable after that condition is discovered.”</w:t>
      </w:r>
      <w:r w:rsidR="00043CAC">
        <w:rPr>
          <w:rFonts w:ascii="Times New Roman" w:hAnsi="Times New Roman"/>
          <w:sz w:val="26"/>
          <w:szCs w:val="24"/>
        </w:rPr>
        <w:t xml:space="preserve"> </w:t>
      </w:r>
    </w:p>
    <w:p w:rsidR="00D66998" w:rsidRPr="003F6159" w:rsidP="00D66998" w14:paraId="03A8DEC5" w14:textId="77777777">
      <w:pPr>
        <w:spacing w:after="0" w:line="240" w:lineRule="auto"/>
        <w:rPr>
          <w:rFonts w:ascii="Times New Roman" w:hAnsi="Times New Roman"/>
          <w:sz w:val="26"/>
          <w:szCs w:val="24"/>
        </w:rPr>
      </w:pPr>
    </w:p>
    <w:p w:rsidR="003F3213" w:rsidRPr="003F6159" w:rsidP="00D66998" w14:paraId="4406E8B3" w14:textId="32445CCC">
      <w:pPr>
        <w:spacing w:after="0" w:line="240" w:lineRule="auto"/>
        <w:rPr>
          <w:rFonts w:ascii="Times New Roman" w:hAnsi="Times New Roman"/>
          <w:sz w:val="26"/>
          <w:szCs w:val="24"/>
        </w:rPr>
      </w:pPr>
      <w:r w:rsidRPr="003F6159">
        <w:rPr>
          <w:rFonts w:ascii="Times New Roman" w:hAnsi="Times New Roman"/>
          <w:b/>
          <w:sz w:val="26"/>
          <w:szCs w:val="24"/>
        </w:rPr>
        <w:t>4.</w:t>
      </w:r>
      <w:r w:rsidRPr="003F6159">
        <w:rPr>
          <w:rFonts w:ascii="Times New Roman" w:hAnsi="Times New Roman"/>
          <w:b/>
          <w:sz w:val="26"/>
          <w:szCs w:val="24"/>
        </w:rPr>
        <w:tab/>
      </w:r>
      <w:r w:rsidRPr="003F6159" w:rsidR="00A54559">
        <w:rPr>
          <w:rFonts w:ascii="Times New Roman" w:hAnsi="Times New Roman"/>
          <w:b/>
          <w:sz w:val="26"/>
          <w:szCs w:val="24"/>
        </w:rPr>
        <w:t>DESCRIBE EFFORTS TO IDENTIFY DUPLICATION AND SHOW SPECIFICALLY WHY ANY SIMILAR INFORMATION ALREADY AVAILABLE CANNOT BE USED OR MODIFIED FOR USE FOR THE PURPOSE(S) DESCRIBED IN INSTRUCTION NO. 2</w:t>
      </w:r>
    </w:p>
    <w:p w:rsidR="003F3213" w:rsidRPr="003F6159" w14:paraId="581A06FF" w14:textId="77777777">
      <w:pPr>
        <w:spacing w:after="0" w:line="240" w:lineRule="auto"/>
        <w:ind w:left="360" w:hanging="360"/>
        <w:rPr>
          <w:rFonts w:ascii="Times New Roman" w:hAnsi="Times New Roman"/>
          <w:sz w:val="26"/>
          <w:szCs w:val="24"/>
        </w:rPr>
      </w:pPr>
    </w:p>
    <w:p w:rsidR="00D66998" w:rsidRPr="003F6159" w:rsidP="00D66998" w14:paraId="7A894079" w14:textId="7DB26059">
      <w:pPr>
        <w:spacing w:after="0" w:line="240" w:lineRule="auto"/>
        <w:rPr>
          <w:rFonts w:ascii="Times New Roman" w:hAnsi="Times New Roman"/>
          <w:sz w:val="26"/>
          <w:szCs w:val="24"/>
        </w:rPr>
      </w:pPr>
      <w:r w:rsidRPr="003F6159">
        <w:rPr>
          <w:rFonts w:ascii="Times New Roman" w:hAnsi="Times New Roman"/>
          <w:sz w:val="26"/>
          <w:szCs w:val="24"/>
        </w:rPr>
        <w:t xml:space="preserve">The Commission periodically reviews filing requirements concurrently with OMB review or as the Commission deems necessary to eliminate duplicative filing and to </w:t>
      </w:r>
      <w:r w:rsidRPr="003F6159">
        <w:rPr>
          <w:rFonts w:ascii="Times New Roman" w:hAnsi="Times New Roman"/>
          <w:sz w:val="26"/>
          <w:szCs w:val="24"/>
        </w:rPr>
        <w:t xml:space="preserve">minimize the filing burden.  No similar information is available to satisfy the requirements of the </w:t>
      </w:r>
      <w:r w:rsidRPr="003F6159" w:rsidR="003E26B0">
        <w:rPr>
          <w:rFonts w:ascii="Times New Roman" w:hAnsi="Times New Roman"/>
          <w:sz w:val="26"/>
          <w:szCs w:val="24"/>
        </w:rPr>
        <w:t>final rule</w:t>
      </w:r>
      <w:r w:rsidRPr="003F6159">
        <w:rPr>
          <w:rFonts w:ascii="Times New Roman" w:hAnsi="Times New Roman"/>
          <w:sz w:val="26"/>
          <w:szCs w:val="24"/>
        </w:rPr>
        <w:t xml:space="preserve"> or the Engineering Guidelines.</w:t>
      </w:r>
    </w:p>
    <w:p w:rsidR="00D66998" w:rsidRPr="003F6159" w:rsidP="00D66998" w14:paraId="0B51C500" w14:textId="77777777">
      <w:pPr>
        <w:spacing w:after="0" w:line="240" w:lineRule="auto"/>
        <w:rPr>
          <w:rFonts w:ascii="Times New Roman" w:hAnsi="Times New Roman"/>
          <w:sz w:val="26"/>
          <w:szCs w:val="24"/>
        </w:rPr>
      </w:pPr>
    </w:p>
    <w:p w:rsidR="003F3213" w:rsidRPr="003F6159" w:rsidP="00D66998" w14:paraId="2F1A4515" w14:textId="10FEDDF5">
      <w:pPr>
        <w:spacing w:after="0" w:line="240" w:lineRule="auto"/>
        <w:rPr>
          <w:rFonts w:ascii="Times New Roman" w:hAnsi="Times New Roman"/>
          <w:sz w:val="26"/>
          <w:szCs w:val="24"/>
        </w:rPr>
      </w:pPr>
      <w:r w:rsidRPr="003F6159">
        <w:rPr>
          <w:rFonts w:ascii="Times New Roman" w:hAnsi="Times New Roman"/>
          <w:b/>
          <w:sz w:val="26"/>
          <w:szCs w:val="24"/>
        </w:rPr>
        <w:t>5.</w:t>
      </w:r>
      <w:r w:rsidRPr="003F6159">
        <w:rPr>
          <w:rFonts w:ascii="Times New Roman" w:hAnsi="Times New Roman"/>
          <w:b/>
          <w:sz w:val="26"/>
          <w:szCs w:val="24"/>
        </w:rPr>
        <w:tab/>
      </w:r>
      <w:r w:rsidRPr="003F6159" w:rsidR="00A54559">
        <w:rPr>
          <w:rFonts w:ascii="Times New Roman" w:hAnsi="Times New Roman"/>
          <w:b/>
          <w:sz w:val="26"/>
          <w:szCs w:val="24"/>
        </w:rPr>
        <w:t>METHODS USED TO MINIMIZE THE BURDEN IN COLLECTION OF INFORMATION INVOLVING SMALL ENTITIES</w:t>
      </w:r>
    </w:p>
    <w:p w:rsidR="003F3213" w:rsidRPr="003F6159" w14:paraId="1DD9012F" w14:textId="77777777">
      <w:pPr>
        <w:spacing w:after="0" w:line="240" w:lineRule="auto"/>
        <w:rPr>
          <w:rFonts w:ascii="Times New Roman" w:eastAsia="Times New Roman" w:hAnsi="Times New Roman"/>
          <w:sz w:val="26"/>
          <w:szCs w:val="24"/>
        </w:rPr>
      </w:pPr>
    </w:p>
    <w:p w:rsidR="00D66998" w:rsidRPr="003F6159" w:rsidP="00D66998" w14:paraId="175F5CB6" w14:textId="689B1122">
      <w:pPr>
        <w:spacing w:after="0" w:line="240" w:lineRule="auto"/>
        <w:rPr>
          <w:rFonts w:ascii="Times New Roman" w:hAnsi="Times New Roman"/>
          <w:sz w:val="26"/>
          <w:szCs w:val="24"/>
        </w:rPr>
      </w:pPr>
      <w:r w:rsidRPr="003F6159">
        <w:rPr>
          <w:rFonts w:ascii="Times New Roman" w:hAnsi="Times New Roman"/>
          <w:sz w:val="26"/>
          <w:szCs w:val="24"/>
        </w:rPr>
        <w:t xml:space="preserve">The Commission recognizes that small entities, for the most part, have smaller and generally less complex projects than other entities.  These projects do not take the same effort and resources as larger, more complex projects.  Recognizing this, the </w:t>
      </w:r>
      <w:r w:rsidRPr="003F6159" w:rsidR="004426D6">
        <w:rPr>
          <w:rFonts w:ascii="Times New Roman" w:hAnsi="Times New Roman"/>
          <w:sz w:val="26"/>
          <w:szCs w:val="24"/>
        </w:rPr>
        <w:t xml:space="preserve">final rule </w:t>
      </w:r>
      <w:r w:rsidRPr="003F6159">
        <w:rPr>
          <w:rFonts w:ascii="Times New Roman" w:hAnsi="Times New Roman"/>
          <w:sz w:val="26"/>
          <w:szCs w:val="24"/>
        </w:rPr>
        <w:t>and Engineering Guidelines incorporate a site-specific approach to developing a proposed team to conduct the Independent Consultant Inspection.  The estimated burden and costs for these efforts (distinguishing between “Simple” and “Complex” categories of hydroelectric facilities) are reflected in the estimated costs provided in the sections below.</w:t>
      </w:r>
    </w:p>
    <w:p w:rsidR="00D66998" w:rsidRPr="003F6159" w:rsidP="00D66998" w14:paraId="0AE6E728" w14:textId="77777777">
      <w:pPr>
        <w:spacing w:after="0" w:line="240" w:lineRule="auto"/>
        <w:rPr>
          <w:rFonts w:ascii="Times New Roman" w:hAnsi="Times New Roman"/>
          <w:sz w:val="26"/>
          <w:szCs w:val="24"/>
        </w:rPr>
      </w:pPr>
    </w:p>
    <w:p w:rsidR="003F3213" w:rsidRPr="003F6159" w:rsidP="00D66998" w14:paraId="12606495" w14:textId="02E94D65">
      <w:pPr>
        <w:spacing w:after="0" w:line="240" w:lineRule="auto"/>
        <w:rPr>
          <w:rFonts w:ascii="Times New Roman" w:hAnsi="Times New Roman"/>
          <w:sz w:val="26"/>
          <w:szCs w:val="24"/>
        </w:rPr>
      </w:pPr>
      <w:r w:rsidRPr="003F6159">
        <w:rPr>
          <w:rFonts w:ascii="Times New Roman" w:hAnsi="Times New Roman"/>
          <w:b/>
          <w:sz w:val="26"/>
          <w:szCs w:val="24"/>
        </w:rPr>
        <w:t>6.</w:t>
      </w:r>
      <w:r w:rsidRPr="003F6159">
        <w:rPr>
          <w:rFonts w:ascii="Times New Roman" w:hAnsi="Times New Roman"/>
          <w:b/>
          <w:sz w:val="26"/>
          <w:szCs w:val="24"/>
        </w:rPr>
        <w:tab/>
      </w:r>
      <w:r w:rsidRPr="003F6159" w:rsidR="00A54559">
        <w:rPr>
          <w:rFonts w:ascii="Times New Roman" w:hAnsi="Times New Roman"/>
          <w:b/>
          <w:sz w:val="26"/>
          <w:szCs w:val="24"/>
        </w:rPr>
        <w:t>CONSEQUENCE TO FEDERAL PROGRAM IF COLLECTION WERE CONDUCTED LESS FREQUENTLY</w:t>
      </w:r>
    </w:p>
    <w:p w:rsidR="003F3213" w:rsidRPr="003F6159" w14:paraId="16FF6965" w14:textId="77777777">
      <w:pPr>
        <w:spacing w:after="0" w:line="240" w:lineRule="auto"/>
        <w:rPr>
          <w:rFonts w:ascii="Times New Roman" w:hAnsi="Times New Roman"/>
          <w:sz w:val="26"/>
          <w:szCs w:val="24"/>
        </w:rPr>
      </w:pPr>
    </w:p>
    <w:p w:rsidR="003F3213" w:rsidRPr="003F6159" w14:paraId="5F7B032F" w14:textId="0F188653">
      <w:pPr>
        <w:spacing w:after="0" w:line="240" w:lineRule="auto"/>
        <w:rPr>
          <w:rFonts w:ascii="Times New Roman" w:hAnsi="Times New Roman"/>
          <w:sz w:val="26"/>
          <w:szCs w:val="24"/>
        </w:rPr>
      </w:pPr>
      <w:r w:rsidRPr="003F6159">
        <w:rPr>
          <w:rFonts w:ascii="Times New Roman" w:hAnsi="Times New Roman"/>
          <w:sz w:val="26"/>
          <w:szCs w:val="24"/>
        </w:rPr>
        <w:t>Collection of the information on a less frequent basis would increase the interval between reporting periods that could lead to an increase in the frequency of dam safety incidents and failures.  The Federal Emergency Management Agency</w:t>
      </w:r>
      <w:r w:rsidRPr="003F6159" w:rsidR="005546DA">
        <w:rPr>
          <w:rFonts w:ascii="Times New Roman" w:hAnsi="Times New Roman"/>
          <w:sz w:val="26"/>
          <w:szCs w:val="24"/>
        </w:rPr>
        <w:t>’s</w:t>
      </w:r>
      <w:r w:rsidRPr="003F6159">
        <w:rPr>
          <w:rFonts w:ascii="Times New Roman" w:hAnsi="Times New Roman"/>
          <w:sz w:val="26"/>
          <w:szCs w:val="24"/>
        </w:rPr>
        <w:t xml:space="preserve"> (FEMA) Federal Guidelines for Dam Safety</w:t>
      </w:r>
      <w:r>
        <w:rPr>
          <w:rStyle w:val="FootnoteReference"/>
          <w:rFonts w:ascii="Times New Roman" w:hAnsi="Times New Roman"/>
          <w:sz w:val="26"/>
          <w:szCs w:val="24"/>
          <w:vertAlign w:val="superscript"/>
        </w:rPr>
        <w:footnoteReference w:id="9"/>
      </w:r>
      <w:r w:rsidRPr="003F6159">
        <w:rPr>
          <w:rFonts w:ascii="Times New Roman" w:hAnsi="Times New Roman"/>
          <w:sz w:val="26"/>
          <w:szCs w:val="24"/>
        </w:rPr>
        <w:t xml:space="preserve"> recommend a minimum frequency not to exceed five years for </w:t>
      </w:r>
      <w:r w:rsidRPr="003F6159" w:rsidR="00506FE5">
        <w:rPr>
          <w:rFonts w:ascii="Times New Roman" w:hAnsi="Times New Roman"/>
          <w:sz w:val="26"/>
          <w:szCs w:val="24"/>
        </w:rPr>
        <w:t xml:space="preserve">formal dam safety inspections.  A </w:t>
      </w:r>
      <w:r w:rsidRPr="003F6159">
        <w:rPr>
          <w:rFonts w:ascii="Times New Roman" w:hAnsi="Times New Roman"/>
          <w:sz w:val="26"/>
          <w:szCs w:val="24"/>
        </w:rPr>
        <w:t xml:space="preserve">periodic </w:t>
      </w:r>
      <w:r w:rsidRPr="003F6159" w:rsidR="009C05AF">
        <w:rPr>
          <w:rFonts w:ascii="Times New Roman" w:hAnsi="Times New Roman"/>
          <w:sz w:val="26"/>
          <w:szCs w:val="24"/>
        </w:rPr>
        <w:t>inspection</w:t>
      </w:r>
      <w:r w:rsidRPr="003F6159">
        <w:rPr>
          <w:rFonts w:ascii="Times New Roman" w:hAnsi="Times New Roman"/>
          <w:sz w:val="26"/>
          <w:szCs w:val="24"/>
        </w:rPr>
        <w:t xml:space="preserve"> and comprehensive assessment</w:t>
      </w:r>
      <w:r w:rsidRPr="003F6159" w:rsidR="00506FE5">
        <w:rPr>
          <w:rFonts w:ascii="Times New Roman" w:hAnsi="Times New Roman"/>
          <w:sz w:val="26"/>
          <w:szCs w:val="24"/>
        </w:rPr>
        <w:t xml:space="preserve"> both meet the FEMA definition of a formal inspection</w:t>
      </w:r>
      <w:r w:rsidRPr="003F6159">
        <w:rPr>
          <w:rFonts w:ascii="Times New Roman" w:hAnsi="Times New Roman"/>
          <w:sz w:val="26"/>
          <w:szCs w:val="24"/>
        </w:rPr>
        <w:t xml:space="preserve">.  That information was used in developing the frequency of inspections and reviews for reporting, as </w:t>
      </w:r>
      <w:r w:rsidRPr="003F6159" w:rsidR="00604EE9">
        <w:rPr>
          <w:rFonts w:ascii="Times New Roman" w:hAnsi="Times New Roman"/>
          <w:sz w:val="26"/>
          <w:szCs w:val="24"/>
        </w:rPr>
        <w:t xml:space="preserve">provided in the final rule </w:t>
      </w:r>
      <w:r w:rsidRPr="003F6159">
        <w:rPr>
          <w:rFonts w:ascii="Times New Roman" w:hAnsi="Times New Roman"/>
          <w:sz w:val="26"/>
          <w:szCs w:val="24"/>
        </w:rPr>
        <w:t xml:space="preserve">and in the Engineering Guidelines. </w:t>
      </w:r>
    </w:p>
    <w:p w:rsidR="003F3213" w:rsidRPr="003F6159" w14:paraId="0D360475" w14:textId="77777777">
      <w:pPr>
        <w:spacing w:after="0" w:line="240" w:lineRule="auto"/>
        <w:rPr>
          <w:rFonts w:ascii="Times New Roman" w:hAnsi="Times New Roman"/>
          <w:sz w:val="26"/>
          <w:szCs w:val="24"/>
        </w:rPr>
      </w:pPr>
    </w:p>
    <w:p w:rsidR="00026BAE" w:rsidRPr="003F6159" w:rsidP="00026BAE" w14:paraId="1F21EE5C" w14:textId="77777777">
      <w:pPr>
        <w:spacing w:after="0" w:line="240" w:lineRule="auto"/>
        <w:rPr>
          <w:rFonts w:ascii="Times New Roman" w:hAnsi="Times New Roman"/>
          <w:sz w:val="26"/>
          <w:szCs w:val="24"/>
        </w:rPr>
      </w:pPr>
      <w:r w:rsidRPr="003F6159">
        <w:rPr>
          <w:rFonts w:ascii="Times New Roman" w:hAnsi="Times New Roman"/>
          <w:sz w:val="26"/>
          <w:szCs w:val="24"/>
        </w:rPr>
        <w:t>If the information were not collected, the Commission would not be able to fulfill the requirements of the FPA in ensuring that a project is being maintained in a condition of repair adequate for the purposes of navigation and for the efficient operation of said works in the development and transmission of power, and is in conformance with rules and regulations established by the Commission for the protection of life, health, and property.</w:t>
      </w:r>
    </w:p>
    <w:p w:rsidR="00026BAE" w:rsidRPr="003F6159" w:rsidP="00026BAE" w14:paraId="7AF03FB2" w14:textId="77777777">
      <w:pPr>
        <w:spacing w:after="0" w:line="240" w:lineRule="auto"/>
        <w:rPr>
          <w:rFonts w:ascii="Times New Roman" w:hAnsi="Times New Roman"/>
          <w:sz w:val="26"/>
          <w:szCs w:val="24"/>
        </w:rPr>
      </w:pPr>
    </w:p>
    <w:p w:rsidR="003F3213" w:rsidRPr="003F6159" w:rsidP="00026BAE" w14:paraId="56E3AE5C" w14:textId="1AEFC1F3">
      <w:pPr>
        <w:spacing w:after="0" w:line="240" w:lineRule="auto"/>
        <w:rPr>
          <w:rFonts w:ascii="Times New Roman" w:hAnsi="Times New Roman"/>
          <w:sz w:val="26"/>
          <w:szCs w:val="24"/>
        </w:rPr>
      </w:pPr>
      <w:r w:rsidRPr="003F6159">
        <w:rPr>
          <w:rFonts w:ascii="Times New Roman" w:hAnsi="Times New Roman"/>
          <w:b/>
          <w:sz w:val="26"/>
          <w:szCs w:val="24"/>
        </w:rPr>
        <w:t>7.</w:t>
      </w:r>
      <w:r w:rsidRPr="003F6159">
        <w:rPr>
          <w:rFonts w:ascii="Times New Roman" w:hAnsi="Times New Roman"/>
          <w:b/>
          <w:sz w:val="26"/>
          <w:szCs w:val="24"/>
        </w:rPr>
        <w:tab/>
      </w:r>
      <w:r w:rsidRPr="003F6159" w:rsidR="00A54559">
        <w:rPr>
          <w:rFonts w:ascii="Times New Roman" w:hAnsi="Times New Roman"/>
          <w:b/>
          <w:sz w:val="26"/>
          <w:szCs w:val="24"/>
        </w:rPr>
        <w:t>EXPLAIN ANY SPECIAL CIRCUMSTANCES RELATING TO THE INFORMATION COLLECTION</w:t>
      </w:r>
    </w:p>
    <w:p w:rsidR="003F3213" w:rsidRPr="003F6159" w14:paraId="77A4E6AC" w14:textId="77777777">
      <w:pPr>
        <w:spacing w:after="0" w:line="240" w:lineRule="auto"/>
        <w:rPr>
          <w:rFonts w:ascii="Times New Roman" w:hAnsi="Times New Roman"/>
          <w:sz w:val="26"/>
          <w:szCs w:val="24"/>
        </w:rPr>
      </w:pPr>
    </w:p>
    <w:p w:rsidR="00026BAE" w:rsidRPr="003F6159" w:rsidP="00026BAE" w14:paraId="5C3BB5DE" w14:textId="77777777">
      <w:pPr>
        <w:spacing w:after="0" w:line="240" w:lineRule="auto"/>
        <w:rPr>
          <w:rFonts w:ascii="Times New Roman" w:hAnsi="Times New Roman"/>
          <w:sz w:val="26"/>
          <w:szCs w:val="24"/>
        </w:rPr>
      </w:pPr>
      <w:r w:rsidRPr="003F6159">
        <w:rPr>
          <w:rFonts w:ascii="Times New Roman" w:hAnsi="Times New Roman"/>
          <w:sz w:val="26"/>
          <w:szCs w:val="24"/>
        </w:rPr>
        <w:t>There are no special circumstances related to these information collections.</w:t>
      </w:r>
    </w:p>
    <w:p w:rsidR="00026BAE" w:rsidRPr="003F6159" w:rsidP="00026BAE" w14:paraId="378CF294" w14:textId="77777777">
      <w:pPr>
        <w:spacing w:after="0" w:line="240" w:lineRule="auto"/>
        <w:rPr>
          <w:rFonts w:ascii="Times New Roman" w:hAnsi="Times New Roman"/>
          <w:sz w:val="26"/>
          <w:szCs w:val="24"/>
        </w:rPr>
      </w:pPr>
    </w:p>
    <w:p w:rsidR="003F3213" w:rsidRPr="003F6159" w:rsidP="00026BAE" w14:paraId="7AB9C612" w14:textId="65E553A0">
      <w:pPr>
        <w:spacing w:after="0" w:line="240" w:lineRule="auto"/>
        <w:rPr>
          <w:rFonts w:ascii="Times New Roman" w:hAnsi="Times New Roman"/>
          <w:sz w:val="26"/>
          <w:szCs w:val="24"/>
        </w:rPr>
      </w:pPr>
      <w:r w:rsidRPr="003F6159">
        <w:rPr>
          <w:rFonts w:ascii="Times New Roman" w:hAnsi="Times New Roman"/>
          <w:b/>
          <w:sz w:val="26"/>
          <w:szCs w:val="24"/>
        </w:rPr>
        <w:t>8.</w:t>
      </w:r>
      <w:r w:rsidRPr="003F6159">
        <w:rPr>
          <w:rFonts w:ascii="Times New Roman" w:hAnsi="Times New Roman"/>
          <w:b/>
          <w:sz w:val="26"/>
          <w:szCs w:val="24"/>
        </w:rPr>
        <w:tab/>
      </w:r>
      <w:r w:rsidRPr="003F6159" w:rsidR="00A54559">
        <w:rPr>
          <w:rFonts w:ascii="Times New Roman" w:hAnsi="Times New Roman"/>
          <w:b/>
          <w:sz w:val="26"/>
          <w:szCs w:val="24"/>
        </w:rPr>
        <w:t>DESCRIBE EFFORTS TO CONSULT OUTSIDE THE AGENCY: SUMMARIZE PUBLIC COMMENTS AND THE AGENCY’S RESPONSE</w:t>
      </w:r>
    </w:p>
    <w:p w:rsidR="005F413E" w:rsidP="00A5513F" w14:paraId="64B7FEC1" w14:textId="77777777">
      <w:pPr>
        <w:autoSpaceDE w:val="0"/>
        <w:autoSpaceDN w:val="0"/>
        <w:adjustRightInd w:val="0"/>
        <w:spacing w:after="0" w:line="240" w:lineRule="auto"/>
        <w:rPr>
          <w:rFonts w:ascii="Times New Roman" w:eastAsia="Times New Roman" w:hAnsi="Times New Roman"/>
          <w:sz w:val="26"/>
          <w:szCs w:val="26"/>
        </w:rPr>
      </w:pPr>
    </w:p>
    <w:p w:rsidR="00A5513F" w:rsidRPr="00A45EC9" w:rsidP="00A5513F" w14:paraId="7122509C" w14:textId="535F1A67">
      <w:pPr>
        <w:autoSpaceDE w:val="0"/>
        <w:autoSpaceDN w:val="0"/>
        <w:adjustRightInd w:val="0"/>
        <w:spacing w:after="0" w:line="240" w:lineRule="auto"/>
        <w:rPr>
          <w:rFonts w:ascii="Times New Roman" w:eastAsia="Times New Roman" w:hAnsi="Times New Roman"/>
          <w:sz w:val="26"/>
          <w:szCs w:val="26"/>
        </w:rPr>
      </w:pPr>
      <w:r w:rsidRPr="00E11CB3">
        <w:rPr>
          <w:rFonts w:ascii="Times New Roman" w:eastAsia="Times New Roman" w:hAnsi="Times New Roman"/>
          <w:sz w:val="26"/>
          <w:szCs w:val="26"/>
        </w:rPr>
        <w:t>The Commission published a 60-day notice</w:t>
      </w:r>
      <w:r>
        <w:rPr>
          <w:rFonts w:ascii="Times New Roman" w:eastAsia="Times New Roman" w:hAnsi="Times New Roman"/>
          <w:sz w:val="26"/>
          <w:szCs w:val="26"/>
          <w:vertAlign w:val="superscript"/>
        </w:rPr>
        <w:footnoteReference w:id="10"/>
      </w:r>
      <w:r w:rsidRPr="00E11CB3">
        <w:rPr>
          <w:rFonts w:ascii="Times New Roman" w:eastAsia="Times New Roman" w:hAnsi="Times New Roman"/>
          <w:sz w:val="26"/>
          <w:szCs w:val="26"/>
          <w:vertAlign w:val="superscript"/>
        </w:rPr>
        <w:t xml:space="preserve"> </w:t>
      </w:r>
      <w:r w:rsidRPr="00E11CB3">
        <w:rPr>
          <w:rFonts w:ascii="Times New Roman" w:eastAsia="Times New Roman" w:hAnsi="Times New Roman"/>
          <w:sz w:val="26"/>
          <w:szCs w:val="26"/>
        </w:rPr>
        <w:t>in the Federal Register requesting comments. No comments were received in response to the 60-day Notice.  In addition, the Commission is publishing a 30-day Notice in the Federal Register</w:t>
      </w:r>
      <w:r>
        <w:rPr>
          <w:rFonts w:ascii="Times New Roman" w:eastAsia="Times New Roman" w:hAnsi="Times New Roman"/>
          <w:b/>
          <w:sz w:val="26"/>
          <w:szCs w:val="26"/>
          <w:vertAlign w:val="superscript"/>
        </w:rPr>
        <w:footnoteReference w:id="11"/>
      </w:r>
      <w:r w:rsidRPr="00A45EC9">
        <w:rPr>
          <w:rFonts w:ascii="Times New Roman" w:eastAsia="Times New Roman" w:hAnsi="Times New Roman"/>
          <w:sz w:val="26"/>
          <w:szCs w:val="26"/>
        </w:rPr>
        <w:t>.</w:t>
      </w:r>
    </w:p>
    <w:p w:rsidR="003F3213" w:rsidRPr="003F6159" w14:paraId="43F0A457" w14:textId="77777777">
      <w:pPr>
        <w:spacing w:after="0" w:line="240" w:lineRule="auto"/>
        <w:rPr>
          <w:rFonts w:ascii="Times New Roman" w:hAnsi="Times New Roman"/>
          <w:sz w:val="26"/>
          <w:szCs w:val="24"/>
        </w:rPr>
      </w:pPr>
    </w:p>
    <w:p w:rsidR="00503F7D" w:rsidRPr="003F6159" w:rsidP="00503F7D" w14:paraId="4F184F3D" w14:textId="77777777">
      <w:pPr>
        <w:spacing w:after="0" w:line="240" w:lineRule="auto"/>
        <w:rPr>
          <w:rFonts w:ascii="Times New Roman" w:hAnsi="Times New Roman"/>
          <w:sz w:val="26"/>
          <w:szCs w:val="24"/>
        </w:rPr>
      </w:pPr>
    </w:p>
    <w:p w:rsidR="003F3213" w:rsidRPr="003F6159" w:rsidP="00503F7D" w14:paraId="0137EAD2" w14:textId="1863FE1D">
      <w:pPr>
        <w:spacing w:after="0" w:line="240" w:lineRule="auto"/>
        <w:rPr>
          <w:rFonts w:ascii="Times New Roman" w:hAnsi="Times New Roman"/>
          <w:sz w:val="26"/>
          <w:szCs w:val="24"/>
        </w:rPr>
      </w:pPr>
      <w:r w:rsidRPr="003F6159">
        <w:rPr>
          <w:rFonts w:ascii="Times New Roman" w:hAnsi="Times New Roman"/>
          <w:b/>
          <w:sz w:val="26"/>
          <w:szCs w:val="24"/>
        </w:rPr>
        <w:t>9.</w:t>
      </w:r>
      <w:r w:rsidRPr="003F6159">
        <w:rPr>
          <w:rFonts w:ascii="Times New Roman" w:hAnsi="Times New Roman"/>
          <w:b/>
          <w:sz w:val="26"/>
          <w:szCs w:val="24"/>
        </w:rPr>
        <w:tab/>
      </w:r>
      <w:r w:rsidRPr="003F6159" w:rsidR="00A54559">
        <w:rPr>
          <w:rFonts w:ascii="Times New Roman" w:hAnsi="Times New Roman"/>
          <w:b/>
          <w:sz w:val="26"/>
          <w:szCs w:val="24"/>
        </w:rPr>
        <w:t>EXPLAIN ANY PAYMENT OR GIFTS TO RESPONDENTS</w:t>
      </w:r>
    </w:p>
    <w:p w:rsidR="003F3213" w:rsidRPr="003F6159" w14:paraId="593834F5" w14:textId="77777777">
      <w:pPr>
        <w:spacing w:after="0" w:line="240" w:lineRule="auto"/>
        <w:rPr>
          <w:rFonts w:ascii="Times New Roman" w:hAnsi="Times New Roman"/>
          <w:sz w:val="26"/>
          <w:szCs w:val="24"/>
        </w:rPr>
      </w:pPr>
    </w:p>
    <w:p w:rsidR="004C0FD7" w:rsidRPr="003F6159" w:rsidP="004C0FD7" w14:paraId="5BF51590" w14:textId="77777777">
      <w:pPr>
        <w:spacing w:after="0" w:line="240" w:lineRule="auto"/>
        <w:rPr>
          <w:rFonts w:ascii="Times New Roman" w:hAnsi="Times New Roman"/>
          <w:sz w:val="26"/>
          <w:szCs w:val="24"/>
        </w:rPr>
      </w:pPr>
      <w:r w:rsidRPr="003F6159">
        <w:rPr>
          <w:rFonts w:ascii="Times New Roman" w:hAnsi="Times New Roman"/>
          <w:sz w:val="26"/>
          <w:szCs w:val="24"/>
        </w:rPr>
        <w:t>There are no payments or gifts to respondents</w:t>
      </w:r>
      <w:r w:rsidRPr="003F6159">
        <w:rPr>
          <w:rFonts w:ascii="Times New Roman" w:hAnsi="Times New Roman"/>
          <w:sz w:val="26"/>
          <w:szCs w:val="24"/>
        </w:rPr>
        <w:t>.</w:t>
      </w:r>
    </w:p>
    <w:p w:rsidR="004C0FD7" w:rsidRPr="003F6159" w:rsidP="004C0FD7" w14:paraId="32390989" w14:textId="5269BF4D">
      <w:pPr>
        <w:spacing w:after="0" w:line="240" w:lineRule="auto"/>
        <w:rPr>
          <w:rFonts w:ascii="Times New Roman" w:hAnsi="Times New Roman"/>
          <w:sz w:val="26"/>
          <w:szCs w:val="24"/>
        </w:rPr>
      </w:pPr>
    </w:p>
    <w:p w:rsidR="00FE723B" w14:paraId="226D2F02" w14:textId="77777777">
      <w:pPr>
        <w:spacing w:after="160" w:line="259" w:lineRule="auto"/>
        <w:rPr>
          <w:rFonts w:ascii="Times New Roman" w:hAnsi="Times New Roman"/>
          <w:b/>
          <w:sz w:val="26"/>
          <w:szCs w:val="24"/>
        </w:rPr>
      </w:pPr>
      <w:r>
        <w:rPr>
          <w:rFonts w:ascii="Times New Roman" w:hAnsi="Times New Roman"/>
          <w:b/>
          <w:sz w:val="26"/>
          <w:szCs w:val="24"/>
        </w:rPr>
        <w:br w:type="page"/>
      </w:r>
    </w:p>
    <w:p w:rsidR="003F3213" w:rsidRPr="003F6159" w:rsidP="004C0FD7" w14:paraId="1EE9201C" w14:textId="12FA2BC0">
      <w:pPr>
        <w:spacing w:after="0" w:line="240" w:lineRule="auto"/>
        <w:rPr>
          <w:rFonts w:ascii="Times New Roman" w:hAnsi="Times New Roman"/>
          <w:sz w:val="26"/>
          <w:szCs w:val="24"/>
        </w:rPr>
      </w:pPr>
      <w:r w:rsidRPr="003F6159">
        <w:rPr>
          <w:rFonts w:ascii="Times New Roman" w:hAnsi="Times New Roman"/>
          <w:b/>
          <w:sz w:val="26"/>
          <w:szCs w:val="24"/>
        </w:rPr>
        <w:t>10.</w:t>
      </w:r>
      <w:r w:rsidRPr="003F6159">
        <w:rPr>
          <w:rFonts w:ascii="Times New Roman" w:hAnsi="Times New Roman"/>
          <w:b/>
          <w:sz w:val="26"/>
          <w:szCs w:val="24"/>
        </w:rPr>
        <w:tab/>
      </w:r>
      <w:r w:rsidRPr="003F6159" w:rsidR="00A54559">
        <w:rPr>
          <w:rFonts w:ascii="Times New Roman" w:hAnsi="Times New Roman"/>
          <w:b/>
          <w:sz w:val="26"/>
          <w:szCs w:val="24"/>
        </w:rPr>
        <w:t>DESCRIBE ANY ASSURANCE OF CONFIDENTIALITY PROVIDED TO RESPONDENTS</w:t>
      </w:r>
    </w:p>
    <w:p w:rsidR="003F3213" w:rsidRPr="003F6159" w14:paraId="70819468" w14:textId="77777777">
      <w:pPr>
        <w:spacing w:after="0" w:line="240" w:lineRule="auto"/>
        <w:rPr>
          <w:rFonts w:ascii="Times New Roman" w:hAnsi="Times New Roman"/>
          <w:sz w:val="26"/>
          <w:szCs w:val="24"/>
        </w:rPr>
      </w:pPr>
    </w:p>
    <w:p w:rsidR="00BE69D8" w:rsidRPr="003F6159" w:rsidP="00BE69D8" w14:paraId="75EA968D" w14:textId="6A9E77E0">
      <w:pPr>
        <w:spacing w:after="0" w:line="240" w:lineRule="auto"/>
        <w:rPr>
          <w:rFonts w:ascii="Times New Roman" w:hAnsi="Times New Roman"/>
          <w:sz w:val="26"/>
          <w:szCs w:val="24"/>
        </w:rPr>
      </w:pPr>
      <w:r w:rsidRPr="003F6159">
        <w:rPr>
          <w:rFonts w:ascii="Times New Roman" w:hAnsi="Times New Roman"/>
          <w:sz w:val="26"/>
          <w:szCs w:val="24"/>
        </w:rPr>
        <w:t>The Commission generally does not consider the data to be confidential.  However, certain actions have confidentiality provisions which prevent the disclosure of information relating to submittal of Critical Energy/Electric Infrastructure Information (CEII).  A request for material to be treated as CEII or privileged may be made under 18 CFR Part 388.</w:t>
      </w:r>
    </w:p>
    <w:p w:rsidR="00BE69D8" w:rsidRPr="003F6159" w:rsidP="00BE69D8" w14:paraId="707317CB" w14:textId="77777777">
      <w:pPr>
        <w:spacing w:after="0" w:line="240" w:lineRule="auto"/>
        <w:rPr>
          <w:rFonts w:ascii="Times New Roman" w:hAnsi="Times New Roman"/>
          <w:sz w:val="26"/>
          <w:szCs w:val="24"/>
        </w:rPr>
      </w:pPr>
    </w:p>
    <w:p w:rsidR="003F3213" w:rsidRPr="003F6159" w:rsidP="00BE69D8" w14:paraId="32AD1FA9" w14:textId="3AB5EDDD">
      <w:pPr>
        <w:spacing w:after="0" w:line="240" w:lineRule="auto"/>
        <w:rPr>
          <w:rFonts w:ascii="Times New Roman" w:hAnsi="Times New Roman"/>
          <w:sz w:val="26"/>
          <w:szCs w:val="24"/>
        </w:rPr>
      </w:pPr>
      <w:r w:rsidRPr="003F6159">
        <w:rPr>
          <w:rFonts w:ascii="Times New Roman" w:hAnsi="Times New Roman"/>
          <w:b/>
          <w:sz w:val="26"/>
          <w:szCs w:val="24"/>
        </w:rPr>
        <w:t>11.</w:t>
      </w:r>
      <w:r w:rsidRPr="003F6159">
        <w:rPr>
          <w:rFonts w:ascii="Times New Roman" w:hAnsi="Times New Roman"/>
          <w:b/>
          <w:sz w:val="26"/>
          <w:szCs w:val="24"/>
        </w:rPr>
        <w:tab/>
      </w:r>
      <w:r w:rsidRPr="003F6159" w:rsidR="00A54559">
        <w:rPr>
          <w:rFonts w:ascii="Times New Roman" w:hAnsi="Times New Roman"/>
          <w:b/>
          <w:sz w:val="26"/>
          <w:szCs w:val="24"/>
        </w:rPr>
        <w:t>PROVIDE ADDITIONAL JUSTIFICATION FOR ANY QUESTIONS OF A SENSITIVE NATURE, SUCH AS SEXUAL BEHAVIOR AND ATTITUDES, RELIGIOUS BELIEFS, AND OTHER MATTERS THAT ARE COMMONLY CONSIDERED PRIVATE.</w:t>
      </w:r>
    </w:p>
    <w:p w:rsidR="003F3213" w:rsidRPr="003F6159" w14:paraId="36A45ACE" w14:textId="77777777">
      <w:pPr>
        <w:spacing w:after="0" w:line="240" w:lineRule="auto"/>
        <w:rPr>
          <w:rFonts w:ascii="Times New Roman" w:hAnsi="Times New Roman"/>
          <w:sz w:val="26"/>
          <w:szCs w:val="24"/>
        </w:rPr>
      </w:pPr>
    </w:p>
    <w:p w:rsidR="00C74F50" w:rsidRPr="003F6159" w:rsidP="00C74F50" w14:paraId="71072428" w14:textId="77777777">
      <w:pPr>
        <w:spacing w:after="0" w:line="240" w:lineRule="auto"/>
        <w:rPr>
          <w:rFonts w:ascii="Times New Roman" w:hAnsi="Times New Roman"/>
          <w:sz w:val="26"/>
          <w:szCs w:val="24"/>
        </w:rPr>
      </w:pPr>
      <w:r w:rsidRPr="003F6159">
        <w:rPr>
          <w:rFonts w:ascii="Times New Roman" w:hAnsi="Times New Roman"/>
          <w:sz w:val="26"/>
          <w:szCs w:val="24"/>
        </w:rPr>
        <w:t>There are no questions of a sensitive nature.</w:t>
      </w:r>
    </w:p>
    <w:p w:rsidR="00C74F50" w:rsidRPr="003F6159" w:rsidP="00C74F50" w14:paraId="389F3878" w14:textId="77777777">
      <w:pPr>
        <w:spacing w:after="0" w:line="240" w:lineRule="auto"/>
        <w:rPr>
          <w:rFonts w:ascii="Times New Roman" w:hAnsi="Times New Roman"/>
          <w:sz w:val="26"/>
          <w:szCs w:val="24"/>
        </w:rPr>
      </w:pPr>
    </w:p>
    <w:p w:rsidR="003F3213" w:rsidRPr="003F6159" w:rsidP="00C74F50" w14:paraId="0144B2C9" w14:textId="1DDDE2EB">
      <w:pPr>
        <w:spacing w:after="0" w:line="240" w:lineRule="auto"/>
        <w:rPr>
          <w:rFonts w:ascii="Times New Roman" w:hAnsi="Times New Roman"/>
          <w:sz w:val="26"/>
          <w:szCs w:val="24"/>
        </w:rPr>
      </w:pPr>
      <w:r w:rsidRPr="003F6159">
        <w:rPr>
          <w:rFonts w:ascii="Times New Roman" w:hAnsi="Times New Roman"/>
          <w:b/>
          <w:sz w:val="26"/>
          <w:szCs w:val="24"/>
        </w:rPr>
        <w:t>12.</w:t>
      </w:r>
      <w:r w:rsidRPr="003F6159">
        <w:rPr>
          <w:rFonts w:ascii="Times New Roman" w:hAnsi="Times New Roman"/>
          <w:b/>
          <w:sz w:val="26"/>
          <w:szCs w:val="24"/>
        </w:rPr>
        <w:tab/>
      </w:r>
      <w:r w:rsidRPr="003F6159" w:rsidR="00A54559">
        <w:rPr>
          <w:rFonts w:ascii="Times New Roman" w:hAnsi="Times New Roman"/>
          <w:b/>
          <w:sz w:val="26"/>
          <w:szCs w:val="24"/>
        </w:rPr>
        <w:t>ESTIMATED BURDEN OF COLL</w:t>
      </w:r>
      <w:r w:rsidRPr="003F6159" w:rsidR="00032CD7">
        <w:rPr>
          <w:rFonts w:ascii="Times New Roman" w:hAnsi="Times New Roman"/>
          <w:b/>
          <w:sz w:val="26"/>
          <w:szCs w:val="24"/>
        </w:rPr>
        <w:t>E</w:t>
      </w:r>
      <w:r w:rsidRPr="003F6159" w:rsidR="00A54559">
        <w:rPr>
          <w:rFonts w:ascii="Times New Roman" w:hAnsi="Times New Roman"/>
          <w:b/>
          <w:sz w:val="26"/>
          <w:szCs w:val="24"/>
        </w:rPr>
        <w:t>CTION OF INFORMATION</w:t>
      </w:r>
    </w:p>
    <w:p w:rsidR="003F3213" w:rsidRPr="003F6159" w14:paraId="438B7826" w14:textId="77777777">
      <w:pPr>
        <w:spacing w:after="0" w:line="240" w:lineRule="auto"/>
        <w:rPr>
          <w:rFonts w:ascii="Times New Roman" w:hAnsi="Times New Roman"/>
          <w:sz w:val="26"/>
          <w:szCs w:val="24"/>
        </w:rPr>
      </w:pPr>
    </w:p>
    <w:p w:rsidR="00345C87" w:rsidRPr="009150DA" w:rsidP="009150DA" w14:paraId="3826DB32" w14:textId="77777777">
      <w:pPr>
        <w:rPr>
          <w:rFonts w:ascii="Times New Roman" w:hAnsi="Times New Roman"/>
          <w:sz w:val="26"/>
          <w:szCs w:val="26"/>
        </w:rPr>
      </w:pPr>
      <w:r w:rsidRPr="009150DA">
        <w:rPr>
          <w:rFonts w:ascii="Times New Roman" w:hAnsi="Times New Roman"/>
          <w:sz w:val="26"/>
          <w:szCs w:val="26"/>
        </w:rPr>
        <w:t>The Commission estimates the burden and cost</w:t>
      </w:r>
      <w:r>
        <w:rPr>
          <w:rFonts w:ascii="Times New Roman" w:hAnsi="Times New Roman"/>
          <w:b/>
          <w:sz w:val="26"/>
          <w:szCs w:val="26"/>
          <w:vertAlign w:val="superscript"/>
        </w:rPr>
        <w:footnoteReference w:id="12"/>
      </w:r>
      <w:r w:rsidRPr="009150DA">
        <w:rPr>
          <w:rFonts w:ascii="Times New Roman" w:hAnsi="Times New Roman"/>
          <w:sz w:val="26"/>
          <w:szCs w:val="26"/>
        </w:rPr>
        <w:t xml:space="preserve"> for this information collection as follows:</w:t>
      </w:r>
    </w:p>
    <w:p w:rsidR="00345C87" w:rsidRPr="00345C87" w:rsidP="00345C87" w14:paraId="45B3E701" w14:textId="65CD3728">
      <w:pPr>
        <w:spacing w:after="0" w:line="240" w:lineRule="auto"/>
        <w:rPr>
          <w:rFonts w:ascii="Times New Roman" w:hAnsi="Times New Roman"/>
          <w:sz w:val="26"/>
          <w:szCs w:val="24"/>
        </w:rPr>
      </w:pPr>
      <w:r w:rsidRPr="00345C87">
        <w:rPr>
          <w:rFonts w:ascii="Times New Roman" w:hAnsi="Times New Roman"/>
          <w:sz w:val="26"/>
          <w:szCs w:val="24"/>
        </w:rPr>
        <w:t>In the tables below, the burden estimates for team proposals and reports involving PIs and CAs define a single response as the consolidated filings during the typical ten-year cycle for Independent Consultant’s Safety Inspections (one PI and one CA each during the ten-year period).  Therefore, the estimated average number of annual responses for the consolidated filings is averaged over the ten-year period and represented as 0.1 responses on average per year.</w:t>
      </w:r>
    </w:p>
    <w:p w:rsidR="00345C87" w:rsidRPr="00345C87" w:rsidP="00345C87" w14:paraId="21B1E30A" w14:textId="77777777">
      <w:pPr>
        <w:spacing w:after="0" w:line="240" w:lineRule="auto"/>
        <w:jc w:val="center"/>
        <w:rPr>
          <w:rFonts w:ascii="Times New Roman" w:hAnsi="Times New Roman"/>
          <w:sz w:val="26"/>
          <w:szCs w:val="24"/>
        </w:rPr>
      </w:pPr>
      <w:bookmarkStart w:id="1" w:name="_Hlk37752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1652"/>
        <w:gridCol w:w="1636"/>
        <w:gridCol w:w="1306"/>
        <w:gridCol w:w="1420"/>
        <w:gridCol w:w="1445"/>
      </w:tblGrid>
      <w:tr w14:paraId="62C54D83" w14:textId="77777777" w:rsidTr="000704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gridSpan w:val="6"/>
            <w:vAlign w:val="bottom"/>
          </w:tcPr>
          <w:p w:rsidR="00345C87" w:rsidRPr="00345C87" w:rsidP="00345C87" w14:paraId="405FA9A9"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FERC-517 – Direct and Indirect Annual Burden and Cost Changes</w:t>
            </w:r>
          </w:p>
          <w:p w:rsidR="00345C87" w:rsidRPr="00345C87" w:rsidP="00345C87" w14:paraId="30FC869F" w14:textId="77777777">
            <w:pPr>
              <w:spacing w:after="0" w:line="240" w:lineRule="auto"/>
              <w:jc w:val="center"/>
              <w:rPr>
                <w:rFonts w:ascii="Times New Roman" w:hAnsi="Times New Roman"/>
                <w:b/>
                <w:sz w:val="26"/>
                <w:szCs w:val="24"/>
              </w:rPr>
            </w:pPr>
          </w:p>
        </w:tc>
      </w:tr>
      <w:bookmarkEnd w:id="1"/>
      <w:tr w14:paraId="1958F44C" w14:textId="77777777" w:rsidTr="0007049C">
        <w:tblPrEx>
          <w:tblW w:w="0" w:type="auto"/>
          <w:tblLook w:val="04A0"/>
        </w:tblPrEx>
        <w:trPr>
          <w:cantSplit/>
          <w:tblHeader/>
        </w:trPr>
        <w:tc>
          <w:tcPr>
            <w:tcW w:w="0" w:type="auto"/>
            <w:vAlign w:val="bottom"/>
          </w:tcPr>
          <w:p w:rsidR="00345C87" w:rsidRPr="00345C87" w:rsidP="00345C87" w14:paraId="463B8CEE"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A.</w:t>
            </w:r>
          </w:p>
          <w:p w:rsidR="00345C87" w:rsidRPr="00345C87" w:rsidP="00345C87" w14:paraId="759A6757"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Type of Response</w:t>
            </w:r>
          </w:p>
        </w:tc>
        <w:tc>
          <w:tcPr>
            <w:tcW w:w="0" w:type="auto"/>
            <w:vAlign w:val="bottom"/>
          </w:tcPr>
          <w:p w:rsidR="00345C87" w:rsidRPr="00345C87" w:rsidP="00345C87" w14:paraId="3F7B6F7D"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B.</w:t>
            </w:r>
          </w:p>
          <w:p w:rsidR="00345C87" w:rsidRPr="00345C87" w:rsidP="00345C87" w14:paraId="7D70E40D"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No. of Respondents</w:t>
            </w:r>
          </w:p>
        </w:tc>
        <w:tc>
          <w:tcPr>
            <w:tcW w:w="0" w:type="auto"/>
            <w:vAlign w:val="bottom"/>
          </w:tcPr>
          <w:p w:rsidR="00345C87" w:rsidRPr="00345C87" w:rsidP="00345C87" w14:paraId="6EE9B829"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C.</w:t>
            </w:r>
          </w:p>
          <w:p w:rsidR="00345C87" w:rsidRPr="00345C87" w:rsidP="00345C87" w14:paraId="174AFD66"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Avg. No. of Annual Responses per Respondent</w:t>
            </w:r>
          </w:p>
        </w:tc>
        <w:tc>
          <w:tcPr>
            <w:tcW w:w="0" w:type="auto"/>
            <w:vAlign w:val="bottom"/>
          </w:tcPr>
          <w:p w:rsidR="00345C87" w:rsidRPr="00345C87" w:rsidP="00345C87" w14:paraId="32E7F950"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D.</w:t>
            </w:r>
          </w:p>
          <w:p w:rsidR="00345C87" w:rsidRPr="00345C87" w:rsidP="00345C87" w14:paraId="085441F1"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Avg. Annual Burden Hrs.</w:t>
            </w:r>
          </w:p>
          <w:p w:rsidR="00345C87" w:rsidRPr="00345C87" w:rsidP="00345C87" w14:paraId="23725FCB"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and Cost per Response</w:t>
            </w:r>
          </w:p>
        </w:tc>
        <w:tc>
          <w:tcPr>
            <w:tcW w:w="0" w:type="auto"/>
            <w:vAlign w:val="bottom"/>
          </w:tcPr>
          <w:p w:rsidR="00345C87" w:rsidRPr="00345C87" w:rsidP="00345C87" w14:paraId="75D1ACC9"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E.</w:t>
            </w:r>
          </w:p>
          <w:p w:rsidR="00345C87" w:rsidRPr="00345C87" w:rsidP="00345C87" w14:paraId="07DE8426"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Total No. of Annual Responses</w:t>
            </w:r>
          </w:p>
          <w:p w:rsidR="00345C87" w:rsidRPr="00345C87" w:rsidP="00345C87" w14:paraId="7E805348"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(Col. B x Col. C)</w:t>
            </w:r>
          </w:p>
        </w:tc>
        <w:tc>
          <w:tcPr>
            <w:tcW w:w="0" w:type="auto"/>
            <w:vAlign w:val="bottom"/>
          </w:tcPr>
          <w:p w:rsidR="00345C87" w:rsidRPr="00345C87" w:rsidP="00345C87" w14:paraId="1C07FB2D"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F.</w:t>
            </w:r>
          </w:p>
          <w:p w:rsidR="00345C87" w:rsidRPr="00345C87" w:rsidP="00345C87" w14:paraId="793BB74C"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Total</w:t>
            </w:r>
          </w:p>
          <w:p w:rsidR="00345C87" w:rsidRPr="00345C87" w:rsidP="00345C87" w14:paraId="02F3E988"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Annual Burden Hrs. and Cost</w:t>
            </w:r>
          </w:p>
          <w:p w:rsidR="00345C87" w:rsidRPr="00345C87" w:rsidP="00345C87" w14:paraId="6252B0E4" w14:textId="77777777">
            <w:pPr>
              <w:spacing w:after="0" w:line="240" w:lineRule="auto"/>
              <w:jc w:val="center"/>
              <w:rPr>
                <w:rFonts w:ascii="Times New Roman" w:hAnsi="Times New Roman"/>
                <w:b/>
                <w:sz w:val="26"/>
                <w:szCs w:val="24"/>
              </w:rPr>
            </w:pPr>
            <w:r w:rsidRPr="00345C87">
              <w:rPr>
                <w:rFonts w:ascii="Times New Roman" w:hAnsi="Times New Roman"/>
                <w:b/>
                <w:sz w:val="26"/>
                <w:szCs w:val="24"/>
              </w:rPr>
              <w:t>(Col. D x Col. E)</w:t>
            </w:r>
          </w:p>
        </w:tc>
      </w:tr>
      <w:tr w14:paraId="3BDBCE5F" w14:textId="77777777" w:rsidTr="0007049C">
        <w:tblPrEx>
          <w:tblW w:w="0" w:type="auto"/>
          <w:tblLook w:val="04A0"/>
        </w:tblPrEx>
        <w:trPr>
          <w:cantSplit/>
        </w:trPr>
        <w:tc>
          <w:tcPr>
            <w:tcW w:w="0" w:type="auto"/>
            <w:vAlign w:val="center"/>
          </w:tcPr>
          <w:p w:rsidR="00345C87" w:rsidRPr="00345C87" w:rsidP="00345C87" w14:paraId="04A0CD72" w14:textId="77777777">
            <w:pPr>
              <w:spacing w:after="0" w:line="240" w:lineRule="auto"/>
              <w:rPr>
                <w:rFonts w:ascii="Times New Roman" w:hAnsi="Times New Roman"/>
                <w:sz w:val="26"/>
                <w:szCs w:val="24"/>
              </w:rPr>
            </w:pPr>
            <w:r w:rsidRPr="00345C87">
              <w:rPr>
                <w:rFonts w:ascii="Times New Roman" w:hAnsi="Times New Roman"/>
                <w:sz w:val="26"/>
                <w:szCs w:val="24"/>
              </w:rPr>
              <w:t>Applicant’s or Licensee’s Report of Project-Related Deaths, Serious Injuries, or Rescues</w:t>
            </w:r>
          </w:p>
        </w:tc>
        <w:tc>
          <w:tcPr>
            <w:tcW w:w="0" w:type="auto"/>
            <w:vAlign w:val="bottom"/>
          </w:tcPr>
          <w:p w:rsidR="00345C87" w:rsidRPr="00345C87" w:rsidP="00345C87" w14:paraId="27F64CFB" w14:textId="77777777">
            <w:pPr>
              <w:spacing w:after="0" w:line="240" w:lineRule="auto"/>
              <w:jc w:val="right"/>
              <w:rPr>
                <w:rFonts w:ascii="Times New Roman" w:hAnsi="Times New Roman"/>
                <w:sz w:val="26"/>
                <w:szCs w:val="24"/>
              </w:rPr>
            </w:pPr>
            <w:bookmarkStart w:id="2" w:name="_Hlk38270597"/>
            <w:bookmarkEnd w:id="2"/>
            <w:r w:rsidRPr="00345C87">
              <w:rPr>
                <w:rFonts w:ascii="Times New Roman" w:hAnsi="Times New Roman"/>
                <w:sz w:val="26"/>
                <w:szCs w:val="24"/>
              </w:rPr>
              <w:t>65</w:t>
            </w:r>
          </w:p>
        </w:tc>
        <w:tc>
          <w:tcPr>
            <w:tcW w:w="0" w:type="auto"/>
            <w:vAlign w:val="bottom"/>
          </w:tcPr>
          <w:p w:rsidR="00345C87" w:rsidRPr="00345C87" w:rsidP="00345C87" w14:paraId="2EF4065C" w14:textId="77777777">
            <w:pPr>
              <w:spacing w:after="0" w:line="240" w:lineRule="auto"/>
              <w:jc w:val="right"/>
              <w:rPr>
                <w:rFonts w:ascii="Times New Roman" w:hAnsi="Times New Roman"/>
                <w:sz w:val="26"/>
                <w:szCs w:val="24"/>
              </w:rPr>
            </w:pPr>
            <w:r w:rsidRPr="00345C87">
              <w:rPr>
                <w:rFonts w:ascii="Times New Roman" w:hAnsi="Times New Roman"/>
                <w:sz w:val="26"/>
                <w:szCs w:val="24"/>
              </w:rPr>
              <w:t>2.14</w:t>
            </w:r>
          </w:p>
        </w:tc>
        <w:tc>
          <w:tcPr>
            <w:tcW w:w="0" w:type="auto"/>
            <w:vAlign w:val="bottom"/>
          </w:tcPr>
          <w:p w:rsidR="00345C87" w:rsidRPr="00345C87" w:rsidP="00345C87" w14:paraId="62A4D4B5" w14:textId="77777777">
            <w:pPr>
              <w:spacing w:after="0" w:line="240" w:lineRule="auto"/>
              <w:jc w:val="right"/>
              <w:rPr>
                <w:rFonts w:ascii="Times New Roman" w:hAnsi="Times New Roman"/>
                <w:sz w:val="26"/>
                <w:szCs w:val="24"/>
              </w:rPr>
            </w:pPr>
            <w:r w:rsidRPr="00345C87">
              <w:rPr>
                <w:rFonts w:ascii="Times New Roman" w:hAnsi="Times New Roman"/>
                <w:sz w:val="26"/>
                <w:szCs w:val="24"/>
              </w:rPr>
              <w:t>2 hrs.; $200</w:t>
            </w:r>
          </w:p>
        </w:tc>
        <w:tc>
          <w:tcPr>
            <w:tcW w:w="0" w:type="auto"/>
            <w:vAlign w:val="bottom"/>
          </w:tcPr>
          <w:p w:rsidR="00345C87" w:rsidRPr="00345C87" w:rsidP="00345C87" w14:paraId="6881030F" w14:textId="77777777">
            <w:pPr>
              <w:spacing w:after="0" w:line="240" w:lineRule="auto"/>
              <w:jc w:val="right"/>
              <w:rPr>
                <w:rFonts w:ascii="Times New Roman" w:hAnsi="Times New Roman"/>
                <w:sz w:val="26"/>
                <w:szCs w:val="24"/>
              </w:rPr>
            </w:pPr>
            <w:r w:rsidRPr="00345C87">
              <w:rPr>
                <w:rFonts w:ascii="Times New Roman" w:hAnsi="Times New Roman"/>
                <w:sz w:val="26"/>
                <w:szCs w:val="24"/>
              </w:rPr>
              <w:t>139.10</w:t>
            </w:r>
          </w:p>
        </w:tc>
        <w:tc>
          <w:tcPr>
            <w:tcW w:w="0" w:type="auto"/>
            <w:vAlign w:val="bottom"/>
          </w:tcPr>
          <w:p w:rsidR="00345C87" w:rsidRPr="00345C87" w:rsidP="00345C87" w14:paraId="385F5873"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278.20 </w:t>
            </w:r>
            <w:r w:rsidRPr="00345C87">
              <w:rPr>
                <w:rFonts w:ascii="Times New Roman" w:hAnsi="Times New Roman"/>
                <w:sz w:val="26"/>
                <w:szCs w:val="24"/>
              </w:rPr>
              <w:t>hrs.;</w:t>
            </w:r>
          </w:p>
          <w:p w:rsidR="00345C87" w:rsidRPr="00345C87" w:rsidP="00345C87" w14:paraId="3CD1133D" w14:textId="77777777">
            <w:pPr>
              <w:spacing w:after="0" w:line="240" w:lineRule="auto"/>
              <w:jc w:val="right"/>
              <w:rPr>
                <w:rFonts w:ascii="Times New Roman" w:hAnsi="Times New Roman"/>
                <w:sz w:val="26"/>
                <w:szCs w:val="24"/>
              </w:rPr>
            </w:pPr>
            <w:r w:rsidRPr="00345C87">
              <w:rPr>
                <w:rFonts w:ascii="Times New Roman" w:hAnsi="Times New Roman"/>
                <w:sz w:val="26"/>
                <w:szCs w:val="24"/>
              </w:rPr>
              <w:t>$27,820</w:t>
            </w:r>
          </w:p>
        </w:tc>
      </w:tr>
      <w:tr w14:paraId="73EB5B0D" w14:textId="77777777" w:rsidTr="0007049C">
        <w:tblPrEx>
          <w:tblW w:w="0" w:type="auto"/>
          <w:tblLook w:val="04A0"/>
        </w:tblPrEx>
        <w:trPr>
          <w:cantSplit/>
        </w:trPr>
        <w:tc>
          <w:tcPr>
            <w:tcW w:w="0" w:type="auto"/>
            <w:vAlign w:val="center"/>
          </w:tcPr>
          <w:p w:rsidR="00345C87" w:rsidRPr="00345C87" w:rsidP="00345C87" w14:paraId="7A88E9BA" w14:textId="77777777">
            <w:pPr>
              <w:spacing w:after="0" w:line="240" w:lineRule="auto"/>
              <w:rPr>
                <w:rFonts w:ascii="Times New Roman" w:hAnsi="Times New Roman"/>
                <w:sz w:val="26"/>
                <w:szCs w:val="24"/>
              </w:rPr>
            </w:pPr>
            <w:r w:rsidRPr="00345C87">
              <w:rPr>
                <w:rFonts w:ascii="Times New Roman" w:hAnsi="Times New Roman"/>
                <w:sz w:val="26"/>
                <w:szCs w:val="24"/>
              </w:rPr>
              <w:t>Ind. Cons. Team Proposals and Reports on PIs and CAs ― Simple Facility</w:t>
            </w:r>
            <w:r w:rsidRPr="00345C87">
              <w:rPr>
                <w:rFonts w:ascii="Times New Roman" w:hAnsi="Times New Roman"/>
                <w:bCs/>
                <w:sz w:val="26"/>
                <w:szCs w:val="24"/>
                <w:vertAlign w:val="superscript"/>
              </w:rPr>
              <w:t xml:space="preserve"> </w:t>
            </w:r>
            <w:r>
              <w:rPr>
                <w:rFonts w:ascii="Times New Roman" w:hAnsi="Times New Roman"/>
                <w:bCs/>
                <w:sz w:val="26"/>
                <w:szCs w:val="24"/>
                <w:vertAlign w:val="superscript"/>
              </w:rPr>
              <w:footnoteReference w:id="13"/>
            </w:r>
          </w:p>
        </w:tc>
        <w:tc>
          <w:tcPr>
            <w:tcW w:w="0" w:type="auto"/>
            <w:vAlign w:val="bottom"/>
          </w:tcPr>
          <w:p w:rsidR="00345C87" w:rsidRPr="00345C87" w:rsidP="00345C87" w14:paraId="717B6EE4" w14:textId="77777777">
            <w:pPr>
              <w:spacing w:after="0" w:line="240" w:lineRule="auto"/>
              <w:jc w:val="right"/>
              <w:rPr>
                <w:rFonts w:ascii="Times New Roman" w:hAnsi="Times New Roman"/>
                <w:sz w:val="26"/>
                <w:szCs w:val="24"/>
              </w:rPr>
            </w:pPr>
            <w:r w:rsidRPr="00345C87">
              <w:rPr>
                <w:rFonts w:ascii="Times New Roman" w:hAnsi="Times New Roman"/>
                <w:sz w:val="26"/>
                <w:szCs w:val="24"/>
              </w:rPr>
              <w:t>375</w:t>
            </w:r>
          </w:p>
        </w:tc>
        <w:tc>
          <w:tcPr>
            <w:tcW w:w="0" w:type="auto"/>
            <w:vAlign w:val="bottom"/>
          </w:tcPr>
          <w:p w:rsidR="00345C87" w:rsidRPr="00345C87" w:rsidP="00345C87" w14:paraId="275A1771" w14:textId="77777777">
            <w:pPr>
              <w:spacing w:after="0" w:line="240" w:lineRule="auto"/>
              <w:jc w:val="right"/>
              <w:rPr>
                <w:rFonts w:ascii="Times New Roman" w:hAnsi="Times New Roman"/>
                <w:sz w:val="26"/>
                <w:szCs w:val="24"/>
              </w:rPr>
            </w:pPr>
            <w:r w:rsidRPr="00345C87">
              <w:rPr>
                <w:rFonts w:ascii="Times New Roman" w:hAnsi="Times New Roman"/>
                <w:sz w:val="26"/>
                <w:szCs w:val="24"/>
              </w:rPr>
              <w:t>0.1</w:t>
            </w:r>
          </w:p>
        </w:tc>
        <w:tc>
          <w:tcPr>
            <w:tcW w:w="0" w:type="auto"/>
            <w:vAlign w:val="bottom"/>
          </w:tcPr>
          <w:p w:rsidR="00345C87" w:rsidRPr="00345C87" w:rsidP="00345C87" w14:paraId="46421235"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12 </w:t>
            </w:r>
            <w:r w:rsidRPr="00345C87">
              <w:rPr>
                <w:rFonts w:ascii="Times New Roman" w:hAnsi="Times New Roman"/>
                <w:sz w:val="26"/>
                <w:szCs w:val="24"/>
              </w:rPr>
              <w:t>hrs.;</w:t>
            </w:r>
          </w:p>
          <w:p w:rsidR="00345C87" w:rsidRPr="00345C87" w:rsidP="00345C87" w14:paraId="6FC15205" w14:textId="77777777">
            <w:pPr>
              <w:spacing w:after="0" w:line="240" w:lineRule="auto"/>
              <w:jc w:val="right"/>
              <w:rPr>
                <w:rFonts w:ascii="Times New Roman" w:hAnsi="Times New Roman"/>
                <w:sz w:val="26"/>
                <w:szCs w:val="24"/>
              </w:rPr>
            </w:pPr>
            <w:r w:rsidRPr="00345C87">
              <w:rPr>
                <w:rFonts w:ascii="Times New Roman" w:hAnsi="Times New Roman"/>
                <w:sz w:val="26"/>
                <w:szCs w:val="24"/>
              </w:rPr>
              <w:t>$1,200</w:t>
            </w:r>
          </w:p>
        </w:tc>
        <w:tc>
          <w:tcPr>
            <w:tcW w:w="0" w:type="auto"/>
            <w:vAlign w:val="bottom"/>
          </w:tcPr>
          <w:p w:rsidR="00345C87" w:rsidRPr="00345C87" w:rsidP="00345C87" w14:paraId="667470B1" w14:textId="77777777">
            <w:pPr>
              <w:spacing w:after="0" w:line="240" w:lineRule="auto"/>
              <w:jc w:val="right"/>
              <w:rPr>
                <w:rFonts w:ascii="Times New Roman" w:hAnsi="Times New Roman"/>
                <w:sz w:val="26"/>
                <w:szCs w:val="24"/>
              </w:rPr>
            </w:pPr>
            <w:r w:rsidRPr="00345C87">
              <w:rPr>
                <w:rFonts w:ascii="Times New Roman" w:hAnsi="Times New Roman"/>
                <w:sz w:val="26"/>
                <w:szCs w:val="24"/>
              </w:rPr>
              <w:t>37.50</w:t>
            </w:r>
          </w:p>
        </w:tc>
        <w:tc>
          <w:tcPr>
            <w:tcW w:w="0" w:type="auto"/>
            <w:vAlign w:val="bottom"/>
          </w:tcPr>
          <w:p w:rsidR="00345C87" w:rsidRPr="00345C87" w:rsidP="00345C87" w14:paraId="1C141F47"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450 </w:t>
            </w:r>
            <w:r w:rsidRPr="00345C87">
              <w:rPr>
                <w:rFonts w:ascii="Times New Roman" w:hAnsi="Times New Roman"/>
                <w:sz w:val="26"/>
                <w:szCs w:val="24"/>
              </w:rPr>
              <w:t>hrs.;</w:t>
            </w:r>
          </w:p>
          <w:p w:rsidR="00345C87" w:rsidRPr="00345C87" w:rsidP="00345C87" w14:paraId="4B00ACA0" w14:textId="77777777">
            <w:pPr>
              <w:spacing w:after="0" w:line="240" w:lineRule="auto"/>
              <w:jc w:val="right"/>
              <w:rPr>
                <w:rFonts w:ascii="Times New Roman" w:hAnsi="Times New Roman"/>
                <w:sz w:val="26"/>
                <w:szCs w:val="24"/>
              </w:rPr>
            </w:pPr>
            <w:r w:rsidRPr="00345C87">
              <w:rPr>
                <w:rFonts w:ascii="Times New Roman" w:hAnsi="Times New Roman"/>
                <w:sz w:val="26"/>
                <w:szCs w:val="24"/>
              </w:rPr>
              <w:t>$45,000</w:t>
            </w:r>
          </w:p>
        </w:tc>
      </w:tr>
      <w:tr w14:paraId="26D40288" w14:textId="77777777" w:rsidTr="0007049C">
        <w:tblPrEx>
          <w:tblW w:w="0" w:type="auto"/>
          <w:tblLook w:val="04A0"/>
        </w:tblPrEx>
        <w:trPr>
          <w:cantSplit/>
        </w:trPr>
        <w:tc>
          <w:tcPr>
            <w:tcW w:w="0" w:type="auto"/>
            <w:vAlign w:val="center"/>
          </w:tcPr>
          <w:p w:rsidR="00345C87" w:rsidRPr="00345C87" w:rsidP="00345C87" w14:paraId="2710F544" w14:textId="77777777">
            <w:pPr>
              <w:spacing w:after="0" w:line="240" w:lineRule="auto"/>
              <w:rPr>
                <w:rFonts w:ascii="Times New Roman" w:hAnsi="Times New Roman"/>
                <w:sz w:val="26"/>
                <w:szCs w:val="24"/>
              </w:rPr>
            </w:pPr>
            <w:r w:rsidRPr="00345C87">
              <w:rPr>
                <w:rFonts w:ascii="Times New Roman" w:hAnsi="Times New Roman"/>
                <w:sz w:val="26"/>
                <w:szCs w:val="24"/>
              </w:rPr>
              <w:t>Ind. Cons. Team Proposals and Reports on PIs and CAs ― Complex Facility</w:t>
            </w:r>
            <w:r>
              <w:rPr>
                <w:rFonts w:ascii="Times New Roman" w:hAnsi="Times New Roman"/>
                <w:bCs/>
                <w:sz w:val="26"/>
                <w:szCs w:val="24"/>
                <w:vertAlign w:val="superscript"/>
              </w:rPr>
              <w:footnoteReference w:id="14"/>
            </w:r>
          </w:p>
        </w:tc>
        <w:tc>
          <w:tcPr>
            <w:tcW w:w="0" w:type="auto"/>
            <w:vAlign w:val="bottom"/>
          </w:tcPr>
          <w:p w:rsidR="00345C87" w:rsidRPr="00345C87" w:rsidP="00345C87" w14:paraId="509DE8C6" w14:textId="77777777">
            <w:pPr>
              <w:spacing w:after="0" w:line="240" w:lineRule="auto"/>
              <w:jc w:val="right"/>
              <w:rPr>
                <w:rFonts w:ascii="Times New Roman" w:hAnsi="Times New Roman"/>
                <w:sz w:val="26"/>
                <w:szCs w:val="24"/>
              </w:rPr>
            </w:pPr>
            <w:r w:rsidRPr="00345C87">
              <w:rPr>
                <w:rFonts w:ascii="Times New Roman" w:hAnsi="Times New Roman"/>
                <w:sz w:val="26"/>
                <w:szCs w:val="24"/>
              </w:rPr>
              <w:t>375</w:t>
            </w:r>
          </w:p>
        </w:tc>
        <w:tc>
          <w:tcPr>
            <w:tcW w:w="0" w:type="auto"/>
            <w:vAlign w:val="bottom"/>
          </w:tcPr>
          <w:p w:rsidR="00345C87" w:rsidRPr="00345C87" w:rsidP="00345C87" w14:paraId="54F7E12D" w14:textId="77777777">
            <w:pPr>
              <w:spacing w:after="0" w:line="240" w:lineRule="auto"/>
              <w:jc w:val="right"/>
              <w:rPr>
                <w:rFonts w:ascii="Times New Roman" w:hAnsi="Times New Roman"/>
                <w:sz w:val="26"/>
                <w:szCs w:val="24"/>
              </w:rPr>
            </w:pPr>
            <w:r w:rsidRPr="00345C87">
              <w:rPr>
                <w:rFonts w:ascii="Times New Roman" w:hAnsi="Times New Roman"/>
                <w:sz w:val="26"/>
                <w:szCs w:val="24"/>
              </w:rPr>
              <w:t>0.1</w:t>
            </w:r>
          </w:p>
        </w:tc>
        <w:tc>
          <w:tcPr>
            <w:tcW w:w="0" w:type="auto"/>
            <w:vAlign w:val="bottom"/>
          </w:tcPr>
          <w:p w:rsidR="00345C87" w:rsidRPr="00345C87" w:rsidP="00345C87" w14:paraId="44864EBE"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32.6 </w:t>
            </w:r>
            <w:r w:rsidRPr="00345C87">
              <w:rPr>
                <w:rFonts w:ascii="Times New Roman" w:hAnsi="Times New Roman"/>
                <w:sz w:val="26"/>
                <w:szCs w:val="24"/>
              </w:rPr>
              <w:t>hrs.;</w:t>
            </w:r>
            <w:r w:rsidRPr="00345C87">
              <w:rPr>
                <w:rFonts w:ascii="Times New Roman" w:hAnsi="Times New Roman"/>
                <w:sz w:val="26"/>
                <w:szCs w:val="24"/>
              </w:rPr>
              <w:t xml:space="preserve"> </w:t>
            </w:r>
          </w:p>
          <w:p w:rsidR="00345C87" w:rsidRPr="00345C87" w:rsidP="00345C87" w14:paraId="6F87AF3B" w14:textId="77777777">
            <w:pPr>
              <w:spacing w:after="0" w:line="240" w:lineRule="auto"/>
              <w:jc w:val="right"/>
              <w:rPr>
                <w:rFonts w:ascii="Times New Roman" w:hAnsi="Times New Roman"/>
                <w:sz w:val="26"/>
                <w:szCs w:val="24"/>
              </w:rPr>
            </w:pPr>
            <w:r w:rsidRPr="00345C87">
              <w:rPr>
                <w:rFonts w:ascii="Times New Roman" w:hAnsi="Times New Roman"/>
                <w:sz w:val="26"/>
                <w:szCs w:val="24"/>
              </w:rPr>
              <w:t>$3,260</w:t>
            </w:r>
          </w:p>
        </w:tc>
        <w:tc>
          <w:tcPr>
            <w:tcW w:w="0" w:type="auto"/>
            <w:vAlign w:val="bottom"/>
          </w:tcPr>
          <w:p w:rsidR="00345C87" w:rsidRPr="00345C87" w:rsidP="00345C87" w14:paraId="435A4CF7" w14:textId="77777777">
            <w:pPr>
              <w:spacing w:after="0" w:line="240" w:lineRule="auto"/>
              <w:jc w:val="right"/>
              <w:rPr>
                <w:rFonts w:ascii="Times New Roman" w:hAnsi="Times New Roman"/>
                <w:sz w:val="26"/>
                <w:szCs w:val="24"/>
              </w:rPr>
            </w:pPr>
            <w:r w:rsidRPr="00345C87">
              <w:rPr>
                <w:rFonts w:ascii="Times New Roman" w:hAnsi="Times New Roman"/>
                <w:sz w:val="26"/>
                <w:szCs w:val="24"/>
              </w:rPr>
              <w:t>37.50</w:t>
            </w:r>
          </w:p>
        </w:tc>
        <w:tc>
          <w:tcPr>
            <w:tcW w:w="0" w:type="auto"/>
            <w:vAlign w:val="bottom"/>
          </w:tcPr>
          <w:p w:rsidR="00345C87" w:rsidRPr="00345C87" w:rsidP="00345C87" w14:paraId="7A47742C"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1,222.50 </w:t>
            </w:r>
            <w:r w:rsidRPr="00345C87">
              <w:rPr>
                <w:rFonts w:ascii="Times New Roman" w:hAnsi="Times New Roman"/>
                <w:sz w:val="26"/>
                <w:szCs w:val="24"/>
              </w:rPr>
              <w:t>hrs.;</w:t>
            </w:r>
            <w:r w:rsidRPr="00345C87">
              <w:rPr>
                <w:rFonts w:ascii="Times New Roman" w:hAnsi="Times New Roman"/>
                <w:sz w:val="26"/>
                <w:szCs w:val="24"/>
              </w:rPr>
              <w:t xml:space="preserve"> </w:t>
            </w:r>
          </w:p>
          <w:p w:rsidR="00345C87" w:rsidRPr="00345C87" w:rsidP="00345C87" w14:paraId="2240B106" w14:textId="77777777">
            <w:pPr>
              <w:spacing w:after="0" w:line="240" w:lineRule="auto"/>
              <w:jc w:val="right"/>
              <w:rPr>
                <w:rFonts w:ascii="Times New Roman" w:hAnsi="Times New Roman"/>
                <w:sz w:val="26"/>
                <w:szCs w:val="24"/>
              </w:rPr>
            </w:pPr>
            <w:r w:rsidRPr="00345C87">
              <w:rPr>
                <w:rFonts w:ascii="Times New Roman" w:hAnsi="Times New Roman"/>
                <w:sz w:val="26"/>
                <w:szCs w:val="24"/>
              </w:rPr>
              <w:t>$122,250</w:t>
            </w:r>
          </w:p>
        </w:tc>
      </w:tr>
      <w:tr w14:paraId="169ED114" w14:textId="77777777" w:rsidTr="0007049C">
        <w:tblPrEx>
          <w:tblW w:w="0" w:type="auto"/>
          <w:tblLook w:val="04A0"/>
        </w:tblPrEx>
        <w:trPr>
          <w:cantSplit/>
        </w:trPr>
        <w:tc>
          <w:tcPr>
            <w:tcW w:w="0" w:type="auto"/>
            <w:vAlign w:val="center"/>
          </w:tcPr>
          <w:p w:rsidR="00345C87" w:rsidRPr="00345C87" w:rsidP="00345C87" w14:paraId="2E71DC98" w14:textId="77777777">
            <w:pPr>
              <w:spacing w:after="0" w:line="240" w:lineRule="auto"/>
              <w:rPr>
                <w:rFonts w:ascii="Times New Roman" w:hAnsi="Times New Roman"/>
                <w:sz w:val="26"/>
                <w:szCs w:val="24"/>
              </w:rPr>
            </w:pPr>
            <w:r w:rsidRPr="00345C87">
              <w:rPr>
                <w:rFonts w:ascii="Times New Roman" w:hAnsi="Times New Roman"/>
                <w:sz w:val="26"/>
                <w:szCs w:val="24"/>
              </w:rPr>
              <w:t>Licensee’s Request for Exemption</w:t>
            </w:r>
          </w:p>
        </w:tc>
        <w:tc>
          <w:tcPr>
            <w:tcW w:w="0" w:type="auto"/>
            <w:vAlign w:val="bottom"/>
          </w:tcPr>
          <w:p w:rsidR="00345C87" w:rsidRPr="00345C87" w:rsidP="00345C87" w14:paraId="61288E1B" w14:textId="77777777">
            <w:pPr>
              <w:spacing w:after="0" w:line="240" w:lineRule="auto"/>
              <w:jc w:val="right"/>
              <w:rPr>
                <w:rFonts w:ascii="Times New Roman" w:hAnsi="Times New Roman"/>
                <w:sz w:val="26"/>
                <w:szCs w:val="24"/>
              </w:rPr>
            </w:pPr>
            <w:r w:rsidRPr="00345C87">
              <w:rPr>
                <w:rFonts w:ascii="Times New Roman" w:hAnsi="Times New Roman"/>
                <w:sz w:val="26"/>
                <w:szCs w:val="24"/>
              </w:rPr>
              <w:t>10</w:t>
            </w:r>
          </w:p>
        </w:tc>
        <w:tc>
          <w:tcPr>
            <w:tcW w:w="0" w:type="auto"/>
            <w:vAlign w:val="bottom"/>
          </w:tcPr>
          <w:p w:rsidR="00345C87" w:rsidRPr="00345C87" w:rsidP="00345C87" w14:paraId="6BE0884F" w14:textId="77777777">
            <w:pPr>
              <w:spacing w:after="0" w:line="240" w:lineRule="auto"/>
              <w:jc w:val="right"/>
              <w:rPr>
                <w:rFonts w:ascii="Times New Roman" w:hAnsi="Times New Roman"/>
                <w:sz w:val="26"/>
                <w:szCs w:val="24"/>
              </w:rPr>
            </w:pPr>
            <w:r w:rsidRPr="00345C87">
              <w:rPr>
                <w:rFonts w:ascii="Times New Roman" w:hAnsi="Times New Roman"/>
                <w:sz w:val="26"/>
                <w:szCs w:val="24"/>
              </w:rPr>
              <w:t>1</w:t>
            </w:r>
          </w:p>
        </w:tc>
        <w:tc>
          <w:tcPr>
            <w:tcW w:w="0" w:type="auto"/>
            <w:vAlign w:val="bottom"/>
          </w:tcPr>
          <w:p w:rsidR="00345C87" w:rsidRPr="00345C87" w:rsidP="00345C87" w14:paraId="1FDA2B1F" w14:textId="77777777">
            <w:pPr>
              <w:spacing w:after="0" w:line="240" w:lineRule="auto"/>
              <w:jc w:val="right"/>
              <w:rPr>
                <w:rFonts w:ascii="Times New Roman" w:hAnsi="Times New Roman"/>
                <w:sz w:val="26"/>
                <w:szCs w:val="24"/>
              </w:rPr>
            </w:pPr>
            <w:r w:rsidRPr="00345C87">
              <w:rPr>
                <w:rFonts w:ascii="Times New Roman" w:hAnsi="Times New Roman"/>
                <w:sz w:val="26"/>
                <w:szCs w:val="24"/>
              </w:rPr>
              <w:t>2 hrs.; $200</w:t>
            </w:r>
          </w:p>
        </w:tc>
        <w:tc>
          <w:tcPr>
            <w:tcW w:w="0" w:type="auto"/>
            <w:vAlign w:val="bottom"/>
          </w:tcPr>
          <w:p w:rsidR="00345C87" w:rsidRPr="00345C87" w:rsidP="00345C87" w14:paraId="0FB517CF" w14:textId="77777777">
            <w:pPr>
              <w:spacing w:after="0" w:line="240" w:lineRule="auto"/>
              <w:jc w:val="right"/>
              <w:rPr>
                <w:rFonts w:ascii="Times New Roman" w:hAnsi="Times New Roman"/>
                <w:sz w:val="26"/>
                <w:szCs w:val="24"/>
              </w:rPr>
            </w:pPr>
            <w:r w:rsidRPr="00345C87">
              <w:rPr>
                <w:rFonts w:ascii="Times New Roman" w:hAnsi="Times New Roman"/>
                <w:sz w:val="26"/>
                <w:szCs w:val="24"/>
              </w:rPr>
              <w:t>10</w:t>
            </w:r>
          </w:p>
        </w:tc>
        <w:tc>
          <w:tcPr>
            <w:tcW w:w="0" w:type="auto"/>
            <w:vAlign w:val="bottom"/>
          </w:tcPr>
          <w:p w:rsidR="00345C87" w:rsidRPr="00345C87" w:rsidP="00345C87" w14:paraId="315F27FB"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20 </w:t>
            </w:r>
            <w:r w:rsidRPr="00345C87">
              <w:rPr>
                <w:rFonts w:ascii="Times New Roman" w:hAnsi="Times New Roman"/>
                <w:sz w:val="26"/>
                <w:szCs w:val="24"/>
              </w:rPr>
              <w:t>hrs.;</w:t>
            </w:r>
          </w:p>
          <w:p w:rsidR="00345C87" w:rsidRPr="00345C87" w:rsidP="00345C87" w14:paraId="2A8DA279" w14:textId="77777777">
            <w:pPr>
              <w:spacing w:after="0" w:line="240" w:lineRule="auto"/>
              <w:jc w:val="right"/>
              <w:rPr>
                <w:rFonts w:ascii="Times New Roman" w:hAnsi="Times New Roman"/>
                <w:sz w:val="26"/>
                <w:szCs w:val="24"/>
              </w:rPr>
            </w:pPr>
            <w:r w:rsidRPr="00345C87">
              <w:rPr>
                <w:rFonts w:ascii="Times New Roman" w:hAnsi="Times New Roman"/>
                <w:sz w:val="26"/>
                <w:szCs w:val="24"/>
              </w:rPr>
              <w:t>$2,000</w:t>
            </w:r>
          </w:p>
        </w:tc>
      </w:tr>
      <w:tr w14:paraId="2A4A8756" w14:textId="77777777" w:rsidTr="0007049C">
        <w:tblPrEx>
          <w:tblW w:w="0" w:type="auto"/>
          <w:tblLook w:val="04A0"/>
        </w:tblPrEx>
        <w:trPr>
          <w:cantSplit/>
        </w:trPr>
        <w:tc>
          <w:tcPr>
            <w:tcW w:w="0" w:type="auto"/>
            <w:vAlign w:val="center"/>
          </w:tcPr>
          <w:p w:rsidR="00345C87" w:rsidRPr="00345C87" w:rsidP="00345C87" w14:paraId="65C7ACED" w14:textId="77777777">
            <w:pPr>
              <w:spacing w:after="0" w:line="240" w:lineRule="auto"/>
              <w:rPr>
                <w:rFonts w:ascii="Times New Roman" w:hAnsi="Times New Roman"/>
                <w:sz w:val="26"/>
                <w:szCs w:val="24"/>
              </w:rPr>
            </w:pPr>
            <w:r w:rsidRPr="00345C87">
              <w:rPr>
                <w:rFonts w:ascii="Times New Roman" w:hAnsi="Times New Roman"/>
                <w:sz w:val="26"/>
                <w:szCs w:val="24"/>
              </w:rPr>
              <w:t>ODSP Document – Small Program</w:t>
            </w:r>
            <w:r>
              <w:rPr>
                <w:rFonts w:ascii="Times New Roman" w:hAnsi="Times New Roman"/>
                <w:sz w:val="26"/>
                <w:szCs w:val="24"/>
                <w:vertAlign w:val="superscript"/>
              </w:rPr>
              <w:footnoteReference w:id="15"/>
            </w:r>
          </w:p>
        </w:tc>
        <w:tc>
          <w:tcPr>
            <w:tcW w:w="0" w:type="auto"/>
            <w:vAlign w:val="bottom"/>
          </w:tcPr>
          <w:p w:rsidR="00345C87" w:rsidRPr="00345C87" w:rsidP="00345C87" w14:paraId="3841F6EF" w14:textId="77777777">
            <w:pPr>
              <w:spacing w:after="0" w:line="240" w:lineRule="auto"/>
              <w:jc w:val="right"/>
              <w:rPr>
                <w:rFonts w:ascii="Times New Roman" w:hAnsi="Times New Roman"/>
                <w:sz w:val="26"/>
                <w:szCs w:val="24"/>
              </w:rPr>
            </w:pPr>
            <w:r w:rsidRPr="00345C87">
              <w:rPr>
                <w:rFonts w:ascii="Times New Roman" w:hAnsi="Times New Roman"/>
                <w:sz w:val="26"/>
                <w:szCs w:val="24"/>
              </w:rPr>
              <w:t>180</w:t>
            </w:r>
          </w:p>
        </w:tc>
        <w:tc>
          <w:tcPr>
            <w:tcW w:w="0" w:type="auto"/>
            <w:vAlign w:val="bottom"/>
          </w:tcPr>
          <w:p w:rsidR="00345C87" w:rsidRPr="00345C87" w:rsidP="00345C87" w14:paraId="55AB0BCF" w14:textId="77777777">
            <w:pPr>
              <w:spacing w:after="0" w:line="240" w:lineRule="auto"/>
              <w:jc w:val="right"/>
              <w:rPr>
                <w:rFonts w:ascii="Times New Roman" w:hAnsi="Times New Roman"/>
                <w:sz w:val="26"/>
                <w:szCs w:val="24"/>
              </w:rPr>
            </w:pPr>
            <w:r w:rsidRPr="00345C87">
              <w:rPr>
                <w:rFonts w:ascii="Times New Roman" w:hAnsi="Times New Roman"/>
                <w:sz w:val="26"/>
                <w:szCs w:val="24"/>
              </w:rPr>
              <w:t>0.2</w:t>
            </w:r>
          </w:p>
        </w:tc>
        <w:tc>
          <w:tcPr>
            <w:tcW w:w="0" w:type="auto"/>
            <w:vAlign w:val="bottom"/>
          </w:tcPr>
          <w:p w:rsidR="00345C87" w:rsidRPr="00345C87" w:rsidP="00345C87" w14:paraId="1DF0EE00"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60 </w:t>
            </w:r>
            <w:r w:rsidRPr="00345C87">
              <w:rPr>
                <w:rFonts w:ascii="Times New Roman" w:hAnsi="Times New Roman"/>
                <w:sz w:val="26"/>
                <w:szCs w:val="24"/>
              </w:rPr>
              <w:t>hrs.;</w:t>
            </w:r>
          </w:p>
          <w:p w:rsidR="00345C87" w:rsidRPr="00345C87" w:rsidP="00345C87" w14:paraId="3EE73BC2" w14:textId="77777777">
            <w:pPr>
              <w:spacing w:after="0" w:line="240" w:lineRule="auto"/>
              <w:jc w:val="right"/>
              <w:rPr>
                <w:rFonts w:ascii="Times New Roman" w:hAnsi="Times New Roman"/>
                <w:sz w:val="26"/>
                <w:szCs w:val="24"/>
              </w:rPr>
            </w:pPr>
            <w:r w:rsidRPr="00345C87">
              <w:rPr>
                <w:rFonts w:ascii="Times New Roman" w:hAnsi="Times New Roman"/>
                <w:sz w:val="26"/>
                <w:szCs w:val="24"/>
              </w:rPr>
              <w:t>$6,000</w:t>
            </w:r>
          </w:p>
        </w:tc>
        <w:tc>
          <w:tcPr>
            <w:tcW w:w="0" w:type="auto"/>
            <w:vAlign w:val="bottom"/>
          </w:tcPr>
          <w:p w:rsidR="00345C87" w:rsidRPr="00345C87" w:rsidP="00345C87" w14:paraId="47EC5F70" w14:textId="77777777">
            <w:pPr>
              <w:spacing w:after="0" w:line="240" w:lineRule="auto"/>
              <w:jc w:val="right"/>
              <w:rPr>
                <w:rFonts w:ascii="Times New Roman" w:hAnsi="Times New Roman"/>
                <w:sz w:val="26"/>
                <w:szCs w:val="24"/>
              </w:rPr>
            </w:pPr>
            <w:r w:rsidRPr="00345C87">
              <w:rPr>
                <w:rFonts w:ascii="Times New Roman" w:hAnsi="Times New Roman"/>
                <w:sz w:val="26"/>
                <w:szCs w:val="24"/>
              </w:rPr>
              <w:t>36</w:t>
            </w:r>
          </w:p>
        </w:tc>
        <w:tc>
          <w:tcPr>
            <w:tcW w:w="0" w:type="auto"/>
            <w:vAlign w:val="bottom"/>
          </w:tcPr>
          <w:p w:rsidR="00345C87" w:rsidRPr="00345C87" w:rsidP="00345C87" w14:paraId="52161CFC"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2160 </w:t>
            </w:r>
            <w:r w:rsidRPr="00345C87">
              <w:rPr>
                <w:rFonts w:ascii="Times New Roman" w:hAnsi="Times New Roman"/>
                <w:sz w:val="26"/>
                <w:szCs w:val="24"/>
              </w:rPr>
              <w:t>hrs.;</w:t>
            </w:r>
          </w:p>
          <w:p w:rsidR="00345C87" w:rsidRPr="00345C87" w:rsidP="00345C87" w14:paraId="3562CC75" w14:textId="77777777">
            <w:pPr>
              <w:spacing w:after="0" w:line="240" w:lineRule="auto"/>
              <w:jc w:val="right"/>
              <w:rPr>
                <w:rFonts w:ascii="Times New Roman" w:hAnsi="Times New Roman"/>
                <w:sz w:val="26"/>
                <w:szCs w:val="24"/>
              </w:rPr>
            </w:pPr>
            <w:r w:rsidRPr="00345C87">
              <w:rPr>
                <w:rFonts w:ascii="Times New Roman" w:hAnsi="Times New Roman"/>
                <w:sz w:val="26"/>
                <w:szCs w:val="24"/>
              </w:rPr>
              <w:t>$216,000</w:t>
            </w:r>
          </w:p>
        </w:tc>
      </w:tr>
      <w:tr w14:paraId="2CEABF1A" w14:textId="77777777" w:rsidTr="0007049C">
        <w:tblPrEx>
          <w:tblW w:w="0" w:type="auto"/>
          <w:tblLook w:val="04A0"/>
        </w:tblPrEx>
        <w:trPr>
          <w:cantSplit/>
        </w:trPr>
        <w:tc>
          <w:tcPr>
            <w:tcW w:w="0" w:type="auto"/>
            <w:vAlign w:val="center"/>
          </w:tcPr>
          <w:p w:rsidR="00345C87" w:rsidRPr="00345C87" w:rsidP="00345C87" w14:paraId="0836B820" w14:textId="77777777">
            <w:pPr>
              <w:spacing w:after="0" w:line="240" w:lineRule="auto"/>
              <w:rPr>
                <w:rFonts w:ascii="Times New Roman" w:hAnsi="Times New Roman"/>
                <w:sz w:val="26"/>
                <w:szCs w:val="24"/>
              </w:rPr>
            </w:pPr>
            <w:r w:rsidRPr="00345C87">
              <w:rPr>
                <w:rFonts w:ascii="Times New Roman" w:hAnsi="Times New Roman"/>
                <w:sz w:val="26"/>
                <w:szCs w:val="24"/>
              </w:rPr>
              <w:t>ODSP Document – Large Program</w:t>
            </w:r>
            <w:r>
              <w:rPr>
                <w:rFonts w:ascii="Times New Roman" w:hAnsi="Times New Roman"/>
                <w:sz w:val="26"/>
                <w:szCs w:val="24"/>
                <w:vertAlign w:val="superscript"/>
              </w:rPr>
              <w:footnoteReference w:id="16"/>
            </w:r>
          </w:p>
        </w:tc>
        <w:tc>
          <w:tcPr>
            <w:tcW w:w="0" w:type="auto"/>
            <w:vAlign w:val="bottom"/>
          </w:tcPr>
          <w:p w:rsidR="00345C87" w:rsidRPr="00345C87" w:rsidP="00345C87" w14:paraId="36425AD9" w14:textId="77777777">
            <w:pPr>
              <w:spacing w:after="0" w:line="240" w:lineRule="auto"/>
              <w:jc w:val="right"/>
              <w:rPr>
                <w:rFonts w:ascii="Times New Roman" w:hAnsi="Times New Roman"/>
                <w:sz w:val="26"/>
                <w:szCs w:val="24"/>
              </w:rPr>
            </w:pPr>
            <w:r w:rsidRPr="00345C87">
              <w:rPr>
                <w:rFonts w:ascii="Times New Roman" w:hAnsi="Times New Roman"/>
                <w:sz w:val="26"/>
                <w:szCs w:val="24"/>
              </w:rPr>
              <w:t>45</w:t>
            </w:r>
          </w:p>
        </w:tc>
        <w:tc>
          <w:tcPr>
            <w:tcW w:w="0" w:type="auto"/>
            <w:vAlign w:val="bottom"/>
          </w:tcPr>
          <w:p w:rsidR="00345C87" w:rsidRPr="00345C87" w:rsidP="00345C87" w14:paraId="2AA40BA7" w14:textId="77777777">
            <w:pPr>
              <w:spacing w:after="0" w:line="240" w:lineRule="auto"/>
              <w:jc w:val="right"/>
              <w:rPr>
                <w:rFonts w:ascii="Times New Roman" w:hAnsi="Times New Roman"/>
                <w:sz w:val="26"/>
                <w:szCs w:val="24"/>
              </w:rPr>
            </w:pPr>
            <w:r w:rsidRPr="00345C87">
              <w:rPr>
                <w:rFonts w:ascii="Times New Roman" w:hAnsi="Times New Roman"/>
                <w:sz w:val="26"/>
                <w:szCs w:val="24"/>
              </w:rPr>
              <w:t>0.2</w:t>
            </w:r>
          </w:p>
        </w:tc>
        <w:tc>
          <w:tcPr>
            <w:tcW w:w="0" w:type="auto"/>
            <w:vAlign w:val="bottom"/>
          </w:tcPr>
          <w:p w:rsidR="00345C87" w:rsidRPr="00345C87" w:rsidP="00345C87" w14:paraId="725FD0D1"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120 </w:t>
            </w:r>
            <w:r w:rsidRPr="00345C87">
              <w:rPr>
                <w:rFonts w:ascii="Times New Roman" w:hAnsi="Times New Roman"/>
                <w:sz w:val="26"/>
                <w:szCs w:val="24"/>
              </w:rPr>
              <w:t>hrs.;</w:t>
            </w:r>
          </w:p>
          <w:p w:rsidR="00345C87" w:rsidRPr="00345C87" w:rsidP="00345C87" w14:paraId="60DAE93F" w14:textId="77777777">
            <w:pPr>
              <w:spacing w:after="0" w:line="240" w:lineRule="auto"/>
              <w:jc w:val="right"/>
              <w:rPr>
                <w:rFonts w:ascii="Times New Roman" w:hAnsi="Times New Roman"/>
                <w:sz w:val="26"/>
                <w:szCs w:val="24"/>
              </w:rPr>
            </w:pPr>
            <w:r w:rsidRPr="00345C87">
              <w:rPr>
                <w:rFonts w:ascii="Times New Roman" w:hAnsi="Times New Roman"/>
                <w:sz w:val="26"/>
                <w:szCs w:val="24"/>
              </w:rPr>
              <w:t>$12,000</w:t>
            </w:r>
          </w:p>
        </w:tc>
        <w:tc>
          <w:tcPr>
            <w:tcW w:w="0" w:type="auto"/>
            <w:vAlign w:val="bottom"/>
          </w:tcPr>
          <w:p w:rsidR="00345C87" w:rsidRPr="00345C87" w:rsidP="00345C87" w14:paraId="4932F186" w14:textId="77777777">
            <w:pPr>
              <w:spacing w:after="0" w:line="240" w:lineRule="auto"/>
              <w:jc w:val="right"/>
              <w:rPr>
                <w:rFonts w:ascii="Times New Roman" w:hAnsi="Times New Roman"/>
                <w:sz w:val="26"/>
                <w:szCs w:val="24"/>
              </w:rPr>
            </w:pPr>
            <w:r w:rsidRPr="00345C87">
              <w:rPr>
                <w:rFonts w:ascii="Times New Roman" w:hAnsi="Times New Roman"/>
                <w:sz w:val="26"/>
                <w:szCs w:val="24"/>
              </w:rPr>
              <w:t>9</w:t>
            </w:r>
          </w:p>
        </w:tc>
        <w:tc>
          <w:tcPr>
            <w:tcW w:w="0" w:type="auto"/>
            <w:vAlign w:val="bottom"/>
          </w:tcPr>
          <w:p w:rsidR="00345C87" w:rsidRPr="00345C87" w:rsidP="00345C87" w14:paraId="42688123"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1080 </w:t>
            </w:r>
            <w:r w:rsidRPr="00345C87">
              <w:rPr>
                <w:rFonts w:ascii="Times New Roman" w:hAnsi="Times New Roman"/>
                <w:sz w:val="26"/>
                <w:szCs w:val="24"/>
              </w:rPr>
              <w:t>hrs.;</w:t>
            </w:r>
          </w:p>
          <w:p w:rsidR="00345C87" w:rsidRPr="00345C87" w:rsidP="00345C87" w14:paraId="3E2F054A" w14:textId="77777777">
            <w:pPr>
              <w:spacing w:after="0" w:line="240" w:lineRule="auto"/>
              <w:jc w:val="right"/>
              <w:rPr>
                <w:rFonts w:ascii="Times New Roman" w:hAnsi="Times New Roman"/>
                <w:sz w:val="26"/>
                <w:szCs w:val="24"/>
              </w:rPr>
            </w:pPr>
            <w:r w:rsidRPr="00345C87">
              <w:rPr>
                <w:rFonts w:ascii="Times New Roman" w:hAnsi="Times New Roman"/>
                <w:sz w:val="26"/>
                <w:szCs w:val="24"/>
              </w:rPr>
              <w:t>$108,000</w:t>
            </w:r>
          </w:p>
        </w:tc>
      </w:tr>
      <w:tr w14:paraId="24582066" w14:textId="77777777" w:rsidTr="0007049C">
        <w:tblPrEx>
          <w:tblW w:w="0" w:type="auto"/>
          <w:tblLook w:val="04A0"/>
        </w:tblPrEx>
        <w:trPr>
          <w:cantSplit/>
        </w:trPr>
        <w:tc>
          <w:tcPr>
            <w:tcW w:w="0" w:type="auto"/>
            <w:vAlign w:val="center"/>
          </w:tcPr>
          <w:p w:rsidR="00345C87" w:rsidRPr="00345C87" w:rsidP="00345C87" w14:paraId="44B20C68" w14:textId="77777777">
            <w:pPr>
              <w:spacing w:after="0" w:line="240" w:lineRule="auto"/>
              <w:rPr>
                <w:rFonts w:ascii="Times New Roman" w:hAnsi="Times New Roman"/>
                <w:sz w:val="26"/>
                <w:szCs w:val="24"/>
              </w:rPr>
            </w:pPr>
            <w:r w:rsidRPr="00345C87">
              <w:rPr>
                <w:rFonts w:ascii="Times New Roman" w:hAnsi="Times New Roman"/>
                <w:sz w:val="26"/>
                <w:szCs w:val="24"/>
              </w:rPr>
              <w:t>ODSP Document Revision</w:t>
            </w:r>
          </w:p>
        </w:tc>
        <w:tc>
          <w:tcPr>
            <w:tcW w:w="0" w:type="auto"/>
            <w:vAlign w:val="bottom"/>
          </w:tcPr>
          <w:p w:rsidR="00345C87" w:rsidRPr="00345C87" w:rsidP="00345C87" w14:paraId="7D92C1F3" w14:textId="77777777">
            <w:pPr>
              <w:spacing w:after="0" w:line="240" w:lineRule="auto"/>
              <w:jc w:val="right"/>
              <w:rPr>
                <w:rFonts w:ascii="Times New Roman" w:hAnsi="Times New Roman"/>
                <w:sz w:val="26"/>
                <w:szCs w:val="24"/>
              </w:rPr>
            </w:pPr>
            <w:r w:rsidRPr="00345C87">
              <w:rPr>
                <w:rFonts w:ascii="Times New Roman" w:hAnsi="Times New Roman"/>
                <w:sz w:val="26"/>
                <w:szCs w:val="24"/>
              </w:rPr>
              <w:t>225</w:t>
            </w:r>
          </w:p>
        </w:tc>
        <w:tc>
          <w:tcPr>
            <w:tcW w:w="0" w:type="auto"/>
            <w:vAlign w:val="bottom"/>
          </w:tcPr>
          <w:p w:rsidR="00345C87" w:rsidRPr="00345C87" w:rsidP="00345C87" w14:paraId="0227951F" w14:textId="77777777">
            <w:pPr>
              <w:spacing w:after="0" w:line="240" w:lineRule="auto"/>
              <w:jc w:val="right"/>
              <w:rPr>
                <w:rFonts w:ascii="Times New Roman" w:hAnsi="Times New Roman"/>
                <w:sz w:val="26"/>
                <w:szCs w:val="24"/>
              </w:rPr>
            </w:pPr>
            <w:r w:rsidRPr="00345C87">
              <w:rPr>
                <w:rFonts w:ascii="Times New Roman" w:hAnsi="Times New Roman"/>
                <w:sz w:val="26"/>
                <w:szCs w:val="24"/>
              </w:rPr>
              <w:t>1</w:t>
            </w:r>
          </w:p>
        </w:tc>
        <w:tc>
          <w:tcPr>
            <w:tcW w:w="0" w:type="auto"/>
            <w:vAlign w:val="bottom"/>
          </w:tcPr>
          <w:p w:rsidR="00345C87" w:rsidRPr="00345C87" w:rsidP="00345C87" w14:paraId="439073E5"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6 </w:t>
            </w:r>
            <w:r w:rsidRPr="00345C87">
              <w:rPr>
                <w:rFonts w:ascii="Times New Roman" w:hAnsi="Times New Roman"/>
                <w:sz w:val="26"/>
                <w:szCs w:val="24"/>
              </w:rPr>
              <w:t>hrs.;</w:t>
            </w:r>
          </w:p>
          <w:p w:rsidR="00345C87" w:rsidRPr="00345C87" w:rsidP="00345C87" w14:paraId="17BAE36D" w14:textId="77777777">
            <w:pPr>
              <w:spacing w:after="0" w:line="240" w:lineRule="auto"/>
              <w:jc w:val="right"/>
              <w:rPr>
                <w:rFonts w:ascii="Times New Roman" w:hAnsi="Times New Roman"/>
                <w:sz w:val="26"/>
                <w:szCs w:val="24"/>
              </w:rPr>
            </w:pPr>
            <w:r w:rsidRPr="00345C87">
              <w:rPr>
                <w:rFonts w:ascii="Times New Roman" w:hAnsi="Times New Roman"/>
                <w:sz w:val="26"/>
                <w:szCs w:val="24"/>
              </w:rPr>
              <w:t>$600</w:t>
            </w:r>
          </w:p>
        </w:tc>
        <w:tc>
          <w:tcPr>
            <w:tcW w:w="0" w:type="auto"/>
            <w:vAlign w:val="bottom"/>
          </w:tcPr>
          <w:p w:rsidR="00345C87" w:rsidRPr="00345C87" w:rsidP="00345C87" w14:paraId="77B37ECC" w14:textId="77777777">
            <w:pPr>
              <w:spacing w:after="0" w:line="240" w:lineRule="auto"/>
              <w:jc w:val="right"/>
              <w:rPr>
                <w:rFonts w:ascii="Times New Roman" w:hAnsi="Times New Roman"/>
                <w:sz w:val="26"/>
                <w:szCs w:val="24"/>
              </w:rPr>
            </w:pPr>
            <w:r w:rsidRPr="00345C87">
              <w:rPr>
                <w:rFonts w:ascii="Times New Roman" w:hAnsi="Times New Roman"/>
                <w:sz w:val="26"/>
                <w:szCs w:val="24"/>
              </w:rPr>
              <w:t>225</w:t>
            </w:r>
          </w:p>
        </w:tc>
        <w:tc>
          <w:tcPr>
            <w:tcW w:w="0" w:type="auto"/>
            <w:vAlign w:val="bottom"/>
          </w:tcPr>
          <w:p w:rsidR="00345C87" w:rsidRPr="00345C87" w:rsidP="00345C87" w14:paraId="3C144CC6"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1350 </w:t>
            </w:r>
            <w:r w:rsidRPr="00345C87">
              <w:rPr>
                <w:rFonts w:ascii="Times New Roman" w:hAnsi="Times New Roman"/>
                <w:sz w:val="26"/>
                <w:szCs w:val="24"/>
              </w:rPr>
              <w:t>hrs.;</w:t>
            </w:r>
          </w:p>
          <w:p w:rsidR="00345C87" w:rsidRPr="00345C87" w:rsidP="00345C87" w14:paraId="71D21AB9" w14:textId="77777777">
            <w:pPr>
              <w:spacing w:after="0" w:line="240" w:lineRule="auto"/>
              <w:jc w:val="right"/>
              <w:rPr>
                <w:rFonts w:ascii="Times New Roman" w:hAnsi="Times New Roman"/>
                <w:sz w:val="26"/>
                <w:szCs w:val="24"/>
              </w:rPr>
            </w:pPr>
            <w:r w:rsidRPr="00345C87">
              <w:rPr>
                <w:rFonts w:ascii="Times New Roman" w:hAnsi="Times New Roman"/>
                <w:sz w:val="26"/>
                <w:szCs w:val="24"/>
              </w:rPr>
              <w:t>$135,000</w:t>
            </w:r>
          </w:p>
        </w:tc>
      </w:tr>
      <w:tr w14:paraId="004AC558" w14:textId="77777777" w:rsidTr="0007049C">
        <w:tblPrEx>
          <w:tblW w:w="0" w:type="auto"/>
          <w:tblLook w:val="04A0"/>
        </w:tblPrEx>
        <w:trPr>
          <w:cantSplit/>
        </w:trPr>
        <w:tc>
          <w:tcPr>
            <w:tcW w:w="0" w:type="auto"/>
            <w:vAlign w:val="center"/>
          </w:tcPr>
          <w:p w:rsidR="00345C87" w:rsidRPr="00345C87" w:rsidP="00345C87" w14:paraId="63DF9FD3" w14:textId="77777777">
            <w:pPr>
              <w:spacing w:after="0" w:line="240" w:lineRule="auto"/>
              <w:rPr>
                <w:rFonts w:ascii="Times New Roman" w:hAnsi="Times New Roman"/>
                <w:sz w:val="26"/>
                <w:szCs w:val="24"/>
              </w:rPr>
            </w:pPr>
            <w:r w:rsidRPr="00345C87">
              <w:rPr>
                <w:rFonts w:ascii="Times New Roman" w:hAnsi="Times New Roman"/>
                <w:sz w:val="26"/>
                <w:szCs w:val="24"/>
              </w:rPr>
              <w:t>ODSP Qualification Statement for External Audit or Peer Review</w:t>
            </w:r>
          </w:p>
        </w:tc>
        <w:tc>
          <w:tcPr>
            <w:tcW w:w="0" w:type="auto"/>
            <w:vAlign w:val="bottom"/>
          </w:tcPr>
          <w:p w:rsidR="00345C87" w:rsidRPr="00345C87" w:rsidP="00345C87" w14:paraId="15035964" w14:textId="77777777">
            <w:pPr>
              <w:spacing w:after="0" w:line="240" w:lineRule="auto"/>
              <w:jc w:val="right"/>
              <w:rPr>
                <w:rFonts w:ascii="Times New Roman" w:hAnsi="Times New Roman"/>
                <w:sz w:val="26"/>
                <w:szCs w:val="24"/>
              </w:rPr>
            </w:pPr>
            <w:r w:rsidRPr="00345C87">
              <w:rPr>
                <w:rFonts w:ascii="Times New Roman" w:hAnsi="Times New Roman"/>
                <w:sz w:val="26"/>
                <w:szCs w:val="24"/>
              </w:rPr>
              <w:t>225</w:t>
            </w:r>
          </w:p>
        </w:tc>
        <w:tc>
          <w:tcPr>
            <w:tcW w:w="0" w:type="auto"/>
            <w:vAlign w:val="bottom"/>
          </w:tcPr>
          <w:p w:rsidR="00345C87" w:rsidRPr="00345C87" w:rsidP="00345C87" w14:paraId="3C890ED8" w14:textId="77777777">
            <w:pPr>
              <w:spacing w:after="0" w:line="240" w:lineRule="auto"/>
              <w:jc w:val="right"/>
              <w:rPr>
                <w:rFonts w:ascii="Times New Roman" w:hAnsi="Times New Roman"/>
                <w:sz w:val="26"/>
                <w:szCs w:val="24"/>
              </w:rPr>
            </w:pPr>
            <w:r w:rsidRPr="00345C87">
              <w:rPr>
                <w:rFonts w:ascii="Times New Roman" w:hAnsi="Times New Roman"/>
                <w:sz w:val="26"/>
                <w:szCs w:val="24"/>
              </w:rPr>
              <w:t>0.2</w:t>
            </w:r>
          </w:p>
        </w:tc>
        <w:tc>
          <w:tcPr>
            <w:tcW w:w="0" w:type="auto"/>
            <w:vAlign w:val="bottom"/>
          </w:tcPr>
          <w:p w:rsidR="00345C87" w:rsidRPr="00345C87" w:rsidP="00345C87" w14:paraId="710B532D"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8 </w:t>
            </w:r>
            <w:r w:rsidRPr="00345C87">
              <w:rPr>
                <w:rFonts w:ascii="Times New Roman" w:hAnsi="Times New Roman"/>
                <w:sz w:val="26"/>
                <w:szCs w:val="24"/>
              </w:rPr>
              <w:t>hrs.;</w:t>
            </w:r>
          </w:p>
          <w:p w:rsidR="00345C87" w:rsidRPr="00345C87" w:rsidP="00345C87" w14:paraId="5A82D5F7" w14:textId="77777777">
            <w:pPr>
              <w:spacing w:after="0" w:line="240" w:lineRule="auto"/>
              <w:jc w:val="right"/>
              <w:rPr>
                <w:rFonts w:ascii="Times New Roman" w:hAnsi="Times New Roman"/>
                <w:sz w:val="26"/>
                <w:szCs w:val="24"/>
              </w:rPr>
            </w:pPr>
            <w:r w:rsidRPr="00345C87">
              <w:rPr>
                <w:rFonts w:ascii="Times New Roman" w:hAnsi="Times New Roman"/>
                <w:sz w:val="26"/>
                <w:szCs w:val="24"/>
              </w:rPr>
              <w:t>$800</w:t>
            </w:r>
          </w:p>
        </w:tc>
        <w:tc>
          <w:tcPr>
            <w:tcW w:w="0" w:type="auto"/>
            <w:vAlign w:val="bottom"/>
          </w:tcPr>
          <w:p w:rsidR="00345C87" w:rsidRPr="00345C87" w:rsidP="00345C87" w14:paraId="68573EDE" w14:textId="77777777">
            <w:pPr>
              <w:spacing w:after="0" w:line="240" w:lineRule="auto"/>
              <w:jc w:val="right"/>
              <w:rPr>
                <w:rFonts w:ascii="Times New Roman" w:hAnsi="Times New Roman"/>
                <w:sz w:val="26"/>
                <w:szCs w:val="24"/>
              </w:rPr>
            </w:pPr>
            <w:r w:rsidRPr="00345C87">
              <w:rPr>
                <w:rFonts w:ascii="Times New Roman" w:hAnsi="Times New Roman"/>
                <w:sz w:val="26"/>
                <w:szCs w:val="24"/>
              </w:rPr>
              <w:t>45</w:t>
            </w:r>
          </w:p>
        </w:tc>
        <w:tc>
          <w:tcPr>
            <w:tcW w:w="0" w:type="auto"/>
            <w:vAlign w:val="bottom"/>
          </w:tcPr>
          <w:p w:rsidR="00345C87" w:rsidRPr="00345C87" w:rsidP="00345C87" w14:paraId="7613B831"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360 </w:t>
            </w:r>
            <w:r w:rsidRPr="00345C87">
              <w:rPr>
                <w:rFonts w:ascii="Times New Roman" w:hAnsi="Times New Roman"/>
                <w:sz w:val="26"/>
                <w:szCs w:val="24"/>
              </w:rPr>
              <w:t>hrs.;</w:t>
            </w:r>
          </w:p>
          <w:p w:rsidR="00345C87" w:rsidRPr="00345C87" w:rsidP="00345C87" w14:paraId="6D8E1F11" w14:textId="77777777">
            <w:pPr>
              <w:spacing w:after="0" w:line="240" w:lineRule="auto"/>
              <w:jc w:val="right"/>
              <w:rPr>
                <w:rFonts w:ascii="Times New Roman" w:hAnsi="Times New Roman"/>
                <w:sz w:val="26"/>
                <w:szCs w:val="24"/>
              </w:rPr>
            </w:pPr>
            <w:r w:rsidRPr="00345C87">
              <w:rPr>
                <w:rFonts w:ascii="Times New Roman" w:hAnsi="Times New Roman"/>
                <w:sz w:val="26"/>
                <w:szCs w:val="24"/>
              </w:rPr>
              <w:t>$36,000</w:t>
            </w:r>
          </w:p>
        </w:tc>
      </w:tr>
      <w:tr w14:paraId="5560AD4E" w14:textId="77777777" w:rsidTr="0007049C">
        <w:tblPrEx>
          <w:tblW w:w="0" w:type="auto"/>
          <w:tblLook w:val="04A0"/>
        </w:tblPrEx>
        <w:trPr>
          <w:cantSplit/>
        </w:trPr>
        <w:tc>
          <w:tcPr>
            <w:tcW w:w="0" w:type="auto"/>
            <w:vAlign w:val="center"/>
          </w:tcPr>
          <w:p w:rsidR="00345C87" w:rsidRPr="00345C87" w:rsidP="00345C87" w14:paraId="4F815F50" w14:textId="77777777">
            <w:pPr>
              <w:spacing w:after="0" w:line="240" w:lineRule="auto"/>
              <w:rPr>
                <w:rFonts w:ascii="Times New Roman" w:hAnsi="Times New Roman"/>
                <w:sz w:val="26"/>
                <w:szCs w:val="24"/>
              </w:rPr>
            </w:pPr>
            <w:r w:rsidRPr="00345C87">
              <w:rPr>
                <w:rFonts w:ascii="Times New Roman" w:hAnsi="Times New Roman"/>
                <w:sz w:val="26"/>
                <w:szCs w:val="24"/>
              </w:rPr>
              <w:t>ODSP External Audit or Peer Review Report ― Small Program</w:t>
            </w:r>
            <w:r w:rsidRPr="00345C87">
              <w:rPr>
                <w:rFonts w:ascii="Times New Roman" w:hAnsi="Times New Roman"/>
                <w:sz w:val="26"/>
                <w:szCs w:val="24"/>
                <w:vertAlign w:val="superscript"/>
              </w:rPr>
              <w:t xml:space="preserve"> </w:t>
            </w:r>
            <w:r>
              <w:rPr>
                <w:rFonts w:ascii="Times New Roman" w:hAnsi="Times New Roman"/>
                <w:sz w:val="26"/>
                <w:szCs w:val="24"/>
                <w:vertAlign w:val="superscript"/>
              </w:rPr>
              <w:footnoteReference w:id="17"/>
            </w:r>
          </w:p>
        </w:tc>
        <w:tc>
          <w:tcPr>
            <w:tcW w:w="0" w:type="auto"/>
            <w:vAlign w:val="bottom"/>
          </w:tcPr>
          <w:p w:rsidR="00345C87" w:rsidRPr="00345C87" w:rsidP="00345C87" w14:paraId="31326F8F" w14:textId="77777777">
            <w:pPr>
              <w:spacing w:after="0" w:line="240" w:lineRule="auto"/>
              <w:jc w:val="right"/>
              <w:rPr>
                <w:rFonts w:ascii="Times New Roman" w:hAnsi="Times New Roman"/>
                <w:sz w:val="26"/>
                <w:szCs w:val="24"/>
              </w:rPr>
            </w:pPr>
            <w:r w:rsidRPr="00345C87">
              <w:rPr>
                <w:rFonts w:ascii="Times New Roman" w:hAnsi="Times New Roman"/>
                <w:sz w:val="26"/>
                <w:szCs w:val="24"/>
              </w:rPr>
              <w:t>180</w:t>
            </w:r>
          </w:p>
        </w:tc>
        <w:tc>
          <w:tcPr>
            <w:tcW w:w="0" w:type="auto"/>
            <w:vAlign w:val="bottom"/>
          </w:tcPr>
          <w:p w:rsidR="00345C87" w:rsidRPr="00345C87" w:rsidP="00345C87" w14:paraId="76EE8D99" w14:textId="77777777">
            <w:pPr>
              <w:spacing w:after="0" w:line="240" w:lineRule="auto"/>
              <w:jc w:val="right"/>
              <w:rPr>
                <w:rFonts w:ascii="Times New Roman" w:hAnsi="Times New Roman"/>
                <w:sz w:val="26"/>
                <w:szCs w:val="24"/>
              </w:rPr>
            </w:pPr>
            <w:r w:rsidRPr="00345C87">
              <w:rPr>
                <w:rFonts w:ascii="Times New Roman" w:hAnsi="Times New Roman"/>
                <w:sz w:val="26"/>
                <w:szCs w:val="24"/>
              </w:rPr>
              <w:t>0.2</w:t>
            </w:r>
          </w:p>
        </w:tc>
        <w:tc>
          <w:tcPr>
            <w:tcW w:w="0" w:type="auto"/>
            <w:vAlign w:val="bottom"/>
          </w:tcPr>
          <w:p w:rsidR="00345C87" w:rsidRPr="00345C87" w:rsidP="00345C87" w14:paraId="38BB1FD1"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62 </w:t>
            </w:r>
            <w:r w:rsidRPr="00345C87">
              <w:rPr>
                <w:rFonts w:ascii="Times New Roman" w:hAnsi="Times New Roman"/>
                <w:sz w:val="26"/>
                <w:szCs w:val="24"/>
              </w:rPr>
              <w:t>hrs.;</w:t>
            </w:r>
          </w:p>
          <w:p w:rsidR="00345C87" w:rsidRPr="00345C87" w:rsidP="00345C87" w14:paraId="7DC06ADD" w14:textId="77777777">
            <w:pPr>
              <w:spacing w:after="0" w:line="240" w:lineRule="auto"/>
              <w:jc w:val="right"/>
              <w:rPr>
                <w:rFonts w:ascii="Times New Roman" w:hAnsi="Times New Roman"/>
                <w:sz w:val="26"/>
                <w:szCs w:val="24"/>
              </w:rPr>
            </w:pPr>
            <w:r w:rsidRPr="00345C87">
              <w:rPr>
                <w:rFonts w:ascii="Times New Roman" w:hAnsi="Times New Roman"/>
                <w:sz w:val="26"/>
                <w:szCs w:val="24"/>
              </w:rPr>
              <w:t>$6,200</w:t>
            </w:r>
          </w:p>
        </w:tc>
        <w:tc>
          <w:tcPr>
            <w:tcW w:w="0" w:type="auto"/>
            <w:vAlign w:val="bottom"/>
          </w:tcPr>
          <w:p w:rsidR="00345C87" w:rsidRPr="00345C87" w:rsidP="00345C87" w14:paraId="59D0AD99" w14:textId="77777777">
            <w:pPr>
              <w:spacing w:after="0" w:line="240" w:lineRule="auto"/>
              <w:jc w:val="right"/>
              <w:rPr>
                <w:rFonts w:ascii="Times New Roman" w:hAnsi="Times New Roman"/>
                <w:sz w:val="26"/>
                <w:szCs w:val="24"/>
              </w:rPr>
            </w:pPr>
            <w:r w:rsidRPr="00345C87">
              <w:rPr>
                <w:rFonts w:ascii="Times New Roman" w:hAnsi="Times New Roman"/>
                <w:sz w:val="26"/>
                <w:szCs w:val="24"/>
              </w:rPr>
              <w:t>36</w:t>
            </w:r>
          </w:p>
        </w:tc>
        <w:tc>
          <w:tcPr>
            <w:tcW w:w="0" w:type="auto"/>
            <w:vAlign w:val="bottom"/>
          </w:tcPr>
          <w:p w:rsidR="00345C87" w:rsidRPr="00345C87" w:rsidP="00345C87" w14:paraId="35A0B69A"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2232 </w:t>
            </w:r>
            <w:r w:rsidRPr="00345C87">
              <w:rPr>
                <w:rFonts w:ascii="Times New Roman" w:hAnsi="Times New Roman"/>
                <w:sz w:val="26"/>
                <w:szCs w:val="24"/>
              </w:rPr>
              <w:t>hrs.;</w:t>
            </w:r>
          </w:p>
          <w:p w:rsidR="00345C87" w:rsidRPr="00345C87" w:rsidP="00345C87" w14:paraId="7189FAA0" w14:textId="77777777">
            <w:pPr>
              <w:spacing w:after="0" w:line="240" w:lineRule="auto"/>
              <w:jc w:val="right"/>
              <w:rPr>
                <w:rFonts w:ascii="Times New Roman" w:hAnsi="Times New Roman"/>
                <w:sz w:val="26"/>
                <w:szCs w:val="24"/>
              </w:rPr>
            </w:pPr>
            <w:r w:rsidRPr="00345C87">
              <w:rPr>
                <w:rFonts w:ascii="Times New Roman" w:hAnsi="Times New Roman"/>
                <w:sz w:val="26"/>
                <w:szCs w:val="24"/>
              </w:rPr>
              <w:t>$223,200</w:t>
            </w:r>
          </w:p>
        </w:tc>
      </w:tr>
      <w:tr w14:paraId="2D3B129E" w14:textId="77777777" w:rsidTr="0007049C">
        <w:tblPrEx>
          <w:tblW w:w="0" w:type="auto"/>
          <w:tblLook w:val="04A0"/>
        </w:tblPrEx>
        <w:trPr>
          <w:cantSplit/>
        </w:trPr>
        <w:tc>
          <w:tcPr>
            <w:tcW w:w="0" w:type="auto"/>
            <w:vAlign w:val="center"/>
          </w:tcPr>
          <w:p w:rsidR="00345C87" w:rsidRPr="00345C87" w:rsidP="00345C87" w14:paraId="78E579CD" w14:textId="77777777">
            <w:pPr>
              <w:spacing w:after="0" w:line="240" w:lineRule="auto"/>
              <w:rPr>
                <w:rFonts w:ascii="Times New Roman" w:hAnsi="Times New Roman"/>
                <w:sz w:val="26"/>
                <w:szCs w:val="24"/>
              </w:rPr>
            </w:pPr>
            <w:r w:rsidRPr="00345C87">
              <w:rPr>
                <w:rFonts w:ascii="Times New Roman" w:hAnsi="Times New Roman"/>
                <w:sz w:val="26"/>
                <w:szCs w:val="24"/>
              </w:rPr>
              <w:t>ODSP External Audit or Peer Review Report ― Large Program</w:t>
            </w:r>
            <w:r>
              <w:rPr>
                <w:rFonts w:ascii="Times New Roman" w:hAnsi="Times New Roman"/>
                <w:sz w:val="26"/>
                <w:szCs w:val="24"/>
                <w:vertAlign w:val="superscript"/>
              </w:rPr>
              <w:footnoteReference w:id="18"/>
            </w:r>
          </w:p>
        </w:tc>
        <w:tc>
          <w:tcPr>
            <w:tcW w:w="0" w:type="auto"/>
            <w:vAlign w:val="bottom"/>
          </w:tcPr>
          <w:p w:rsidR="00345C87" w:rsidRPr="00345C87" w:rsidP="00345C87" w14:paraId="167E9FF7" w14:textId="77777777">
            <w:pPr>
              <w:spacing w:after="0" w:line="240" w:lineRule="auto"/>
              <w:jc w:val="right"/>
              <w:rPr>
                <w:rFonts w:ascii="Times New Roman" w:hAnsi="Times New Roman"/>
                <w:sz w:val="26"/>
                <w:szCs w:val="24"/>
              </w:rPr>
            </w:pPr>
            <w:r w:rsidRPr="00345C87">
              <w:rPr>
                <w:rFonts w:ascii="Times New Roman" w:hAnsi="Times New Roman"/>
                <w:sz w:val="26"/>
                <w:szCs w:val="24"/>
              </w:rPr>
              <w:t>45</w:t>
            </w:r>
          </w:p>
        </w:tc>
        <w:tc>
          <w:tcPr>
            <w:tcW w:w="0" w:type="auto"/>
            <w:vAlign w:val="bottom"/>
          </w:tcPr>
          <w:p w:rsidR="00345C87" w:rsidRPr="00345C87" w:rsidP="00345C87" w14:paraId="12CB8F30" w14:textId="77777777">
            <w:pPr>
              <w:spacing w:after="0" w:line="240" w:lineRule="auto"/>
              <w:jc w:val="right"/>
              <w:rPr>
                <w:rFonts w:ascii="Times New Roman" w:hAnsi="Times New Roman"/>
                <w:sz w:val="26"/>
                <w:szCs w:val="24"/>
              </w:rPr>
            </w:pPr>
            <w:r w:rsidRPr="00345C87">
              <w:rPr>
                <w:rFonts w:ascii="Times New Roman" w:hAnsi="Times New Roman"/>
                <w:sz w:val="26"/>
                <w:szCs w:val="24"/>
              </w:rPr>
              <w:t>0.2</w:t>
            </w:r>
          </w:p>
        </w:tc>
        <w:tc>
          <w:tcPr>
            <w:tcW w:w="0" w:type="auto"/>
            <w:vAlign w:val="bottom"/>
          </w:tcPr>
          <w:p w:rsidR="00345C87" w:rsidRPr="00345C87" w:rsidP="00345C87" w14:paraId="2640F0B7"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242 </w:t>
            </w:r>
            <w:r w:rsidRPr="00345C87">
              <w:rPr>
                <w:rFonts w:ascii="Times New Roman" w:hAnsi="Times New Roman"/>
                <w:sz w:val="26"/>
                <w:szCs w:val="24"/>
              </w:rPr>
              <w:t>hrs.;</w:t>
            </w:r>
          </w:p>
          <w:p w:rsidR="00345C87" w:rsidRPr="00345C87" w:rsidP="00345C87" w14:paraId="245F72E0" w14:textId="77777777">
            <w:pPr>
              <w:spacing w:after="0" w:line="240" w:lineRule="auto"/>
              <w:jc w:val="right"/>
              <w:rPr>
                <w:rFonts w:ascii="Times New Roman" w:hAnsi="Times New Roman"/>
                <w:sz w:val="26"/>
                <w:szCs w:val="24"/>
              </w:rPr>
            </w:pPr>
            <w:r w:rsidRPr="00345C87">
              <w:rPr>
                <w:rFonts w:ascii="Times New Roman" w:hAnsi="Times New Roman"/>
                <w:sz w:val="26"/>
                <w:szCs w:val="24"/>
              </w:rPr>
              <w:t>$24,200</w:t>
            </w:r>
          </w:p>
        </w:tc>
        <w:tc>
          <w:tcPr>
            <w:tcW w:w="0" w:type="auto"/>
            <w:vAlign w:val="bottom"/>
          </w:tcPr>
          <w:p w:rsidR="00345C87" w:rsidRPr="00345C87" w:rsidP="00345C87" w14:paraId="7CC6BF68" w14:textId="77777777">
            <w:pPr>
              <w:spacing w:after="0" w:line="240" w:lineRule="auto"/>
              <w:jc w:val="right"/>
              <w:rPr>
                <w:rFonts w:ascii="Times New Roman" w:hAnsi="Times New Roman"/>
                <w:sz w:val="26"/>
                <w:szCs w:val="24"/>
              </w:rPr>
            </w:pPr>
            <w:r w:rsidRPr="00345C87">
              <w:rPr>
                <w:rFonts w:ascii="Times New Roman" w:hAnsi="Times New Roman"/>
                <w:sz w:val="26"/>
                <w:szCs w:val="24"/>
              </w:rPr>
              <w:t>9</w:t>
            </w:r>
          </w:p>
        </w:tc>
        <w:tc>
          <w:tcPr>
            <w:tcW w:w="0" w:type="auto"/>
            <w:vAlign w:val="bottom"/>
          </w:tcPr>
          <w:p w:rsidR="00345C87" w:rsidRPr="00345C87" w:rsidP="00345C87" w14:paraId="6FA9F649"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2178 </w:t>
            </w:r>
            <w:r w:rsidRPr="00345C87">
              <w:rPr>
                <w:rFonts w:ascii="Times New Roman" w:hAnsi="Times New Roman"/>
                <w:sz w:val="26"/>
                <w:szCs w:val="24"/>
              </w:rPr>
              <w:t>hrs.;</w:t>
            </w:r>
          </w:p>
          <w:p w:rsidR="00345C87" w:rsidRPr="00345C87" w:rsidP="00345C87" w14:paraId="665A31F3" w14:textId="77777777">
            <w:pPr>
              <w:spacing w:after="0" w:line="240" w:lineRule="auto"/>
              <w:jc w:val="right"/>
              <w:rPr>
                <w:rFonts w:ascii="Times New Roman" w:hAnsi="Times New Roman"/>
                <w:sz w:val="26"/>
                <w:szCs w:val="24"/>
              </w:rPr>
            </w:pPr>
            <w:r w:rsidRPr="00345C87">
              <w:rPr>
                <w:rFonts w:ascii="Times New Roman" w:hAnsi="Times New Roman"/>
                <w:sz w:val="26"/>
                <w:szCs w:val="24"/>
              </w:rPr>
              <w:t>$217,800</w:t>
            </w:r>
          </w:p>
        </w:tc>
      </w:tr>
      <w:tr w14:paraId="641579D5" w14:textId="77777777" w:rsidTr="0007049C">
        <w:tblPrEx>
          <w:tblW w:w="0" w:type="auto"/>
          <w:tblLook w:val="04A0"/>
        </w:tblPrEx>
        <w:trPr>
          <w:cantSplit/>
        </w:trPr>
        <w:tc>
          <w:tcPr>
            <w:tcW w:w="0" w:type="auto"/>
            <w:vAlign w:val="center"/>
          </w:tcPr>
          <w:p w:rsidR="00345C87" w:rsidRPr="00345C87" w:rsidP="00345C87" w14:paraId="4E45FAFC" w14:textId="77777777">
            <w:pPr>
              <w:spacing w:after="0" w:line="240" w:lineRule="auto"/>
              <w:rPr>
                <w:rFonts w:ascii="Times New Roman" w:hAnsi="Times New Roman"/>
                <w:sz w:val="26"/>
                <w:szCs w:val="24"/>
              </w:rPr>
            </w:pPr>
            <w:r w:rsidRPr="00345C87">
              <w:rPr>
                <w:rFonts w:ascii="Times New Roman" w:hAnsi="Times New Roman"/>
                <w:sz w:val="26"/>
                <w:szCs w:val="24"/>
              </w:rPr>
              <w:t>ODSP Request for Extension of Time</w:t>
            </w:r>
          </w:p>
        </w:tc>
        <w:tc>
          <w:tcPr>
            <w:tcW w:w="0" w:type="auto"/>
            <w:vAlign w:val="bottom"/>
          </w:tcPr>
          <w:p w:rsidR="00345C87" w:rsidRPr="00345C87" w:rsidP="00345C87" w14:paraId="6DBA693D" w14:textId="77777777">
            <w:pPr>
              <w:spacing w:after="0" w:line="240" w:lineRule="auto"/>
              <w:jc w:val="right"/>
              <w:rPr>
                <w:rFonts w:ascii="Times New Roman" w:hAnsi="Times New Roman"/>
                <w:sz w:val="26"/>
                <w:szCs w:val="24"/>
              </w:rPr>
            </w:pPr>
            <w:r w:rsidRPr="00345C87">
              <w:rPr>
                <w:rFonts w:ascii="Times New Roman" w:hAnsi="Times New Roman"/>
                <w:sz w:val="26"/>
                <w:szCs w:val="24"/>
              </w:rPr>
              <w:t>5</w:t>
            </w:r>
          </w:p>
        </w:tc>
        <w:tc>
          <w:tcPr>
            <w:tcW w:w="0" w:type="auto"/>
            <w:vAlign w:val="bottom"/>
          </w:tcPr>
          <w:p w:rsidR="00345C87" w:rsidRPr="00345C87" w:rsidP="00345C87" w14:paraId="2364453E" w14:textId="77777777">
            <w:pPr>
              <w:spacing w:after="0" w:line="240" w:lineRule="auto"/>
              <w:jc w:val="right"/>
              <w:rPr>
                <w:rFonts w:ascii="Times New Roman" w:hAnsi="Times New Roman"/>
                <w:sz w:val="26"/>
                <w:szCs w:val="24"/>
              </w:rPr>
            </w:pPr>
            <w:r w:rsidRPr="00345C87">
              <w:rPr>
                <w:rFonts w:ascii="Times New Roman" w:hAnsi="Times New Roman"/>
                <w:sz w:val="26"/>
                <w:szCs w:val="24"/>
              </w:rPr>
              <w:t>1</w:t>
            </w:r>
          </w:p>
        </w:tc>
        <w:tc>
          <w:tcPr>
            <w:tcW w:w="0" w:type="auto"/>
            <w:vAlign w:val="bottom"/>
          </w:tcPr>
          <w:p w:rsidR="00345C87" w:rsidRPr="00345C87" w:rsidP="00345C87" w14:paraId="58C12D92"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4 </w:t>
            </w:r>
            <w:r w:rsidRPr="00345C87">
              <w:rPr>
                <w:rFonts w:ascii="Times New Roman" w:hAnsi="Times New Roman"/>
                <w:sz w:val="26"/>
                <w:szCs w:val="24"/>
              </w:rPr>
              <w:t>hrs.;</w:t>
            </w:r>
          </w:p>
          <w:p w:rsidR="00345C87" w:rsidRPr="00345C87" w:rsidP="00345C87" w14:paraId="05FE0FE9" w14:textId="77777777">
            <w:pPr>
              <w:spacing w:after="0" w:line="240" w:lineRule="auto"/>
              <w:jc w:val="right"/>
              <w:rPr>
                <w:rFonts w:ascii="Times New Roman" w:hAnsi="Times New Roman"/>
                <w:sz w:val="26"/>
                <w:szCs w:val="24"/>
              </w:rPr>
            </w:pPr>
            <w:r w:rsidRPr="00345C87">
              <w:rPr>
                <w:rFonts w:ascii="Times New Roman" w:hAnsi="Times New Roman"/>
                <w:sz w:val="26"/>
                <w:szCs w:val="24"/>
              </w:rPr>
              <w:t>$400</w:t>
            </w:r>
          </w:p>
        </w:tc>
        <w:tc>
          <w:tcPr>
            <w:tcW w:w="0" w:type="auto"/>
            <w:vAlign w:val="bottom"/>
          </w:tcPr>
          <w:p w:rsidR="00345C87" w:rsidRPr="00345C87" w:rsidP="00345C87" w14:paraId="7EB51743" w14:textId="77777777">
            <w:pPr>
              <w:spacing w:after="0" w:line="240" w:lineRule="auto"/>
              <w:jc w:val="right"/>
              <w:rPr>
                <w:rFonts w:ascii="Times New Roman" w:hAnsi="Times New Roman"/>
                <w:sz w:val="26"/>
                <w:szCs w:val="24"/>
              </w:rPr>
            </w:pPr>
            <w:r w:rsidRPr="00345C87">
              <w:rPr>
                <w:rFonts w:ascii="Times New Roman" w:hAnsi="Times New Roman"/>
                <w:sz w:val="26"/>
                <w:szCs w:val="24"/>
              </w:rPr>
              <w:t>5</w:t>
            </w:r>
          </w:p>
        </w:tc>
        <w:tc>
          <w:tcPr>
            <w:tcW w:w="0" w:type="auto"/>
            <w:vAlign w:val="bottom"/>
          </w:tcPr>
          <w:p w:rsidR="00345C87" w:rsidRPr="00345C87" w:rsidP="00345C87" w14:paraId="044A5955"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20 </w:t>
            </w:r>
            <w:r w:rsidRPr="00345C87">
              <w:rPr>
                <w:rFonts w:ascii="Times New Roman" w:hAnsi="Times New Roman"/>
                <w:sz w:val="26"/>
                <w:szCs w:val="24"/>
              </w:rPr>
              <w:t>hrs.;</w:t>
            </w:r>
          </w:p>
          <w:p w:rsidR="00345C87" w:rsidRPr="00345C87" w:rsidP="00345C87" w14:paraId="3351CC40" w14:textId="77777777">
            <w:pPr>
              <w:spacing w:after="0" w:line="240" w:lineRule="auto"/>
              <w:jc w:val="right"/>
              <w:rPr>
                <w:rFonts w:ascii="Times New Roman" w:hAnsi="Times New Roman"/>
                <w:sz w:val="26"/>
                <w:szCs w:val="24"/>
              </w:rPr>
            </w:pPr>
            <w:r w:rsidRPr="00345C87">
              <w:rPr>
                <w:rFonts w:ascii="Times New Roman" w:hAnsi="Times New Roman"/>
                <w:sz w:val="26"/>
                <w:szCs w:val="24"/>
              </w:rPr>
              <w:t>$2,000</w:t>
            </w:r>
          </w:p>
        </w:tc>
      </w:tr>
      <w:tr w14:paraId="6F6035D8" w14:textId="77777777" w:rsidTr="0007049C">
        <w:tblPrEx>
          <w:tblW w:w="0" w:type="auto"/>
          <w:tblLook w:val="04A0"/>
        </w:tblPrEx>
        <w:trPr>
          <w:cantSplit/>
        </w:trPr>
        <w:tc>
          <w:tcPr>
            <w:tcW w:w="0" w:type="auto"/>
            <w:vAlign w:val="center"/>
          </w:tcPr>
          <w:p w:rsidR="00345C87" w:rsidRPr="00345C87" w:rsidP="00345C87" w14:paraId="26EFBE44" w14:textId="77777777">
            <w:pPr>
              <w:spacing w:after="0" w:line="240" w:lineRule="auto"/>
              <w:rPr>
                <w:rFonts w:ascii="Times New Roman" w:hAnsi="Times New Roman"/>
                <w:b/>
                <w:bCs/>
                <w:sz w:val="26"/>
                <w:szCs w:val="24"/>
              </w:rPr>
            </w:pPr>
            <w:r w:rsidRPr="00345C87">
              <w:rPr>
                <w:rFonts w:ascii="Times New Roman" w:hAnsi="Times New Roman"/>
                <w:b/>
                <w:bCs/>
                <w:sz w:val="26"/>
                <w:szCs w:val="24"/>
              </w:rPr>
              <w:t>Total Hours and Costs</w:t>
            </w:r>
          </w:p>
        </w:tc>
        <w:tc>
          <w:tcPr>
            <w:tcW w:w="0" w:type="auto"/>
            <w:vAlign w:val="bottom"/>
          </w:tcPr>
          <w:p w:rsidR="00345C87" w:rsidRPr="00345C87" w:rsidP="00345C87" w14:paraId="56630108" w14:textId="77777777">
            <w:pPr>
              <w:spacing w:after="0" w:line="240" w:lineRule="auto"/>
              <w:jc w:val="right"/>
              <w:rPr>
                <w:rFonts w:ascii="Times New Roman" w:hAnsi="Times New Roman"/>
                <w:sz w:val="26"/>
                <w:szCs w:val="24"/>
              </w:rPr>
            </w:pPr>
            <w:r w:rsidRPr="00345C87">
              <w:rPr>
                <w:rFonts w:ascii="Times New Roman" w:hAnsi="Times New Roman"/>
                <w:sz w:val="26"/>
                <w:szCs w:val="24"/>
              </w:rPr>
              <w:t>1730</w:t>
            </w:r>
          </w:p>
        </w:tc>
        <w:tc>
          <w:tcPr>
            <w:tcW w:w="0" w:type="auto"/>
            <w:vAlign w:val="bottom"/>
          </w:tcPr>
          <w:p w:rsidR="00345C87" w:rsidRPr="00345C87" w:rsidP="00345C87" w14:paraId="2F2B70F1" w14:textId="77777777">
            <w:pPr>
              <w:spacing w:after="0" w:line="240" w:lineRule="auto"/>
              <w:jc w:val="right"/>
              <w:rPr>
                <w:rFonts w:ascii="Times New Roman" w:hAnsi="Times New Roman"/>
                <w:b/>
                <w:bCs/>
                <w:sz w:val="26"/>
                <w:szCs w:val="24"/>
              </w:rPr>
            </w:pPr>
            <w:r w:rsidRPr="00345C87">
              <w:rPr>
                <w:rFonts w:ascii="Times New Roman" w:hAnsi="Times New Roman"/>
                <w:b/>
                <w:bCs/>
                <w:sz w:val="26"/>
                <w:szCs w:val="24"/>
              </w:rPr>
              <w:t>―</w:t>
            </w:r>
          </w:p>
        </w:tc>
        <w:tc>
          <w:tcPr>
            <w:tcW w:w="0" w:type="auto"/>
            <w:vAlign w:val="bottom"/>
          </w:tcPr>
          <w:p w:rsidR="00345C87" w:rsidRPr="00345C87" w:rsidP="00345C87" w14:paraId="309889A5" w14:textId="77777777">
            <w:pPr>
              <w:spacing w:after="0" w:line="240" w:lineRule="auto"/>
              <w:jc w:val="right"/>
              <w:rPr>
                <w:rFonts w:ascii="Times New Roman" w:hAnsi="Times New Roman"/>
                <w:b/>
                <w:bCs/>
                <w:sz w:val="26"/>
                <w:szCs w:val="24"/>
              </w:rPr>
            </w:pPr>
            <w:r w:rsidRPr="00345C87">
              <w:rPr>
                <w:rFonts w:ascii="Times New Roman" w:hAnsi="Times New Roman"/>
                <w:b/>
                <w:bCs/>
                <w:sz w:val="26"/>
                <w:szCs w:val="24"/>
              </w:rPr>
              <w:t>―</w:t>
            </w:r>
          </w:p>
        </w:tc>
        <w:tc>
          <w:tcPr>
            <w:tcW w:w="0" w:type="auto"/>
            <w:vAlign w:val="bottom"/>
          </w:tcPr>
          <w:p w:rsidR="00345C87" w:rsidRPr="00345C87" w:rsidP="00345C87" w14:paraId="66E54C57" w14:textId="4B80AC51">
            <w:pPr>
              <w:spacing w:after="0" w:line="240" w:lineRule="auto"/>
              <w:jc w:val="right"/>
              <w:rPr>
                <w:rFonts w:ascii="Times New Roman" w:hAnsi="Times New Roman"/>
                <w:sz w:val="26"/>
                <w:szCs w:val="24"/>
              </w:rPr>
            </w:pPr>
            <w:r w:rsidRPr="00345C87">
              <w:rPr>
                <w:rFonts w:ascii="Times New Roman" w:hAnsi="Times New Roman"/>
                <w:sz w:val="26"/>
                <w:szCs w:val="24"/>
              </w:rPr>
              <w:t>5</w:t>
            </w:r>
            <w:r w:rsidR="00BD6DF9">
              <w:rPr>
                <w:rFonts w:ascii="Times New Roman" w:hAnsi="Times New Roman"/>
                <w:sz w:val="26"/>
                <w:szCs w:val="24"/>
              </w:rPr>
              <w:t>90</w:t>
            </w:r>
          </w:p>
        </w:tc>
        <w:tc>
          <w:tcPr>
            <w:tcW w:w="0" w:type="auto"/>
            <w:vAlign w:val="bottom"/>
          </w:tcPr>
          <w:p w:rsidR="00345C87" w:rsidRPr="00345C87" w:rsidP="00345C87" w14:paraId="05AE97CD" w14:textId="77777777">
            <w:pPr>
              <w:spacing w:after="0" w:line="240" w:lineRule="auto"/>
              <w:jc w:val="right"/>
              <w:rPr>
                <w:rFonts w:ascii="Times New Roman" w:hAnsi="Times New Roman"/>
                <w:sz w:val="26"/>
                <w:szCs w:val="24"/>
              </w:rPr>
            </w:pPr>
            <w:r w:rsidRPr="00345C87">
              <w:rPr>
                <w:rFonts w:ascii="Times New Roman" w:hAnsi="Times New Roman"/>
                <w:sz w:val="26"/>
                <w:szCs w:val="24"/>
              </w:rPr>
              <w:t xml:space="preserve">11,350.5 </w:t>
            </w:r>
            <w:r w:rsidRPr="00345C87">
              <w:rPr>
                <w:rFonts w:ascii="Times New Roman" w:hAnsi="Times New Roman"/>
                <w:sz w:val="26"/>
                <w:szCs w:val="24"/>
              </w:rPr>
              <w:t>hrs.;</w:t>
            </w:r>
          </w:p>
          <w:p w:rsidR="00345C87" w:rsidRPr="00345C87" w:rsidP="00345C87" w14:paraId="1602400F" w14:textId="77777777">
            <w:pPr>
              <w:spacing w:after="0" w:line="240" w:lineRule="auto"/>
              <w:jc w:val="right"/>
              <w:rPr>
                <w:rFonts w:ascii="Times New Roman" w:hAnsi="Times New Roman"/>
                <w:b/>
                <w:bCs/>
                <w:sz w:val="26"/>
                <w:szCs w:val="24"/>
              </w:rPr>
            </w:pPr>
            <w:r w:rsidRPr="00345C87">
              <w:rPr>
                <w:rFonts w:ascii="Times New Roman" w:hAnsi="Times New Roman"/>
                <w:sz w:val="26"/>
                <w:szCs w:val="24"/>
              </w:rPr>
              <w:t>$1,135,050</w:t>
            </w:r>
          </w:p>
        </w:tc>
      </w:tr>
    </w:tbl>
    <w:p w:rsidR="00345C87" w14:paraId="5FAFA331" w14:textId="77777777">
      <w:pPr>
        <w:spacing w:after="0" w:line="240" w:lineRule="auto"/>
        <w:rPr>
          <w:rFonts w:ascii="Times New Roman" w:hAnsi="Times New Roman"/>
          <w:b/>
          <w:sz w:val="26"/>
          <w:szCs w:val="24"/>
        </w:rPr>
      </w:pPr>
    </w:p>
    <w:p w:rsidR="003F3213" w:rsidRPr="003F6159" w14:paraId="72D54EC5" w14:textId="20C9257B">
      <w:pPr>
        <w:spacing w:after="0" w:line="240" w:lineRule="auto"/>
        <w:rPr>
          <w:rFonts w:ascii="Times New Roman" w:hAnsi="Times New Roman"/>
          <w:b/>
          <w:sz w:val="26"/>
          <w:szCs w:val="24"/>
        </w:rPr>
      </w:pPr>
      <w:r w:rsidRPr="003F6159">
        <w:rPr>
          <w:rFonts w:ascii="Times New Roman" w:hAnsi="Times New Roman"/>
          <w:b/>
          <w:sz w:val="26"/>
          <w:szCs w:val="24"/>
        </w:rPr>
        <w:t xml:space="preserve">13.   ESTIMATE OF THE TOTAL ANNUAL COST BURDEN TO RESPONDENTS </w:t>
      </w:r>
    </w:p>
    <w:p w:rsidR="003F3213" w:rsidRPr="003F6159" w14:paraId="7C3BC822" w14:textId="77777777">
      <w:pPr>
        <w:spacing w:after="0" w:line="240" w:lineRule="auto"/>
        <w:rPr>
          <w:rFonts w:ascii="Times New Roman" w:hAnsi="Times New Roman"/>
          <w:sz w:val="26"/>
          <w:szCs w:val="24"/>
        </w:rPr>
      </w:pPr>
    </w:p>
    <w:p w:rsidR="003F3213" w:rsidRPr="003F6159" w14:paraId="1C79C833" w14:textId="77777777">
      <w:pPr>
        <w:spacing w:after="0" w:line="240" w:lineRule="auto"/>
        <w:rPr>
          <w:rFonts w:ascii="Times New Roman" w:hAnsi="Times New Roman"/>
          <w:sz w:val="26"/>
          <w:szCs w:val="24"/>
        </w:rPr>
      </w:pPr>
      <w:r w:rsidRPr="003F6159">
        <w:rPr>
          <w:rFonts w:ascii="Times New Roman" w:hAnsi="Times New Roman"/>
          <w:sz w:val="26"/>
          <w:szCs w:val="24"/>
        </w:rPr>
        <w:t>This includes contracting of professional services and non-labor, as detailed in Table 12-2 above.  There are no start-up or other non-labor costs.</w:t>
      </w:r>
    </w:p>
    <w:p w:rsidR="003F3213" w:rsidRPr="003F6159" w14:paraId="07020C25" w14:textId="77777777">
      <w:pPr>
        <w:spacing w:after="0" w:line="240" w:lineRule="auto"/>
        <w:rPr>
          <w:rFonts w:ascii="Times New Roman" w:hAnsi="Times New Roman"/>
          <w:sz w:val="26"/>
          <w:szCs w:val="24"/>
        </w:rPr>
      </w:pPr>
    </w:p>
    <w:p w:rsidR="003F3213" w:rsidRPr="003F6159" w14:paraId="7498A315" w14:textId="77777777">
      <w:pPr>
        <w:pStyle w:val="ListParagraph"/>
        <w:spacing w:after="0" w:line="240" w:lineRule="auto"/>
        <w:ind w:left="0"/>
        <w:rPr>
          <w:rFonts w:ascii="Times New Roman" w:hAnsi="Times New Roman"/>
          <w:sz w:val="26"/>
          <w:szCs w:val="24"/>
        </w:rPr>
      </w:pPr>
      <w:r w:rsidRPr="003F6159">
        <w:rPr>
          <w:rFonts w:ascii="Times New Roman" w:hAnsi="Times New Roman"/>
          <w:b/>
          <w:sz w:val="26"/>
          <w:szCs w:val="24"/>
        </w:rPr>
        <w:t xml:space="preserve">14.    ESTIMATED ANNUALIZED COST TO FEDERAL GOVERNMENT   </w:t>
      </w:r>
    </w:p>
    <w:p w:rsidR="003F3213" w:rsidRPr="003F6159" w14:paraId="1EB54CF3" w14:textId="77777777">
      <w:pPr>
        <w:pStyle w:val="ListParagraph"/>
        <w:spacing w:after="0" w:line="240" w:lineRule="auto"/>
        <w:ind w:left="0"/>
        <w:rPr>
          <w:rFonts w:ascii="Times New Roman" w:hAnsi="Times New Roman"/>
          <w:sz w:val="26"/>
          <w:szCs w:val="24"/>
        </w:rPr>
      </w:pPr>
    </w:p>
    <w:p w:rsidR="00393C3C" w:rsidRPr="003F6159" w:rsidP="00B94A86" w14:paraId="0FE1010E" w14:textId="024424CA">
      <w:pPr>
        <w:spacing w:after="160" w:line="259" w:lineRule="auto"/>
        <w:rPr>
          <w:rFonts w:ascii="Times New Roman" w:hAnsi="Times New Roman"/>
          <w:sz w:val="26"/>
          <w:szCs w:val="24"/>
        </w:rPr>
      </w:pPr>
      <w:r w:rsidRPr="003F6159">
        <w:rPr>
          <w:rFonts w:ascii="Times New Roman" w:hAnsi="Times New Roman"/>
          <w:sz w:val="26"/>
          <w:szCs w:val="24"/>
        </w:rPr>
        <w:t>The estimate</w:t>
      </w:r>
      <w:r w:rsidRPr="003F6159" w:rsidR="005F3113">
        <w:rPr>
          <w:rFonts w:ascii="Times New Roman" w:hAnsi="Times New Roman"/>
          <w:sz w:val="26"/>
          <w:szCs w:val="24"/>
        </w:rPr>
        <w:t>s</w:t>
      </w:r>
      <w:r w:rsidRPr="003F6159">
        <w:rPr>
          <w:rFonts w:ascii="Times New Roman" w:hAnsi="Times New Roman"/>
          <w:sz w:val="26"/>
          <w:szCs w:val="24"/>
        </w:rPr>
        <w:t xml:space="preserve"> of the cost</w:t>
      </w:r>
      <w:r w:rsidRPr="003F6159" w:rsidR="00247F63">
        <w:rPr>
          <w:rFonts w:ascii="Times New Roman" w:hAnsi="Times New Roman"/>
          <w:sz w:val="26"/>
          <w:szCs w:val="24"/>
        </w:rPr>
        <w:t>s</w:t>
      </w:r>
      <w:r w:rsidRPr="003F6159">
        <w:rPr>
          <w:rFonts w:ascii="Times New Roman" w:hAnsi="Times New Roman"/>
          <w:sz w:val="26"/>
          <w:szCs w:val="24"/>
        </w:rPr>
        <w:t xml:space="preserve"> for “analysis and processing of filings</w:t>
      </w:r>
      <w:r w:rsidRPr="003F6159" w:rsidR="002E7A6B">
        <w:rPr>
          <w:rFonts w:ascii="Times New Roman" w:hAnsi="Times New Roman"/>
          <w:sz w:val="26"/>
          <w:szCs w:val="24"/>
        </w:rPr>
        <w:t>,</w:t>
      </w:r>
      <w:r w:rsidRPr="003F6159">
        <w:rPr>
          <w:rFonts w:ascii="Times New Roman" w:hAnsi="Times New Roman"/>
          <w:sz w:val="26"/>
          <w:szCs w:val="24"/>
        </w:rPr>
        <w:t xml:space="preserve">” </w:t>
      </w:r>
      <w:r w:rsidRPr="003F6159" w:rsidR="005F3113">
        <w:rPr>
          <w:rFonts w:ascii="Times New Roman" w:hAnsi="Times New Roman"/>
          <w:sz w:val="26"/>
          <w:szCs w:val="24"/>
        </w:rPr>
        <w:t xml:space="preserve">shown in </w:t>
      </w:r>
      <w:r w:rsidRPr="003F6159" w:rsidR="00095F7B">
        <w:rPr>
          <w:rFonts w:ascii="Times New Roman" w:hAnsi="Times New Roman"/>
          <w:sz w:val="26"/>
          <w:szCs w:val="24"/>
        </w:rPr>
        <w:t>Table 14-1,</w:t>
      </w:r>
      <w:r w:rsidRPr="003F6159" w:rsidR="00C44FFE">
        <w:rPr>
          <w:rFonts w:ascii="Times New Roman" w:hAnsi="Times New Roman"/>
          <w:sz w:val="26"/>
          <w:szCs w:val="24"/>
        </w:rPr>
        <w:t xml:space="preserve"> below, are</w:t>
      </w:r>
      <w:r w:rsidRPr="003F6159">
        <w:rPr>
          <w:rFonts w:ascii="Times New Roman" w:hAnsi="Times New Roman"/>
          <w:sz w:val="26"/>
          <w:szCs w:val="24"/>
        </w:rPr>
        <w:t xml:space="preserve"> based on salaries and benefits for professional and clerical support.  </w:t>
      </w:r>
      <w:r w:rsidRPr="003F6159">
        <w:rPr>
          <w:rFonts w:ascii="Times New Roman" w:hAnsi="Times New Roman"/>
          <w:sz w:val="26"/>
          <w:szCs w:val="24"/>
        </w:rPr>
        <w:t>This estimated cost</w:t>
      </w:r>
      <w:r w:rsidRPr="003F6159" w:rsidR="00C44FFE">
        <w:rPr>
          <w:rFonts w:ascii="Times New Roman" w:hAnsi="Times New Roman"/>
          <w:sz w:val="26"/>
          <w:szCs w:val="24"/>
        </w:rPr>
        <w:t>s</w:t>
      </w:r>
      <w:r w:rsidRPr="003F6159">
        <w:rPr>
          <w:rFonts w:ascii="Times New Roman" w:hAnsi="Times New Roman"/>
          <w:sz w:val="26"/>
          <w:szCs w:val="24"/>
        </w:rPr>
        <w:t xml:space="preserve"> represent staff analysis, decision-making, and review of any actual filings submitted in response to the information collections.  The estimates for the </w:t>
      </w:r>
      <w:r w:rsidRPr="003F6159" w:rsidR="00702583">
        <w:rPr>
          <w:rFonts w:ascii="Times New Roman" w:hAnsi="Times New Roman"/>
          <w:sz w:val="26"/>
          <w:szCs w:val="24"/>
        </w:rPr>
        <w:t>“</w:t>
      </w:r>
      <w:r w:rsidRPr="003F6159">
        <w:rPr>
          <w:rFonts w:ascii="Times New Roman" w:hAnsi="Times New Roman"/>
          <w:sz w:val="26"/>
          <w:szCs w:val="24"/>
        </w:rPr>
        <w:t>analysis and processing of filings</w:t>
      </w:r>
      <w:r w:rsidRPr="003F6159" w:rsidR="00702583">
        <w:rPr>
          <w:rFonts w:ascii="Times New Roman" w:hAnsi="Times New Roman"/>
          <w:sz w:val="26"/>
          <w:szCs w:val="24"/>
        </w:rPr>
        <w:t>”</w:t>
      </w:r>
      <w:r w:rsidRPr="003F6159">
        <w:rPr>
          <w:rFonts w:ascii="Times New Roman" w:hAnsi="Times New Roman"/>
          <w:sz w:val="26"/>
          <w:szCs w:val="24"/>
        </w:rPr>
        <w:t xml:space="preserve"> are for the </w:t>
      </w:r>
      <w:r w:rsidRPr="003F6159" w:rsidR="00653A1E">
        <w:rPr>
          <w:rFonts w:ascii="Times New Roman" w:hAnsi="Times New Roman"/>
          <w:sz w:val="26"/>
          <w:szCs w:val="24"/>
        </w:rPr>
        <w:t>inc</w:t>
      </w:r>
      <w:r w:rsidRPr="003F6159">
        <w:rPr>
          <w:rFonts w:ascii="Times New Roman" w:hAnsi="Times New Roman"/>
          <w:sz w:val="26"/>
          <w:szCs w:val="24"/>
        </w:rPr>
        <w:t>remental changes to 18 CFR Part 12 and the Engineering Guidelines and do not represent the entire effort or cost associated with the complete requirements of 18 CFR Part 12 and the Engineering Guidelines.</w:t>
      </w:r>
    </w:p>
    <w:p w:rsidR="00393C3C" w:rsidRPr="003F6159" w:rsidP="00F90EAC" w14:paraId="14964F6D" w14:textId="2F87D91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Table 14-1</w:t>
      </w:r>
    </w:p>
    <w:p w:rsidR="00F90EAC" w:rsidRPr="003F6159" w:rsidP="00F90EAC" w14:paraId="09A0F1CC" w14:textId="4144BD21">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Estimated Annual Federal Costs for Analysis and Processing </w:t>
      </w:r>
      <w:r w:rsidRPr="003F6159" w:rsidR="00274E78">
        <w:rPr>
          <w:rFonts w:ascii="Times New Roman" w:hAnsi="Times New Roman"/>
          <w:b/>
          <w:bCs/>
          <w:sz w:val="26"/>
          <w:szCs w:val="24"/>
        </w:rPr>
        <w:t>of Filings</w:t>
      </w:r>
    </w:p>
    <w:p w:rsidR="00264F5D" w:rsidRPr="003F6159" w14:paraId="72598BF0" w14:textId="77777777">
      <w:pPr>
        <w:pStyle w:val="ListParagraph"/>
        <w:spacing w:after="0" w:line="240" w:lineRule="auto"/>
        <w:ind w:left="0"/>
        <w:rPr>
          <w:rFonts w:ascii="Times New Roman" w:hAnsi="Times New Roman"/>
          <w:sz w:val="26"/>
          <w:szCs w:val="24"/>
        </w:rPr>
      </w:pPr>
    </w:p>
    <w:tbl>
      <w:tblPr>
        <w:tblStyle w:val="TableGrid"/>
        <w:tblW w:w="0" w:type="auto"/>
        <w:tblLook w:val="04A0"/>
      </w:tblPr>
      <w:tblGrid>
        <w:gridCol w:w="2635"/>
        <w:gridCol w:w="1767"/>
        <w:gridCol w:w="1598"/>
        <w:gridCol w:w="1573"/>
        <w:gridCol w:w="1687"/>
      </w:tblGrid>
      <w:tr w14:paraId="7D200A15" w14:textId="77777777" w:rsidTr="000757C1">
        <w:tblPrEx>
          <w:tblW w:w="0" w:type="auto"/>
          <w:tblLook w:val="04A0"/>
        </w:tblPrEx>
        <w:tc>
          <w:tcPr>
            <w:tcW w:w="0" w:type="auto"/>
            <w:vAlign w:val="bottom"/>
          </w:tcPr>
          <w:p w:rsidR="00C503F7" w:rsidRPr="003F6159" w:rsidP="000757C1" w14:paraId="148ED323"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A.</w:t>
            </w:r>
          </w:p>
          <w:p w:rsidR="00C503F7" w:rsidRPr="003F6159" w:rsidP="000757C1" w14:paraId="51536237" w14:textId="7EC29DC9">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Type of Filing</w:t>
            </w:r>
          </w:p>
        </w:tc>
        <w:tc>
          <w:tcPr>
            <w:tcW w:w="0" w:type="auto"/>
            <w:vAlign w:val="bottom"/>
          </w:tcPr>
          <w:p w:rsidR="00C503F7" w:rsidRPr="003F6159" w:rsidP="000757C1" w14:paraId="2F1FE7E3"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B.</w:t>
            </w:r>
          </w:p>
          <w:p w:rsidR="00C503F7" w:rsidRPr="003F6159" w:rsidP="000757C1" w14:paraId="06EBBF03" w14:textId="5860E81A">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Number of Filings Annually</w:t>
            </w:r>
          </w:p>
        </w:tc>
        <w:tc>
          <w:tcPr>
            <w:tcW w:w="0" w:type="auto"/>
            <w:vAlign w:val="bottom"/>
          </w:tcPr>
          <w:p w:rsidR="00C503F7" w:rsidRPr="003F6159" w:rsidP="000757C1" w14:paraId="3ED5EAD1"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C.</w:t>
            </w:r>
          </w:p>
          <w:p w:rsidR="00C503F7" w:rsidRPr="003F6159" w:rsidP="000757C1" w14:paraId="1D0B8034" w14:textId="15326D8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Hours per Filing</w:t>
            </w:r>
          </w:p>
        </w:tc>
        <w:tc>
          <w:tcPr>
            <w:tcW w:w="0" w:type="auto"/>
            <w:vAlign w:val="bottom"/>
          </w:tcPr>
          <w:p w:rsidR="00B27CFF" w:rsidRPr="003F6159" w:rsidP="000757C1" w14:paraId="27AC78D0"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D</w:t>
            </w:r>
            <w:r w:rsidRPr="003F6159">
              <w:rPr>
                <w:rFonts w:ascii="Times New Roman" w:hAnsi="Times New Roman"/>
                <w:b/>
                <w:bCs/>
                <w:sz w:val="26"/>
                <w:szCs w:val="24"/>
              </w:rPr>
              <w:t>.</w:t>
            </w:r>
          </w:p>
          <w:p w:rsidR="00C503F7" w:rsidRPr="003F6159" w:rsidP="00A2698F" w14:paraId="3954E946" w14:textId="4CBF68C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Cost per Filing</w:t>
            </w:r>
          </w:p>
          <w:p w:rsidR="00712398" w:rsidRPr="003F6159" w:rsidP="00A2698F" w14:paraId="3D043E3A" w14:textId="0AF93B78">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(Col. </w:t>
            </w:r>
            <w:r w:rsidRPr="003F6159" w:rsidR="006D4EC4">
              <w:rPr>
                <w:rFonts w:ascii="Times New Roman" w:hAnsi="Times New Roman"/>
                <w:b/>
                <w:bCs/>
                <w:sz w:val="26"/>
                <w:szCs w:val="24"/>
              </w:rPr>
              <w:t>C</w:t>
            </w:r>
            <w:r w:rsidRPr="003F6159">
              <w:rPr>
                <w:rFonts w:ascii="Times New Roman" w:hAnsi="Times New Roman"/>
                <w:b/>
                <w:bCs/>
                <w:sz w:val="26"/>
                <w:szCs w:val="24"/>
              </w:rPr>
              <w:t xml:space="preserve"> x $</w:t>
            </w:r>
            <w:r w:rsidR="003A44E9">
              <w:rPr>
                <w:rFonts w:ascii="Times New Roman" w:hAnsi="Times New Roman"/>
                <w:b/>
                <w:bCs/>
                <w:sz w:val="26"/>
                <w:szCs w:val="24"/>
              </w:rPr>
              <w:t>100</w:t>
            </w:r>
            <w:r w:rsidRPr="003F6159" w:rsidR="00640129">
              <w:rPr>
                <w:rFonts w:ascii="Times New Roman" w:hAnsi="Times New Roman"/>
                <w:b/>
                <w:bCs/>
                <w:sz w:val="26"/>
                <w:szCs w:val="24"/>
              </w:rPr>
              <w:t>)</w:t>
            </w:r>
            <w:r>
              <w:rPr>
                <w:rStyle w:val="FootnoteReference"/>
                <w:rFonts w:ascii="Times New Roman" w:eastAsia="Times New Roman" w:hAnsi="Times New Roman"/>
                <w:b/>
                <w:bCs/>
                <w:sz w:val="26"/>
                <w:szCs w:val="24"/>
                <w:vertAlign w:val="superscript"/>
              </w:rPr>
              <w:footnoteReference w:id="19"/>
            </w:r>
          </w:p>
        </w:tc>
        <w:tc>
          <w:tcPr>
            <w:tcW w:w="0" w:type="auto"/>
            <w:vAlign w:val="bottom"/>
          </w:tcPr>
          <w:p w:rsidR="00C503F7" w:rsidRPr="003F6159" w:rsidP="000757C1" w14:paraId="0B853733" w14:textId="5C3A20AC">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w:t>
            </w:r>
          </w:p>
          <w:p w:rsidR="00C503F7" w:rsidRPr="003F6159" w:rsidP="000757C1" w14:paraId="698645B4" w14:textId="6FD1AAA0">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Federal Cost Annually</w:t>
            </w:r>
          </w:p>
          <w:p w:rsidR="00C503F7" w:rsidRPr="003F6159" w:rsidP="00A2698F" w14:paraId="5D420183" w14:textId="201072B4">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(Col. B </w:t>
            </w:r>
            <w:r w:rsidRPr="003F6159" w:rsidR="005C5ECC">
              <w:rPr>
                <w:rFonts w:ascii="Times New Roman" w:hAnsi="Times New Roman"/>
                <w:b/>
                <w:bCs/>
                <w:sz w:val="26"/>
                <w:szCs w:val="24"/>
              </w:rPr>
              <w:t>x Col. D)</w:t>
            </w:r>
          </w:p>
        </w:tc>
      </w:tr>
      <w:tr w14:paraId="20586FCB" w14:textId="77777777" w:rsidTr="007B2127">
        <w:tblPrEx>
          <w:tblW w:w="0" w:type="auto"/>
          <w:tblLook w:val="04A0"/>
        </w:tblPrEx>
        <w:tc>
          <w:tcPr>
            <w:tcW w:w="0" w:type="auto"/>
            <w:vAlign w:val="center"/>
          </w:tcPr>
          <w:p w:rsidR="00C503F7" w:rsidRPr="003F6159" w:rsidP="00F715F0" w14:paraId="512FCBF4" w14:textId="7C18672E">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Applicant’s or Licensee’s Report of Project-Related Deaths, Serious Injuries, or Rescues</w:t>
            </w:r>
          </w:p>
        </w:tc>
        <w:tc>
          <w:tcPr>
            <w:tcW w:w="0" w:type="auto"/>
            <w:vAlign w:val="bottom"/>
          </w:tcPr>
          <w:p w:rsidR="00C503F7" w:rsidRPr="003F6159" w:rsidP="007B2127" w14:paraId="31B02117" w14:textId="665BAAF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139</w:t>
            </w:r>
          </w:p>
        </w:tc>
        <w:tc>
          <w:tcPr>
            <w:tcW w:w="0" w:type="auto"/>
            <w:vAlign w:val="bottom"/>
          </w:tcPr>
          <w:p w:rsidR="00C503F7" w:rsidRPr="003F6159" w:rsidP="004D14B0" w14:paraId="4CF233D7" w14:textId="4A9E61CF">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00C503F7" w:rsidRPr="003F6159" w:rsidP="00B27CFF" w14:paraId="68F6A920" w14:textId="166B1D7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EA7F17">
              <w:rPr>
                <w:rFonts w:ascii="Times New Roman" w:hAnsi="Times New Roman"/>
                <w:sz w:val="26"/>
                <w:szCs w:val="24"/>
              </w:rPr>
              <w:t>100</w:t>
            </w:r>
          </w:p>
        </w:tc>
        <w:tc>
          <w:tcPr>
            <w:tcW w:w="0" w:type="auto"/>
            <w:vAlign w:val="bottom"/>
          </w:tcPr>
          <w:p w:rsidR="00C503F7" w:rsidRPr="003F6159" w:rsidP="00B91F39" w14:paraId="02BB99B3" w14:textId="7E8133A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1</w:t>
            </w:r>
            <w:r w:rsidR="00A063ED">
              <w:rPr>
                <w:rFonts w:ascii="Times New Roman" w:hAnsi="Times New Roman"/>
                <w:sz w:val="26"/>
                <w:szCs w:val="24"/>
              </w:rPr>
              <w:t>3</w:t>
            </w:r>
            <w:r w:rsidRPr="003F6159" w:rsidR="00102148">
              <w:rPr>
                <w:rFonts w:ascii="Times New Roman" w:hAnsi="Times New Roman"/>
                <w:sz w:val="26"/>
                <w:szCs w:val="24"/>
              </w:rPr>
              <w:t>,</w:t>
            </w:r>
            <w:r w:rsidR="00A063ED">
              <w:rPr>
                <w:rFonts w:ascii="Times New Roman" w:hAnsi="Times New Roman"/>
                <w:sz w:val="26"/>
                <w:szCs w:val="24"/>
              </w:rPr>
              <w:t>900</w:t>
            </w:r>
          </w:p>
        </w:tc>
      </w:tr>
      <w:tr w14:paraId="2F775AF4" w14:textId="77777777" w:rsidTr="007B2127">
        <w:tblPrEx>
          <w:tblW w:w="0" w:type="auto"/>
          <w:tblLook w:val="04A0"/>
        </w:tblPrEx>
        <w:tc>
          <w:tcPr>
            <w:tcW w:w="0" w:type="auto"/>
            <w:vAlign w:val="center"/>
          </w:tcPr>
          <w:p w:rsidR="00C503F7" w:rsidRPr="003F6159" w:rsidP="00F715F0" w14:paraId="7BC5815B" w14:textId="7CD207ED">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Ind. Cons. Team Proposals and Reports on PIs and CAs ― Simple Facility</w:t>
            </w:r>
            <w:r w:rsidRPr="003F6159">
              <w:rPr>
                <w:rFonts w:ascii="Times New Roman" w:hAnsi="Times New Roman"/>
                <w:bCs/>
                <w:sz w:val="26"/>
                <w:szCs w:val="24"/>
                <w:vertAlign w:val="superscript"/>
              </w:rPr>
              <w:t xml:space="preserve"> </w:t>
            </w:r>
          </w:p>
        </w:tc>
        <w:tc>
          <w:tcPr>
            <w:tcW w:w="0" w:type="auto"/>
            <w:vAlign w:val="bottom"/>
          </w:tcPr>
          <w:p w:rsidR="00C503F7" w:rsidRPr="003F6159" w:rsidP="007B2127" w14:paraId="63006C41" w14:textId="65B9C26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00C503F7" w:rsidRPr="003F6159" w:rsidP="004D14B0" w14:paraId="2245DE8B" w14:textId="5E368F1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1.1</w:t>
            </w:r>
          </w:p>
        </w:tc>
        <w:tc>
          <w:tcPr>
            <w:tcW w:w="0" w:type="auto"/>
            <w:vAlign w:val="bottom"/>
          </w:tcPr>
          <w:p w:rsidR="00C503F7" w:rsidRPr="003F6159" w:rsidP="00B27CFF" w14:paraId="23AF1E49" w14:textId="2CAEEBD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BB428A">
              <w:rPr>
                <w:rFonts w:ascii="Times New Roman" w:hAnsi="Times New Roman"/>
                <w:sz w:val="26"/>
                <w:szCs w:val="24"/>
              </w:rPr>
              <w:t>110</w:t>
            </w:r>
          </w:p>
        </w:tc>
        <w:tc>
          <w:tcPr>
            <w:tcW w:w="0" w:type="auto"/>
            <w:vAlign w:val="bottom"/>
          </w:tcPr>
          <w:p w:rsidR="00C503F7" w:rsidRPr="003F6159" w:rsidP="00B91F39" w14:paraId="6D7747AB" w14:textId="39330BF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677BA6">
              <w:rPr>
                <w:rFonts w:ascii="Times New Roman" w:hAnsi="Times New Roman"/>
                <w:sz w:val="26"/>
                <w:szCs w:val="24"/>
              </w:rPr>
              <w:t>4,125</w:t>
            </w:r>
          </w:p>
        </w:tc>
      </w:tr>
      <w:tr w14:paraId="16E66AD6" w14:textId="77777777" w:rsidTr="007B2127">
        <w:tblPrEx>
          <w:tblW w:w="0" w:type="auto"/>
          <w:tblLook w:val="04A0"/>
        </w:tblPrEx>
        <w:tc>
          <w:tcPr>
            <w:tcW w:w="0" w:type="auto"/>
            <w:vAlign w:val="center"/>
          </w:tcPr>
          <w:p w:rsidR="00C503F7" w:rsidRPr="003F6159" w:rsidP="00F715F0" w14:paraId="10E8FEE3" w14:textId="66A658DB">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Ind. Cons. Team Proposals and Reports on PIs and CAs ― </w:t>
            </w:r>
            <w:r w:rsidRPr="003F6159">
              <w:rPr>
                <w:rFonts w:ascii="Times New Roman" w:hAnsi="Times New Roman"/>
                <w:sz w:val="26"/>
                <w:szCs w:val="24"/>
              </w:rPr>
              <w:t>Complex  Facility</w:t>
            </w:r>
          </w:p>
        </w:tc>
        <w:tc>
          <w:tcPr>
            <w:tcW w:w="0" w:type="auto"/>
            <w:vAlign w:val="bottom"/>
          </w:tcPr>
          <w:p w:rsidR="00C503F7" w:rsidRPr="003F6159" w:rsidP="007B2127" w14:paraId="5586FF70" w14:textId="2262F37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00C503F7" w:rsidRPr="003F6159" w:rsidP="004D14B0" w14:paraId="370255A3" w14:textId="58A1273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1.8</w:t>
            </w:r>
          </w:p>
        </w:tc>
        <w:tc>
          <w:tcPr>
            <w:tcW w:w="0" w:type="auto"/>
            <w:vAlign w:val="bottom"/>
          </w:tcPr>
          <w:p w:rsidR="00C503F7" w:rsidRPr="003F6159" w:rsidP="00B27CFF" w14:paraId="6FEA267B" w14:textId="64C49ED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00BB428A">
              <w:rPr>
                <w:rFonts w:ascii="Times New Roman" w:hAnsi="Times New Roman"/>
                <w:sz w:val="26"/>
                <w:szCs w:val="24"/>
              </w:rPr>
              <w:t>80</w:t>
            </w:r>
          </w:p>
        </w:tc>
        <w:tc>
          <w:tcPr>
            <w:tcW w:w="0" w:type="auto"/>
            <w:vAlign w:val="bottom"/>
          </w:tcPr>
          <w:p w:rsidR="00C503F7" w:rsidRPr="003F6159" w:rsidP="00B91F39" w14:paraId="6F9C21E8" w14:textId="1E56842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677BA6">
              <w:rPr>
                <w:rFonts w:ascii="Times New Roman" w:hAnsi="Times New Roman"/>
                <w:sz w:val="26"/>
                <w:szCs w:val="24"/>
              </w:rPr>
              <w:t>6,750</w:t>
            </w:r>
          </w:p>
        </w:tc>
      </w:tr>
      <w:tr w14:paraId="322B09C1" w14:textId="77777777" w:rsidTr="007B2127">
        <w:tblPrEx>
          <w:tblW w:w="0" w:type="auto"/>
          <w:tblLook w:val="04A0"/>
        </w:tblPrEx>
        <w:tc>
          <w:tcPr>
            <w:tcW w:w="0" w:type="auto"/>
            <w:vAlign w:val="center"/>
          </w:tcPr>
          <w:p w:rsidR="00C503F7" w:rsidRPr="003F6159" w:rsidP="00F715F0" w14:paraId="209D4340" w14:textId="2F9DBF64">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Licensee’s Request for Exemption</w:t>
            </w:r>
          </w:p>
        </w:tc>
        <w:tc>
          <w:tcPr>
            <w:tcW w:w="0" w:type="auto"/>
            <w:vAlign w:val="bottom"/>
          </w:tcPr>
          <w:p w:rsidR="00C503F7" w:rsidRPr="003F6159" w:rsidP="007B2127" w14:paraId="4C29A7DF" w14:textId="4923934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10</w:t>
            </w:r>
          </w:p>
        </w:tc>
        <w:tc>
          <w:tcPr>
            <w:tcW w:w="0" w:type="auto"/>
            <w:vAlign w:val="bottom"/>
          </w:tcPr>
          <w:p w:rsidR="00C503F7" w:rsidRPr="003F6159" w:rsidP="004D14B0" w14:paraId="7519E3A2" w14:textId="396A93F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00C503F7" w:rsidRPr="003F6159" w:rsidP="00B27CFF" w14:paraId="293867CE" w14:textId="26566B3F">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BB428A">
              <w:rPr>
                <w:rFonts w:ascii="Times New Roman" w:hAnsi="Times New Roman"/>
                <w:sz w:val="26"/>
                <w:szCs w:val="24"/>
              </w:rPr>
              <w:t>100</w:t>
            </w:r>
          </w:p>
        </w:tc>
        <w:tc>
          <w:tcPr>
            <w:tcW w:w="0" w:type="auto"/>
            <w:vAlign w:val="bottom"/>
          </w:tcPr>
          <w:p w:rsidR="00C503F7" w:rsidRPr="003F6159" w:rsidP="00B91F39" w14:paraId="7D3EC4F2" w14:textId="5AD5BA6B">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2A5E34">
              <w:rPr>
                <w:rFonts w:ascii="Times New Roman" w:hAnsi="Times New Roman"/>
                <w:sz w:val="26"/>
                <w:szCs w:val="24"/>
              </w:rPr>
              <w:t>1,000</w:t>
            </w:r>
          </w:p>
        </w:tc>
      </w:tr>
      <w:tr w14:paraId="37A7609D" w14:textId="77777777" w:rsidTr="007B2127">
        <w:tblPrEx>
          <w:tblW w:w="0" w:type="auto"/>
          <w:tblLook w:val="04A0"/>
        </w:tblPrEx>
        <w:tc>
          <w:tcPr>
            <w:tcW w:w="0" w:type="auto"/>
            <w:vAlign w:val="center"/>
          </w:tcPr>
          <w:p w:rsidR="00C503F7" w:rsidRPr="003F6159" w:rsidP="00F715F0" w14:paraId="3821FE5D" w14:textId="23576BB9">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 Small Program</w:t>
            </w:r>
          </w:p>
        </w:tc>
        <w:tc>
          <w:tcPr>
            <w:tcW w:w="0" w:type="auto"/>
            <w:vAlign w:val="bottom"/>
          </w:tcPr>
          <w:p w:rsidR="00C503F7" w:rsidRPr="003F6159" w:rsidP="007B2127" w14:paraId="0B281A0B" w14:textId="74D592E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00C503F7" w:rsidRPr="003F6159" w:rsidP="004D14B0" w14:paraId="1C7BCCD3" w14:textId="44C7B94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00C503F7" w:rsidRPr="003F6159" w:rsidP="00B27CFF" w14:paraId="273BB775" w14:textId="0B6F12D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BB428A">
              <w:rPr>
                <w:rFonts w:ascii="Times New Roman" w:hAnsi="Times New Roman"/>
                <w:sz w:val="26"/>
                <w:szCs w:val="24"/>
              </w:rPr>
              <w:t>800</w:t>
            </w:r>
          </w:p>
        </w:tc>
        <w:tc>
          <w:tcPr>
            <w:tcW w:w="0" w:type="auto"/>
            <w:vAlign w:val="bottom"/>
          </w:tcPr>
          <w:p w:rsidR="00C503F7" w:rsidRPr="003F6159" w:rsidP="00B91F39" w14:paraId="546D704D" w14:textId="6E25835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r w:rsidR="002A5E34">
              <w:rPr>
                <w:rFonts w:ascii="Times New Roman" w:hAnsi="Times New Roman"/>
                <w:sz w:val="26"/>
                <w:szCs w:val="24"/>
              </w:rPr>
              <w:t>8,800</w:t>
            </w:r>
          </w:p>
        </w:tc>
      </w:tr>
      <w:tr w14:paraId="66C7E750" w14:textId="77777777" w:rsidTr="007B2127">
        <w:tblPrEx>
          <w:tblW w:w="0" w:type="auto"/>
          <w:tblLook w:val="04A0"/>
        </w:tblPrEx>
        <w:tc>
          <w:tcPr>
            <w:tcW w:w="0" w:type="auto"/>
            <w:vAlign w:val="center"/>
          </w:tcPr>
          <w:p w:rsidR="00C503F7" w:rsidRPr="003F6159" w:rsidP="00F715F0" w14:paraId="2B324020" w14:textId="3B73DC0E">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 Large Program</w:t>
            </w:r>
          </w:p>
        </w:tc>
        <w:tc>
          <w:tcPr>
            <w:tcW w:w="0" w:type="auto"/>
            <w:vAlign w:val="bottom"/>
          </w:tcPr>
          <w:p w:rsidR="00C503F7" w:rsidRPr="003F6159" w:rsidP="007B2127" w14:paraId="41D2E457" w14:textId="4070D99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00C503F7" w:rsidRPr="003F6159" w:rsidP="004D14B0" w14:paraId="528EB9D7" w14:textId="0F0D874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00C503F7" w:rsidRPr="003F6159" w:rsidP="00B27CFF" w14:paraId="6771CAF6" w14:textId="662F94A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BB428A">
              <w:rPr>
                <w:rFonts w:ascii="Times New Roman" w:hAnsi="Times New Roman"/>
                <w:sz w:val="26"/>
                <w:szCs w:val="24"/>
              </w:rPr>
              <w:t>800</w:t>
            </w:r>
          </w:p>
        </w:tc>
        <w:tc>
          <w:tcPr>
            <w:tcW w:w="0" w:type="auto"/>
            <w:vAlign w:val="bottom"/>
          </w:tcPr>
          <w:p w:rsidR="00C503F7" w:rsidRPr="003F6159" w:rsidP="00B91F39" w14:paraId="487C5DF3" w14:textId="20C4A206">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2A5E34">
              <w:rPr>
                <w:rFonts w:ascii="Times New Roman" w:hAnsi="Times New Roman"/>
                <w:sz w:val="26"/>
                <w:szCs w:val="24"/>
              </w:rPr>
              <w:t>7,200</w:t>
            </w:r>
          </w:p>
        </w:tc>
      </w:tr>
      <w:tr w14:paraId="0F99268E" w14:textId="77777777" w:rsidTr="007B2127">
        <w:tblPrEx>
          <w:tblW w:w="0" w:type="auto"/>
          <w:tblLook w:val="04A0"/>
        </w:tblPrEx>
        <w:tc>
          <w:tcPr>
            <w:tcW w:w="0" w:type="auto"/>
            <w:vAlign w:val="center"/>
          </w:tcPr>
          <w:p w:rsidR="00C503F7" w:rsidRPr="003F6159" w:rsidP="00F715F0" w14:paraId="1E01DC94" w14:textId="7C75FECB">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Revision</w:t>
            </w:r>
          </w:p>
        </w:tc>
        <w:tc>
          <w:tcPr>
            <w:tcW w:w="0" w:type="auto"/>
            <w:vAlign w:val="bottom"/>
          </w:tcPr>
          <w:p w:rsidR="00C503F7" w:rsidRPr="003F6159" w:rsidP="007B2127" w14:paraId="4877DE8D" w14:textId="4459636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225</w:t>
            </w:r>
          </w:p>
        </w:tc>
        <w:tc>
          <w:tcPr>
            <w:tcW w:w="0" w:type="auto"/>
            <w:vAlign w:val="bottom"/>
          </w:tcPr>
          <w:p w:rsidR="00C503F7" w:rsidRPr="003F6159" w:rsidP="004D14B0" w14:paraId="39A19752" w14:textId="7E1D785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p>
        </w:tc>
        <w:tc>
          <w:tcPr>
            <w:tcW w:w="0" w:type="auto"/>
            <w:vAlign w:val="bottom"/>
          </w:tcPr>
          <w:p w:rsidR="00C503F7" w:rsidRPr="003F6159" w:rsidP="00B27CFF" w14:paraId="39BC814E" w14:textId="6294794F">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3F70FD">
              <w:rPr>
                <w:rFonts w:ascii="Times New Roman" w:hAnsi="Times New Roman"/>
                <w:sz w:val="26"/>
                <w:szCs w:val="24"/>
              </w:rPr>
              <w:t>200</w:t>
            </w:r>
          </w:p>
        </w:tc>
        <w:tc>
          <w:tcPr>
            <w:tcW w:w="0" w:type="auto"/>
            <w:vAlign w:val="bottom"/>
          </w:tcPr>
          <w:p w:rsidR="00C503F7" w:rsidRPr="003F6159" w:rsidP="00B91F39" w14:paraId="0737054D" w14:textId="6297200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0E4FA7">
              <w:rPr>
                <w:rFonts w:ascii="Times New Roman" w:hAnsi="Times New Roman"/>
                <w:sz w:val="26"/>
                <w:szCs w:val="24"/>
              </w:rPr>
              <w:t>45,000</w:t>
            </w:r>
          </w:p>
        </w:tc>
      </w:tr>
      <w:tr w14:paraId="7AF62203" w14:textId="77777777" w:rsidTr="007B2127">
        <w:tblPrEx>
          <w:tblW w:w="0" w:type="auto"/>
          <w:tblLook w:val="04A0"/>
        </w:tblPrEx>
        <w:tc>
          <w:tcPr>
            <w:tcW w:w="0" w:type="auto"/>
            <w:vAlign w:val="center"/>
          </w:tcPr>
          <w:p w:rsidR="00C503F7" w:rsidRPr="003F6159" w:rsidP="00F715F0" w14:paraId="0168DECC" w14:textId="55BCAB81">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Qualification Statement for External Audit or Peer Review</w:t>
            </w:r>
          </w:p>
        </w:tc>
        <w:tc>
          <w:tcPr>
            <w:tcW w:w="0" w:type="auto"/>
            <w:vAlign w:val="bottom"/>
          </w:tcPr>
          <w:p w:rsidR="00C503F7" w:rsidRPr="003F6159" w:rsidP="007B2127" w14:paraId="2F37D6FB" w14:textId="3448556B">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45</w:t>
            </w:r>
          </w:p>
        </w:tc>
        <w:tc>
          <w:tcPr>
            <w:tcW w:w="0" w:type="auto"/>
            <w:vAlign w:val="bottom"/>
          </w:tcPr>
          <w:p w:rsidR="00C503F7" w:rsidRPr="003F6159" w:rsidP="004D14B0" w14:paraId="0C3F2EBC" w14:textId="7ED6529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p>
        </w:tc>
        <w:tc>
          <w:tcPr>
            <w:tcW w:w="0" w:type="auto"/>
            <w:vAlign w:val="bottom"/>
          </w:tcPr>
          <w:p w:rsidR="00C503F7" w:rsidRPr="003F6159" w:rsidP="00B27CFF" w14:paraId="6047B39B" w14:textId="0561FF5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3F70FD">
              <w:rPr>
                <w:rFonts w:ascii="Times New Roman" w:hAnsi="Times New Roman"/>
                <w:sz w:val="26"/>
                <w:szCs w:val="24"/>
              </w:rPr>
              <w:t>200</w:t>
            </w:r>
          </w:p>
        </w:tc>
        <w:tc>
          <w:tcPr>
            <w:tcW w:w="0" w:type="auto"/>
            <w:vAlign w:val="bottom"/>
          </w:tcPr>
          <w:p w:rsidR="00C503F7" w:rsidRPr="003F6159" w:rsidP="00B91F39" w14:paraId="6EF08F37" w14:textId="7EDFD7F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FD30CA">
              <w:rPr>
                <w:rFonts w:ascii="Times New Roman" w:hAnsi="Times New Roman"/>
                <w:sz w:val="26"/>
                <w:szCs w:val="24"/>
              </w:rPr>
              <w:t>9,000</w:t>
            </w:r>
          </w:p>
        </w:tc>
      </w:tr>
      <w:tr w14:paraId="2FAE499C" w14:textId="77777777" w:rsidTr="007B2127">
        <w:tblPrEx>
          <w:tblW w:w="0" w:type="auto"/>
          <w:tblLook w:val="04A0"/>
        </w:tblPrEx>
        <w:tc>
          <w:tcPr>
            <w:tcW w:w="0" w:type="auto"/>
            <w:vAlign w:val="center"/>
          </w:tcPr>
          <w:p w:rsidR="00C503F7" w:rsidRPr="003F6159" w:rsidP="00F715F0" w14:paraId="4F83BE88" w14:textId="04B45742">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External Audit or Peer Review Report ― Small Program</w:t>
            </w:r>
            <w:r w:rsidRPr="003F6159">
              <w:rPr>
                <w:rStyle w:val="FootnoteReference"/>
                <w:rFonts w:ascii="Times New Roman" w:hAnsi="Times New Roman"/>
                <w:sz w:val="26"/>
                <w:szCs w:val="24"/>
                <w:vertAlign w:val="superscript"/>
              </w:rPr>
              <w:t xml:space="preserve"> </w:t>
            </w:r>
          </w:p>
        </w:tc>
        <w:tc>
          <w:tcPr>
            <w:tcW w:w="0" w:type="auto"/>
            <w:vAlign w:val="bottom"/>
          </w:tcPr>
          <w:p w:rsidR="00C503F7" w:rsidRPr="003F6159" w:rsidP="007B2127" w14:paraId="0C31418C" w14:textId="5601B74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00C503F7" w:rsidRPr="003F6159" w:rsidP="004D14B0" w14:paraId="58AC5F0A" w14:textId="5D22158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00C503F7" w:rsidRPr="003F6159" w:rsidP="00B27CFF" w14:paraId="6A7C54A1" w14:textId="5C5D23E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3F70FD">
              <w:rPr>
                <w:rFonts w:ascii="Times New Roman" w:hAnsi="Times New Roman"/>
                <w:sz w:val="26"/>
                <w:szCs w:val="24"/>
              </w:rPr>
              <w:t>800</w:t>
            </w:r>
          </w:p>
        </w:tc>
        <w:tc>
          <w:tcPr>
            <w:tcW w:w="0" w:type="auto"/>
            <w:vAlign w:val="bottom"/>
          </w:tcPr>
          <w:p w:rsidR="00C503F7" w:rsidRPr="003F6159" w:rsidP="00B91F39" w14:paraId="67C6F1E6" w14:textId="0521B734">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r w:rsidR="00AB140C">
              <w:rPr>
                <w:rFonts w:ascii="Times New Roman" w:hAnsi="Times New Roman"/>
                <w:sz w:val="26"/>
                <w:szCs w:val="24"/>
              </w:rPr>
              <w:t>8,800</w:t>
            </w:r>
          </w:p>
        </w:tc>
      </w:tr>
      <w:tr w14:paraId="00FE1E93" w14:textId="77777777" w:rsidTr="007B2127">
        <w:tblPrEx>
          <w:tblW w:w="0" w:type="auto"/>
          <w:tblLook w:val="04A0"/>
        </w:tblPrEx>
        <w:tc>
          <w:tcPr>
            <w:tcW w:w="0" w:type="auto"/>
            <w:vAlign w:val="center"/>
          </w:tcPr>
          <w:p w:rsidR="00C503F7" w:rsidRPr="003F6159" w:rsidP="00F715F0" w14:paraId="4C4AABF4" w14:textId="14EC9F65">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External Audit or Peer Review Report ― Large Program</w:t>
            </w:r>
          </w:p>
        </w:tc>
        <w:tc>
          <w:tcPr>
            <w:tcW w:w="0" w:type="auto"/>
            <w:vAlign w:val="bottom"/>
          </w:tcPr>
          <w:p w:rsidR="00C503F7" w:rsidRPr="003F6159" w:rsidP="007B2127" w14:paraId="67B39803" w14:textId="1AE0C44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00C503F7" w:rsidRPr="003F6159" w:rsidP="004D14B0" w14:paraId="6FDBAC43" w14:textId="2226E18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00C503F7" w:rsidRPr="003F6159" w:rsidP="00B27CFF" w14:paraId="0FF4A2C4" w14:textId="7C366054">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3F70FD">
              <w:rPr>
                <w:rFonts w:ascii="Times New Roman" w:hAnsi="Times New Roman"/>
                <w:sz w:val="26"/>
                <w:szCs w:val="24"/>
              </w:rPr>
              <w:t>800</w:t>
            </w:r>
          </w:p>
        </w:tc>
        <w:tc>
          <w:tcPr>
            <w:tcW w:w="0" w:type="auto"/>
            <w:vAlign w:val="bottom"/>
          </w:tcPr>
          <w:p w:rsidR="00C503F7" w:rsidRPr="003F6159" w:rsidP="00B91F39" w14:paraId="596C8C3C" w14:textId="2274235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AB140C">
              <w:rPr>
                <w:rFonts w:ascii="Times New Roman" w:hAnsi="Times New Roman"/>
                <w:sz w:val="26"/>
                <w:szCs w:val="24"/>
              </w:rPr>
              <w:t>7,200</w:t>
            </w:r>
          </w:p>
        </w:tc>
      </w:tr>
      <w:tr w14:paraId="502CDB78" w14:textId="77777777" w:rsidTr="007B2127">
        <w:tblPrEx>
          <w:tblW w:w="0" w:type="auto"/>
          <w:tblLook w:val="04A0"/>
        </w:tblPrEx>
        <w:tc>
          <w:tcPr>
            <w:tcW w:w="0" w:type="auto"/>
            <w:vAlign w:val="center"/>
          </w:tcPr>
          <w:p w:rsidR="00C503F7" w:rsidRPr="003F6159" w:rsidP="00F715F0" w14:paraId="2FE7AD9E" w14:textId="2A2E6442">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Request for Extension of Time</w:t>
            </w:r>
          </w:p>
        </w:tc>
        <w:tc>
          <w:tcPr>
            <w:tcW w:w="0" w:type="auto"/>
            <w:vAlign w:val="bottom"/>
          </w:tcPr>
          <w:p w:rsidR="00C503F7" w:rsidRPr="003F6159" w:rsidP="007B2127" w14:paraId="65FC536D" w14:textId="3BD5EAE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5</w:t>
            </w:r>
          </w:p>
        </w:tc>
        <w:tc>
          <w:tcPr>
            <w:tcW w:w="0" w:type="auto"/>
            <w:vAlign w:val="bottom"/>
          </w:tcPr>
          <w:p w:rsidR="00C503F7" w:rsidRPr="003F6159" w:rsidP="004D14B0" w14:paraId="1C195773" w14:textId="45B3A7C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00C503F7" w:rsidRPr="003F6159" w:rsidP="00B27CFF" w14:paraId="7AE72F76" w14:textId="4D1A5E7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003F70FD">
              <w:rPr>
                <w:rFonts w:ascii="Times New Roman" w:hAnsi="Times New Roman"/>
                <w:sz w:val="26"/>
                <w:szCs w:val="24"/>
              </w:rPr>
              <w:t>100</w:t>
            </w:r>
          </w:p>
        </w:tc>
        <w:tc>
          <w:tcPr>
            <w:tcW w:w="0" w:type="auto"/>
            <w:vAlign w:val="bottom"/>
          </w:tcPr>
          <w:p w:rsidR="00C503F7" w:rsidRPr="003F6159" w:rsidP="00B91F39" w14:paraId="133CA6A7" w14:textId="44D5282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$5</w:t>
            </w:r>
            <w:r w:rsidR="00CA6AE9">
              <w:rPr>
                <w:rFonts w:ascii="Times New Roman" w:hAnsi="Times New Roman"/>
                <w:sz w:val="26"/>
                <w:szCs w:val="24"/>
              </w:rPr>
              <w:t>00</w:t>
            </w:r>
          </w:p>
        </w:tc>
      </w:tr>
      <w:tr w14:paraId="30EE005F" w14:textId="77777777" w:rsidTr="003F6159">
        <w:tblPrEx>
          <w:tblW w:w="0" w:type="auto"/>
          <w:tblLook w:val="04A0"/>
        </w:tblPrEx>
        <w:trPr>
          <w:trHeight w:val="116"/>
        </w:trPr>
        <w:tc>
          <w:tcPr>
            <w:tcW w:w="0" w:type="auto"/>
            <w:vAlign w:val="center"/>
          </w:tcPr>
          <w:p w:rsidR="00C503F7" w:rsidRPr="003F6159" w:rsidP="00F715F0" w14:paraId="4A516772" w14:textId="0782EF37">
            <w:pPr>
              <w:pStyle w:val="ListParagraph"/>
              <w:spacing w:after="0" w:line="240" w:lineRule="auto"/>
              <w:ind w:left="0"/>
              <w:rPr>
                <w:rFonts w:ascii="Times New Roman" w:hAnsi="Times New Roman"/>
                <w:b/>
                <w:bCs/>
                <w:sz w:val="26"/>
                <w:szCs w:val="24"/>
              </w:rPr>
            </w:pPr>
            <w:r w:rsidRPr="003F6159">
              <w:rPr>
                <w:rFonts w:ascii="Times New Roman" w:hAnsi="Times New Roman"/>
                <w:b/>
                <w:bCs/>
                <w:sz w:val="26"/>
                <w:szCs w:val="24"/>
              </w:rPr>
              <w:t>Totals</w:t>
            </w:r>
          </w:p>
        </w:tc>
        <w:tc>
          <w:tcPr>
            <w:tcW w:w="0" w:type="auto"/>
            <w:vAlign w:val="bottom"/>
          </w:tcPr>
          <w:p w:rsidR="00C503F7" w:rsidRPr="003F6159" w:rsidP="00E84949" w14:paraId="2FFA5DA0" w14:textId="44832B57">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5</w:t>
            </w:r>
            <w:r w:rsidR="00BD6DF9">
              <w:rPr>
                <w:rFonts w:ascii="Times New Roman" w:hAnsi="Times New Roman"/>
                <w:sz w:val="26"/>
                <w:szCs w:val="24"/>
              </w:rPr>
              <w:t>90</w:t>
            </w:r>
          </w:p>
        </w:tc>
        <w:tc>
          <w:tcPr>
            <w:tcW w:w="0" w:type="auto"/>
            <w:vAlign w:val="bottom"/>
          </w:tcPr>
          <w:p w:rsidR="00C503F7" w:rsidRPr="003F6159" w:rsidP="00E84949" w14:paraId="32E69B77" w14:textId="2FEF081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NA</w:t>
            </w:r>
          </w:p>
        </w:tc>
        <w:tc>
          <w:tcPr>
            <w:tcW w:w="0" w:type="auto"/>
            <w:vAlign w:val="bottom"/>
          </w:tcPr>
          <w:p w:rsidR="00C503F7" w:rsidRPr="003F6159" w:rsidP="00E84949" w14:paraId="7525525C" w14:textId="31E9E3B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NA</w:t>
            </w:r>
          </w:p>
        </w:tc>
        <w:tc>
          <w:tcPr>
            <w:tcW w:w="0" w:type="auto"/>
            <w:vAlign w:val="bottom"/>
          </w:tcPr>
          <w:p w:rsidR="00C503F7" w:rsidRPr="003F6159" w:rsidP="00E84949" w14:paraId="53E703FD" w14:textId="4B44EF4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00125023">
              <w:rPr>
                <w:rFonts w:ascii="Times New Roman" w:hAnsi="Times New Roman"/>
                <w:sz w:val="26"/>
                <w:szCs w:val="24"/>
              </w:rPr>
              <w:t>52,275</w:t>
            </w:r>
          </w:p>
        </w:tc>
      </w:tr>
    </w:tbl>
    <w:p w:rsidR="003F3213" w:rsidRPr="003F6159" w14:paraId="3B29A145" w14:textId="744E13C6">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 </w:t>
      </w:r>
    </w:p>
    <w:p w:rsidR="00247F63" w:rsidRPr="003F6159" w:rsidP="00B2688A" w14:paraId="0DF924CA" w14:textId="6DEE5BFC">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The PRA Administrative Cost </w:t>
      </w:r>
      <w:r w:rsidRPr="003F6159" w:rsidR="00D03312">
        <w:rPr>
          <w:rFonts w:ascii="Times New Roman" w:hAnsi="Times New Roman"/>
          <w:sz w:val="26"/>
          <w:szCs w:val="24"/>
        </w:rPr>
        <w:t>of $8,</w:t>
      </w:r>
      <w:r w:rsidR="00F116D3">
        <w:rPr>
          <w:rFonts w:ascii="Times New Roman" w:hAnsi="Times New Roman"/>
          <w:sz w:val="26"/>
          <w:szCs w:val="24"/>
        </w:rPr>
        <w:t>396</w:t>
      </w:r>
      <w:r w:rsidRPr="003F6159" w:rsidR="00D03312">
        <w:rPr>
          <w:rFonts w:ascii="Times New Roman" w:hAnsi="Times New Roman"/>
          <w:sz w:val="26"/>
          <w:szCs w:val="24"/>
        </w:rPr>
        <w:t xml:space="preserve"> </w:t>
      </w:r>
      <w:r w:rsidRPr="003F6159">
        <w:rPr>
          <w:rFonts w:ascii="Times New Roman" w:hAnsi="Times New Roman"/>
          <w:sz w:val="26"/>
          <w:szCs w:val="24"/>
        </w:rPr>
        <w:t>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247F63" w:rsidRPr="003F6159" w:rsidP="00B2688A" w14:paraId="27EDCE21" w14:textId="77777777">
      <w:pPr>
        <w:pStyle w:val="ListParagraph"/>
        <w:spacing w:after="0" w:line="240" w:lineRule="auto"/>
        <w:ind w:left="0"/>
        <w:rPr>
          <w:rFonts w:ascii="Times New Roman" w:hAnsi="Times New Roman"/>
          <w:sz w:val="26"/>
          <w:szCs w:val="24"/>
        </w:rPr>
      </w:pPr>
    </w:p>
    <w:p w:rsidR="00B2688A" w:rsidP="00B2688A" w14:paraId="7ADAB3DC" w14:textId="36ADE483">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Table 14-2, below, shows the</w:t>
      </w:r>
      <w:r w:rsidRPr="003F6159" w:rsidR="00247F63">
        <w:rPr>
          <w:rFonts w:ascii="Times New Roman" w:hAnsi="Times New Roman"/>
          <w:sz w:val="26"/>
          <w:szCs w:val="24"/>
        </w:rPr>
        <w:t xml:space="preserve"> total </w:t>
      </w:r>
      <w:r w:rsidRPr="003F6159" w:rsidR="00D60E26">
        <w:rPr>
          <w:rFonts w:ascii="Times New Roman" w:hAnsi="Times New Roman"/>
          <w:sz w:val="26"/>
          <w:szCs w:val="24"/>
        </w:rPr>
        <w:t>federal costs, i.e., the costs for analysis and processing of filings plus the PRA Administrative Cost.</w:t>
      </w:r>
    </w:p>
    <w:p w:rsidR="009F66CE" w:rsidRPr="003F6159" w:rsidP="00B2688A" w14:paraId="482459B2" w14:textId="77777777">
      <w:pPr>
        <w:pStyle w:val="ListParagraph"/>
        <w:spacing w:after="0" w:line="240" w:lineRule="auto"/>
        <w:ind w:left="0"/>
        <w:rPr>
          <w:rFonts w:ascii="Times New Roman" w:hAnsi="Times New Roman"/>
          <w:sz w:val="26"/>
          <w:szCs w:val="24"/>
        </w:rPr>
      </w:pPr>
    </w:p>
    <w:p w:rsidR="00EF2460" w:rsidRPr="003F6159" w:rsidP="00EF2460" w14:paraId="47572208" w14:textId="7AC45DA5">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Table 14-2</w:t>
      </w:r>
    </w:p>
    <w:p w:rsidR="00EF2460" w:rsidRPr="003F6159" w:rsidP="00EF2460" w14:paraId="74C169AA" w14:textId="7DE931B4">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Total Estimated Annual Federal Costs</w:t>
      </w:r>
    </w:p>
    <w:p w:rsidR="00EF2460" w:rsidRPr="003F6159" w:rsidP="00B2688A" w14:paraId="3647CBEA" w14:textId="77777777">
      <w:pPr>
        <w:pStyle w:val="ListParagraph"/>
        <w:spacing w:after="0" w:line="240" w:lineRule="auto"/>
        <w:ind w:left="0"/>
        <w:rPr>
          <w:rFonts w:ascii="Times New Roman" w:hAnsi="Times New Roman"/>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7"/>
        <w:gridCol w:w="4323"/>
      </w:tblGrid>
      <w:tr w14:paraId="57FF67B2" w14:textId="77777777" w:rsidTr="003F615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66" w:type="pct"/>
            <w:shd w:val="clear" w:color="auto" w:fill="CCCCCC"/>
            <w:vAlign w:val="bottom"/>
          </w:tcPr>
          <w:p w:rsidR="008B42AF" w:rsidRPr="003F6159" w:rsidP="003F6159" w14:paraId="71771BF8" w14:textId="2196CE45">
            <w:pPr>
              <w:pStyle w:val="ListParagraph"/>
              <w:jc w:val="center"/>
              <w:rPr>
                <w:rFonts w:ascii="Times New Roman" w:hAnsi="Times New Roman"/>
                <w:b/>
                <w:sz w:val="26"/>
                <w:szCs w:val="24"/>
              </w:rPr>
            </w:pPr>
            <w:r w:rsidRPr="003F6159">
              <w:rPr>
                <w:rFonts w:ascii="Times New Roman" w:hAnsi="Times New Roman"/>
                <w:b/>
                <w:sz w:val="26"/>
                <w:szCs w:val="24"/>
              </w:rPr>
              <w:t>FERC-517</w:t>
            </w:r>
          </w:p>
        </w:tc>
        <w:tc>
          <w:tcPr>
            <w:tcW w:w="2334" w:type="pct"/>
            <w:shd w:val="clear" w:color="auto" w:fill="CCCCCC"/>
            <w:vAlign w:val="bottom"/>
          </w:tcPr>
          <w:p w:rsidR="008B42AF" w:rsidRPr="003F6159" w:rsidP="003F6159" w14:paraId="15437580" w14:textId="2205506F">
            <w:pPr>
              <w:pStyle w:val="ListParagraph"/>
              <w:spacing w:after="0"/>
              <w:ind w:left="288"/>
              <w:jc w:val="right"/>
              <w:rPr>
                <w:rFonts w:ascii="Times New Roman" w:hAnsi="Times New Roman"/>
                <w:b/>
                <w:sz w:val="26"/>
                <w:szCs w:val="24"/>
              </w:rPr>
            </w:pPr>
            <w:r w:rsidRPr="003F6159">
              <w:rPr>
                <w:rFonts w:ascii="Times New Roman" w:hAnsi="Times New Roman"/>
                <w:b/>
                <w:sz w:val="26"/>
                <w:szCs w:val="24"/>
              </w:rPr>
              <w:t>Estimated Annual Federal Cost</w:t>
            </w:r>
          </w:p>
        </w:tc>
      </w:tr>
      <w:tr w14:paraId="17E0FF1E" w14:textId="77777777" w:rsidTr="003F6159">
        <w:tblPrEx>
          <w:tblW w:w="5000" w:type="pct"/>
          <w:tblLook w:val="01E0"/>
        </w:tblPrEx>
        <w:tc>
          <w:tcPr>
            <w:tcW w:w="2666" w:type="pct"/>
            <w:shd w:val="clear" w:color="auto" w:fill="auto"/>
          </w:tcPr>
          <w:p w:rsidR="008B42AF" w:rsidRPr="003F6159" w:rsidP="00CB78B8" w14:paraId="7C3A05D8" w14:textId="77777777">
            <w:pPr>
              <w:pStyle w:val="ListParagraph"/>
              <w:rPr>
                <w:rFonts w:ascii="Times New Roman" w:hAnsi="Times New Roman"/>
                <w:bCs/>
                <w:sz w:val="26"/>
                <w:szCs w:val="24"/>
              </w:rPr>
            </w:pPr>
            <w:r w:rsidRPr="003F6159">
              <w:rPr>
                <w:rFonts w:ascii="Times New Roman" w:hAnsi="Times New Roman"/>
                <w:bCs/>
                <w:sz w:val="26"/>
                <w:szCs w:val="24"/>
              </w:rPr>
              <w:t>Analysis and Processing of Filings</w:t>
            </w:r>
          </w:p>
        </w:tc>
        <w:tc>
          <w:tcPr>
            <w:tcW w:w="2334" w:type="pct"/>
            <w:shd w:val="clear" w:color="auto" w:fill="auto"/>
            <w:vAlign w:val="bottom"/>
          </w:tcPr>
          <w:p w:rsidR="008B42AF" w:rsidRPr="003F6159" w:rsidP="003F6159" w14:paraId="4E8D2569" w14:textId="5EFA815A">
            <w:pPr>
              <w:pStyle w:val="ListParagraph"/>
              <w:jc w:val="right"/>
              <w:rPr>
                <w:rFonts w:ascii="Times New Roman" w:hAnsi="Times New Roman"/>
                <w:bCs/>
                <w:sz w:val="26"/>
                <w:szCs w:val="24"/>
              </w:rPr>
            </w:pPr>
            <w:r w:rsidRPr="003F6159">
              <w:rPr>
                <w:rFonts w:ascii="Times New Roman" w:hAnsi="Times New Roman"/>
                <w:sz w:val="26"/>
                <w:szCs w:val="24"/>
              </w:rPr>
              <w:t>$</w:t>
            </w:r>
            <w:r w:rsidR="0025001B">
              <w:rPr>
                <w:rFonts w:ascii="Times New Roman" w:hAnsi="Times New Roman"/>
                <w:sz w:val="26"/>
                <w:szCs w:val="24"/>
              </w:rPr>
              <w:t>152,275</w:t>
            </w:r>
          </w:p>
        </w:tc>
      </w:tr>
      <w:tr w14:paraId="6E6210AF" w14:textId="77777777" w:rsidTr="003F6159">
        <w:tblPrEx>
          <w:tblW w:w="5000" w:type="pct"/>
          <w:tblLook w:val="01E0"/>
        </w:tblPrEx>
        <w:tc>
          <w:tcPr>
            <w:tcW w:w="2666" w:type="pct"/>
            <w:shd w:val="clear" w:color="auto" w:fill="auto"/>
          </w:tcPr>
          <w:p w:rsidR="008B42AF" w:rsidRPr="003F6159" w:rsidP="00CB78B8" w14:paraId="2DA7F0CD" w14:textId="77777777">
            <w:pPr>
              <w:pStyle w:val="ListParagraph"/>
              <w:rPr>
                <w:rFonts w:ascii="Times New Roman" w:hAnsi="Times New Roman"/>
                <w:bCs/>
                <w:sz w:val="26"/>
                <w:szCs w:val="24"/>
              </w:rPr>
            </w:pPr>
            <w:r w:rsidRPr="003F6159">
              <w:rPr>
                <w:rFonts w:ascii="Times New Roman" w:hAnsi="Times New Roman"/>
                <w:bCs/>
                <w:sz w:val="26"/>
                <w:szCs w:val="24"/>
              </w:rPr>
              <w:t>PRA</w:t>
            </w:r>
            <w:r w:rsidRPr="003F6159">
              <w:rPr>
                <w:rFonts w:ascii="Times New Roman" w:hAnsi="Times New Roman"/>
                <w:bCs/>
                <w:sz w:val="26"/>
                <w:szCs w:val="24"/>
                <w:vertAlign w:val="superscript"/>
              </w:rPr>
              <w:t xml:space="preserve"> </w:t>
            </w:r>
            <w:r w:rsidRPr="003F6159">
              <w:rPr>
                <w:rFonts w:ascii="Times New Roman" w:hAnsi="Times New Roman"/>
                <w:bCs/>
                <w:sz w:val="26"/>
                <w:szCs w:val="24"/>
              </w:rPr>
              <w:t>Administrative Cost</w:t>
            </w:r>
          </w:p>
        </w:tc>
        <w:tc>
          <w:tcPr>
            <w:tcW w:w="2334" w:type="pct"/>
            <w:shd w:val="clear" w:color="auto" w:fill="auto"/>
            <w:vAlign w:val="bottom"/>
          </w:tcPr>
          <w:p w:rsidR="008B42AF" w:rsidRPr="003F6159" w:rsidP="003F6159" w14:paraId="526E593B" w14:textId="07A5EC7F">
            <w:pPr>
              <w:pStyle w:val="ListParagraph"/>
              <w:jc w:val="right"/>
              <w:rPr>
                <w:rFonts w:ascii="Times New Roman" w:hAnsi="Times New Roman"/>
                <w:bCs/>
                <w:sz w:val="26"/>
                <w:szCs w:val="24"/>
              </w:rPr>
            </w:pPr>
            <w:r w:rsidRPr="003F6159">
              <w:rPr>
                <w:rFonts w:ascii="Times New Roman" w:hAnsi="Times New Roman"/>
                <w:bCs/>
                <w:sz w:val="26"/>
                <w:szCs w:val="24"/>
              </w:rPr>
              <w:t>$8</w:t>
            </w:r>
            <w:r w:rsidRPr="003F6159" w:rsidR="009A693A">
              <w:rPr>
                <w:rFonts w:ascii="Times New Roman" w:hAnsi="Times New Roman"/>
                <w:bCs/>
                <w:sz w:val="26"/>
                <w:szCs w:val="24"/>
              </w:rPr>
              <w:t>,</w:t>
            </w:r>
            <w:r w:rsidR="00F116D3">
              <w:rPr>
                <w:rFonts w:ascii="Times New Roman" w:hAnsi="Times New Roman"/>
                <w:bCs/>
                <w:sz w:val="26"/>
                <w:szCs w:val="24"/>
              </w:rPr>
              <w:t>396</w:t>
            </w:r>
          </w:p>
        </w:tc>
      </w:tr>
      <w:tr w14:paraId="323CF207" w14:textId="77777777" w:rsidTr="003F6159">
        <w:tblPrEx>
          <w:tblW w:w="5000" w:type="pct"/>
          <w:tblLook w:val="01E0"/>
        </w:tblPrEx>
        <w:tc>
          <w:tcPr>
            <w:tcW w:w="2666" w:type="pct"/>
            <w:shd w:val="clear" w:color="auto" w:fill="auto"/>
          </w:tcPr>
          <w:p w:rsidR="008B42AF" w:rsidRPr="003F6159" w:rsidP="00CB78B8" w14:paraId="43270B20" w14:textId="51C1D187">
            <w:pPr>
              <w:pStyle w:val="ListParagraph"/>
              <w:rPr>
                <w:rFonts w:ascii="Times New Roman" w:hAnsi="Times New Roman"/>
                <w:bCs/>
                <w:sz w:val="26"/>
                <w:szCs w:val="24"/>
              </w:rPr>
            </w:pPr>
            <w:r w:rsidRPr="003F6159">
              <w:rPr>
                <w:rFonts w:ascii="Times New Roman" w:hAnsi="Times New Roman"/>
                <w:bCs/>
                <w:sz w:val="26"/>
                <w:szCs w:val="24"/>
              </w:rPr>
              <w:t>Total for FERC-5</w:t>
            </w:r>
            <w:r w:rsidRPr="003F6159" w:rsidR="00A0540E">
              <w:rPr>
                <w:rFonts w:ascii="Times New Roman" w:hAnsi="Times New Roman"/>
                <w:bCs/>
                <w:sz w:val="26"/>
                <w:szCs w:val="24"/>
              </w:rPr>
              <w:t>17</w:t>
            </w:r>
          </w:p>
        </w:tc>
        <w:tc>
          <w:tcPr>
            <w:tcW w:w="2334" w:type="pct"/>
            <w:shd w:val="clear" w:color="auto" w:fill="auto"/>
            <w:vAlign w:val="bottom"/>
          </w:tcPr>
          <w:p w:rsidR="008B42AF" w:rsidRPr="003F6159" w:rsidP="003F6159" w14:paraId="51227706" w14:textId="3A947C6E">
            <w:pPr>
              <w:pStyle w:val="ListParagraph"/>
              <w:jc w:val="right"/>
              <w:rPr>
                <w:rFonts w:ascii="Times New Roman" w:hAnsi="Times New Roman"/>
                <w:bCs/>
                <w:sz w:val="26"/>
                <w:szCs w:val="24"/>
              </w:rPr>
            </w:pPr>
            <w:r w:rsidRPr="003F6159">
              <w:rPr>
                <w:rFonts w:ascii="Times New Roman" w:hAnsi="Times New Roman"/>
                <w:bCs/>
                <w:sz w:val="26"/>
                <w:szCs w:val="24"/>
              </w:rPr>
              <w:t>$1</w:t>
            </w:r>
            <w:r w:rsidR="00A00CF0">
              <w:rPr>
                <w:rFonts w:ascii="Times New Roman" w:hAnsi="Times New Roman"/>
                <w:bCs/>
                <w:sz w:val="26"/>
                <w:szCs w:val="24"/>
              </w:rPr>
              <w:t>6</w:t>
            </w:r>
            <w:r w:rsidRPr="003F6159">
              <w:rPr>
                <w:rFonts w:ascii="Times New Roman" w:hAnsi="Times New Roman"/>
                <w:bCs/>
                <w:sz w:val="26"/>
                <w:szCs w:val="24"/>
              </w:rPr>
              <w:t>0,</w:t>
            </w:r>
            <w:r w:rsidR="00A00CF0">
              <w:rPr>
                <w:rFonts w:ascii="Times New Roman" w:hAnsi="Times New Roman"/>
                <w:bCs/>
                <w:sz w:val="26"/>
                <w:szCs w:val="24"/>
              </w:rPr>
              <w:t>671</w:t>
            </w:r>
          </w:p>
        </w:tc>
      </w:tr>
    </w:tbl>
    <w:p w:rsidR="003F3213" w:rsidRPr="003F6159" w14:paraId="471CB519" w14:textId="33330857">
      <w:pPr>
        <w:pStyle w:val="ListParagraph"/>
        <w:spacing w:after="0" w:line="240" w:lineRule="auto"/>
        <w:ind w:left="0"/>
        <w:rPr>
          <w:rFonts w:ascii="Times New Roman" w:hAnsi="Times New Roman"/>
          <w:sz w:val="26"/>
          <w:szCs w:val="24"/>
        </w:rPr>
      </w:pPr>
    </w:p>
    <w:p w:rsidR="003F3213" w:rsidRPr="003F6159" w14:paraId="26BEC1E7" w14:textId="77777777">
      <w:pPr>
        <w:spacing w:after="0" w:line="240" w:lineRule="auto"/>
        <w:rPr>
          <w:rFonts w:ascii="Times New Roman" w:hAnsi="Times New Roman"/>
          <w:b/>
          <w:sz w:val="26"/>
          <w:szCs w:val="24"/>
        </w:rPr>
      </w:pPr>
      <w:r w:rsidRPr="003F6159">
        <w:rPr>
          <w:rFonts w:ascii="Times New Roman" w:hAnsi="Times New Roman"/>
          <w:b/>
          <w:sz w:val="26"/>
          <w:szCs w:val="24"/>
        </w:rPr>
        <w:t>15. REASONS FOR CHANGES IN BURDEN INCLUDING THE NEED FOR ANY INCREASE</w:t>
      </w:r>
    </w:p>
    <w:p w:rsidR="003F3213" w:rsidRPr="003F6159" w14:paraId="7F2182EC" w14:textId="77777777">
      <w:pPr>
        <w:spacing w:after="0" w:line="240" w:lineRule="auto"/>
        <w:rPr>
          <w:rFonts w:ascii="Times New Roman" w:hAnsi="Times New Roman"/>
          <w:sz w:val="26"/>
          <w:szCs w:val="24"/>
        </w:rPr>
      </w:pPr>
    </w:p>
    <w:p w:rsidR="00AB335B" w:rsidRPr="003F6159" w:rsidP="00A244FD" w14:paraId="27B52641" w14:textId="43024AAC">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00DE6464">
        <w:rPr>
          <w:rFonts w:ascii="Times New Roman" w:hAnsi="Times New Roman"/>
          <w:sz w:val="26"/>
          <w:szCs w:val="24"/>
        </w:rPr>
        <w:t xml:space="preserve">recordkeeping and reporting requirements have not changed in this extension request.  </w:t>
      </w:r>
      <w:r w:rsidR="00A244FD">
        <w:rPr>
          <w:rFonts w:ascii="Times New Roman" w:hAnsi="Times New Roman"/>
          <w:sz w:val="26"/>
          <w:szCs w:val="24"/>
        </w:rPr>
        <w:t xml:space="preserve">An increase in overall burden is reflective of higher labor rates used to calculate costs.  </w:t>
      </w:r>
      <w:r w:rsidRPr="003F6159" w:rsidR="00DE6464">
        <w:rPr>
          <w:rFonts w:ascii="Times New Roman" w:hAnsi="Times New Roman"/>
          <w:sz w:val="26"/>
          <w:szCs w:val="24"/>
        </w:rPr>
        <w:t xml:space="preserve"> </w:t>
      </w:r>
    </w:p>
    <w:p w:rsidR="003F3213" w:rsidRPr="003F6159" w14:paraId="52778A6E" w14:textId="77777777">
      <w:pPr>
        <w:spacing w:after="0" w:line="240" w:lineRule="auto"/>
        <w:rPr>
          <w:rFonts w:ascii="Times New Roman" w:hAnsi="Times New Roman"/>
          <w:sz w:val="26"/>
          <w:szCs w:val="24"/>
          <w:vertAlign w:val="superscript"/>
        </w:rPr>
      </w:pPr>
    </w:p>
    <w:p w:rsidR="003F3213" w:rsidRPr="003F6159" w14:paraId="4F067B9F" w14:textId="77777777">
      <w:pPr>
        <w:spacing w:after="0" w:line="240" w:lineRule="auto"/>
        <w:rPr>
          <w:rFonts w:ascii="Times New Roman" w:hAnsi="Times New Roman"/>
          <w:b/>
          <w:sz w:val="26"/>
          <w:szCs w:val="24"/>
        </w:rPr>
      </w:pPr>
      <w:r w:rsidRPr="003F6159">
        <w:rPr>
          <w:rFonts w:ascii="Times New Roman" w:hAnsi="Times New Roman"/>
          <w:b/>
          <w:sz w:val="26"/>
          <w:szCs w:val="24"/>
        </w:rPr>
        <w:t>16. TIME SCHEDULE FOR PUBLICATION OF DATA</w:t>
      </w:r>
    </w:p>
    <w:p w:rsidR="003F3213" w:rsidRPr="003F6159" w14:paraId="46C15E8C" w14:textId="77777777">
      <w:pPr>
        <w:spacing w:after="0" w:line="240" w:lineRule="auto"/>
        <w:rPr>
          <w:rFonts w:ascii="Times New Roman" w:hAnsi="Times New Roman"/>
          <w:sz w:val="26"/>
          <w:szCs w:val="24"/>
        </w:rPr>
      </w:pPr>
    </w:p>
    <w:p w:rsidR="003F3213" w:rsidRPr="003F6159" w14:paraId="03550E42" w14:textId="7B1D7340">
      <w:pPr>
        <w:spacing w:after="0" w:line="240" w:lineRule="auto"/>
        <w:rPr>
          <w:rFonts w:ascii="Times New Roman" w:hAnsi="Times New Roman"/>
          <w:sz w:val="26"/>
          <w:szCs w:val="24"/>
        </w:rPr>
      </w:pPr>
      <w:r w:rsidRPr="003F6159">
        <w:rPr>
          <w:rFonts w:ascii="Times New Roman" w:hAnsi="Times New Roman"/>
          <w:sz w:val="26"/>
          <w:szCs w:val="24"/>
        </w:rPr>
        <w:t xml:space="preserve">There is no publication of </w:t>
      </w:r>
      <w:r w:rsidR="00807EBB">
        <w:rPr>
          <w:rFonts w:ascii="Times New Roman" w:hAnsi="Times New Roman"/>
          <w:sz w:val="26"/>
          <w:szCs w:val="24"/>
        </w:rPr>
        <w:t xml:space="preserve">the </w:t>
      </w:r>
      <w:r w:rsidRPr="003F6159">
        <w:rPr>
          <w:rFonts w:ascii="Times New Roman" w:hAnsi="Times New Roman"/>
          <w:sz w:val="26"/>
          <w:szCs w:val="24"/>
        </w:rPr>
        <w:t xml:space="preserve">data. </w:t>
      </w:r>
    </w:p>
    <w:p w:rsidR="003F3213" w:rsidRPr="003F6159" w14:paraId="7110B4F1" w14:textId="77777777">
      <w:pPr>
        <w:spacing w:after="0" w:line="240" w:lineRule="auto"/>
        <w:rPr>
          <w:rFonts w:ascii="Times New Roman" w:hAnsi="Times New Roman"/>
          <w:sz w:val="26"/>
          <w:szCs w:val="24"/>
        </w:rPr>
      </w:pPr>
    </w:p>
    <w:p w:rsidR="003F3213" w:rsidRPr="003F6159" w14:paraId="28FA7FE2" w14:textId="77777777">
      <w:pPr>
        <w:spacing w:after="0" w:line="240" w:lineRule="auto"/>
        <w:rPr>
          <w:rFonts w:ascii="Times New Roman" w:hAnsi="Times New Roman"/>
          <w:b/>
          <w:sz w:val="26"/>
          <w:szCs w:val="24"/>
        </w:rPr>
      </w:pPr>
      <w:r w:rsidRPr="003F6159">
        <w:rPr>
          <w:rFonts w:ascii="Times New Roman" w:hAnsi="Times New Roman"/>
          <w:b/>
          <w:sz w:val="26"/>
          <w:szCs w:val="24"/>
        </w:rPr>
        <w:t>17. DISPLAY OF EXPIRATION DATE</w:t>
      </w:r>
    </w:p>
    <w:p w:rsidR="003F3213" w:rsidRPr="003F6159" w14:paraId="2D08D519" w14:textId="77777777">
      <w:pPr>
        <w:spacing w:after="0" w:line="240" w:lineRule="auto"/>
        <w:rPr>
          <w:rFonts w:ascii="Times New Roman" w:hAnsi="Times New Roman"/>
          <w:sz w:val="26"/>
          <w:szCs w:val="24"/>
        </w:rPr>
      </w:pPr>
    </w:p>
    <w:p w:rsidR="003F3213" w:rsidRPr="003F6159" w14:paraId="46E3EB4F" w14:textId="49F78685">
      <w:pPr>
        <w:spacing w:after="0" w:line="240" w:lineRule="auto"/>
        <w:rPr>
          <w:rFonts w:ascii="Times New Roman" w:hAnsi="Times New Roman"/>
          <w:sz w:val="26"/>
          <w:szCs w:val="24"/>
        </w:rPr>
      </w:pPr>
      <w:r w:rsidRPr="003F6159">
        <w:rPr>
          <w:rFonts w:ascii="Times New Roman" w:hAnsi="Times New Roman"/>
          <w:sz w:val="26"/>
          <w:szCs w:val="24"/>
        </w:rPr>
        <w:t>The Commission expects to post the relevant expiration date</w:t>
      </w:r>
      <w:r w:rsidRPr="003F6159" w:rsidR="003168BA">
        <w:rPr>
          <w:rFonts w:ascii="Times New Roman" w:hAnsi="Times New Roman"/>
          <w:sz w:val="26"/>
          <w:szCs w:val="24"/>
        </w:rPr>
        <w:t>s</w:t>
      </w:r>
      <w:r w:rsidRPr="003F6159">
        <w:rPr>
          <w:rFonts w:ascii="Times New Roman" w:hAnsi="Times New Roman"/>
          <w:sz w:val="26"/>
          <w:szCs w:val="24"/>
        </w:rPr>
        <w:t xml:space="preserve"> at http://www.ferc.gov. </w:t>
      </w:r>
    </w:p>
    <w:p w:rsidR="003F3213" w:rsidRPr="003F6159" w14:paraId="30C71DA0" w14:textId="77777777">
      <w:pPr>
        <w:spacing w:after="0" w:line="240" w:lineRule="auto"/>
        <w:rPr>
          <w:rFonts w:ascii="Times New Roman" w:hAnsi="Times New Roman"/>
          <w:sz w:val="26"/>
          <w:szCs w:val="24"/>
        </w:rPr>
      </w:pPr>
    </w:p>
    <w:p w:rsidR="003F3213" w:rsidRPr="003F6159" w14:paraId="61C85A7D" w14:textId="77777777">
      <w:pPr>
        <w:spacing w:after="0" w:line="240" w:lineRule="auto"/>
        <w:rPr>
          <w:rFonts w:ascii="Times New Roman" w:hAnsi="Times New Roman"/>
          <w:b/>
          <w:sz w:val="26"/>
          <w:szCs w:val="24"/>
        </w:rPr>
      </w:pPr>
      <w:r w:rsidRPr="003F6159">
        <w:rPr>
          <w:rFonts w:ascii="Times New Roman" w:hAnsi="Times New Roman"/>
          <w:b/>
          <w:sz w:val="26"/>
          <w:szCs w:val="24"/>
        </w:rPr>
        <w:t>18.  EXCEPTIONS TO THE CERTIFICATION STATEMENT</w:t>
      </w:r>
    </w:p>
    <w:p w:rsidR="003F3213" w:rsidRPr="003F6159" w14:paraId="5E4465AB" w14:textId="77777777">
      <w:pPr>
        <w:spacing w:after="0" w:line="240" w:lineRule="auto"/>
        <w:rPr>
          <w:rFonts w:ascii="Times New Roman" w:hAnsi="Times New Roman"/>
          <w:b/>
          <w:sz w:val="26"/>
          <w:szCs w:val="24"/>
        </w:rPr>
      </w:pPr>
    </w:p>
    <w:p w:rsidR="003F3213" w:rsidRPr="003F6159" w14:paraId="00FD3F6B" w14:textId="6D82A13C">
      <w:pPr>
        <w:spacing w:after="0" w:line="240" w:lineRule="auto"/>
        <w:rPr>
          <w:rFonts w:ascii="Times New Roman" w:eastAsia="Times New Roman" w:hAnsi="Times New Roman"/>
          <w:b/>
          <w:sz w:val="26"/>
          <w:szCs w:val="24"/>
        </w:rPr>
      </w:pPr>
      <w:r w:rsidRPr="003F6159">
        <w:rPr>
          <w:rFonts w:ascii="Times New Roman" w:hAnsi="Times New Roman"/>
          <w:sz w:val="26"/>
          <w:szCs w:val="24"/>
        </w:rPr>
        <w:t>There are no exceptions.</w:t>
      </w:r>
    </w:p>
    <w:sectPr>
      <w:headerReference w:type="default" r:id="rId11"/>
      <w:footerReference w:type="default" r:id="rId12"/>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7100BB" w14:paraId="0E63F8F5" w14:textId="77777777">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7100BB" w14:paraId="2C5292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FE3" w14:paraId="05D30F73" w14:textId="77777777">
      <w:pPr>
        <w:spacing w:after="0" w:line="240" w:lineRule="auto"/>
      </w:pPr>
      <w:r>
        <w:separator/>
      </w:r>
    </w:p>
  </w:footnote>
  <w:footnote w:type="continuationSeparator" w:id="1">
    <w:p w:rsidR="00607FE3" w14:paraId="7C3A2948" w14:textId="77777777">
      <w:pPr>
        <w:spacing w:after="0" w:line="240" w:lineRule="auto"/>
      </w:pPr>
      <w:r>
        <w:continuationSeparator/>
      </w:r>
    </w:p>
  </w:footnote>
  <w:footnote w:type="continuationNotice" w:id="2">
    <w:p w:rsidR="00607FE3" w14:paraId="0B98EEF3" w14:textId="77777777">
      <w:pPr>
        <w:spacing w:after="0" w:line="240" w:lineRule="auto"/>
      </w:pPr>
    </w:p>
  </w:footnote>
  <w:footnote w:id="3">
    <w:p w:rsidR="007100BB" w14:paraId="6FDB0DFC" w14:textId="2AC9AED9">
      <w:pPr>
        <w:pStyle w:val="FootnoteText"/>
      </w:pPr>
      <w:r>
        <w:rPr>
          <w:rStyle w:val="FootnoteReference"/>
          <w:sz w:val="24"/>
          <w:szCs w:val="24"/>
          <w:vertAlign w:val="superscript"/>
        </w:rPr>
        <w:footnoteRef/>
      </w:r>
      <w:r>
        <w:rPr>
          <w:sz w:val="24"/>
          <w:szCs w:val="24"/>
        </w:rPr>
        <w:t xml:space="preserve"> 16 U.S.C. Subchapter I (Sections 791a-823g.</w:t>
      </w:r>
    </w:p>
  </w:footnote>
  <w:footnote w:id="4">
    <w:p w:rsidR="007100BB" w14:paraId="41B472DC" w14:textId="77777777">
      <w:pPr>
        <w:pStyle w:val="FootnoteText"/>
        <w:rPr>
          <w:sz w:val="24"/>
          <w:vertAlign w:val="superscript"/>
        </w:rPr>
      </w:pPr>
      <w:r>
        <w:rPr>
          <w:rStyle w:val="FootnoteReference"/>
          <w:sz w:val="24"/>
          <w:vertAlign w:val="superscript"/>
        </w:rPr>
        <w:footnoteRef/>
      </w:r>
      <w:r>
        <w:rPr>
          <w:sz w:val="24"/>
          <w:vertAlign w:val="superscript"/>
        </w:rPr>
        <w:t xml:space="preserve"> </w:t>
      </w:r>
      <w:r>
        <w:rPr>
          <w:sz w:val="24"/>
        </w:rPr>
        <w:t>“Part 12D” is an abbreviation for 18 CFR Part 12, Subpart D.</w:t>
      </w:r>
    </w:p>
  </w:footnote>
  <w:footnote w:id="5">
    <w:p w:rsidR="00E11568" w:rsidP="00E11568" w14:paraId="1E90175E" w14:textId="77777777">
      <w:pPr>
        <w:pStyle w:val="FootnoteText"/>
        <w:rPr>
          <w:sz w:val="24"/>
        </w:rPr>
      </w:pPr>
      <w:r w:rsidRPr="009150DA">
        <w:rPr>
          <w:rStyle w:val="FootnoteReference"/>
          <w:sz w:val="24"/>
          <w:vertAlign w:val="superscript"/>
        </w:rPr>
        <w:footnoteRef/>
      </w:r>
      <w:r w:rsidRPr="009150DA">
        <w:rPr>
          <w:sz w:val="24"/>
          <w:vertAlign w:val="superscript"/>
        </w:rPr>
        <w:t xml:space="preserve"> </w:t>
      </w:r>
      <w:r>
        <w:rPr>
          <w:sz w:val="24"/>
        </w:rPr>
        <w:t>The Regional Engineer is a member of the Commission’s staff.</w:t>
      </w:r>
    </w:p>
  </w:footnote>
  <w:footnote w:id="6">
    <w:p w:rsidR="00E11568" w:rsidP="00E11568" w14:paraId="18DD2168" w14:textId="77777777">
      <w:pPr>
        <w:pStyle w:val="FootnoteText"/>
        <w:rPr>
          <w:sz w:val="24"/>
        </w:rPr>
      </w:pPr>
      <w:r w:rsidRPr="009150DA">
        <w:rPr>
          <w:rStyle w:val="FootnoteReference"/>
          <w:sz w:val="24"/>
          <w:vertAlign w:val="superscript"/>
        </w:rPr>
        <w:footnoteRef/>
      </w:r>
      <w:r w:rsidRPr="009150DA">
        <w:rPr>
          <w:sz w:val="24"/>
          <w:vertAlign w:val="superscript"/>
        </w:rPr>
        <w:t xml:space="preserve"> </w:t>
      </w:r>
      <w:r>
        <w:rPr>
          <w:sz w:val="24"/>
        </w:rPr>
        <w:t xml:space="preserve">Section 12.13 specifies how to verify the authenticity of a document submitted in accordance with 18 CFR Part 12.  </w:t>
      </w:r>
    </w:p>
  </w:footnote>
  <w:footnote w:id="7">
    <w:p w:rsidR="00E11568" w:rsidP="00E11568" w14:paraId="7657455B" w14:textId="77777777">
      <w:pPr>
        <w:pStyle w:val="FootnoteText"/>
      </w:pPr>
      <w:r w:rsidRPr="009150DA">
        <w:rPr>
          <w:rStyle w:val="FootnoteReference"/>
          <w:sz w:val="24"/>
          <w:szCs w:val="24"/>
          <w:vertAlign w:val="superscript"/>
        </w:rPr>
        <w:footnoteRef/>
      </w:r>
      <w:r w:rsidRPr="002B5871">
        <w:rPr>
          <w:sz w:val="24"/>
          <w:szCs w:val="24"/>
          <w:vertAlign w:val="superscript"/>
        </w:rPr>
        <w:t xml:space="preserve"> </w:t>
      </w:r>
      <w:r>
        <w:rPr>
          <w:sz w:val="24"/>
        </w:rPr>
        <w:t>S</w:t>
      </w:r>
      <w:r w:rsidRPr="004F2A22">
        <w:rPr>
          <w:sz w:val="24"/>
        </w:rPr>
        <w:t>ection 12.61(a) provide</w:t>
      </w:r>
      <w:r>
        <w:rPr>
          <w:sz w:val="24"/>
        </w:rPr>
        <w:t>s</w:t>
      </w:r>
      <w:r w:rsidRPr="004F2A22">
        <w:rPr>
          <w:sz w:val="24"/>
        </w:rPr>
        <w:t xml:space="preserve"> that a Chief Dam Safety Engineer is the designated individual, who is a licensed engineer, who oversees the implementation of the ODSP and has primary responsibility for ensuring the safety of the licensee’s dam(s) and other project features.</w:t>
      </w:r>
    </w:p>
  </w:footnote>
  <w:footnote w:id="8">
    <w:p w:rsidR="00E11568" w:rsidRPr="00145F47" w:rsidP="00E11568" w14:paraId="0D0CA534" w14:textId="77777777">
      <w:pPr>
        <w:pStyle w:val="FootnoteText"/>
        <w:rPr>
          <w:sz w:val="24"/>
        </w:rPr>
      </w:pPr>
      <w:r w:rsidRPr="009150DA">
        <w:rPr>
          <w:rStyle w:val="FootnoteReference"/>
          <w:sz w:val="24"/>
          <w:vertAlign w:val="superscript"/>
        </w:rPr>
        <w:footnoteRef/>
      </w:r>
      <w:r w:rsidRPr="009150DA">
        <w:rPr>
          <w:sz w:val="24"/>
          <w:vertAlign w:val="superscript"/>
        </w:rPr>
        <w:t xml:space="preserve"> </w:t>
      </w:r>
      <w:r>
        <w:rPr>
          <w:sz w:val="24"/>
        </w:rPr>
        <w:t xml:space="preserve">Section 12.61(b) provides that a </w:t>
      </w:r>
      <w:r w:rsidRPr="003A300F">
        <w:rPr>
          <w:sz w:val="24"/>
        </w:rPr>
        <w:t>Chief Dam Safety Coordinator</w:t>
      </w:r>
      <w:r>
        <w:rPr>
          <w:sz w:val="24"/>
        </w:rPr>
        <w:t xml:space="preserve"> is not required to be a licensed engineer but has the same responsibilities as a Chief Dam Safety Engineer.</w:t>
      </w:r>
    </w:p>
  </w:footnote>
  <w:footnote w:id="9">
    <w:p w:rsidR="007100BB" w14:paraId="6B63C4D2" w14:textId="0EF63407">
      <w:pPr>
        <w:pStyle w:val="FootnoteText"/>
        <w:rPr>
          <w:sz w:val="24"/>
          <w:szCs w:val="24"/>
        </w:rPr>
      </w:pPr>
      <w:r>
        <w:rPr>
          <w:rStyle w:val="FootnoteReference"/>
          <w:sz w:val="24"/>
          <w:szCs w:val="24"/>
          <w:vertAlign w:val="superscript"/>
        </w:rPr>
        <w:footnoteRef/>
      </w:r>
      <w:r>
        <w:rPr>
          <w:sz w:val="24"/>
          <w:szCs w:val="24"/>
        </w:rPr>
        <w:t xml:space="preserve"> Federal Emergency Management Agency, “Federal Guidelines for Dam Safety”, at page 42, prepared by the ad hoc Interagency Committee on Dam Safety, Federal Coordinating Council for Science Engineering and Technology, Washington, DC, June 25, 1979.  Available at:  </w:t>
      </w:r>
      <w:hyperlink r:id="rId1" w:history="1">
        <w:r w:rsidRPr="00F35541">
          <w:rPr>
            <w:rStyle w:val="Hyperlink"/>
            <w:sz w:val="24"/>
            <w:szCs w:val="24"/>
          </w:rPr>
          <w:t>https://www.fema.gov/media-library/assets/documents/2639</w:t>
        </w:r>
      </w:hyperlink>
      <w:r>
        <w:rPr>
          <w:sz w:val="24"/>
          <w:szCs w:val="24"/>
        </w:rPr>
        <w:t>.</w:t>
      </w:r>
    </w:p>
    <w:p w:rsidR="007100BB" w14:paraId="64DB8116" w14:textId="77777777">
      <w:pPr>
        <w:pStyle w:val="FootnoteText"/>
        <w:rPr>
          <w:sz w:val="24"/>
          <w:szCs w:val="24"/>
        </w:rPr>
      </w:pPr>
    </w:p>
  </w:footnote>
  <w:footnote w:id="10">
    <w:p w:rsidR="00A5513F" w:rsidRPr="009F357D" w:rsidP="00A5513F" w14:paraId="4C7B7140" w14:textId="28EBC43E">
      <w:pPr>
        <w:pStyle w:val="FootnoteText"/>
        <w:rPr>
          <w:sz w:val="26"/>
          <w:szCs w:val="26"/>
        </w:rPr>
      </w:pPr>
      <w:r w:rsidRPr="005D02C5">
        <w:rPr>
          <w:sz w:val="24"/>
          <w:szCs w:val="24"/>
          <w:vertAlign w:val="superscript"/>
        </w:rPr>
        <w:footnoteRef/>
      </w:r>
      <w:r w:rsidRPr="009F357D">
        <w:rPr>
          <w:sz w:val="26"/>
          <w:szCs w:val="26"/>
          <w:vertAlign w:val="superscript"/>
        </w:rPr>
        <w:t xml:space="preserve"> </w:t>
      </w:r>
      <w:r w:rsidR="00F527C1">
        <w:rPr>
          <w:sz w:val="24"/>
          <w:szCs w:val="24"/>
        </w:rPr>
        <w:t>90</w:t>
      </w:r>
      <w:r w:rsidRPr="005D02C5">
        <w:rPr>
          <w:sz w:val="24"/>
          <w:szCs w:val="24"/>
        </w:rPr>
        <w:t xml:space="preserve"> FR</w:t>
      </w:r>
      <w:r w:rsidR="00F527C1">
        <w:rPr>
          <w:sz w:val="24"/>
          <w:szCs w:val="24"/>
        </w:rPr>
        <w:t xml:space="preserve"> </w:t>
      </w:r>
      <w:r w:rsidR="00F527C1">
        <w:rPr>
          <w:sz w:val="24"/>
          <w:szCs w:val="24"/>
        </w:rPr>
        <w:t>311</w:t>
      </w:r>
      <w:r w:rsidRPr="005D02C5">
        <w:rPr>
          <w:sz w:val="24"/>
          <w:szCs w:val="24"/>
        </w:rPr>
        <w:t xml:space="preserve">,  </w:t>
      </w:r>
      <w:r w:rsidR="00EA1656">
        <w:rPr>
          <w:sz w:val="24"/>
          <w:szCs w:val="24"/>
        </w:rPr>
        <w:t>January</w:t>
      </w:r>
      <w:r w:rsidR="00EA1656">
        <w:rPr>
          <w:sz w:val="24"/>
          <w:szCs w:val="24"/>
        </w:rPr>
        <w:t xml:space="preserve"> </w:t>
      </w:r>
      <w:r w:rsidR="00D54BE9">
        <w:rPr>
          <w:sz w:val="24"/>
          <w:szCs w:val="24"/>
        </w:rPr>
        <w:t>3</w:t>
      </w:r>
      <w:r w:rsidR="00EA1656">
        <w:rPr>
          <w:sz w:val="24"/>
          <w:szCs w:val="24"/>
        </w:rPr>
        <w:t>,</w:t>
      </w:r>
      <w:r w:rsidRPr="005D02C5">
        <w:rPr>
          <w:sz w:val="24"/>
          <w:szCs w:val="24"/>
        </w:rPr>
        <w:t xml:space="preserve"> 202</w:t>
      </w:r>
      <w:r w:rsidR="00E20C30">
        <w:rPr>
          <w:sz w:val="24"/>
          <w:szCs w:val="24"/>
        </w:rPr>
        <w:t>5</w:t>
      </w:r>
    </w:p>
  </w:footnote>
  <w:footnote w:id="11">
    <w:p w:rsidR="00A5513F" w:rsidRPr="009F357D" w:rsidP="00A5513F" w14:paraId="36B47267" w14:textId="2B44EB42">
      <w:pPr>
        <w:pStyle w:val="FootnoteText"/>
        <w:rPr>
          <w:sz w:val="26"/>
          <w:szCs w:val="26"/>
        </w:rPr>
      </w:pPr>
      <w:r w:rsidRPr="005D02C5">
        <w:rPr>
          <w:rStyle w:val="FootnoteReference"/>
          <w:sz w:val="24"/>
          <w:szCs w:val="24"/>
          <w:vertAlign w:val="superscript"/>
        </w:rPr>
        <w:footnoteRef/>
      </w:r>
      <w:r w:rsidRPr="009F357D">
        <w:rPr>
          <w:sz w:val="26"/>
          <w:szCs w:val="26"/>
        </w:rPr>
        <w:t xml:space="preserve"> </w:t>
      </w:r>
      <w:r w:rsidR="0074576B">
        <w:rPr>
          <w:sz w:val="24"/>
          <w:szCs w:val="24"/>
        </w:rPr>
        <w:t>90</w:t>
      </w:r>
      <w:r w:rsidRPr="005D02C5">
        <w:rPr>
          <w:sz w:val="24"/>
          <w:szCs w:val="24"/>
        </w:rPr>
        <w:t xml:space="preserve"> FR </w:t>
      </w:r>
      <w:r w:rsidR="00E22C7B">
        <w:rPr>
          <w:sz w:val="24"/>
          <w:szCs w:val="24"/>
        </w:rPr>
        <w:t>13,735</w:t>
      </w:r>
      <w:r w:rsidRPr="005D02C5">
        <w:rPr>
          <w:sz w:val="24"/>
          <w:szCs w:val="24"/>
        </w:rPr>
        <w:t xml:space="preserve">, </w:t>
      </w:r>
      <w:r w:rsidR="00FF773A">
        <w:rPr>
          <w:sz w:val="24"/>
          <w:szCs w:val="24"/>
        </w:rPr>
        <w:t>March</w:t>
      </w:r>
      <w:r>
        <w:rPr>
          <w:sz w:val="24"/>
          <w:szCs w:val="24"/>
        </w:rPr>
        <w:t xml:space="preserve"> </w:t>
      </w:r>
      <w:r w:rsidR="00FF773A">
        <w:rPr>
          <w:sz w:val="24"/>
          <w:szCs w:val="24"/>
        </w:rPr>
        <w:t>26</w:t>
      </w:r>
      <w:r w:rsidRPr="005D02C5">
        <w:rPr>
          <w:sz w:val="24"/>
          <w:szCs w:val="24"/>
        </w:rPr>
        <w:t>, 202</w:t>
      </w:r>
      <w:r>
        <w:rPr>
          <w:sz w:val="24"/>
          <w:szCs w:val="24"/>
        </w:rPr>
        <w:t>5</w:t>
      </w:r>
    </w:p>
  </w:footnote>
  <w:footnote w:id="12">
    <w:p w:rsidR="00345C87" w:rsidP="00345C87" w14:paraId="3A82A3C4" w14:textId="77777777">
      <w:pPr>
        <w:pStyle w:val="FootnoteText"/>
        <w:rPr>
          <w:sz w:val="26"/>
        </w:rPr>
      </w:pPr>
      <w:r>
        <w:rPr>
          <w:rStyle w:val="FootnoteReference"/>
        </w:rPr>
        <w:footnoteRef/>
      </w:r>
      <w:r>
        <w:t xml:space="preserve"> </w:t>
      </w:r>
      <w:r>
        <w:rPr>
          <w:sz w:val="26"/>
          <w:szCs w:val="26"/>
        </w:rPr>
        <w:t>The Commission staff believes that industry is similarly situated to the Commission in terms of cost for wages and benefits.  Based on FERC’s current annual average cost of $207,786 (for salary plus benefits) for a full-time equivalent, the average hourly cost is $100/hour.  Therefore, the hourly cost used in the burden calculation is $100.</w:t>
      </w:r>
    </w:p>
    <w:p w:rsidR="00345C87" w:rsidP="00345C87" w14:paraId="40D17A02" w14:textId="77777777">
      <w:pPr>
        <w:pStyle w:val="FootnoteText"/>
        <w:rPr>
          <w:sz w:val="26"/>
          <w:szCs w:val="26"/>
        </w:rPr>
      </w:pPr>
    </w:p>
    <w:p w:rsidR="00345C87" w:rsidP="00345C87" w14:paraId="3F427678" w14:textId="77777777">
      <w:pPr>
        <w:pStyle w:val="FootnoteText"/>
      </w:pPr>
    </w:p>
  </w:footnote>
  <w:footnote w:id="13">
    <w:p w:rsidR="00345C87" w:rsidP="00345C87" w14:paraId="73C7A7F7" w14:textId="77777777">
      <w:pPr>
        <w:pStyle w:val="FootnoteText"/>
        <w:rPr>
          <w:sz w:val="24"/>
        </w:rPr>
      </w:pPr>
      <w:r w:rsidRPr="009150DA">
        <w:rPr>
          <w:rStyle w:val="FootnoteReference"/>
          <w:sz w:val="24"/>
          <w:vertAlign w:val="superscript"/>
        </w:rPr>
        <w:footnoteRef/>
      </w:r>
      <w:r>
        <w:rPr>
          <w:sz w:val="24"/>
        </w:rPr>
        <w:t xml:space="preserve"> </w:t>
      </w:r>
      <w:bookmarkStart w:id="3" w:name="_Hlk68712157"/>
      <w:r>
        <w:rPr>
          <w:sz w:val="24"/>
        </w:rPr>
        <w:t>Includes direct and contracting burden and cost.</w:t>
      </w:r>
    </w:p>
    <w:bookmarkEnd w:id="3"/>
  </w:footnote>
  <w:footnote w:id="14">
    <w:p w:rsidR="00345C87" w:rsidP="00345C87" w14:paraId="4D83AEC8" w14:textId="77777777">
      <w:pPr>
        <w:pStyle w:val="FootnoteText"/>
        <w:rPr>
          <w:sz w:val="24"/>
        </w:rPr>
      </w:pPr>
      <w:r w:rsidRPr="009150DA">
        <w:rPr>
          <w:rStyle w:val="FootnoteReference"/>
          <w:sz w:val="24"/>
          <w:vertAlign w:val="superscript"/>
        </w:rPr>
        <w:footnoteRef/>
      </w:r>
      <w:r w:rsidRPr="009150DA">
        <w:rPr>
          <w:sz w:val="24"/>
          <w:vertAlign w:val="superscript"/>
        </w:rPr>
        <w:t xml:space="preserve"> </w:t>
      </w:r>
      <w:r>
        <w:rPr>
          <w:sz w:val="24"/>
        </w:rPr>
        <w:t>Includes direct and contracting burden and cost.</w:t>
      </w:r>
    </w:p>
  </w:footnote>
  <w:footnote w:id="15">
    <w:p w:rsidR="00345C87" w:rsidP="00345C87" w14:paraId="4FD518D4" w14:textId="77777777">
      <w:pPr>
        <w:pStyle w:val="FootnoteText"/>
      </w:pPr>
      <w:r w:rsidRPr="00556D8F">
        <w:rPr>
          <w:rStyle w:val="FootnoteReference"/>
          <w:sz w:val="24"/>
          <w:vertAlign w:val="superscript"/>
        </w:rPr>
        <w:footnoteRef/>
      </w:r>
      <w:r>
        <w:t xml:space="preserve"> </w:t>
      </w:r>
      <w:r w:rsidRPr="00872D5E">
        <w:rPr>
          <w:sz w:val="24"/>
        </w:rPr>
        <w:t xml:space="preserve">This information collection activity applies to each licensee with dams or </w:t>
      </w:r>
      <w:r>
        <w:rPr>
          <w:sz w:val="24"/>
        </w:rPr>
        <w:t xml:space="preserve">other </w:t>
      </w:r>
      <w:r w:rsidRPr="00872D5E">
        <w:rPr>
          <w:sz w:val="24"/>
        </w:rPr>
        <w:t xml:space="preserve">project features with a high </w:t>
      </w:r>
      <w:r>
        <w:rPr>
          <w:sz w:val="24"/>
        </w:rPr>
        <w:t xml:space="preserve">or significant </w:t>
      </w:r>
      <w:r w:rsidRPr="00872D5E">
        <w:rPr>
          <w:sz w:val="24"/>
        </w:rPr>
        <w:t>hazard potential</w:t>
      </w:r>
      <w:r>
        <w:rPr>
          <w:sz w:val="24"/>
        </w:rPr>
        <w:t xml:space="preserve">, but with </w:t>
      </w:r>
      <w:r w:rsidRPr="00872D5E">
        <w:rPr>
          <w:sz w:val="24"/>
        </w:rPr>
        <w:t>fewer than three</w:t>
      </w:r>
      <w:r>
        <w:rPr>
          <w:sz w:val="24"/>
        </w:rPr>
        <w:t xml:space="preserve"> such dams or other project features</w:t>
      </w:r>
      <w:r w:rsidRPr="00872D5E">
        <w:rPr>
          <w:sz w:val="24"/>
        </w:rPr>
        <w:t>.</w:t>
      </w:r>
    </w:p>
  </w:footnote>
  <w:footnote w:id="16">
    <w:p w:rsidR="00345C87" w:rsidP="00345C87" w14:paraId="3D26659E" w14:textId="77777777">
      <w:pPr>
        <w:pStyle w:val="FootnoteText"/>
      </w:pPr>
      <w:r w:rsidRPr="00556D8F">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three or more</w:t>
      </w:r>
      <w:r w:rsidRPr="00872D5E">
        <w:rPr>
          <w:sz w:val="24"/>
        </w:rPr>
        <w:t xml:space="preserve"> dams or project features with a high or significant hazard potential.</w:t>
      </w:r>
    </w:p>
  </w:footnote>
  <w:footnote w:id="17">
    <w:p w:rsidR="00345C87" w:rsidRPr="00E2423C" w:rsidP="00345C87" w14:paraId="051527C2" w14:textId="77777777">
      <w:pPr>
        <w:pStyle w:val="FootnoteText"/>
        <w:rPr>
          <w:sz w:val="24"/>
          <w:szCs w:val="24"/>
        </w:rPr>
      </w:pPr>
      <w:r w:rsidRPr="00556D8F">
        <w:rPr>
          <w:rStyle w:val="FootnoteReference"/>
          <w:sz w:val="24"/>
          <w:szCs w:val="24"/>
          <w:vertAlign w:val="superscript"/>
        </w:rPr>
        <w:footnoteRef/>
      </w:r>
      <w:r w:rsidRPr="00E2423C">
        <w:rPr>
          <w:sz w:val="24"/>
          <w:szCs w:val="24"/>
        </w:rPr>
        <w:t xml:space="preserve"> </w:t>
      </w:r>
      <w:r>
        <w:rPr>
          <w:sz w:val="24"/>
          <w:szCs w:val="24"/>
        </w:rPr>
        <w:t>This information collection activity applies to each licensee with dams or other project features with a high hazard potential, but with fewer than three such dams or project features.  The burden estimates for this activity i</w:t>
      </w:r>
      <w:r w:rsidRPr="00E2423C">
        <w:rPr>
          <w:sz w:val="24"/>
          <w:szCs w:val="24"/>
        </w:rPr>
        <w:t>nclude direct and contracting burden</w:t>
      </w:r>
      <w:r>
        <w:rPr>
          <w:sz w:val="24"/>
          <w:szCs w:val="24"/>
        </w:rPr>
        <w:t>s</w:t>
      </w:r>
      <w:r w:rsidRPr="00E2423C">
        <w:rPr>
          <w:sz w:val="24"/>
          <w:szCs w:val="24"/>
        </w:rPr>
        <w:t xml:space="preserve"> and cost</w:t>
      </w:r>
      <w:r>
        <w:rPr>
          <w:sz w:val="24"/>
          <w:szCs w:val="24"/>
        </w:rPr>
        <w:t>s</w:t>
      </w:r>
      <w:r w:rsidRPr="00E2423C">
        <w:rPr>
          <w:sz w:val="24"/>
          <w:szCs w:val="24"/>
        </w:rPr>
        <w:t>.</w:t>
      </w:r>
    </w:p>
  </w:footnote>
  <w:footnote w:id="18">
    <w:p w:rsidR="00345C87" w:rsidP="00345C87" w14:paraId="17A2EA49" w14:textId="77777777">
      <w:pPr>
        <w:pStyle w:val="FootnoteText"/>
      </w:pPr>
      <w:r w:rsidRPr="00556D8F">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r>
        <w:rPr>
          <w:sz w:val="24"/>
        </w:rPr>
        <w:t>.  The burden estimates for this information collection activity include direct and contracting burdens and costs.</w:t>
      </w:r>
    </w:p>
  </w:footnote>
  <w:footnote w:id="19">
    <w:p w:rsidR="007100BB" w:rsidP="00640129" w14:paraId="50FEFD8A" w14:textId="59A2B4CC">
      <w:pPr>
        <w:pStyle w:val="FootnoteText"/>
        <w:rPr>
          <w:sz w:val="24"/>
          <w:szCs w:val="24"/>
        </w:rPr>
      </w:pPr>
      <w:r>
        <w:rPr>
          <w:rStyle w:val="FootnoteReference"/>
          <w:sz w:val="24"/>
          <w:szCs w:val="24"/>
          <w:vertAlign w:val="superscript"/>
        </w:rPr>
        <w:footnoteRef/>
      </w:r>
      <w:r>
        <w:rPr>
          <w:sz w:val="24"/>
          <w:szCs w:val="24"/>
        </w:rPr>
        <w:t>The estimate uses the FERC’s FY 202</w:t>
      </w:r>
      <w:r w:rsidR="009B5399">
        <w:rPr>
          <w:sz w:val="24"/>
          <w:szCs w:val="24"/>
        </w:rPr>
        <w:t>4</w:t>
      </w:r>
      <w:r>
        <w:rPr>
          <w:sz w:val="24"/>
          <w:szCs w:val="24"/>
        </w:rPr>
        <w:t xml:space="preserve"> average annual salary plus benefits of one FERC full-time equivalent (FTE):  </w:t>
      </w:r>
      <w:r w:rsidRPr="00CB768C" w:rsidR="00CB768C">
        <w:rPr>
          <w:sz w:val="24"/>
          <w:szCs w:val="24"/>
        </w:rPr>
        <w:t>$2</w:t>
      </w:r>
      <w:r w:rsidR="003E1431">
        <w:rPr>
          <w:sz w:val="24"/>
          <w:szCs w:val="24"/>
        </w:rPr>
        <w:t>0</w:t>
      </w:r>
      <w:r w:rsidRPr="00CB768C" w:rsidR="00CB768C">
        <w:rPr>
          <w:sz w:val="24"/>
          <w:szCs w:val="24"/>
        </w:rPr>
        <w:t>7,78</w:t>
      </w:r>
      <w:r w:rsidR="003E1431">
        <w:rPr>
          <w:sz w:val="24"/>
          <w:szCs w:val="24"/>
        </w:rPr>
        <w:t>7</w:t>
      </w:r>
      <w:r>
        <w:rPr>
          <w:sz w:val="24"/>
          <w:szCs w:val="24"/>
        </w:rPr>
        <w:t xml:space="preserve"> per year, or $</w:t>
      </w:r>
      <w:r w:rsidR="004F5B4A">
        <w:rPr>
          <w:sz w:val="24"/>
          <w:szCs w:val="24"/>
        </w:rPr>
        <w:t>100</w:t>
      </w:r>
      <w:r>
        <w:rPr>
          <w:sz w:val="24"/>
          <w:szCs w:val="24"/>
        </w:rPr>
        <w:t>.00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B" w:rsidRPr="005D2682" w14:paraId="0D984766" w14:textId="17760F8D">
    <w:pPr>
      <w:pStyle w:val="Header"/>
      <w:rPr>
        <w:rFonts w:ascii="Times New Roman" w:hAnsi="Times New Roman"/>
        <w:sz w:val="26"/>
        <w:szCs w:val="26"/>
      </w:rPr>
    </w:pPr>
    <w:r w:rsidRPr="005D2682">
      <w:rPr>
        <w:rFonts w:ascii="Times New Roman" w:hAnsi="Times New Roman"/>
        <w:sz w:val="26"/>
        <w:szCs w:val="26"/>
      </w:rPr>
      <w:t>FERC-517 (OMB Control No. 1902-0319)</w:t>
    </w:r>
  </w:p>
  <w:p w:rsidR="007100BB" w14:paraId="25F7DED6" w14:textId="1A6D9144">
    <w:pPr>
      <w:pStyle w:val="Header"/>
    </w:pPr>
    <w:r>
      <w:tab/>
    </w:r>
  </w:p>
  <w:p w:rsidR="007100BB" w14:paraId="312C815C" w14:textId="77777777">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9C153B"/>
    <w:multiLevelType w:val="hybridMultilevel"/>
    <w:tmpl w:val="793C9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BA5A4E"/>
    <w:multiLevelType w:val="multilevel"/>
    <w:tmpl w:val="79D67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55E2FC2"/>
    <w:multiLevelType w:val="hybridMultilevel"/>
    <w:tmpl w:val="E33E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0422AA"/>
    <w:multiLevelType w:val="hybridMultilevel"/>
    <w:tmpl w:val="F9D04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AD37FF"/>
    <w:multiLevelType w:val="hybridMultilevel"/>
    <w:tmpl w:val="D8782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7071C9"/>
    <w:multiLevelType w:val="multilevel"/>
    <w:tmpl w:val="65C2495A"/>
    <w:lvl w:ilvl="0">
      <w:start w:val="1"/>
      <w:numFmt w:val="lowerLetter"/>
      <w:lvlText w:val="(%1)"/>
      <w:lvlJc w:val="left"/>
      <w:pPr>
        <w:ind w:left="0" w:firstLine="0"/>
      </w:pPr>
      <w:rPr>
        <w:rFonts w:hint="default"/>
        <w:b w:val="0"/>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6">
    <w:nsid w:val="3D053133"/>
    <w:multiLevelType w:val="multilevel"/>
    <w:tmpl w:val="B72C9DD2"/>
    <w:lvl w:ilvl="0">
      <w:start w:val="1"/>
      <w:numFmt w:val="lowerLetter"/>
      <w:lvlText w:val="(%1)"/>
      <w:lvlJc w:val="left"/>
      <w:pPr>
        <w:ind w:left="0" w:firstLine="0"/>
      </w:pPr>
      <w:rPr>
        <w:rFonts w:hint="default"/>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7">
    <w:nsid w:val="3D6E5A56"/>
    <w:multiLevelType w:val="hybridMultilevel"/>
    <w:tmpl w:val="98CEB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A96822"/>
    <w:multiLevelType w:val="hybridMultilevel"/>
    <w:tmpl w:val="88BC2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22716C"/>
    <w:multiLevelType w:val="hybridMultilevel"/>
    <w:tmpl w:val="3E9C7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8A0A66"/>
    <w:multiLevelType w:val="multilevel"/>
    <w:tmpl w:val="03F8AE60"/>
    <w:styleLink w:val="CFR"/>
    <w:lvl w:ilvl="0">
      <w:start w:val="1"/>
      <w:numFmt w:val="lowerLetter"/>
      <w:lvlText w:val="(%1)"/>
      <w:lvlJc w:val="left"/>
      <w:pPr>
        <w:ind w:left="432" w:hanging="432"/>
      </w:pPr>
      <w:rPr>
        <w:rFonts w:hint="default"/>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11">
    <w:nsid w:val="53B21CE8"/>
    <w:multiLevelType w:val="hybridMultilevel"/>
    <w:tmpl w:val="49C21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6222C5"/>
    <w:multiLevelType w:val="hybridMultilevel"/>
    <w:tmpl w:val="40E85A7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B4A2AB9"/>
    <w:multiLevelType w:val="hybridMultilevel"/>
    <w:tmpl w:val="735C2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5702512">
    <w:abstractNumId w:val="8"/>
  </w:num>
  <w:num w:numId="2" w16cid:durableId="748230130">
    <w:abstractNumId w:val="10"/>
  </w:num>
  <w:num w:numId="3" w16cid:durableId="644159935">
    <w:abstractNumId w:val="11"/>
  </w:num>
  <w:num w:numId="4" w16cid:durableId="102504371">
    <w:abstractNumId w:val="5"/>
  </w:num>
  <w:num w:numId="5" w16cid:durableId="1312517330">
    <w:abstractNumId w:val="3"/>
  </w:num>
  <w:num w:numId="6" w16cid:durableId="1467820966">
    <w:abstractNumId w:val="13"/>
  </w:num>
  <w:num w:numId="7" w16cid:durableId="1092241718">
    <w:abstractNumId w:val="12"/>
  </w:num>
  <w:num w:numId="8" w16cid:durableId="1925918934">
    <w:abstractNumId w:val="2"/>
  </w:num>
  <w:num w:numId="9" w16cid:durableId="754979497">
    <w:abstractNumId w:val="9"/>
  </w:num>
  <w:num w:numId="10" w16cid:durableId="538708021">
    <w:abstractNumId w:val="1"/>
  </w:num>
  <w:num w:numId="11" w16cid:durableId="2090694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081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505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78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3257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7864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0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969415">
    <w:abstractNumId w:val="6"/>
  </w:num>
  <w:num w:numId="19" w16cid:durableId="1486892066">
    <w:abstractNumId w:val="6"/>
    <w:lvlOverride w:ilvl="0">
      <w:lvl w:ilvl="0">
        <w:start w:val="1"/>
        <w:numFmt w:val="lowerLetter"/>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lowerRoman"/>
        <w:lvlText w:val="(%3)"/>
        <w:lvlJc w:val="left"/>
        <w:pPr>
          <w:ind w:left="1872" w:hanging="432"/>
        </w:pPr>
        <w:rPr>
          <w:rFonts w:hint="default"/>
        </w:rPr>
      </w:lvl>
    </w:lvlOverride>
    <w:lvlOverride w:ilvl="3">
      <w:lvl w:ilvl="3">
        <w:start w:val="1"/>
        <w:numFmt w:val="upperLetter"/>
        <w:lvlText w:val="(%4)"/>
        <w:lvlJc w:val="left"/>
        <w:pPr>
          <w:ind w:left="2592" w:hanging="432"/>
        </w:pPr>
        <w:rPr>
          <w:rFonts w:hint="default"/>
        </w:rPr>
      </w:lvl>
    </w:lvlOverride>
    <w:lvlOverride w:ilvl="4">
      <w:lvl w:ilvl="4">
        <w:start w:val="1"/>
        <w:numFmt w:val="lowerLetter"/>
        <w:lvlText w:val="(%5)"/>
        <w:lvlJc w:val="left"/>
        <w:pPr>
          <w:ind w:left="432" w:hanging="432"/>
        </w:pPr>
        <w:rPr>
          <w:rFonts w:hint="default"/>
        </w:rPr>
      </w:lvl>
    </w:lvlOverride>
    <w:lvlOverride w:ilvl="5">
      <w:lvl w:ilvl="5">
        <w:start w:val="1"/>
        <w:numFmt w:val="lowerRoman"/>
        <w:lvlText w:val="(%6)"/>
        <w:lvlJc w:val="left"/>
        <w:pPr>
          <w:ind w:left="432" w:hanging="432"/>
        </w:pPr>
        <w:rPr>
          <w:rFonts w:hint="default"/>
        </w:rPr>
      </w:lvl>
    </w:lvlOverride>
    <w:lvlOverride w:ilvl="6">
      <w:lvl w:ilvl="6">
        <w:start w:val="1"/>
        <w:numFmt w:val="decimal"/>
        <w:lvlText w:val="%7."/>
        <w:lvlJc w:val="left"/>
        <w:pPr>
          <w:ind w:left="432" w:hanging="432"/>
        </w:pPr>
        <w:rPr>
          <w:rFonts w:hint="default"/>
        </w:rPr>
      </w:lvl>
    </w:lvlOverride>
    <w:lvlOverride w:ilvl="7">
      <w:lvl w:ilvl="7">
        <w:start w:val="1"/>
        <w:numFmt w:val="lowerLetter"/>
        <w:lvlText w:val="%8."/>
        <w:lvlJc w:val="left"/>
        <w:pPr>
          <w:ind w:left="432" w:hanging="432"/>
        </w:pPr>
        <w:rPr>
          <w:rFonts w:hint="default"/>
        </w:rPr>
      </w:lvl>
    </w:lvlOverride>
    <w:lvlOverride w:ilvl="8">
      <w:lvl w:ilvl="8">
        <w:start w:val="1"/>
        <w:numFmt w:val="lowerRoman"/>
        <w:lvlText w:val="%9."/>
        <w:lvlJc w:val="left"/>
        <w:pPr>
          <w:ind w:left="432" w:hanging="432"/>
        </w:pPr>
        <w:rPr>
          <w:rFonts w:hint="default"/>
        </w:rPr>
      </w:lvl>
    </w:lvlOverride>
  </w:num>
  <w:num w:numId="20" w16cid:durableId="1543396308">
    <w:abstractNumId w:val="7"/>
  </w:num>
  <w:num w:numId="21" w16cid:durableId="2115519048">
    <w:abstractNumId w:val="0"/>
  </w:num>
  <w:num w:numId="22" w16cid:durableId="6695245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13"/>
    <w:rsid w:val="000000F5"/>
    <w:rsid w:val="000001C6"/>
    <w:rsid w:val="000003A4"/>
    <w:rsid w:val="000004A2"/>
    <w:rsid w:val="00000564"/>
    <w:rsid w:val="0000249E"/>
    <w:rsid w:val="00002FF7"/>
    <w:rsid w:val="00003A26"/>
    <w:rsid w:val="000068B5"/>
    <w:rsid w:val="00011389"/>
    <w:rsid w:val="000138BD"/>
    <w:rsid w:val="00014FAF"/>
    <w:rsid w:val="000160B0"/>
    <w:rsid w:val="00016598"/>
    <w:rsid w:val="00020477"/>
    <w:rsid w:val="00020DE1"/>
    <w:rsid w:val="00021FC9"/>
    <w:rsid w:val="0002337C"/>
    <w:rsid w:val="00025EBB"/>
    <w:rsid w:val="00026B87"/>
    <w:rsid w:val="00026BAE"/>
    <w:rsid w:val="0003115A"/>
    <w:rsid w:val="00032CD7"/>
    <w:rsid w:val="00032F7D"/>
    <w:rsid w:val="00033693"/>
    <w:rsid w:val="0003369F"/>
    <w:rsid w:val="000351DB"/>
    <w:rsid w:val="0003574E"/>
    <w:rsid w:val="00037E44"/>
    <w:rsid w:val="0004061E"/>
    <w:rsid w:val="00040C85"/>
    <w:rsid w:val="00041330"/>
    <w:rsid w:val="000435FD"/>
    <w:rsid w:val="00043CAC"/>
    <w:rsid w:val="00045B36"/>
    <w:rsid w:val="00051DC4"/>
    <w:rsid w:val="000535E2"/>
    <w:rsid w:val="000554A0"/>
    <w:rsid w:val="000561EB"/>
    <w:rsid w:val="000565EF"/>
    <w:rsid w:val="00057667"/>
    <w:rsid w:val="00057799"/>
    <w:rsid w:val="0006095E"/>
    <w:rsid w:val="00060E12"/>
    <w:rsid w:val="00061136"/>
    <w:rsid w:val="00061FDD"/>
    <w:rsid w:val="00062CBB"/>
    <w:rsid w:val="00062E54"/>
    <w:rsid w:val="000636C2"/>
    <w:rsid w:val="00063A7D"/>
    <w:rsid w:val="00063ED7"/>
    <w:rsid w:val="00064A88"/>
    <w:rsid w:val="00066F80"/>
    <w:rsid w:val="000672A0"/>
    <w:rsid w:val="000678CA"/>
    <w:rsid w:val="0007020C"/>
    <w:rsid w:val="00070449"/>
    <w:rsid w:val="00070E2B"/>
    <w:rsid w:val="000757C1"/>
    <w:rsid w:val="00077CD9"/>
    <w:rsid w:val="00081BFB"/>
    <w:rsid w:val="000845B5"/>
    <w:rsid w:val="00084E08"/>
    <w:rsid w:val="000856D1"/>
    <w:rsid w:val="00086B78"/>
    <w:rsid w:val="0008736A"/>
    <w:rsid w:val="0009176C"/>
    <w:rsid w:val="00092816"/>
    <w:rsid w:val="000936F3"/>
    <w:rsid w:val="00095F7B"/>
    <w:rsid w:val="000970CD"/>
    <w:rsid w:val="000A194C"/>
    <w:rsid w:val="000A35F1"/>
    <w:rsid w:val="000A40D1"/>
    <w:rsid w:val="000A62A6"/>
    <w:rsid w:val="000A7968"/>
    <w:rsid w:val="000B1874"/>
    <w:rsid w:val="000B2900"/>
    <w:rsid w:val="000B2F2E"/>
    <w:rsid w:val="000B3EC7"/>
    <w:rsid w:val="000B537E"/>
    <w:rsid w:val="000B5F2D"/>
    <w:rsid w:val="000B61A6"/>
    <w:rsid w:val="000B676A"/>
    <w:rsid w:val="000B69D8"/>
    <w:rsid w:val="000B70C4"/>
    <w:rsid w:val="000C012B"/>
    <w:rsid w:val="000C0267"/>
    <w:rsid w:val="000C444C"/>
    <w:rsid w:val="000C4877"/>
    <w:rsid w:val="000C667C"/>
    <w:rsid w:val="000C7DEB"/>
    <w:rsid w:val="000D0804"/>
    <w:rsid w:val="000D1B51"/>
    <w:rsid w:val="000D1F05"/>
    <w:rsid w:val="000D3DD7"/>
    <w:rsid w:val="000D4AA0"/>
    <w:rsid w:val="000D60C3"/>
    <w:rsid w:val="000E046E"/>
    <w:rsid w:val="000E30D0"/>
    <w:rsid w:val="000E3A6C"/>
    <w:rsid w:val="000E4FA7"/>
    <w:rsid w:val="000E57C7"/>
    <w:rsid w:val="000F3C07"/>
    <w:rsid w:val="000F535E"/>
    <w:rsid w:val="000F6C54"/>
    <w:rsid w:val="000F7099"/>
    <w:rsid w:val="00100A7A"/>
    <w:rsid w:val="00102148"/>
    <w:rsid w:val="00102E4A"/>
    <w:rsid w:val="001034FC"/>
    <w:rsid w:val="001036E3"/>
    <w:rsid w:val="0010437B"/>
    <w:rsid w:val="00104C88"/>
    <w:rsid w:val="0010583B"/>
    <w:rsid w:val="0011065F"/>
    <w:rsid w:val="00111629"/>
    <w:rsid w:val="00111818"/>
    <w:rsid w:val="001225C2"/>
    <w:rsid w:val="00122682"/>
    <w:rsid w:val="001241EF"/>
    <w:rsid w:val="00124E19"/>
    <w:rsid w:val="00125023"/>
    <w:rsid w:val="00126BE0"/>
    <w:rsid w:val="00127BE3"/>
    <w:rsid w:val="0013155A"/>
    <w:rsid w:val="00132D3D"/>
    <w:rsid w:val="0013303C"/>
    <w:rsid w:val="001341ED"/>
    <w:rsid w:val="00134C4A"/>
    <w:rsid w:val="001351EF"/>
    <w:rsid w:val="00136924"/>
    <w:rsid w:val="00140999"/>
    <w:rsid w:val="00141414"/>
    <w:rsid w:val="00141F0C"/>
    <w:rsid w:val="00145BE4"/>
    <w:rsid w:val="00145F47"/>
    <w:rsid w:val="00146A33"/>
    <w:rsid w:val="001504F5"/>
    <w:rsid w:val="00151579"/>
    <w:rsid w:val="001538FA"/>
    <w:rsid w:val="001609AD"/>
    <w:rsid w:val="00160F31"/>
    <w:rsid w:val="001642F5"/>
    <w:rsid w:val="00174E10"/>
    <w:rsid w:val="00176AFF"/>
    <w:rsid w:val="00176BD6"/>
    <w:rsid w:val="00177751"/>
    <w:rsid w:val="0018154A"/>
    <w:rsid w:val="001819A7"/>
    <w:rsid w:val="00184B24"/>
    <w:rsid w:val="00184F17"/>
    <w:rsid w:val="001872A4"/>
    <w:rsid w:val="0019249D"/>
    <w:rsid w:val="001948D9"/>
    <w:rsid w:val="00195664"/>
    <w:rsid w:val="001961B9"/>
    <w:rsid w:val="001972FE"/>
    <w:rsid w:val="0019755F"/>
    <w:rsid w:val="00197A70"/>
    <w:rsid w:val="001A392E"/>
    <w:rsid w:val="001A3A50"/>
    <w:rsid w:val="001A44BC"/>
    <w:rsid w:val="001A58BB"/>
    <w:rsid w:val="001A5C70"/>
    <w:rsid w:val="001A7068"/>
    <w:rsid w:val="001A775F"/>
    <w:rsid w:val="001B1373"/>
    <w:rsid w:val="001B171C"/>
    <w:rsid w:val="001B1EB8"/>
    <w:rsid w:val="001B2CB0"/>
    <w:rsid w:val="001B5092"/>
    <w:rsid w:val="001C096B"/>
    <w:rsid w:val="001C1433"/>
    <w:rsid w:val="001C16A7"/>
    <w:rsid w:val="001C1825"/>
    <w:rsid w:val="001C2C0E"/>
    <w:rsid w:val="001C47D1"/>
    <w:rsid w:val="001C547A"/>
    <w:rsid w:val="001C6BA6"/>
    <w:rsid w:val="001C794A"/>
    <w:rsid w:val="001C7F7E"/>
    <w:rsid w:val="001D03AE"/>
    <w:rsid w:val="001D03ED"/>
    <w:rsid w:val="001D1279"/>
    <w:rsid w:val="001D58CE"/>
    <w:rsid w:val="001D5992"/>
    <w:rsid w:val="001D5AF1"/>
    <w:rsid w:val="001D7984"/>
    <w:rsid w:val="001E08AA"/>
    <w:rsid w:val="001E192B"/>
    <w:rsid w:val="001F1C48"/>
    <w:rsid w:val="001F1F84"/>
    <w:rsid w:val="001F2E30"/>
    <w:rsid w:val="001F5D02"/>
    <w:rsid w:val="001F6D1C"/>
    <w:rsid w:val="001F7058"/>
    <w:rsid w:val="001F7CF4"/>
    <w:rsid w:val="00200C3C"/>
    <w:rsid w:val="00200D54"/>
    <w:rsid w:val="00200F58"/>
    <w:rsid w:val="002035E9"/>
    <w:rsid w:val="00204231"/>
    <w:rsid w:val="00206C0C"/>
    <w:rsid w:val="00207488"/>
    <w:rsid w:val="002076EB"/>
    <w:rsid w:val="00210921"/>
    <w:rsid w:val="00212164"/>
    <w:rsid w:val="002124FA"/>
    <w:rsid w:val="00215F28"/>
    <w:rsid w:val="00216A4B"/>
    <w:rsid w:val="00216BAF"/>
    <w:rsid w:val="00216FF7"/>
    <w:rsid w:val="002216A3"/>
    <w:rsid w:val="002217DB"/>
    <w:rsid w:val="00221F4F"/>
    <w:rsid w:val="00223A4C"/>
    <w:rsid w:val="00224B61"/>
    <w:rsid w:val="00225074"/>
    <w:rsid w:val="00227C33"/>
    <w:rsid w:val="00231614"/>
    <w:rsid w:val="00231D41"/>
    <w:rsid w:val="00232A81"/>
    <w:rsid w:val="00234BB9"/>
    <w:rsid w:val="002367AE"/>
    <w:rsid w:val="0023783B"/>
    <w:rsid w:val="002428A6"/>
    <w:rsid w:val="00244CE0"/>
    <w:rsid w:val="002459C1"/>
    <w:rsid w:val="0024701A"/>
    <w:rsid w:val="00247429"/>
    <w:rsid w:val="00247F63"/>
    <w:rsid w:val="0025001B"/>
    <w:rsid w:val="0025312B"/>
    <w:rsid w:val="00256ECC"/>
    <w:rsid w:val="00257A93"/>
    <w:rsid w:val="0026120F"/>
    <w:rsid w:val="00261D06"/>
    <w:rsid w:val="00262735"/>
    <w:rsid w:val="00263002"/>
    <w:rsid w:val="00264F5D"/>
    <w:rsid w:val="00265E0A"/>
    <w:rsid w:val="00267CDD"/>
    <w:rsid w:val="00272633"/>
    <w:rsid w:val="00273BF5"/>
    <w:rsid w:val="00274E78"/>
    <w:rsid w:val="00280B17"/>
    <w:rsid w:val="002826FF"/>
    <w:rsid w:val="002840D0"/>
    <w:rsid w:val="00284B3F"/>
    <w:rsid w:val="0028682A"/>
    <w:rsid w:val="00287FB6"/>
    <w:rsid w:val="00291D00"/>
    <w:rsid w:val="00293A86"/>
    <w:rsid w:val="0029430E"/>
    <w:rsid w:val="002A581B"/>
    <w:rsid w:val="002A5E34"/>
    <w:rsid w:val="002A5F28"/>
    <w:rsid w:val="002A667D"/>
    <w:rsid w:val="002A7107"/>
    <w:rsid w:val="002B16F7"/>
    <w:rsid w:val="002B1DB9"/>
    <w:rsid w:val="002B4A09"/>
    <w:rsid w:val="002B5871"/>
    <w:rsid w:val="002B60B1"/>
    <w:rsid w:val="002C2410"/>
    <w:rsid w:val="002C42F0"/>
    <w:rsid w:val="002C440C"/>
    <w:rsid w:val="002C48C2"/>
    <w:rsid w:val="002C6ED6"/>
    <w:rsid w:val="002C7ADF"/>
    <w:rsid w:val="002C7C98"/>
    <w:rsid w:val="002D15F0"/>
    <w:rsid w:val="002D261C"/>
    <w:rsid w:val="002D5563"/>
    <w:rsid w:val="002D5B86"/>
    <w:rsid w:val="002D673A"/>
    <w:rsid w:val="002E0208"/>
    <w:rsid w:val="002E1FD2"/>
    <w:rsid w:val="002E59AD"/>
    <w:rsid w:val="002E5E1B"/>
    <w:rsid w:val="002E7A6B"/>
    <w:rsid w:val="002F0327"/>
    <w:rsid w:val="002F09B0"/>
    <w:rsid w:val="002F1263"/>
    <w:rsid w:val="002F37B7"/>
    <w:rsid w:val="002F3EB2"/>
    <w:rsid w:val="002F473D"/>
    <w:rsid w:val="002F5096"/>
    <w:rsid w:val="002F511F"/>
    <w:rsid w:val="002F5E24"/>
    <w:rsid w:val="0030107D"/>
    <w:rsid w:val="003037C5"/>
    <w:rsid w:val="00304CA7"/>
    <w:rsid w:val="0030546B"/>
    <w:rsid w:val="00306017"/>
    <w:rsid w:val="0030629B"/>
    <w:rsid w:val="003063AB"/>
    <w:rsid w:val="0030769D"/>
    <w:rsid w:val="00312185"/>
    <w:rsid w:val="00314CF2"/>
    <w:rsid w:val="003151C9"/>
    <w:rsid w:val="003168BA"/>
    <w:rsid w:val="003176D3"/>
    <w:rsid w:val="00317EF1"/>
    <w:rsid w:val="00320250"/>
    <w:rsid w:val="00322E49"/>
    <w:rsid w:val="00322FAF"/>
    <w:rsid w:val="00324055"/>
    <w:rsid w:val="003257B8"/>
    <w:rsid w:val="003264E2"/>
    <w:rsid w:val="00326921"/>
    <w:rsid w:val="00327DF8"/>
    <w:rsid w:val="00330C7D"/>
    <w:rsid w:val="0033455A"/>
    <w:rsid w:val="00335B48"/>
    <w:rsid w:val="00335BF8"/>
    <w:rsid w:val="00335DC7"/>
    <w:rsid w:val="00336847"/>
    <w:rsid w:val="00341691"/>
    <w:rsid w:val="00342741"/>
    <w:rsid w:val="0034374F"/>
    <w:rsid w:val="00345112"/>
    <w:rsid w:val="00345B07"/>
    <w:rsid w:val="00345C87"/>
    <w:rsid w:val="0034796A"/>
    <w:rsid w:val="00352595"/>
    <w:rsid w:val="00360368"/>
    <w:rsid w:val="00360400"/>
    <w:rsid w:val="003607EB"/>
    <w:rsid w:val="0036298A"/>
    <w:rsid w:val="00364EC3"/>
    <w:rsid w:val="003656DD"/>
    <w:rsid w:val="0037095B"/>
    <w:rsid w:val="00371B1D"/>
    <w:rsid w:val="0037284F"/>
    <w:rsid w:val="00372E69"/>
    <w:rsid w:val="00373644"/>
    <w:rsid w:val="00373782"/>
    <w:rsid w:val="0037416F"/>
    <w:rsid w:val="003749D2"/>
    <w:rsid w:val="00374D66"/>
    <w:rsid w:val="003750DD"/>
    <w:rsid w:val="00375817"/>
    <w:rsid w:val="003766F5"/>
    <w:rsid w:val="00376EDF"/>
    <w:rsid w:val="00377CF0"/>
    <w:rsid w:val="00377E74"/>
    <w:rsid w:val="00380FE9"/>
    <w:rsid w:val="003821C5"/>
    <w:rsid w:val="00383B21"/>
    <w:rsid w:val="00385115"/>
    <w:rsid w:val="003854BA"/>
    <w:rsid w:val="00385A11"/>
    <w:rsid w:val="00385C23"/>
    <w:rsid w:val="003867F4"/>
    <w:rsid w:val="003876A6"/>
    <w:rsid w:val="00390B89"/>
    <w:rsid w:val="00391FB9"/>
    <w:rsid w:val="00393359"/>
    <w:rsid w:val="00393C3C"/>
    <w:rsid w:val="00395198"/>
    <w:rsid w:val="00395ED3"/>
    <w:rsid w:val="00397F8A"/>
    <w:rsid w:val="00397FE8"/>
    <w:rsid w:val="003A03FE"/>
    <w:rsid w:val="003A1130"/>
    <w:rsid w:val="003A2CB2"/>
    <w:rsid w:val="003A300F"/>
    <w:rsid w:val="003A3CDA"/>
    <w:rsid w:val="003A44E9"/>
    <w:rsid w:val="003A4C0E"/>
    <w:rsid w:val="003B0AAF"/>
    <w:rsid w:val="003B43A8"/>
    <w:rsid w:val="003C03E4"/>
    <w:rsid w:val="003C136B"/>
    <w:rsid w:val="003C2F21"/>
    <w:rsid w:val="003C461E"/>
    <w:rsid w:val="003C58FA"/>
    <w:rsid w:val="003C5EEE"/>
    <w:rsid w:val="003C64F7"/>
    <w:rsid w:val="003C7695"/>
    <w:rsid w:val="003C7E17"/>
    <w:rsid w:val="003D135A"/>
    <w:rsid w:val="003D1FCF"/>
    <w:rsid w:val="003D55DB"/>
    <w:rsid w:val="003D5BCB"/>
    <w:rsid w:val="003D7284"/>
    <w:rsid w:val="003E1431"/>
    <w:rsid w:val="003E1E3A"/>
    <w:rsid w:val="003E2682"/>
    <w:rsid w:val="003E26B0"/>
    <w:rsid w:val="003E4C59"/>
    <w:rsid w:val="003E5338"/>
    <w:rsid w:val="003F1C28"/>
    <w:rsid w:val="003F3213"/>
    <w:rsid w:val="003F5ACB"/>
    <w:rsid w:val="003F6159"/>
    <w:rsid w:val="003F6B39"/>
    <w:rsid w:val="003F6F59"/>
    <w:rsid w:val="003F70FD"/>
    <w:rsid w:val="00402E55"/>
    <w:rsid w:val="00403AC7"/>
    <w:rsid w:val="00410177"/>
    <w:rsid w:val="00410848"/>
    <w:rsid w:val="00411C6A"/>
    <w:rsid w:val="00412897"/>
    <w:rsid w:val="0041457F"/>
    <w:rsid w:val="00421C6E"/>
    <w:rsid w:val="00422FCD"/>
    <w:rsid w:val="00423B2B"/>
    <w:rsid w:val="0042659D"/>
    <w:rsid w:val="00426B87"/>
    <w:rsid w:val="00427030"/>
    <w:rsid w:val="00431725"/>
    <w:rsid w:val="0043218B"/>
    <w:rsid w:val="004360D0"/>
    <w:rsid w:val="00437C4E"/>
    <w:rsid w:val="00440827"/>
    <w:rsid w:val="00441BF8"/>
    <w:rsid w:val="004426D6"/>
    <w:rsid w:val="0044282E"/>
    <w:rsid w:val="00444AFF"/>
    <w:rsid w:val="00445349"/>
    <w:rsid w:val="004469C5"/>
    <w:rsid w:val="00446BDE"/>
    <w:rsid w:val="00446CCD"/>
    <w:rsid w:val="00446F7C"/>
    <w:rsid w:val="00447561"/>
    <w:rsid w:val="00450083"/>
    <w:rsid w:val="0045266A"/>
    <w:rsid w:val="004545BF"/>
    <w:rsid w:val="00455464"/>
    <w:rsid w:val="0045591E"/>
    <w:rsid w:val="00457F62"/>
    <w:rsid w:val="00462BE8"/>
    <w:rsid w:val="00465E43"/>
    <w:rsid w:val="0046606C"/>
    <w:rsid w:val="004667DF"/>
    <w:rsid w:val="004672AF"/>
    <w:rsid w:val="00470E21"/>
    <w:rsid w:val="00472173"/>
    <w:rsid w:val="00480EDD"/>
    <w:rsid w:val="004817C0"/>
    <w:rsid w:val="004820CC"/>
    <w:rsid w:val="00482CA8"/>
    <w:rsid w:val="00483A9F"/>
    <w:rsid w:val="00484448"/>
    <w:rsid w:val="00486A7E"/>
    <w:rsid w:val="0048761A"/>
    <w:rsid w:val="00490C12"/>
    <w:rsid w:val="00491930"/>
    <w:rsid w:val="004976E2"/>
    <w:rsid w:val="004A074C"/>
    <w:rsid w:val="004A0D2A"/>
    <w:rsid w:val="004A2ACE"/>
    <w:rsid w:val="004A30DB"/>
    <w:rsid w:val="004A7E04"/>
    <w:rsid w:val="004B104F"/>
    <w:rsid w:val="004B3F66"/>
    <w:rsid w:val="004B472E"/>
    <w:rsid w:val="004B5D8B"/>
    <w:rsid w:val="004B6692"/>
    <w:rsid w:val="004B6AF1"/>
    <w:rsid w:val="004B7F10"/>
    <w:rsid w:val="004C0FD7"/>
    <w:rsid w:val="004C2A09"/>
    <w:rsid w:val="004C31BF"/>
    <w:rsid w:val="004C4C09"/>
    <w:rsid w:val="004C5BAF"/>
    <w:rsid w:val="004C5C06"/>
    <w:rsid w:val="004C5F89"/>
    <w:rsid w:val="004D14B0"/>
    <w:rsid w:val="004D299F"/>
    <w:rsid w:val="004D2F61"/>
    <w:rsid w:val="004D4818"/>
    <w:rsid w:val="004D5113"/>
    <w:rsid w:val="004E230C"/>
    <w:rsid w:val="004E2665"/>
    <w:rsid w:val="004E3417"/>
    <w:rsid w:val="004E34FA"/>
    <w:rsid w:val="004E5601"/>
    <w:rsid w:val="004E64BA"/>
    <w:rsid w:val="004E6535"/>
    <w:rsid w:val="004E6F89"/>
    <w:rsid w:val="004F2A22"/>
    <w:rsid w:val="004F4066"/>
    <w:rsid w:val="004F5B4A"/>
    <w:rsid w:val="004F7BD6"/>
    <w:rsid w:val="00500716"/>
    <w:rsid w:val="00503F7D"/>
    <w:rsid w:val="0050532E"/>
    <w:rsid w:val="00505DDF"/>
    <w:rsid w:val="00505EA0"/>
    <w:rsid w:val="005061F5"/>
    <w:rsid w:val="00506FE5"/>
    <w:rsid w:val="005109B9"/>
    <w:rsid w:val="005116B2"/>
    <w:rsid w:val="00511F10"/>
    <w:rsid w:val="005120D8"/>
    <w:rsid w:val="0051422E"/>
    <w:rsid w:val="00516C7C"/>
    <w:rsid w:val="00520288"/>
    <w:rsid w:val="005203C9"/>
    <w:rsid w:val="0052248B"/>
    <w:rsid w:val="00523EC5"/>
    <w:rsid w:val="00525C57"/>
    <w:rsid w:val="005270F5"/>
    <w:rsid w:val="00527351"/>
    <w:rsid w:val="00531297"/>
    <w:rsid w:val="00534E60"/>
    <w:rsid w:val="00536F90"/>
    <w:rsid w:val="00542644"/>
    <w:rsid w:val="00543707"/>
    <w:rsid w:val="00544560"/>
    <w:rsid w:val="0054676F"/>
    <w:rsid w:val="00546EE8"/>
    <w:rsid w:val="00547645"/>
    <w:rsid w:val="00547878"/>
    <w:rsid w:val="00551052"/>
    <w:rsid w:val="005511CF"/>
    <w:rsid w:val="0055184A"/>
    <w:rsid w:val="005530DF"/>
    <w:rsid w:val="005546DA"/>
    <w:rsid w:val="00554F0D"/>
    <w:rsid w:val="0055591C"/>
    <w:rsid w:val="00556D8F"/>
    <w:rsid w:val="0055703A"/>
    <w:rsid w:val="00557B1C"/>
    <w:rsid w:val="00560F02"/>
    <w:rsid w:val="00563E45"/>
    <w:rsid w:val="00564949"/>
    <w:rsid w:val="005663E1"/>
    <w:rsid w:val="0056742F"/>
    <w:rsid w:val="0056788C"/>
    <w:rsid w:val="00570897"/>
    <w:rsid w:val="00572F74"/>
    <w:rsid w:val="005737B6"/>
    <w:rsid w:val="0057470E"/>
    <w:rsid w:val="00574D1A"/>
    <w:rsid w:val="00575E2E"/>
    <w:rsid w:val="00577BCB"/>
    <w:rsid w:val="005801D9"/>
    <w:rsid w:val="00580987"/>
    <w:rsid w:val="0058234D"/>
    <w:rsid w:val="00583509"/>
    <w:rsid w:val="005852E8"/>
    <w:rsid w:val="00586708"/>
    <w:rsid w:val="00590025"/>
    <w:rsid w:val="00592FD0"/>
    <w:rsid w:val="005932FA"/>
    <w:rsid w:val="005936CB"/>
    <w:rsid w:val="005A0475"/>
    <w:rsid w:val="005A33F1"/>
    <w:rsid w:val="005A642A"/>
    <w:rsid w:val="005B1A36"/>
    <w:rsid w:val="005B1B2D"/>
    <w:rsid w:val="005B28E9"/>
    <w:rsid w:val="005B4FCC"/>
    <w:rsid w:val="005B52D1"/>
    <w:rsid w:val="005B626B"/>
    <w:rsid w:val="005B76CD"/>
    <w:rsid w:val="005B783C"/>
    <w:rsid w:val="005C16BC"/>
    <w:rsid w:val="005C16D7"/>
    <w:rsid w:val="005C1E82"/>
    <w:rsid w:val="005C2595"/>
    <w:rsid w:val="005C2FE3"/>
    <w:rsid w:val="005C3CAF"/>
    <w:rsid w:val="005C5522"/>
    <w:rsid w:val="005C5B87"/>
    <w:rsid w:val="005C5ECC"/>
    <w:rsid w:val="005C7899"/>
    <w:rsid w:val="005D02C5"/>
    <w:rsid w:val="005D11EF"/>
    <w:rsid w:val="005D2682"/>
    <w:rsid w:val="005D367F"/>
    <w:rsid w:val="005D3D4C"/>
    <w:rsid w:val="005E0DB6"/>
    <w:rsid w:val="005E1325"/>
    <w:rsid w:val="005E1AB6"/>
    <w:rsid w:val="005E346A"/>
    <w:rsid w:val="005E5CC2"/>
    <w:rsid w:val="005E5CC6"/>
    <w:rsid w:val="005E7DF0"/>
    <w:rsid w:val="005F0332"/>
    <w:rsid w:val="005F05AE"/>
    <w:rsid w:val="005F2737"/>
    <w:rsid w:val="005F3113"/>
    <w:rsid w:val="005F36C9"/>
    <w:rsid w:val="005F413E"/>
    <w:rsid w:val="005F7229"/>
    <w:rsid w:val="005F75DA"/>
    <w:rsid w:val="005F79C5"/>
    <w:rsid w:val="00600E3D"/>
    <w:rsid w:val="006047C8"/>
    <w:rsid w:val="00604EE9"/>
    <w:rsid w:val="00606637"/>
    <w:rsid w:val="00607FE3"/>
    <w:rsid w:val="00610E58"/>
    <w:rsid w:val="0061220A"/>
    <w:rsid w:val="006179FB"/>
    <w:rsid w:val="00617AB5"/>
    <w:rsid w:val="00622741"/>
    <w:rsid w:val="00623487"/>
    <w:rsid w:val="00624017"/>
    <w:rsid w:val="00626115"/>
    <w:rsid w:val="0062690C"/>
    <w:rsid w:val="00630CB8"/>
    <w:rsid w:val="00630CD8"/>
    <w:rsid w:val="00631404"/>
    <w:rsid w:val="006316B0"/>
    <w:rsid w:val="00631762"/>
    <w:rsid w:val="00631B5A"/>
    <w:rsid w:val="00631FC8"/>
    <w:rsid w:val="006338DA"/>
    <w:rsid w:val="00633BA3"/>
    <w:rsid w:val="00633E9B"/>
    <w:rsid w:val="006353D4"/>
    <w:rsid w:val="0063549D"/>
    <w:rsid w:val="00636A9A"/>
    <w:rsid w:val="00640100"/>
    <w:rsid w:val="00640129"/>
    <w:rsid w:val="00641EF1"/>
    <w:rsid w:val="00646332"/>
    <w:rsid w:val="00650080"/>
    <w:rsid w:val="006531AD"/>
    <w:rsid w:val="00653685"/>
    <w:rsid w:val="00653A1E"/>
    <w:rsid w:val="00661DBC"/>
    <w:rsid w:val="0066346D"/>
    <w:rsid w:val="00663F7D"/>
    <w:rsid w:val="00664650"/>
    <w:rsid w:val="00672D69"/>
    <w:rsid w:val="00672F32"/>
    <w:rsid w:val="00673885"/>
    <w:rsid w:val="00673A7E"/>
    <w:rsid w:val="00677BA6"/>
    <w:rsid w:val="0068003C"/>
    <w:rsid w:val="00687534"/>
    <w:rsid w:val="00687FEC"/>
    <w:rsid w:val="00692730"/>
    <w:rsid w:val="00692793"/>
    <w:rsid w:val="00695FB8"/>
    <w:rsid w:val="00697AAC"/>
    <w:rsid w:val="00697CC5"/>
    <w:rsid w:val="006A0225"/>
    <w:rsid w:val="006A20A5"/>
    <w:rsid w:val="006A68FE"/>
    <w:rsid w:val="006A741B"/>
    <w:rsid w:val="006B4742"/>
    <w:rsid w:val="006B4B4D"/>
    <w:rsid w:val="006B6CEA"/>
    <w:rsid w:val="006B7BAE"/>
    <w:rsid w:val="006C008E"/>
    <w:rsid w:val="006C0C9C"/>
    <w:rsid w:val="006C3D47"/>
    <w:rsid w:val="006C4AAD"/>
    <w:rsid w:val="006C583B"/>
    <w:rsid w:val="006C7F83"/>
    <w:rsid w:val="006D0CA7"/>
    <w:rsid w:val="006D26F2"/>
    <w:rsid w:val="006D2B2A"/>
    <w:rsid w:val="006D4EC4"/>
    <w:rsid w:val="006D52B6"/>
    <w:rsid w:val="006D6793"/>
    <w:rsid w:val="006D6836"/>
    <w:rsid w:val="006D6A8F"/>
    <w:rsid w:val="006D7072"/>
    <w:rsid w:val="006D73BD"/>
    <w:rsid w:val="006D76C9"/>
    <w:rsid w:val="006E2C12"/>
    <w:rsid w:val="006E2D33"/>
    <w:rsid w:val="006E4275"/>
    <w:rsid w:val="006E50F3"/>
    <w:rsid w:val="006E6199"/>
    <w:rsid w:val="006E7122"/>
    <w:rsid w:val="006E763C"/>
    <w:rsid w:val="006E79DA"/>
    <w:rsid w:val="006F0401"/>
    <w:rsid w:val="006F0423"/>
    <w:rsid w:val="006F0946"/>
    <w:rsid w:val="006F2807"/>
    <w:rsid w:val="006F35D8"/>
    <w:rsid w:val="006F3EEC"/>
    <w:rsid w:val="006F4D46"/>
    <w:rsid w:val="006F6FFA"/>
    <w:rsid w:val="006F7D28"/>
    <w:rsid w:val="006F7D41"/>
    <w:rsid w:val="007000B4"/>
    <w:rsid w:val="00700106"/>
    <w:rsid w:val="0070099B"/>
    <w:rsid w:val="00702583"/>
    <w:rsid w:val="00703CE6"/>
    <w:rsid w:val="00704641"/>
    <w:rsid w:val="0070537C"/>
    <w:rsid w:val="00706129"/>
    <w:rsid w:val="00706376"/>
    <w:rsid w:val="007100BB"/>
    <w:rsid w:val="00711261"/>
    <w:rsid w:val="00712398"/>
    <w:rsid w:val="00712605"/>
    <w:rsid w:val="00716CD2"/>
    <w:rsid w:val="00717708"/>
    <w:rsid w:val="007245DF"/>
    <w:rsid w:val="00725772"/>
    <w:rsid w:val="00726114"/>
    <w:rsid w:val="007266BD"/>
    <w:rsid w:val="00730D31"/>
    <w:rsid w:val="00731D6F"/>
    <w:rsid w:val="00731E04"/>
    <w:rsid w:val="00733EF8"/>
    <w:rsid w:val="00735071"/>
    <w:rsid w:val="007400F3"/>
    <w:rsid w:val="007405C9"/>
    <w:rsid w:val="007427CB"/>
    <w:rsid w:val="00742D19"/>
    <w:rsid w:val="00745174"/>
    <w:rsid w:val="00745493"/>
    <w:rsid w:val="0074576B"/>
    <w:rsid w:val="00746BC5"/>
    <w:rsid w:val="0075084F"/>
    <w:rsid w:val="007509D7"/>
    <w:rsid w:val="00750F2F"/>
    <w:rsid w:val="0075125B"/>
    <w:rsid w:val="00753434"/>
    <w:rsid w:val="00756136"/>
    <w:rsid w:val="00756E1E"/>
    <w:rsid w:val="00757303"/>
    <w:rsid w:val="007610BD"/>
    <w:rsid w:val="007640DC"/>
    <w:rsid w:val="007643F3"/>
    <w:rsid w:val="00765F68"/>
    <w:rsid w:val="00772D75"/>
    <w:rsid w:val="00773DA5"/>
    <w:rsid w:val="00774E5B"/>
    <w:rsid w:val="0077759D"/>
    <w:rsid w:val="00777C6A"/>
    <w:rsid w:val="00777CA9"/>
    <w:rsid w:val="00780871"/>
    <w:rsid w:val="00786C86"/>
    <w:rsid w:val="00786FDF"/>
    <w:rsid w:val="00794AE8"/>
    <w:rsid w:val="007973F1"/>
    <w:rsid w:val="007A1DD8"/>
    <w:rsid w:val="007A38BE"/>
    <w:rsid w:val="007A3EA3"/>
    <w:rsid w:val="007A74AB"/>
    <w:rsid w:val="007B1A94"/>
    <w:rsid w:val="007B2127"/>
    <w:rsid w:val="007B35DE"/>
    <w:rsid w:val="007B375F"/>
    <w:rsid w:val="007B3EDE"/>
    <w:rsid w:val="007B731A"/>
    <w:rsid w:val="007B745C"/>
    <w:rsid w:val="007C1736"/>
    <w:rsid w:val="007C1A84"/>
    <w:rsid w:val="007C264B"/>
    <w:rsid w:val="007C2A19"/>
    <w:rsid w:val="007C3605"/>
    <w:rsid w:val="007C37DB"/>
    <w:rsid w:val="007C7934"/>
    <w:rsid w:val="007D085B"/>
    <w:rsid w:val="007D23B4"/>
    <w:rsid w:val="007D4D7B"/>
    <w:rsid w:val="007D719E"/>
    <w:rsid w:val="007E0A82"/>
    <w:rsid w:val="007E0AF8"/>
    <w:rsid w:val="007E1CE0"/>
    <w:rsid w:val="007E7608"/>
    <w:rsid w:val="007E7771"/>
    <w:rsid w:val="007F1B3F"/>
    <w:rsid w:val="007F2046"/>
    <w:rsid w:val="007F32A2"/>
    <w:rsid w:val="007F3F93"/>
    <w:rsid w:val="007F5313"/>
    <w:rsid w:val="007F5A0F"/>
    <w:rsid w:val="007F661E"/>
    <w:rsid w:val="007F66A6"/>
    <w:rsid w:val="007F6D17"/>
    <w:rsid w:val="007F7A4A"/>
    <w:rsid w:val="008005A0"/>
    <w:rsid w:val="0080117B"/>
    <w:rsid w:val="0080218D"/>
    <w:rsid w:val="00803501"/>
    <w:rsid w:val="00804918"/>
    <w:rsid w:val="00806B3A"/>
    <w:rsid w:val="008076BF"/>
    <w:rsid w:val="00807EBB"/>
    <w:rsid w:val="00813C53"/>
    <w:rsid w:val="00815121"/>
    <w:rsid w:val="008165FB"/>
    <w:rsid w:val="0082422D"/>
    <w:rsid w:val="00825259"/>
    <w:rsid w:val="0083096A"/>
    <w:rsid w:val="00830A76"/>
    <w:rsid w:val="008312B8"/>
    <w:rsid w:val="00831D9A"/>
    <w:rsid w:val="00832B48"/>
    <w:rsid w:val="00832EE7"/>
    <w:rsid w:val="008333D1"/>
    <w:rsid w:val="00833BD5"/>
    <w:rsid w:val="00833F1D"/>
    <w:rsid w:val="00834F81"/>
    <w:rsid w:val="008351F0"/>
    <w:rsid w:val="0083786E"/>
    <w:rsid w:val="00844714"/>
    <w:rsid w:val="0084487A"/>
    <w:rsid w:val="0084552C"/>
    <w:rsid w:val="00845995"/>
    <w:rsid w:val="00845CC1"/>
    <w:rsid w:val="00846BEA"/>
    <w:rsid w:val="008515DB"/>
    <w:rsid w:val="00852C52"/>
    <w:rsid w:val="00853AA6"/>
    <w:rsid w:val="00853D87"/>
    <w:rsid w:val="00854014"/>
    <w:rsid w:val="00855082"/>
    <w:rsid w:val="0085612C"/>
    <w:rsid w:val="0085676B"/>
    <w:rsid w:val="008613A6"/>
    <w:rsid w:val="00861917"/>
    <w:rsid w:val="008620D2"/>
    <w:rsid w:val="008632F3"/>
    <w:rsid w:val="00866E06"/>
    <w:rsid w:val="00867960"/>
    <w:rsid w:val="00867E07"/>
    <w:rsid w:val="00871B32"/>
    <w:rsid w:val="00871E49"/>
    <w:rsid w:val="00872D5E"/>
    <w:rsid w:val="00875864"/>
    <w:rsid w:val="0087692D"/>
    <w:rsid w:val="00877AC2"/>
    <w:rsid w:val="00880291"/>
    <w:rsid w:val="008802D3"/>
    <w:rsid w:val="008804F2"/>
    <w:rsid w:val="008813FB"/>
    <w:rsid w:val="00882C64"/>
    <w:rsid w:val="00887FBA"/>
    <w:rsid w:val="00890616"/>
    <w:rsid w:val="00895EC2"/>
    <w:rsid w:val="00896374"/>
    <w:rsid w:val="00897573"/>
    <w:rsid w:val="008A16D9"/>
    <w:rsid w:val="008A2017"/>
    <w:rsid w:val="008A4CC5"/>
    <w:rsid w:val="008A5218"/>
    <w:rsid w:val="008A5A33"/>
    <w:rsid w:val="008B070E"/>
    <w:rsid w:val="008B0D70"/>
    <w:rsid w:val="008B42AF"/>
    <w:rsid w:val="008B6518"/>
    <w:rsid w:val="008B65F0"/>
    <w:rsid w:val="008B7B17"/>
    <w:rsid w:val="008C0961"/>
    <w:rsid w:val="008C0F7E"/>
    <w:rsid w:val="008C55D7"/>
    <w:rsid w:val="008C67A7"/>
    <w:rsid w:val="008C7FE0"/>
    <w:rsid w:val="008D2630"/>
    <w:rsid w:val="008D2643"/>
    <w:rsid w:val="008D50D2"/>
    <w:rsid w:val="008D5A1A"/>
    <w:rsid w:val="008D66BA"/>
    <w:rsid w:val="008E2652"/>
    <w:rsid w:val="008E2C6D"/>
    <w:rsid w:val="008E3015"/>
    <w:rsid w:val="008E48A8"/>
    <w:rsid w:val="008E5A93"/>
    <w:rsid w:val="008E6D45"/>
    <w:rsid w:val="008E7289"/>
    <w:rsid w:val="008F119E"/>
    <w:rsid w:val="008F2783"/>
    <w:rsid w:val="008F5BDA"/>
    <w:rsid w:val="00901670"/>
    <w:rsid w:val="00901C08"/>
    <w:rsid w:val="0090373B"/>
    <w:rsid w:val="00906297"/>
    <w:rsid w:val="00906761"/>
    <w:rsid w:val="0090788D"/>
    <w:rsid w:val="009108B1"/>
    <w:rsid w:val="009147EE"/>
    <w:rsid w:val="009150DA"/>
    <w:rsid w:val="00915C4B"/>
    <w:rsid w:val="00917569"/>
    <w:rsid w:val="0092203E"/>
    <w:rsid w:val="0092273C"/>
    <w:rsid w:val="009279F7"/>
    <w:rsid w:val="009303DF"/>
    <w:rsid w:val="00932744"/>
    <w:rsid w:val="00932C92"/>
    <w:rsid w:val="0093366B"/>
    <w:rsid w:val="00934863"/>
    <w:rsid w:val="00940C5C"/>
    <w:rsid w:val="00940D75"/>
    <w:rsid w:val="0094149B"/>
    <w:rsid w:val="0094289F"/>
    <w:rsid w:val="009442E1"/>
    <w:rsid w:val="00944638"/>
    <w:rsid w:val="00944920"/>
    <w:rsid w:val="00946047"/>
    <w:rsid w:val="00947877"/>
    <w:rsid w:val="00947DAC"/>
    <w:rsid w:val="009511FA"/>
    <w:rsid w:val="009533B1"/>
    <w:rsid w:val="0095361D"/>
    <w:rsid w:val="0095604B"/>
    <w:rsid w:val="00957CDD"/>
    <w:rsid w:val="00960251"/>
    <w:rsid w:val="00960438"/>
    <w:rsid w:val="00961709"/>
    <w:rsid w:val="0096370C"/>
    <w:rsid w:val="00965E80"/>
    <w:rsid w:val="00966819"/>
    <w:rsid w:val="00966CD5"/>
    <w:rsid w:val="009710BD"/>
    <w:rsid w:val="00971736"/>
    <w:rsid w:val="00972CFA"/>
    <w:rsid w:val="00975EC1"/>
    <w:rsid w:val="00976628"/>
    <w:rsid w:val="00977568"/>
    <w:rsid w:val="00977EA7"/>
    <w:rsid w:val="00981421"/>
    <w:rsid w:val="0098259A"/>
    <w:rsid w:val="00984775"/>
    <w:rsid w:val="00986028"/>
    <w:rsid w:val="00987F54"/>
    <w:rsid w:val="00990B26"/>
    <w:rsid w:val="00991AE7"/>
    <w:rsid w:val="009925FB"/>
    <w:rsid w:val="00993E1D"/>
    <w:rsid w:val="00994DE3"/>
    <w:rsid w:val="0099557F"/>
    <w:rsid w:val="00996044"/>
    <w:rsid w:val="00996866"/>
    <w:rsid w:val="00996CF1"/>
    <w:rsid w:val="00996E14"/>
    <w:rsid w:val="00997206"/>
    <w:rsid w:val="009A0ECF"/>
    <w:rsid w:val="009A1C77"/>
    <w:rsid w:val="009A2BC9"/>
    <w:rsid w:val="009A31B8"/>
    <w:rsid w:val="009A4E19"/>
    <w:rsid w:val="009A559D"/>
    <w:rsid w:val="009A693A"/>
    <w:rsid w:val="009A7C90"/>
    <w:rsid w:val="009B0844"/>
    <w:rsid w:val="009B0878"/>
    <w:rsid w:val="009B5206"/>
    <w:rsid w:val="009B5399"/>
    <w:rsid w:val="009B58EE"/>
    <w:rsid w:val="009B70A6"/>
    <w:rsid w:val="009C05AF"/>
    <w:rsid w:val="009C0ABA"/>
    <w:rsid w:val="009C1ADE"/>
    <w:rsid w:val="009C27BC"/>
    <w:rsid w:val="009C5C0A"/>
    <w:rsid w:val="009C6EA9"/>
    <w:rsid w:val="009C7DF1"/>
    <w:rsid w:val="009D2E81"/>
    <w:rsid w:val="009D4F34"/>
    <w:rsid w:val="009E2A9D"/>
    <w:rsid w:val="009E2BBE"/>
    <w:rsid w:val="009E3747"/>
    <w:rsid w:val="009E4D53"/>
    <w:rsid w:val="009E7967"/>
    <w:rsid w:val="009F06AE"/>
    <w:rsid w:val="009F1ADB"/>
    <w:rsid w:val="009F21BD"/>
    <w:rsid w:val="009F3478"/>
    <w:rsid w:val="009F357D"/>
    <w:rsid w:val="009F5E52"/>
    <w:rsid w:val="009F66CE"/>
    <w:rsid w:val="009F66E0"/>
    <w:rsid w:val="009F6BFD"/>
    <w:rsid w:val="00A008E5"/>
    <w:rsid w:val="00A00CF0"/>
    <w:rsid w:val="00A01F50"/>
    <w:rsid w:val="00A046C1"/>
    <w:rsid w:val="00A0540E"/>
    <w:rsid w:val="00A05A96"/>
    <w:rsid w:val="00A05EE7"/>
    <w:rsid w:val="00A063ED"/>
    <w:rsid w:val="00A070E8"/>
    <w:rsid w:val="00A100DF"/>
    <w:rsid w:val="00A138C0"/>
    <w:rsid w:val="00A141EA"/>
    <w:rsid w:val="00A202D8"/>
    <w:rsid w:val="00A2047C"/>
    <w:rsid w:val="00A244FD"/>
    <w:rsid w:val="00A253A1"/>
    <w:rsid w:val="00A25A23"/>
    <w:rsid w:val="00A26881"/>
    <w:rsid w:val="00A2698F"/>
    <w:rsid w:val="00A27CD9"/>
    <w:rsid w:val="00A32AF7"/>
    <w:rsid w:val="00A35723"/>
    <w:rsid w:val="00A45EC9"/>
    <w:rsid w:val="00A52E38"/>
    <w:rsid w:val="00A539E5"/>
    <w:rsid w:val="00A5437C"/>
    <w:rsid w:val="00A54559"/>
    <w:rsid w:val="00A549F7"/>
    <w:rsid w:val="00A5513F"/>
    <w:rsid w:val="00A5574A"/>
    <w:rsid w:val="00A5587C"/>
    <w:rsid w:val="00A55A80"/>
    <w:rsid w:val="00A60C8E"/>
    <w:rsid w:val="00A643B5"/>
    <w:rsid w:val="00A65DC6"/>
    <w:rsid w:val="00A6654E"/>
    <w:rsid w:val="00A66CA4"/>
    <w:rsid w:val="00A679BA"/>
    <w:rsid w:val="00A71302"/>
    <w:rsid w:val="00A72499"/>
    <w:rsid w:val="00A74C7E"/>
    <w:rsid w:val="00A75983"/>
    <w:rsid w:val="00A75E96"/>
    <w:rsid w:val="00A81653"/>
    <w:rsid w:val="00A8322B"/>
    <w:rsid w:val="00A84573"/>
    <w:rsid w:val="00A85D5E"/>
    <w:rsid w:val="00A8733A"/>
    <w:rsid w:val="00A87DFA"/>
    <w:rsid w:val="00A920B6"/>
    <w:rsid w:val="00A939AF"/>
    <w:rsid w:val="00A95B59"/>
    <w:rsid w:val="00A960BA"/>
    <w:rsid w:val="00AA0CA4"/>
    <w:rsid w:val="00AA1E9F"/>
    <w:rsid w:val="00AA2528"/>
    <w:rsid w:val="00AA33E0"/>
    <w:rsid w:val="00AA5233"/>
    <w:rsid w:val="00AA698E"/>
    <w:rsid w:val="00AA76BD"/>
    <w:rsid w:val="00AA77E5"/>
    <w:rsid w:val="00AB1009"/>
    <w:rsid w:val="00AB140C"/>
    <w:rsid w:val="00AB335B"/>
    <w:rsid w:val="00AB5066"/>
    <w:rsid w:val="00AB51D4"/>
    <w:rsid w:val="00AB6DD0"/>
    <w:rsid w:val="00AB7742"/>
    <w:rsid w:val="00AC0692"/>
    <w:rsid w:val="00AC10A2"/>
    <w:rsid w:val="00AC3EE5"/>
    <w:rsid w:val="00AC4237"/>
    <w:rsid w:val="00AC4745"/>
    <w:rsid w:val="00AC47A1"/>
    <w:rsid w:val="00AC6371"/>
    <w:rsid w:val="00AC6402"/>
    <w:rsid w:val="00AC6E0B"/>
    <w:rsid w:val="00AD151A"/>
    <w:rsid w:val="00AD184C"/>
    <w:rsid w:val="00AD1D2B"/>
    <w:rsid w:val="00AD3735"/>
    <w:rsid w:val="00AD5EC4"/>
    <w:rsid w:val="00AD5EDE"/>
    <w:rsid w:val="00AE101E"/>
    <w:rsid w:val="00AE3166"/>
    <w:rsid w:val="00AE3FA1"/>
    <w:rsid w:val="00AE4442"/>
    <w:rsid w:val="00AE4B2F"/>
    <w:rsid w:val="00AE537E"/>
    <w:rsid w:val="00AE6E07"/>
    <w:rsid w:val="00AE7163"/>
    <w:rsid w:val="00AE7913"/>
    <w:rsid w:val="00AE7A4D"/>
    <w:rsid w:val="00AF0580"/>
    <w:rsid w:val="00AF13A2"/>
    <w:rsid w:val="00AF36A0"/>
    <w:rsid w:val="00AF4E61"/>
    <w:rsid w:val="00AF50A7"/>
    <w:rsid w:val="00AF5301"/>
    <w:rsid w:val="00AF7ED3"/>
    <w:rsid w:val="00B00B3C"/>
    <w:rsid w:val="00B02651"/>
    <w:rsid w:val="00B04546"/>
    <w:rsid w:val="00B05852"/>
    <w:rsid w:val="00B05B3E"/>
    <w:rsid w:val="00B07327"/>
    <w:rsid w:val="00B07E8B"/>
    <w:rsid w:val="00B100A6"/>
    <w:rsid w:val="00B11F60"/>
    <w:rsid w:val="00B12803"/>
    <w:rsid w:val="00B152BE"/>
    <w:rsid w:val="00B2688A"/>
    <w:rsid w:val="00B27CFF"/>
    <w:rsid w:val="00B30B2F"/>
    <w:rsid w:val="00B31054"/>
    <w:rsid w:val="00B31A18"/>
    <w:rsid w:val="00B31A56"/>
    <w:rsid w:val="00B31C85"/>
    <w:rsid w:val="00B3201D"/>
    <w:rsid w:val="00B3446E"/>
    <w:rsid w:val="00B34C65"/>
    <w:rsid w:val="00B34F55"/>
    <w:rsid w:val="00B433E7"/>
    <w:rsid w:val="00B43C62"/>
    <w:rsid w:val="00B44715"/>
    <w:rsid w:val="00B45E6D"/>
    <w:rsid w:val="00B4638C"/>
    <w:rsid w:val="00B50323"/>
    <w:rsid w:val="00B51A48"/>
    <w:rsid w:val="00B54AC4"/>
    <w:rsid w:val="00B54FC4"/>
    <w:rsid w:val="00B5516D"/>
    <w:rsid w:val="00B61A85"/>
    <w:rsid w:val="00B65E4B"/>
    <w:rsid w:val="00B6713B"/>
    <w:rsid w:val="00B71AC2"/>
    <w:rsid w:val="00B72EEB"/>
    <w:rsid w:val="00B739B0"/>
    <w:rsid w:val="00B73B6A"/>
    <w:rsid w:val="00B74789"/>
    <w:rsid w:val="00B74989"/>
    <w:rsid w:val="00B75B8B"/>
    <w:rsid w:val="00B76C94"/>
    <w:rsid w:val="00B801E8"/>
    <w:rsid w:val="00B80CF1"/>
    <w:rsid w:val="00B82ACD"/>
    <w:rsid w:val="00B83369"/>
    <w:rsid w:val="00B85758"/>
    <w:rsid w:val="00B85DFE"/>
    <w:rsid w:val="00B87FBF"/>
    <w:rsid w:val="00B91F39"/>
    <w:rsid w:val="00B926DA"/>
    <w:rsid w:val="00B92B8E"/>
    <w:rsid w:val="00B94A86"/>
    <w:rsid w:val="00B968A9"/>
    <w:rsid w:val="00BA0056"/>
    <w:rsid w:val="00BA1B4E"/>
    <w:rsid w:val="00BA2A28"/>
    <w:rsid w:val="00BA3434"/>
    <w:rsid w:val="00BB0078"/>
    <w:rsid w:val="00BB3729"/>
    <w:rsid w:val="00BB392C"/>
    <w:rsid w:val="00BB3C48"/>
    <w:rsid w:val="00BB428A"/>
    <w:rsid w:val="00BB4358"/>
    <w:rsid w:val="00BB4AE7"/>
    <w:rsid w:val="00BB7918"/>
    <w:rsid w:val="00BC1C32"/>
    <w:rsid w:val="00BC1EAE"/>
    <w:rsid w:val="00BC288B"/>
    <w:rsid w:val="00BC3238"/>
    <w:rsid w:val="00BC339D"/>
    <w:rsid w:val="00BC672C"/>
    <w:rsid w:val="00BC67A0"/>
    <w:rsid w:val="00BD44CD"/>
    <w:rsid w:val="00BD6DF9"/>
    <w:rsid w:val="00BD79A0"/>
    <w:rsid w:val="00BE1221"/>
    <w:rsid w:val="00BE69D8"/>
    <w:rsid w:val="00BF2A01"/>
    <w:rsid w:val="00BF3FC6"/>
    <w:rsid w:val="00BF431B"/>
    <w:rsid w:val="00BF4AC2"/>
    <w:rsid w:val="00BF5C13"/>
    <w:rsid w:val="00BF743A"/>
    <w:rsid w:val="00C01019"/>
    <w:rsid w:val="00C0258B"/>
    <w:rsid w:val="00C0354F"/>
    <w:rsid w:val="00C04041"/>
    <w:rsid w:val="00C04A23"/>
    <w:rsid w:val="00C05090"/>
    <w:rsid w:val="00C0590E"/>
    <w:rsid w:val="00C0609F"/>
    <w:rsid w:val="00C07B3C"/>
    <w:rsid w:val="00C10478"/>
    <w:rsid w:val="00C11903"/>
    <w:rsid w:val="00C11955"/>
    <w:rsid w:val="00C13AAC"/>
    <w:rsid w:val="00C20161"/>
    <w:rsid w:val="00C21084"/>
    <w:rsid w:val="00C22CCF"/>
    <w:rsid w:val="00C2354D"/>
    <w:rsid w:val="00C23B33"/>
    <w:rsid w:val="00C25262"/>
    <w:rsid w:val="00C2548A"/>
    <w:rsid w:val="00C2573E"/>
    <w:rsid w:val="00C26951"/>
    <w:rsid w:val="00C302EB"/>
    <w:rsid w:val="00C30860"/>
    <w:rsid w:val="00C3134E"/>
    <w:rsid w:val="00C31489"/>
    <w:rsid w:val="00C317F1"/>
    <w:rsid w:val="00C31D0F"/>
    <w:rsid w:val="00C33132"/>
    <w:rsid w:val="00C33E02"/>
    <w:rsid w:val="00C33FD0"/>
    <w:rsid w:val="00C34ECD"/>
    <w:rsid w:val="00C3576F"/>
    <w:rsid w:val="00C366B6"/>
    <w:rsid w:val="00C36C19"/>
    <w:rsid w:val="00C37400"/>
    <w:rsid w:val="00C375E2"/>
    <w:rsid w:val="00C40971"/>
    <w:rsid w:val="00C44FFE"/>
    <w:rsid w:val="00C5024F"/>
    <w:rsid w:val="00C503F7"/>
    <w:rsid w:val="00C528AD"/>
    <w:rsid w:val="00C533F8"/>
    <w:rsid w:val="00C53B7E"/>
    <w:rsid w:val="00C55A98"/>
    <w:rsid w:val="00C5723F"/>
    <w:rsid w:val="00C60C00"/>
    <w:rsid w:val="00C61BA4"/>
    <w:rsid w:val="00C63B4C"/>
    <w:rsid w:val="00C64D19"/>
    <w:rsid w:val="00C64D8E"/>
    <w:rsid w:val="00C653D7"/>
    <w:rsid w:val="00C65AA5"/>
    <w:rsid w:val="00C72EAF"/>
    <w:rsid w:val="00C74F50"/>
    <w:rsid w:val="00C76624"/>
    <w:rsid w:val="00C82606"/>
    <w:rsid w:val="00C82921"/>
    <w:rsid w:val="00C838E0"/>
    <w:rsid w:val="00C84382"/>
    <w:rsid w:val="00C85207"/>
    <w:rsid w:val="00C85311"/>
    <w:rsid w:val="00C86972"/>
    <w:rsid w:val="00C92AEF"/>
    <w:rsid w:val="00C95550"/>
    <w:rsid w:val="00C97368"/>
    <w:rsid w:val="00C979C8"/>
    <w:rsid w:val="00CA0012"/>
    <w:rsid w:val="00CA2333"/>
    <w:rsid w:val="00CA399B"/>
    <w:rsid w:val="00CA4C95"/>
    <w:rsid w:val="00CA4E89"/>
    <w:rsid w:val="00CA4ED1"/>
    <w:rsid w:val="00CA6366"/>
    <w:rsid w:val="00CA6AE9"/>
    <w:rsid w:val="00CB008C"/>
    <w:rsid w:val="00CB46A0"/>
    <w:rsid w:val="00CB63F7"/>
    <w:rsid w:val="00CB67C3"/>
    <w:rsid w:val="00CB768C"/>
    <w:rsid w:val="00CB78B8"/>
    <w:rsid w:val="00CC014E"/>
    <w:rsid w:val="00CC0B95"/>
    <w:rsid w:val="00CD4571"/>
    <w:rsid w:val="00CD5424"/>
    <w:rsid w:val="00CD7D1F"/>
    <w:rsid w:val="00CE02D7"/>
    <w:rsid w:val="00CE39B1"/>
    <w:rsid w:val="00CE3C49"/>
    <w:rsid w:val="00CE43EC"/>
    <w:rsid w:val="00CE4CF3"/>
    <w:rsid w:val="00CE5D98"/>
    <w:rsid w:val="00CF0161"/>
    <w:rsid w:val="00CF0216"/>
    <w:rsid w:val="00CF5551"/>
    <w:rsid w:val="00CF6614"/>
    <w:rsid w:val="00D00230"/>
    <w:rsid w:val="00D01337"/>
    <w:rsid w:val="00D013ED"/>
    <w:rsid w:val="00D02259"/>
    <w:rsid w:val="00D03312"/>
    <w:rsid w:val="00D05758"/>
    <w:rsid w:val="00D05840"/>
    <w:rsid w:val="00D07477"/>
    <w:rsid w:val="00D10F57"/>
    <w:rsid w:val="00D135AD"/>
    <w:rsid w:val="00D13C40"/>
    <w:rsid w:val="00D147B6"/>
    <w:rsid w:val="00D1542A"/>
    <w:rsid w:val="00D20C10"/>
    <w:rsid w:val="00D212B9"/>
    <w:rsid w:val="00D21CCA"/>
    <w:rsid w:val="00D24511"/>
    <w:rsid w:val="00D253E8"/>
    <w:rsid w:val="00D26100"/>
    <w:rsid w:val="00D26C48"/>
    <w:rsid w:val="00D26E47"/>
    <w:rsid w:val="00D300B8"/>
    <w:rsid w:val="00D3084A"/>
    <w:rsid w:val="00D32958"/>
    <w:rsid w:val="00D33D4C"/>
    <w:rsid w:val="00D34D89"/>
    <w:rsid w:val="00D37AE8"/>
    <w:rsid w:val="00D37CEC"/>
    <w:rsid w:val="00D417EB"/>
    <w:rsid w:val="00D424FB"/>
    <w:rsid w:val="00D4526D"/>
    <w:rsid w:val="00D45E70"/>
    <w:rsid w:val="00D464F9"/>
    <w:rsid w:val="00D479D3"/>
    <w:rsid w:val="00D5128C"/>
    <w:rsid w:val="00D54BE9"/>
    <w:rsid w:val="00D5560A"/>
    <w:rsid w:val="00D5605F"/>
    <w:rsid w:val="00D6093A"/>
    <w:rsid w:val="00D60E26"/>
    <w:rsid w:val="00D62244"/>
    <w:rsid w:val="00D62321"/>
    <w:rsid w:val="00D639E3"/>
    <w:rsid w:val="00D64513"/>
    <w:rsid w:val="00D653B2"/>
    <w:rsid w:val="00D65609"/>
    <w:rsid w:val="00D66998"/>
    <w:rsid w:val="00D676C9"/>
    <w:rsid w:val="00D734AE"/>
    <w:rsid w:val="00D773E2"/>
    <w:rsid w:val="00D80960"/>
    <w:rsid w:val="00D81E00"/>
    <w:rsid w:val="00D8274E"/>
    <w:rsid w:val="00D83DD0"/>
    <w:rsid w:val="00D859F8"/>
    <w:rsid w:val="00D865EC"/>
    <w:rsid w:val="00D86F4D"/>
    <w:rsid w:val="00D87C11"/>
    <w:rsid w:val="00D912B8"/>
    <w:rsid w:val="00D91EEF"/>
    <w:rsid w:val="00D92BA7"/>
    <w:rsid w:val="00D93434"/>
    <w:rsid w:val="00D93E3D"/>
    <w:rsid w:val="00D97160"/>
    <w:rsid w:val="00DA1706"/>
    <w:rsid w:val="00DA1ADD"/>
    <w:rsid w:val="00DA2FF6"/>
    <w:rsid w:val="00DA3BE1"/>
    <w:rsid w:val="00DA7F46"/>
    <w:rsid w:val="00DB59D0"/>
    <w:rsid w:val="00DC2DCF"/>
    <w:rsid w:val="00DC5235"/>
    <w:rsid w:val="00DD1732"/>
    <w:rsid w:val="00DD2462"/>
    <w:rsid w:val="00DD2A16"/>
    <w:rsid w:val="00DD37D5"/>
    <w:rsid w:val="00DD4FCB"/>
    <w:rsid w:val="00DD5ACE"/>
    <w:rsid w:val="00DE119C"/>
    <w:rsid w:val="00DE21BE"/>
    <w:rsid w:val="00DE3445"/>
    <w:rsid w:val="00DE34AF"/>
    <w:rsid w:val="00DE512A"/>
    <w:rsid w:val="00DE6464"/>
    <w:rsid w:val="00DE77BF"/>
    <w:rsid w:val="00DF0141"/>
    <w:rsid w:val="00DF2112"/>
    <w:rsid w:val="00DF2549"/>
    <w:rsid w:val="00DF3F0E"/>
    <w:rsid w:val="00DF4DC0"/>
    <w:rsid w:val="00DF4E81"/>
    <w:rsid w:val="00DF50B3"/>
    <w:rsid w:val="00DF55C7"/>
    <w:rsid w:val="00DF62AC"/>
    <w:rsid w:val="00DF6B93"/>
    <w:rsid w:val="00DF7263"/>
    <w:rsid w:val="00E01458"/>
    <w:rsid w:val="00E01F8B"/>
    <w:rsid w:val="00E028E2"/>
    <w:rsid w:val="00E03316"/>
    <w:rsid w:val="00E03AE6"/>
    <w:rsid w:val="00E05724"/>
    <w:rsid w:val="00E10DEB"/>
    <w:rsid w:val="00E11408"/>
    <w:rsid w:val="00E114AA"/>
    <w:rsid w:val="00E11568"/>
    <w:rsid w:val="00E11CB3"/>
    <w:rsid w:val="00E13A52"/>
    <w:rsid w:val="00E16087"/>
    <w:rsid w:val="00E20C30"/>
    <w:rsid w:val="00E22C7B"/>
    <w:rsid w:val="00E23D74"/>
    <w:rsid w:val="00E2423C"/>
    <w:rsid w:val="00E258FA"/>
    <w:rsid w:val="00E25EB1"/>
    <w:rsid w:val="00E27516"/>
    <w:rsid w:val="00E33D87"/>
    <w:rsid w:val="00E3582B"/>
    <w:rsid w:val="00E4121F"/>
    <w:rsid w:val="00E4139F"/>
    <w:rsid w:val="00E427F0"/>
    <w:rsid w:val="00E428FB"/>
    <w:rsid w:val="00E45638"/>
    <w:rsid w:val="00E4687D"/>
    <w:rsid w:val="00E46F0A"/>
    <w:rsid w:val="00E47867"/>
    <w:rsid w:val="00E5289C"/>
    <w:rsid w:val="00E530E1"/>
    <w:rsid w:val="00E540DA"/>
    <w:rsid w:val="00E5622E"/>
    <w:rsid w:val="00E568FF"/>
    <w:rsid w:val="00E56E3C"/>
    <w:rsid w:val="00E573A1"/>
    <w:rsid w:val="00E676D3"/>
    <w:rsid w:val="00E707FC"/>
    <w:rsid w:val="00E72435"/>
    <w:rsid w:val="00E7296A"/>
    <w:rsid w:val="00E72ABA"/>
    <w:rsid w:val="00E755A0"/>
    <w:rsid w:val="00E8004D"/>
    <w:rsid w:val="00E8218B"/>
    <w:rsid w:val="00E83762"/>
    <w:rsid w:val="00E83F4C"/>
    <w:rsid w:val="00E84949"/>
    <w:rsid w:val="00E85DD3"/>
    <w:rsid w:val="00E87D93"/>
    <w:rsid w:val="00E87E79"/>
    <w:rsid w:val="00E91115"/>
    <w:rsid w:val="00E92F6A"/>
    <w:rsid w:val="00E954ED"/>
    <w:rsid w:val="00E958D6"/>
    <w:rsid w:val="00E959C7"/>
    <w:rsid w:val="00EA0163"/>
    <w:rsid w:val="00EA05AB"/>
    <w:rsid w:val="00EA1656"/>
    <w:rsid w:val="00EA21EC"/>
    <w:rsid w:val="00EA3F31"/>
    <w:rsid w:val="00EA6B5D"/>
    <w:rsid w:val="00EA7BE6"/>
    <w:rsid w:val="00EA7F17"/>
    <w:rsid w:val="00EB01BC"/>
    <w:rsid w:val="00EB1076"/>
    <w:rsid w:val="00EB1698"/>
    <w:rsid w:val="00EB276C"/>
    <w:rsid w:val="00EB2BA5"/>
    <w:rsid w:val="00EB5555"/>
    <w:rsid w:val="00EB56AB"/>
    <w:rsid w:val="00EB5A75"/>
    <w:rsid w:val="00EB664F"/>
    <w:rsid w:val="00EB6827"/>
    <w:rsid w:val="00EB6E93"/>
    <w:rsid w:val="00EB7B9C"/>
    <w:rsid w:val="00EB7DD4"/>
    <w:rsid w:val="00EC59E9"/>
    <w:rsid w:val="00ED0A80"/>
    <w:rsid w:val="00ED1B82"/>
    <w:rsid w:val="00ED2414"/>
    <w:rsid w:val="00ED2F54"/>
    <w:rsid w:val="00ED37CF"/>
    <w:rsid w:val="00ED38C6"/>
    <w:rsid w:val="00ED4037"/>
    <w:rsid w:val="00ED665D"/>
    <w:rsid w:val="00ED75B0"/>
    <w:rsid w:val="00EE073A"/>
    <w:rsid w:val="00EE326A"/>
    <w:rsid w:val="00EE6315"/>
    <w:rsid w:val="00EE66C5"/>
    <w:rsid w:val="00EE67A7"/>
    <w:rsid w:val="00EE69D2"/>
    <w:rsid w:val="00EE7A58"/>
    <w:rsid w:val="00EF0A67"/>
    <w:rsid w:val="00EF2460"/>
    <w:rsid w:val="00EF4042"/>
    <w:rsid w:val="00F01935"/>
    <w:rsid w:val="00F02187"/>
    <w:rsid w:val="00F0235F"/>
    <w:rsid w:val="00F03A1B"/>
    <w:rsid w:val="00F05039"/>
    <w:rsid w:val="00F0677D"/>
    <w:rsid w:val="00F07C42"/>
    <w:rsid w:val="00F11181"/>
    <w:rsid w:val="00F116D3"/>
    <w:rsid w:val="00F11D10"/>
    <w:rsid w:val="00F12097"/>
    <w:rsid w:val="00F13052"/>
    <w:rsid w:val="00F13B48"/>
    <w:rsid w:val="00F143E0"/>
    <w:rsid w:val="00F1492C"/>
    <w:rsid w:val="00F179C3"/>
    <w:rsid w:val="00F2149B"/>
    <w:rsid w:val="00F2198F"/>
    <w:rsid w:val="00F2340A"/>
    <w:rsid w:val="00F23659"/>
    <w:rsid w:val="00F236AF"/>
    <w:rsid w:val="00F2386B"/>
    <w:rsid w:val="00F24113"/>
    <w:rsid w:val="00F26AEB"/>
    <w:rsid w:val="00F26F76"/>
    <w:rsid w:val="00F273A4"/>
    <w:rsid w:val="00F31773"/>
    <w:rsid w:val="00F346DA"/>
    <w:rsid w:val="00F35541"/>
    <w:rsid w:val="00F359B4"/>
    <w:rsid w:val="00F364AB"/>
    <w:rsid w:val="00F403AC"/>
    <w:rsid w:val="00F43626"/>
    <w:rsid w:val="00F50E5F"/>
    <w:rsid w:val="00F5234E"/>
    <w:rsid w:val="00F527C1"/>
    <w:rsid w:val="00F53FD2"/>
    <w:rsid w:val="00F54B9D"/>
    <w:rsid w:val="00F55246"/>
    <w:rsid w:val="00F57891"/>
    <w:rsid w:val="00F600E3"/>
    <w:rsid w:val="00F60E4C"/>
    <w:rsid w:val="00F61C1B"/>
    <w:rsid w:val="00F63C84"/>
    <w:rsid w:val="00F6425E"/>
    <w:rsid w:val="00F64316"/>
    <w:rsid w:val="00F64C7C"/>
    <w:rsid w:val="00F66891"/>
    <w:rsid w:val="00F668D1"/>
    <w:rsid w:val="00F6721C"/>
    <w:rsid w:val="00F7014C"/>
    <w:rsid w:val="00F70D60"/>
    <w:rsid w:val="00F715D4"/>
    <w:rsid w:val="00F715F0"/>
    <w:rsid w:val="00F72353"/>
    <w:rsid w:val="00F75176"/>
    <w:rsid w:val="00F821DE"/>
    <w:rsid w:val="00F82252"/>
    <w:rsid w:val="00F82ED5"/>
    <w:rsid w:val="00F8384A"/>
    <w:rsid w:val="00F84D73"/>
    <w:rsid w:val="00F869A6"/>
    <w:rsid w:val="00F86E0C"/>
    <w:rsid w:val="00F87B00"/>
    <w:rsid w:val="00F90EAC"/>
    <w:rsid w:val="00F91CC3"/>
    <w:rsid w:val="00F95637"/>
    <w:rsid w:val="00F97F00"/>
    <w:rsid w:val="00FA07F1"/>
    <w:rsid w:val="00FA0D2E"/>
    <w:rsid w:val="00FA20A8"/>
    <w:rsid w:val="00FA5078"/>
    <w:rsid w:val="00FB0B69"/>
    <w:rsid w:val="00FB3516"/>
    <w:rsid w:val="00FB38D8"/>
    <w:rsid w:val="00FB45ED"/>
    <w:rsid w:val="00FB5E87"/>
    <w:rsid w:val="00FB7D5F"/>
    <w:rsid w:val="00FB7EC9"/>
    <w:rsid w:val="00FC30E1"/>
    <w:rsid w:val="00FC4168"/>
    <w:rsid w:val="00FC4537"/>
    <w:rsid w:val="00FC5CF4"/>
    <w:rsid w:val="00FC66E9"/>
    <w:rsid w:val="00FC7D82"/>
    <w:rsid w:val="00FC7E29"/>
    <w:rsid w:val="00FD30CA"/>
    <w:rsid w:val="00FD6AF9"/>
    <w:rsid w:val="00FE3A3D"/>
    <w:rsid w:val="00FE4986"/>
    <w:rsid w:val="00FE5612"/>
    <w:rsid w:val="00FE723B"/>
    <w:rsid w:val="00FF0B36"/>
    <w:rsid w:val="00FF2BEE"/>
    <w:rsid w:val="00FF3DFE"/>
    <w:rsid w:val="00FF5CF3"/>
    <w:rsid w:val="00FF66F6"/>
    <w:rsid w:val="00FF77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06EF3"/>
  <w15:docId w15:val="{9FF19AE4-77A1-4D3F-9B04-2A100E61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
    <w:basedOn w:val="Normal"/>
    <w:link w:val="FootnoteTextChar1"/>
    <w:qFormat/>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Pr>
      <w:rFonts w:ascii="Calibri" w:eastAsia="Calibri" w:hAnsi="Calibri" w:cs="Times New Roman"/>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 Char,fn Char,ft Char"/>
    <w:link w:val="FootnoteText"/>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CFR">
    <w:name w:val="CFR"/>
    <w:uiPriority w:val="99"/>
    <w:pPr>
      <w:numPr>
        <w:numId w:val="2"/>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media-library/assets/documents/2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517</_x0031__x002e__x0020_Collection_x0020_Number>
    <Date xmlns="d6eefc7d-9817-4fa6-84d5-3bc009be21b8">2021-12-29T05:00:00+00:00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RM20-9-000</_x0031__x002e__x0020_Docket_x0020_Number>
    <_x0033__x002e__x0020_Collection_x0020_Number xmlns="d6eefc7d-9817-4fa6-84d5-3bc009be21b8" xsi:nil="true"/>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BB8A9D0-E748-4CBA-BFF9-E920A68EB14D}">
  <ds:schemaRefs>
    <ds:schemaRef ds:uri="http://schemas.openxmlformats.org/officeDocument/2006/bibliography"/>
  </ds:schemaRefs>
</ds:datastoreItem>
</file>

<file path=customXml/itemProps2.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1FA8E565-672D-4B45-94E5-2A5BC6B70261}">
  <ds:schemaRefs>
    <ds:schemaRef ds:uri="http://schemas.microsoft.com/office/2006/metadata/customXsn"/>
  </ds:schemaRefs>
</ds:datastoreItem>
</file>

<file path=customXml/itemProps4.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5.xml><?xml version="1.0" encoding="utf-8"?>
<ds:datastoreItem xmlns:ds="http://schemas.openxmlformats.org/officeDocument/2006/customXml" ds:itemID="{E899C3AA-68A4-4553-8444-6BAEE0F3D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4A9CAE-2F06-46B9-8B14-50CD49BB4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Draft supporting statement for Safety of Water Power Projects and Project Works</vt:lpstr>
    </vt:vector>
  </TitlesOfParts>
  <Company>FERC</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 Safety of Water Power Projects and Project Works</dc:title>
  <dc:creator>Michele Chambers</dc:creator>
  <cp:lastModifiedBy>Kayla Williams</cp:lastModifiedBy>
  <cp:revision>7</cp:revision>
  <cp:lastPrinted>2022-01-13T19:45:00Z</cp:lastPrinted>
  <dcterms:created xsi:type="dcterms:W3CDTF">2025-03-26T11:57:00Z</dcterms:created>
  <dcterms:modified xsi:type="dcterms:W3CDTF">2025-03-26T20:26:00Z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cd10d55a-412d-4c24-87c2-cd9ef793769b</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2024-11-19T14:24:37Z</vt:lpwstr>
  </property>
  <property fmtid="{D5CDD505-2E9C-101B-9397-08002B2CF9AE}" pid="9" name="MSIP_Label_bd24d06a-0e85-4d57-b1e0-ba34b1abc708_SiteId">
    <vt:lpwstr>19caa9e9-04ff-43fa-885f-d77fac387903</vt:lpwstr>
  </property>
</Properties>
</file>