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RPr="00227867" w:rsidP="00A2604E" w14:paraId="1502CB1A" w14:textId="77777777">
      <w:pPr>
        <w:jc w:val="center"/>
      </w:pPr>
      <w:r w:rsidRPr="00227867">
        <w:t>UNITED STATES OF AMERICA</w:t>
      </w:r>
    </w:p>
    <w:p w:rsidR="00A2604E" w:rsidRPr="00227867" w:rsidP="00A2604E" w14:paraId="273661E3" w14:textId="77777777">
      <w:pPr>
        <w:jc w:val="center"/>
      </w:pPr>
      <w:r w:rsidRPr="00227867">
        <w:t>FEDERAL ENERGY REGULATORY COMMISSION</w:t>
      </w:r>
    </w:p>
    <w:p w:rsidR="00A2604E" w:rsidRPr="00227867" w:rsidP="00A2604E" w14:paraId="6C561934" w14:textId="77777777"/>
    <w:p w:rsidR="00A2604E" w:rsidRPr="00227867" w:rsidP="00A2604E" w14:paraId="3E11D4A1" w14:textId="6698F52E">
      <w:pPr>
        <w:jc w:val="center"/>
      </w:pPr>
      <w:r w:rsidRPr="00227867">
        <w:t xml:space="preserve">[Docket No. </w:t>
      </w:r>
      <w:r w:rsidRPr="00227867" w:rsidR="00613169">
        <w:t>IC</w:t>
      </w:r>
      <w:r w:rsidRPr="00227867" w:rsidR="00FB078F">
        <w:t>2</w:t>
      </w:r>
      <w:r w:rsidR="003F62AD">
        <w:t>5</w:t>
      </w:r>
      <w:r w:rsidRPr="00227867" w:rsidR="00613169">
        <w:t>-</w:t>
      </w:r>
      <w:r w:rsidRPr="00227867" w:rsidR="00C0408A">
        <w:t>2</w:t>
      </w:r>
      <w:r w:rsidRPr="00227867" w:rsidR="00613169">
        <w:t>-000</w:t>
      </w:r>
      <w:r w:rsidRPr="00227867">
        <w:t>]</w:t>
      </w:r>
    </w:p>
    <w:p w:rsidR="00A2604E" w:rsidRPr="00227867" w:rsidP="00A2604E" w14:paraId="4D16FE54" w14:textId="77777777"/>
    <w:p w:rsidR="00A2604E" w:rsidRPr="00227867" w:rsidP="00A2604E" w14:paraId="0627AE31" w14:textId="21E17690">
      <w:pPr>
        <w:jc w:val="center"/>
      </w:pPr>
      <w:r w:rsidRPr="00227867">
        <w:t>COMMISSION INFORMATION COLLECTION ACTIVITIES (FERC-</w:t>
      </w:r>
      <w:r w:rsidR="003F62AD">
        <w:t>517</w:t>
      </w:r>
      <w:r w:rsidRPr="00227867">
        <w:t>);</w:t>
      </w:r>
    </w:p>
    <w:p w:rsidR="00A2604E" w:rsidRPr="00227867" w:rsidP="00A2604E" w14:paraId="3B5240D4" w14:textId="77777777">
      <w:pPr>
        <w:jc w:val="center"/>
      </w:pPr>
      <w:r w:rsidRPr="00227867">
        <w:t>COMMENT REQUEST; EXTENSION</w:t>
      </w:r>
    </w:p>
    <w:p w:rsidR="00881405" w:rsidRPr="00227867" w:rsidP="00A2604E" w14:paraId="5D8DD33D" w14:textId="77777777">
      <w:pPr>
        <w:jc w:val="center"/>
      </w:pPr>
    </w:p>
    <w:p w:rsidR="00E52385" w:rsidP="00227867" w14:paraId="0E069ADB" w14:textId="4098ADEB">
      <w:pPr>
        <w:jc w:val="center"/>
      </w:pPr>
      <w:r w:rsidRPr="00227867">
        <w:t>(</w:t>
      </w:r>
      <w:r w:rsidR="003F62AD">
        <w:t>DATE</w:t>
      </w:r>
      <w:r w:rsidRPr="00227867">
        <w:t>)</w:t>
      </w:r>
    </w:p>
    <w:p w:rsidR="00227867" w:rsidRPr="00227867" w:rsidP="00227867" w14:paraId="41DAD9AA" w14:textId="77777777"/>
    <w:p w:rsidR="00A2604E" w:rsidP="00A2604E" w14:paraId="735A1E72" w14:textId="77777777">
      <w:r w:rsidRPr="00AB4DBF">
        <w:rPr>
          <w:b/>
        </w:rPr>
        <w:t>AGENCY:</w:t>
      </w:r>
      <w:r w:rsidRPr="00AB4DBF">
        <w:t xml:space="preserve">  Federal Energy Regulatory Commission.</w:t>
      </w:r>
    </w:p>
    <w:p w:rsidR="00A2604E" w:rsidRPr="00AB4DBF" w:rsidP="00A2604E" w14:paraId="634EF64B" w14:textId="77777777"/>
    <w:p w:rsidR="00A2604E" w:rsidP="00A2604E" w14:paraId="674B9740" w14:textId="77777777">
      <w:pPr>
        <w:spacing w:line="480" w:lineRule="auto"/>
      </w:pPr>
      <w:r w:rsidRPr="00CE64F2">
        <w:rPr>
          <w:b/>
        </w:rPr>
        <w:t>ACTION:</w:t>
      </w:r>
      <w:r>
        <w:t xml:space="preserve">  </w:t>
      </w:r>
      <w:bookmarkStart w:id="0" w:name="_Hlk68091542"/>
      <w:r>
        <w:t xml:space="preserve">Notice of information collection </w:t>
      </w:r>
      <w:bookmarkEnd w:id="0"/>
      <w:r>
        <w:t>and request for comments.</w:t>
      </w:r>
    </w:p>
    <w:p w:rsidR="00A2604E" w:rsidRPr="00C0408A" w:rsidP="00A2604E" w14:paraId="59F663B1" w14:textId="4EB57176">
      <w:pPr>
        <w:spacing w:line="480" w:lineRule="auto"/>
        <w:rPr>
          <w:szCs w:val="26"/>
        </w:rPr>
      </w:pPr>
      <w:r w:rsidRPr="00CE64F2">
        <w:rPr>
          <w:b/>
        </w:rPr>
        <w:t>SUMMARY:</w:t>
      </w:r>
      <w:r>
        <w:t xml:space="preserve">  In compliance with the requirements of the Paperwork Reduction Act of 1995, the Federal Energy Regulatory Commission (Commission or FERC) is soliciting public comment on the currently approved information collection,</w:t>
      </w:r>
      <w:r w:rsidRPr="00C0408A" w:rsidR="00C0408A">
        <w:rPr>
          <w:i/>
          <w:szCs w:val="26"/>
        </w:rPr>
        <w:t xml:space="preserve"> </w:t>
      </w:r>
      <w:r w:rsidRPr="00C0408A" w:rsidR="00C0408A">
        <w:rPr>
          <w:szCs w:val="26"/>
        </w:rPr>
        <w:t>FERC-</w:t>
      </w:r>
      <w:r w:rsidR="003F62AD">
        <w:rPr>
          <w:szCs w:val="26"/>
        </w:rPr>
        <w:t>517</w:t>
      </w:r>
      <w:r w:rsidRPr="00C0408A" w:rsidR="00C0408A">
        <w:rPr>
          <w:szCs w:val="26"/>
        </w:rPr>
        <w:t>, Mandatory Reliability Standards: COM Reliability Standards</w:t>
      </w:r>
      <w:r w:rsidR="00CC5692">
        <w:t>.</w:t>
      </w:r>
      <w:r w:rsidR="00EE248C">
        <w:t xml:space="preserve"> There are no changes to the reporting requirements with this information collection.</w:t>
      </w:r>
      <w:r w:rsidR="00B437DF">
        <w:t xml:space="preserve">  The 60-day notice comment period ended on </w:t>
      </w:r>
      <w:r w:rsidR="007400A9">
        <w:t>March 4</w:t>
      </w:r>
      <w:r w:rsidR="00133619">
        <w:t>,</w:t>
      </w:r>
      <w:r w:rsidR="007400A9">
        <w:t xml:space="preserve"> </w:t>
      </w:r>
      <w:r w:rsidR="0095391C">
        <w:t>2025,</w:t>
      </w:r>
      <w:r w:rsidR="00133619">
        <w:t xml:space="preserve"> with no comments received.</w:t>
      </w:r>
    </w:p>
    <w:p w:rsidR="00A2604E" w:rsidRPr="00524164" w:rsidP="00A2604E" w14:paraId="5C5B574A" w14:textId="3D73F6EF">
      <w:pPr>
        <w:spacing w:line="480" w:lineRule="auto"/>
      </w:pPr>
      <w:r w:rsidRPr="00CE64F2">
        <w:rPr>
          <w:b/>
        </w:rPr>
        <w:t>DATES:</w:t>
      </w:r>
      <w:r>
        <w:t xml:space="preserve">  Comments on the collection of information are </w:t>
      </w:r>
      <w:r w:rsidRPr="00B24588">
        <w:t xml:space="preserve">due </w:t>
      </w:r>
      <w:r w:rsidRPr="000F36DF">
        <w:rPr>
          <w:b/>
          <w:bCs/>
        </w:rPr>
        <w:t>[</w:t>
      </w:r>
      <w:r w:rsidRPr="000F36DF" w:rsidR="000F36DF">
        <w:rPr>
          <w:b/>
        </w:rPr>
        <w:t xml:space="preserve">INSERT DATE </w:t>
      </w:r>
      <w:r w:rsidR="00FF098F">
        <w:rPr>
          <w:b/>
        </w:rPr>
        <w:t>3</w:t>
      </w:r>
      <w:r w:rsidRPr="000F36DF" w:rsidR="000F36DF">
        <w:rPr>
          <w:b/>
        </w:rPr>
        <w:t>0 DAYS AFTER DATE OF PUBLICATION IN THE FEDERAL REGISTER</w:t>
      </w:r>
      <w:r w:rsidRPr="000F36DF">
        <w:rPr>
          <w:b/>
          <w:bCs/>
        </w:rPr>
        <w:t>]</w:t>
      </w:r>
      <w:r w:rsidRPr="00524164">
        <w:t xml:space="preserve">. </w:t>
      </w:r>
    </w:p>
    <w:p w:rsidR="006D5E14" w:rsidRPr="00A34E33" w:rsidP="006D5E14" w14:paraId="6E434D0D" w14:textId="441B6850">
      <w:pPr>
        <w:spacing w:line="480" w:lineRule="auto"/>
        <w:rPr>
          <w:szCs w:val="26"/>
        </w:rPr>
      </w:pPr>
      <w:r w:rsidRPr="00A34E33">
        <w:rPr>
          <w:b/>
          <w:szCs w:val="26"/>
        </w:rPr>
        <w:t>ADDRESSES:</w:t>
      </w:r>
      <w:r w:rsidRPr="00A34E33">
        <w:rPr>
          <w:szCs w:val="26"/>
        </w:rPr>
        <w:t xml:space="preserve"> </w:t>
      </w:r>
      <w:r w:rsidRPr="00A34E33">
        <w:rPr>
          <w:iCs/>
          <w:szCs w:val="26"/>
        </w:rPr>
        <w:t>Send written comments on FERC-</w:t>
      </w:r>
      <w:r w:rsidR="007400A9">
        <w:rPr>
          <w:szCs w:val="26"/>
        </w:rPr>
        <w:t>517</w:t>
      </w:r>
      <w:r w:rsidRPr="00A34E33">
        <w:rPr>
          <w:szCs w:val="26"/>
        </w:rPr>
        <w:t xml:space="preserve"> </w:t>
      </w:r>
      <w:r w:rsidRPr="00A34E33">
        <w:rPr>
          <w:iCs/>
          <w:szCs w:val="26"/>
        </w:rPr>
        <w:t xml:space="preserve">to OMB through </w:t>
      </w:r>
      <w:hyperlink r:id="rId10">
        <w:r w:rsidRPr="00A34E33">
          <w:rPr>
            <w:rStyle w:val="Hyperlink"/>
            <w:szCs w:val="26"/>
          </w:rPr>
          <w:t>www.reginfo.gov/public/do/PRAMain</w:t>
        </w:r>
      </w:hyperlink>
      <w:r w:rsidRPr="00A34E33">
        <w:rPr>
          <w:szCs w:val="26"/>
        </w:rPr>
        <w:t>.</w:t>
      </w:r>
      <w:r w:rsidRPr="00A34E33">
        <w:rPr>
          <w:iCs/>
          <w:szCs w:val="26"/>
        </w:rPr>
        <w:t xml:space="preserve">  Attention:  Federal Energy Regulatory Commission Desk Officer.  Please identify the OMB Control Number (1902-0</w:t>
      </w:r>
      <w:r w:rsidR="003878F5">
        <w:rPr>
          <w:iCs/>
          <w:szCs w:val="26"/>
        </w:rPr>
        <w:t>319</w:t>
      </w:r>
      <w:r>
        <w:rPr>
          <w:iCs/>
          <w:szCs w:val="26"/>
        </w:rPr>
        <w:t>)</w:t>
      </w:r>
      <w:r w:rsidRPr="00A34E33">
        <w:rPr>
          <w:iCs/>
          <w:szCs w:val="26"/>
        </w:rPr>
        <w:t xml:space="preserve"> in the subject line of your comments.  Comments</w:t>
      </w:r>
      <w:r w:rsidRPr="00A34E33">
        <w:rPr>
          <w:szCs w:val="26"/>
        </w:rPr>
        <w:t xml:space="preserve"> should be sent within 30 days of publication of this notice to </w:t>
      </w:r>
      <w:hyperlink r:id="rId10" w:history="1">
        <w:r w:rsidRPr="00A34E33">
          <w:rPr>
            <w:rStyle w:val="Hyperlink"/>
            <w:szCs w:val="26"/>
          </w:rPr>
          <w:t>www.reginfo.gov/public/do/PRAMain</w:t>
        </w:r>
      </w:hyperlink>
      <w:r w:rsidRPr="00A34E33">
        <w:rPr>
          <w:szCs w:val="26"/>
        </w:rPr>
        <w:t>.</w:t>
      </w:r>
    </w:p>
    <w:p w:rsidR="00133619" w:rsidP="00133619" w14:paraId="2849A4DC" w14:textId="3F53806B">
      <w:pPr>
        <w:spacing w:line="480" w:lineRule="auto"/>
        <w:rPr>
          <w:szCs w:val="26"/>
        </w:rPr>
      </w:pPr>
      <w:r>
        <w:rPr>
          <w:b/>
          <w:szCs w:val="26"/>
        </w:rPr>
        <w:t>ADDRESSES:</w:t>
      </w:r>
      <w:r>
        <w:rPr>
          <w:szCs w:val="26"/>
        </w:rPr>
        <w:t xml:space="preserve"> </w:t>
      </w:r>
      <w:r>
        <w:rPr>
          <w:iCs/>
          <w:szCs w:val="26"/>
        </w:rPr>
        <w:t>Send written comments on FERC-</w:t>
      </w:r>
      <w:r w:rsidR="001E1325">
        <w:rPr>
          <w:szCs w:val="26"/>
        </w:rPr>
        <w:t>517</w:t>
      </w:r>
      <w:r>
        <w:rPr>
          <w:szCs w:val="26"/>
        </w:rPr>
        <w:t xml:space="preserve"> </w:t>
      </w:r>
      <w:r>
        <w:rPr>
          <w:iCs/>
          <w:szCs w:val="26"/>
        </w:rPr>
        <w:t xml:space="preserve">to OMB through </w:t>
      </w:r>
      <w:hyperlink r:id="rId10" w:history="1">
        <w:r>
          <w:rPr>
            <w:rStyle w:val="Hyperlink"/>
          </w:rPr>
          <w:t>www.reginfo.gov/public/do/PRAMain</w:t>
        </w:r>
      </w:hyperlink>
      <w:r>
        <w:rPr>
          <w:szCs w:val="26"/>
        </w:rPr>
        <w:t>.</w:t>
      </w:r>
      <w:r>
        <w:rPr>
          <w:iCs/>
          <w:szCs w:val="26"/>
        </w:rPr>
        <w:t xml:space="preserve">  Attention:  Federal Energy Regulatory </w:t>
      </w:r>
      <w:r>
        <w:rPr>
          <w:iCs/>
          <w:szCs w:val="26"/>
        </w:rPr>
        <w:t>Commission Desk Officer.  Please identify the OMB Control Number (1902-0</w:t>
      </w:r>
      <w:r w:rsidR="003878F5">
        <w:rPr>
          <w:iCs/>
          <w:szCs w:val="26"/>
        </w:rPr>
        <w:t>319</w:t>
      </w:r>
      <w:r>
        <w:rPr>
          <w:iCs/>
          <w:szCs w:val="26"/>
        </w:rPr>
        <w:t>) in the subject line of your comments.  Comments</w:t>
      </w:r>
      <w:r>
        <w:rPr>
          <w:szCs w:val="26"/>
        </w:rPr>
        <w:t xml:space="preserve"> should be sent </w:t>
      </w:r>
      <w:bookmarkStart w:id="1" w:name="_Hlk35891527"/>
      <w:r>
        <w:rPr>
          <w:szCs w:val="26"/>
        </w:rPr>
        <w:t xml:space="preserve">within 30 days of publication of this notice to </w:t>
      </w:r>
      <w:bookmarkStart w:id="2" w:name="_Hlk38028221"/>
      <w:hyperlink r:id="rId10" w:history="1">
        <w:r>
          <w:rPr>
            <w:rStyle w:val="Hyperlink"/>
          </w:rPr>
          <w:t>www.reginfo.gov/public/do/PRAMain</w:t>
        </w:r>
      </w:hyperlink>
      <w:r>
        <w:rPr>
          <w:szCs w:val="26"/>
        </w:rPr>
        <w:t>.</w:t>
      </w:r>
      <w:bookmarkEnd w:id="1"/>
      <w:bookmarkEnd w:id="2"/>
    </w:p>
    <w:p w:rsidR="00133619" w:rsidP="00133619" w14:paraId="26EFEFAC" w14:textId="2C2B5638">
      <w:pPr>
        <w:spacing w:line="480" w:lineRule="auto"/>
        <w:rPr>
          <w:szCs w:val="26"/>
        </w:rPr>
      </w:pPr>
      <w:r>
        <w:rPr>
          <w:szCs w:val="26"/>
        </w:rPr>
        <w:t>Please submit copies of your comments to the Commission.  You may submit copies of your comments (identified by Docket No. IC2</w:t>
      </w:r>
      <w:r w:rsidR="003878F5">
        <w:rPr>
          <w:szCs w:val="26"/>
        </w:rPr>
        <w:t>5</w:t>
      </w:r>
      <w:r>
        <w:rPr>
          <w:szCs w:val="26"/>
        </w:rPr>
        <w:t>-2-000) by one of the following methods:</w:t>
      </w:r>
    </w:p>
    <w:p w:rsidR="00133619" w:rsidP="00133619" w14:paraId="5DCA6E60" w14:textId="77777777">
      <w:pPr>
        <w:spacing w:line="480" w:lineRule="auto"/>
        <w:rPr>
          <w:szCs w:val="26"/>
        </w:rPr>
      </w:pPr>
      <w:r>
        <w:rPr>
          <w:szCs w:val="26"/>
        </w:rPr>
        <w:t xml:space="preserve">Electronic filing through </w:t>
      </w:r>
      <w:hyperlink r:id="rId11" w:history="1">
        <w:r>
          <w:rPr>
            <w:rStyle w:val="Hyperlink"/>
          </w:rPr>
          <w:t>https://www.ferc.gov</w:t>
        </w:r>
      </w:hyperlink>
      <w:r>
        <w:rPr>
          <w:szCs w:val="26"/>
        </w:rPr>
        <w:t>, is preferred.</w:t>
      </w:r>
    </w:p>
    <w:p w:rsidR="00133619" w:rsidP="00133619" w14:paraId="39F9515C" w14:textId="77777777">
      <w:pPr>
        <w:numPr>
          <w:ilvl w:val="0"/>
          <w:numId w:val="8"/>
        </w:numPr>
        <w:spacing w:line="480" w:lineRule="auto"/>
        <w:rPr>
          <w:szCs w:val="26"/>
        </w:rPr>
      </w:pPr>
      <w:r>
        <w:rPr>
          <w:szCs w:val="26"/>
        </w:rPr>
        <w:t xml:space="preserve">Electronic Filing: Documents must be filed in acceptable native applications and print-to-PDF, but not in scanned or picture format. </w:t>
      </w:r>
    </w:p>
    <w:p w:rsidR="00133619" w:rsidP="00133619" w14:paraId="2CB31342" w14:textId="77777777">
      <w:pPr>
        <w:numPr>
          <w:ilvl w:val="0"/>
          <w:numId w:val="8"/>
        </w:numPr>
        <w:spacing w:line="480" w:lineRule="auto"/>
        <w:rPr>
          <w:szCs w:val="26"/>
        </w:rPr>
      </w:pPr>
      <w:r>
        <w:rPr>
          <w:szCs w:val="26"/>
        </w:rPr>
        <w:t>For those unable to file electronically, comments may be filed by USPS mail or by other delivery methods:</w:t>
      </w:r>
    </w:p>
    <w:p w:rsidR="00133619" w:rsidP="00133619" w14:paraId="6CF6A6D6" w14:textId="77777777">
      <w:pPr>
        <w:numPr>
          <w:ilvl w:val="1"/>
          <w:numId w:val="8"/>
        </w:numPr>
        <w:spacing w:line="480" w:lineRule="auto"/>
        <w:rPr>
          <w:szCs w:val="26"/>
        </w:rPr>
      </w:pPr>
      <w:r>
        <w:rPr>
          <w:szCs w:val="26"/>
        </w:rPr>
        <w:t>Mail via U.S. Postal Service Only: Federal Energy Regulatory Commission, Secretary of the Commission, 888 First Street, N.E., Washington, DC 20426.</w:t>
      </w:r>
    </w:p>
    <w:p w:rsidR="00133619" w:rsidP="00133619" w14:paraId="4D6B541B" w14:textId="77777777">
      <w:pPr>
        <w:numPr>
          <w:ilvl w:val="1"/>
          <w:numId w:val="8"/>
        </w:numPr>
        <w:spacing w:line="480" w:lineRule="auto"/>
        <w:rPr>
          <w:szCs w:val="26"/>
        </w:rPr>
      </w:pPr>
      <w:r>
        <w:rPr>
          <w:szCs w:val="26"/>
        </w:rPr>
        <w:t>All other delivery methods: Federal Energy Regulatory Commission, Secretary of the Commission, 12225 Wilkins Avenue, Rockville, MD 20852.</w:t>
      </w:r>
    </w:p>
    <w:p w:rsidR="00133619" w:rsidP="00133619" w14:paraId="29866D19" w14:textId="77777777">
      <w:pPr>
        <w:spacing w:line="480" w:lineRule="auto"/>
        <w:rPr>
          <w:szCs w:val="26"/>
        </w:rPr>
      </w:pPr>
      <w:bookmarkStart w:id="3" w:name="OLE_LINK1"/>
      <w:r>
        <w:rPr>
          <w:i/>
          <w:szCs w:val="26"/>
        </w:rPr>
        <w:t>Instructions</w:t>
      </w:r>
      <w:r>
        <w:rPr>
          <w:iCs/>
          <w:szCs w:val="26"/>
        </w:rPr>
        <w:t>:</w:t>
      </w:r>
      <w:r>
        <w:rPr>
          <w:i/>
          <w:szCs w:val="26"/>
        </w:rPr>
        <w:t xml:space="preserve">  </w:t>
      </w:r>
      <w:r>
        <w:rPr>
          <w:iCs/>
          <w:szCs w:val="26"/>
        </w:rPr>
        <w:t xml:space="preserve">OMB submissions </w:t>
      </w:r>
      <w:r>
        <w:rPr>
          <w:szCs w:val="26"/>
        </w:rPr>
        <w:t>must be formatted and filed in accordance with submission guidelines at</w:t>
      </w:r>
      <w:r>
        <w:rPr>
          <w:i/>
          <w:szCs w:val="26"/>
        </w:rPr>
        <w:t xml:space="preserve"> </w:t>
      </w:r>
      <w:hyperlink r:id="rId10" w:history="1">
        <w:r>
          <w:rPr>
            <w:rStyle w:val="Hyperlink"/>
          </w:rPr>
          <w:t>www.reginfo.gov/public/do/PRAMain</w:t>
        </w:r>
      </w:hyperlink>
      <w:r>
        <w:rPr>
          <w:szCs w:val="26"/>
          <w:u w:val="single"/>
        </w:rPr>
        <w:t>.</w:t>
      </w:r>
      <w:r>
        <w:rPr>
          <w:szCs w:val="26"/>
        </w:rPr>
        <w:t xml:space="preserve">  Using the search function under the “Currently Under Review” field, select Federal Energy Regulatory Commission; click “submit,” and select “comment” to the right of the subject collection.</w:t>
      </w:r>
    </w:p>
    <w:p w:rsidR="00133619" w:rsidP="00133619" w14:paraId="25141108" w14:textId="77777777">
      <w:pPr>
        <w:spacing w:line="480" w:lineRule="auto"/>
        <w:rPr>
          <w:szCs w:val="26"/>
        </w:rPr>
      </w:pPr>
      <w:r>
        <w:rPr>
          <w:i/>
          <w:iCs/>
          <w:szCs w:val="26"/>
        </w:rPr>
        <w:t>FERC submissions</w:t>
      </w:r>
      <w:r>
        <w:rPr>
          <w:szCs w:val="26"/>
        </w:rPr>
        <w:t xml:space="preserve"> </w:t>
      </w:r>
      <w:bookmarkStart w:id="4" w:name="_Hlk38028397"/>
      <w:r>
        <w:rPr>
          <w:szCs w:val="26"/>
        </w:rPr>
        <w:t>must be formatted and filed in accordance with submission guidelines at</w:t>
      </w:r>
      <w:bookmarkEnd w:id="4"/>
      <w:r>
        <w:rPr>
          <w:szCs w:val="26"/>
        </w:rPr>
        <w:t xml:space="preserve">:  </w:t>
      </w:r>
      <w:hyperlink r:id="rId12" w:history="1">
        <w:r>
          <w:rPr>
            <w:rStyle w:val="Hyperlink"/>
          </w:rPr>
          <w:t>https://www.ferc.gov/ferc-online/overview</w:t>
        </w:r>
      </w:hyperlink>
      <w:r>
        <w:rPr>
          <w:szCs w:val="26"/>
        </w:rPr>
        <w:t xml:space="preserve">.  For user assistance, contact FERC </w:t>
      </w:r>
      <w:r>
        <w:rPr>
          <w:szCs w:val="26"/>
        </w:rPr>
        <w:t>Online Support by e-mail at ferconlinesupport@ferc.gov, or by phone at: (866) 208-3676 (toll-free).</w:t>
      </w:r>
    </w:p>
    <w:p w:rsidR="00FF098F" w:rsidRPr="00133619" w:rsidP="008212DA" w14:paraId="401271D4" w14:textId="6C62C0EC">
      <w:pPr>
        <w:spacing w:line="480" w:lineRule="auto"/>
        <w:rPr>
          <w:szCs w:val="26"/>
        </w:rPr>
      </w:pPr>
      <w:r>
        <w:rPr>
          <w:i/>
          <w:szCs w:val="26"/>
        </w:rPr>
        <w:t>Docket</w:t>
      </w:r>
      <w:r>
        <w:rPr>
          <w:iCs/>
          <w:szCs w:val="26"/>
        </w:rPr>
        <w:t xml:space="preserve">:  </w:t>
      </w:r>
      <w:r>
        <w:rPr>
          <w:szCs w:val="26"/>
        </w:rPr>
        <w:t xml:space="preserve">Users interested in receiving automatic notification of activity in this docket or in viewing/downloading comments and issuances in this docket may do so at </w:t>
      </w:r>
      <w:hyperlink r:id="rId12" w:history="1">
        <w:r>
          <w:rPr>
            <w:rStyle w:val="Hyperlink"/>
          </w:rPr>
          <w:t>https://www.ferc.gov/ferc-online/overview</w:t>
        </w:r>
      </w:hyperlink>
      <w:r>
        <w:rPr>
          <w:szCs w:val="26"/>
        </w:rPr>
        <w:t xml:space="preserve">. </w:t>
      </w:r>
      <w:bookmarkEnd w:id="3"/>
    </w:p>
    <w:p w:rsidR="0086175B" w:rsidRPr="0086175B" w:rsidP="008212DA" w14:paraId="78258633" w14:textId="48820BFB">
      <w:pPr>
        <w:spacing w:line="480" w:lineRule="auto"/>
        <w:rPr>
          <w:szCs w:val="26"/>
        </w:rPr>
      </w:pPr>
      <w:r w:rsidRPr="003B29FB">
        <w:rPr>
          <w:b/>
          <w:szCs w:val="26"/>
        </w:rPr>
        <w:t>FOR FURTHER INFORMATION:</w:t>
      </w:r>
      <w:r w:rsidRPr="003B29FB">
        <w:rPr>
          <w:szCs w:val="26"/>
        </w:rPr>
        <w:t xml:space="preserve">  </w:t>
      </w:r>
      <w:r w:rsidR="009A5682">
        <w:rPr>
          <w:szCs w:val="26"/>
        </w:rPr>
        <w:t xml:space="preserve">Kayla Williams </w:t>
      </w:r>
      <w:r w:rsidRPr="003B29FB">
        <w:rPr>
          <w:szCs w:val="26"/>
        </w:rPr>
        <w:t xml:space="preserve">may be reached by e-mail at </w:t>
      </w:r>
      <w:hyperlink r:id="rId13" w:history="1">
        <w:r w:rsidRPr="003B29FB">
          <w:rPr>
            <w:rStyle w:val="Hyperlink"/>
          </w:rPr>
          <w:t>DataClearance@FERC.gov</w:t>
        </w:r>
      </w:hyperlink>
      <w:r w:rsidRPr="003B29FB">
        <w:rPr>
          <w:szCs w:val="26"/>
        </w:rPr>
        <w:t>, telephone at (202) 502-</w:t>
      </w:r>
      <w:r>
        <w:rPr>
          <w:szCs w:val="26"/>
        </w:rPr>
        <w:t>6</w:t>
      </w:r>
      <w:r w:rsidR="009053DE">
        <w:rPr>
          <w:szCs w:val="26"/>
        </w:rPr>
        <w:t>46</w:t>
      </w:r>
      <w:r w:rsidR="00FF098F">
        <w:rPr>
          <w:szCs w:val="26"/>
        </w:rPr>
        <w:t>8</w:t>
      </w:r>
      <w:r w:rsidRPr="003B29FB">
        <w:rPr>
          <w:szCs w:val="26"/>
        </w:rPr>
        <w:t>.</w:t>
      </w:r>
    </w:p>
    <w:p w:rsidR="008212DA" w:rsidRPr="008212DA" w:rsidP="008212DA" w14:paraId="4891BEC5" w14:textId="4EF06A29">
      <w:pPr>
        <w:spacing w:line="480" w:lineRule="auto"/>
      </w:pPr>
      <w:r w:rsidRPr="008212DA">
        <w:rPr>
          <w:b/>
        </w:rPr>
        <w:t>SUPPLEMENTARY INFORMATION:</w:t>
      </w:r>
      <w:r w:rsidRPr="008212DA">
        <w:t xml:space="preserve">  </w:t>
      </w:r>
    </w:p>
    <w:p w:rsidR="00C50B3D" w:rsidRPr="00F51E09" w:rsidP="00C50B3D" w14:paraId="7510C4B7" w14:textId="77777777">
      <w:pPr>
        <w:spacing w:line="480" w:lineRule="auto"/>
        <w:rPr>
          <w:szCs w:val="26"/>
        </w:rPr>
      </w:pPr>
      <w:r w:rsidRPr="00F51E09">
        <w:rPr>
          <w:i/>
          <w:szCs w:val="26"/>
        </w:rPr>
        <w:t>Title:</w:t>
      </w:r>
      <w:r>
        <w:rPr>
          <w:szCs w:val="26"/>
        </w:rPr>
        <w:t xml:space="preserve"> </w:t>
      </w:r>
      <w:r w:rsidRPr="00F51E09">
        <w:rPr>
          <w:szCs w:val="26"/>
        </w:rPr>
        <w:t>FERC-</w:t>
      </w:r>
      <w:r>
        <w:rPr>
          <w:szCs w:val="26"/>
        </w:rPr>
        <w:t>517</w:t>
      </w:r>
      <w:r w:rsidRPr="00F51E09">
        <w:rPr>
          <w:szCs w:val="26"/>
        </w:rPr>
        <w:t xml:space="preserve"> </w:t>
      </w:r>
      <w:r w:rsidRPr="00303159">
        <w:rPr>
          <w:szCs w:val="26"/>
        </w:rPr>
        <w:t>(Safety of Waterpower Projects and Project Works)</w:t>
      </w:r>
      <w:r w:rsidRPr="00F51E09">
        <w:rPr>
          <w:szCs w:val="26"/>
        </w:rPr>
        <w:t>.</w:t>
      </w:r>
    </w:p>
    <w:p w:rsidR="00C50B3D" w:rsidRPr="00F51E09" w:rsidP="00C50B3D" w14:paraId="1F579539" w14:textId="77777777">
      <w:pPr>
        <w:spacing w:line="480" w:lineRule="auto"/>
        <w:rPr>
          <w:szCs w:val="26"/>
        </w:rPr>
      </w:pPr>
      <w:r w:rsidRPr="00F51E09">
        <w:rPr>
          <w:i/>
          <w:szCs w:val="26"/>
        </w:rPr>
        <w:t>OMB Control No.:</w:t>
      </w:r>
      <w:r w:rsidRPr="00F51E09">
        <w:rPr>
          <w:szCs w:val="26"/>
        </w:rPr>
        <w:t xml:space="preserve"> 1902-0</w:t>
      </w:r>
      <w:r>
        <w:rPr>
          <w:szCs w:val="26"/>
        </w:rPr>
        <w:t>319</w:t>
      </w:r>
    </w:p>
    <w:p w:rsidR="00C50B3D" w:rsidRPr="00F51E09" w:rsidP="00C50B3D" w14:paraId="7E045F2E" w14:textId="77777777">
      <w:pPr>
        <w:spacing w:line="480" w:lineRule="auto"/>
        <w:rPr>
          <w:szCs w:val="26"/>
        </w:rPr>
      </w:pPr>
      <w:r w:rsidRPr="00F51E09">
        <w:rPr>
          <w:i/>
          <w:szCs w:val="26"/>
        </w:rPr>
        <w:t>Type of Request:</w:t>
      </w:r>
      <w:r w:rsidRPr="00F51E09">
        <w:rPr>
          <w:szCs w:val="26"/>
        </w:rPr>
        <w:t xml:space="preserve"> Three-year extension of the FERC-</w:t>
      </w:r>
      <w:r>
        <w:rPr>
          <w:szCs w:val="26"/>
        </w:rPr>
        <w:t>517</w:t>
      </w:r>
      <w:r w:rsidRPr="00F51E09">
        <w:rPr>
          <w:szCs w:val="26"/>
        </w:rPr>
        <w:t xml:space="preserve"> information collection requirements with no changes to the current reporting requirements. </w:t>
      </w:r>
    </w:p>
    <w:p w:rsidR="00C50B3D" w:rsidRPr="00206753" w:rsidP="00E6360D" w14:paraId="7099FBEC" w14:textId="437BCCEB">
      <w:pPr>
        <w:spacing w:line="480" w:lineRule="auto"/>
        <w:rPr>
          <w:rFonts w:eastAsia="Calibri"/>
        </w:rPr>
      </w:pPr>
      <w:r w:rsidRPr="00F51E09">
        <w:rPr>
          <w:i/>
          <w:szCs w:val="26"/>
        </w:rPr>
        <w:t xml:space="preserve">Abstract: </w:t>
      </w:r>
      <w:r w:rsidRPr="00206753">
        <w:rPr>
          <w:rFonts w:eastAsia="Calibri"/>
        </w:rPr>
        <w:t>This information collection will assist in the assessment of the safety of waterpower projects and project works licensed by the Commission. The Commission will use the information collection activities to evaluate project-specific dam and public safety assessments, determine whether those assessments are sufficient for the protection of life, health, and property, and to ensure that project works are being maintained in an adequate condition of repair.</w:t>
      </w:r>
    </w:p>
    <w:p w:rsidR="00C50B3D" w:rsidP="00E6360D" w14:paraId="5E628F42" w14:textId="77777777">
      <w:pPr>
        <w:spacing w:line="480" w:lineRule="auto"/>
        <w:rPr>
          <w:rFonts w:eastAsia="Calibri"/>
        </w:rPr>
      </w:pPr>
      <w:r w:rsidRPr="00206753">
        <w:rPr>
          <w:rFonts w:eastAsia="Calibri"/>
        </w:rPr>
        <w:t>The information is necessary in order to determine the urgency, priority, and scope of potential safety improvements or risk reduction measures that might be needed for the protection of life, health, and property.</w:t>
      </w:r>
    </w:p>
    <w:p w:rsidR="00C50B3D" w:rsidP="00E6360D" w14:paraId="061EC101" w14:textId="77777777">
      <w:pPr>
        <w:spacing w:line="480" w:lineRule="auto"/>
        <w:rPr>
          <w:rFonts w:eastAsia="Calibri"/>
        </w:rPr>
      </w:pPr>
    </w:p>
    <w:p w:rsidR="00C50B3D" w:rsidRPr="00206753" w:rsidP="00E6360D" w14:paraId="58D0065B" w14:textId="0EF5AF88">
      <w:pPr>
        <w:spacing w:line="480" w:lineRule="auto"/>
        <w:rPr>
          <w:rFonts w:eastAsia="Calibri"/>
        </w:rPr>
      </w:pPr>
      <w:r>
        <w:rPr>
          <w:rFonts w:eastAsia="Calibri"/>
        </w:rPr>
        <w:t>The following reports are required and are a part of FERC-517:</w:t>
      </w:r>
    </w:p>
    <w:p w:rsidR="00C50B3D" w:rsidRPr="00206753" w:rsidP="00E6360D" w14:paraId="2ADC7808" w14:textId="4C8CF4D0">
      <w:pPr>
        <w:spacing w:line="480" w:lineRule="auto"/>
        <w:rPr>
          <w:rFonts w:eastAsia="Calibri"/>
        </w:rPr>
      </w:pPr>
      <w:r w:rsidRPr="00206753">
        <w:rPr>
          <w:rFonts w:eastAsia="Calibri"/>
          <w:b/>
          <w:bCs/>
        </w:rPr>
        <w:t>18 CFR Part 12, Subpart B (Reports and Records)</w:t>
      </w:r>
    </w:p>
    <w:p w:rsidR="00C50B3D" w:rsidRPr="00206753" w:rsidP="00E6360D" w14:paraId="76933E04" w14:textId="4B61FB42">
      <w:pPr>
        <w:spacing w:line="480" w:lineRule="auto"/>
        <w:rPr>
          <w:rFonts w:eastAsia="Calibri"/>
        </w:rPr>
      </w:pPr>
      <w:r w:rsidRPr="00206753">
        <w:rPr>
          <w:rFonts w:eastAsia="Calibri"/>
        </w:rPr>
        <w:t>The regulations at 18 CFR 12.10(a) and (b) require applicants and licensees to report promptly to the Regional Engineer</w:t>
      </w:r>
      <w:r>
        <w:rPr>
          <w:rFonts w:eastAsia="Calibri"/>
          <w:vertAlign w:val="superscript"/>
        </w:rPr>
        <w:footnoteReference w:id="3"/>
      </w:r>
      <w:r w:rsidRPr="00206753">
        <w:rPr>
          <w:rFonts w:eastAsia="Calibri"/>
        </w:rPr>
        <w:t xml:space="preserve"> any incident resulting in death or serious injury that occurs at the relevant project.  Section 12.10(a) requires an oral report to the Regional Engineer by telephone of any condition affecting the safety of a project or projects works, “as soon as practicable after that condition is discovered.”  Section 12.10(b) requires a written report that includes a description of the cause and location of the accident, which must be submitted within the time specified by the Regional Engineer.</w:t>
      </w:r>
    </w:p>
    <w:p w:rsidR="00C50B3D" w:rsidRPr="00206753" w:rsidP="00E6360D" w14:paraId="02933433" w14:textId="36661C7F">
      <w:pPr>
        <w:spacing w:line="480" w:lineRule="auto"/>
        <w:rPr>
          <w:rFonts w:eastAsia="Calibri"/>
        </w:rPr>
      </w:pPr>
      <w:r w:rsidRPr="00206753">
        <w:rPr>
          <w:rFonts w:eastAsia="Calibri"/>
        </w:rPr>
        <w:t>The 18 CFR 12.10(b) requires a written report of any death, serious injury, or rescue.  Such reports must describe any remedial actions taken or proposed to avoid or reduce the chance of similar occurrences in the future and must be verified in accordance with section 12.13.</w:t>
      </w:r>
      <w:r>
        <w:rPr>
          <w:rFonts w:eastAsia="Calibri"/>
          <w:vertAlign w:val="superscript"/>
        </w:rPr>
        <w:footnoteReference w:id="4"/>
      </w:r>
    </w:p>
    <w:p w:rsidR="00C50B3D" w:rsidRPr="00206753" w:rsidP="00E6360D" w14:paraId="6446496A" w14:textId="77777777">
      <w:pPr>
        <w:spacing w:line="480" w:lineRule="auto"/>
        <w:rPr>
          <w:rFonts w:eastAsia="Calibri"/>
        </w:rPr>
      </w:pPr>
      <w:r>
        <w:rPr>
          <w:rFonts w:eastAsia="Calibri"/>
        </w:rPr>
        <w:t>S</w:t>
      </w:r>
      <w:r w:rsidRPr="00206753">
        <w:rPr>
          <w:rFonts w:eastAsia="Calibri"/>
        </w:rPr>
        <w:t>ection 12.10(b)(3), section 12.10(b)(2)(ii) provides that deaths that are not project-related may be reported by providing a copy of a clipping from a newspaper article, if available.</w:t>
      </w:r>
      <w:r w:rsidRPr="00206753">
        <w:rPr>
          <w:rFonts w:eastAsia="Calibri"/>
          <w:szCs w:val="22"/>
        </w:rPr>
        <w:t xml:space="preserve">  </w:t>
      </w:r>
      <w:r w:rsidRPr="00206753">
        <w:rPr>
          <w:rFonts w:eastAsia="Calibri"/>
        </w:rPr>
        <w:t>Section 12.10(b)(2)(iii) provides that serious injuries and rescues that are not project-related do not require a written report.</w:t>
      </w:r>
      <w:r>
        <w:rPr>
          <w:rFonts w:eastAsia="Calibri"/>
        </w:rPr>
        <w:t xml:space="preserve"> T</w:t>
      </w:r>
      <w:r w:rsidRPr="00206753">
        <w:rPr>
          <w:rFonts w:eastAsia="Calibri"/>
        </w:rPr>
        <w:t xml:space="preserve">he initial report must be made by email or telephone as soon as practicable after the condition is discovered, “preferably within 72 hours.”  </w:t>
      </w:r>
    </w:p>
    <w:p w:rsidR="00C50B3D" w:rsidRPr="00206753" w:rsidP="00E6360D" w14:paraId="777B4CE3" w14:textId="77777777">
      <w:pPr>
        <w:spacing w:line="480" w:lineRule="auto"/>
        <w:rPr>
          <w:rFonts w:eastAsia="Calibri"/>
          <w:b/>
        </w:rPr>
      </w:pPr>
    </w:p>
    <w:p w:rsidR="00C50B3D" w:rsidRPr="00206753" w:rsidP="00E6360D" w14:paraId="7D0EBC49" w14:textId="09F83D8F">
      <w:pPr>
        <w:spacing w:line="480" w:lineRule="auto"/>
        <w:rPr>
          <w:rFonts w:eastAsia="Calibri"/>
        </w:rPr>
      </w:pPr>
      <w:r w:rsidRPr="00206753">
        <w:rPr>
          <w:rFonts w:eastAsia="Calibri"/>
          <w:b/>
        </w:rPr>
        <w:t>18 CFR Part 12, Subpart D (</w:t>
      </w:r>
      <w:r w:rsidRPr="00206753">
        <w:rPr>
          <w:rFonts w:eastAsia="Calibri"/>
          <w:b/>
          <w:bCs/>
        </w:rPr>
        <w:t>Review, Inspection, and Assessment by Independent Consultant)</w:t>
      </w:r>
    </w:p>
    <w:p w:rsidR="00C50B3D" w:rsidRPr="00206753" w:rsidP="00E6360D" w14:paraId="526B9E79" w14:textId="0150DFAF">
      <w:pPr>
        <w:spacing w:line="480" w:lineRule="auto"/>
        <w:rPr>
          <w:rFonts w:eastAsia="Calibri"/>
        </w:rPr>
      </w:pPr>
      <w:r w:rsidRPr="00206753">
        <w:rPr>
          <w:rFonts w:eastAsia="Calibri"/>
          <w:i/>
          <w:iCs/>
        </w:rPr>
        <w:t>Overview of Subpart D</w:t>
      </w:r>
    </w:p>
    <w:p w:rsidR="00C50B3D" w:rsidRPr="00206753" w:rsidP="00E6360D" w14:paraId="05AB6639" w14:textId="77777777">
      <w:pPr>
        <w:spacing w:line="480" w:lineRule="auto"/>
        <w:rPr>
          <w:rFonts w:eastAsia="Calibri"/>
        </w:rPr>
      </w:pPr>
      <w:r w:rsidRPr="00206753">
        <w:rPr>
          <w:rFonts w:eastAsia="Calibri"/>
        </w:rPr>
        <w:t xml:space="preserve">Regulations at 18 CFR Part 12 Subpart D pertain to project safety inspections by independent consultants.  These inspections sometimes are colloquially called “Part 12D inspections.”  These inspections are licensee-facilitated and are in addition to the project safety inspections conducted regularly by Commission staff.  </w:t>
      </w:r>
    </w:p>
    <w:p w:rsidR="00C50B3D" w:rsidRPr="00206753" w:rsidP="00E6360D" w14:paraId="7C29DD03" w14:textId="49FC9824">
      <w:pPr>
        <w:spacing w:line="480" w:lineRule="auto"/>
        <w:rPr>
          <w:rFonts w:eastAsia="Calibri"/>
        </w:rPr>
      </w:pPr>
      <w:r w:rsidRPr="00206753">
        <w:rPr>
          <w:rFonts w:eastAsia="Calibri"/>
        </w:rPr>
        <w:t>Subpart D requires two tiers of independent consultant inspections for licensed project developments that meet the criteria shown at section 12.30</w:t>
      </w:r>
      <w:r w:rsidR="008E5187">
        <w:rPr>
          <w:rFonts w:eastAsia="Calibri"/>
        </w:rPr>
        <w:t xml:space="preserve"> </w:t>
      </w:r>
      <w:r w:rsidRPr="00206753">
        <w:rPr>
          <w:rFonts w:eastAsia="Calibri"/>
        </w:rPr>
        <w:t>that includes two types of inspections:  a comprehensive assessment</w:t>
      </w:r>
      <w:r>
        <w:rPr>
          <w:rFonts w:eastAsia="Calibri"/>
        </w:rPr>
        <w:t xml:space="preserve"> (CA)</w:t>
      </w:r>
      <w:r w:rsidRPr="00206753">
        <w:rPr>
          <w:rFonts w:eastAsia="Calibri"/>
        </w:rPr>
        <w:t xml:space="preserve"> and a periodic inspection</w:t>
      </w:r>
      <w:r>
        <w:rPr>
          <w:rFonts w:eastAsia="Calibri"/>
        </w:rPr>
        <w:t xml:space="preserve"> (PI)</w:t>
      </w:r>
      <w:r w:rsidRPr="00206753">
        <w:rPr>
          <w:rFonts w:eastAsia="Calibri"/>
        </w:rPr>
        <w:t xml:space="preserve">.  Each comprehensive assessment will be performed at a ten-year interval, with the periodic inspection occurring midway between comprehensive assessments.  A periodic inspection will focus on a project’s performance over the previous five years, and will include a field inspection, a review of project operations, an in-depth review of monitoring data trends and behavior, and an evaluation of whether any potential failure modes are occurring.  A comprehensive assessment will build on a periodic inspection with a deep dive into every aspect of a project, including a detailed review of the design basis, analyses of record, and construction history; an evaluation of spillway adequacy; a Potential Failure Mode Analysis; and a Risk Analysis.  </w:t>
      </w:r>
    </w:p>
    <w:p w:rsidR="00C50B3D" w:rsidRPr="00206753" w:rsidP="00E6360D" w14:paraId="35C99E5B" w14:textId="0C21D448">
      <w:pPr>
        <w:spacing w:line="480" w:lineRule="auto"/>
        <w:rPr>
          <w:rFonts w:eastAsia="Calibri"/>
          <w:u w:val="single"/>
        </w:rPr>
      </w:pPr>
      <w:r w:rsidRPr="00206753">
        <w:rPr>
          <w:rFonts w:eastAsia="Calibri"/>
          <w:i/>
          <w:iCs/>
        </w:rPr>
        <w:t>Engineering Guidelines – Chapters 15 &amp; 16</w:t>
      </w:r>
    </w:p>
    <w:p w:rsidR="00C50B3D" w:rsidRPr="00AE0E82" w:rsidP="00E6360D" w14:paraId="58F5A58E" w14:textId="7304D17A">
      <w:pPr>
        <w:spacing w:line="480" w:lineRule="auto"/>
        <w:rPr>
          <w:rFonts w:eastAsia="Calibri"/>
        </w:rPr>
      </w:pPr>
      <w:r w:rsidRPr="00206753">
        <w:rPr>
          <w:rFonts w:eastAsia="Calibri"/>
        </w:rPr>
        <w:t xml:space="preserve">Chapter 15 of the Engineering Guidelines </w:t>
      </w:r>
      <w:r>
        <w:rPr>
          <w:rFonts w:eastAsia="Calibri"/>
        </w:rPr>
        <w:t>provides</w:t>
      </w:r>
      <w:r w:rsidRPr="00206753">
        <w:rPr>
          <w:rFonts w:eastAsia="Calibri"/>
        </w:rPr>
        <w:t xml:space="preserve"> guidance on a Supporting Technical Information Document (STID).  A STID serves as a compendium of knowledge and information about a project and greatly facilitates the review and evaluation of the safety and performance of project works by licensees, consultants, and Commission staff.  The STID consists of a hard copy and a digital reference.</w:t>
      </w:r>
      <w:r>
        <w:rPr>
          <w:rFonts w:eastAsia="Calibri"/>
        </w:rPr>
        <w:t xml:space="preserve"> It is required for all projects subject to 18 CFR 12D and is used for assessing the completeness and appropriateness of technical information. </w:t>
      </w:r>
    </w:p>
    <w:p w:rsidR="00C50B3D" w:rsidRPr="00206753" w:rsidP="00E6360D" w14:paraId="55A5B671" w14:textId="50F75060">
      <w:pPr>
        <w:spacing w:line="480" w:lineRule="auto"/>
        <w:rPr>
          <w:rFonts w:eastAsia="Calibri"/>
        </w:rPr>
      </w:pPr>
      <w:r w:rsidRPr="00206753">
        <w:rPr>
          <w:rFonts w:eastAsia="Calibri"/>
        </w:rPr>
        <w:t>The STID summarizes the project elements and details that, except in the event of detailed studies or construction, do not change significantly over time. The digital reference (e.g., a CD, DVD, or other form of electronic media) includes a compilation of all available source material and additional supporting information, formatted so that the licensee, commission staff, or consultants can identify and retrieve the information they need.  A searchable electronic version of the hard copy material must be included on the digital reference. The licensee is responsible for compiling the information for the STID and for creating and maintaining the document for use by themselves, the Part 12D independent consultants, and Commission staff.</w:t>
      </w:r>
    </w:p>
    <w:p w:rsidR="00C50B3D" w:rsidRPr="00206753" w:rsidP="00E6360D" w14:paraId="42CE379E" w14:textId="62D40BC8">
      <w:pPr>
        <w:spacing w:line="480" w:lineRule="auto"/>
        <w:rPr>
          <w:rFonts w:eastAsia="Calibri"/>
        </w:rPr>
      </w:pPr>
      <w:r w:rsidRPr="00206753">
        <w:rPr>
          <w:rFonts w:eastAsia="Calibri"/>
        </w:rPr>
        <w:t>Chapter 16 of the Engineering Guidelines requires licensees to submit a detailed Part 12D Inspection Plan prior to conducting either type of inspection (i.e., a periodic inspection or comprehensive assessment) that describes the scope of the inspection, proposes an Independent Consultant Team, and establishes the proposed schedule.  Section 16-3.3.1 of Chapter 16 of the Engineering Guidelines provides that the Part 12D Inspection Plan must include the following information:</w:t>
      </w:r>
    </w:p>
    <w:p w:rsidR="00C50B3D" w:rsidRPr="00206753" w:rsidP="00E6360D" w14:paraId="7C388DEC" w14:textId="77777777">
      <w:pPr>
        <w:numPr>
          <w:ilvl w:val="0"/>
          <w:numId w:val="10"/>
        </w:numPr>
        <w:spacing w:after="200" w:line="480" w:lineRule="auto"/>
        <w:rPr>
          <w:rFonts w:eastAsia="Calibri"/>
        </w:rPr>
      </w:pPr>
      <w:r w:rsidRPr="00206753">
        <w:rPr>
          <w:rFonts w:eastAsia="Calibri"/>
        </w:rPr>
        <w:t>Project name, FERC number, and state(s) where the project is located;</w:t>
      </w:r>
    </w:p>
    <w:p w:rsidR="00C50B3D" w:rsidRPr="00206753" w:rsidP="00E6360D" w14:paraId="20A99BA9" w14:textId="77777777">
      <w:pPr>
        <w:numPr>
          <w:ilvl w:val="0"/>
          <w:numId w:val="10"/>
        </w:numPr>
        <w:spacing w:after="200" w:line="480" w:lineRule="auto"/>
        <w:rPr>
          <w:rFonts w:eastAsia="Calibri"/>
        </w:rPr>
      </w:pPr>
      <w:r w:rsidRPr="00206753">
        <w:rPr>
          <w:rFonts w:eastAsia="Calibri"/>
        </w:rPr>
        <w:t>Type of Part 12D Inspection (Comprehensive Assessment or Periodic Inspection), and a reminder that a Risk Analysis must be completed for a Comprehensive Assessment;</w:t>
      </w:r>
    </w:p>
    <w:p w:rsidR="00C50B3D" w:rsidRPr="00206753" w:rsidP="00E6360D" w14:paraId="25C55EDD" w14:textId="77777777">
      <w:pPr>
        <w:numPr>
          <w:ilvl w:val="0"/>
          <w:numId w:val="10"/>
        </w:numPr>
        <w:spacing w:after="200" w:line="480" w:lineRule="auto"/>
        <w:rPr>
          <w:rFonts w:eastAsia="Calibri"/>
        </w:rPr>
      </w:pPr>
      <w:r w:rsidRPr="00206753">
        <w:rPr>
          <w:rFonts w:eastAsia="Calibri"/>
        </w:rPr>
        <w:t>A brief description of the project features;</w:t>
      </w:r>
    </w:p>
    <w:p w:rsidR="00C50B3D" w:rsidRPr="00206753" w:rsidP="00E6360D" w14:paraId="1FD50E2B" w14:textId="77777777">
      <w:pPr>
        <w:numPr>
          <w:ilvl w:val="0"/>
          <w:numId w:val="10"/>
        </w:numPr>
        <w:spacing w:after="200" w:line="480" w:lineRule="auto"/>
        <w:rPr>
          <w:rFonts w:eastAsia="Calibri"/>
        </w:rPr>
      </w:pPr>
      <w:r w:rsidRPr="00206753">
        <w:rPr>
          <w:rFonts w:eastAsia="Calibri"/>
        </w:rPr>
        <w:t>A proposed team of Independent Consultants, including the identification and assessment of technical disciplines to be represented on the team of Independent Consultants; the names and resumes for the Independent Consultants; a list of supporting team member roles and their intended areas of expertise; and the names and resumes of facilitators for any Potential Failure Mode Analysis or Risk Analysis as needed; and</w:t>
      </w:r>
    </w:p>
    <w:p w:rsidR="00C50B3D" w:rsidRPr="00206753" w:rsidP="00E6360D" w14:paraId="4B8D3ED8" w14:textId="77777777">
      <w:pPr>
        <w:numPr>
          <w:ilvl w:val="0"/>
          <w:numId w:val="10"/>
        </w:numPr>
        <w:spacing w:after="200" w:line="480" w:lineRule="auto"/>
        <w:rPr>
          <w:rFonts w:eastAsia="Calibri"/>
        </w:rPr>
      </w:pPr>
      <w:r w:rsidRPr="00206753">
        <w:rPr>
          <w:rFonts w:eastAsia="Calibri"/>
        </w:rPr>
        <w:t>A schedule for Part 12D Inspection-related activities.</w:t>
      </w:r>
    </w:p>
    <w:p w:rsidR="00C50B3D" w:rsidRPr="00206753" w:rsidP="00E6360D" w14:paraId="2C9D953A" w14:textId="020B70AB">
      <w:pPr>
        <w:spacing w:line="480" w:lineRule="auto"/>
        <w:rPr>
          <w:rFonts w:eastAsia="Calibri"/>
        </w:rPr>
      </w:pPr>
      <w:r w:rsidRPr="00206753">
        <w:rPr>
          <w:rFonts w:eastAsia="Calibri"/>
        </w:rPr>
        <w:t>Under Chapter 16, members of the Independent Consultant Team are required to prepare a Pre-Inspection Preparation Report to document their initial findings from their review of project documentation, instrumentation data, and other information prior to the field inspection.  Chapter 16 provides an outline for this PRA activity.</w:t>
      </w:r>
    </w:p>
    <w:p w:rsidR="00C50B3D" w:rsidRPr="00206753" w:rsidP="00E6360D" w14:paraId="2E791879" w14:textId="50FBA835">
      <w:pPr>
        <w:spacing w:line="480" w:lineRule="auto"/>
        <w:rPr>
          <w:rFonts w:eastAsia="Calibri"/>
        </w:rPr>
      </w:pPr>
      <w:r w:rsidRPr="00206753">
        <w:rPr>
          <w:rFonts w:eastAsia="Calibri"/>
        </w:rPr>
        <w:t xml:space="preserve">Chapter 16 also provides outlines for, and describes the scope of, the periodic inspections and comprehensive assessments that are required in 18 CFR Part 12 Subpart D.  </w:t>
      </w:r>
    </w:p>
    <w:p w:rsidR="00C50B3D" w:rsidRPr="00206753" w:rsidP="00E6360D" w14:paraId="5852839C" w14:textId="240B8E89">
      <w:pPr>
        <w:spacing w:line="480" w:lineRule="auto"/>
        <w:rPr>
          <w:rFonts w:eastAsia="Calibri"/>
        </w:rPr>
      </w:pPr>
      <w:r w:rsidRPr="00206753">
        <w:rPr>
          <w:rFonts w:eastAsia="Calibri"/>
        </w:rPr>
        <w:t>Chapters 17 and 18 provide additional details and licensee guidance for conducting a Potential Failure Mode Analysis and a Level 2 Risk Analysis, which are required components of a comprehensive assessment.</w:t>
      </w:r>
    </w:p>
    <w:p w:rsidR="00C50B3D" w:rsidRPr="00206753" w:rsidP="00E6360D" w14:paraId="63157954" w14:textId="5736BB90">
      <w:pPr>
        <w:spacing w:line="480" w:lineRule="auto"/>
        <w:rPr>
          <w:rFonts w:eastAsia="Calibri"/>
        </w:rPr>
      </w:pPr>
      <w:r w:rsidRPr="00206753">
        <w:rPr>
          <w:rFonts w:eastAsia="Calibri"/>
          <w:i/>
          <w:iCs/>
        </w:rPr>
        <w:t>Independent Consultant Team Proposals and Reports</w:t>
      </w:r>
    </w:p>
    <w:p w:rsidR="00C50B3D" w:rsidRPr="00206753" w:rsidP="00E6360D" w14:paraId="2800BC08" w14:textId="4ED39533">
      <w:pPr>
        <w:spacing w:line="480" w:lineRule="auto"/>
        <w:rPr>
          <w:rFonts w:eastAsia="Calibri"/>
        </w:rPr>
      </w:pPr>
      <w:r>
        <w:rPr>
          <w:rFonts w:eastAsia="Calibri"/>
        </w:rPr>
        <w:t>T</w:t>
      </w:r>
      <w:r w:rsidRPr="00206753">
        <w:rPr>
          <w:rFonts w:eastAsia="Calibri"/>
        </w:rPr>
        <w:t xml:space="preserve">he regulations at 18 CFR 12.31(a) and 12.31(b), respectively, list specific qualifications that are required of independent consultants and independent consultant teams.  </w:t>
      </w:r>
      <w:r>
        <w:rPr>
          <w:rFonts w:eastAsia="Calibri"/>
        </w:rPr>
        <w:t>T</w:t>
      </w:r>
      <w:r w:rsidRPr="00206753">
        <w:rPr>
          <w:rFonts w:eastAsia="Calibri"/>
        </w:rPr>
        <w:t>he regulation at 18 CFR 12.34(a) requires that the licensee obtain written approval of the independent consultant team from the Director of the Division of Da</w:t>
      </w:r>
      <w:r>
        <w:rPr>
          <w:rFonts w:eastAsia="Calibri"/>
        </w:rPr>
        <w:t>m</w:t>
      </w:r>
      <w:r w:rsidRPr="00206753">
        <w:rPr>
          <w:rFonts w:eastAsia="Calibri"/>
        </w:rPr>
        <w:t xml:space="preserve"> Safety and Inspections </w:t>
      </w:r>
      <w:r>
        <w:rPr>
          <w:rFonts w:eastAsia="Calibri"/>
        </w:rPr>
        <w:t xml:space="preserve">(D2SI) </w:t>
      </w:r>
      <w:r w:rsidRPr="00206753">
        <w:rPr>
          <w:rFonts w:eastAsia="Calibri"/>
        </w:rPr>
        <w:t xml:space="preserve">prior to performing a periodic inspection or comprehensive assessment.  </w:t>
      </w:r>
    </w:p>
    <w:p w:rsidR="00C50B3D" w:rsidRPr="00206753" w:rsidP="00E6360D" w14:paraId="3C06CD96" w14:textId="245691BF">
      <w:pPr>
        <w:spacing w:line="480" w:lineRule="auto"/>
        <w:rPr>
          <w:rFonts w:eastAsia="Calibri"/>
        </w:rPr>
      </w:pPr>
      <w:r w:rsidRPr="00206753">
        <w:rPr>
          <w:rFonts w:eastAsia="Calibri"/>
        </w:rPr>
        <w:t>The regulation at 18 CFR 12.34(b)</w:t>
      </w:r>
      <w:r w:rsidR="00C269E4">
        <w:rPr>
          <w:rFonts w:eastAsia="Calibri"/>
        </w:rPr>
        <w:t xml:space="preserve"> </w:t>
      </w:r>
      <w:r w:rsidRPr="00206753">
        <w:rPr>
          <w:rFonts w:eastAsia="Calibri"/>
        </w:rPr>
        <w:t>requires that the licensee submit a detailed independent consultant team proposal to the Director of D2SI at least 180 days prior to performing a periodic inspection or comprehensive assessment</w:t>
      </w:r>
      <w:r>
        <w:rPr>
          <w:rFonts w:eastAsia="Calibri"/>
        </w:rPr>
        <w:t>.  As part of this, the</w:t>
      </w:r>
      <w:r w:rsidRPr="00206753">
        <w:rPr>
          <w:rFonts w:eastAsia="Calibri"/>
        </w:rPr>
        <w:t xml:space="preserve"> licensee </w:t>
      </w:r>
      <w:r>
        <w:rPr>
          <w:rFonts w:eastAsia="Calibri"/>
        </w:rPr>
        <w:t xml:space="preserve">must </w:t>
      </w:r>
      <w:r w:rsidRPr="00206753">
        <w:rPr>
          <w:rFonts w:eastAsia="Calibri"/>
        </w:rPr>
        <w:t>submit documentation of the experience and qualifications for all members of the independent consultant team, including one or more independent consultants and additional contributing members, as needed.  Th</w:t>
      </w:r>
      <w:r>
        <w:rPr>
          <w:rFonts w:eastAsia="Calibri"/>
        </w:rPr>
        <w:t>is</w:t>
      </w:r>
      <w:r w:rsidRPr="00206753">
        <w:rPr>
          <w:rFonts w:eastAsia="Calibri"/>
        </w:rPr>
        <w:t xml:space="preserve"> enable</w:t>
      </w:r>
      <w:r>
        <w:rPr>
          <w:rFonts w:eastAsia="Calibri"/>
        </w:rPr>
        <w:t>s</w:t>
      </w:r>
      <w:r w:rsidRPr="00206753">
        <w:rPr>
          <w:rFonts w:eastAsia="Calibri"/>
        </w:rPr>
        <w:t xml:space="preserve"> </w:t>
      </w:r>
      <w:r>
        <w:rPr>
          <w:rFonts w:eastAsia="Calibri"/>
        </w:rPr>
        <w:t xml:space="preserve">the </w:t>
      </w:r>
      <w:r w:rsidRPr="00206753">
        <w:rPr>
          <w:rFonts w:eastAsia="Calibri"/>
        </w:rPr>
        <w:t>Commission staff to evaluate the breadth and depth of the team’s experience and ensure that it is commensurate with the scale, complexity, and technical disciplines of the project and type of review being performed.  The Commission intends for a comprehensive assessment to require a higher level of experience and expertise than a periodic inspection, due to the broader scope of the comprehensive assessment.</w:t>
      </w:r>
    </w:p>
    <w:p w:rsidR="00C50B3D" w:rsidRPr="00206753" w:rsidP="00E6360D" w14:paraId="2A661BFA" w14:textId="21C15EA7">
      <w:pPr>
        <w:spacing w:line="480" w:lineRule="auto"/>
        <w:rPr>
          <w:rFonts w:eastAsia="Calibri"/>
        </w:rPr>
      </w:pPr>
      <w:r w:rsidRPr="00206753">
        <w:rPr>
          <w:rFonts w:eastAsia="Calibri"/>
        </w:rPr>
        <w:t>The regulation at 18 CFR 12.34(c) authorizes the Director of D2SI to disapprove an independent consultant team member, regardless of demonstrated experience and qualifications, for good cause, such as having a report rejected by the Commission within the preceding five years.  This provision allows the Commission to ensure that independent consultants’ inspections are performed by qualified parties.</w:t>
      </w:r>
    </w:p>
    <w:p w:rsidR="00C50B3D" w:rsidRPr="00206753" w:rsidP="00E6360D" w14:paraId="41C411F8" w14:textId="44526C16">
      <w:pPr>
        <w:spacing w:line="480" w:lineRule="auto"/>
        <w:rPr>
          <w:rFonts w:eastAsia="Calibri"/>
        </w:rPr>
      </w:pPr>
      <w:r w:rsidRPr="00206753">
        <w:rPr>
          <w:rFonts w:eastAsia="Calibri"/>
          <w:b/>
          <w:bCs/>
        </w:rPr>
        <w:t>18 CFR Part 12, Subpart F (Owner’s Dam Safety Program)</w:t>
      </w:r>
    </w:p>
    <w:p w:rsidR="00C50B3D" w:rsidRPr="00206753" w:rsidP="00E6360D" w14:paraId="7A1B6034" w14:textId="5BA8849A">
      <w:pPr>
        <w:spacing w:line="480" w:lineRule="auto"/>
        <w:rPr>
          <w:rFonts w:eastAsia="Calibri"/>
          <w:b/>
          <w:bCs/>
        </w:rPr>
      </w:pPr>
      <w:r w:rsidRPr="00206753">
        <w:rPr>
          <w:rFonts w:eastAsia="Calibri"/>
          <w:i/>
          <w:iCs/>
        </w:rPr>
        <w:t>Overview of Subpart F</w:t>
      </w:r>
    </w:p>
    <w:p w:rsidR="00C50B3D" w:rsidRPr="00206753" w:rsidP="00E6360D" w14:paraId="23E37C14" w14:textId="0E32006D">
      <w:pPr>
        <w:spacing w:line="480" w:lineRule="auto"/>
        <w:rPr>
          <w:rFonts w:eastAsia="Calibri"/>
          <w:u w:val="single"/>
        </w:rPr>
      </w:pPr>
      <w:r>
        <w:rPr>
          <w:rFonts w:eastAsia="Calibri"/>
        </w:rPr>
        <w:t>T</w:t>
      </w:r>
      <w:r w:rsidRPr="00206753">
        <w:rPr>
          <w:rFonts w:eastAsia="Calibri"/>
        </w:rPr>
        <w:t>he regulation at 18 CFR 12.60 provides that subpart F applies to all licensees with dams or other project works with a high or significant hazard potential.  The terms “High hazard potential” and “Significant hazard potential and “Low hazard potential” are defined at section 12.3(b)(13).</w:t>
      </w:r>
    </w:p>
    <w:p w:rsidR="00C50B3D" w:rsidRPr="00206753" w:rsidP="00E6360D" w14:paraId="688E0F66" w14:textId="3AE8CE84">
      <w:pPr>
        <w:spacing w:line="480" w:lineRule="auto"/>
        <w:rPr>
          <w:rFonts w:eastAsia="Calibri"/>
        </w:rPr>
      </w:pPr>
      <w:r>
        <w:rPr>
          <w:rFonts w:eastAsia="Calibri"/>
          <w:i/>
          <w:iCs/>
        </w:rPr>
        <w:t>Owner’s Dam Safety Program (</w:t>
      </w:r>
      <w:r w:rsidRPr="00206753">
        <w:rPr>
          <w:rFonts w:eastAsia="Calibri"/>
          <w:i/>
          <w:iCs/>
        </w:rPr>
        <w:t>ODSP</w:t>
      </w:r>
      <w:r>
        <w:rPr>
          <w:rFonts w:eastAsia="Calibri"/>
          <w:i/>
          <w:iCs/>
        </w:rPr>
        <w:t>)</w:t>
      </w:r>
      <w:r w:rsidRPr="00206753">
        <w:rPr>
          <w:rFonts w:eastAsia="Calibri"/>
          <w:i/>
          <w:iCs/>
        </w:rPr>
        <w:t xml:space="preserve"> Document</w:t>
      </w:r>
    </w:p>
    <w:p w:rsidR="00C50B3D" w:rsidRPr="00206753" w:rsidP="00E6360D" w14:paraId="2CF1B8F6" w14:textId="77777777">
      <w:pPr>
        <w:spacing w:line="480" w:lineRule="auto"/>
        <w:rPr>
          <w:rFonts w:eastAsia="Calibri"/>
        </w:rPr>
      </w:pPr>
      <w:r w:rsidRPr="00206753">
        <w:rPr>
          <w:rFonts w:eastAsia="Calibri"/>
        </w:rPr>
        <w:t>Section 12.62 provides that any ODSP Document that includes one or more dams or project features with a high hazard potential must designate a Chief Dam Safety Engineer.</w:t>
      </w:r>
      <w:r>
        <w:rPr>
          <w:rFonts w:eastAsia="Calibri"/>
          <w:vertAlign w:val="superscript"/>
        </w:rPr>
        <w:footnoteReference w:id="5"/>
      </w:r>
      <w:r w:rsidRPr="00206753">
        <w:rPr>
          <w:rFonts w:eastAsia="Calibri"/>
        </w:rPr>
        <w:t xml:space="preserve">  Other ODSPs may designate either a Chief Dam Safety Engineer or Chief Dam Safety Coordinator.</w:t>
      </w:r>
      <w:r>
        <w:rPr>
          <w:rFonts w:eastAsia="Calibri"/>
          <w:vertAlign w:val="superscript"/>
        </w:rPr>
        <w:footnoteReference w:id="6"/>
      </w:r>
      <w:r w:rsidRPr="00206753">
        <w:rPr>
          <w:rFonts w:eastAsia="Calibri"/>
        </w:rPr>
        <w:t xml:space="preserve">  Section 12.62 also requires that the ODSP must be signed by the Owner and, as applicable, the Chief Dam Safety Engineer or the Chief Dam Safety Coordinator.</w:t>
      </w:r>
    </w:p>
    <w:p w:rsidR="00C50B3D" w:rsidRPr="00206753" w:rsidP="00E6360D" w14:paraId="4341AFF8" w14:textId="358969F9">
      <w:pPr>
        <w:spacing w:line="480" w:lineRule="auto"/>
        <w:rPr>
          <w:rFonts w:eastAsia="Calibri"/>
        </w:rPr>
      </w:pPr>
      <w:r w:rsidRPr="00206753">
        <w:rPr>
          <w:rFonts w:eastAsia="Calibri"/>
        </w:rPr>
        <w:t>The regulation at 18 CFR section 12.63 requires the following additional contents of an ODSP document:</w:t>
      </w:r>
    </w:p>
    <w:p w:rsidR="00C50B3D" w:rsidRPr="00206753" w:rsidP="00E6360D" w14:paraId="4A088A58" w14:textId="77777777">
      <w:pPr>
        <w:numPr>
          <w:ilvl w:val="0"/>
          <w:numId w:val="9"/>
        </w:numPr>
        <w:spacing w:after="200" w:line="480" w:lineRule="auto"/>
        <w:rPr>
          <w:rFonts w:eastAsia="Calibri"/>
        </w:rPr>
      </w:pPr>
      <w:r w:rsidRPr="00206753">
        <w:rPr>
          <w:rFonts w:eastAsia="Calibri"/>
        </w:rPr>
        <w:t xml:space="preserve">Dam safety policy, objectives, and expectations; </w:t>
      </w:r>
    </w:p>
    <w:p w:rsidR="00C50B3D" w:rsidRPr="00206753" w:rsidP="00E6360D" w14:paraId="44B03639" w14:textId="77777777">
      <w:pPr>
        <w:numPr>
          <w:ilvl w:val="0"/>
          <w:numId w:val="9"/>
        </w:numPr>
        <w:spacing w:after="200" w:line="480" w:lineRule="auto"/>
        <w:rPr>
          <w:rFonts w:eastAsia="Calibri"/>
        </w:rPr>
      </w:pPr>
      <w:r w:rsidRPr="00206753">
        <w:rPr>
          <w:rFonts w:eastAsia="Calibri"/>
        </w:rPr>
        <w:t>Responsibilities for dam safety;</w:t>
      </w:r>
    </w:p>
    <w:p w:rsidR="00C50B3D" w:rsidRPr="00206753" w:rsidP="00E6360D" w14:paraId="371D03E5" w14:textId="77777777">
      <w:pPr>
        <w:numPr>
          <w:ilvl w:val="0"/>
          <w:numId w:val="9"/>
        </w:numPr>
        <w:spacing w:after="200" w:line="480" w:lineRule="auto"/>
        <w:rPr>
          <w:rFonts w:eastAsia="Calibri"/>
        </w:rPr>
      </w:pPr>
      <w:r w:rsidRPr="00206753">
        <w:rPr>
          <w:rFonts w:eastAsia="Calibri"/>
        </w:rPr>
        <w:t>Dam safety training program;</w:t>
      </w:r>
    </w:p>
    <w:p w:rsidR="00C50B3D" w:rsidRPr="00206753" w:rsidP="00E6360D" w14:paraId="6F2B4433" w14:textId="77777777">
      <w:pPr>
        <w:numPr>
          <w:ilvl w:val="0"/>
          <w:numId w:val="9"/>
        </w:numPr>
        <w:spacing w:after="200" w:line="480" w:lineRule="auto"/>
        <w:rPr>
          <w:rFonts w:eastAsia="Calibri"/>
        </w:rPr>
      </w:pPr>
      <w:r w:rsidRPr="00206753">
        <w:rPr>
          <w:rFonts w:eastAsia="Calibri"/>
        </w:rPr>
        <w:t>Communication, coordination, reporting, and reports;</w:t>
      </w:r>
    </w:p>
    <w:p w:rsidR="00C50B3D" w:rsidRPr="00206753" w:rsidP="00E6360D" w14:paraId="69E45AD3" w14:textId="77777777">
      <w:pPr>
        <w:numPr>
          <w:ilvl w:val="0"/>
          <w:numId w:val="9"/>
        </w:numPr>
        <w:spacing w:after="200" w:line="480" w:lineRule="auto"/>
        <w:rPr>
          <w:rFonts w:eastAsia="Calibri"/>
        </w:rPr>
      </w:pPr>
      <w:r w:rsidRPr="00206753">
        <w:rPr>
          <w:rFonts w:eastAsia="Calibri"/>
        </w:rPr>
        <w:t>Record keeping and databases; and</w:t>
      </w:r>
    </w:p>
    <w:p w:rsidR="00C50B3D" w:rsidRPr="00206753" w:rsidP="00E6360D" w14:paraId="787D4C0E" w14:textId="77777777">
      <w:pPr>
        <w:numPr>
          <w:ilvl w:val="0"/>
          <w:numId w:val="9"/>
        </w:numPr>
        <w:spacing w:after="200" w:line="480" w:lineRule="auto"/>
        <w:rPr>
          <w:rFonts w:eastAsia="Calibri"/>
        </w:rPr>
      </w:pPr>
      <w:r w:rsidRPr="00206753">
        <w:rPr>
          <w:rFonts w:eastAsia="Calibri"/>
        </w:rPr>
        <w:t xml:space="preserve">Continuous improvement; </w:t>
      </w:r>
    </w:p>
    <w:p w:rsidR="00C50B3D" w:rsidRPr="00206753" w:rsidP="00E6360D" w14:paraId="2D3D9AB8" w14:textId="7D3DE31F">
      <w:pPr>
        <w:spacing w:line="480" w:lineRule="auto"/>
        <w:rPr>
          <w:rFonts w:eastAsia="Calibri"/>
          <w:bCs/>
        </w:rPr>
      </w:pPr>
      <w:r w:rsidRPr="00206753">
        <w:rPr>
          <w:rFonts w:eastAsia="Calibri"/>
          <w:bCs/>
        </w:rPr>
        <w:t>The regulation at 18 CFR 12.64 requires any ODSP to be reviewed by the licensee’s dam safety staff and discussed with senior management on an annual basis.  In addition, section 12.64 requires that any findings, analysis, corrective measures, or revisions be submitted to the D2SI Regional Engineer for possible revision.  This requirement applies to any licensee with a dam or other project feature with a high or significant hazard potential.</w:t>
      </w:r>
    </w:p>
    <w:p w:rsidR="00C50B3D" w:rsidRPr="00206753" w:rsidP="00E6360D" w14:paraId="5BEBD3E7" w14:textId="3368672F">
      <w:pPr>
        <w:spacing w:line="480" w:lineRule="auto"/>
        <w:rPr>
          <w:rFonts w:eastAsia="Calibri"/>
          <w:bCs/>
        </w:rPr>
      </w:pPr>
      <w:r w:rsidRPr="00206753">
        <w:rPr>
          <w:rFonts w:eastAsia="Calibri"/>
          <w:bCs/>
          <w:i/>
          <w:iCs/>
        </w:rPr>
        <w:t>ODSP Qualification Statement for External Audit or Peer Review</w:t>
      </w:r>
    </w:p>
    <w:p w:rsidR="00C50B3D" w:rsidRPr="00206753" w:rsidP="00E6360D" w14:paraId="3F79D6AD" w14:textId="38E539D5">
      <w:pPr>
        <w:spacing w:line="480" w:lineRule="auto"/>
        <w:rPr>
          <w:rFonts w:eastAsia="Calibri"/>
          <w:bCs/>
        </w:rPr>
      </w:pPr>
      <w:r w:rsidRPr="00206753">
        <w:rPr>
          <w:rFonts w:eastAsia="Calibri"/>
          <w:bCs/>
        </w:rPr>
        <w:t>The regulation at 18 CFR 12.65 applies to licensees of one or more dams or other project features classified as having a high hazard potential.  Section 12.65(a) requires an independent external audit or peer review of the ODSP and its implementation.  The audit or peer review is required to be performed at an interval not to exceed five years.</w:t>
      </w:r>
    </w:p>
    <w:p w:rsidR="00C50B3D" w:rsidRPr="00206753" w:rsidP="00E6360D" w14:paraId="2EA1218E" w14:textId="09964D75">
      <w:pPr>
        <w:spacing w:line="480" w:lineRule="auto"/>
        <w:rPr>
          <w:rFonts w:eastAsia="Calibri"/>
        </w:rPr>
      </w:pPr>
      <w:r w:rsidRPr="00206753">
        <w:rPr>
          <w:rFonts w:eastAsia="Calibri"/>
          <w:bCs/>
        </w:rPr>
        <w:t xml:space="preserve">Before the audit or peer review, 18 CFR 12.65(b) requires the licensee to submit to the Regional Engineer a </w:t>
      </w:r>
      <w:r w:rsidRPr="00206753">
        <w:rPr>
          <w:rFonts w:eastAsia="Calibri"/>
        </w:rPr>
        <w:t>statement of qualifications of the prospective auditor(s) or peer review team.  The licensee must receive written acceptance of the statement of qualifications before performing the audit or peer review.</w:t>
      </w:r>
    </w:p>
    <w:p w:rsidR="00C50B3D" w:rsidRPr="00206753" w:rsidP="00E6360D" w14:paraId="37A534A4" w14:textId="7379A42D">
      <w:pPr>
        <w:spacing w:line="480" w:lineRule="auto"/>
        <w:rPr>
          <w:rFonts w:eastAsia="Calibri"/>
          <w:bCs/>
        </w:rPr>
      </w:pPr>
      <w:r w:rsidRPr="00206753">
        <w:rPr>
          <w:rFonts w:eastAsia="Calibri"/>
          <w:bCs/>
          <w:i/>
          <w:iCs/>
        </w:rPr>
        <w:t>ODSP External Audit or Peer Review Report</w:t>
      </w:r>
    </w:p>
    <w:p w:rsidR="00C50B3D" w:rsidRPr="00206753" w:rsidP="00E6360D" w14:paraId="7AA4000A" w14:textId="3059AA1F">
      <w:pPr>
        <w:spacing w:line="480" w:lineRule="auto"/>
        <w:rPr>
          <w:rFonts w:eastAsia="Calibri"/>
          <w:bCs/>
        </w:rPr>
      </w:pPr>
      <w:r w:rsidRPr="00206753">
        <w:rPr>
          <w:rFonts w:eastAsia="Calibri"/>
          <w:bCs/>
        </w:rPr>
        <w:t>The regulation at 18 CFR 12.65(c) requires the auditor(s) or peer review team to document their findings in a report.  The report must be reviewed by:</w:t>
      </w:r>
    </w:p>
    <w:p w:rsidR="00C50B3D" w:rsidRPr="00206753" w:rsidP="00E6360D" w14:paraId="00A2768C" w14:textId="77777777">
      <w:pPr>
        <w:numPr>
          <w:ilvl w:val="0"/>
          <w:numId w:val="11"/>
        </w:numPr>
        <w:spacing w:after="200" w:line="480" w:lineRule="auto"/>
        <w:contextualSpacing/>
        <w:rPr>
          <w:rFonts w:eastAsia="Calibri"/>
          <w:bCs/>
        </w:rPr>
      </w:pPr>
      <w:r w:rsidRPr="00206753">
        <w:rPr>
          <w:rFonts w:eastAsia="Calibri"/>
          <w:bCs/>
        </w:rPr>
        <w:t>The project’s owner,</w:t>
      </w:r>
    </w:p>
    <w:p w:rsidR="00C50B3D" w:rsidRPr="00206753" w:rsidP="00E6360D" w14:paraId="73AA9686" w14:textId="77777777">
      <w:pPr>
        <w:numPr>
          <w:ilvl w:val="0"/>
          <w:numId w:val="11"/>
        </w:numPr>
        <w:spacing w:after="200" w:line="480" w:lineRule="auto"/>
        <w:contextualSpacing/>
        <w:rPr>
          <w:rFonts w:eastAsia="Calibri"/>
          <w:bCs/>
        </w:rPr>
      </w:pPr>
      <w:r w:rsidRPr="00206753">
        <w:rPr>
          <w:rFonts w:eastAsia="Calibri"/>
          <w:bCs/>
        </w:rPr>
        <w:t>The Chief Dam Safety Engineer or Chief Dam Safety Coordinator, and</w:t>
      </w:r>
    </w:p>
    <w:p w:rsidR="00C50B3D" w:rsidRPr="00B72DC8" w:rsidP="004E1894" w14:paraId="07EA8712" w14:textId="733730F2">
      <w:pPr>
        <w:numPr>
          <w:ilvl w:val="0"/>
          <w:numId w:val="11"/>
        </w:numPr>
        <w:spacing w:after="200" w:line="480" w:lineRule="auto"/>
        <w:contextualSpacing/>
        <w:rPr>
          <w:rFonts w:eastAsia="Calibri"/>
          <w:bCs/>
        </w:rPr>
      </w:pPr>
      <w:r w:rsidRPr="00206753">
        <w:rPr>
          <w:rFonts w:eastAsia="Calibri"/>
          <w:bCs/>
        </w:rPr>
        <w:t>Management having responsibility in the area(s) audited or reviewed.</w:t>
      </w:r>
    </w:p>
    <w:p w:rsidR="00C50B3D" w:rsidRPr="00206753" w:rsidP="00E6360D" w14:paraId="4A453D04" w14:textId="42A29073">
      <w:pPr>
        <w:spacing w:line="480" w:lineRule="auto"/>
        <w:rPr>
          <w:rFonts w:eastAsia="Calibri"/>
        </w:rPr>
      </w:pPr>
      <w:r w:rsidRPr="00206753">
        <w:rPr>
          <w:rFonts w:eastAsia="Calibri"/>
          <w:bCs/>
        </w:rPr>
        <w:t>Subsequently, the report on the audit or peer review must</w:t>
      </w:r>
      <w:r w:rsidRPr="00206753">
        <w:rPr>
          <w:rFonts w:eastAsia="Calibri"/>
        </w:rPr>
        <w:t xml:space="preserve"> be submitted to the Regional Engineer.  </w:t>
      </w:r>
    </w:p>
    <w:p w:rsidR="00C50B3D" w:rsidRPr="00206753" w:rsidP="004E1894" w14:paraId="5DB52EF6" w14:textId="2BD9068D">
      <w:pPr>
        <w:tabs>
          <w:tab w:val="center" w:pos="4635"/>
        </w:tabs>
        <w:spacing w:line="480" w:lineRule="auto"/>
        <w:rPr>
          <w:rFonts w:eastAsia="Calibri"/>
          <w:b/>
          <w:bCs/>
        </w:rPr>
      </w:pPr>
      <w:r w:rsidRPr="00206753">
        <w:rPr>
          <w:rFonts w:eastAsia="Calibri"/>
          <w:i/>
          <w:iCs/>
        </w:rPr>
        <w:t>ODSP Request for Extension of Time</w:t>
      </w:r>
      <w:r w:rsidRPr="00206753">
        <w:rPr>
          <w:rFonts w:eastAsia="Calibri"/>
          <w:i/>
          <w:iCs/>
        </w:rPr>
        <w:tab/>
      </w:r>
    </w:p>
    <w:p w:rsidR="00C50B3D" w:rsidRPr="008B7933" w:rsidP="00E6360D" w14:paraId="093151A4" w14:textId="56D35A36">
      <w:pPr>
        <w:spacing w:line="480" w:lineRule="auto"/>
        <w:rPr>
          <w:rFonts w:eastAsia="Calibri"/>
        </w:rPr>
      </w:pPr>
      <w:r w:rsidRPr="00206753">
        <w:rPr>
          <w:rFonts w:eastAsia="Calibri"/>
        </w:rPr>
        <w:t>Typically, the Commission’s letters to licensees pertaining to ODSPs and ODSP audits require submittal of a plan and schedule or report within a set period of time (e.g., provide a plan and schedule within 30 days from the date of this letter).  Although neither the ODSP regulations nor any of the existing ODSP guidance documents expressly contemplate extension of time requests, there are times when a licensee cannot meet that schedule and therefore files a letter with Commission staff requesting an extension of time to complete ODSP-related tasks.</w:t>
      </w:r>
    </w:p>
    <w:p w:rsidR="00C50B3D" w:rsidP="006B32CD" w14:paraId="4415AEBC" w14:textId="77777777">
      <w:pPr>
        <w:spacing w:line="480" w:lineRule="auto"/>
        <w:rPr>
          <w:szCs w:val="26"/>
        </w:rPr>
      </w:pPr>
      <w:r w:rsidRPr="00F51E09">
        <w:rPr>
          <w:i/>
          <w:szCs w:val="26"/>
        </w:rPr>
        <w:t>Estimate of Annual Burden</w:t>
      </w:r>
      <w:r>
        <w:rPr>
          <w:b/>
          <w:i/>
          <w:szCs w:val="26"/>
          <w:vertAlign w:val="superscript"/>
        </w:rPr>
        <w:footnoteReference w:id="7"/>
      </w:r>
      <w:r w:rsidRPr="00F51E09">
        <w:rPr>
          <w:i/>
          <w:szCs w:val="26"/>
        </w:rPr>
        <w:t xml:space="preserve">: </w:t>
      </w:r>
      <w:r w:rsidRPr="00F51E09">
        <w:rPr>
          <w:szCs w:val="26"/>
        </w:rPr>
        <w:t>The Commission estimates the burden and cost</w:t>
      </w:r>
      <w:r>
        <w:rPr>
          <w:rStyle w:val="FootnoteReference"/>
        </w:rPr>
        <w:footnoteReference w:id="8"/>
      </w:r>
      <w:r w:rsidRPr="00F51E09">
        <w:rPr>
          <w:szCs w:val="26"/>
        </w:rPr>
        <w:t xml:space="preserve"> for this information collection as follows</w:t>
      </w:r>
      <w:r>
        <w:rPr>
          <w:szCs w:val="26"/>
        </w:rPr>
        <w:t>:</w:t>
      </w:r>
    </w:p>
    <w:p w:rsidR="00C50B3D" w:rsidRPr="009972B1" w:rsidP="004E1894" w14:paraId="0EDD37F1" w14:textId="38DC13E7">
      <w:pPr>
        <w:spacing w:line="480" w:lineRule="auto"/>
        <w:rPr>
          <w:rFonts w:eastAsia="Calibri"/>
        </w:rPr>
      </w:pPr>
      <w:r w:rsidRPr="009972B1">
        <w:rPr>
          <w:rFonts w:eastAsia="Calibri"/>
        </w:rPr>
        <w:t>In the tables below, the burden estimates for team proposals and reports involving PIs and CAs define a single response as the consolidated filings during the typical ten-year cycle for Independent Consultant’s Safety Inspections (one PI and one CA each during the ten-year period).  Therefore, the estimated average number of annual responses for the consolidated filings is averaged over the ten-year period and represented as 0.1 responses on average per year.</w:t>
      </w:r>
    </w:p>
    <w:p w:rsidR="00C50B3D" w:rsidRPr="009972B1" w:rsidP="00C50B3D" w14:paraId="57B7E3A1" w14:textId="77777777">
      <w:pPr>
        <w:jc w:val="center"/>
        <w:rPr>
          <w:rFonts w:eastAsia="Calibri"/>
        </w:rPr>
      </w:pPr>
      <w:bookmarkStart w:id="5" w:name="_Hlk377521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0"/>
        <w:gridCol w:w="1655"/>
        <w:gridCol w:w="1654"/>
        <w:gridCol w:w="1315"/>
        <w:gridCol w:w="1431"/>
        <w:gridCol w:w="1455"/>
      </w:tblGrid>
      <w:tr w14:paraId="30D55F9C" w14:textId="77777777" w:rsidTr="0007049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0" w:type="auto"/>
            <w:gridSpan w:val="6"/>
            <w:vAlign w:val="bottom"/>
          </w:tcPr>
          <w:p w:rsidR="00C50B3D" w:rsidRPr="009972B1" w:rsidP="0007049C" w14:paraId="44A4717A" w14:textId="77777777">
            <w:pPr>
              <w:jc w:val="center"/>
              <w:rPr>
                <w:rFonts w:eastAsia="Calibri"/>
                <w:b/>
              </w:rPr>
            </w:pPr>
            <w:r>
              <w:rPr>
                <w:rFonts w:eastAsia="Calibri"/>
                <w:b/>
              </w:rPr>
              <w:t>FERC-517 – Direct and Indirect Annual Burden and Cost Changes</w:t>
            </w:r>
          </w:p>
          <w:p w:rsidR="00C50B3D" w:rsidRPr="009972B1" w:rsidP="0007049C" w14:paraId="73A234ED" w14:textId="77777777">
            <w:pPr>
              <w:jc w:val="center"/>
              <w:rPr>
                <w:rFonts w:eastAsia="Calibri"/>
                <w:b/>
              </w:rPr>
            </w:pPr>
          </w:p>
        </w:tc>
      </w:tr>
      <w:bookmarkEnd w:id="5"/>
      <w:tr w14:paraId="0AABC069" w14:textId="77777777" w:rsidTr="0007049C">
        <w:tblPrEx>
          <w:tblW w:w="0" w:type="auto"/>
          <w:tblLook w:val="04A0"/>
        </w:tblPrEx>
        <w:trPr>
          <w:cantSplit/>
          <w:tblHeader/>
        </w:trPr>
        <w:tc>
          <w:tcPr>
            <w:tcW w:w="0" w:type="auto"/>
            <w:vAlign w:val="bottom"/>
          </w:tcPr>
          <w:p w:rsidR="00C50B3D" w:rsidRPr="009972B1" w:rsidP="0007049C" w14:paraId="04C1B2BA" w14:textId="77777777">
            <w:pPr>
              <w:jc w:val="center"/>
              <w:rPr>
                <w:rFonts w:eastAsia="Calibri"/>
                <w:b/>
              </w:rPr>
            </w:pPr>
            <w:r w:rsidRPr="009972B1">
              <w:rPr>
                <w:rFonts w:eastAsia="Calibri"/>
                <w:b/>
              </w:rPr>
              <w:t>A.</w:t>
            </w:r>
          </w:p>
          <w:p w:rsidR="00C50B3D" w:rsidRPr="009972B1" w:rsidP="0007049C" w14:paraId="15F22EE3" w14:textId="77777777">
            <w:pPr>
              <w:jc w:val="center"/>
              <w:rPr>
                <w:rFonts w:eastAsia="Calibri"/>
                <w:b/>
              </w:rPr>
            </w:pPr>
            <w:r w:rsidRPr="009972B1">
              <w:rPr>
                <w:rFonts w:eastAsia="Calibri"/>
                <w:b/>
              </w:rPr>
              <w:t>Type of Response</w:t>
            </w:r>
          </w:p>
        </w:tc>
        <w:tc>
          <w:tcPr>
            <w:tcW w:w="0" w:type="auto"/>
            <w:vAlign w:val="bottom"/>
          </w:tcPr>
          <w:p w:rsidR="00C50B3D" w:rsidRPr="009972B1" w:rsidP="0007049C" w14:paraId="06FD7F7A" w14:textId="77777777">
            <w:pPr>
              <w:jc w:val="center"/>
              <w:rPr>
                <w:rFonts w:eastAsia="Calibri"/>
                <w:b/>
              </w:rPr>
            </w:pPr>
            <w:r w:rsidRPr="009972B1">
              <w:rPr>
                <w:rFonts w:eastAsia="Calibri"/>
                <w:b/>
              </w:rPr>
              <w:t>B.</w:t>
            </w:r>
          </w:p>
          <w:p w:rsidR="00C50B3D" w:rsidRPr="009972B1" w:rsidP="0007049C" w14:paraId="461029F6" w14:textId="77777777">
            <w:pPr>
              <w:jc w:val="center"/>
              <w:rPr>
                <w:rFonts w:eastAsia="Calibri"/>
                <w:b/>
              </w:rPr>
            </w:pPr>
            <w:r w:rsidRPr="009972B1">
              <w:rPr>
                <w:rFonts w:eastAsia="Calibri"/>
                <w:b/>
              </w:rPr>
              <w:t>No. of Respondents</w:t>
            </w:r>
          </w:p>
        </w:tc>
        <w:tc>
          <w:tcPr>
            <w:tcW w:w="0" w:type="auto"/>
            <w:vAlign w:val="bottom"/>
          </w:tcPr>
          <w:p w:rsidR="00C50B3D" w:rsidRPr="009972B1" w:rsidP="0007049C" w14:paraId="75269682" w14:textId="77777777">
            <w:pPr>
              <w:jc w:val="center"/>
              <w:rPr>
                <w:rFonts w:eastAsia="Calibri"/>
                <w:b/>
              </w:rPr>
            </w:pPr>
            <w:r w:rsidRPr="009972B1">
              <w:rPr>
                <w:rFonts w:eastAsia="Calibri"/>
                <w:b/>
              </w:rPr>
              <w:t>C.</w:t>
            </w:r>
          </w:p>
          <w:p w:rsidR="00C50B3D" w:rsidRPr="009972B1" w:rsidP="0007049C" w14:paraId="6468F8C1" w14:textId="77777777">
            <w:pPr>
              <w:jc w:val="center"/>
              <w:rPr>
                <w:rFonts w:eastAsia="Calibri"/>
                <w:b/>
              </w:rPr>
            </w:pPr>
            <w:r w:rsidRPr="009972B1">
              <w:rPr>
                <w:rFonts w:eastAsia="Calibri"/>
                <w:b/>
              </w:rPr>
              <w:t>Avg. No. of Annual Responses per Respondent</w:t>
            </w:r>
          </w:p>
        </w:tc>
        <w:tc>
          <w:tcPr>
            <w:tcW w:w="0" w:type="auto"/>
            <w:vAlign w:val="bottom"/>
          </w:tcPr>
          <w:p w:rsidR="00C50B3D" w:rsidRPr="009972B1" w:rsidP="0007049C" w14:paraId="2A1BE3F3" w14:textId="77777777">
            <w:pPr>
              <w:jc w:val="center"/>
              <w:rPr>
                <w:rFonts w:eastAsia="Calibri"/>
                <w:b/>
              </w:rPr>
            </w:pPr>
            <w:r w:rsidRPr="009972B1">
              <w:rPr>
                <w:rFonts w:eastAsia="Calibri"/>
                <w:b/>
              </w:rPr>
              <w:t>D.</w:t>
            </w:r>
          </w:p>
          <w:p w:rsidR="00C50B3D" w:rsidRPr="009972B1" w:rsidP="0007049C" w14:paraId="0B04A0F8" w14:textId="77777777">
            <w:pPr>
              <w:jc w:val="center"/>
              <w:rPr>
                <w:rFonts w:eastAsia="Calibri"/>
                <w:b/>
              </w:rPr>
            </w:pPr>
            <w:r w:rsidRPr="009972B1">
              <w:rPr>
                <w:rFonts w:eastAsia="Calibri"/>
                <w:b/>
              </w:rPr>
              <w:t>Avg. Annual Burden Hrs.</w:t>
            </w:r>
          </w:p>
          <w:p w:rsidR="00C50B3D" w:rsidRPr="009972B1" w:rsidP="0007049C" w14:paraId="4BA00CB4" w14:textId="77777777">
            <w:pPr>
              <w:jc w:val="center"/>
              <w:rPr>
                <w:rFonts w:eastAsia="Calibri"/>
                <w:b/>
              </w:rPr>
            </w:pPr>
            <w:r w:rsidRPr="009972B1">
              <w:rPr>
                <w:rFonts w:eastAsia="Calibri"/>
                <w:b/>
              </w:rPr>
              <w:t>and Cost per Response</w:t>
            </w:r>
          </w:p>
        </w:tc>
        <w:tc>
          <w:tcPr>
            <w:tcW w:w="0" w:type="auto"/>
            <w:vAlign w:val="bottom"/>
          </w:tcPr>
          <w:p w:rsidR="00C50B3D" w:rsidRPr="009972B1" w:rsidP="0007049C" w14:paraId="56144196" w14:textId="77777777">
            <w:pPr>
              <w:jc w:val="center"/>
              <w:rPr>
                <w:rFonts w:eastAsia="Calibri"/>
                <w:b/>
              </w:rPr>
            </w:pPr>
            <w:r w:rsidRPr="009972B1">
              <w:rPr>
                <w:rFonts w:eastAsia="Calibri"/>
                <w:b/>
              </w:rPr>
              <w:t>E.</w:t>
            </w:r>
          </w:p>
          <w:p w:rsidR="00C50B3D" w:rsidRPr="009972B1" w:rsidP="0007049C" w14:paraId="6224FC6B" w14:textId="77777777">
            <w:pPr>
              <w:jc w:val="center"/>
              <w:rPr>
                <w:rFonts w:eastAsia="Calibri"/>
                <w:b/>
              </w:rPr>
            </w:pPr>
            <w:r w:rsidRPr="009972B1">
              <w:rPr>
                <w:rFonts w:eastAsia="Calibri"/>
                <w:b/>
              </w:rPr>
              <w:t>Total No. of Annual Responses</w:t>
            </w:r>
          </w:p>
          <w:p w:rsidR="00C50B3D" w:rsidRPr="009972B1" w:rsidP="0007049C" w14:paraId="3FF48869" w14:textId="77777777">
            <w:pPr>
              <w:jc w:val="center"/>
              <w:rPr>
                <w:rFonts w:eastAsia="Calibri"/>
                <w:b/>
              </w:rPr>
            </w:pPr>
            <w:r w:rsidRPr="009972B1">
              <w:rPr>
                <w:rFonts w:eastAsia="Calibri"/>
                <w:b/>
              </w:rPr>
              <w:t>(Col. B x Col. C)</w:t>
            </w:r>
          </w:p>
        </w:tc>
        <w:tc>
          <w:tcPr>
            <w:tcW w:w="0" w:type="auto"/>
            <w:vAlign w:val="bottom"/>
          </w:tcPr>
          <w:p w:rsidR="00C50B3D" w:rsidRPr="009972B1" w:rsidP="0007049C" w14:paraId="2322016F" w14:textId="77777777">
            <w:pPr>
              <w:jc w:val="center"/>
              <w:rPr>
                <w:rFonts w:eastAsia="Calibri"/>
                <w:b/>
              </w:rPr>
            </w:pPr>
            <w:r w:rsidRPr="009972B1">
              <w:rPr>
                <w:rFonts w:eastAsia="Calibri"/>
                <w:b/>
              </w:rPr>
              <w:t>F.</w:t>
            </w:r>
          </w:p>
          <w:p w:rsidR="00C50B3D" w:rsidRPr="009972B1" w:rsidP="0007049C" w14:paraId="6A9DB844" w14:textId="77777777">
            <w:pPr>
              <w:jc w:val="center"/>
              <w:rPr>
                <w:rFonts w:eastAsia="Calibri"/>
                <w:b/>
              </w:rPr>
            </w:pPr>
            <w:r w:rsidRPr="009972B1">
              <w:rPr>
                <w:rFonts w:eastAsia="Calibri"/>
                <w:b/>
              </w:rPr>
              <w:t>Total</w:t>
            </w:r>
          </w:p>
          <w:p w:rsidR="00C50B3D" w:rsidRPr="009972B1" w:rsidP="0007049C" w14:paraId="3FB30AB4" w14:textId="77777777">
            <w:pPr>
              <w:jc w:val="center"/>
              <w:rPr>
                <w:rFonts w:eastAsia="Calibri"/>
                <w:b/>
              </w:rPr>
            </w:pPr>
            <w:r w:rsidRPr="009972B1">
              <w:rPr>
                <w:rFonts w:eastAsia="Calibri"/>
                <w:b/>
              </w:rPr>
              <w:t>Annual Burden Hrs. and Cost</w:t>
            </w:r>
          </w:p>
          <w:p w:rsidR="00C50B3D" w:rsidRPr="009972B1" w:rsidP="0007049C" w14:paraId="52AE7AD9" w14:textId="77777777">
            <w:pPr>
              <w:jc w:val="center"/>
              <w:rPr>
                <w:rFonts w:eastAsia="Calibri"/>
                <w:b/>
              </w:rPr>
            </w:pPr>
            <w:r w:rsidRPr="009972B1">
              <w:rPr>
                <w:rFonts w:eastAsia="Calibri"/>
                <w:b/>
              </w:rPr>
              <w:t>(Col. D x Col. E)</w:t>
            </w:r>
          </w:p>
        </w:tc>
      </w:tr>
      <w:tr w14:paraId="057CC50D" w14:textId="77777777" w:rsidTr="0007049C">
        <w:tblPrEx>
          <w:tblW w:w="0" w:type="auto"/>
          <w:tblLook w:val="04A0"/>
        </w:tblPrEx>
        <w:trPr>
          <w:cantSplit/>
        </w:trPr>
        <w:tc>
          <w:tcPr>
            <w:tcW w:w="0" w:type="auto"/>
            <w:vAlign w:val="center"/>
          </w:tcPr>
          <w:p w:rsidR="00C50B3D" w:rsidRPr="009972B1" w:rsidP="0007049C" w14:paraId="7A012CFF" w14:textId="77777777">
            <w:pPr>
              <w:rPr>
                <w:rFonts w:eastAsia="Calibri"/>
              </w:rPr>
            </w:pPr>
            <w:r w:rsidRPr="009972B1">
              <w:rPr>
                <w:rFonts w:eastAsia="Calibri"/>
              </w:rPr>
              <w:t>Applicant’s or Licensee’s Report of Project-Related Deaths, Serious Injuries, or Rescues</w:t>
            </w:r>
          </w:p>
        </w:tc>
        <w:tc>
          <w:tcPr>
            <w:tcW w:w="0" w:type="auto"/>
            <w:vAlign w:val="bottom"/>
          </w:tcPr>
          <w:p w:rsidR="00C50B3D" w:rsidRPr="009972B1" w:rsidP="0007049C" w14:paraId="1A281CF6" w14:textId="77777777">
            <w:pPr>
              <w:jc w:val="right"/>
              <w:rPr>
                <w:rFonts w:eastAsia="Calibri"/>
              </w:rPr>
            </w:pPr>
            <w:bookmarkStart w:id="6" w:name="_Hlk38270597"/>
            <w:bookmarkEnd w:id="6"/>
            <w:r w:rsidRPr="009972B1">
              <w:rPr>
                <w:rFonts w:eastAsia="Calibri"/>
              </w:rPr>
              <w:t>65</w:t>
            </w:r>
          </w:p>
        </w:tc>
        <w:tc>
          <w:tcPr>
            <w:tcW w:w="0" w:type="auto"/>
            <w:vAlign w:val="bottom"/>
          </w:tcPr>
          <w:p w:rsidR="00C50B3D" w:rsidRPr="009972B1" w:rsidP="0007049C" w14:paraId="0FEBD99E" w14:textId="77777777">
            <w:pPr>
              <w:jc w:val="right"/>
              <w:rPr>
                <w:rFonts w:eastAsia="Calibri"/>
              </w:rPr>
            </w:pPr>
            <w:r w:rsidRPr="009972B1">
              <w:rPr>
                <w:rFonts w:eastAsia="Calibri"/>
              </w:rPr>
              <w:t>2.14</w:t>
            </w:r>
          </w:p>
        </w:tc>
        <w:tc>
          <w:tcPr>
            <w:tcW w:w="0" w:type="auto"/>
            <w:vAlign w:val="bottom"/>
          </w:tcPr>
          <w:p w:rsidR="00C50B3D" w:rsidRPr="009972B1" w:rsidP="0007049C" w14:paraId="66084A7A" w14:textId="77777777">
            <w:pPr>
              <w:jc w:val="right"/>
              <w:rPr>
                <w:rFonts w:eastAsia="Calibri"/>
              </w:rPr>
            </w:pPr>
            <w:r w:rsidRPr="009972B1">
              <w:rPr>
                <w:rFonts w:eastAsia="Calibri"/>
              </w:rPr>
              <w:t>2 hrs.; $</w:t>
            </w:r>
            <w:r>
              <w:rPr>
                <w:rFonts w:eastAsia="Calibri"/>
              </w:rPr>
              <w:t>200</w:t>
            </w:r>
          </w:p>
        </w:tc>
        <w:tc>
          <w:tcPr>
            <w:tcW w:w="0" w:type="auto"/>
            <w:vAlign w:val="bottom"/>
          </w:tcPr>
          <w:p w:rsidR="00C50B3D" w:rsidRPr="009972B1" w:rsidP="0007049C" w14:paraId="671E207B" w14:textId="77777777">
            <w:pPr>
              <w:jc w:val="right"/>
              <w:rPr>
                <w:rFonts w:eastAsia="Calibri"/>
              </w:rPr>
            </w:pPr>
            <w:r w:rsidRPr="009972B1">
              <w:rPr>
                <w:rFonts w:eastAsia="Calibri"/>
              </w:rPr>
              <w:t>139</w:t>
            </w:r>
            <w:r>
              <w:rPr>
                <w:rFonts w:eastAsia="Calibri"/>
              </w:rPr>
              <w:t>.10</w:t>
            </w:r>
          </w:p>
        </w:tc>
        <w:tc>
          <w:tcPr>
            <w:tcW w:w="0" w:type="auto"/>
            <w:vAlign w:val="bottom"/>
          </w:tcPr>
          <w:p w:rsidR="00C50B3D" w:rsidRPr="009972B1" w:rsidP="0007049C" w14:paraId="09D0F9AF" w14:textId="77777777">
            <w:pPr>
              <w:jc w:val="right"/>
              <w:rPr>
                <w:rFonts w:eastAsia="Calibri"/>
              </w:rPr>
            </w:pPr>
            <w:r w:rsidRPr="009972B1">
              <w:rPr>
                <w:rFonts w:eastAsia="Calibri"/>
              </w:rPr>
              <w:t>278</w:t>
            </w:r>
            <w:r>
              <w:rPr>
                <w:rFonts w:eastAsia="Calibri"/>
              </w:rPr>
              <w:t>.20</w:t>
            </w:r>
            <w:r w:rsidRPr="009972B1">
              <w:rPr>
                <w:rFonts w:eastAsia="Calibri"/>
              </w:rPr>
              <w:t xml:space="preserve"> hrs.;</w:t>
            </w:r>
          </w:p>
          <w:p w:rsidR="00C50B3D" w:rsidRPr="009972B1" w:rsidP="0007049C" w14:paraId="310770BD" w14:textId="77777777">
            <w:pPr>
              <w:jc w:val="right"/>
              <w:rPr>
                <w:rFonts w:eastAsia="Calibri"/>
              </w:rPr>
            </w:pPr>
            <w:r w:rsidRPr="009972B1">
              <w:rPr>
                <w:rFonts w:eastAsia="Calibri"/>
              </w:rPr>
              <w:t>$2</w:t>
            </w:r>
            <w:r>
              <w:rPr>
                <w:rFonts w:eastAsia="Calibri"/>
              </w:rPr>
              <w:t>7,820</w:t>
            </w:r>
          </w:p>
        </w:tc>
      </w:tr>
      <w:tr w14:paraId="61EDAE8B" w14:textId="77777777" w:rsidTr="0007049C">
        <w:tblPrEx>
          <w:tblW w:w="0" w:type="auto"/>
          <w:tblLook w:val="04A0"/>
        </w:tblPrEx>
        <w:trPr>
          <w:cantSplit/>
        </w:trPr>
        <w:tc>
          <w:tcPr>
            <w:tcW w:w="0" w:type="auto"/>
            <w:vAlign w:val="center"/>
          </w:tcPr>
          <w:p w:rsidR="00C50B3D" w:rsidRPr="009972B1" w:rsidP="0007049C" w14:paraId="1EA034A7" w14:textId="77777777">
            <w:pPr>
              <w:rPr>
                <w:rFonts w:eastAsia="Calibri"/>
              </w:rPr>
            </w:pPr>
            <w:r w:rsidRPr="009972B1">
              <w:rPr>
                <w:rFonts w:eastAsia="Calibri"/>
              </w:rPr>
              <w:t>Ind. Cons. Team Proposals and Reports on PIs and CAs ― Simple Facility</w:t>
            </w:r>
            <w:r w:rsidRPr="009972B1">
              <w:rPr>
                <w:rFonts w:eastAsia="Calibri"/>
                <w:bCs/>
                <w:vertAlign w:val="superscript"/>
              </w:rPr>
              <w:t xml:space="preserve"> </w:t>
            </w:r>
            <w:r>
              <w:rPr>
                <w:rFonts w:eastAsia="Calibri"/>
                <w:bCs/>
                <w:vertAlign w:val="superscript"/>
              </w:rPr>
              <w:footnoteReference w:id="9"/>
            </w:r>
          </w:p>
        </w:tc>
        <w:tc>
          <w:tcPr>
            <w:tcW w:w="0" w:type="auto"/>
            <w:vAlign w:val="bottom"/>
          </w:tcPr>
          <w:p w:rsidR="00C50B3D" w:rsidRPr="009972B1" w:rsidP="0007049C" w14:paraId="0310B59A" w14:textId="77777777">
            <w:pPr>
              <w:jc w:val="right"/>
              <w:rPr>
                <w:rFonts w:eastAsia="Calibri"/>
              </w:rPr>
            </w:pPr>
            <w:r w:rsidRPr="009972B1">
              <w:rPr>
                <w:rFonts w:eastAsia="Calibri"/>
              </w:rPr>
              <w:t>375</w:t>
            </w:r>
          </w:p>
        </w:tc>
        <w:tc>
          <w:tcPr>
            <w:tcW w:w="0" w:type="auto"/>
            <w:vAlign w:val="bottom"/>
          </w:tcPr>
          <w:p w:rsidR="00C50B3D" w:rsidRPr="009972B1" w:rsidP="0007049C" w14:paraId="33137AA3" w14:textId="77777777">
            <w:pPr>
              <w:jc w:val="right"/>
              <w:rPr>
                <w:rFonts w:eastAsia="Calibri"/>
              </w:rPr>
            </w:pPr>
            <w:r w:rsidRPr="009972B1">
              <w:rPr>
                <w:rFonts w:eastAsia="Calibri"/>
              </w:rPr>
              <w:t>0.1</w:t>
            </w:r>
          </w:p>
        </w:tc>
        <w:tc>
          <w:tcPr>
            <w:tcW w:w="0" w:type="auto"/>
            <w:vAlign w:val="bottom"/>
          </w:tcPr>
          <w:p w:rsidR="00C50B3D" w:rsidRPr="009972B1" w:rsidP="0007049C" w14:paraId="0D5480B5" w14:textId="77777777">
            <w:pPr>
              <w:jc w:val="right"/>
              <w:rPr>
                <w:rFonts w:eastAsia="Calibri"/>
              </w:rPr>
            </w:pPr>
            <w:r w:rsidRPr="009972B1">
              <w:rPr>
                <w:rFonts w:eastAsia="Calibri"/>
              </w:rPr>
              <w:t>12 hrs.;</w:t>
            </w:r>
          </w:p>
          <w:p w:rsidR="00C50B3D" w:rsidRPr="009972B1" w:rsidP="0007049C" w14:paraId="7DDA60CA" w14:textId="77777777">
            <w:pPr>
              <w:jc w:val="right"/>
              <w:rPr>
                <w:rFonts w:eastAsia="Calibri"/>
              </w:rPr>
            </w:pPr>
            <w:r w:rsidRPr="009972B1">
              <w:rPr>
                <w:rFonts w:eastAsia="Calibri"/>
              </w:rPr>
              <w:t>$</w:t>
            </w:r>
            <w:r>
              <w:rPr>
                <w:rFonts w:eastAsia="Calibri"/>
              </w:rPr>
              <w:t>1,200</w:t>
            </w:r>
          </w:p>
        </w:tc>
        <w:tc>
          <w:tcPr>
            <w:tcW w:w="0" w:type="auto"/>
            <w:vAlign w:val="bottom"/>
          </w:tcPr>
          <w:p w:rsidR="00C50B3D" w:rsidRPr="009972B1" w:rsidP="0007049C" w14:paraId="3DC018B3" w14:textId="77777777">
            <w:pPr>
              <w:jc w:val="right"/>
              <w:rPr>
                <w:rFonts w:eastAsia="Calibri"/>
              </w:rPr>
            </w:pPr>
            <w:r w:rsidRPr="009972B1">
              <w:rPr>
                <w:rFonts w:eastAsia="Calibri"/>
              </w:rPr>
              <w:t>37.5</w:t>
            </w:r>
            <w:r>
              <w:rPr>
                <w:rFonts w:eastAsia="Calibri"/>
              </w:rPr>
              <w:t>0</w:t>
            </w:r>
          </w:p>
        </w:tc>
        <w:tc>
          <w:tcPr>
            <w:tcW w:w="0" w:type="auto"/>
            <w:vAlign w:val="bottom"/>
          </w:tcPr>
          <w:p w:rsidR="00C50B3D" w:rsidRPr="009972B1" w:rsidP="0007049C" w14:paraId="0D80537D" w14:textId="77777777">
            <w:pPr>
              <w:jc w:val="right"/>
              <w:rPr>
                <w:rFonts w:eastAsia="Calibri"/>
              </w:rPr>
            </w:pPr>
            <w:r w:rsidRPr="009972B1">
              <w:rPr>
                <w:rFonts w:eastAsia="Calibri"/>
              </w:rPr>
              <w:t>450 hrs.;</w:t>
            </w:r>
          </w:p>
          <w:p w:rsidR="00C50B3D" w:rsidRPr="009972B1" w:rsidP="0007049C" w14:paraId="0F0F8854" w14:textId="77777777">
            <w:pPr>
              <w:jc w:val="right"/>
              <w:rPr>
                <w:rFonts w:eastAsia="Calibri"/>
              </w:rPr>
            </w:pPr>
            <w:r w:rsidRPr="009972B1">
              <w:rPr>
                <w:rFonts w:eastAsia="Calibri"/>
              </w:rPr>
              <w:t>$</w:t>
            </w:r>
            <w:r>
              <w:rPr>
                <w:rFonts w:eastAsia="Calibri"/>
              </w:rPr>
              <w:t>45,000</w:t>
            </w:r>
          </w:p>
        </w:tc>
      </w:tr>
      <w:tr w14:paraId="46AB9281" w14:textId="77777777" w:rsidTr="0007049C">
        <w:tblPrEx>
          <w:tblW w:w="0" w:type="auto"/>
          <w:tblLook w:val="04A0"/>
        </w:tblPrEx>
        <w:trPr>
          <w:cantSplit/>
        </w:trPr>
        <w:tc>
          <w:tcPr>
            <w:tcW w:w="0" w:type="auto"/>
            <w:vAlign w:val="center"/>
          </w:tcPr>
          <w:p w:rsidR="00C50B3D" w:rsidRPr="009972B1" w:rsidP="0007049C" w14:paraId="764DF4E4" w14:textId="77777777">
            <w:pPr>
              <w:rPr>
                <w:rFonts w:eastAsia="Calibri"/>
              </w:rPr>
            </w:pPr>
            <w:r w:rsidRPr="009972B1">
              <w:rPr>
                <w:rFonts w:eastAsia="Calibri"/>
              </w:rPr>
              <w:t>Ind. Cons. Team Proposals and Reports on PIs and CAs ― Complex Facility</w:t>
            </w:r>
            <w:r>
              <w:rPr>
                <w:rFonts w:eastAsia="Calibri"/>
                <w:bCs/>
                <w:vertAlign w:val="superscript"/>
              </w:rPr>
              <w:footnoteReference w:id="10"/>
            </w:r>
          </w:p>
        </w:tc>
        <w:tc>
          <w:tcPr>
            <w:tcW w:w="0" w:type="auto"/>
            <w:vAlign w:val="bottom"/>
          </w:tcPr>
          <w:p w:rsidR="00C50B3D" w:rsidRPr="009972B1" w:rsidP="0007049C" w14:paraId="27B8CC56" w14:textId="77777777">
            <w:pPr>
              <w:jc w:val="right"/>
              <w:rPr>
                <w:rFonts w:eastAsia="Calibri"/>
              </w:rPr>
            </w:pPr>
            <w:r w:rsidRPr="009972B1">
              <w:rPr>
                <w:rFonts w:eastAsia="Calibri"/>
              </w:rPr>
              <w:t>375</w:t>
            </w:r>
          </w:p>
        </w:tc>
        <w:tc>
          <w:tcPr>
            <w:tcW w:w="0" w:type="auto"/>
            <w:vAlign w:val="bottom"/>
          </w:tcPr>
          <w:p w:rsidR="00C50B3D" w:rsidRPr="009972B1" w:rsidP="0007049C" w14:paraId="7783BC4E" w14:textId="77777777">
            <w:pPr>
              <w:jc w:val="right"/>
              <w:rPr>
                <w:rFonts w:eastAsia="Calibri"/>
              </w:rPr>
            </w:pPr>
            <w:r w:rsidRPr="009972B1">
              <w:rPr>
                <w:rFonts w:eastAsia="Calibri"/>
              </w:rPr>
              <w:t>0.1</w:t>
            </w:r>
          </w:p>
        </w:tc>
        <w:tc>
          <w:tcPr>
            <w:tcW w:w="0" w:type="auto"/>
            <w:vAlign w:val="bottom"/>
          </w:tcPr>
          <w:p w:rsidR="00C50B3D" w:rsidRPr="009972B1" w:rsidP="0007049C" w14:paraId="13DBFDF7" w14:textId="77777777">
            <w:pPr>
              <w:jc w:val="right"/>
              <w:rPr>
                <w:rFonts w:eastAsia="Calibri"/>
              </w:rPr>
            </w:pPr>
            <w:r w:rsidRPr="009972B1">
              <w:rPr>
                <w:rFonts w:eastAsia="Calibri"/>
              </w:rPr>
              <w:t xml:space="preserve">32.6 hrs.; </w:t>
            </w:r>
          </w:p>
          <w:p w:rsidR="00C50B3D" w:rsidRPr="009972B1" w:rsidP="0007049C" w14:paraId="79AAA97E" w14:textId="77777777">
            <w:pPr>
              <w:jc w:val="right"/>
              <w:rPr>
                <w:rFonts w:eastAsia="Calibri"/>
              </w:rPr>
            </w:pPr>
            <w:r w:rsidRPr="009972B1">
              <w:rPr>
                <w:rFonts w:eastAsia="Calibri"/>
              </w:rPr>
              <w:t>$</w:t>
            </w:r>
            <w:r>
              <w:rPr>
                <w:rFonts w:eastAsia="Calibri"/>
              </w:rPr>
              <w:t>3,260</w:t>
            </w:r>
          </w:p>
        </w:tc>
        <w:tc>
          <w:tcPr>
            <w:tcW w:w="0" w:type="auto"/>
            <w:vAlign w:val="bottom"/>
          </w:tcPr>
          <w:p w:rsidR="00C50B3D" w:rsidRPr="009972B1" w:rsidP="0007049C" w14:paraId="233552E4" w14:textId="77777777">
            <w:pPr>
              <w:jc w:val="right"/>
              <w:rPr>
                <w:rFonts w:eastAsia="Calibri"/>
              </w:rPr>
            </w:pPr>
            <w:r w:rsidRPr="009972B1">
              <w:rPr>
                <w:rFonts w:eastAsia="Calibri"/>
              </w:rPr>
              <w:t>37.5</w:t>
            </w:r>
            <w:r>
              <w:rPr>
                <w:rFonts w:eastAsia="Calibri"/>
              </w:rPr>
              <w:t>0</w:t>
            </w:r>
          </w:p>
        </w:tc>
        <w:tc>
          <w:tcPr>
            <w:tcW w:w="0" w:type="auto"/>
            <w:vAlign w:val="bottom"/>
          </w:tcPr>
          <w:p w:rsidR="00C50B3D" w:rsidRPr="009972B1" w:rsidP="0007049C" w14:paraId="4FB9C214" w14:textId="77777777">
            <w:pPr>
              <w:jc w:val="right"/>
              <w:rPr>
                <w:rFonts w:eastAsia="Calibri"/>
              </w:rPr>
            </w:pPr>
            <w:r w:rsidRPr="009972B1">
              <w:rPr>
                <w:rFonts w:eastAsia="Calibri"/>
              </w:rPr>
              <w:t>1,222.5</w:t>
            </w:r>
            <w:r>
              <w:rPr>
                <w:rFonts w:eastAsia="Calibri"/>
              </w:rPr>
              <w:t>0</w:t>
            </w:r>
            <w:r w:rsidRPr="009972B1">
              <w:rPr>
                <w:rFonts w:eastAsia="Calibri"/>
              </w:rPr>
              <w:t xml:space="preserve"> hrs.; </w:t>
            </w:r>
          </w:p>
          <w:p w:rsidR="00C50B3D" w:rsidRPr="009972B1" w:rsidP="0007049C" w14:paraId="24575D86" w14:textId="77777777">
            <w:pPr>
              <w:jc w:val="right"/>
              <w:rPr>
                <w:rFonts w:eastAsia="Calibri"/>
              </w:rPr>
            </w:pPr>
            <w:r w:rsidRPr="009972B1">
              <w:rPr>
                <w:rFonts w:eastAsia="Calibri"/>
              </w:rPr>
              <w:t>$</w:t>
            </w:r>
            <w:r>
              <w:rPr>
                <w:rFonts w:eastAsia="Calibri"/>
              </w:rPr>
              <w:t>122,250</w:t>
            </w:r>
          </w:p>
        </w:tc>
      </w:tr>
      <w:tr w14:paraId="5CAA61F3" w14:textId="77777777" w:rsidTr="0007049C">
        <w:tblPrEx>
          <w:tblW w:w="0" w:type="auto"/>
          <w:tblLook w:val="04A0"/>
        </w:tblPrEx>
        <w:trPr>
          <w:cantSplit/>
        </w:trPr>
        <w:tc>
          <w:tcPr>
            <w:tcW w:w="0" w:type="auto"/>
            <w:vAlign w:val="center"/>
          </w:tcPr>
          <w:p w:rsidR="00C50B3D" w:rsidRPr="009972B1" w:rsidP="0007049C" w14:paraId="3F203AE0" w14:textId="77777777">
            <w:pPr>
              <w:rPr>
                <w:rFonts w:eastAsia="Calibri"/>
              </w:rPr>
            </w:pPr>
            <w:r w:rsidRPr="009972B1">
              <w:rPr>
                <w:rFonts w:eastAsia="Calibri"/>
              </w:rPr>
              <w:t>Licensee’s Request for Exemption</w:t>
            </w:r>
          </w:p>
        </w:tc>
        <w:tc>
          <w:tcPr>
            <w:tcW w:w="0" w:type="auto"/>
            <w:vAlign w:val="bottom"/>
          </w:tcPr>
          <w:p w:rsidR="00C50B3D" w:rsidRPr="009972B1" w:rsidP="0007049C" w14:paraId="527F7F50" w14:textId="77777777">
            <w:pPr>
              <w:jc w:val="right"/>
              <w:rPr>
                <w:rFonts w:eastAsia="Calibri"/>
              </w:rPr>
            </w:pPr>
            <w:r w:rsidRPr="009972B1">
              <w:rPr>
                <w:rFonts w:eastAsia="Calibri"/>
              </w:rPr>
              <w:t>10</w:t>
            </w:r>
          </w:p>
        </w:tc>
        <w:tc>
          <w:tcPr>
            <w:tcW w:w="0" w:type="auto"/>
            <w:vAlign w:val="bottom"/>
          </w:tcPr>
          <w:p w:rsidR="00C50B3D" w:rsidRPr="009972B1" w:rsidP="0007049C" w14:paraId="0043F509" w14:textId="77777777">
            <w:pPr>
              <w:jc w:val="right"/>
              <w:rPr>
                <w:rFonts w:eastAsia="Calibri"/>
              </w:rPr>
            </w:pPr>
            <w:r w:rsidRPr="009972B1">
              <w:rPr>
                <w:rFonts w:eastAsia="Calibri"/>
              </w:rPr>
              <w:t>1</w:t>
            </w:r>
          </w:p>
        </w:tc>
        <w:tc>
          <w:tcPr>
            <w:tcW w:w="0" w:type="auto"/>
            <w:vAlign w:val="bottom"/>
          </w:tcPr>
          <w:p w:rsidR="00C50B3D" w:rsidRPr="009972B1" w:rsidP="0007049C" w14:paraId="4A1C0CFF" w14:textId="77777777">
            <w:pPr>
              <w:jc w:val="right"/>
              <w:rPr>
                <w:rFonts w:eastAsia="Calibri"/>
              </w:rPr>
            </w:pPr>
            <w:r w:rsidRPr="009972B1">
              <w:rPr>
                <w:rFonts w:eastAsia="Calibri"/>
              </w:rPr>
              <w:t>2 hrs.; $</w:t>
            </w:r>
            <w:r>
              <w:rPr>
                <w:rFonts w:eastAsia="Calibri"/>
              </w:rPr>
              <w:t>200</w:t>
            </w:r>
          </w:p>
        </w:tc>
        <w:tc>
          <w:tcPr>
            <w:tcW w:w="0" w:type="auto"/>
            <w:vAlign w:val="bottom"/>
          </w:tcPr>
          <w:p w:rsidR="00C50B3D" w:rsidRPr="009972B1" w:rsidP="0007049C" w14:paraId="312B6B5B" w14:textId="77777777">
            <w:pPr>
              <w:jc w:val="right"/>
              <w:rPr>
                <w:rFonts w:eastAsia="Calibri"/>
              </w:rPr>
            </w:pPr>
            <w:r w:rsidRPr="009972B1">
              <w:rPr>
                <w:rFonts w:eastAsia="Calibri"/>
              </w:rPr>
              <w:t>10</w:t>
            </w:r>
          </w:p>
        </w:tc>
        <w:tc>
          <w:tcPr>
            <w:tcW w:w="0" w:type="auto"/>
            <w:vAlign w:val="bottom"/>
          </w:tcPr>
          <w:p w:rsidR="00C50B3D" w:rsidRPr="009972B1" w:rsidP="0007049C" w14:paraId="69C24651" w14:textId="77777777">
            <w:pPr>
              <w:jc w:val="right"/>
              <w:rPr>
                <w:rFonts w:eastAsia="Calibri"/>
              </w:rPr>
            </w:pPr>
            <w:r w:rsidRPr="009972B1">
              <w:rPr>
                <w:rFonts w:eastAsia="Calibri"/>
              </w:rPr>
              <w:t>20 hrs.;</w:t>
            </w:r>
          </w:p>
          <w:p w:rsidR="00C50B3D" w:rsidRPr="009972B1" w:rsidP="0007049C" w14:paraId="5D107D79" w14:textId="77777777">
            <w:pPr>
              <w:jc w:val="right"/>
              <w:rPr>
                <w:rFonts w:eastAsia="Calibri"/>
              </w:rPr>
            </w:pPr>
            <w:r w:rsidRPr="009972B1">
              <w:rPr>
                <w:rFonts w:eastAsia="Calibri"/>
              </w:rPr>
              <w:t>$</w:t>
            </w:r>
            <w:r>
              <w:rPr>
                <w:rFonts w:eastAsia="Calibri"/>
              </w:rPr>
              <w:t>2,000</w:t>
            </w:r>
          </w:p>
        </w:tc>
      </w:tr>
      <w:tr w14:paraId="2A3B79CB" w14:textId="77777777" w:rsidTr="0007049C">
        <w:tblPrEx>
          <w:tblW w:w="0" w:type="auto"/>
          <w:tblLook w:val="04A0"/>
        </w:tblPrEx>
        <w:trPr>
          <w:cantSplit/>
        </w:trPr>
        <w:tc>
          <w:tcPr>
            <w:tcW w:w="0" w:type="auto"/>
            <w:vAlign w:val="center"/>
          </w:tcPr>
          <w:p w:rsidR="00C50B3D" w:rsidRPr="009972B1" w:rsidP="0007049C" w14:paraId="0F7C7CB3" w14:textId="77777777">
            <w:pPr>
              <w:rPr>
                <w:rFonts w:eastAsia="Calibri"/>
              </w:rPr>
            </w:pPr>
            <w:r w:rsidRPr="009972B1">
              <w:rPr>
                <w:rFonts w:eastAsia="Calibri"/>
              </w:rPr>
              <w:t>ODSP Document – Small Program</w:t>
            </w:r>
            <w:r>
              <w:rPr>
                <w:rFonts w:eastAsia="Calibri"/>
                <w:vertAlign w:val="superscript"/>
              </w:rPr>
              <w:footnoteReference w:id="11"/>
            </w:r>
          </w:p>
        </w:tc>
        <w:tc>
          <w:tcPr>
            <w:tcW w:w="0" w:type="auto"/>
            <w:vAlign w:val="bottom"/>
          </w:tcPr>
          <w:p w:rsidR="00C50B3D" w:rsidRPr="009972B1" w:rsidP="0007049C" w14:paraId="35C89534" w14:textId="77777777">
            <w:pPr>
              <w:jc w:val="right"/>
              <w:rPr>
                <w:rFonts w:eastAsia="Calibri"/>
              </w:rPr>
            </w:pPr>
            <w:r w:rsidRPr="009972B1">
              <w:rPr>
                <w:rFonts w:eastAsia="Calibri"/>
              </w:rPr>
              <w:t>180</w:t>
            </w:r>
          </w:p>
        </w:tc>
        <w:tc>
          <w:tcPr>
            <w:tcW w:w="0" w:type="auto"/>
            <w:vAlign w:val="bottom"/>
          </w:tcPr>
          <w:p w:rsidR="00C50B3D" w:rsidRPr="009972B1" w:rsidP="0007049C" w14:paraId="6B10ABE1" w14:textId="77777777">
            <w:pPr>
              <w:jc w:val="right"/>
              <w:rPr>
                <w:rFonts w:eastAsia="Calibri"/>
              </w:rPr>
            </w:pPr>
            <w:r w:rsidRPr="009972B1">
              <w:rPr>
                <w:rFonts w:eastAsia="Calibri"/>
              </w:rPr>
              <w:t>0.2</w:t>
            </w:r>
          </w:p>
        </w:tc>
        <w:tc>
          <w:tcPr>
            <w:tcW w:w="0" w:type="auto"/>
            <w:vAlign w:val="bottom"/>
          </w:tcPr>
          <w:p w:rsidR="00C50B3D" w:rsidRPr="009972B1" w:rsidP="0007049C" w14:paraId="799EB538" w14:textId="77777777">
            <w:pPr>
              <w:jc w:val="right"/>
              <w:rPr>
                <w:rFonts w:eastAsia="Calibri"/>
              </w:rPr>
            </w:pPr>
            <w:r w:rsidRPr="009972B1">
              <w:rPr>
                <w:rFonts w:eastAsia="Calibri"/>
              </w:rPr>
              <w:t>60 hrs.;</w:t>
            </w:r>
          </w:p>
          <w:p w:rsidR="00C50B3D" w:rsidRPr="009972B1" w:rsidP="0007049C" w14:paraId="589B277E" w14:textId="77777777">
            <w:pPr>
              <w:jc w:val="right"/>
              <w:rPr>
                <w:rFonts w:eastAsia="Calibri"/>
              </w:rPr>
            </w:pPr>
            <w:r w:rsidRPr="009972B1">
              <w:rPr>
                <w:rFonts w:eastAsia="Calibri"/>
              </w:rPr>
              <w:t>$</w:t>
            </w:r>
            <w:r>
              <w:rPr>
                <w:rFonts w:eastAsia="Calibri"/>
              </w:rPr>
              <w:t>6,000</w:t>
            </w:r>
          </w:p>
        </w:tc>
        <w:tc>
          <w:tcPr>
            <w:tcW w:w="0" w:type="auto"/>
            <w:vAlign w:val="bottom"/>
          </w:tcPr>
          <w:p w:rsidR="00C50B3D" w:rsidRPr="009972B1" w:rsidP="0007049C" w14:paraId="5346FA3E" w14:textId="77777777">
            <w:pPr>
              <w:jc w:val="right"/>
              <w:rPr>
                <w:rFonts w:eastAsia="Calibri"/>
              </w:rPr>
            </w:pPr>
            <w:r w:rsidRPr="009972B1">
              <w:rPr>
                <w:rFonts w:eastAsia="Calibri"/>
              </w:rPr>
              <w:t>36</w:t>
            </w:r>
          </w:p>
        </w:tc>
        <w:tc>
          <w:tcPr>
            <w:tcW w:w="0" w:type="auto"/>
            <w:vAlign w:val="bottom"/>
          </w:tcPr>
          <w:p w:rsidR="00C50B3D" w:rsidRPr="009972B1" w:rsidP="0007049C" w14:paraId="64FB04D2" w14:textId="77777777">
            <w:pPr>
              <w:jc w:val="right"/>
              <w:rPr>
                <w:rFonts w:eastAsia="Calibri"/>
              </w:rPr>
            </w:pPr>
            <w:r w:rsidRPr="009972B1">
              <w:rPr>
                <w:rFonts w:eastAsia="Calibri"/>
              </w:rPr>
              <w:t>2160 hrs.;</w:t>
            </w:r>
          </w:p>
          <w:p w:rsidR="00C50B3D" w:rsidRPr="009972B1" w:rsidP="0007049C" w14:paraId="0CF4E680" w14:textId="77777777">
            <w:pPr>
              <w:jc w:val="right"/>
              <w:rPr>
                <w:rFonts w:eastAsia="Calibri"/>
              </w:rPr>
            </w:pPr>
            <w:r w:rsidRPr="009972B1">
              <w:rPr>
                <w:rFonts w:eastAsia="Calibri"/>
              </w:rPr>
              <w:t>$</w:t>
            </w:r>
            <w:r>
              <w:rPr>
                <w:rFonts w:eastAsia="Calibri"/>
              </w:rPr>
              <w:t>216,000</w:t>
            </w:r>
          </w:p>
        </w:tc>
      </w:tr>
      <w:tr w14:paraId="665AF3E5" w14:textId="77777777" w:rsidTr="0007049C">
        <w:tblPrEx>
          <w:tblW w:w="0" w:type="auto"/>
          <w:tblLook w:val="04A0"/>
        </w:tblPrEx>
        <w:trPr>
          <w:cantSplit/>
        </w:trPr>
        <w:tc>
          <w:tcPr>
            <w:tcW w:w="0" w:type="auto"/>
            <w:vAlign w:val="center"/>
          </w:tcPr>
          <w:p w:rsidR="00C50B3D" w:rsidRPr="009972B1" w:rsidP="0007049C" w14:paraId="46BC2A8D" w14:textId="77777777">
            <w:pPr>
              <w:rPr>
                <w:rFonts w:eastAsia="Calibri"/>
              </w:rPr>
            </w:pPr>
            <w:r w:rsidRPr="009972B1">
              <w:rPr>
                <w:rFonts w:eastAsia="Calibri"/>
              </w:rPr>
              <w:t>ODSP Document – Large Program</w:t>
            </w:r>
            <w:r>
              <w:rPr>
                <w:rFonts w:eastAsia="Calibri"/>
                <w:vertAlign w:val="superscript"/>
              </w:rPr>
              <w:footnoteReference w:id="12"/>
            </w:r>
          </w:p>
        </w:tc>
        <w:tc>
          <w:tcPr>
            <w:tcW w:w="0" w:type="auto"/>
            <w:vAlign w:val="bottom"/>
          </w:tcPr>
          <w:p w:rsidR="00C50B3D" w:rsidRPr="009972B1" w:rsidP="0007049C" w14:paraId="3BB939D7" w14:textId="77777777">
            <w:pPr>
              <w:jc w:val="right"/>
              <w:rPr>
                <w:rFonts w:eastAsia="Calibri"/>
              </w:rPr>
            </w:pPr>
            <w:r w:rsidRPr="009972B1">
              <w:rPr>
                <w:rFonts w:eastAsia="Calibri"/>
              </w:rPr>
              <w:t>45</w:t>
            </w:r>
          </w:p>
        </w:tc>
        <w:tc>
          <w:tcPr>
            <w:tcW w:w="0" w:type="auto"/>
            <w:vAlign w:val="bottom"/>
          </w:tcPr>
          <w:p w:rsidR="00C50B3D" w:rsidRPr="009972B1" w:rsidP="0007049C" w14:paraId="4BECC60C" w14:textId="77777777">
            <w:pPr>
              <w:jc w:val="right"/>
              <w:rPr>
                <w:rFonts w:eastAsia="Calibri"/>
              </w:rPr>
            </w:pPr>
            <w:r w:rsidRPr="009972B1">
              <w:rPr>
                <w:rFonts w:eastAsia="Calibri"/>
              </w:rPr>
              <w:t>0.2</w:t>
            </w:r>
          </w:p>
        </w:tc>
        <w:tc>
          <w:tcPr>
            <w:tcW w:w="0" w:type="auto"/>
            <w:vAlign w:val="bottom"/>
          </w:tcPr>
          <w:p w:rsidR="00C50B3D" w:rsidRPr="009972B1" w:rsidP="0007049C" w14:paraId="55768523" w14:textId="77777777">
            <w:pPr>
              <w:jc w:val="right"/>
              <w:rPr>
                <w:rFonts w:eastAsia="Calibri"/>
              </w:rPr>
            </w:pPr>
            <w:r w:rsidRPr="009972B1">
              <w:rPr>
                <w:rFonts w:eastAsia="Calibri"/>
              </w:rPr>
              <w:t>120 hrs.;</w:t>
            </w:r>
          </w:p>
          <w:p w:rsidR="00C50B3D" w:rsidRPr="009972B1" w:rsidP="0007049C" w14:paraId="3EDE7432" w14:textId="77777777">
            <w:pPr>
              <w:jc w:val="right"/>
              <w:rPr>
                <w:rFonts w:eastAsia="Calibri"/>
              </w:rPr>
            </w:pPr>
            <w:r w:rsidRPr="009972B1">
              <w:rPr>
                <w:rFonts w:eastAsia="Calibri"/>
              </w:rPr>
              <w:t>$1</w:t>
            </w:r>
            <w:r>
              <w:rPr>
                <w:rFonts w:eastAsia="Calibri"/>
              </w:rPr>
              <w:t>2,000</w:t>
            </w:r>
          </w:p>
        </w:tc>
        <w:tc>
          <w:tcPr>
            <w:tcW w:w="0" w:type="auto"/>
            <w:vAlign w:val="bottom"/>
          </w:tcPr>
          <w:p w:rsidR="00C50B3D" w:rsidRPr="009972B1" w:rsidP="0007049C" w14:paraId="771C6BE4" w14:textId="77777777">
            <w:pPr>
              <w:jc w:val="right"/>
              <w:rPr>
                <w:rFonts w:eastAsia="Calibri"/>
              </w:rPr>
            </w:pPr>
            <w:r w:rsidRPr="009972B1">
              <w:rPr>
                <w:rFonts w:eastAsia="Calibri"/>
              </w:rPr>
              <w:t>9</w:t>
            </w:r>
          </w:p>
        </w:tc>
        <w:tc>
          <w:tcPr>
            <w:tcW w:w="0" w:type="auto"/>
            <w:vAlign w:val="bottom"/>
          </w:tcPr>
          <w:p w:rsidR="00C50B3D" w:rsidRPr="009972B1" w:rsidP="0007049C" w14:paraId="1863FFD8" w14:textId="77777777">
            <w:pPr>
              <w:jc w:val="right"/>
              <w:rPr>
                <w:rFonts w:eastAsia="Calibri"/>
              </w:rPr>
            </w:pPr>
            <w:r w:rsidRPr="009972B1">
              <w:rPr>
                <w:rFonts w:eastAsia="Calibri"/>
              </w:rPr>
              <w:t>1080 hrs.;</w:t>
            </w:r>
          </w:p>
          <w:p w:rsidR="00C50B3D" w:rsidRPr="009972B1" w:rsidP="0007049C" w14:paraId="4F5AB83E" w14:textId="77777777">
            <w:pPr>
              <w:jc w:val="right"/>
              <w:rPr>
                <w:rFonts w:eastAsia="Calibri"/>
              </w:rPr>
            </w:pPr>
            <w:r w:rsidRPr="009972B1">
              <w:rPr>
                <w:rFonts w:eastAsia="Calibri"/>
              </w:rPr>
              <w:t>$</w:t>
            </w:r>
            <w:r>
              <w:rPr>
                <w:rFonts w:eastAsia="Calibri"/>
              </w:rPr>
              <w:t>108,000</w:t>
            </w:r>
          </w:p>
        </w:tc>
      </w:tr>
      <w:tr w14:paraId="2D1F643D" w14:textId="77777777" w:rsidTr="0007049C">
        <w:tblPrEx>
          <w:tblW w:w="0" w:type="auto"/>
          <w:tblLook w:val="04A0"/>
        </w:tblPrEx>
        <w:trPr>
          <w:cantSplit/>
        </w:trPr>
        <w:tc>
          <w:tcPr>
            <w:tcW w:w="0" w:type="auto"/>
            <w:vAlign w:val="center"/>
          </w:tcPr>
          <w:p w:rsidR="00C50B3D" w:rsidRPr="009972B1" w:rsidP="0007049C" w14:paraId="4A4B7C12" w14:textId="77777777">
            <w:pPr>
              <w:rPr>
                <w:rFonts w:eastAsia="Calibri"/>
              </w:rPr>
            </w:pPr>
            <w:r w:rsidRPr="009972B1">
              <w:rPr>
                <w:rFonts w:eastAsia="Calibri"/>
              </w:rPr>
              <w:t>ODSP Document Revision</w:t>
            </w:r>
          </w:p>
        </w:tc>
        <w:tc>
          <w:tcPr>
            <w:tcW w:w="0" w:type="auto"/>
            <w:vAlign w:val="bottom"/>
          </w:tcPr>
          <w:p w:rsidR="00C50B3D" w:rsidRPr="009972B1" w:rsidP="0007049C" w14:paraId="4CE39D3F" w14:textId="77777777">
            <w:pPr>
              <w:jc w:val="right"/>
              <w:rPr>
                <w:rFonts w:eastAsia="Calibri"/>
              </w:rPr>
            </w:pPr>
            <w:r w:rsidRPr="009972B1">
              <w:rPr>
                <w:rFonts w:eastAsia="Calibri"/>
              </w:rPr>
              <w:t>225</w:t>
            </w:r>
          </w:p>
        </w:tc>
        <w:tc>
          <w:tcPr>
            <w:tcW w:w="0" w:type="auto"/>
            <w:vAlign w:val="bottom"/>
          </w:tcPr>
          <w:p w:rsidR="00C50B3D" w:rsidRPr="009972B1" w:rsidP="0007049C" w14:paraId="53146A81" w14:textId="77777777">
            <w:pPr>
              <w:jc w:val="right"/>
              <w:rPr>
                <w:rFonts w:eastAsia="Calibri"/>
              </w:rPr>
            </w:pPr>
            <w:r w:rsidRPr="009972B1">
              <w:rPr>
                <w:rFonts w:eastAsia="Calibri"/>
              </w:rPr>
              <w:t>1</w:t>
            </w:r>
          </w:p>
        </w:tc>
        <w:tc>
          <w:tcPr>
            <w:tcW w:w="0" w:type="auto"/>
            <w:vAlign w:val="bottom"/>
          </w:tcPr>
          <w:p w:rsidR="00C50B3D" w:rsidRPr="009972B1" w:rsidP="0007049C" w14:paraId="5146B0ED" w14:textId="77777777">
            <w:pPr>
              <w:jc w:val="right"/>
              <w:rPr>
                <w:rFonts w:eastAsia="Calibri"/>
              </w:rPr>
            </w:pPr>
            <w:r w:rsidRPr="009972B1">
              <w:rPr>
                <w:rFonts w:eastAsia="Calibri"/>
              </w:rPr>
              <w:t>6 hrs.;</w:t>
            </w:r>
          </w:p>
          <w:p w:rsidR="00C50B3D" w:rsidRPr="009972B1" w:rsidP="0007049C" w14:paraId="1FFE5AAD" w14:textId="77777777">
            <w:pPr>
              <w:jc w:val="right"/>
              <w:rPr>
                <w:rFonts w:eastAsia="Calibri"/>
              </w:rPr>
            </w:pPr>
            <w:r w:rsidRPr="009972B1">
              <w:rPr>
                <w:rFonts w:eastAsia="Calibri"/>
              </w:rPr>
              <w:t>$</w:t>
            </w:r>
            <w:r>
              <w:rPr>
                <w:rFonts w:eastAsia="Calibri"/>
              </w:rPr>
              <w:t>600</w:t>
            </w:r>
          </w:p>
        </w:tc>
        <w:tc>
          <w:tcPr>
            <w:tcW w:w="0" w:type="auto"/>
            <w:vAlign w:val="bottom"/>
          </w:tcPr>
          <w:p w:rsidR="00C50B3D" w:rsidRPr="009972B1" w:rsidP="0007049C" w14:paraId="7BE96BDF" w14:textId="77777777">
            <w:pPr>
              <w:jc w:val="right"/>
              <w:rPr>
                <w:rFonts w:eastAsia="Calibri"/>
              </w:rPr>
            </w:pPr>
            <w:r w:rsidRPr="009972B1">
              <w:rPr>
                <w:rFonts w:eastAsia="Calibri"/>
              </w:rPr>
              <w:t>225</w:t>
            </w:r>
          </w:p>
        </w:tc>
        <w:tc>
          <w:tcPr>
            <w:tcW w:w="0" w:type="auto"/>
            <w:vAlign w:val="bottom"/>
          </w:tcPr>
          <w:p w:rsidR="00C50B3D" w:rsidRPr="009972B1" w:rsidP="0007049C" w14:paraId="44DC3FB9" w14:textId="77777777">
            <w:pPr>
              <w:jc w:val="right"/>
              <w:rPr>
                <w:rFonts w:eastAsia="Calibri"/>
              </w:rPr>
            </w:pPr>
            <w:r w:rsidRPr="009972B1">
              <w:rPr>
                <w:rFonts w:eastAsia="Calibri"/>
              </w:rPr>
              <w:t>1350 hrs.;</w:t>
            </w:r>
          </w:p>
          <w:p w:rsidR="00C50B3D" w:rsidRPr="009972B1" w:rsidP="0007049C" w14:paraId="508583D5" w14:textId="77777777">
            <w:pPr>
              <w:jc w:val="right"/>
              <w:rPr>
                <w:rFonts w:eastAsia="Calibri"/>
              </w:rPr>
            </w:pPr>
            <w:r w:rsidRPr="009972B1">
              <w:rPr>
                <w:rFonts w:eastAsia="Calibri"/>
              </w:rPr>
              <w:t>$1</w:t>
            </w:r>
            <w:r>
              <w:rPr>
                <w:rFonts w:eastAsia="Calibri"/>
              </w:rPr>
              <w:t>35,000</w:t>
            </w:r>
          </w:p>
        </w:tc>
      </w:tr>
      <w:tr w14:paraId="6A7612E3" w14:textId="77777777" w:rsidTr="0007049C">
        <w:tblPrEx>
          <w:tblW w:w="0" w:type="auto"/>
          <w:tblLook w:val="04A0"/>
        </w:tblPrEx>
        <w:trPr>
          <w:cantSplit/>
        </w:trPr>
        <w:tc>
          <w:tcPr>
            <w:tcW w:w="0" w:type="auto"/>
            <w:vAlign w:val="center"/>
          </w:tcPr>
          <w:p w:rsidR="00C50B3D" w:rsidRPr="009972B1" w:rsidP="0007049C" w14:paraId="2855342E" w14:textId="77777777">
            <w:pPr>
              <w:rPr>
                <w:rFonts w:eastAsia="Calibri"/>
              </w:rPr>
            </w:pPr>
            <w:r w:rsidRPr="009972B1">
              <w:rPr>
                <w:rFonts w:eastAsia="Calibri"/>
              </w:rPr>
              <w:t>ODSP Qualification Statement for External Audit or Peer Review</w:t>
            </w:r>
          </w:p>
        </w:tc>
        <w:tc>
          <w:tcPr>
            <w:tcW w:w="0" w:type="auto"/>
            <w:vAlign w:val="bottom"/>
          </w:tcPr>
          <w:p w:rsidR="00C50B3D" w:rsidRPr="009972B1" w:rsidP="0007049C" w14:paraId="67BF8F24" w14:textId="77777777">
            <w:pPr>
              <w:jc w:val="right"/>
              <w:rPr>
                <w:rFonts w:eastAsia="Calibri"/>
              </w:rPr>
            </w:pPr>
            <w:r w:rsidRPr="009972B1">
              <w:rPr>
                <w:rFonts w:eastAsia="Calibri"/>
              </w:rPr>
              <w:t>225</w:t>
            </w:r>
          </w:p>
        </w:tc>
        <w:tc>
          <w:tcPr>
            <w:tcW w:w="0" w:type="auto"/>
            <w:vAlign w:val="bottom"/>
          </w:tcPr>
          <w:p w:rsidR="00C50B3D" w:rsidRPr="009972B1" w:rsidP="0007049C" w14:paraId="3AE34E64" w14:textId="77777777">
            <w:pPr>
              <w:jc w:val="right"/>
              <w:rPr>
                <w:rFonts w:eastAsia="Calibri"/>
              </w:rPr>
            </w:pPr>
            <w:r w:rsidRPr="009972B1">
              <w:rPr>
                <w:rFonts w:eastAsia="Calibri"/>
              </w:rPr>
              <w:t>0.2</w:t>
            </w:r>
          </w:p>
        </w:tc>
        <w:tc>
          <w:tcPr>
            <w:tcW w:w="0" w:type="auto"/>
            <w:vAlign w:val="bottom"/>
          </w:tcPr>
          <w:p w:rsidR="00C50B3D" w:rsidRPr="009972B1" w:rsidP="0007049C" w14:paraId="3D4324E6" w14:textId="77777777">
            <w:pPr>
              <w:jc w:val="right"/>
              <w:rPr>
                <w:rFonts w:eastAsia="Calibri"/>
              </w:rPr>
            </w:pPr>
            <w:r w:rsidRPr="009972B1">
              <w:rPr>
                <w:rFonts w:eastAsia="Calibri"/>
              </w:rPr>
              <w:t>8 hrs.;</w:t>
            </w:r>
          </w:p>
          <w:p w:rsidR="00C50B3D" w:rsidRPr="009972B1" w:rsidP="0007049C" w14:paraId="53EB6BD6" w14:textId="77777777">
            <w:pPr>
              <w:jc w:val="right"/>
              <w:rPr>
                <w:rFonts w:eastAsia="Calibri"/>
              </w:rPr>
            </w:pPr>
            <w:r w:rsidRPr="009972B1">
              <w:rPr>
                <w:rFonts w:eastAsia="Calibri"/>
              </w:rPr>
              <w:t>$</w:t>
            </w:r>
            <w:r>
              <w:rPr>
                <w:rFonts w:eastAsia="Calibri"/>
              </w:rPr>
              <w:t>800</w:t>
            </w:r>
          </w:p>
        </w:tc>
        <w:tc>
          <w:tcPr>
            <w:tcW w:w="0" w:type="auto"/>
            <w:vAlign w:val="bottom"/>
          </w:tcPr>
          <w:p w:rsidR="00C50B3D" w:rsidRPr="009972B1" w:rsidP="0007049C" w14:paraId="0994DA3F" w14:textId="77777777">
            <w:pPr>
              <w:jc w:val="right"/>
              <w:rPr>
                <w:rFonts w:eastAsia="Calibri"/>
              </w:rPr>
            </w:pPr>
            <w:r w:rsidRPr="009972B1">
              <w:rPr>
                <w:rFonts w:eastAsia="Calibri"/>
              </w:rPr>
              <w:t>45</w:t>
            </w:r>
          </w:p>
        </w:tc>
        <w:tc>
          <w:tcPr>
            <w:tcW w:w="0" w:type="auto"/>
            <w:vAlign w:val="bottom"/>
          </w:tcPr>
          <w:p w:rsidR="00C50B3D" w:rsidRPr="009972B1" w:rsidP="0007049C" w14:paraId="2E854CC6" w14:textId="77777777">
            <w:pPr>
              <w:jc w:val="right"/>
              <w:rPr>
                <w:rFonts w:eastAsia="Calibri"/>
              </w:rPr>
            </w:pPr>
            <w:r w:rsidRPr="009972B1">
              <w:rPr>
                <w:rFonts w:eastAsia="Calibri"/>
              </w:rPr>
              <w:t>360 hrs</w:t>
            </w:r>
            <w:r>
              <w:rPr>
                <w:rFonts w:eastAsia="Calibri"/>
              </w:rPr>
              <w:t>.</w:t>
            </w:r>
            <w:r w:rsidRPr="009972B1">
              <w:rPr>
                <w:rFonts w:eastAsia="Calibri"/>
              </w:rPr>
              <w:t>;</w:t>
            </w:r>
          </w:p>
          <w:p w:rsidR="00C50B3D" w:rsidRPr="009972B1" w:rsidP="0007049C" w14:paraId="4ADF1003" w14:textId="77777777">
            <w:pPr>
              <w:jc w:val="right"/>
              <w:rPr>
                <w:rFonts w:eastAsia="Calibri"/>
              </w:rPr>
            </w:pPr>
            <w:r w:rsidRPr="009972B1">
              <w:rPr>
                <w:rFonts w:eastAsia="Calibri"/>
              </w:rPr>
              <w:t>$3</w:t>
            </w:r>
            <w:r>
              <w:rPr>
                <w:rFonts w:eastAsia="Calibri"/>
              </w:rPr>
              <w:t>6,000</w:t>
            </w:r>
          </w:p>
        </w:tc>
      </w:tr>
      <w:tr w14:paraId="7E91E4C0" w14:textId="77777777" w:rsidTr="0007049C">
        <w:tblPrEx>
          <w:tblW w:w="0" w:type="auto"/>
          <w:tblLook w:val="04A0"/>
        </w:tblPrEx>
        <w:trPr>
          <w:cantSplit/>
        </w:trPr>
        <w:tc>
          <w:tcPr>
            <w:tcW w:w="0" w:type="auto"/>
            <w:vAlign w:val="center"/>
          </w:tcPr>
          <w:p w:rsidR="00C50B3D" w:rsidRPr="009972B1" w:rsidP="0007049C" w14:paraId="4EBF7976" w14:textId="77777777">
            <w:pPr>
              <w:rPr>
                <w:rFonts w:eastAsia="Calibri"/>
              </w:rPr>
            </w:pPr>
            <w:r w:rsidRPr="009972B1">
              <w:rPr>
                <w:rFonts w:eastAsia="Calibri"/>
              </w:rPr>
              <w:t>ODSP External Audit or Peer Review Report ― Small Program</w:t>
            </w:r>
            <w:r w:rsidRPr="009972B1">
              <w:rPr>
                <w:rFonts w:eastAsia="Calibri"/>
                <w:vertAlign w:val="superscript"/>
              </w:rPr>
              <w:t xml:space="preserve"> </w:t>
            </w:r>
            <w:r>
              <w:rPr>
                <w:rFonts w:eastAsia="Calibri"/>
                <w:vertAlign w:val="superscript"/>
              </w:rPr>
              <w:footnoteReference w:id="13"/>
            </w:r>
          </w:p>
        </w:tc>
        <w:tc>
          <w:tcPr>
            <w:tcW w:w="0" w:type="auto"/>
            <w:vAlign w:val="bottom"/>
          </w:tcPr>
          <w:p w:rsidR="00C50B3D" w:rsidRPr="009972B1" w:rsidP="0007049C" w14:paraId="22A38C65" w14:textId="77777777">
            <w:pPr>
              <w:jc w:val="right"/>
              <w:rPr>
                <w:rFonts w:eastAsia="Calibri"/>
              </w:rPr>
            </w:pPr>
            <w:r w:rsidRPr="009972B1">
              <w:rPr>
                <w:rFonts w:eastAsia="Calibri"/>
              </w:rPr>
              <w:t>180</w:t>
            </w:r>
          </w:p>
        </w:tc>
        <w:tc>
          <w:tcPr>
            <w:tcW w:w="0" w:type="auto"/>
            <w:vAlign w:val="bottom"/>
          </w:tcPr>
          <w:p w:rsidR="00C50B3D" w:rsidRPr="009972B1" w:rsidP="0007049C" w14:paraId="774DC113" w14:textId="77777777">
            <w:pPr>
              <w:jc w:val="right"/>
              <w:rPr>
                <w:rFonts w:eastAsia="Calibri"/>
              </w:rPr>
            </w:pPr>
            <w:r w:rsidRPr="009972B1">
              <w:rPr>
                <w:rFonts w:eastAsia="Calibri"/>
              </w:rPr>
              <w:t>0.2</w:t>
            </w:r>
          </w:p>
        </w:tc>
        <w:tc>
          <w:tcPr>
            <w:tcW w:w="0" w:type="auto"/>
            <w:vAlign w:val="bottom"/>
          </w:tcPr>
          <w:p w:rsidR="00C50B3D" w:rsidRPr="009972B1" w:rsidP="0007049C" w14:paraId="7CF4F38E" w14:textId="77777777">
            <w:pPr>
              <w:jc w:val="right"/>
              <w:rPr>
                <w:rFonts w:eastAsia="Calibri"/>
              </w:rPr>
            </w:pPr>
            <w:r w:rsidRPr="009972B1">
              <w:rPr>
                <w:rFonts w:eastAsia="Calibri"/>
              </w:rPr>
              <w:t>62 hrs.;</w:t>
            </w:r>
          </w:p>
          <w:p w:rsidR="00C50B3D" w:rsidRPr="009972B1" w:rsidP="0007049C" w14:paraId="5C307FF3" w14:textId="77777777">
            <w:pPr>
              <w:jc w:val="right"/>
              <w:rPr>
                <w:rFonts w:eastAsia="Calibri"/>
              </w:rPr>
            </w:pPr>
            <w:r w:rsidRPr="009972B1">
              <w:rPr>
                <w:rFonts w:eastAsia="Calibri"/>
              </w:rPr>
              <w:t>$</w:t>
            </w:r>
            <w:r>
              <w:rPr>
                <w:rFonts w:eastAsia="Calibri"/>
              </w:rPr>
              <w:t>6,200</w:t>
            </w:r>
          </w:p>
        </w:tc>
        <w:tc>
          <w:tcPr>
            <w:tcW w:w="0" w:type="auto"/>
            <w:vAlign w:val="bottom"/>
          </w:tcPr>
          <w:p w:rsidR="00C50B3D" w:rsidRPr="009972B1" w:rsidP="0007049C" w14:paraId="4BA986BC" w14:textId="77777777">
            <w:pPr>
              <w:jc w:val="right"/>
              <w:rPr>
                <w:rFonts w:eastAsia="Calibri"/>
              </w:rPr>
            </w:pPr>
            <w:r w:rsidRPr="009972B1">
              <w:rPr>
                <w:rFonts w:eastAsia="Calibri"/>
              </w:rPr>
              <w:t>36</w:t>
            </w:r>
          </w:p>
        </w:tc>
        <w:tc>
          <w:tcPr>
            <w:tcW w:w="0" w:type="auto"/>
            <w:vAlign w:val="bottom"/>
          </w:tcPr>
          <w:p w:rsidR="00C50B3D" w:rsidRPr="009972B1" w:rsidP="0007049C" w14:paraId="41A2C4FF" w14:textId="77777777">
            <w:pPr>
              <w:jc w:val="right"/>
              <w:rPr>
                <w:rFonts w:eastAsia="Calibri"/>
              </w:rPr>
            </w:pPr>
            <w:r w:rsidRPr="009972B1">
              <w:rPr>
                <w:rFonts w:eastAsia="Calibri"/>
              </w:rPr>
              <w:t>2232 hrs.;</w:t>
            </w:r>
          </w:p>
          <w:p w:rsidR="00C50B3D" w:rsidRPr="009972B1" w:rsidP="0007049C" w14:paraId="1C6C374A" w14:textId="77777777">
            <w:pPr>
              <w:jc w:val="right"/>
              <w:rPr>
                <w:rFonts w:eastAsia="Calibri"/>
              </w:rPr>
            </w:pPr>
            <w:r w:rsidRPr="009972B1">
              <w:rPr>
                <w:rFonts w:eastAsia="Calibri"/>
              </w:rPr>
              <w:t>$</w:t>
            </w:r>
            <w:r>
              <w:rPr>
                <w:rFonts w:eastAsia="Calibri"/>
              </w:rPr>
              <w:t>223,200</w:t>
            </w:r>
          </w:p>
        </w:tc>
      </w:tr>
      <w:tr w14:paraId="003DAAB9" w14:textId="77777777" w:rsidTr="0007049C">
        <w:tblPrEx>
          <w:tblW w:w="0" w:type="auto"/>
          <w:tblLook w:val="04A0"/>
        </w:tblPrEx>
        <w:trPr>
          <w:cantSplit/>
        </w:trPr>
        <w:tc>
          <w:tcPr>
            <w:tcW w:w="0" w:type="auto"/>
            <w:vAlign w:val="center"/>
          </w:tcPr>
          <w:p w:rsidR="00C50B3D" w:rsidRPr="009972B1" w:rsidP="0007049C" w14:paraId="3E0195E8" w14:textId="77777777">
            <w:pPr>
              <w:rPr>
                <w:rFonts w:eastAsia="Calibri"/>
              </w:rPr>
            </w:pPr>
            <w:r w:rsidRPr="009972B1">
              <w:rPr>
                <w:rFonts w:eastAsia="Calibri"/>
              </w:rPr>
              <w:t>ODSP External Audit or Peer Review Report ― Large Program</w:t>
            </w:r>
            <w:r>
              <w:rPr>
                <w:rFonts w:eastAsia="Calibri"/>
                <w:vertAlign w:val="superscript"/>
              </w:rPr>
              <w:footnoteReference w:id="14"/>
            </w:r>
          </w:p>
        </w:tc>
        <w:tc>
          <w:tcPr>
            <w:tcW w:w="0" w:type="auto"/>
            <w:vAlign w:val="bottom"/>
          </w:tcPr>
          <w:p w:rsidR="00C50B3D" w:rsidRPr="009972B1" w:rsidP="0007049C" w14:paraId="5DE0BE5F" w14:textId="77777777">
            <w:pPr>
              <w:jc w:val="right"/>
              <w:rPr>
                <w:rFonts w:eastAsia="Calibri"/>
              </w:rPr>
            </w:pPr>
            <w:r w:rsidRPr="009972B1">
              <w:rPr>
                <w:rFonts w:eastAsia="Calibri"/>
              </w:rPr>
              <w:t>45</w:t>
            </w:r>
          </w:p>
        </w:tc>
        <w:tc>
          <w:tcPr>
            <w:tcW w:w="0" w:type="auto"/>
            <w:vAlign w:val="bottom"/>
          </w:tcPr>
          <w:p w:rsidR="00C50B3D" w:rsidRPr="009972B1" w:rsidP="0007049C" w14:paraId="11F41B3B" w14:textId="77777777">
            <w:pPr>
              <w:jc w:val="right"/>
              <w:rPr>
                <w:rFonts w:eastAsia="Calibri"/>
              </w:rPr>
            </w:pPr>
            <w:r w:rsidRPr="009972B1">
              <w:rPr>
                <w:rFonts w:eastAsia="Calibri"/>
              </w:rPr>
              <w:t>0.2</w:t>
            </w:r>
          </w:p>
        </w:tc>
        <w:tc>
          <w:tcPr>
            <w:tcW w:w="0" w:type="auto"/>
            <w:vAlign w:val="bottom"/>
          </w:tcPr>
          <w:p w:rsidR="00C50B3D" w:rsidRPr="009972B1" w:rsidP="0007049C" w14:paraId="5CC55C4E" w14:textId="77777777">
            <w:pPr>
              <w:jc w:val="right"/>
              <w:rPr>
                <w:rFonts w:eastAsia="Calibri"/>
              </w:rPr>
            </w:pPr>
            <w:r w:rsidRPr="009972B1">
              <w:rPr>
                <w:rFonts w:eastAsia="Calibri"/>
              </w:rPr>
              <w:t>242 hrs.;</w:t>
            </w:r>
          </w:p>
          <w:p w:rsidR="00C50B3D" w:rsidRPr="009972B1" w:rsidP="0007049C" w14:paraId="1A730D2E" w14:textId="77777777">
            <w:pPr>
              <w:jc w:val="right"/>
              <w:rPr>
                <w:rFonts w:eastAsia="Calibri"/>
              </w:rPr>
            </w:pPr>
            <w:r w:rsidRPr="009972B1">
              <w:rPr>
                <w:rFonts w:eastAsia="Calibri"/>
              </w:rPr>
              <w:t>$</w:t>
            </w:r>
            <w:r>
              <w:rPr>
                <w:rFonts w:eastAsia="Calibri"/>
              </w:rPr>
              <w:t>24,200</w:t>
            </w:r>
          </w:p>
        </w:tc>
        <w:tc>
          <w:tcPr>
            <w:tcW w:w="0" w:type="auto"/>
            <w:vAlign w:val="bottom"/>
          </w:tcPr>
          <w:p w:rsidR="00C50B3D" w:rsidRPr="009972B1" w:rsidP="0007049C" w14:paraId="4ACD6651" w14:textId="77777777">
            <w:pPr>
              <w:jc w:val="right"/>
              <w:rPr>
                <w:rFonts w:eastAsia="Calibri"/>
              </w:rPr>
            </w:pPr>
            <w:r w:rsidRPr="009972B1">
              <w:rPr>
                <w:rFonts w:eastAsia="Calibri"/>
              </w:rPr>
              <w:t>9</w:t>
            </w:r>
          </w:p>
        </w:tc>
        <w:tc>
          <w:tcPr>
            <w:tcW w:w="0" w:type="auto"/>
            <w:vAlign w:val="bottom"/>
          </w:tcPr>
          <w:p w:rsidR="00C50B3D" w:rsidRPr="009972B1" w:rsidP="0007049C" w14:paraId="44DB0BA4" w14:textId="77777777">
            <w:pPr>
              <w:jc w:val="right"/>
              <w:rPr>
                <w:rFonts w:eastAsia="Calibri"/>
              </w:rPr>
            </w:pPr>
            <w:r w:rsidRPr="009972B1">
              <w:rPr>
                <w:rFonts w:eastAsia="Calibri"/>
              </w:rPr>
              <w:t>2178 hrs.;</w:t>
            </w:r>
          </w:p>
          <w:p w:rsidR="00C50B3D" w:rsidRPr="009972B1" w:rsidP="0007049C" w14:paraId="225A60BB" w14:textId="77777777">
            <w:pPr>
              <w:jc w:val="right"/>
              <w:rPr>
                <w:rFonts w:eastAsia="Calibri"/>
              </w:rPr>
            </w:pPr>
            <w:r w:rsidRPr="009972B1">
              <w:rPr>
                <w:rFonts w:eastAsia="Calibri"/>
              </w:rPr>
              <w:t>$</w:t>
            </w:r>
            <w:r>
              <w:rPr>
                <w:rFonts w:eastAsia="Calibri"/>
              </w:rPr>
              <w:t>217,800</w:t>
            </w:r>
          </w:p>
        </w:tc>
      </w:tr>
      <w:tr w14:paraId="1171346D" w14:textId="77777777" w:rsidTr="0007049C">
        <w:tblPrEx>
          <w:tblW w:w="0" w:type="auto"/>
          <w:tblLook w:val="04A0"/>
        </w:tblPrEx>
        <w:trPr>
          <w:cantSplit/>
        </w:trPr>
        <w:tc>
          <w:tcPr>
            <w:tcW w:w="0" w:type="auto"/>
            <w:vAlign w:val="center"/>
          </w:tcPr>
          <w:p w:rsidR="00C50B3D" w:rsidRPr="009972B1" w:rsidP="0007049C" w14:paraId="58CB24F1" w14:textId="77777777">
            <w:pPr>
              <w:rPr>
                <w:rFonts w:eastAsia="Calibri"/>
              </w:rPr>
            </w:pPr>
            <w:r w:rsidRPr="009972B1">
              <w:rPr>
                <w:rFonts w:eastAsia="Calibri"/>
              </w:rPr>
              <w:t>ODSP Request for Extension of Time</w:t>
            </w:r>
          </w:p>
        </w:tc>
        <w:tc>
          <w:tcPr>
            <w:tcW w:w="0" w:type="auto"/>
            <w:vAlign w:val="bottom"/>
          </w:tcPr>
          <w:p w:rsidR="00C50B3D" w:rsidRPr="009972B1" w:rsidP="0007049C" w14:paraId="04551210" w14:textId="77777777">
            <w:pPr>
              <w:jc w:val="right"/>
              <w:rPr>
                <w:rFonts w:eastAsia="Calibri"/>
              </w:rPr>
            </w:pPr>
            <w:r w:rsidRPr="009972B1">
              <w:rPr>
                <w:rFonts w:eastAsia="Calibri"/>
              </w:rPr>
              <w:t>5</w:t>
            </w:r>
          </w:p>
        </w:tc>
        <w:tc>
          <w:tcPr>
            <w:tcW w:w="0" w:type="auto"/>
            <w:vAlign w:val="bottom"/>
          </w:tcPr>
          <w:p w:rsidR="00C50B3D" w:rsidRPr="009972B1" w:rsidP="0007049C" w14:paraId="4EA2AFE0" w14:textId="77777777">
            <w:pPr>
              <w:jc w:val="right"/>
              <w:rPr>
                <w:rFonts w:eastAsia="Calibri"/>
              </w:rPr>
            </w:pPr>
            <w:r w:rsidRPr="009972B1">
              <w:rPr>
                <w:rFonts w:eastAsia="Calibri"/>
              </w:rPr>
              <w:t>1</w:t>
            </w:r>
          </w:p>
        </w:tc>
        <w:tc>
          <w:tcPr>
            <w:tcW w:w="0" w:type="auto"/>
            <w:vAlign w:val="bottom"/>
          </w:tcPr>
          <w:p w:rsidR="00C50B3D" w:rsidRPr="009972B1" w:rsidP="0007049C" w14:paraId="524209D4" w14:textId="77777777">
            <w:pPr>
              <w:jc w:val="right"/>
              <w:rPr>
                <w:rFonts w:eastAsia="Calibri"/>
              </w:rPr>
            </w:pPr>
            <w:r w:rsidRPr="009972B1">
              <w:rPr>
                <w:rFonts w:eastAsia="Calibri"/>
              </w:rPr>
              <w:t>4 hrs.;</w:t>
            </w:r>
          </w:p>
          <w:p w:rsidR="00C50B3D" w:rsidRPr="009972B1" w:rsidP="0007049C" w14:paraId="4A7FE19B" w14:textId="77777777">
            <w:pPr>
              <w:jc w:val="right"/>
              <w:rPr>
                <w:rFonts w:eastAsia="Calibri"/>
              </w:rPr>
            </w:pPr>
            <w:r w:rsidRPr="009972B1">
              <w:rPr>
                <w:rFonts w:eastAsia="Calibri"/>
              </w:rPr>
              <w:t>$</w:t>
            </w:r>
            <w:r>
              <w:rPr>
                <w:rFonts w:eastAsia="Calibri"/>
              </w:rPr>
              <w:t>400</w:t>
            </w:r>
          </w:p>
        </w:tc>
        <w:tc>
          <w:tcPr>
            <w:tcW w:w="0" w:type="auto"/>
            <w:vAlign w:val="bottom"/>
          </w:tcPr>
          <w:p w:rsidR="00C50B3D" w:rsidRPr="009972B1" w:rsidP="0007049C" w14:paraId="26FEDE1D" w14:textId="77777777">
            <w:pPr>
              <w:jc w:val="right"/>
              <w:rPr>
                <w:rFonts w:eastAsia="Calibri"/>
              </w:rPr>
            </w:pPr>
            <w:r w:rsidRPr="009972B1">
              <w:rPr>
                <w:rFonts w:eastAsia="Calibri"/>
              </w:rPr>
              <w:t>5</w:t>
            </w:r>
          </w:p>
        </w:tc>
        <w:tc>
          <w:tcPr>
            <w:tcW w:w="0" w:type="auto"/>
            <w:vAlign w:val="bottom"/>
          </w:tcPr>
          <w:p w:rsidR="00C50B3D" w:rsidRPr="009972B1" w:rsidP="0007049C" w14:paraId="1A9BBA1B" w14:textId="77777777">
            <w:pPr>
              <w:jc w:val="right"/>
              <w:rPr>
                <w:rFonts w:eastAsia="Calibri"/>
              </w:rPr>
            </w:pPr>
            <w:r w:rsidRPr="009972B1">
              <w:rPr>
                <w:rFonts w:eastAsia="Calibri"/>
              </w:rPr>
              <w:t>20 hrs.;</w:t>
            </w:r>
          </w:p>
          <w:p w:rsidR="00C50B3D" w:rsidRPr="009972B1" w:rsidP="0007049C" w14:paraId="633F60CB" w14:textId="77777777">
            <w:pPr>
              <w:jc w:val="right"/>
              <w:rPr>
                <w:rFonts w:eastAsia="Calibri"/>
              </w:rPr>
            </w:pPr>
            <w:r w:rsidRPr="009972B1">
              <w:rPr>
                <w:rFonts w:eastAsia="Calibri"/>
              </w:rPr>
              <w:t>$</w:t>
            </w:r>
            <w:r>
              <w:rPr>
                <w:rFonts w:eastAsia="Calibri"/>
              </w:rPr>
              <w:t>2,000</w:t>
            </w:r>
          </w:p>
        </w:tc>
      </w:tr>
      <w:tr w14:paraId="70E9B3BA" w14:textId="77777777" w:rsidTr="0007049C">
        <w:tblPrEx>
          <w:tblW w:w="0" w:type="auto"/>
          <w:tblLook w:val="04A0"/>
        </w:tblPrEx>
        <w:trPr>
          <w:cantSplit/>
        </w:trPr>
        <w:tc>
          <w:tcPr>
            <w:tcW w:w="0" w:type="auto"/>
            <w:vAlign w:val="center"/>
          </w:tcPr>
          <w:p w:rsidR="00C50B3D" w:rsidRPr="009972B1" w:rsidP="0007049C" w14:paraId="3EF4E38F" w14:textId="77777777">
            <w:pPr>
              <w:rPr>
                <w:rFonts w:eastAsia="Calibri"/>
                <w:b/>
                <w:bCs/>
              </w:rPr>
            </w:pPr>
            <w:r w:rsidRPr="009972B1">
              <w:rPr>
                <w:rFonts w:eastAsia="Calibri"/>
                <w:b/>
                <w:bCs/>
              </w:rPr>
              <w:t>Total Hours and Costs</w:t>
            </w:r>
          </w:p>
        </w:tc>
        <w:tc>
          <w:tcPr>
            <w:tcW w:w="0" w:type="auto"/>
            <w:vAlign w:val="bottom"/>
          </w:tcPr>
          <w:p w:rsidR="00C50B3D" w:rsidRPr="009972B1" w:rsidP="0007049C" w14:paraId="53CAB3FF" w14:textId="77777777">
            <w:pPr>
              <w:jc w:val="right"/>
              <w:rPr>
                <w:rFonts w:eastAsia="Calibri"/>
              </w:rPr>
            </w:pPr>
            <w:r w:rsidRPr="009972B1">
              <w:rPr>
                <w:rFonts w:eastAsia="Calibri"/>
              </w:rPr>
              <w:t>1730</w:t>
            </w:r>
          </w:p>
        </w:tc>
        <w:tc>
          <w:tcPr>
            <w:tcW w:w="0" w:type="auto"/>
            <w:vAlign w:val="bottom"/>
          </w:tcPr>
          <w:p w:rsidR="00C50B3D" w:rsidRPr="009972B1" w:rsidP="0007049C" w14:paraId="22682FAE" w14:textId="77777777">
            <w:pPr>
              <w:jc w:val="right"/>
              <w:rPr>
                <w:rFonts w:eastAsia="Calibri"/>
                <w:b/>
                <w:bCs/>
              </w:rPr>
            </w:pPr>
            <w:r w:rsidRPr="009972B1">
              <w:rPr>
                <w:rFonts w:eastAsia="Calibri"/>
                <w:b/>
                <w:bCs/>
              </w:rPr>
              <w:t>―</w:t>
            </w:r>
          </w:p>
        </w:tc>
        <w:tc>
          <w:tcPr>
            <w:tcW w:w="0" w:type="auto"/>
            <w:vAlign w:val="bottom"/>
          </w:tcPr>
          <w:p w:rsidR="00C50B3D" w:rsidRPr="009972B1" w:rsidP="0007049C" w14:paraId="11F9EB39" w14:textId="77777777">
            <w:pPr>
              <w:jc w:val="right"/>
              <w:rPr>
                <w:rFonts w:eastAsia="Calibri"/>
                <w:b/>
                <w:bCs/>
              </w:rPr>
            </w:pPr>
            <w:r w:rsidRPr="009972B1">
              <w:rPr>
                <w:rFonts w:eastAsia="Calibri"/>
                <w:b/>
                <w:bCs/>
              </w:rPr>
              <w:t>―</w:t>
            </w:r>
          </w:p>
        </w:tc>
        <w:tc>
          <w:tcPr>
            <w:tcW w:w="0" w:type="auto"/>
            <w:vAlign w:val="bottom"/>
          </w:tcPr>
          <w:p w:rsidR="00C50B3D" w:rsidRPr="009972B1" w:rsidP="0007049C" w14:paraId="3BC1A859" w14:textId="77777777">
            <w:pPr>
              <w:jc w:val="right"/>
              <w:rPr>
                <w:rFonts w:eastAsia="Calibri"/>
              </w:rPr>
            </w:pPr>
            <w:r w:rsidRPr="009972B1">
              <w:rPr>
                <w:rFonts w:eastAsia="Calibri"/>
              </w:rPr>
              <w:t>589</w:t>
            </w:r>
          </w:p>
        </w:tc>
        <w:tc>
          <w:tcPr>
            <w:tcW w:w="0" w:type="auto"/>
            <w:vAlign w:val="bottom"/>
          </w:tcPr>
          <w:p w:rsidR="00C50B3D" w:rsidRPr="009972B1" w:rsidP="0007049C" w14:paraId="0F64327B" w14:textId="77777777">
            <w:pPr>
              <w:jc w:val="right"/>
              <w:rPr>
                <w:rFonts w:eastAsia="Calibri"/>
              </w:rPr>
            </w:pPr>
            <w:r w:rsidRPr="009972B1">
              <w:rPr>
                <w:rFonts w:eastAsia="Calibri"/>
              </w:rPr>
              <w:t>11,350.5 hrs.;</w:t>
            </w:r>
          </w:p>
          <w:p w:rsidR="00C50B3D" w:rsidRPr="009972B1" w:rsidP="0007049C" w14:paraId="11F14B7D" w14:textId="77777777">
            <w:pPr>
              <w:jc w:val="right"/>
              <w:rPr>
                <w:rFonts w:eastAsia="Calibri"/>
                <w:b/>
                <w:bCs/>
              </w:rPr>
            </w:pPr>
            <w:r w:rsidRPr="009972B1">
              <w:rPr>
                <w:rFonts w:eastAsia="Calibri"/>
              </w:rPr>
              <w:t>$</w:t>
            </w:r>
            <w:r>
              <w:rPr>
                <w:rFonts w:eastAsia="Calibri"/>
              </w:rPr>
              <w:t>1,135,050</w:t>
            </w:r>
          </w:p>
        </w:tc>
      </w:tr>
    </w:tbl>
    <w:p w:rsidR="00C50B3D" w:rsidP="00AE1F12" w14:paraId="429E8A62" w14:textId="77777777">
      <w:pPr>
        <w:spacing w:line="480" w:lineRule="auto"/>
        <w:rPr>
          <w:i/>
        </w:rPr>
      </w:pPr>
    </w:p>
    <w:p w:rsidR="000F36DF" w:rsidP="00AE1F12" w14:paraId="2D6683BE" w14:textId="0526F556">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w:t>
      </w:r>
    </w:p>
    <w:p w:rsidR="00881405" w:rsidP="00AE1F12" w14:paraId="40735770" w14:textId="7E123D72">
      <w:pPr>
        <w:spacing w:line="480" w:lineRule="auto"/>
      </w:pPr>
      <w:r>
        <w:t xml:space="preserve">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AE1F12" w:rsidP="00AE1F12" w14:paraId="5324E9D8" w14:textId="77777777"/>
    <w:p w:rsidR="00853ABC" w14:paraId="212DCDEF" w14:textId="77777777">
      <w:pPr>
        <w:spacing w:after="160" w:line="259" w:lineRule="auto"/>
      </w:pPr>
    </w:p>
    <w:p w:rsidR="00E52385" w:rsidRPr="00E52385" w:rsidP="00E52385" w14:paraId="50126961" w14:textId="7933B0FD">
      <w:pPr>
        <w:ind w:firstLine="2606"/>
        <w:jc w:val="center"/>
      </w:pPr>
      <w:r w:rsidRPr="00E52385">
        <w:t>Debbie-Anne A. Reese,</w:t>
      </w:r>
    </w:p>
    <w:p w:rsidR="00E52385" w:rsidRPr="00E52385" w:rsidP="00E52385" w14:paraId="53352759" w14:textId="054C0B94">
      <w:pPr>
        <w:ind w:firstLine="2606"/>
        <w:jc w:val="center"/>
      </w:pPr>
      <w:r w:rsidRPr="00E52385">
        <w:t>Secretary.</w:t>
      </w:r>
    </w:p>
    <w:p w:rsidR="00E52385" w14:paraId="0470DF50" w14:textId="77777777">
      <w:pPr>
        <w:spacing w:after="160" w:line="259" w:lineRule="auto"/>
      </w:pPr>
    </w:p>
    <w:sectPr w:rsidSect="00BF2D74">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E65D4" w:rsidP="00B01B16" w14:paraId="36102035" w14:textId="77777777">
      <w:r>
        <w:separator/>
      </w:r>
    </w:p>
  </w:footnote>
  <w:footnote w:type="continuationSeparator" w:id="1">
    <w:p w:rsidR="008E65D4" w:rsidP="00B01B16" w14:paraId="40265F1E" w14:textId="77777777">
      <w:r>
        <w:continuationSeparator/>
      </w:r>
    </w:p>
  </w:footnote>
  <w:footnote w:type="continuationNotice" w:id="2">
    <w:p w:rsidR="008E65D4" w14:paraId="16FD7102" w14:textId="77777777"/>
  </w:footnote>
  <w:footnote w:id="3">
    <w:p w:rsidR="00C50B3D" w:rsidP="00C50B3D" w14:paraId="477FEE93" w14:textId="77777777">
      <w:pPr>
        <w:pStyle w:val="FootnoteText"/>
        <w:rPr>
          <w:sz w:val="24"/>
        </w:rPr>
      </w:pPr>
      <w:r>
        <w:rPr>
          <w:rStyle w:val="FootnoteReference"/>
          <w:sz w:val="24"/>
        </w:rPr>
        <w:footnoteRef/>
      </w:r>
      <w:r>
        <w:rPr>
          <w:sz w:val="24"/>
          <w:vertAlign w:val="superscript"/>
        </w:rPr>
        <w:t xml:space="preserve"> </w:t>
      </w:r>
      <w:r>
        <w:rPr>
          <w:sz w:val="24"/>
        </w:rPr>
        <w:t>The Regional Engineer is a member of the Commission’s staff.</w:t>
      </w:r>
    </w:p>
  </w:footnote>
  <w:footnote w:id="4">
    <w:p w:rsidR="00C50B3D" w:rsidP="00C50B3D" w14:paraId="11F068DA" w14:textId="77777777">
      <w:pPr>
        <w:pStyle w:val="FootnoteText"/>
        <w:rPr>
          <w:sz w:val="24"/>
        </w:rPr>
      </w:pPr>
      <w:r>
        <w:rPr>
          <w:rStyle w:val="FootnoteReference"/>
          <w:sz w:val="24"/>
        </w:rPr>
        <w:footnoteRef/>
      </w:r>
      <w:r>
        <w:rPr>
          <w:sz w:val="24"/>
        </w:rPr>
        <w:t xml:space="preserve"> Section 12.13 specifies how to verify the authenticity of a document submitted in accordance with 18 CFR Part 12.  </w:t>
      </w:r>
    </w:p>
  </w:footnote>
  <w:footnote w:id="5">
    <w:p w:rsidR="00C50B3D" w:rsidP="00C50B3D" w14:paraId="4EF338CE" w14:textId="77777777">
      <w:pPr>
        <w:pStyle w:val="FootnoteText"/>
      </w:pPr>
      <w:r w:rsidRPr="002B5871">
        <w:rPr>
          <w:rStyle w:val="FootnoteReference"/>
          <w:sz w:val="24"/>
          <w:szCs w:val="24"/>
        </w:rPr>
        <w:footnoteRef/>
      </w:r>
      <w:r w:rsidRPr="002B5871">
        <w:rPr>
          <w:sz w:val="24"/>
          <w:szCs w:val="24"/>
          <w:vertAlign w:val="superscript"/>
        </w:rPr>
        <w:t xml:space="preserve"> </w:t>
      </w:r>
      <w:r>
        <w:rPr>
          <w:sz w:val="24"/>
        </w:rPr>
        <w:t>S</w:t>
      </w:r>
      <w:r w:rsidRPr="004F2A22">
        <w:rPr>
          <w:sz w:val="24"/>
        </w:rPr>
        <w:t>ection 12.61(a) provide</w:t>
      </w:r>
      <w:r>
        <w:rPr>
          <w:sz w:val="24"/>
        </w:rPr>
        <w:t>s</w:t>
      </w:r>
      <w:r w:rsidRPr="004F2A22">
        <w:rPr>
          <w:sz w:val="24"/>
        </w:rPr>
        <w:t xml:space="preserve"> that a Chief Dam Safety Engineer is the designated individual, who is a licensed engineer, who oversees the implementation of the ODSP and has primary responsibility for ensuring the safety of the licensee’s dam(s) and other project features.</w:t>
      </w:r>
    </w:p>
  </w:footnote>
  <w:footnote w:id="6">
    <w:p w:rsidR="00C50B3D" w:rsidRPr="00145F47" w:rsidP="00C50B3D" w14:paraId="63D706DC" w14:textId="77777777">
      <w:pPr>
        <w:pStyle w:val="FootnoteText"/>
        <w:rPr>
          <w:sz w:val="24"/>
        </w:rPr>
      </w:pPr>
      <w:r w:rsidRPr="00F13B48">
        <w:rPr>
          <w:rStyle w:val="FootnoteReference"/>
          <w:sz w:val="24"/>
        </w:rPr>
        <w:footnoteRef/>
      </w:r>
      <w:r w:rsidRPr="00F13B48">
        <w:rPr>
          <w:sz w:val="24"/>
          <w:vertAlign w:val="superscript"/>
        </w:rPr>
        <w:t xml:space="preserve"> </w:t>
      </w:r>
      <w:r>
        <w:rPr>
          <w:sz w:val="24"/>
        </w:rPr>
        <w:t xml:space="preserve">Section 12.61(b) provides that a </w:t>
      </w:r>
      <w:r w:rsidRPr="003A300F">
        <w:rPr>
          <w:sz w:val="24"/>
        </w:rPr>
        <w:t>Chief Dam Safety Coordinator</w:t>
      </w:r>
      <w:r>
        <w:rPr>
          <w:sz w:val="24"/>
        </w:rPr>
        <w:t xml:space="preserve"> is not required to be a licensed engineer but has the same responsibilities as a Chief Dam Safety Engineer.</w:t>
      </w:r>
    </w:p>
  </w:footnote>
  <w:footnote w:id="7">
    <w:p w:rsidR="00C50B3D" w:rsidRPr="00446145" w:rsidP="00C50B3D" w14:paraId="4B2EFF76" w14:textId="77777777">
      <w:pPr>
        <w:pStyle w:val="FootnoteText"/>
        <w:spacing w:after="260"/>
        <w:rPr>
          <w:sz w:val="26"/>
          <w:szCs w:val="26"/>
        </w:rPr>
      </w:pPr>
      <w:r w:rsidRPr="00446145">
        <w:rPr>
          <w:rStyle w:val="FootnoteReference"/>
        </w:rPr>
        <w:footnoteRef/>
      </w:r>
      <w:r w:rsidRPr="00446145">
        <w:rPr>
          <w:sz w:val="26"/>
          <w:szCs w:val="26"/>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CFR Part 1320.</w:t>
      </w:r>
    </w:p>
  </w:footnote>
  <w:footnote w:id="8">
    <w:p w:rsidR="00C50B3D" w:rsidP="00C50B3D" w14:paraId="650B2E07" w14:textId="77777777">
      <w:pPr>
        <w:pStyle w:val="FootnoteText"/>
        <w:rPr>
          <w:sz w:val="26"/>
        </w:rPr>
      </w:pPr>
      <w:r>
        <w:rPr>
          <w:rStyle w:val="FootnoteReference"/>
        </w:rPr>
        <w:footnoteRef/>
      </w:r>
      <w:r>
        <w:t xml:space="preserve"> </w:t>
      </w:r>
      <w:r>
        <w:rPr>
          <w:sz w:val="26"/>
          <w:szCs w:val="26"/>
        </w:rPr>
        <w:t>The Commission staff believes that industry is similarly situated to the Commission in terms of cost for wages and benefits.  Based on FERC’s current annual average cost of $207,786 (for salary plus benefits) for a full-time equivalent, the average hourly cost is $100/hour.  Therefore, the hourly cost used in the burden calculation is $100.</w:t>
      </w:r>
    </w:p>
    <w:p w:rsidR="00C50B3D" w:rsidP="00C50B3D" w14:paraId="78F1AC6A" w14:textId="77777777">
      <w:pPr>
        <w:pStyle w:val="FootnoteText"/>
        <w:rPr>
          <w:sz w:val="26"/>
          <w:szCs w:val="26"/>
        </w:rPr>
      </w:pPr>
    </w:p>
    <w:p w:rsidR="00C50B3D" w:rsidP="00C50B3D" w14:paraId="6A705198" w14:textId="77777777">
      <w:pPr>
        <w:pStyle w:val="FootnoteText"/>
      </w:pPr>
    </w:p>
  </w:footnote>
  <w:footnote w:id="9">
    <w:p w:rsidR="00C50B3D" w:rsidP="00C50B3D" w14:paraId="71F7346B" w14:textId="77777777">
      <w:pPr>
        <w:pStyle w:val="FootnoteText"/>
        <w:rPr>
          <w:sz w:val="24"/>
        </w:rPr>
      </w:pPr>
      <w:r>
        <w:rPr>
          <w:rStyle w:val="FootnoteReference"/>
          <w:sz w:val="24"/>
        </w:rPr>
        <w:footnoteRef/>
      </w:r>
      <w:r>
        <w:rPr>
          <w:sz w:val="24"/>
        </w:rPr>
        <w:t xml:space="preserve"> </w:t>
      </w:r>
      <w:bookmarkStart w:id="7" w:name="_Hlk68712157"/>
      <w:r>
        <w:rPr>
          <w:sz w:val="24"/>
        </w:rPr>
        <w:t>Includes direct and contracting burden and cost.</w:t>
      </w:r>
    </w:p>
    <w:bookmarkEnd w:id="7"/>
  </w:footnote>
  <w:footnote w:id="10">
    <w:p w:rsidR="00C50B3D" w:rsidP="00C50B3D" w14:paraId="33A2E4E8" w14:textId="77777777">
      <w:pPr>
        <w:pStyle w:val="FootnoteText"/>
        <w:rPr>
          <w:sz w:val="24"/>
        </w:rPr>
      </w:pPr>
      <w:r>
        <w:rPr>
          <w:rStyle w:val="FootnoteReference"/>
          <w:sz w:val="24"/>
        </w:rPr>
        <w:footnoteRef/>
      </w:r>
      <w:r>
        <w:rPr>
          <w:sz w:val="24"/>
        </w:rPr>
        <w:t xml:space="preserve"> Includes direct and contracting burden and cost.</w:t>
      </w:r>
    </w:p>
  </w:footnote>
  <w:footnote w:id="11">
    <w:p w:rsidR="00C50B3D" w:rsidP="00C50B3D" w14:paraId="0B3471D3" w14:textId="77777777">
      <w:pPr>
        <w:pStyle w:val="FootnoteText"/>
      </w:pPr>
      <w:r w:rsidRPr="00803501">
        <w:rPr>
          <w:rStyle w:val="FootnoteReference"/>
          <w:sz w:val="24"/>
        </w:rPr>
        <w:footnoteRef/>
      </w:r>
      <w:r>
        <w:t xml:space="preserve"> </w:t>
      </w:r>
      <w:r w:rsidRPr="00872D5E">
        <w:rPr>
          <w:sz w:val="24"/>
        </w:rPr>
        <w:t xml:space="preserve">This information collection activity applies to each licensee with dams or </w:t>
      </w:r>
      <w:r>
        <w:rPr>
          <w:sz w:val="24"/>
        </w:rPr>
        <w:t xml:space="preserve">other </w:t>
      </w:r>
      <w:r w:rsidRPr="00872D5E">
        <w:rPr>
          <w:sz w:val="24"/>
        </w:rPr>
        <w:t xml:space="preserve">project features with a high </w:t>
      </w:r>
      <w:r>
        <w:rPr>
          <w:sz w:val="24"/>
        </w:rPr>
        <w:t xml:space="preserve">or significant </w:t>
      </w:r>
      <w:r w:rsidRPr="00872D5E">
        <w:rPr>
          <w:sz w:val="24"/>
        </w:rPr>
        <w:t>hazard potential</w:t>
      </w:r>
      <w:r>
        <w:rPr>
          <w:sz w:val="24"/>
        </w:rPr>
        <w:t xml:space="preserve">, but with </w:t>
      </w:r>
      <w:r w:rsidRPr="00872D5E">
        <w:rPr>
          <w:sz w:val="24"/>
        </w:rPr>
        <w:t>fewer than three</w:t>
      </w:r>
      <w:r>
        <w:rPr>
          <w:sz w:val="24"/>
        </w:rPr>
        <w:t xml:space="preserve"> such dams or other project features</w:t>
      </w:r>
      <w:r w:rsidRPr="00872D5E">
        <w:rPr>
          <w:sz w:val="24"/>
        </w:rPr>
        <w:t>.</w:t>
      </w:r>
    </w:p>
  </w:footnote>
  <w:footnote w:id="12">
    <w:p w:rsidR="00C50B3D" w:rsidP="00C50B3D" w14:paraId="75FF6173" w14:textId="77777777">
      <w:pPr>
        <w:pStyle w:val="FootnoteText"/>
      </w:pPr>
      <w:r w:rsidRPr="00803501">
        <w:rPr>
          <w:rStyle w:val="FootnoteReference"/>
          <w:sz w:val="24"/>
        </w:rPr>
        <w:footnoteRef/>
      </w:r>
      <w:r>
        <w:t xml:space="preserve"> </w:t>
      </w:r>
      <w:r w:rsidRPr="00872D5E">
        <w:rPr>
          <w:sz w:val="24"/>
        </w:rPr>
        <w:t xml:space="preserve">This information collection activity applies to each licensee with </w:t>
      </w:r>
      <w:r>
        <w:rPr>
          <w:sz w:val="24"/>
        </w:rPr>
        <w:t>three or more</w:t>
      </w:r>
      <w:r w:rsidRPr="00872D5E">
        <w:rPr>
          <w:sz w:val="24"/>
        </w:rPr>
        <w:t xml:space="preserve"> dams or project features with a high or significant hazard potential.</w:t>
      </w:r>
    </w:p>
  </w:footnote>
  <w:footnote w:id="13">
    <w:p w:rsidR="00C50B3D" w:rsidRPr="00E2423C" w:rsidP="00C50B3D" w14:paraId="614A62A6" w14:textId="77777777">
      <w:pPr>
        <w:pStyle w:val="FootnoteText"/>
        <w:rPr>
          <w:sz w:val="24"/>
          <w:szCs w:val="24"/>
        </w:rPr>
      </w:pPr>
      <w:r w:rsidRPr="00B74989">
        <w:rPr>
          <w:rStyle w:val="FootnoteReference"/>
          <w:sz w:val="24"/>
          <w:szCs w:val="24"/>
        </w:rPr>
        <w:footnoteRef/>
      </w:r>
      <w:r w:rsidRPr="00E2423C">
        <w:rPr>
          <w:sz w:val="24"/>
          <w:szCs w:val="24"/>
        </w:rPr>
        <w:t xml:space="preserve"> </w:t>
      </w:r>
      <w:r>
        <w:rPr>
          <w:sz w:val="24"/>
          <w:szCs w:val="24"/>
        </w:rPr>
        <w:t>This information collection activity applies to each licensee with dams or other project features with a high hazard potential, but with fewer than three such dams or project features.  The burden estimates for this activity i</w:t>
      </w:r>
      <w:r w:rsidRPr="00E2423C">
        <w:rPr>
          <w:sz w:val="24"/>
          <w:szCs w:val="24"/>
        </w:rPr>
        <w:t>nclude direct and contracting burden</w:t>
      </w:r>
      <w:r>
        <w:rPr>
          <w:sz w:val="24"/>
          <w:szCs w:val="24"/>
        </w:rPr>
        <w:t>s</w:t>
      </w:r>
      <w:r w:rsidRPr="00E2423C">
        <w:rPr>
          <w:sz w:val="24"/>
          <w:szCs w:val="24"/>
        </w:rPr>
        <w:t xml:space="preserve"> and cost</w:t>
      </w:r>
      <w:r>
        <w:rPr>
          <w:sz w:val="24"/>
          <w:szCs w:val="24"/>
        </w:rPr>
        <w:t>s</w:t>
      </w:r>
      <w:r w:rsidRPr="00E2423C">
        <w:rPr>
          <w:sz w:val="24"/>
          <w:szCs w:val="24"/>
        </w:rPr>
        <w:t>.</w:t>
      </w:r>
    </w:p>
  </w:footnote>
  <w:footnote w:id="14">
    <w:p w:rsidR="00C50B3D" w:rsidP="00C50B3D" w14:paraId="7DB76D77" w14:textId="77777777">
      <w:pPr>
        <w:pStyle w:val="FootnoteText"/>
      </w:pPr>
      <w:r w:rsidRPr="00CE4CF3">
        <w:rPr>
          <w:rStyle w:val="FootnoteReference"/>
          <w:sz w:val="24"/>
        </w:rPr>
        <w:footnoteRef/>
      </w:r>
      <w:r>
        <w:t xml:space="preserve"> </w:t>
      </w:r>
      <w:r w:rsidRPr="00872D5E">
        <w:rPr>
          <w:sz w:val="24"/>
        </w:rPr>
        <w:t xml:space="preserve">This information collection activity applies to each licensee with </w:t>
      </w:r>
      <w:r>
        <w:rPr>
          <w:sz w:val="24"/>
        </w:rPr>
        <w:t xml:space="preserve">three or more </w:t>
      </w:r>
      <w:r w:rsidRPr="00872D5E">
        <w:rPr>
          <w:sz w:val="24"/>
        </w:rPr>
        <w:t>dams or project features with a high hazard potential</w:t>
      </w:r>
      <w:r>
        <w:rPr>
          <w:sz w:val="24"/>
        </w:rPr>
        <w:t>.  The burden estimates for this information collection activity include direct and contracting burdens and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0855423"/>
      <w:docPartObj>
        <w:docPartGallery w:val="Page Numbers (Top of Page)"/>
        <w:docPartUnique/>
      </w:docPartObj>
    </w:sdtPr>
    <w:sdtEndPr>
      <w:rPr>
        <w:noProof/>
      </w:rPr>
    </w:sdtEndPr>
    <w:sdtContent>
      <w:p w:rsidR="0018593A" w14:paraId="1D9920F3" w14:textId="7F0AA4A3">
        <w:pPr>
          <w:pStyle w:val="Header"/>
        </w:pPr>
        <w:r w:rsidRPr="00980E58">
          <w:t xml:space="preserve">Docket No. </w:t>
        </w:r>
        <w:r w:rsidRPr="00974530">
          <w:t>I</w:t>
        </w:r>
        <w:r>
          <w:t>C2</w:t>
        </w:r>
        <w:r w:rsidR="003F62AD">
          <w:t>5</w:t>
        </w:r>
        <w:r w:rsidRPr="00974530">
          <w:t>-</w:t>
        </w:r>
        <w:r w:rsidR="00BB0C97">
          <w:t>2</w:t>
        </w:r>
        <w:r w:rsidRPr="00974530">
          <w:t>-000</w:t>
        </w:r>
        <w:r>
          <w:t xml:space="preserve">                                      </w:t>
        </w:r>
        <w:r>
          <w:fldChar w:fldCharType="begin"/>
        </w:r>
        <w:r>
          <w:instrText xml:space="preserve"> PAGE   \* MERGEFORMAT </w:instrText>
        </w:r>
        <w:r>
          <w:fldChar w:fldCharType="separate"/>
        </w:r>
        <w:r>
          <w:rPr>
            <w:noProof/>
          </w:rPr>
          <w:t>2</w:t>
        </w:r>
        <w:r>
          <w:rPr>
            <w:noProof/>
          </w:rPr>
          <w:fldChar w:fldCharType="end"/>
        </w:r>
      </w:p>
    </w:sdtContent>
  </w:sdt>
  <w:p w:rsidR="00F82EE1" w:rsidRPr="0018593A" w:rsidP="0018593A" w14:paraId="0E155F8B" w14:textId="19459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
    <w:nsid w:val="255E2FC2"/>
    <w:multiLevelType w:val="hybridMultilevel"/>
    <w:tmpl w:val="E33E7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3B7071C9"/>
    <w:multiLevelType w:val="multilevel"/>
    <w:tmpl w:val="65C2495A"/>
    <w:lvl w:ilvl="0">
      <w:start w:val="1"/>
      <w:numFmt w:val="lowerLetter"/>
      <w:lvlText w:val="(%1)"/>
      <w:lvlJc w:val="left"/>
      <w:pPr>
        <w:ind w:left="0" w:firstLine="0"/>
      </w:pPr>
      <w:rPr>
        <w:rFonts w:hint="default"/>
        <w:b w:val="0"/>
      </w:rPr>
    </w:lvl>
    <w:lvl w:ilvl="1">
      <w:start w:val="1"/>
      <w:numFmt w:val="decimal"/>
      <w:lvlText w:val="(%2)"/>
      <w:lvlJc w:val="left"/>
      <w:pPr>
        <w:ind w:left="1152" w:hanging="432"/>
      </w:pPr>
      <w:rPr>
        <w:rFonts w:hint="default"/>
      </w:rPr>
    </w:lvl>
    <w:lvl w:ilvl="2">
      <w:start w:val="1"/>
      <w:numFmt w:val="lowerRoman"/>
      <w:lvlText w:val="(%3)"/>
      <w:lvlJc w:val="left"/>
      <w:pPr>
        <w:ind w:left="1872" w:hanging="432"/>
      </w:pPr>
      <w:rPr>
        <w:rFonts w:hint="default"/>
      </w:rPr>
    </w:lvl>
    <w:lvl w:ilvl="3">
      <w:start w:val="1"/>
      <w:numFmt w:val="upperLetter"/>
      <w:lvlText w:val="(%4)"/>
      <w:lvlJc w:val="left"/>
      <w:pPr>
        <w:ind w:left="2592" w:hanging="432"/>
      </w:pPr>
      <w:rPr>
        <w:rFonts w:hint="default"/>
      </w:rPr>
    </w:lvl>
    <w:lvl w:ilvl="4">
      <w:start w:val="1"/>
      <w:numFmt w:val="lowerLetter"/>
      <w:lvlText w:val="(%5)"/>
      <w:lvlJc w:val="left"/>
      <w:pPr>
        <w:ind w:left="432" w:hanging="432"/>
      </w:pPr>
      <w:rPr>
        <w:rFonts w:hint="default"/>
      </w:rPr>
    </w:lvl>
    <w:lvl w:ilvl="5">
      <w:start w:val="1"/>
      <w:numFmt w:val="lowerRoman"/>
      <w:lvlText w:val="(%6)"/>
      <w:lvlJc w:val="left"/>
      <w:pPr>
        <w:ind w:left="432" w:hanging="432"/>
      </w:pPr>
      <w:rPr>
        <w:rFonts w:hint="default"/>
      </w:rPr>
    </w:lvl>
    <w:lvl w:ilvl="6">
      <w:start w:val="1"/>
      <w:numFmt w:val="decimal"/>
      <w:lvlText w:val="%7."/>
      <w:lvlJc w:val="left"/>
      <w:pPr>
        <w:ind w:left="432" w:hanging="432"/>
      </w:pPr>
      <w:rPr>
        <w:rFonts w:hint="default"/>
      </w:rPr>
    </w:lvl>
    <w:lvl w:ilvl="7">
      <w:start w:val="1"/>
      <w:numFmt w:val="lowerLetter"/>
      <w:lvlText w:val="%8."/>
      <w:lvlJc w:val="left"/>
      <w:pPr>
        <w:ind w:left="432" w:hanging="432"/>
      </w:pPr>
      <w:rPr>
        <w:rFonts w:hint="default"/>
      </w:rPr>
    </w:lvl>
    <w:lvl w:ilvl="8">
      <w:start w:val="1"/>
      <w:numFmt w:val="lowerRoman"/>
      <w:lvlText w:val="%9."/>
      <w:lvlJc w:val="left"/>
      <w:pPr>
        <w:ind w:left="432" w:hanging="432"/>
      </w:pPr>
      <w:rPr>
        <w:rFonts w:hint="default"/>
      </w:rPr>
    </w:lvl>
  </w:abstractNum>
  <w:abstractNum w:abstractNumId="5">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922716C"/>
    <w:multiLevelType w:val="hybridMultilevel"/>
    <w:tmpl w:val="3E9C74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12866913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2544282">
    <w:abstractNumId w:val="1"/>
  </w:num>
  <w:num w:numId="3" w16cid:durableId="1552577333">
    <w:abstractNumId w:val="7"/>
  </w:num>
  <w:num w:numId="4" w16cid:durableId="619460549">
    <w:abstractNumId w:val="5"/>
  </w:num>
  <w:num w:numId="5" w16cid:durableId="580872380">
    <w:abstractNumId w:val="9"/>
  </w:num>
  <w:num w:numId="6" w16cid:durableId="1239292177">
    <w:abstractNumId w:val="0"/>
  </w:num>
  <w:num w:numId="7" w16cid:durableId="1703675782">
    <w:abstractNumId w:val="8"/>
  </w:num>
  <w:num w:numId="8" w16cid:durableId="1414157073">
    <w:abstractNumId w:val="0"/>
  </w:num>
  <w:num w:numId="9" w16cid:durableId="697438134">
    <w:abstractNumId w:val="4"/>
  </w:num>
  <w:num w:numId="10" w16cid:durableId="1909873733">
    <w:abstractNumId w:val="2"/>
  </w:num>
  <w:num w:numId="11" w16cid:durableId="478763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6"/>
    <w:rsid w:val="00000447"/>
    <w:rsid w:val="0000758F"/>
    <w:rsid w:val="0001045C"/>
    <w:rsid w:val="00014343"/>
    <w:rsid w:val="00015B93"/>
    <w:rsid w:val="00024462"/>
    <w:rsid w:val="00026C2D"/>
    <w:rsid w:val="00033DD8"/>
    <w:rsid w:val="000459B6"/>
    <w:rsid w:val="00061D59"/>
    <w:rsid w:val="00062427"/>
    <w:rsid w:val="00063B25"/>
    <w:rsid w:val="0007049C"/>
    <w:rsid w:val="00082444"/>
    <w:rsid w:val="00084A11"/>
    <w:rsid w:val="00085A2B"/>
    <w:rsid w:val="0008692A"/>
    <w:rsid w:val="0009446C"/>
    <w:rsid w:val="000A0250"/>
    <w:rsid w:val="000A1FE3"/>
    <w:rsid w:val="000A6F37"/>
    <w:rsid w:val="000A7E68"/>
    <w:rsid w:val="000B32CE"/>
    <w:rsid w:val="000B5C78"/>
    <w:rsid w:val="000D318C"/>
    <w:rsid w:val="000E2568"/>
    <w:rsid w:val="000F36DF"/>
    <w:rsid w:val="000F45EC"/>
    <w:rsid w:val="000F606E"/>
    <w:rsid w:val="00113520"/>
    <w:rsid w:val="00114D0E"/>
    <w:rsid w:val="00116326"/>
    <w:rsid w:val="00117BAE"/>
    <w:rsid w:val="00117E0B"/>
    <w:rsid w:val="00121178"/>
    <w:rsid w:val="00121D48"/>
    <w:rsid w:val="001258C6"/>
    <w:rsid w:val="00125991"/>
    <w:rsid w:val="00133619"/>
    <w:rsid w:val="00134E93"/>
    <w:rsid w:val="001408C4"/>
    <w:rsid w:val="00145F47"/>
    <w:rsid w:val="0015445B"/>
    <w:rsid w:val="00156BBB"/>
    <w:rsid w:val="001600DF"/>
    <w:rsid w:val="00164215"/>
    <w:rsid w:val="001642F6"/>
    <w:rsid w:val="001673C0"/>
    <w:rsid w:val="00171725"/>
    <w:rsid w:val="0017684C"/>
    <w:rsid w:val="00177704"/>
    <w:rsid w:val="00181BF7"/>
    <w:rsid w:val="0018255E"/>
    <w:rsid w:val="00184A26"/>
    <w:rsid w:val="00184B43"/>
    <w:rsid w:val="0018593A"/>
    <w:rsid w:val="00191B74"/>
    <w:rsid w:val="0019402A"/>
    <w:rsid w:val="00197435"/>
    <w:rsid w:val="001A1CAD"/>
    <w:rsid w:val="001A6645"/>
    <w:rsid w:val="001A6AD6"/>
    <w:rsid w:val="001B16B8"/>
    <w:rsid w:val="001B78B8"/>
    <w:rsid w:val="001C0B75"/>
    <w:rsid w:val="001C7064"/>
    <w:rsid w:val="001D27DD"/>
    <w:rsid w:val="001E1325"/>
    <w:rsid w:val="001E40B7"/>
    <w:rsid w:val="001F1CDF"/>
    <w:rsid w:val="00202E41"/>
    <w:rsid w:val="00206753"/>
    <w:rsid w:val="00210715"/>
    <w:rsid w:val="002131D0"/>
    <w:rsid w:val="00224BF8"/>
    <w:rsid w:val="00227867"/>
    <w:rsid w:val="002347B9"/>
    <w:rsid w:val="0024309C"/>
    <w:rsid w:val="00247214"/>
    <w:rsid w:val="00253F98"/>
    <w:rsid w:val="00257CC2"/>
    <w:rsid w:val="002662C7"/>
    <w:rsid w:val="00266431"/>
    <w:rsid w:val="00266CF0"/>
    <w:rsid w:val="00281F64"/>
    <w:rsid w:val="00297211"/>
    <w:rsid w:val="002A0531"/>
    <w:rsid w:val="002A4B87"/>
    <w:rsid w:val="002B1694"/>
    <w:rsid w:val="002B5871"/>
    <w:rsid w:val="002C03F1"/>
    <w:rsid w:val="002C3223"/>
    <w:rsid w:val="002C3579"/>
    <w:rsid w:val="002C556B"/>
    <w:rsid w:val="002D17E5"/>
    <w:rsid w:val="002D19D9"/>
    <w:rsid w:val="002E06A0"/>
    <w:rsid w:val="002E5D67"/>
    <w:rsid w:val="002E6DAA"/>
    <w:rsid w:val="002E7120"/>
    <w:rsid w:val="002F1008"/>
    <w:rsid w:val="002F4401"/>
    <w:rsid w:val="002F505F"/>
    <w:rsid w:val="00301ED5"/>
    <w:rsid w:val="00301F62"/>
    <w:rsid w:val="00303159"/>
    <w:rsid w:val="00303516"/>
    <w:rsid w:val="00305D2F"/>
    <w:rsid w:val="00306318"/>
    <w:rsid w:val="00311D90"/>
    <w:rsid w:val="00314219"/>
    <w:rsid w:val="003149BC"/>
    <w:rsid w:val="00314D59"/>
    <w:rsid w:val="00320CB8"/>
    <w:rsid w:val="003270F2"/>
    <w:rsid w:val="00332D75"/>
    <w:rsid w:val="00333661"/>
    <w:rsid w:val="00336AD9"/>
    <w:rsid w:val="00353B9A"/>
    <w:rsid w:val="00365468"/>
    <w:rsid w:val="003658A2"/>
    <w:rsid w:val="003673EC"/>
    <w:rsid w:val="00372200"/>
    <w:rsid w:val="00373A2E"/>
    <w:rsid w:val="00374D2A"/>
    <w:rsid w:val="00376525"/>
    <w:rsid w:val="003878F5"/>
    <w:rsid w:val="0039468F"/>
    <w:rsid w:val="00397ABE"/>
    <w:rsid w:val="003A2C3F"/>
    <w:rsid w:val="003A300F"/>
    <w:rsid w:val="003A350E"/>
    <w:rsid w:val="003A4C0E"/>
    <w:rsid w:val="003A6035"/>
    <w:rsid w:val="003B29FB"/>
    <w:rsid w:val="003B435C"/>
    <w:rsid w:val="003B5B0B"/>
    <w:rsid w:val="003C08DE"/>
    <w:rsid w:val="003C3E7A"/>
    <w:rsid w:val="003C467C"/>
    <w:rsid w:val="003D28D2"/>
    <w:rsid w:val="003E1657"/>
    <w:rsid w:val="003E1B5A"/>
    <w:rsid w:val="003E40B2"/>
    <w:rsid w:val="003E44AD"/>
    <w:rsid w:val="003E5EA3"/>
    <w:rsid w:val="003F0FE7"/>
    <w:rsid w:val="003F2E32"/>
    <w:rsid w:val="003F452F"/>
    <w:rsid w:val="003F570B"/>
    <w:rsid w:val="003F62AD"/>
    <w:rsid w:val="003F6B3B"/>
    <w:rsid w:val="003F7567"/>
    <w:rsid w:val="00411B62"/>
    <w:rsid w:val="004177CD"/>
    <w:rsid w:val="004177D9"/>
    <w:rsid w:val="004207F2"/>
    <w:rsid w:val="0042688C"/>
    <w:rsid w:val="0042765E"/>
    <w:rsid w:val="00427AE5"/>
    <w:rsid w:val="00443282"/>
    <w:rsid w:val="00446145"/>
    <w:rsid w:val="004471A9"/>
    <w:rsid w:val="004562F1"/>
    <w:rsid w:val="00456947"/>
    <w:rsid w:val="004609ED"/>
    <w:rsid w:val="004618D7"/>
    <w:rsid w:val="004628F2"/>
    <w:rsid w:val="00471921"/>
    <w:rsid w:val="00491543"/>
    <w:rsid w:val="0049612F"/>
    <w:rsid w:val="004962D9"/>
    <w:rsid w:val="004A661D"/>
    <w:rsid w:val="004B239D"/>
    <w:rsid w:val="004B472A"/>
    <w:rsid w:val="004C0BC3"/>
    <w:rsid w:val="004C70C8"/>
    <w:rsid w:val="004E0525"/>
    <w:rsid w:val="004E1894"/>
    <w:rsid w:val="004E683E"/>
    <w:rsid w:val="004F2A22"/>
    <w:rsid w:val="00501035"/>
    <w:rsid w:val="00524164"/>
    <w:rsid w:val="00527733"/>
    <w:rsid w:val="00531000"/>
    <w:rsid w:val="00537A68"/>
    <w:rsid w:val="005401E0"/>
    <w:rsid w:val="005424F8"/>
    <w:rsid w:val="00544424"/>
    <w:rsid w:val="0054746C"/>
    <w:rsid w:val="00552978"/>
    <w:rsid w:val="005652D0"/>
    <w:rsid w:val="00565830"/>
    <w:rsid w:val="00565B5E"/>
    <w:rsid w:val="00566B5F"/>
    <w:rsid w:val="00567907"/>
    <w:rsid w:val="00586A8F"/>
    <w:rsid w:val="00587D1F"/>
    <w:rsid w:val="00592148"/>
    <w:rsid w:val="005953A1"/>
    <w:rsid w:val="005A2F24"/>
    <w:rsid w:val="005B4DA4"/>
    <w:rsid w:val="005B7EAB"/>
    <w:rsid w:val="005C180F"/>
    <w:rsid w:val="005C36C0"/>
    <w:rsid w:val="005C77BE"/>
    <w:rsid w:val="005D238D"/>
    <w:rsid w:val="005E0B1A"/>
    <w:rsid w:val="005E45C6"/>
    <w:rsid w:val="005F33D1"/>
    <w:rsid w:val="006003E8"/>
    <w:rsid w:val="00606C85"/>
    <w:rsid w:val="006128A5"/>
    <w:rsid w:val="00613169"/>
    <w:rsid w:val="0062572C"/>
    <w:rsid w:val="00630E07"/>
    <w:rsid w:val="0063784F"/>
    <w:rsid w:val="00637F43"/>
    <w:rsid w:val="00644A1B"/>
    <w:rsid w:val="00645C5B"/>
    <w:rsid w:val="00646D5F"/>
    <w:rsid w:val="006536D8"/>
    <w:rsid w:val="00654399"/>
    <w:rsid w:val="00654BA4"/>
    <w:rsid w:val="0066195A"/>
    <w:rsid w:val="00664931"/>
    <w:rsid w:val="006670C8"/>
    <w:rsid w:val="006841A7"/>
    <w:rsid w:val="00693721"/>
    <w:rsid w:val="00694C22"/>
    <w:rsid w:val="006963BC"/>
    <w:rsid w:val="006970F4"/>
    <w:rsid w:val="006A2ACA"/>
    <w:rsid w:val="006A2E15"/>
    <w:rsid w:val="006B0632"/>
    <w:rsid w:val="006B32CD"/>
    <w:rsid w:val="006C0377"/>
    <w:rsid w:val="006C1D12"/>
    <w:rsid w:val="006C5ECD"/>
    <w:rsid w:val="006D1CE0"/>
    <w:rsid w:val="006D5E14"/>
    <w:rsid w:val="006E7CBB"/>
    <w:rsid w:val="006F7028"/>
    <w:rsid w:val="006F749E"/>
    <w:rsid w:val="007024F1"/>
    <w:rsid w:val="0071004E"/>
    <w:rsid w:val="00713417"/>
    <w:rsid w:val="00714EDD"/>
    <w:rsid w:val="0071543E"/>
    <w:rsid w:val="0071670A"/>
    <w:rsid w:val="00723505"/>
    <w:rsid w:val="007263B9"/>
    <w:rsid w:val="007400A9"/>
    <w:rsid w:val="0074136F"/>
    <w:rsid w:val="0075004D"/>
    <w:rsid w:val="0075009F"/>
    <w:rsid w:val="00756FAF"/>
    <w:rsid w:val="00760B62"/>
    <w:rsid w:val="00767177"/>
    <w:rsid w:val="00775681"/>
    <w:rsid w:val="00777D54"/>
    <w:rsid w:val="00781E6A"/>
    <w:rsid w:val="00782ECC"/>
    <w:rsid w:val="0078743D"/>
    <w:rsid w:val="007901CE"/>
    <w:rsid w:val="00795C55"/>
    <w:rsid w:val="007A23CA"/>
    <w:rsid w:val="007A4192"/>
    <w:rsid w:val="007A4202"/>
    <w:rsid w:val="007A50D7"/>
    <w:rsid w:val="007B1F57"/>
    <w:rsid w:val="007B4938"/>
    <w:rsid w:val="007B6CD5"/>
    <w:rsid w:val="007B7391"/>
    <w:rsid w:val="007E3706"/>
    <w:rsid w:val="007F4CD3"/>
    <w:rsid w:val="007F61C2"/>
    <w:rsid w:val="008018DB"/>
    <w:rsid w:val="00803CA2"/>
    <w:rsid w:val="00807CAC"/>
    <w:rsid w:val="00807EF5"/>
    <w:rsid w:val="008115BF"/>
    <w:rsid w:val="00816942"/>
    <w:rsid w:val="008212DA"/>
    <w:rsid w:val="00824D81"/>
    <w:rsid w:val="0083151E"/>
    <w:rsid w:val="00835322"/>
    <w:rsid w:val="00843568"/>
    <w:rsid w:val="00853ABC"/>
    <w:rsid w:val="00855FE8"/>
    <w:rsid w:val="0086175B"/>
    <w:rsid w:val="00871D53"/>
    <w:rsid w:val="00871DCE"/>
    <w:rsid w:val="00872D5E"/>
    <w:rsid w:val="008745F2"/>
    <w:rsid w:val="00881405"/>
    <w:rsid w:val="00890224"/>
    <w:rsid w:val="0089069F"/>
    <w:rsid w:val="00895B40"/>
    <w:rsid w:val="00895DA2"/>
    <w:rsid w:val="00897359"/>
    <w:rsid w:val="008A6A02"/>
    <w:rsid w:val="008A7371"/>
    <w:rsid w:val="008B7933"/>
    <w:rsid w:val="008B7C2C"/>
    <w:rsid w:val="008B7EC5"/>
    <w:rsid w:val="008C59C7"/>
    <w:rsid w:val="008D25B7"/>
    <w:rsid w:val="008D399B"/>
    <w:rsid w:val="008D5479"/>
    <w:rsid w:val="008E0DC0"/>
    <w:rsid w:val="008E0DF5"/>
    <w:rsid w:val="008E3273"/>
    <w:rsid w:val="008E4932"/>
    <w:rsid w:val="008E5187"/>
    <w:rsid w:val="008E65D4"/>
    <w:rsid w:val="008E72C5"/>
    <w:rsid w:val="008E7D0A"/>
    <w:rsid w:val="008F0C45"/>
    <w:rsid w:val="008F12C4"/>
    <w:rsid w:val="00904B00"/>
    <w:rsid w:val="009053DE"/>
    <w:rsid w:val="00907770"/>
    <w:rsid w:val="0092024A"/>
    <w:rsid w:val="0092205A"/>
    <w:rsid w:val="009307A1"/>
    <w:rsid w:val="009314F0"/>
    <w:rsid w:val="00940C0F"/>
    <w:rsid w:val="00951DC3"/>
    <w:rsid w:val="00952710"/>
    <w:rsid w:val="0095391C"/>
    <w:rsid w:val="0095548F"/>
    <w:rsid w:val="009603F5"/>
    <w:rsid w:val="009744C8"/>
    <w:rsid w:val="00974530"/>
    <w:rsid w:val="00977A6A"/>
    <w:rsid w:val="00980E58"/>
    <w:rsid w:val="009815BD"/>
    <w:rsid w:val="00981886"/>
    <w:rsid w:val="00982934"/>
    <w:rsid w:val="00990102"/>
    <w:rsid w:val="00990FEC"/>
    <w:rsid w:val="00991995"/>
    <w:rsid w:val="00992257"/>
    <w:rsid w:val="009972B1"/>
    <w:rsid w:val="009A1B08"/>
    <w:rsid w:val="009A430C"/>
    <w:rsid w:val="009A5682"/>
    <w:rsid w:val="009C3CB9"/>
    <w:rsid w:val="009C4A13"/>
    <w:rsid w:val="009C745D"/>
    <w:rsid w:val="009D13E8"/>
    <w:rsid w:val="009D61BE"/>
    <w:rsid w:val="009E1900"/>
    <w:rsid w:val="009E281E"/>
    <w:rsid w:val="009F4BA5"/>
    <w:rsid w:val="009F5460"/>
    <w:rsid w:val="009F6D8A"/>
    <w:rsid w:val="009F7DE3"/>
    <w:rsid w:val="00A07154"/>
    <w:rsid w:val="00A11868"/>
    <w:rsid w:val="00A11900"/>
    <w:rsid w:val="00A127D3"/>
    <w:rsid w:val="00A1386C"/>
    <w:rsid w:val="00A14335"/>
    <w:rsid w:val="00A14B43"/>
    <w:rsid w:val="00A23612"/>
    <w:rsid w:val="00A2604E"/>
    <w:rsid w:val="00A32860"/>
    <w:rsid w:val="00A34E33"/>
    <w:rsid w:val="00A417A2"/>
    <w:rsid w:val="00A52189"/>
    <w:rsid w:val="00A57463"/>
    <w:rsid w:val="00A664DF"/>
    <w:rsid w:val="00A71219"/>
    <w:rsid w:val="00A713D0"/>
    <w:rsid w:val="00A722D4"/>
    <w:rsid w:val="00A72496"/>
    <w:rsid w:val="00A73303"/>
    <w:rsid w:val="00A75AAA"/>
    <w:rsid w:val="00A7635A"/>
    <w:rsid w:val="00A82A29"/>
    <w:rsid w:val="00AA516A"/>
    <w:rsid w:val="00AA5B0E"/>
    <w:rsid w:val="00AB4DBF"/>
    <w:rsid w:val="00AB520B"/>
    <w:rsid w:val="00AC0504"/>
    <w:rsid w:val="00AC1DB7"/>
    <w:rsid w:val="00AC4CCB"/>
    <w:rsid w:val="00AC664F"/>
    <w:rsid w:val="00AC750B"/>
    <w:rsid w:val="00AC7E81"/>
    <w:rsid w:val="00AD4726"/>
    <w:rsid w:val="00AD6937"/>
    <w:rsid w:val="00AE0E82"/>
    <w:rsid w:val="00AE1F12"/>
    <w:rsid w:val="00AE24CC"/>
    <w:rsid w:val="00AE4155"/>
    <w:rsid w:val="00AE4B7C"/>
    <w:rsid w:val="00AE66F6"/>
    <w:rsid w:val="00AF17CE"/>
    <w:rsid w:val="00AF349B"/>
    <w:rsid w:val="00B009E9"/>
    <w:rsid w:val="00B01B16"/>
    <w:rsid w:val="00B04130"/>
    <w:rsid w:val="00B11D16"/>
    <w:rsid w:val="00B129E0"/>
    <w:rsid w:val="00B13678"/>
    <w:rsid w:val="00B15B2D"/>
    <w:rsid w:val="00B24588"/>
    <w:rsid w:val="00B24919"/>
    <w:rsid w:val="00B437DF"/>
    <w:rsid w:val="00B447D7"/>
    <w:rsid w:val="00B61016"/>
    <w:rsid w:val="00B625C5"/>
    <w:rsid w:val="00B66413"/>
    <w:rsid w:val="00B71BAA"/>
    <w:rsid w:val="00B72DC8"/>
    <w:rsid w:val="00B76A1F"/>
    <w:rsid w:val="00B82F8C"/>
    <w:rsid w:val="00B8460F"/>
    <w:rsid w:val="00B95477"/>
    <w:rsid w:val="00BA13EE"/>
    <w:rsid w:val="00BA1D81"/>
    <w:rsid w:val="00BA5A3C"/>
    <w:rsid w:val="00BA7130"/>
    <w:rsid w:val="00BB0C97"/>
    <w:rsid w:val="00BB1262"/>
    <w:rsid w:val="00BB28BF"/>
    <w:rsid w:val="00BC1E57"/>
    <w:rsid w:val="00BD1C24"/>
    <w:rsid w:val="00BD2445"/>
    <w:rsid w:val="00BD74AE"/>
    <w:rsid w:val="00BE15E5"/>
    <w:rsid w:val="00BE16BC"/>
    <w:rsid w:val="00BE3FE7"/>
    <w:rsid w:val="00BF2547"/>
    <w:rsid w:val="00BF2D74"/>
    <w:rsid w:val="00BF4CC8"/>
    <w:rsid w:val="00BF75B6"/>
    <w:rsid w:val="00C02547"/>
    <w:rsid w:val="00C0408A"/>
    <w:rsid w:val="00C04839"/>
    <w:rsid w:val="00C058D5"/>
    <w:rsid w:val="00C1124F"/>
    <w:rsid w:val="00C1686C"/>
    <w:rsid w:val="00C16D22"/>
    <w:rsid w:val="00C20D24"/>
    <w:rsid w:val="00C269E4"/>
    <w:rsid w:val="00C3045A"/>
    <w:rsid w:val="00C30DED"/>
    <w:rsid w:val="00C37BFF"/>
    <w:rsid w:val="00C418AE"/>
    <w:rsid w:val="00C45F17"/>
    <w:rsid w:val="00C50B3D"/>
    <w:rsid w:val="00C51458"/>
    <w:rsid w:val="00C53580"/>
    <w:rsid w:val="00C55838"/>
    <w:rsid w:val="00C56745"/>
    <w:rsid w:val="00C643C8"/>
    <w:rsid w:val="00C70729"/>
    <w:rsid w:val="00C71475"/>
    <w:rsid w:val="00C77EF7"/>
    <w:rsid w:val="00C77F0F"/>
    <w:rsid w:val="00C820F1"/>
    <w:rsid w:val="00C85A38"/>
    <w:rsid w:val="00C91512"/>
    <w:rsid w:val="00C94A53"/>
    <w:rsid w:val="00CA2DE2"/>
    <w:rsid w:val="00CA3A85"/>
    <w:rsid w:val="00CA6636"/>
    <w:rsid w:val="00CA6D76"/>
    <w:rsid w:val="00CB0696"/>
    <w:rsid w:val="00CB51CC"/>
    <w:rsid w:val="00CC1A72"/>
    <w:rsid w:val="00CC5692"/>
    <w:rsid w:val="00CC5D1A"/>
    <w:rsid w:val="00CC65F3"/>
    <w:rsid w:val="00CC6AF0"/>
    <w:rsid w:val="00CD56E5"/>
    <w:rsid w:val="00CE0C1B"/>
    <w:rsid w:val="00CE4C34"/>
    <w:rsid w:val="00CE64F2"/>
    <w:rsid w:val="00CF0118"/>
    <w:rsid w:val="00CF0C67"/>
    <w:rsid w:val="00CF0F40"/>
    <w:rsid w:val="00CF4753"/>
    <w:rsid w:val="00D0083B"/>
    <w:rsid w:val="00D172D8"/>
    <w:rsid w:val="00D35B2D"/>
    <w:rsid w:val="00D41A90"/>
    <w:rsid w:val="00D44183"/>
    <w:rsid w:val="00D5276C"/>
    <w:rsid w:val="00D6384D"/>
    <w:rsid w:val="00D653F3"/>
    <w:rsid w:val="00D66B24"/>
    <w:rsid w:val="00D8288F"/>
    <w:rsid w:val="00D82D9B"/>
    <w:rsid w:val="00D872BC"/>
    <w:rsid w:val="00DA529F"/>
    <w:rsid w:val="00DB5AAE"/>
    <w:rsid w:val="00DB6882"/>
    <w:rsid w:val="00DC5017"/>
    <w:rsid w:val="00DC5129"/>
    <w:rsid w:val="00DC783F"/>
    <w:rsid w:val="00DD7EC8"/>
    <w:rsid w:val="00DD7F1B"/>
    <w:rsid w:val="00DE0E7F"/>
    <w:rsid w:val="00DE63B7"/>
    <w:rsid w:val="00DF5F20"/>
    <w:rsid w:val="00E059B8"/>
    <w:rsid w:val="00E1100C"/>
    <w:rsid w:val="00E12A7A"/>
    <w:rsid w:val="00E13F3A"/>
    <w:rsid w:val="00E2423C"/>
    <w:rsid w:val="00E27FD6"/>
    <w:rsid w:val="00E41DB9"/>
    <w:rsid w:val="00E52385"/>
    <w:rsid w:val="00E6029D"/>
    <w:rsid w:val="00E6360D"/>
    <w:rsid w:val="00E676B3"/>
    <w:rsid w:val="00E762BB"/>
    <w:rsid w:val="00E77026"/>
    <w:rsid w:val="00E81A2D"/>
    <w:rsid w:val="00E8661B"/>
    <w:rsid w:val="00E9084E"/>
    <w:rsid w:val="00E962E6"/>
    <w:rsid w:val="00EA689F"/>
    <w:rsid w:val="00EC1434"/>
    <w:rsid w:val="00EC72B0"/>
    <w:rsid w:val="00EC77DB"/>
    <w:rsid w:val="00ED1AD3"/>
    <w:rsid w:val="00EE248C"/>
    <w:rsid w:val="00EF25D8"/>
    <w:rsid w:val="00EF33BE"/>
    <w:rsid w:val="00EF4F97"/>
    <w:rsid w:val="00F02165"/>
    <w:rsid w:val="00F126FC"/>
    <w:rsid w:val="00F12983"/>
    <w:rsid w:val="00F13B48"/>
    <w:rsid w:val="00F15359"/>
    <w:rsid w:val="00F17455"/>
    <w:rsid w:val="00F245A2"/>
    <w:rsid w:val="00F309CB"/>
    <w:rsid w:val="00F33EEE"/>
    <w:rsid w:val="00F44A0E"/>
    <w:rsid w:val="00F4501D"/>
    <w:rsid w:val="00F4763C"/>
    <w:rsid w:val="00F51E09"/>
    <w:rsid w:val="00F540BA"/>
    <w:rsid w:val="00F64069"/>
    <w:rsid w:val="00F64D6D"/>
    <w:rsid w:val="00F7710F"/>
    <w:rsid w:val="00F82EE1"/>
    <w:rsid w:val="00F91CB3"/>
    <w:rsid w:val="00F93134"/>
    <w:rsid w:val="00FA415A"/>
    <w:rsid w:val="00FB078F"/>
    <w:rsid w:val="00FC3F00"/>
    <w:rsid w:val="00FE12E0"/>
    <w:rsid w:val="00FF098F"/>
    <w:rsid w:val="00FF1D71"/>
    <w:rsid w:val="00FF24A8"/>
    <w:rsid w:val="00FF340D"/>
    <w:rsid w:val="00FF78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3EF157A4-D577-46D4-A386-E27911B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C97"/>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Char,Footnote Text Char Char,Footnote Text Char Char Char,Footnote Text Char1,Footnote Text Char1 Char,Footnote Text Char1 Char Char,Footnote Text Char1 Char1,Footnote Text Char2 Char,Footnote Text Char3,Footnote Text MRP,fn,fn1,fn3,fn4,ft"/>
    <w:basedOn w:val="Normal"/>
    <w:link w:val="FootnoteTextChar"/>
    <w:uiPriority w:val="99"/>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uiPriority w:val="99"/>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info.gov/public/do/PRAMain" TargetMode="External" /><Relationship Id="rId11" Type="http://schemas.openxmlformats.org/officeDocument/2006/relationships/hyperlink" Target="https://www.ferc.gov" TargetMode="External" /><Relationship Id="rId12" Type="http://schemas.openxmlformats.org/officeDocument/2006/relationships/hyperlink" Target="https://www.ferc.gov/ferc-online/overview" TargetMode="External" /><Relationship Id="rId13" Type="http://schemas.openxmlformats.org/officeDocument/2006/relationships/hyperlink" Target="mailto:DataClearance@FERC.gov"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9ADA7-D0F1-4E17-8105-9A4E124FA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C08E4-3B61-47F2-8AA5-6D3B6459BB5B}">
  <ds:schemaRefs>
    <ds:schemaRef ds:uri="Microsoft.SharePoint.Taxonomy.ContentTypeSync"/>
  </ds:schemaRefs>
</ds:datastoreItem>
</file>

<file path=customXml/itemProps3.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5e8733a2-e908-454b-85cf-c9d17e1d0943"/>
  </ds:schemaRefs>
</ds:datastoreItem>
</file>

<file path=customXml/itemProps4.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5.xml><?xml version="1.0" encoding="utf-8"?>
<ds:datastoreItem xmlns:ds="http://schemas.openxmlformats.org/officeDocument/2006/customXml" ds:itemID="{23C4570F-680E-467F-BCCC-3FD8AEA6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2802</Words>
  <Characters>15974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2016-12-20T13:40:00Z</cp:lastPrinted>
  <dcterms:created xsi:type="dcterms:W3CDTF">2025-03-19T17:42:00Z</dcterms:created>
  <dcterms:modified xsi:type="dcterms:W3CDTF">2025-03-19T17:42:00Z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0x01010040BBA46C296F7C4CB651D6F7E4CC084A</vt:lpwstr>
  </property>
  <property fmtid="{D5CDD505-2E9C-101B-9397-08002B2CF9AE}" pid="3" name="MediaServiceImageTags">
    <vt:lpwstr/>
  </property>
  <property fmtid="{D5CDD505-2E9C-101B-9397-08002B2CF9AE}" pid="4" name="MSIP_Label_bd24d06a-0e85-4d57-b1e0-ba34b1abc708_ActionId">
    <vt:lpwstr>64bd3650-bf89-4ea8-a38d-68845d2928d2</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2024-09-25T13:33:58Z</vt:lpwstr>
  </property>
  <property fmtid="{D5CDD505-2E9C-101B-9397-08002B2CF9AE}" pid="10" name="MSIP_Label_bd24d06a-0e85-4d57-b1e0-ba34b1abc708_SiteId">
    <vt:lpwstr>19caa9e9-04ff-43fa-885f-d77fac387903</vt:lpwstr>
  </property>
</Properties>
</file>