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2DFE" w:rsidRPr="00A37677" w:rsidP="00E176F9" w14:paraId="7166F589" w14:textId="77777777">
      <w:pPr>
        <w:tabs>
          <w:tab w:val="left" w:pos="720"/>
        </w:tabs>
        <w:spacing w:before="0" w:line="240" w:lineRule="auto"/>
        <w:rPr>
          <w:b/>
          <w:bCs/>
          <w:caps/>
          <w:sz w:val="26"/>
          <w:lang w:val="en-CA"/>
        </w:rPr>
      </w:pPr>
    </w:p>
    <w:p w:rsidR="00A23BE5" w:rsidRPr="00E176F9" w:rsidP="00594614" w14:paraId="7CE7E1A0" w14:textId="03245E95">
      <w:pPr>
        <w:tabs>
          <w:tab w:val="left" w:pos="720"/>
        </w:tabs>
        <w:spacing w:before="0" w:line="240" w:lineRule="auto"/>
        <w:jc w:val="center"/>
        <w:rPr>
          <w:b/>
          <w:sz w:val="26"/>
          <w:szCs w:val="26"/>
        </w:rPr>
      </w:pPr>
      <w:r w:rsidRPr="00E176F9">
        <w:rPr>
          <w:b/>
          <w:sz w:val="26"/>
        </w:rPr>
        <w:t>Supporting Statement</w:t>
      </w:r>
      <w:r w:rsidRPr="00E176F9">
        <w:rPr>
          <w:b/>
          <w:sz w:val="26"/>
          <w:szCs w:val="26"/>
        </w:rPr>
        <w:t xml:space="preserve"> </w:t>
      </w:r>
      <w:r w:rsidRPr="00E176F9" w:rsidR="005B6F0F">
        <w:rPr>
          <w:b/>
          <w:sz w:val="26"/>
          <w:szCs w:val="26"/>
        </w:rPr>
        <w:t>for</w:t>
      </w:r>
      <w:r w:rsidRPr="00E176F9" w:rsidR="0057092C">
        <w:rPr>
          <w:b/>
          <w:sz w:val="26"/>
          <w:szCs w:val="26"/>
        </w:rPr>
        <w:t xml:space="preserve"> </w:t>
      </w:r>
      <w:r w:rsidRPr="00E176F9" w:rsidR="002144F5">
        <w:rPr>
          <w:b/>
          <w:bCs/>
          <w:sz w:val="26"/>
          <w:szCs w:val="26"/>
        </w:rPr>
        <w:t>Order</w:t>
      </w:r>
      <w:r w:rsidRPr="00E176F9" w:rsidR="002144F5">
        <w:rPr>
          <w:b/>
          <w:sz w:val="26"/>
          <w:szCs w:val="26"/>
        </w:rPr>
        <w:t xml:space="preserve"> on Rehearing</w:t>
      </w:r>
      <w:r w:rsidRPr="00E176F9" w:rsidR="003D09ED">
        <w:rPr>
          <w:b/>
          <w:sz w:val="26"/>
          <w:szCs w:val="26"/>
        </w:rPr>
        <w:t xml:space="preserve"> in Docket No. </w:t>
      </w:r>
      <w:r w:rsidRPr="00E176F9" w:rsidR="0057092C">
        <w:rPr>
          <w:b/>
          <w:sz w:val="26"/>
          <w:szCs w:val="26"/>
        </w:rPr>
        <w:t>RM21-17-</w:t>
      </w:r>
      <w:r w:rsidRPr="00E176F9" w:rsidR="0078293F">
        <w:rPr>
          <w:b/>
          <w:bCs/>
          <w:sz w:val="26"/>
          <w:szCs w:val="26"/>
        </w:rPr>
        <w:t>001</w:t>
      </w:r>
    </w:p>
    <w:p w:rsidR="0057092C" w:rsidRPr="00E176F9" w:rsidP="00D845B3" w14:paraId="3ABD1AAE" w14:textId="1429DCC0">
      <w:pPr>
        <w:tabs>
          <w:tab w:val="left" w:pos="720"/>
        </w:tabs>
        <w:spacing w:before="0" w:line="240" w:lineRule="auto"/>
        <w:jc w:val="center"/>
        <w:rPr>
          <w:b/>
          <w:sz w:val="26"/>
        </w:rPr>
      </w:pPr>
      <w:r w:rsidRPr="00E176F9">
        <w:rPr>
          <w:b/>
          <w:sz w:val="26"/>
          <w:szCs w:val="26"/>
        </w:rPr>
        <w:t>“</w:t>
      </w:r>
      <w:r w:rsidRPr="00E176F9" w:rsidR="001D51B8">
        <w:rPr>
          <w:b/>
          <w:sz w:val="26"/>
          <w:szCs w:val="26"/>
        </w:rPr>
        <w:t>Building for the Future Through Electric Regional Transmission Planning and Cost Allocation</w:t>
      </w:r>
      <w:r w:rsidRPr="00E176F9">
        <w:rPr>
          <w:b/>
          <w:sz w:val="26"/>
          <w:szCs w:val="26"/>
        </w:rPr>
        <w:t>”</w:t>
      </w:r>
    </w:p>
    <w:p w:rsidR="005D3180" w:rsidRPr="00A37677" w:rsidP="009B7C8F" w14:paraId="4818A55E" w14:textId="6AF1E29C">
      <w:pPr>
        <w:tabs>
          <w:tab w:val="left" w:pos="720"/>
        </w:tabs>
        <w:spacing w:line="240" w:lineRule="auto"/>
        <w:jc w:val="center"/>
        <w:rPr>
          <w:b/>
          <w:bCs/>
          <w:sz w:val="26"/>
        </w:rPr>
      </w:pPr>
      <w:r w:rsidRPr="00A37677">
        <w:rPr>
          <w:b/>
          <w:bCs/>
          <w:sz w:val="26"/>
        </w:rPr>
        <w:t>FERC</w:t>
      </w:r>
      <w:r w:rsidRPr="00A37677" w:rsidR="00393740">
        <w:rPr>
          <w:b/>
          <w:bCs/>
          <w:sz w:val="26"/>
        </w:rPr>
        <w:t>-917 (</w:t>
      </w:r>
      <w:r w:rsidRPr="00A37677" w:rsidR="004B77A5">
        <w:rPr>
          <w:b/>
          <w:bCs/>
          <w:sz w:val="26"/>
        </w:rPr>
        <w:t>Electric Transmission Filings</w:t>
      </w:r>
      <w:r w:rsidRPr="00A37677" w:rsidR="00DC2BB0">
        <w:rPr>
          <w:b/>
          <w:bCs/>
          <w:sz w:val="26"/>
        </w:rPr>
        <w:t>)</w:t>
      </w:r>
    </w:p>
    <w:p w:rsidR="0034021A" w:rsidRPr="00A37677" w:rsidP="00727320" w14:paraId="086C761D" w14:textId="661FBBBA">
      <w:pPr>
        <w:tabs>
          <w:tab w:val="left" w:pos="720"/>
        </w:tabs>
        <w:spacing w:line="240" w:lineRule="auto"/>
        <w:rPr>
          <w:sz w:val="26"/>
        </w:rPr>
      </w:pPr>
      <w:r w:rsidRPr="00A37677">
        <w:rPr>
          <w:sz w:val="26"/>
        </w:rPr>
        <w:t xml:space="preserve">The Federal Energy Regulatory Commission (FERC or Commission) requests that the Office of Management and Budget (OMB) </w:t>
      </w:r>
      <w:r w:rsidR="003F5856">
        <w:rPr>
          <w:sz w:val="26"/>
        </w:rPr>
        <w:t xml:space="preserve">review </w:t>
      </w:r>
      <w:r w:rsidRPr="003F5856" w:rsidR="003F5856">
        <w:rPr>
          <w:sz w:val="26"/>
        </w:rPr>
        <w:t>and approve the modification</w:t>
      </w:r>
      <w:r w:rsidR="00382AC6">
        <w:rPr>
          <w:sz w:val="26"/>
        </w:rPr>
        <w:t xml:space="preserve"> and extension</w:t>
      </w:r>
      <w:r w:rsidRPr="003F5856" w:rsidR="003F5856">
        <w:rPr>
          <w:sz w:val="26"/>
        </w:rPr>
        <w:t xml:space="preserve"> of the information collection requirements in </w:t>
      </w:r>
      <w:r w:rsidRPr="00A37677" w:rsidR="00D91FF5">
        <w:rPr>
          <w:sz w:val="26"/>
        </w:rPr>
        <w:t>FER</w:t>
      </w:r>
      <w:r w:rsidRPr="00A37677" w:rsidR="00335A2B">
        <w:rPr>
          <w:sz w:val="26"/>
        </w:rPr>
        <w:t>C-917</w:t>
      </w:r>
      <w:r w:rsidR="003F5856">
        <w:rPr>
          <w:sz w:val="26"/>
        </w:rPr>
        <w:t xml:space="preserve"> </w:t>
      </w:r>
      <w:r w:rsidR="00782260">
        <w:rPr>
          <w:sz w:val="26"/>
        </w:rPr>
        <w:t>(</w:t>
      </w:r>
      <w:r w:rsidR="003F5856">
        <w:rPr>
          <w:sz w:val="26"/>
        </w:rPr>
        <w:t>“Electric Transmission Filings”</w:t>
      </w:r>
      <w:r w:rsidRPr="00EF5C37" w:rsidR="00EF5C37">
        <w:rPr>
          <w:sz w:val="26"/>
        </w:rPr>
        <w:t>)</w:t>
      </w:r>
      <w:r w:rsidR="005F3377">
        <w:rPr>
          <w:sz w:val="26"/>
        </w:rPr>
        <w:t>.</w:t>
      </w:r>
      <w:r w:rsidRPr="00EF5C37" w:rsidR="00EF5C37">
        <w:rPr>
          <w:sz w:val="26"/>
        </w:rPr>
        <w:t xml:space="preserve">  </w:t>
      </w:r>
      <w:r w:rsidR="00EF5C37">
        <w:rPr>
          <w:sz w:val="26"/>
        </w:rPr>
        <w:t>FERC-917 is</w:t>
      </w:r>
      <w:r w:rsidRPr="00EF5C37" w:rsidR="00EF5C37">
        <w:rPr>
          <w:sz w:val="26"/>
        </w:rPr>
        <w:t xml:space="preserve"> an existing information collection and </w:t>
      </w:r>
      <w:r w:rsidR="00EF5C37">
        <w:rPr>
          <w:sz w:val="26"/>
        </w:rPr>
        <w:t>is</w:t>
      </w:r>
      <w:r w:rsidRPr="00EF5C37" w:rsidR="00EF5C37">
        <w:rPr>
          <w:sz w:val="26"/>
        </w:rPr>
        <w:t xml:space="preserve"> being modified by the </w:t>
      </w:r>
      <w:r w:rsidR="0078293F">
        <w:rPr>
          <w:sz w:val="26"/>
        </w:rPr>
        <w:t>order on rehearing</w:t>
      </w:r>
      <w:r w:rsidRPr="00EF5C37" w:rsidR="00EF5C37">
        <w:rPr>
          <w:sz w:val="26"/>
        </w:rPr>
        <w:t xml:space="preserve"> in </w:t>
      </w:r>
      <w:r w:rsidRPr="00A37677" w:rsidR="00335A2B">
        <w:rPr>
          <w:sz w:val="26"/>
        </w:rPr>
        <w:t xml:space="preserve">Docket No. </w:t>
      </w:r>
      <w:r w:rsidRPr="00A37677">
        <w:rPr>
          <w:sz w:val="26"/>
        </w:rPr>
        <w:t>RM21-17-</w:t>
      </w:r>
      <w:r w:rsidRPr="00A37677" w:rsidR="002D2C63">
        <w:rPr>
          <w:sz w:val="26"/>
        </w:rPr>
        <w:t>00</w:t>
      </w:r>
      <w:r w:rsidR="002D2C63">
        <w:rPr>
          <w:sz w:val="26"/>
        </w:rPr>
        <w:t>1</w:t>
      </w:r>
      <w:r w:rsidRPr="00A37677" w:rsidR="00972C2E">
        <w:rPr>
          <w:sz w:val="26"/>
        </w:rPr>
        <w:t>.</w:t>
      </w:r>
    </w:p>
    <w:p w:rsidR="004A61DE" w:rsidRPr="00A37677" w:rsidP="009B7C8F" w14:paraId="2B7B2D6B" w14:textId="26ED0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pPr>
      <w:r w:rsidRPr="00A37677">
        <w:rPr>
          <w:b/>
          <w:sz w:val="26"/>
        </w:rPr>
        <w:t>1.</w:t>
      </w:r>
      <w:r w:rsidRPr="00A37677">
        <w:rPr>
          <w:b/>
          <w:sz w:val="26"/>
        </w:rPr>
        <w:tab/>
      </w:r>
      <w:r w:rsidRPr="009F5F03" w:rsidR="009F5F03">
        <w:rPr>
          <w:b/>
          <w:sz w:val="26"/>
        </w:rPr>
        <w:t xml:space="preserve">CIRCUMSTANCES THAT MAKE THE COLLECTION OF INFORMATION NECESSARY </w:t>
      </w:r>
    </w:p>
    <w:p w:rsidR="004A61DE" w:rsidRPr="00A37677" w:rsidP="00727320" w14:paraId="5427A3E3" w14:textId="39F7018B">
      <w:pPr>
        <w:pStyle w:val="NormalWeb"/>
        <w:tabs>
          <w:tab w:val="left" w:pos="360"/>
        </w:tabs>
        <w:spacing w:before="240" w:beforeAutospacing="0" w:after="0" w:afterAutospacing="0" w:line="240" w:lineRule="auto"/>
        <w:rPr>
          <w:color w:val="000000"/>
          <w:sz w:val="26"/>
        </w:rPr>
      </w:pPr>
      <w:r>
        <w:rPr>
          <w:color w:val="000000"/>
          <w:sz w:val="26"/>
        </w:rPr>
        <w:t>S</w:t>
      </w:r>
      <w:r w:rsidRPr="00A37677" w:rsidR="003E7501">
        <w:rPr>
          <w:color w:val="000000"/>
          <w:sz w:val="26"/>
        </w:rPr>
        <w:t>ection 206 of the</w:t>
      </w:r>
      <w:r w:rsidRPr="00941546" w:rsidR="00941546">
        <w:rPr>
          <w:color w:val="000000"/>
          <w:sz w:val="26"/>
        </w:rPr>
        <w:t xml:space="preserve"> Federal Power Act (FPA), 16 U.S.C. 824e,</w:t>
      </w:r>
      <w:r w:rsidR="00941546">
        <w:rPr>
          <w:color w:val="000000"/>
          <w:sz w:val="26"/>
        </w:rPr>
        <w:t xml:space="preserve"> </w:t>
      </w:r>
      <w:r w:rsidRPr="00A37677" w:rsidR="003E7501">
        <w:rPr>
          <w:color w:val="000000"/>
          <w:sz w:val="26"/>
        </w:rPr>
        <w:t xml:space="preserve">obligates the Commission to </w:t>
      </w:r>
      <w:r w:rsidRPr="004D54A1" w:rsidR="004D54A1">
        <w:rPr>
          <w:color w:val="000000"/>
          <w:sz w:val="26"/>
        </w:rPr>
        <w:t>remedy unjust, unreasonable, and unduly discriminatory or preferential rates, terms, and conditions of transmission service</w:t>
      </w:r>
      <w:r w:rsidRPr="00A37677" w:rsidR="003E7501">
        <w:rPr>
          <w:color w:val="000000"/>
          <w:sz w:val="26"/>
        </w:rPr>
        <w:t>.</w:t>
      </w:r>
    </w:p>
    <w:p w:rsidR="008664AE" w:rsidRPr="00A37677" w:rsidP="00727320" w14:paraId="14C9A249" w14:textId="74B1C59F">
      <w:pPr>
        <w:pStyle w:val="NormalWeb"/>
        <w:tabs>
          <w:tab w:val="left" w:pos="360"/>
        </w:tabs>
        <w:spacing w:before="240" w:beforeAutospacing="0" w:after="0" w:afterAutospacing="0" w:line="240" w:lineRule="auto"/>
        <w:rPr>
          <w:color w:val="000000"/>
          <w:sz w:val="26"/>
        </w:rPr>
      </w:pPr>
      <w:r w:rsidRPr="00A37677">
        <w:rPr>
          <w:color w:val="000000"/>
          <w:sz w:val="26"/>
        </w:rPr>
        <w:t xml:space="preserve">This information collection request involves </w:t>
      </w:r>
      <w:r w:rsidRPr="00A37677" w:rsidR="005E7ED6">
        <w:rPr>
          <w:color w:val="000000"/>
          <w:sz w:val="26"/>
        </w:rPr>
        <w:t>Commission implementation of section 206</w:t>
      </w:r>
      <w:r w:rsidRPr="00A37677" w:rsidR="00605EA0">
        <w:rPr>
          <w:color w:val="000000"/>
          <w:sz w:val="26"/>
        </w:rPr>
        <w:t xml:space="preserve"> via:</w:t>
      </w:r>
    </w:p>
    <w:p w:rsidR="00D0504D" w:rsidRPr="00A37677" w:rsidP="00594614" w14:paraId="3154E114" w14:textId="7AA5FF73">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1</w:t>
      </w:r>
      <w:r w:rsidRPr="00A37677" w:rsidR="00F57AB8">
        <w:rPr>
          <w:color w:val="000000"/>
          <w:sz w:val="26"/>
        </w:rPr>
        <w:t>8 CFR 35.28 (“Non-Discriminatory Open Access Transmission Tariff</w:t>
      </w:r>
      <w:r w:rsidRPr="00A37677" w:rsidR="008424A0">
        <w:rPr>
          <w:color w:val="000000"/>
          <w:sz w:val="26"/>
        </w:rPr>
        <w:t>”)</w:t>
      </w:r>
      <w:r w:rsidRPr="00A37677">
        <w:rPr>
          <w:color w:val="000000"/>
          <w:sz w:val="26"/>
        </w:rPr>
        <w:t>;</w:t>
      </w:r>
      <w:r w:rsidR="004D54A1">
        <w:rPr>
          <w:color w:val="000000"/>
          <w:sz w:val="26"/>
        </w:rPr>
        <w:t xml:space="preserve"> and</w:t>
      </w:r>
    </w:p>
    <w:p w:rsidR="003A402C" w:rsidRPr="00D845B3" w:rsidP="009B7C8F" w14:paraId="5E449B9C" w14:textId="62F7C8C8">
      <w:pPr>
        <w:pStyle w:val="NormalWeb"/>
        <w:numPr>
          <w:ilvl w:val="0"/>
          <w:numId w:val="19"/>
        </w:numPr>
        <w:tabs>
          <w:tab w:val="left" w:pos="360"/>
        </w:tabs>
        <w:spacing w:before="0" w:beforeAutospacing="0" w:after="0" w:afterAutospacing="0" w:line="240" w:lineRule="auto"/>
        <w:rPr>
          <w:color w:val="000000"/>
          <w:sz w:val="26"/>
        </w:rPr>
      </w:pPr>
      <w:r w:rsidRPr="00A37677">
        <w:rPr>
          <w:color w:val="000000"/>
          <w:sz w:val="26"/>
        </w:rPr>
        <w:t>T</w:t>
      </w:r>
      <w:r w:rsidRPr="00A37677" w:rsidR="00626344">
        <w:rPr>
          <w:color w:val="000000"/>
          <w:sz w:val="26"/>
        </w:rPr>
        <w:t xml:space="preserve">he </w:t>
      </w:r>
      <w:r w:rsidRPr="00A37677" w:rsidR="00626344">
        <w:rPr>
          <w:i/>
          <w:iCs/>
          <w:color w:val="000000"/>
          <w:sz w:val="26"/>
        </w:rPr>
        <w:t>pro forma</w:t>
      </w:r>
      <w:r w:rsidRPr="00A37677" w:rsidR="00626344">
        <w:rPr>
          <w:color w:val="000000"/>
          <w:sz w:val="26"/>
        </w:rPr>
        <w:t xml:space="preserve"> Open Access Transmission Tariff</w:t>
      </w:r>
      <w:r w:rsidR="007274BF">
        <w:rPr>
          <w:color w:val="000000"/>
          <w:sz w:val="26"/>
        </w:rPr>
        <w:t xml:space="preserve"> (OATT)</w:t>
      </w:r>
      <w:r w:rsidR="004D54A1">
        <w:rPr>
          <w:color w:val="000000"/>
          <w:sz w:val="26"/>
        </w:rPr>
        <w:t>.</w:t>
      </w:r>
    </w:p>
    <w:p w:rsidR="00383549" w:rsidRPr="00A37677" w:rsidP="00727320" w14:paraId="5B350862" w14:textId="28BA8EB2">
      <w:pPr>
        <w:pStyle w:val="NormalWeb"/>
        <w:tabs>
          <w:tab w:val="left" w:pos="360"/>
        </w:tabs>
        <w:spacing w:before="240" w:beforeAutospacing="0" w:after="0" w:afterAutospacing="0" w:line="240" w:lineRule="auto"/>
        <w:rPr>
          <w:color w:val="000000"/>
          <w:sz w:val="26"/>
        </w:rPr>
      </w:pPr>
      <w:r w:rsidRPr="00B72419">
        <w:rPr>
          <w:color w:val="000000"/>
          <w:sz w:val="26"/>
        </w:rPr>
        <w:t>The Commission’s regulations at 18 CFR 35.28</w:t>
      </w:r>
      <w:r w:rsidRPr="00B72419">
        <w:rPr>
          <w:color w:val="000000"/>
          <w:sz w:val="26"/>
        </w:rPr>
        <w:t xml:space="preserve"> </w:t>
      </w:r>
      <w:r w:rsidRPr="00A37677" w:rsidR="0034247E">
        <w:rPr>
          <w:color w:val="000000"/>
          <w:sz w:val="26"/>
        </w:rPr>
        <w:t xml:space="preserve">require </w:t>
      </w:r>
      <w:r w:rsidRPr="00A37677" w:rsidR="00A715CE">
        <w:rPr>
          <w:color w:val="000000"/>
          <w:sz w:val="26"/>
        </w:rPr>
        <w:t xml:space="preserve">certain types of entities </w:t>
      </w:r>
      <w:r w:rsidRPr="00A37677" w:rsidR="0034247E">
        <w:rPr>
          <w:color w:val="000000"/>
          <w:sz w:val="26"/>
        </w:rPr>
        <w:t>to have on fi</w:t>
      </w:r>
      <w:r w:rsidRPr="00A37677" w:rsidR="00C51DFE">
        <w:rPr>
          <w:color w:val="000000"/>
          <w:sz w:val="26"/>
        </w:rPr>
        <w:t xml:space="preserve">le an </w:t>
      </w:r>
      <w:r w:rsidRPr="00A37677" w:rsidR="004204AF">
        <w:rPr>
          <w:color w:val="000000"/>
          <w:sz w:val="26"/>
        </w:rPr>
        <w:t xml:space="preserve">OATT that contains minimum </w:t>
      </w:r>
      <w:r w:rsidRPr="00A37677" w:rsidR="00D469E9">
        <w:rPr>
          <w:color w:val="000000"/>
          <w:sz w:val="26"/>
        </w:rPr>
        <w:t xml:space="preserve">terms and conditions of non-discriminatory </w:t>
      </w:r>
      <w:r>
        <w:rPr>
          <w:color w:val="000000"/>
          <w:sz w:val="26"/>
        </w:rPr>
        <w:t xml:space="preserve">transmission </w:t>
      </w:r>
      <w:r w:rsidRPr="00A37677" w:rsidR="00D469E9">
        <w:rPr>
          <w:color w:val="000000"/>
          <w:sz w:val="26"/>
        </w:rPr>
        <w:t>service</w:t>
      </w:r>
      <w:r w:rsidRPr="00A37677" w:rsidR="00AD1387">
        <w:rPr>
          <w:color w:val="000000"/>
          <w:sz w:val="26"/>
        </w:rPr>
        <w:t xml:space="preserve">.  </w:t>
      </w:r>
      <w:r w:rsidRPr="00A37677" w:rsidR="00A715CE">
        <w:rPr>
          <w:color w:val="000000"/>
          <w:sz w:val="26"/>
        </w:rPr>
        <w:t xml:space="preserve">This requirement </w:t>
      </w:r>
      <w:r w:rsidRPr="00A37677" w:rsidR="00702FD0">
        <w:rPr>
          <w:color w:val="000000"/>
          <w:sz w:val="26"/>
        </w:rPr>
        <w:t xml:space="preserve">applies to </w:t>
      </w:r>
      <w:r w:rsidRPr="00A37677" w:rsidR="005765E8">
        <w:rPr>
          <w:color w:val="000000"/>
          <w:sz w:val="26"/>
        </w:rPr>
        <w:t>all public utilities</w:t>
      </w:r>
      <w:r>
        <w:rPr>
          <w:rStyle w:val="FootnoteReference"/>
          <w:b/>
          <w:bCs/>
          <w:color w:val="000000"/>
          <w:sz w:val="26"/>
          <w:vertAlign w:val="superscript"/>
        </w:rPr>
        <w:footnoteReference w:id="3"/>
      </w:r>
      <w:r w:rsidRPr="00A37677" w:rsidR="005765E8">
        <w:rPr>
          <w:color w:val="000000"/>
          <w:sz w:val="26"/>
        </w:rPr>
        <w:t xml:space="preserve"> that own, </w:t>
      </w:r>
      <w:r w:rsidRPr="00A37677" w:rsidR="001516EF">
        <w:rPr>
          <w:color w:val="000000"/>
          <w:sz w:val="26"/>
        </w:rPr>
        <w:t>control, or operate facilities used for tran</w:t>
      </w:r>
      <w:r w:rsidRPr="00A37677" w:rsidR="00BE1669">
        <w:rPr>
          <w:color w:val="000000"/>
          <w:sz w:val="26"/>
        </w:rPr>
        <w:t>sm</w:t>
      </w:r>
      <w:r w:rsidRPr="00A37677" w:rsidR="001516EF">
        <w:rPr>
          <w:color w:val="000000"/>
          <w:sz w:val="26"/>
        </w:rPr>
        <w:t>itting electric energy in interstate commerce</w:t>
      </w:r>
      <w:r w:rsidRPr="00A37677">
        <w:rPr>
          <w:color w:val="000000"/>
          <w:sz w:val="26"/>
        </w:rPr>
        <w:t>.</w:t>
      </w:r>
      <w:r w:rsidR="0043417A">
        <w:rPr>
          <w:color w:val="000000"/>
          <w:sz w:val="26"/>
        </w:rPr>
        <w:t xml:space="preserve">  Other </w:t>
      </w:r>
      <w:r w:rsidR="00356129">
        <w:rPr>
          <w:color w:val="000000"/>
          <w:sz w:val="26"/>
        </w:rPr>
        <w:t>provisions</w:t>
      </w:r>
      <w:r w:rsidR="0043417A">
        <w:rPr>
          <w:color w:val="000000"/>
          <w:sz w:val="26"/>
        </w:rPr>
        <w:t xml:space="preserve"> </w:t>
      </w:r>
      <w:r w:rsidR="00AE4FCB">
        <w:rPr>
          <w:color w:val="000000"/>
          <w:sz w:val="26"/>
        </w:rPr>
        <w:t xml:space="preserve">in section 35.28 </w:t>
      </w:r>
      <w:r w:rsidR="00DA13A9">
        <w:rPr>
          <w:color w:val="000000"/>
          <w:sz w:val="26"/>
        </w:rPr>
        <w:t xml:space="preserve">of the Commission’s regulations </w:t>
      </w:r>
      <w:r w:rsidR="00AE4FCB">
        <w:rPr>
          <w:color w:val="000000"/>
          <w:sz w:val="26"/>
        </w:rPr>
        <w:t xml:space="preserve">apply to </w:t>
      </w:r>
      <w:r w:rsidR="00563687">
        <w:rPr>
          <w:color w:val="000000"/>
          <w:sz w:val="26"/>
        </w:rPr>
        <w:t>non-public utilities</w:t>
      </w:r>
      <w:r w:rsidR="004F7EB7">
        <w:rPr>
          <w:color w:val="000000"/>
          <w:sz w:val="26"/>
        </w:rPr>
        <w:t xml:space="preserve">, but only if they </w:t>
      </w:r>
      <w:r w:rsidR="00DF342A">
        <w:rPr>
          <w:color w:val="000000"/>
          <w:sz w:val="26"/>
        </w:rPr>
        <w:t>seek voluntary compliance with jurisdictional transmission tariff reciprocity conditions.  Non-public utilities are not affected by this information collection</w:t>
      </w:r>
      <w:r w:rsidR="00085A9D">
        <w:rPr>
          <w:color w:val="000000"/>
          <w:sz w:val="26"/>
        </w:rPr>
        <w:t xml:space="preserve"> request.</w:t>
      </w:r>
    </w:p>
    <w:p w:rsidR="00CA6CCD" w:rsidRPr="00A37677" w:rsidP="00727320" w14:paraId="169BCFC1" w14:textId="63217B4E">
      <w:pPr>
        <w:pStyle w:val="NormalWeb"/>
        <w:tabs>
          <w:tab w:val="left" w:pos="360"/>
        </w:tabs>
        <w:spacing w:before="240" w:beforeAutospacing="0" w:after="0" w:afterAutospacing="0" w:line="240" w:lineRule="auto"/>
        <w:rPr>
          <w:color w:val="000000"/>
          <w:sz w:val="26"/>
        </w:rPr>
      </w:pPr>
      <w:r w:rsidRPr="00A37677">
        <w:rPr>
          <w:color w:val="000000"/>
          <w:sz w:val="26"/>
        </w:rPr>
        <w:t xml:space="preserve">The </w:t>
      </w:r>
      <w:r w:rsidRPr="00A37677" w:rsidR="00A86E87">
        <w:rPr>
          <w:i/>
          <w:iCs/>
          <w:color w:val="000000"/>
          <w:sz w:val="26"/>
        </w:rPr>
        <w:t>pro forma</w:t>
      </w:r>
      <w:r w:rsidRPr="00A37677" w:rsidR="00A86E87">
        <w:rPr>
          <w:color w:val="000000"/>
          <w:sz w:val="26"/>
        </w:rPr>
        <w:t xml:space="preserve"> O</w:t>
      </w:r>
      <w:r w:rsidRPr="00A37677" w:rsidR="00A77FE9">
        <w:rPr>
          <w:color w:val="000000"/>
          <w:sz w:val="26"/>
        </w:rPr>
        <w:t>ATT</w:t>
      </w:r>
      <w:r w:rsidRPr="00A37677" w:rsidR="00A86E87">
        <w:rPr>
          <w:color w:val="000000"/>
          <w:sz w:val="26"/>
        </w:rPr>
        <w:t xml:space="preserve">, as </w:t>
      </w:r>
      <w:r w:rsidRPr="00A37677" w:rsidR="00992303">
        <w:rPr>
          <w:color w:val="000000"/>
          <w:sz w:val="26"/>
        </w:rPr>
        <w:t xml:space="preserve">originally developed by the Commission, </w:t>
      </w:r>
      <w:r w:rsidR="0008031E">
        <w:rPr>
          <w:color w:val="000000"/>
          <w:sz w:val="26"/>
        </w:rPr>
        <w:t>is</w:t>
      </w:r>
      <w:r w:rsidRPr="00A37677" w:rsidR="00992303">
        <w:rPr>
          <w:color w:val="000000"/>
          <w:sz w:val="26"/>
        </w:rPr>
        <w:t xml:space="preserve"> </w:t>
      </w:r>
      <w:r w:rsidRPr="00A37677" w:rsidR="00C3027F">
        <w:rPr>
          <w:color w:val="000000"/>
          <w:sz w:val="26"/>
        </w:rPr>
        <w:t>included</w:t>
      </w:r>
      <w:r w:rsidRPr="00A37677" w:rsidR="00FC199F">
        <w:rPr>
          <w:color w:val="000000"/>
          <w:sz w:val="26"/>
        </w:rPr>
        <w:t xml:space="preserve"> </w:t>
      </w:r>
      <w:r w:rsidRPr="00A37677" w:rsidR="00BB12F7">
        <w:rPr>
          <w:color w:val="000000"/>
          <w:sz w:val="26"/>
        </w:rPr>
        <w:t>in</w:t>
      </w:r>
      <w:r w:rsidR="00B20AE5">
        <w:rPr>
          <w:color w:val="000000"/>
          <w:sz w:val="26"/>
        </w:rPr>
        <w:t xml:space="preserve"> the final rule</w:t>
      </w:r>
      <w:r w:rsidR="00003FBA">
        <w:rPr>
          <w:color w:val="000000"/>
          <w:sz w:val="26"/>
        </w:rPr>
        <w:t xml:space="preserve"> designated as</w:t>
      </w:r>
      <w:r w:rsidRPr="00A37677" w:rsidR="00BB12F7">
        <w:rPr>
          <w:color w:val="000000"/>
          <w:sz w:val="26"/>
        </w:rPr>
        <w:t xml:space="preserve"> </w:t>
      </w:r>
      <w:r w:rsidRPr="00A37677" w:rsidR="00992303">
        <w:rPr>
          <w:color w:val="000000"/>
          <w:sz w:val="26"/>
        </w:rPr>
        <w:t>Order N</w:t>
      </w:r>
      <w:r w:rsidRPr="00A37677" w:rsidR="008B56D1">
        <w:rPr>
          <w:color w:val="000000"/>
          <w:sz w:val="26"/>
        </w:rPr>
        <w:t>o</w:t>
      </w:r>
      <w:r w:rsidR="008A329B">
        <w:rPr>
          <w:color w:val="000000"/>
          <w:sz w:val="26"/>
        </w:rPr>
        <w:t>.</w:t>
      </w:r>
      <w:r w:rsidRPr="00A37677" w:rsidR="008B56D1">
        <w:rPr>
          <w:color w:val="000000"/>
          <w:sz w:val="26"/>
        </w:rPr>
        <w:t xml:space="preserve"> 888</w:t>
      </w:r>
      <w:r w:rsidRPr="00A37677" w:rsidR="00B30A64">
        <w:rPr>
          <w:color w:val="000000"/>
          <w:sz w:val="26"/>
        </w:rPr>
        <w:t xml:space="preserve">, 61 FR 21540, at </w:t>
      </w:r>
      <w:r w:rsidRPr="00A37677" w:rsidR="00FD15B6">
        <w:rPr>
          <w:color w:val="000000"/>
          <w:sz w:val="26"/>
        </w:rPr>
        <w:t xml:space="preserve">21706 through 21724 </w:t>
      </w:r>
      <w:r w:rsidRPr="00A37677" w:rsidR="00B30A64">
        <w:rPr>
          <w:color w:val="000000"/>
          <w:sz w:val="26"/>
        </w:rPr>
        <w:t>(May 10, 1996)</w:t>
      </w:r>
      <w:r w:rsidRPr="00A37677" w:rsidR="00022393">
        <w:rPr>
          <w:color w:val="000000"/>
          <w:sz w:val="26"/>
        </w:rPr>
        <w:t>.</w:t>
      </w:r>
      <w:r w:rsidRPr="00A37677" w:rsidR="00FD15B6">
        <w:rPr>
          <w:color w:val="000000"/>
          <w:sz w:val="26"/>
        </w:rPr>
        <w:t xml:space="preserve">  </w:t>
      </w:r>
      <w:r w:rsidRPr="00A37677" w:rsidR="00862422">
        <w:rPr>
          <w:color w:val="000000"/>
          <w:sz w:val="26"/>
        </w:rPr>
        <w:t>As the term “</w:t>
      </w:r>
      <w:r w:rsidRPr="000A6788" w:rsidR="00862422">
        <w:rPr>
          <w:i/>
          <w:iCs/>
          <w:color w:val="000000"/>
          <w:sz w:val="26"/>
        </w:rPr>
        <w:t>pro forma</w:t>
      </w:r>
      <w:r w:rsidRPr="00A37677" w:rsidR="00862422">
        <w:rPr>
          <w:color w:val="000000"/>
          <w:sz w:val="26"/>
        </w:rPr>
        <w:t xml:space="preserve">” implies, </w:t>
      </w:r>
      <w:r w:rsidRPr="00A37677" w:rsidR="00B56508">
        <w:rPr>
          <w:color w:val="000000"/>
          <w:sz w:val="26"/>
        </w:rPr>
        <w:t xml:space="preserve">the tariff </w:t>
      </w:r>
      <w:r w:rsidRPr="00A37677" w:rsidR="00AC4292">
        <w:rPr>
          <w:color w:val="000000"/>
          <w:sz w:val="26"/>
        </w:rPr>
        <w:t xml:space="preserve">contains </w:t>
      </w:r>
      <w:r w:rsidRPr="00A37677" w:rsidR="00B56508">
        <w:rPr>
          <w:color w:val="000000"/>
          <w:sz w:val="26"/>
        </w:rPr>
        <w:t>standardized</w:t>
      </w:r>
      <w:r w:rsidRPr="00A37677" w:rsidR="00AC4292">
        <w:rPr>
          <w:color w:val="000000"/>
          <w:sz w:val="26"/>
        </w:rPr>
        <w:t xml:space="preserve"> terms and conditions</w:t>
      </w:r>
      <w:r w:rsidRPr="00A37677" w:rsidR="005B700B">
        <w:rPr>
          <w:color w:val="000000"/>
          <w:sz w:val="26"/>
        </w:rPr>
        <w:t xml:space="preserve"> </w:t>
      </w:r>
      <w:r w:rsidRPr="00A37677" w:rsidR="00F96565">
        <w:rPr>
          <w:color w:val="000000"/>
          <w:sz w:val="26"/>
        </w:rPr>
        <w:t xml:space="preserve">that public utilities must adopt in their own tariffs, </w:t>
      </w:r>
      <w:r w:rsidRPr="00A37677" w:rsidR="000E1B4B">
        <w:rPr>
          <w:color w:val="000000"/>
          <w:sz w:val="26"/>
        </w:rPr>
        <w:t>unless they demonstrate</w:t>
      </w:r>
      <w:r w:rsidRPr="00A37677" w:rsidR="00241D67">
        <w:rPr>
          <w:color w:val="000000"/>
          <w:sz w:val="26"/>
        </w:rPr>
        <w:t xml:space="preserve"> that unique practices </w:t>
      </w:r>
      <w:r w:rsidRPr="00A37677" w:rsidR="003B565B">
        <w:rPr>
          <w:color w:val="000000"/>
          <w:sz w:val="26"/>
        </w:rPr>
        <w:t xml:space="preserve">in a geographic region require modifications.  </w:t>
      </w:r>
      <w:r w:rsidRPr="00A37677" w:rsidR="00EE428A">
        <w:rPr>
          <w:color w:val="000000"/>
          <w:sz w:val="26"/>
        </w:rPr>
        <w:t xml:space="preserve">The currently effective </w:t>
      </w:r>
      <w:r w:rsidRPr="00A37677" w:rsidR="00EE428A">
        <w:rPr>
          <w:i/>
          <w:iCs/>
          <w:color w:val="000000"/>
          <w:sz w:val="26"/>
        </w:rPr>
        <w:t>pro forma</w:t>
      </w:r>
      <w:r w:rsidRPr="00A37677" w:rsidR="00EE428A">
        <w:rPr>
          <w:color w:val="000000"/>
          <w:sz w:val="26"/>
        </w:rPr>
        <w:t xml:space="preserve"> OATT</w:t>
      </w:r>
      <w:r>
        <w:rPr>
          <w:rStyle w:val="FootnoteReference"/>
          <w:b/>
          <w:bCs/>
          <w:color w:val="000000"/>
          <w:sz w:val="26"/>
          <w:vertAlign w:val="superscript"/>
        </w:rPr>
        <w:footnoteReference w:id="4"/>
      </w:r>
      <w:r w:rsidRPr="00A37677" w:rsidR="00EE428A">
        <w:rPr>
          <w:color w:val="000000"/>
          <w:sz w:val="26"/>
        </w:rPr>
        <w:t xml:space="preserve"> </w:t>
      </w:r>
      <w:r w:rsidRPr="00A37677" w:rsidR="00AA1827">
        <w:rPr>
          <w:color w:val="000000"/>
          <w:sz w:val="26"/>
        </w:rPr>
        <w:t xml:space="preserve">has been modified several </w:t>
      </w:r>
      <w:r w:rsidRPr="00A37677" w:rsidR="00CB2589">
        <w:rPr>
          <w:color w:val="000000"/>
          <w:sz w:val="26"/>
        </w:rPr>
        <w:t>times and</w:t>
      </w:r>
      <w:r w:rsidRPr="00A37677" w:rsidR="00AA1827">
        <w:rPr>
          <w:color w:val="000000"/>
          <w:sz w:val="26"/>
        </w:rPr>
        <w:t xml:space="preserve"> is </w:t>
      </w:r>
      <w:r w:rsidR="00DB7240">
        <w:rPr>
          <w:color w:val="000000"/>
          <w:sz w:val="26"/>
        </w:rPr>
        <w:t>being</w:t>
      </w:r>
      <w:r w:rsidRPr="00A37677" w:rsidR="00AA1827">
        <w:rPr>
          <w:color w:val="000000"/>
          <w:sz w:val="26"/>
        </w:rPr>
        <w:t xml:space="preserve"> modified</w:t>
      </w:r>
      <w:r w:rsidR="00DB7240">
        <w:rPr>
          <w:color w:val="000000"/>
          <w:sz w:val="26"/>
        </w:rPr>
        <w:t xml:space="preserve"> by the final rule</w:t>
      </w:r>
      <w:r w:rsidRPr="00A37677" w:rsidR="00AA1827">
        <w:rPr>
          <w:color w:val="000000"/>
          <w:sz w:val="26"/>
        </w:rPr>
        <w:t xml:space="preserve"> in</w:t>
      </w:r>
      <w:r w:rsidR="00DB7240">
        <w:rPr>
          <w:color w:val="000000"/>
          <w:sz w:val="26"/>
        </w:rPr>
        <w:t xml:space="preserve"> Docket No.</w:t>
      </w:r>
      <w:r w:rsidRPr="00A37677" w:rsidR="00AA1827">
        <w:rPr>
          <w:color w:val="000000"/>
          <w:sz w:val="26"/>
        </w:rPr>
        <w:t xml:space="preserve"> RM21-17-000.</w:t>
      </w:r>
    </w:p>
    <w:p w:rsidR="00BE558D" w:rsidP="00727320" w14:paraId="3AFBECFC" w14:textId="72EFD62C">
      <w:pPr>
        <w:pStyle w:val="FERCNopara"/>
        <w:spacing w:before="240" w:after="0"/>
        <w:ind w:firstLine="0"/>
      </w:pPr>
      <w:r>
        <w:t>The final rule</w:t>
      </w:r>
      <w:r w:rsidR="00C86DF6">
        <w:t>, Order 1920,</w:t>
      </w:r>
      <w:r>
        <w:t xml:space="preserve"> </w:t>
      </w:r>
      <w:r w:rsidRPr="00416AA9">
        <w:t>builds on Order Nos. 888, 890, and 1000, in which the Commission incrementally developed the requirements that govern</w:t>
      </w:r>
      <w:r>
        <w:t xml:space="preserve"> </w:t>
      </w:r>
      <w:r w:rsidRPr="00416AA9">
        <w:t xml:space="preserve">regional transmission planning and cost allocation processes to ensure that Commission-jurisdictional rates </w:t>
      </w:r>
      <w:r>
        <w:t xml:space="preserve">and practices </w:t>
      </w:r>
      <w:r w:rsidRPr="00416AA9">
        <w:t>remain just and reasonable and not unduly discriminatory or preferential.</w:t>
      </w:r>
      <w:r>
        <w:t xml:space="preserve"> </w:t>
      </w:r>
    </w:p>
    <w:p w:rsidR="00836EFE" w:rsidRPr="00E176F9" w:rsidP="00727320" w14:paraId="31BFF24E" w14:textId="5397DEB4">
      <w:pPr>
        <w:pStyle w:val="FERCNopara"/>
        <w:spacing w:before="240" w:after="0"/>
        <w:ind w:firstLine="0"/>
        <w:rPr>
          <w:u w:val="single"/>
        </w:rPr>
      </w:pPr>
      <w:r w:rsidRPr="00E176F9">
        <w:rPr>
          <w:u w:val="single"/>
        </w:rPr>
        <w:t>Order on Rehearing</w:t>
      </w:r>
    </w:p>
    <w:p w:rsidR="00C3046B" w:rsidP="00C3046B" w14:paraId="1D69690A" w14:textId="08FA0C3D">
      <w:pPr>
        <w:pStyle w:val="FERCNopara"/>
        <w:spacing w:before="240" w:after="0"/>
        <w:ind w:firstLine="0"/>
      </w:pPr>
      <w:r>
        <w:t>Th</w:t>
      </w:r>
      <w:r w:rsidR="00C86DF6">
        <w:t>is</w:t>
      </w:r>
      <w:r w:rsidR="0078293F">
        <w:t xml:space="preserve"> </w:t>
      </w:r>
      <w:r>
        <w:t>order</w:t>
      </w:r>
      <w:r w:rsidR="0078293F">
        <w:t xml:space="preserve"> on rehearing</w:t>
      </w:r>
      <w:r>
        <w:t xml:space="preserve">, </w:t>
      </w:r>
      <w:r w:rsidRPr="00522A7B">
        <w:t>Order No. 1920-A</w:t>
      </w:r>
      <w:r>
        <w:t>,</w:t>
      </w:r>
      <w:r w:rsidRPr="00522A7B">
        <w:t xml:space="preserve"> provides a number of clarifications on the required reforms and, in some instances, sets aside, in part, Order No. 1920 requirements in response to arguments made on rehearing.  </w:t>
      </w:r>
      <w:r>
        <w:t>Accordingly, i</w:t>
      </w:r>
      <w:r w:rsidRPr="00F71877" w:rsidR="00F71877">
        <w:t>n t</w:t>
      </w:r>
      <w:r w:rsidR="00E07BBF">
        <w:t>he</w:t>
      </w:r>
      <w:r w:rsidRPr="00F71877" w:rsidR="00F71877">
        <w:t xml:space="preserve"> order on rehearing, the Commission makes five substantive changes </w:t>
      </w:r>
      <w:r w:rsidR="00F71877">
        <w:t xml:space="preserve">to the </w:t>
      </w:r>
      <w:r w:rsidR="0078293F">
        <w:t>information collection requirements described in the final orde</w:t>
      </w:r>
      <w:r>
        <w:t>r</w:t>
      </w:r>
      <w:r w:rsidR="00955702">
        <w:t>.</w:t>
      </w:r>
      <w:r>
        <w:rPr>
          <w:rStyle w:val="FootnoteReference"/>
          <w:vertAlign w:val="superscript"/>
        </w:rPr>
        <w:footnoteReference w:id="5"/>
      </w:r>
    </w:p>
    <w:p w:rsidR="0078293F" w:rsidP="00C3046B" w14:paraId="7E2139D3" w14:textId="62316E82">
      <w:pPr>
        <w:pStyle w:val="FERCNopara"/>
        <w:numPr>
          <w:ilvl w:val="0"/>
          <w:numId w:val="37"/>
        </w:numPr>
        <w:spacing w:before="240" w:after="0"/>
      </w:pPr>
      <w:r w:rsidRPr="00F71877">
        <w:t xml:space="preserve">In Order No. 1920, the Commission required transmission providers in each transmission planning region to incorporate seven specific categories of factors in the development of Long-Term Scenarios.  Here, we set aside, in part, the requirement for transmission providers to incorporate seven specific categories of factors in the development of Long-Term Scenarios by excluding corporate commitments from Factor Category Seven.  We no longer require transmission providers to separately identify corporate commitments as a factor in their development of Long-Term Scenarios given that the effects of such commitments </w:t>
      </w:r>
      <w:r w:rsidRPr="00F71877">
        <w:t>will be sufficiently incorporated in Long-Term Regional Transmission Planning through the incorporation of other Factor Categories.</w:t>
      </w:r>
      <w:r>
        <w:t xml:space="preserve"> </w:t>
      </w:r>
    </w:p>
    <w:p w:rsidR="00C3046B" w:rsidP="00C3046B" w14:paraId="229CB0A7" w14:textId="1463CCCB">
      <w:pPr>
        <w:pStyle w:val="FERCNopara"/>
        <w:numPr>
          <w:ilvl w:val="0"/>
          <w:numId w:val="37"/>
        </w:numPr>
        <w:spacing w:before="240" w:after="0"/>
      </w:pPr>
      <w:r>
        <w:t>I</w:t>
      </w:r>
      <w:r w:rsidRPr="00F71877" w:rsidR="00F71877">
        <w:t xml:space="preserve">n Order No. 1920, the Commission required transmission providers in each transmission planning region to develop, at least once during the five-year Long-Term Regional Transmission Planning cycle, at least three distinct Long-Term Scenarios.  Here, we clarify that transmission providers, when requested by Relevant State Entities in a transmission planning region, are required to conduct a reasonable number of additional analyses or scenarios, to provide Relevant State Entities with information that they can use to inform the application of Long-Term Regional Cost Allocation Method(s) or the development of cost allocation methods through the State Agreement Process(es).  </w:t>
      </w:r>
    </w:p>
    <w:p w:rsidR="00F71877" w:rsidRPr="00F71877" w:rsidP="00C3046B" w14:paraId="634CE06A" w14:textId="2D020E7B">
      <w:pPr>
        <w:pStyle w:val="FERCNopara"/>
        <w:numPr>
          <w:ilvl w:val="0"/>
          <w:numId w:val="37"/>
        </w:numPr>
        <w:spacing w:before="240" w:after="0"/>
      </w:pPr>
      <w:r w:rsidRPr="00F71877">
        <w:t>In Order No. 1920, the Commission required transmission providers in each transmission planning region to revise the regional transmission planning process in their OATTs to outline an open and transparent process that provides stakeholders, including federally-recognized Tribes and states, with a meaningful opportunity to propose potential factors and to provide timely input on how to account for specific factors in the development of Long-Term Scenarios.  In addition, the Commission required transmission providers to post this information after stakeholders, including states, have had the meaningful opportunity to propose potential factors and to provide input on how to account for specific factors in the development of Long-Term Scenarios.  Here, we clarify that transmission providers must consult with and consider the positions of the Relevant State Entities and any other entity authorized by a Relevant State Entity as its representative as to how to account for factors related to states’ laws, policies, and regulations when determining</w:t>
      </w:r>
      <w:r w:rsidRPr="00F71877">
        <w:t xml:space="preserve"> the </w:t>
      </w:r>
      <w:r w:rsidRPr="00F71877">
        <w:t>assumptions that will be used in the development of Long-Term Scenarios.</w:t>
      </w:r>
    </w:p>
    <w:p w:rsidR="00F71877" w:rsidRPr="00F71877" w:rsidP="00C3046B" w14:paraId="174A26D7" w14:textId="70D880B6">
      <w:pPr>
        <w:pStyle w:val="FERCNopara"/>
        <w:numPr>
          <w:ilvl w:val="0"/>
          <w:numId w:val="37"/>
        </w:numPr>
        <w:spacing w:before="240" w:after="0"/>
      </w:pPr>
      <w:r w:rsidRPr="00F71877">
        <w:t xml:space="preserve">In Order No. 1920, the Commission required transmission providers’ evaluation processes, including selection criteria, to be transparent and not unduly discriminatory, and the Commission explained that transmission providers’ evaluation of Long-Term Regional Transmission Facilities must culminate in a determination that is sufficiently detailed for stakeholders to understand why a particular Long-Term Regional Transmission Facility (or portfolio of Long-Term Regional Transmission Facilities) was selected or not selected.  Here, we clarify that, </w:t>
      </w:r>
      <w:bookmarkStart w:id="0" w:name="_Hlk183000721"/>
      <w:r w:rsidRPr="00F71877">
        <w:t xml:space="preserve">once a transmission provider makes a selection decision, i.e., for each selected Long-Term Regional Transmission Facility (or portfolio of such Facilities), and, if a State Agreement Process is used, once a cost allocation </w:t>
      </w:r>
      <w:r w:rsidRPr="00F71877">
        <w:t>method is agreed upon, transmission providers must make available, on a password-protected portion of OASIS or other password-protected website, a breakdown of how those estimated costs will be allocated, by zone (i.e., by transmission provider retail distribution service territory/footprint or RTO/ISO transmission pricing zone), and a quantification of those estimated benefits as imputed to each zone</w:t>
      </w:r>
      <w:bookmarkEnd w:id="0"/>
      <w:r w:rsidRPr="00F71877">
        <w:t xml:space="preserve">, as such benefits can be reasonably estimated.  </w:t>
      </w:r>
    </w:p>
    <w:p w:rsidR="00F71877" w:rsidP="00C3046B" w14:paraId="12C0C1E7" w14:textId="2C031C1F">
      <w:pPr>
        <w:pStyle w:val="FERCNopara"/>
        <w:numPr>
          <w:ilvl w:val="0"/>
          <w:numId w:val="37"/>
        </w:numPr>
        <w:spacing w:before="240" w:after="0"/>
      </w:pPr>
      <w:r w:rsidRPr="00F71877">
        <w:t>In Order No. 1920, the Commission declined to require future Engagement Periods, but noted that transmission providers may hold future Engagement Periods if they believe that such periods would be beneficial.  Here, we set aside Order No. 1920, in part, and require that, as part of transmission providers’ obligations with respect to transmission planning and cost allocation, transmission providers shall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w:t>
      </w:r>
    </w:p>
    <w:p w:rsidR="00A831F6" w:rsidRPr="00F71877" w:rsidP="00AA16BF" w14:paraId="201AFADC" w14:textId="77777777">
      <w:pPr>
        <w:pStyle w:val="FERCNopara"/>
        <w:spacing w:before="240" w:after="0"/>
        <w:ind w:left="720" w:firstLine="0"/>
      </w:pPr>
    </w:p>
    <w:p w:rsidR="00266C35" w:rsidP="009B7C8F" w14:paraId="7BAE9711" w14:textId="07F78CCE">
      <w:pPr>
        <w:pStyle w:val="NormalWeb"/>
        <w:tabs>
          <w:tab w:val="left" w:pos="360"/>
        </w:tabs>
        <w:spacing w:before="0" w:line="240" w:lineRule="auto"/>
      </w:pPr>
      <w:r w:rsidRPr="00A37677">
        <w:rPr>
          <w:b/>
          <w:sz w:val="26"/>
        </w:rPr>
        <w:t>2.</w:t>
      </w:r>
      <w:r w:rsidRPr="00A37677">
        <w:rPr>
          <w:b/>
          <w:sz w:val="26"/>
        </w:rPr>
        <w:tab/>
      </w:r>
      <w:bookmarkStart w:id="1" w:name="_Hlk106707794"/>
      <w:r w:rsidRPr="001149BE" w:rsidR="001149BE">
        <w:rPr>
          <w:b/>
          <w:sz w:val="26"/>
        </w:rPr>
        <w:t>HOW, BY WHOM, AND FOR WHAT PURPOSE THE INFORMATION IS TO BE USED AND THE CONSEQUENCES OF NOT COLLECTING THE INFORMATION</w:t>
      </w:r>
      <w:bookmarkEnd w:id="1"/>
    </w:p>
    <w:p w:rsidR="00C87274" w:rsidP="00727320" w14:paraId="679CC65F" w14:textId="3C02A0EC">
      <w:pPr>
        <w:spacing w:line="240" w:lineRule="auto"/>
        <w:rPr>
          <w:sz w:val="26"/>
          <w:u w:val="single"/>
        </w:rPr>
      </w:pPr>
      <w:r>
        <w:rPr>
          <w:sz w:val="26"/>
          <w:u w:val="single"/>
        </w:rPr>
        <w:t>FERC-917 Information Collection</w:t>
      </w:r>
    </w:p>
    <w:p w:rsidR="00C87274" w:rsidP="00727320" w14:paraId="1783C68E" w14:textId="070FBA5C">
      <w:pPr>
        <w:spacing w:line="240" w:lineRule="auto"/>
        <w:rPr>
          <w:sz w:val="26"/>
        </w:rPr>
      </w:pPr>
      <w:r>
        <w:rPr>
          <w:sz w:val="26"/>
        </w:rPr>
        <w:t xml:space="preserve">The </w:t>
      </w:r>
      <w:r w:rsidR="00820528">
        <w:rPr>
          <w:sz w:val="26"/>
        </w:rPr>
        <w:t>final rule</w:t>
      </w:r>
      <w:r w:rsidR="00147EBF">
        <w:rPr>
          <w:sz w:val="26"/>
        </w:rPr>
        <w:t xml:space="preserve"> in Order 1920</w:t>
      </w:r>
      <w:r w:rsidR="00820528">
        <w:rPr>
          <w:sz w:val="26"/>
        </w:rPr>
        <w:t xml:space="preserve"> builds on Order No. 1000, which required public utility transmission providers to participate in a regional transmission planning process that results in the development of a regional transmission plan.  The ongoing information collection activities associated with </w:t>
      </w:r>
      <w:r>
        <w:rPr>
          <w:sz w:val="26"/>
        </w:rPr>
        <w:t xml:space="preserve">the </w:t>
      </w:r>
      <w:r w:rsidR="00820528">
        <w:rPr>
          <w:sz w:val="26"/>
        </w:rPr>
        <w:t xml:space="preserve">final rule </w:t>
      </w:r>
      <w:r>
        <w:rPr>
          <w:sz w:val="26"/>
        </w:rPr>
        <w:t xml:space="preserve">and the order on rehearing </w:t>
      </w:r>
      <w:r w:rsidR="00820528">
        <w:rPr>
          <w:sz w:val="26"/>
        </w:rPr>
        <w:t xml:space="preserve">are the incremental requirements </w:t>
      </w:r>
      <w:r w:rsidR="00DA23F4">
        <w:rPr>
          <w:sz w:val="26"/>
        </w:rPr>
        <w:t xml:space="preserve">associated with developing </w:t>
      </w:r>
      <w:r w:rsidR="00171B1F">
        <w:rPr>
          <w:sz w:val="26"/>
        </w:rPr>
        <w:t>a regional transmission plan</w:t>
      </w:r>
      <w:r w:rsidR="00A7415E">
        <w:rPr>
          <w:sz w:val="26"/>
        </w:rPr>
        <w:t xml:space="preserve"> by, for example, performing Long-Term Regional Transmission Planning</w:t>
      </w:r>
      <w:r w:rsidR="0006387E">
        <w:rPr>
          <w:sz w:val="26"/>
        </w:rPr>
        <w:t>.</w:t>
      </w:r>
    </w:p>
    <w:p w:rsidR="002F11FA" w:rsidP="00DE2574" w14:paraId="77D05EDE" w14:textId="283E35CE">
      <w:pPr>
        <w:spacing w:line="240" w:lineRule="auto"/>
        <w:rPr>
          <w:sz w:val="26"/>
        </w:rPr>
      </w:pPr>
      <w:r>
        <w:rPr>
          <w:sz w:val="26"/>
        </w:rPr>
        <w:t>Additionally, t</w:t>
      </w:r>
      <w:r w:rsidRPr="00F81A82">
        <w:rPr>
          <w:sz w:val="26"/>
        </w:rPr>
        <w:t>he final rule</w:t>
      </w:r>
      <w:r w:rsidR="006A29A2">
        <w:rPr>
          <w:sz w:val="26"/>
        </w:rPr>
        <w:t xml:space="preserve"> and order on rehearing</w:t>
      </w:r>
      <w:r w:rsidRPr="00F81A82">
        <w:rPr>
          <w:sz w:val="26"/>
        </w:rPr>
        <w:t xml:space="preserve"> require</w:t>
      </w:r>
      <w:r w:rsidR="005552FC">
        <w:rPr>
          <w:sz w:val="26"/>
        </w:rPr>
        <w:t>s</w:t>
      </w:r>
      <w:r w:rsidRPr="00F81A82">
        <w:rPr>
          <w:sz w:val="26"/>
        </w:rPr>
        <w:t xml:space="preserve"> public utilities to </w:t>
      </w:r>
      <w:r w:rsidR="007C6641">
        <w:rPr>
          <w:sz w:val="26"/>
        </w:rPr>
        <w:t>modify</w:t>
      </w:r>
      <w:r w:rsidRPr="00F81A82">
        <w:rPr>
          <w:sz w:val="26"/>
        </w:rPr>
        <w:t xml:space="preserve"> their tariffs and jurisdictional agreements</w:t>
      </w:r>
      <w:r>
        <w:rPr>
          <w:sz w:val="26"/>
        </w:rPr>
        <w:t xml:space="preserve"> to </w:t>
      </w:r>
      <w:r w:rsidR="007C6641">
        <w:rPr>
          <w:sz w:val="26"/>
        </w:rPr>
        <w:t>comply with the Commission’s</w:t>
      </w:r>
      <w:r>
        <w:rPr>
          <w:sz w:val="26"/>
        </w:rPr>
        <w:t xml:space="preserve"> revised transmission planning and cost allocation requirements</w:t>
      </w:r>
      <w:r w:rsidRPr="00F81A82">
        <w:rPr>
          <w:sz w:val="26"/>
        </w:rPr>
        <w:t xml:space="preserve">. </w:t>
      </w:r>
      <w:r w:rsidR="007C6641">
        <w:rPr>
          <w:sz w:val="26"/>
        </w:rPr>
        <w:t xml:space="preserve"> </w:t>
      </w:r>
      <w:r w:rsidRPr="00DF1859" w:rsidR="007C6641">
        <w:rPr>
          <w:sz w:val="26"/>
        </w:rPr>
        <w:t xml:space="preserve">The Commission will use the information collected in compliance filings to </w:t>
      </w:r>
      <w:r w:rsidRPr="00DF1859" w:rsidR="006A29A2">
        <w:rPr>
          <w:sz w:val="26"/>
        </w:rPr>
        <w:t>th</w:t>
      </w:r>
      <w:r w:rsidR="006A29A2">
        <w:rPr>
          <w:sz w:val="26"/>
        </w:rPr>
        <w:t>e</w:t>
      </w:r>
      <w:r w:rsidRPr="00DF1859" w:rsidR="006A29A2">
        <w:rPr>
          <w:sz w:val="26"/>
        </w:rPr>
        <w:t xml:space="preserve"> </w:t>
      </w:r>
      <w:r w:rsidRPr="00DF1859" w:rsidR="007C6641">
        <w:rPr>
          <w:sz w:val="26"/>
        </w:rPr>
        <w:t>final rule</w:t>
      </w:r>
      <w:r w:rsidR="006A29A2">
        <w:rPr>
          <w:sz w:val="26"/>
        </w:rPr>
        <w:t xml:space="preserve"> and order on rehearing</w:t>
      </w:r>
      <w:r w:rsidRPr="00DF1859" w:rsidR="007C6641">
        <w:rPr>
          <w:sz w:val="26"/>
        </w:rPr>
        <w:t xml:space="preserve"> to determine whether each transmission provider complies with the final rule </w:t>
      </w:r>
      <w:r w:rsidR="003628FE">
        <w:rPr>
          <w:sz w:val="26"/>
        </w:rPr>
        <w:t xml:space="preserve">and order on rehearing </w:t>
      </w:r>
      <w:r w:rsidRPr="00DF1859" w:rsidR="007C6641">
        <w:rPr>
          <w:sz w:val="26"/>
        </w:rPr>
        <w:t>s</w:t>
      </w:r>
      <w:r w:rsidRPr="00DF1859" w:rsidR="007C6641">
        <w:rPr>
          <w:sz w:val="26"/>
        </w:rPr>
        <w:t>uch that the rates, terms, and conditions for Commission-jurisdictional services are just and reasonable and not unduly discriminatory or preferential.</w:t>
      </w:r>
      <w:r w:rsidR="007C6641">
        <w:rPr>
          <w:sz w:val="26"/>
        </w:rPr>
        <w:t xml:space="preserve"> </w:t>
      </w:r>
      <w:r w:rsidRPr="00F81A82">
        <w:rPr>
          <w:sz w:val="26"/>
        </w:rPr>
        <w:t xml:space="preserve"> T</w:t>
      </w:r>
      <w:r>
        <w:rPr>
          <w:sz w:val="26"/>
        </w:rPr>
        <w:t xml:space="preserve">herefore, </w:t>
      </w:r>
      <w:r>
        <w:rPr>
          <w:sz w:val="26"/>
        </w:rPr>
        <w:t>in addition to the ongoing information collection burdens described below, all of t</w:t>
      </w:r>
      <w:r w:rsidRPr="00F81A82">
        <w:rPr>
          <w:sz w:val="26"/>
        </w:rPr>
        <w:t xml:space="preserve">he </w:t>
      </w:r>
      <w:r>
        <w:rPr>
          <w:sz w:val="26"/>
        </w:rPr>
        <w:t xml:space="preserve">reforms required by </w:t>
      </w:r>
      <w:r w:rsidR="006A29A2">
        <w:rPr>
          <w:sz w:val="26"/>
        </w:rPr>
        <w:t xml:space="preserve">the </w:t>
      </w:r>
      <w:r>
        <w:rPr>
          <w:sz w:val="26"/>
        </w:rPr>
        <w:t>final rule</w:t>
      </w:r>
      <w:r w:rsidR="006A29A2">
        <w:rPr>
          <w:sz w:val="26"/>
        </w:rPr>
        <w:t xml:space="preserve"> and order on rehearing</w:t>
      </w:r>
      <w:r>
        <w:rPr>
          <w:sz w:val="26"/>
        </w:rPr>
        <w:t xml:space="preserve"> </w:t>
      </w:r>
      <w:r w:rsidRPr="00F81A82">
        <w:rPr>
          <w:sz w:val="26"/>
        </w:rPr>
        <w:t xml:space="preserve">would </w:t>
      </w:r>
      <w:r>
        <w:rPr>
          <w:sz w:val="26"/>
        </w:rPr>
        <w:t>entail</w:t>
      </w:r>
      <w:r w:rsidRPr="00F81A82">
        <w:rPr>
          <w:sz w:val="26"/>
        </w:rPr>
        <w:t xml:space="preserve"> one-time information collection activities related to changing public utilities’ tariffs and jurisdictional agreements</w:t>
      </w:r>
      <w:r>
        <w:rPr>
          <w:sz w:val="26"/>
        </w:rPr>
        <w:t>.</w:t>
      </w:r>
    </w:p>
    <w:p w:rsidR="00DE736C" w:rsidRPr="00551205" w:rsidP="00DE2574" w14:paraId="17DC6766" w14:textId="6199D797">
      <w:pPr>
        <w:spacing w:line="240" w:lineRule="auto"/>
        <w:rPr>
          <w:sz w:val="26"/>
        </w:rPr>
      </w:pPr>
      <w:r>
        <w:rPr>
          <w:sz w:val="26"/>
        </w:rPr>
        <w:t xml:space="preserve">Further, in Order 1920-A, </w:t>
      </w:r>
      <w:r w:rsidRPr="0036134B">
        <w:rPr>
          <w:sz w:val="26"/>
        </w:rPr>
        <w:t>we adopt a number of modifications and clarifications to address the concerns raised in response to Order No. 1920.  Order No. 1920 recognized the</w:t>
      </w:r>
      <w:r w:rsidRPr="0036134B">
        <w:rPr>
          <w:sz w:val="26"/>
        </w:rPr>
        <w:t xml:space="preserve"> </w:t>
      </w:r>
      <w:r w:rsidRPr="0036134B">
        <w:rPr>
          <w:sz w:val="26"/>
        </w:rPr>
        <w:t>role that states will play in Long-Term Regional Transmission Planning and established various requirements to facilitate their participation in those processes</w:t>
      </w:r>
      <w:r w:rsidR="00A34339">
        <w:rPr>
          <w:sz w:val="26"/>
        </w:rPr>
        <w:t>;</w:t>
      </w:r>
      <w:r w:rsidRPr="00551205">
        <w:rPr>
          <w:sz w:val="26"/>
        </w:rPr>
        <w:t xml:space="preserve"> including</w:t>
      </w:r>
      <w:r w:rsidR="00A34339">
        <w:rPr>
          <w:sz w:val="26"/>
        </w:rPr>
        <w:t xml:space="preserve"> the requirement </w:t>
      </w:r>
      <w:r w:rsidR="00000556">
        <w:rPr>
          <w:sz w:val="26"/>
        </w:rPr>
        <w:t xml:space="preserve">for </w:t>
      </w:r>
      <w:r>
        <w:rPr>
          <w:sz w:val="26"/>
        </w:rPr>
        <w:t>t</w:t>
      </w:r>
      <w:r w:rsidRPr="00551205">
        <w:rPr>
          <w:sz w:val="26"/>
        </w:rPr>
        <w:t xml:space="preserve">ransmission providers to engage with states in developing cost allocation approaches for Long-Term Regional Transmission Facilities.  With this order, </w:t>
      </w:r>
      <w:r w:rsidR="00000556">
        <w:rPr>
          <w:sz w:val="26"/>
        </w:rPr>
        <w:t>FERC</w:t>
      </w:r>
      <w:r w:rsidRPr="00551205">
        <w:rPr>
          <w:sz w:val="26"/>
        </w:rPr>
        <w:t xml:space="preserve"> reaffirm</w:t>
      </w:r>
      <w:r w:rsidR="00293B4F">
        <w:rPr>
          <w:sz w:val="26"/>
        </w:rPr>
        <w:t>ed</w:t>
      </w:r>
      <w:r w:rsidRPr="00551205">
        <w:rPr>
          <w:sz w:val="26"/>
        </w:rPr>
        <w:t xml:space="preserve"> </w:t>
      </w:r>
      <w:r w:rsidRPr="00551205">
        <w:rPr>
          <w:sz w:val="26"/>
        </w:rPr>
        <w:t xml:space="preserve">that meaningful engagement with states is critical to the success of the Long-Term Regional Transmission Planning reforms established in Order No. 1920.  Specifically, in response to rehearing and clarification requests, we better integrate states’ input into regional transmission planning and cost allocation processes, both in the transmission providers’ development of Order No. 1920 compliance filings and the ongoing implementation of these reforms in the future.  These modifications and clarifications address many of the concerns raised in the rehearing requests submitted in response to Order No. 1920, and they will increase the likelihood that Long-Term Regional Transmission Planning results in efficient and cost-effective transmission investment.  </w:t>
      </w:r>
    </w:p>
    <w:p w:rsidR="001B42C3" w:rsidRPr="001B42C3" w:rsidP="001B42C3" w14:paraId="04E3E387" w14:textId="09726B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3.</w:t>
      </w:r>
      <w:r w:rsidRPr="00A37677">
        <w:rPr>
          <w:b/>
          <w:sz w:val="26"/>
        </w:rPr>
        <w:tab/>
      </w:r>
      <w:r w:rsidRPr="001B42C3">
        <w:rPr>
          <w:b/>
          <w:sz w:val="26"/>
        </w:rPr>
        <w:t xml:space="preserve">DESCRIBE ANY CONSIDERATION OF THE USE OF IMPROVED TECHNOLOGY TO REDUCE BURDEN AND TECHNICAL OR LEGAL OBSTACLES TO REDUCING BURDEN.  </w:t>
      </w:r>
    </w:p>
    <w:p w:rsidR="00DE2BC9" w:rsidRPr="00DE2BC9" w:rsidP="008B135D" w14:paraId="3E07B2AC" w14:textId="00329EA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 xml:space="preserve">The </w:t>
      </w:r>
      <w:r w:rsidRPr="00DE2BC9">
        <w:rPr>
          <w:bCs/>
          <w:sz w:val="26"/>
        </w:rPr>
        <w:t xml:space="preserve">Commission expects that public utilities will revise their tariffs in accordance with the final rule </w:t>
      </w:r>
      <w:r w:rsidR="00204D2A">
        <w:rPr>
          <w:bCs/>
          <w:sz w:val="26"/>
        </w:rPr>
        <w:t xml:space="preserve">and order on rehearing </w:t>
      </w:r>
      <w:r w:rsidRPr="00DE2BC9">
        <w:rPr>
          <w:bCs/>
          <w:sz w:val="26"/>
        </w:rPr>
        <w:t xml:space="preserve">in this docket by filing electronically using eTariff (described at </w:t>
      </w:r>
      <w:hyperlink r:id="rId10" w:history="1">
        <w:r w:rsidRPr="00D325A1" w:rsidR="00F13844">
          <w:rPr>
            <w:rStyle w:val="Hyperlink"/>
            <w:bCs/>
            <w:sz w:val="26"/>
          </w:rPr>
          <w:t>https://www.ferc.gov/ferc-online/etariff</w:t>
        </w:r>
      </w:hyperlink>
      <w:r w:rsidRPr="00DE2BC9">
        <w:rPr>
          <w:bCs/>
          <w:sz w:val="26"/>
        </w:rPr>
        <w:t>).</w:t>
      </w:r>
      <w:r w:rsidR="00A82A1B">
        <w:rPr>
          <w:bCs/>
          <w:sz w:val="26"/>
        </w:rPr>
        <w:t xml:space="preserve">  </w:t>
      </w:r>
      <w:r w:rsidRPr="00DE2BC9">
        <w:rPr>
          <w:bCs/>
          <w:sz w:val="26"/>
        </w:rPr>
        <w:t>The tariffs are available to the public on the internet through the Commission’s eTariff viewer.  The compliance filings and agency action on the filings are also publicly available on ferc.gov in eLibrary.</w:t>
      </w:r>
      <w:r w:rsidR="008B135D">
        <w:rPr>
          <w:bCs/>
          <w:sz w:val="26"/>
        </w:rPr>
        <w:br/>
      </w:r>
    </w:p>
    <w:p w:rsidR="00B94B7B" w:rsidP="00B845A0" w14:paraId="40A5D15A" w14:textId="5CAC7B1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bCs/>
          <w:sz w:val="26"/>
        </w:rPr>
      </w:pPr>
      <w:r>
        <w:rPr>
          <w:bCs/>
          <w:sz w:val="26"/>
        </w:rPr>
        <w:t>Additionally, t</w:t>
      </w:r>
      <w:r w:rsidRPr="000645D2" w:rsidR="000645D2">
        <w:rPr>
          <w:bCs/>
          <w:sz w:val="26"/>
        </w:rPr>
        <w:t xml:space="preserve">he Commission </w:t>
      </w:r>
      <w:r w:rsidR="002D5CB2">
        <w:rPr>
          <w:bCs/>
          <w:sz w:val="26"/>
        </w:rPr>
        <w:t xml:space="preserve">requires </w:t>
      </w:r>
      <w:r w:rsidRPr="000645D2" w:rsidR="000645D2">
        <w:rPr>
          <w:bCs/>
          <w:sz w:val="26"/>
        </w:rPr>
        <w:t xml:space="preserve">public utility transmission providers to provide transmission customers with equal and timely access to transmission and ancillary service tariff information through Open Access Same-Time Information System (OASIS) </w:t>
      </w:r>
      <w:r w:rsidRPr="000645D2" w:rsidR="000645D2">
        <w:rPr>
          <w:bCs/>
          <w:sz w:val="26"/>
        </w:rPr>
        <w:t>website postings.</w:t>
      </w:r>
      <w:r>
        <w:rPr>
          <w:b/>
          <w:bCs/>
          <w:sz w:val="26"/>
          <w:vertAlign w:val="superscript"/>
        </w:rPr>
        <w:footnoteReference w:id="6"/>
      </w:r>
      <w:r w:rsidR="00397B03">
        <w:rPr>
          <w:bCs/>
          <w:sz w:val="26"/>
        </w:rPr>
        <w:t xml:space="preserve">  </w:t>
      </w:r>
      <w:r w:rsidRPr="00ED34FA" w:rsidR="00ED34FA">
        <w:rPr>
          <w:bCs/>
          <w:sz w:val="26"/>
        </w:rPr>
        <w:t>OASIS website posting is ongoing and used by the public utility transmission providers and stakeholders to improve the processes of</w:t>
      </w:r>
      <w:r w:rsidR="00E9038F">
        <w:rPr>
          <w:bCs/>
          <w:sz w:val="26"/>
        </w:rPr>
        <w:t xml:space="preserve">: </w:t>
      </w:r>
      <w:r w:rsidRPr="00ED34FA" w:rsidR="00ED34FA">
        <w:rPr>
          <w:bCs/>
          <w:sz w:val="26"/>
        </w:rPr>
        <w:t xml:space="preserve"> (1) planning transmission projects; (2) considering transmission needs; (3) determining possible alternatives that would be more efficient or cost effective; and (4) allocating costs of transmission projects among the beneficiaries of the projects.</w:t>
      </w:r>
      <w:r w:rsidR="00B827FA">
        <w:rPr>
          <w:bCs/>
          <w:sz w:val="26"/>
        </w:rPr>
        <w:t xml:space="preserve">  </w:t>
      </w:r>
      <w:r w:rsidRPr="00B827FA" w:rsidR="00204D2A">
        <w:rPr>
          <w:bCs/>
          <w:sz w:val="26"/>
        </w:rPr>
        <w:t>Th</w:t>
      </w:r>
      <w:r w:rsidR="00204D2A">
        <w:rPr>
          <w:bCs/>
          <w:sz w:val="26"/>
        </w:rPr>
        <w:t>e</w:t>
      </w:r>
      <w:r w:rsidRPr="00B827FA" w:rsidR="00204D2A">
        <w:rPr>
          <w:bCs/>
          <w:sz w:val="26"/>
        </w:rPr>
        <w:t xml:space="preserve"> </w:t>
      </w:r>
      <w:r w:rsidRPr="00B827FA" w:rsidR="00B827FA">
        <w:rPr>
          <w:bCs/>
          <w:sz w:val="26"/>
        </w:rPr>
        <w:t xml:space="preserve">final rule </w:t>
      </w:r>
      <w:r w:rsidR="00204D2A">
        <w:rPr>
          <w:bCs/>
          <w:sz w:val="26"/>
        </w:rPr>
        <w:t xml:space="preserve">and order on rehearing </w:t>
      </w:r>
      <w:r w:rsidRPr="00B827FA" w:rsidR="00B827FA">
        <w:rPr>
          <w:bCs/>
          <w:sz w:val="26"/>
        </w:rPr>
        <w:t>r</w:t>
      </w:r>
      <w:r w:rsidRPr="00B827FA" w:rsidR="00B827FA">
        <w:rPr>
          <w:bCs/>
          <w:sz w:val="26"/>
        </w:rPr>
        <w:t xml:space="preserve">equires public utilities to post certain data to their OASIS site on an ongoing basis, in a manner similar to </w:t>
      </w:r>
      <w:r w:rsidR="005159E1">
        <w:rPr>
          <w:bCs/>
          <w:sz w:val="26"/>
        </w:rPr>
        <w:t>currently</w:t>
      </w:r>
      <w:r w:rsidRPr="00B827FA" w:rsidR="00B827FA">
        <w:rPr>
          <w:bCs/>
          <w:sz w:val="26"/>
        </w:rPr>
        <w:t xml:space="preserve"> existing reporting requirements.  </w:t>
      </w:r>
    </w:p>
    <w:p w:rsidR="00777C8E" w:rsidRPr="00777C8E" w:rsidP="00777C8E" w14:paraId="2687CAEC" w14:textId="77777777">
      <w:pPr>
        <w:tabs>
          <w:tab w:val="left" w:pos="450"/>
        </w:tabs>
        <w:spacing w:line="240" w:lineRule="auto"/>
        <w:ind w:left="432" w:hanging="432"/>
        <w:rPr>
          <w:b/>
          <w:sz w:val="26"/>
        </w:rPr>
      </w:pPr>
      <w:r w:rsidRPr="00A37677">
        <w:rPr>
          <w:b/>
          <w:sz w:val="26"/>
        </w:rPr>
        <w:t>4.</w:t>
      </w:r>
      <w:r w:rsidRPr="00A37677">
        <w:rPr>
          <w:b/>
          <w:sz w:val="26"/>
        </w:rPr>
        <w:tab/>
      </w:r>
      <w:r w:rsidRPr="00777C8E">
        <w:rPr>
          <w:b/>
          <w:sz w:val="26"/>
        </w:rPr>
        <w:t>DESCRIBE EFFORTS TO IDENTIFY DUPLICATION AND SHOW SPECIFICALLY WHY ANY SIMILAR INFORMATION ALREADY AVAILABLE CANNOT BE USED OR MODIFIED FOR USE FOR THE PURPOSE(S) DESCRIBED IN INSTRUCTION NO. 2.</w:t>
      </w:r>
    </w:p>
    <w:p w:rsidR="00D02682" w:rsidP="00E67CA3" w14:paraId="7CD2A78A" w14:textId="6CABF6D7">
      <w:pPr>
        <w:tabs>
          <w:tab w:val="left" w:pos="450"/>
        </w:tabs>
        <w:spacing w:line="240" w:lineRule="auto"/>
        <w:rPr>
          <w:bCs/>
          <w:sz w:val="26"/>
        </w:rPr>
      </w:pPr>
      <w:r w:rsidRPr="00D02682">
        <w:rPr>
          <w:bCs/>
          <w:sz w:val="26"/>
        </w:rPr>
        <w:t>The Commission is the only federal agency to regulate interstate electric power transmission; therefore, other agencies would not be expected to collect this tariff-specific information.  There is no other known source for the information.</w:t>
      </w:r>
    </w:p>
    <w:p w:rsidR="008F5EA7" w:rsidRPr="00D02682" w:rsidP="00E67CA3" w14:paraId="532B3AF1" w14:textId="454ED874">
      <w:pPr>
        <w:tabs>
          <w:tab w:val="left" w:pos="450"/>
        </w:tabs>
        <w:spacing w:line="240" w:lineRule="auto"/>
        <w:rPr>
          <w:bCs/>
          <w:sz w:val="26"/>
        </w:rPr>
      </w:pPr>
      <w:r w:rsidRPr="00D02682">
        <w:rPr>
          <w:bCs/>
          <w:sz w:val="26"/>
        </w:rPr>
        <w:t>The Commission periodically reviews filing requirements concurrent with OMB review or as the Commission deems necessary to eliminate duplicative filing and to minimize the filing burden.</w:t>
      </w:r>
    </w:p>
    <w:p w:rsidR="003825FC" w:rsidRPr="003825FC" w:rsidP="003825FC" w14:paraId="1B2C6F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5.</w:t>
      </w:r>
      <w:r w:rsidRPr="00A37677">
        <w:rPr>
          <w:b/>
          <w:sz w:val="26"/>
        </w:rPr>
        <w:tab/>
      </w:r>
      <w:r w:rsidRPr="003825FC">
        <w:rPr>
          <w:b/>
          <w:sz w:val="26"/>
        </w:rPr>
        <w:t xml:space="preserve">METHODS USED TO MINIMIZE BURDEN IN COLLECTION OF INFORMATION INVOLVING SMALL ENTITIES </w:t>
      </w:r>
    </w:p>
    <w:p w:rsidR="00190129" w:rsidP="003825FC" w14:paraId="48E2851B" w14:textId="2EBC22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6"/>
        </w:rPr>
      </w:pPr>
      <w:r w:rsidRPr="005E3360">
        <w:rPr>
          <w:sz w:val="26"/>
        </w:rPr>
        <w:t xml:space="preserve">The collection of this data imposes the least possible burden for small and large entities while </w:t>
      </w:r>
      <w:r w:rsidRPr="001C4BE8" w:rsidR="001C4BE8">
        <w:rPr>
          <w:sz w:val="26"/>
        </w:rPr>
        <w:t>collecting the information the Commission deems necessary to perform its statutory responsibilities.</w:t>
      </w:r>
      <w:r w:rsidR="00FA70D8">
        <w:rPr>
          <w:sz w:val="26"/>
        </w:rPr>
        <w:t xml:space="preserve"> For example, the Commission encourages electronic filing of compliance filings and provides opportunities for support through the Commission’s FERC Online help desk.</w:t>
      </w:r>
      <w:r>
        <w:rPr>
          <w:rStyle w:val="FootnoteReference"/>
          <w:sz w:val="26"/>
          <w:vertAlign w:val="superscript"/>
        </w:rPr>
        <w:footnoteReference w:id="7"/>
      </w:r>
      <w:r w:rsidR="00FA70D8">
        <w:rPr>
          <w:sz w:val="26"/>
        </w:rPr>
        <w:t xml:space="preserve"> </w:t>
      </w:r>
    </w:p>
    <w:p w:rsidR="00FA70D8" w:rsidP="003825FC" w14:paraId="6A0E8308" w14:textId="637CE55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6"/>
        </w:rPr>
      </w:pPr>
      <w:r>
        <w:rPr>
          <w:sz w:val="26"/>
        </w:rPr>
        <w:t xml:space="preserve">The OATT is a unique document in the sense that </w:t>
      </w:r>
      <w:r w:rsidR="00C0327F">
        <w:rPr>
          <w:sz w:val="26"/>
        </w:rPr>
        <w:t>the updates in the OATT simply need to be reflected into a regulated entity</w:t>
      </w:r>
      <w:r w:rsidR="00A82E46">
        <w:rPr>
          <w:sz w:val="26"/>
        </w:rPr>
        <w:t>’s</w:t>
      </w:r>
      <w:r w:rsidR="00C0327F">
        <w:rPr>
          <w:sz w:val="26"/>
        </w:rPr>
        <w:t xml:space="preserve"> </w:t>
      </w:r>
      <w:r w:rsidR="00854959">
        <w:rPr>
          <w:sz w:val="26"/>
        </w:rPr>
        <w:t>tariff. For most fliers, including small entities, this is a minor task</w:t>
      </w:r>
      <w:r w:rsidR="007B5C56">
        <w:rPr>
          <w:sz w:val="26"/>
        </w:rPr>
        <w:t xml:space="preserve"> to make the appropriate language updates. Furthermore, both small and </w:t>
      </w:r>
      <w:r w:rsidR="007B5C56">
        <w:rPr>
          <w:sz w:val="26"/>
        </w:rPr>
        <w:t>large entities are typically able to recover the</w:t>
      </w:r>
      <w:r w:rsidR="00986F61">
        <w:rPr>
          <w:sz w:val="26"/>
        </w:rPr>
        <w:t xml:space="preserve">ir costs within their rates if they are in compliance with federal regulations. </w:t>
      </w:r>
    </w:p>
    <w:p w:rsidR="0083205D" w:rsidRPr="00973CAF" w:rsidP="00E67CA3" w14:paraId="34B5B0AB" w14:textId="0B8BB800">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sidRPr="00A37677">
        <w:rPr>
          <w:b/>
          <w:sz w:val="26"/>
        </w:rPr>
        <w:t>6.</w:t>
      </w:r>
      <w:r w:rsidRPr="00A37677">
        <w:rPr>
          <w:b/>
          <w:sz w:val="26"/>
        </w:rPr>
        <w:tab/>
      </w:r>
      <w:r w:rsidRPr="00CA1318" w:rsidR="00CA1318">
        <w:rPr>
          <w:b/>
          <w:sz w:val="26"/>
        </w:rPr>
        <w:t>CONSEQUENCE TO FEDERAL PROGRAM IF COLLECTION WERE CONDUCTED LESS FREQUENTLY</w:t>
      </w:r>
    </w:p>
    <w:p w:rsidR="00745CD1" w:rsidRPr="00745CD1" w:rsidP="00E67CA3" w14:paraId="1EEBD023" w14:textId="666E5292">
      <w:pPr>
        <w:spacing w:line="240" w:lineRule="auto"/>
        <w:rPr>
          <w:bCs/>
          <w:sz w:val="26"/>
        </w:rPr>
      </w:pPr>
      <w:r w:rsidRPr="00745CD1">
        <w:rPr>
          <w:bCs/>
          <w:sz w:val="26"/>
        </w:rPr>
        <w:t>If the Commission conducted these collections less frequently or did not conduct them at all, the Commission would be unable to fulfill its statutory obligation to ensure that rates, terms, and conditions of Commission-jurisdictional services are just and reasonable and not unduly discriminatory or preferential.</w:t>
      </w:r>
    </w:p>
    <w:p w:rsidR="00745CD1" w:rsidRPr="00745CD1" w:rsidP="00E67CA3" w14:paraId="579C942C" w14:textId="6783C815">
      <w:pPr>
        <w:spacing w:line="240" w:lineRule="auto"/>
        <w:rPr>
          <w:bCs/>
          <w:sz w:val="26"/>
        </w:rPr>
      </w:pPr>
      <w:r w:rsidRPr="00745CD1">
        <w:rPr>
          <w:bCs/>
          <w:sz w:val="26"/>
        </w:rPr>
        <w:t>The reforms adopted by</w:t>
      </w:r>
      <w:r w:rsidRPr="00745CD1">
        <w:rPr>
          <w:bCs/>
          <w:sz w:val="26"/>
        </w:rPr>
        <w:t xml:space="preserve"> </w:t>
      </w:r>
      <w:r w:rsidRPr="00745CD1" w:rsidR="0056628B">
        <w:rPr>
          <w:bCs/>
          <w:sz w:val="26"/>
        </w:rPr>
        <w:t>t</w:t>
      </w:r>
      <w:r w:rsidR="0056628B">
        <w:rPr>
          <w:bCs/>
          <w:sz w:val="26"/>
        </w:rPr>
        <w:t>he</w:t>
      </w:r>
      <w:r w:rsidRPr="00745CD1" w:rsidR="0056628B">
        <w:rPr>
          <w:bCs/>
          <w:sz w:val="26"/>
        </w:rPr>
        <w:t xml:space="preserve"> </w:t>
      </w:r>
      <w:r w:rsidRPr="00745CD1">
        <w:rPr>
          <w:bCs/>
          <w:sz w:val="26"/>
        </w:rPr>
        <w:t xml:space="preserve">final rule </w:t>
      </w:r>
      <w:r w:rsidR="0056628B">
        <w:rPr>
          <w:bCs/>
          <w:sz w:val="26"/>
        </w:rPr>
        <w:t xml:space="preserve">and order on rehearing </w:t>
      </w:r>
      <w:r w:rsidRPr="00745CD1">
        <w:rPr>
          <w:bCs/>
          <w:sz w:val="26"/>
        </w:rPr>
        <w:t>are necessary because, absent reform, the</w:t>
      </w:r>
      <w:r w:rsidRPr="00745CD1">
        <w:t xml:space="preserve"> </w:t>
      </w:r>
      <w:r w:rsidRPr="00745CD1">
        <w:rPr>
          <w:bCs/>
          <w:sz w:val="26"/>
        </w:rPr>
        <w:t>existing regional transmission planning and cost allocation requirements fail to ensure that transmission providers</w:t>
      </w:r>
      <w:r w:rsidR="001A3731">
        <w:rPr>
          <w:bCs/>
          <w:sz w:val="26"/>
        </w:rPr>
        <w:t xml:space="preserve">: </w:t>
      </w:r>
      <w:r w:rsidRPr="00745CD1">
        <w:rPr>
          <w:bCs/>
          <w:sz w:val="26"/>
        </w:rPr>
        <w:t xml:space="preserve"> (1) perform a sufficiently long-term assessment of Long-Term Transmission Needs; (2) adequately account on a forward-looking basis for known determinants of Long-Term Transmission Needs; and (3) consider the broader set of benefits and beneficiaries of regional transmission facilities planned to meet those Long-Term Transmission Needs.  As a result, transmission providers are often not identifying, evaluating, or selecting more efficient or cost-effective regional transmission solutions to meet Long-Term Transmission Needs, which leads to inefficient, ineffective, and piecemeal transmission development.  </w:t>
      </w:r>
    </w:p>
    <w:p w:rsidR="004A0F64" w:rsidRPr="004A0F64" w:rsidP="00A6331D" w14:paraId="6DB0712C" w14:textId="3F043485">
      <w:pPr>
        <w:spacing w:line="240" w:lineRule="auto"/>
        <w:rPr>
          <w:b/>
          <w:sz w:val="26"/>
        </w:rPr>
      </w:pPr>
      <w:r w:rsidRPr="00A37677">
        <w:rPr>
          <w:b/>
          <w:sz w:val="26"/>
        </w:rPr>
        <w:t>7.</w:t>
      </w:r>
      <w:r w:rsidRPr="00A37677">
        <w:rPr>
          <w:b/>
          <w:sz w:val="26"/>
        </w:rPr>
        <w:tab/>
      </w:r>
      <w:r w:rsidRPr="004A0F64" w:rsidR="00820528">
        <w:rPr>
          <w:b/>
          <w:sz w:val="26"/>
        </w:rPr>
        <w:t>EXPLAIN ANY SPECIAL CIRCUMSTANCES RELATING TO THE INFORMATION COLLECTION</w:t>
      </w:r>
    </w:p>
    <w:p w:rsidR="00AF4519" w:rsidRPr="00943F7C" w:rsidP="00B80B48" w14:paraId="3AEEC4CA" w14:textId="28B067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sz w:val="26"/>
        </w:rPr>
      </w:pPr>
      <w:r w:rsidRPr="00943F7C">
        <w:rPr>
          <w:sz w:val="26"/>
        </w:rPr>
        <w:t>Th</w:t>
      </w:r>
      <w:r w:rsidR="007F5F6A">
        <w:rPr>
          <w:sz w:val="26"/>
        </w:rPr>
        <w:t>is collection contains</w:t>
      </w:r>
      <w:r w:rsidRPr="00943F7C">
        <w:rPr>
          <w:sz w:val="26"/>
        </w:rPr>
        <w:t xml:space="preserve"> no special circumstances</w:t>
      </w:r>
      <w:r w:rsidRPr="00943F7C" w:rsidR="00943F7C">
        <w:rPr>
          <w:sz w:val="26"/>
        </w:rPr>
        <w:t>.</w:t>
      </w:r>
    </w:p>
    <w:p w:rsidR="00FF0746" w:rsidP="00A6331D" w14:paraId="0756E843" w14:textId="31FA93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Cs/>
          <w:sz w:val="26"/>
        </w:rPr>
      </w:pPr>
      <w:r w:rsidRPr="00A37677">
        <w:rPr>
          <w:b/>
          <w:sz w:val="26"/>
        </w:rPr>
        <w:t>8.</w:t>
      </w:r>
      <w:r w:rsidRPr="00A37677">
        <w:rPr>
          <w:b/>
          <w:sz w:val="26"/>
        </w:rPr>
        <w:tab/>
      </w:r>
      <w:r w:rsidRPr="00EC3AC9" w:rsidR="00EC3AC9">
        <w:rPr>
          <w:b/>
          <w:sz w:val="26"/>
        </w:rPr>
        <w:t>DESCRIBE EFFORTS TO CONSULT OUTSIDE THE AGENCY:  SUMMARIZE PUBLIC COMMENTS AND THE AGENCY’S RESPONSE TO THESE COMMENTS</w:t>
      </w:r>
    </w:p>
    <w:p w:rsidR="00674FB3" w:rsidP="00E67CA3" w14:paraId="4428458E" w14:textId="6C39DB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The Commission’s</w:t>
      </w:r>
      <w:r w:rsidRPr="00FF0746" w:rsidR="00FF0746">
        <w:rPr>
          <w:bCs/>
          <w:sz w:val="26"/>
        </w:rPr>
        <w:t xml:space="preserve"> proposed and final rules are published in the </w:t>
      </w:r>
      <w:r w:rsidRPr="00A322CA" w:rsidR="00FF0746">
        <w:rPr>
          <w:bCs/>
          <w:i/>
          <w:iCs/>
          <w:sz w:val="26"/>
        </w:rPr>
        <w:t>Federal Register</w:t>
      </w:r>
      <w:r w:rsidRPr="00FF0746" w:rsidR="00FF0746">
        <w:rPr>
          <w:bCs/>
          <w:sz w:val="26"/>
        </w:rPr>
        <w:t>, thereby providing the public, including public utilities and licensees, state commissions, and Federal agencies, an opportunity to submit data, views, comments</w:t>
      </w:r>
      <w:r w:rsidR="002B64F1">
        <w:rPr>
          <w:bCs/>
          <w:sz w:val="26"/>
        </w:rPr>
        <w:t>,</w:t>
      </w:r>
      <w:r w:rsidRPr="00FF0746" w:rsidR="00FF0746">
        <w:rPr>
          <w:bCs/>
          <w:sz w:val="26"/>
        </w:rPr>
        <w:t xml:space="preserve"> or suggestions concerning the proposed collections of data</w:t>
      </w:r>
      <w:r>
        <w:rPr>
          <w:bCs/>
          <w:sz w:val="26"/>
        </w:rPr>
        <w:t>.</w:t>
      </w:r>
    </w:p>
    <w:p w:rsidR="00674FB3" w:rsidP="00E67CA3" w14:paraId="49C59141" w14:textId="1A988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 xml:space="preserve">On July 15, 2021, the Commission published </w:t>
      </w:r>
      <w:r w:rsidR="00BB6C7E">
        <w:rPr>
          <w:bCs/>
          <w:sz w:val="26"/>
        </w:rPr>
        <w:t xml:space="preserve">an </w:t>
      </w:r>
      <w:r w:rsidRPr="00BB6C7E" w:rsidR="00BB6C7E">
        <w:rPr>
          <w:bCs/>
          <w:sz w:val="26"/>
        </w:rPr>
        <w:t xml:space="preserve">Advance Notice of Proposed </w:t>
      </w:r>
      <w:r w:rsidRPr="00BB6C7E" w:rsidR="00BB6C7E">
        <w:rPr>
          <w:bCs/>
          <w:sz w:val="26"/>
        </w:rPr>
        <w:t>Rulemaking</w:t>
      </w:r>
      <w:r>
        <w:rPr>
          <w:b/>
          <w:bCs/>
          <w:sz w:val="26"/>
          <w:vertAlign w:val="superscript"/>
        </w:rPr>
        <w:footnoteReference w:id="8"/>
      </w:r>
      <w:r w:rsidR="002E56EA">
        <w:rPr>
          <w:bCs/>
          <w:sz w:val="26"/>
        </w:rPr>
        <w:t xml:space="preserve"> (ANOPR)</w:t>
      </w:r>
      <w:r w:rsidRPr="00BB6C7E" w:rsidR="00BB6C7E">
        <w:rPr>
          <w:bCs/>
          <w:sz w:val="26"/>
        </w:rPr>
        <w:t xml:space="preserve"> </w:t>
      </w:r>
      <w:r w:rsidR="00E76B6D">
        <w:rPr>
          <w:bCs/>
          <w:sz w:val="26"/>
        </w:rPr>
        <w:t xml:space="preserve">seeking public comments </w:t>
      </w:r>
      <w:r w:rsidRPr="00BB6C7E" w:rsidR="00BB6C7E">
        <w:rPr>
          <w:bCs/>
          <w:sz w:val="26"/>
        </w:rPr>
        <w:t xml:space="preserve">on </w:t>
      </w:r>
      <w:r w:rsidR="008A684D">
        <w:rPr>
          <w:bCs/>
          <w:sz w:val="26"/>
        </w:rPr>
        <w:t xml:space="preserve">a broad range of transmission-related issued, including some that are </w:t>
      </w:r>
      <w:r w:rsidR="008035AC">
        <w:rPr>
          <w:bCs/>
          <w:sz w:val="26"/>
        </w:rPr>
        <w:t xml:space="preserve">summarized and </w:t>
      </w:r>
      <w:r w:rsidR="008A684D">
        <w:rPr>
          <w:bCs/>
          <w:sz w:val="26"/>
        </w:rPr>
        <w:t xml:space="preserve">addressed in the </w:t>
      </w:r>
      <w:r w:rsidRPr="00FF0746" w:rsidR="008035AC">
        <w:rPr>
          <w:bCs/>
          <w:sz w:val="26"/>
        </w:rPr>
        <w:t>N</w:t>
      </w:r>
      <w:r w:rsidR="008035AC">
        <w:rPr>
          <w:bCs/>
          <w:sz w:val="26"/>
        </w:rPr>
        <w:t>otice of Proposed Rulemaking (</w:t>
      </w:r>
      <w:r w:rsidR="008A684D">
        <w:rPr>
          <w:bCs/>
          <w:sz w:val="26"/>
        </w:rPr>
        <w:t>NOPR</w:t>
      </w:r>
      <w:r w:rsidR="008035AC">
        <w:rPr>
          <w:bCs/>
          <w:sz w:val="26"/>
        </w:rPr>
        <w:t>)</w:t>
      </w:r>
      <w:r w:rsidR="008A684D">
        <w:rPr>
          <w:bCs/>
          <w:sz w:val="26"/>
        </w:rPr>
        <w:t xml:space="preserve">.  </w:t>
      </w:r>
      <w:r w:rsidR="003E402E">
        <w:rPr>
          <w:bCs/>
          <w:sz w:val="26"/>
        </w:rPr>
        <w:t xml:space="preserve">The Commission also </w:t>
      </w:r>
      <w:r w:rsidR="00552C44">
        <w:rPr>
          <w:bCs/>
          <w:sz w:val="26"/>
        </w:rPr>
        <w:t xml:space="preserve">held </w:t>
      </w:r>
      <w:r w:rsidR="00CE36A7">
        <w:rPr>
          <w:bCs/>
          <w:sz w:val="26"/>
        </w:rPr>
        <w:t xml:space="preserve">a </w:t>
      </w:r>
      <w:r w:rsidR="003003EC">
        <w:rPr>
          <w:bCs/>
          <w:sz w:val="26"/>
        </w:rPr>
        <w:t xml:space="preserve">technical </w:t>
      </w:r>
      <w:r w:rsidR="00CE36A7">
        <w:rPr>
          <w:bCs/>
          <w:sz w:val="26"/>
        </w:rPr>
        <w:t>video conference</w:t>
      </w:r>
      <w:r w:rsidR="003911B7">
        <w:rPr>
          <w:bCs/>
          <w:sz w:val="26"/>
        </w:rPr>
        <w:t xml:space="preserve"> on November 15, 2021, and issued a transcript of that confer</w:t>
      </w:r>
      <w:r w:rsidR="00AE11EB">
        <w:rPr>
          <w:bCs/>
          <w:sz w:val="26"/>
        </w:rPr>
        <w:t>ence.</w:t>
      </w:r>
    </w:p>
    <w:p w:rsidR="001B2ED0" w:rsidP="001B2ED0" w14:paraId="0081C87D" w14:textId="7BC585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sidRPr="00FF0746">
        <w:rPr>
          <w:bCs/>
          <w:sz w:val="26"/>
        </w:rPr>
        <w:t xml:space="preserve">On </w:t>
      </w:r>
      <w:r>
        <w:rPr>
          <w:bCs/>
          <w:sz w:val="26"/>
        </w:rPr>
        <w:t xml:space="preserve">May </w:t>
      </w:r>
      <w:r w:rsidR="006F6351">
        <w:rPr>
          <w:bCs/>
          <w:sz w:val="26"/>
        </w:rPr>
        <w:t>4</w:t>
      </w:r>
      <w:r>
        <w:rPr>
          <w:bCs/>
          <w:sz w:val="26"/>
        </w:rPr>
        <w:t>, 2022</w:t>
      </w:r>
      <w:r w:rsidRPr="00FF0746">
        <w:rPr>
          <w:bCs/>
          <w:sz w:val="26"/>
        </w:rPr>
        <w:t xml:space="preserve">, the </w:t>
      </w:r>
      <w:r w:rsidR="00835C5C">
        <w:rPr>
          <w:bCs/>
          <w:sz w:val="26"/>
        </w:rPr>
        <w:t>N</w:t>
      </w:r>
      <w:r w:rsidRPr="00FF0746">
        <w:rPr>
          <w:bCs/>
          <w:sz w:val="26"/>
        </w:rPr>
        <w:t xml:space="preserve">OPR </w:t>
      </w:r>
      <w:r>
        <w:rPr>
          <w:bCs/>
          <w:sz w:val="26"/>
        </w:rPr>
        <w:t xml:space="preserve">was </w:t>
      </w:r>
      <w:r w:rsidRPr="00FF0746">
        <w:rPr>
          <w:bCs/>
          <w:sz w:val="26"/>
        </w:rPr>
        <w:t xml:space="preserve">published in the </w:t>
      </w:r>
      <w:r w:rsidRPr="00FF0746">
        <w:rPr>
          <w:bCs/>
          <w:i/>
          <w:iCs/>
          <w:sz w:val="26"/>
        </w:rPr>
        <w:t>Federal Register</w:t>
      </w:r>
      <w:r>
        <w:rPr>
          <w:bCs/>
          <w:sz w:val="26"/>
        </w:rPr>
        <w:t xml:space="preserve"> </w:t>
      </w:r>
      <w:r w:rsidR="003E5270">
        <w:rPr>
          <w:bCs/>
          <w:sz w:val="26"/>
        </w:rPr>
        <w:t>at 87 FR 2650</w:t>
      </w:r>
      <w:r w:rsidR="0083682D">
        <w:rPr>
          <w:bCs/>
          <w:sz w:val="26"/>
        </w:rPr>
        <w:t>4</w:t>
      </w:r>
      <w:r w:rsidR="003E5270">
        <w:rPr>
          <w:bCs/>
          <w:sz w:val="26"/>
        </w:rPr>
        <w:t>.</w:t>
      </w:r>
      <w:r w:rsidR="002E56EA">
        <w:rPr>
          <w:bCs/>
          <w:sz w:val="26"/>
        </w:rPr>
        <w:t xml:space="preserve"> </w:t>
      </w:r>
      <w:r>
        <w:rPr>
          <w:bCs/>
          <w:sz w:val="26"/>
        </w:rPr>
        <w:t xml:space="preserve"> </w:t>
      </w:r>
      <w:r w:rsidRPr="00521028" w:rsidR="00521028">
        <w:rPr>
          <w:bCs/>
          <w:sz w:val="26"/>
        </w:rPr>
        <w:t xml:space="preserve">Numerous comments from the public were received, as summarized and addressed in the final rule.  </w:t>
      </w:r>
    </w:p>
    <w:p w:rsidR="00674FB3" w:rsidP="001B2ED0" w14:paraId="27696E1E" w14:textId="64DF9C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sidRPr="00521028">
        <w:rPr>
          <w:bCs/>
          <w:sz w:val="26"/>
        </w:rPr>
        <w:t xml:space="preserve">The Commission’s responses to commenters’ suggestions and arguments are provided in the Commission Determination subsections of the final rule, organized topically. </w:t>
      </w:r>
      <w:r>
        <w:rPr>
          <w:bCs/>
          <w:sz w:val="26"/>
        </w:rPr>
        <w:t xml:space="preserve"> </w:t>
      </w:r>
      <w:r w:rsidRPr="001B2ED0" w:rsidR="001B2ED0">
        <w:rPr>
          <w:bCs/>
          <w:sz w:val="26"/>
        </w:rPr>
        <w:t xml:space="preserve"> </w:t>
      </w:r>
      <w:r w:rsidRPr="003B61D0" w:rsidR="001B2ED0">
        <w:rPr>
          <w:bCs/>
          <w:sz w:val="26"/>
        </w:rPr>
        <w:t xml:space="preserve">The Commission received one comment </w:t>
      </w:r>
      <w:r w:rsidR="00C573C9">
        <w:rPr>
          <w:bCs/>
          <w:sz w:val="26"/>
        </w:rPr>
        <w:t>regarding</w:t>
      </w:r>
      <w:r w:rsidRPr="003B61D0" w:rsidR="001B2ED0">
        <w:rPr>
          <w:bCs/>
          <w:sz w:val="26"/>
        </w:rPr>
        <w:t xml:space="preserve"> the</w:t>
      </w:r>
      <w:r w:rsidR="001B2ED0">
        <w:rPr>
          <w:bCs/>
          <w:sz w:val="26"/>
        </w:rPr>
        <w:t xml:space="preserve"> burden estimate for the</w:t>
      </w:r>
      <w:r w:rsidRPr="003B61D0" w:rsidR="001B2ED0">
        <w:rPr>
          <w:bCs/>
          <w:sz w:val="26"/>
        </w:rPr>
        <w:t xml:space="preserve"> information collection requirement</w:t>
      </w:r>
      <w:r w:rsidR="001B2ED0">
        <w:rPr>
          <w:bCs/>
          <w:sz w:val="26"/>
        </w:rPr>
        <w:t xml:space="preserve">s arguing </w:t>
      </w:r>
      <w:r w:rsidRPr="003B61D0" w:rsidR="001B2ED0">
        <w:rPr>
          <w:bCs/>
          <w:sz w:val="26"/>
        </w:rPr>
        <w:t>that the Commission underestimate</w:t>
      </w:r>
      <w:r w:rsidR="001B2ED0">
        <w:rPr>
          <w:bCs/>
          <w:sz w:val="26"/>
        </w:rPr>
        <w:t>d</w:t>
      </w:r>
      <w:r w:rsidRPr="003B61D0" w:rsidR="001B2ED0">
        <w:rPr>
          <w:bCs/>
          <w:sz w:val="26"/>
        </w:rPr>
        <w:t xml:space="preserve"> the cost for transmission providers to </w:t>
      </w:r>
      <w:r w:rsidR="00935C35">
        <w:rPr>
          <w:bCs/>
          <w:sz w:val="26"/>
        </w:rPr>
        <w:t xml:space="preserve">perform Long-Term Regional Transmission Planning as </w:t>
      </w:r>
      <w:r w:rsidR="00EC62FF">
        <w:rPr>
          <w:bCs/>
          <w:sz w:val="26"/>
        </w:rPr>
        <w:t>proposed by the NOPR</w:t>
      </w:r>
      <w:r w:rsidRPr="003B61D0" w:rsidR="001B2ED0">
        <w:rPr>
          <w:bCs/>
          <w:sz w:val="26"/>
        </w:rPr>
        <w:t>.</w:t>
      </w:r>
      <w:r>
        <w:rPr>
          <w:rStyle w:val="FootnoteReference"/>
          <w:bCs/>
          <w:sz w:val="26"/>
          <w:vertAlign w:val="superscript"/>
        </w:rPr>
        <w:footnoteReference w:id="9"/>
      </w:r>
      <w:r w:rsidRPr="003B61D0" w:rsidR="001B2ED0">
        <w:rPr>
          <w:bCs/>
          <w:sz w:val="26"/>
        </w:rPr>
        <w:t xml:space="preserve">  In response to</w:t>
      </w:r>
      <w:r w:rsidR="001B2ED0">
        <w:rPr>
          <w:bCs/>
          <w:sz w:val="26"/>
        </w:rPr>
        <w:t xml:space="preserve"> the comment</w:t>
      </w:r>
      <w:r w:rsidRPr="003B61D0" w:rsidR="001B2ED0">
        <w:rPr>
          <w:bCs/>
          <w:sz w:val="26"/>
        </w:rPr>
        <w:t xml:space="preserve">, </w:t>
      </w:r>
      <w:r w:rsidR="007930B8">
        <w:rPr>
          <w:bCs/>
          <w:sz w:val="26"/>
        </w:rPr>
        <w:t>the Commission</w:t>
      </w:r>
      <w:r w:rsidRPr="003B61D0" w:rsidR="001B2ED0">
        <w:rPr>
          <w:bCs/>
          <w:sz w:val="26"/>
        </w:rPr>
        <w:t xml:space="preserve"> revised the </w:t>
      </w:r>
      <w:r w:rsidR="007930B8">
        <w:rPr>
          <w:bCs/>
          <w:sz w:val="26"/>
        </w:rPr>
        <w:t xml:space="preserve">burden estimate </w:t>
      </w:r>
      <w:r w:rsidRPr="003B61D0" w:rsidR="001B2ED0">
        <w:rPr>
          <w:bCs/>
          <w:sz w:val="26"/>
        </w:rPr>
        <w:t xml:space="preserve">table </w:t>
      </w:r>
      <w:r w:rsidR="007930B8">
        <w:rPr>
          <w:bCs/>
          <w:sz w:val="26"/>
        </w:rPr>
        <w:t>(</w:t>
      </w:r>
      <w:r w:rsidR="00AB2258">
        <w:rPr>
          <w:bCs/>
          <w:sz w:val="26"/>
        </w:rPr>
        <w:t>see the</w:t>
      </w:r>
      <w:r w:rsidR="007930B8">
        <w:rPr>
          <w:bCs/>
          <w:sz w:val="26"/>
        </w:rPr>
        <w:t xml:space="preserve"> </w:t>
      </w:r>
      <w:r w:rsidR="001C7AF3">
        <w:rPr>
          <w:bCs/>
          <w:sz w:val="26"/>
        </w:rPr>
        <w:t xml:space="preserve">response to Question 12 </w:t>
      </w:r>
      <w:r w:rsidRPr="003B61D0" w:rsidR="001B2ED0">
        <w:rPr>
          <w:bCs/>
          <w:sz w:val="26"/>
        </w:rPr>
        <w:t>below</w:t>
      </w:r>
      <w:r w:rsidR="001C7AF3">
        <w:rPr>
          <w:bCs/>
          <w:sz w:val="26"/>
        </w:rPr>
        <w:t>)</w:t>
      </w:r>
      <w:r w:rsidRPr="003B61D0" w:rsidR="001B2ED0">
        <w:rPr>
          <w:bCs/>
          <w:sz w:val="26"/>
        </w:rPr>
        <w:t xml:space="preserve"> </w:t>
      </w:r>
      <w:r w:rsidR="00EC62FF">
        <w:rPr>
          <w:bCs/>
          <w:sz w:val="26"/>
        </w:rPr>
        <w:t xml:space="preserve">in the final rule </w:t>
      </w:r>
      <w:r w:rsidRPr="003B61D0" w:rsidR="001B2ED0">
        <w:rPr>
          <w:bCs/>
          <w:sz w:val="26"/>
        </w:rPr>
        <w:t>to increase the estimated amount of labor required for a transmission provider to perform Long-Term Regional Transmission Planning</w:t>
      </w:r>
      <w:r w:rsidR="001B2ED0">
        <w:rPr>
          <w:bCs/>
          <w:sz w:val="26"/>
        </w:rPr>
        <w:t xml:space="preserve">.  </w:t>
      </w:r>
    </w:p>
    <w:p w:rsidR="00C90CA2" w:rsidP="001B2ED0" w14:paraId="35CADD0B" w14:textId="4DE8EB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bCs/>
          <w:sz w:val="26"/>
        </w:rPr>
      </w:pPr>
      <w:r>
        <w:rPr>
          <w:bCs/>
          <w:sz w:val="26"/>
        </w:rPr>
        <w:t>The</w:t>
      </w:r>
      <w:r>
        <w:rPr>
          <w:bCs/>
          <w:sz w:val="26"/>
        </w:rPr>
        <w:t xml:space="preserve"> </w:t>
      </w:r>
      <w:r w:rsidR="00BC75A5">
        <w:rPr>
          <w:bCs/>
          <w:sz w:val="26"/>
        </w:rPr>
        <w:t xml:space="preserve">final </w:t>
      </w:r>
      <w:r>
        <w:rPr>
          <w:bCs/>
          <w:sz w:val="26"/>
        </w:rPr>
        <w:t>rule was issued on May 13, 2024 and was published in the Federal Register on June 11, 2024 (</w:t>
      </w:r>
      <w:r w:rsidRPr="00FD676A" w:rsidR="00FD676A">
        <w:rPr>
          <w:bCs/>
          <w:sz w:val="26"/>
        </w:rPr>
        <w:t>89 FR 49280</w:t>
      </w:r>
      <w:r w:rsidR="00FD676A">
        <w:rPr>
          <w:bCs/>
          <w:sz w:val="26"/>
        </w:rPr>
        <w:t>).</w:t>
      </w:r>
    </w:p>
    <w:p w:rsidR="00BC75A5" w:rsidRPr="00BE75FF" w:rsidP="001B2ED0" w14:paraId="4C9D2379" w14:textId="4693CD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 w:val="26"/>
        </w:rPr>
      </w:pPr>
      <w:r>
        <w:rPr>
          <w:bCs/>
          <w:sz w:val="26"/>
        </w:rPr>
        <w:t>Upon issuance of the final rule, t</w:t>
      </w:r>
      <w:r w:rsidRPr="00BE75FF">
        <w:rPr>
          <w:sz w:val="26"/>
        </w:rPr>
        <w:t xml:space="preserve">he Commission received 49 timely filed requests for rehearing and/or clarification and several additional filings.   The rehearing requests </w:t>
      </w:r>
      <w:r w:rsidRPr="00BE75FF">
        <w:rPr>
          <w:bCs/>
          <w:sz w:val="26"/>
        </w:rPr>
        <w:t>raise</w:t>
      </w:r>
      <w:r w:rsidR="00464FEC">
        <w:rPr>
          <w:bCs/>
          <w:sz w:val="26"/>
        </w:rPr>
        <w:t>d</w:t>
      </w:r>
      <w:r w:rsidRPr="00BE75FF">
        <w:rPr>
          <w:sz w:val="26"/>
        </w:rPr>
        <w:t xml:space="preserve"> issues related to nearly all reforms adopted in Order No. 1920</w:t>
      </w:r>
      <w:r w:rsidR="00EB44ED">
        <w:rPr>
          <w:bCs/>
          <w:sz w:val="26"/>
        </w:rPr>
        <w:t xml:space="preserve">, except the burden </w:t>
      </w:r>
      <w:r w:rsidR="007F0A43">
        <w:rPr>
          <w:bCs/>
          <w:sz w:val="26"/>
        </w:rPr>
        <w:t xml:space="preserve">estimate. </w:t>
      </w:r>
      <w:r w:rsidR="00DC61DB">
        <w:rPr>
          <w:bCs/>
          <w:sz w:val="26"/>
        </w:rPr>
        <w:t xml:space="preserve">The order on rehearing </w:t>
      </w:r>
      <w:r w:rsidR="001B2AF3">
        <w:rPr>
          <w:bCs/>
          <w:sz w:val="26"/>
        </w:rPr>
        <w:t>addresses th</w:t>
      </w:r>
      <w:r w:rsidR="006B2660">
        <w:rPr>
          <w:bCs/>
          <w:sz w:val="26"/>
        </w:rPr>
        <w:t xml:space="preserve">ese </w:t>
      </w:r>
      <w:r w:rsidR="00396F55">
        <w:rPr>
          <w:bCs/>
          <w:sz w:val="26"/>
        </w:rPr>
        <w:t>filings and recommendations</w:t>
      </w:r>
      <w:r w:rsidR="00BA4059">
        <w:rPr>
          <w:bCs/>
          <w:sz w:val="26"/>
        </w:rPr>
        <w:t>;</w:t>
      </w:r>
      <w:r w:rsidR="0088290F">
        <w:rPr>
          <w:bCs/>
          <w:sz w:val="26"/>
        </w:rPr>
        <w:t xml:space="preserve"> the main substantive changes </w:t>
      </w:r>
      <w:r w:rsidR="00006933">
        <w:rPr>
          <w:bCs/>
          <w:sz w:val="26"/>
        </w:rPr>
        <w:t xml:space="preserve">were described </w:t>
      </w:r>
      <w:r w:rsidR="00BA4059">
        <w:rPr>
          <w:bCs/>
          <w:sz w:val="26"/>
        </w:rPr>
        <w:t>previously</w:t>
      </w:r>
      <w:r w:rsidR="00B1225B">
        <w:rPr>
          <w:bCs/>
          <w:sz w:val="26"/>
        </w:rPr>
        <w:t xml:space="preserve">. </w:t>
      </w:r>
    </w:p>
    <w:p w:rsidR="00FE0FCC" w:rsidRPr="00FE0FCC" w:rsidP="00FE0FCC" w14:paraId="0795B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9.</w:t>
      </w:r>
      <w:r w:rsidRPr="00A37677">
        <w:rPr>
          <w:b/>
          <w:sz w:val="26"/>
        </w:rPr>
        <w:tab/>
      </w:r>
      <w:r w:rsidRPr="00FE0FCC">
        <w:rPr>
          <w:b/>
          <w:sz w:val="26"/>
        </w:rPr>
        <w:t xml:space="preserve">EXPLAIN ANY PAYMENT OR GIFTS TO RESPONDENTS  </w:t>
      </w:r>
    </w:p>
    <w:p w:rsidR="00A84D22" w:rsidRPr="00D62769" w:rsidP="00594614" w14:paraId="5C5F4533" w14:textId="3CC2421F">
      <w:pPr>
        <w:spacing w:line="240" w:lineRule="auto"/>
        <w:rPr>
          <w:sz w:val="26"/>
        </w:rPr>
      </w:pPr>
      <w:r w:rsidRPr="00E86709">
        <w:rPr>
          <w:sz w:val="26"/>
        </w:rPr>
        <w:t xml:space="preserve">The Commission makes no payments or gifts to respondents as part of this collection. </w:t>
      </w:r>
    </w:p>
    <w:p w:rsidR="00685AE5" w:rsidRPr="00685AE5" w:rsidP="00685AE5" w14:paraId="034DEF96" w14:textId="24E8B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10.</w:t>
      </w:r>
      <w:r w:rsidRPr="00685AE5">
        <w:rPr>
          <w:b/>
          <w:color w:val="000000"/>
        </w:rPr>
        <w:t xml:space="preserve"> </w:t>
      </w:r>
      <w:r w:rsidRPr="00685AE5">
        <w:rPr>
          <w:b/>
          <w:sz w:val="26"/>
        </w:rPr>
        <w:t xml:space="preserve">DESCRIBE ANY ASSURANCE OF CONFIDENTIALITY PROVIDED TO RESPONDENTS  </w:t>
      </w:r>
    </w:p>
    <w:p w:rsidR="00EC0844" w:rsidRPr="00EC0844" w:rsidP="00EC0844" w14:paraId="410A7EDE" w14:textId="1BED27DD">
      <w:pPr>
        <w:spacing w:line="240" w:lineRule="auto"/>
        <w:rPr>
          <w:sz w:val="26"/>
        </w:rPr>
      </w:pPr>
      <w:r w:rsidRPr="00EC0844">
        <w:rPr>
          <w:sz w:val="26"/>
        </w:rPr>
        <w:t xml:space="preserve">The Commission does not consider the information collected to be confidential.  </w:t>
      </w:r>
    </w:p>
    <w:p w:rsidR="00AF4519" w:rsidRPr="00A37677" w:rsidP="00EC0844" w14:paraId="4B4EEED0" w14:textId="4AB1D919">
      <w:pPr>
        <w:spacing w:line="240" w:lineRule="auto"/>
        <w:rPr>
          <w:sz w:val="26"/>
        </w:rPr>
      </w:pPr>
      <w:r w:rsidRPr="00EC0844">
        <w:rPr>
          <w:sz w:val="26"/>
        </w:rPr>
        <w:t>If an entity chooses to seek confidential treatment of the information, it must submit a request for the Commission to treat this information as confidential and non-public, consistent with 18 CFR 388.112.</w:t>
      </w:r>
    </w:p>
    <w:p w:rsidR="00A976CC" w:rsidRPr="00A976CC" w:rsidP="00A976CC" w14:paraId="16F6D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hanging="360"/>
        <w:rPr>
          <w:b/>
          <w:sz w:val="26"/>
        </w:rPr>
      </w:pPr>
      <w:r w:rsidRPr="00A37677">
        <w:rPr>
          <w:b/>
          <w:sz w:val="26"/>
        </w:rPr>
        <w:t>11.</w:t>
      </w:r>
      <w:r w:rsidRPr="00A37677">
        <w:rPr>
          <w:b/>
          <w:sz w:val="26"/>
        </w:rPr>
        <w:tab/>
      </w:r>
      <w:r w:rsidRPr="00A976CC">
        <w:rPr>
          <w:b/>
          <w:sz w:val="26"/>
        </w:rPr>
        <w:t xml:space="preserve">PROVIDE ADDITIONAL JUSTIFICATION FOR ANY QUESTIONS OF A SENSITIVE NATURE, SUCH AS SEXUAL BEHAVIOR AND ATTITUDES, RELIGIOUS BELIEFS, AND OTHER MATTERS THAT ARE COMMONLY CONSIDERED PRIVATE </w:t>
      </w:r>
    </w:p>
    <w:p w:rsidR="00E177DA" w:rsidP="00E177DA" w14:paraId="1BE23F3A" w14:textId="77777777">
      <w:pPr>
        <w:spacing w:before="0" w:line="240" w:lineRule="auto"/>
        <w:rPr>
          <w:bCs/>
          <w:sz w:val="26"/>
        </w:rPr>
      </w:pPr>
    </w:p>
    <w:p w:rsidR="00E177DA" w:rsidRPr="00E177DA" w:rsidP="00E177DA" w14:paraId="013C5E05" w14:textId="21E651F1">
      <w:pPr>
        <w:spacing w:before="0" w:line="240" w:lineRule="auto"/>
        <w:rPr>
          <w:bCs/>
          <w:sz w:val="26"/>
        </w:rPr>
      </w:pPr>
      <w:r w:rsidRPr="00E177DA">
        <w:rPr>
          <w:bCs/>
          <w:sz w:val="26"/>
        </w:rPr>
        <w:t xml:space="preserve">The collection does not contain any questions of a sensitive nature. </w:t>
      </w:r>
    </w:p>
    <w:p w:rsidR="008C05B7" w:rsidP="0090525B" w14:paraId="43F071DA" w14:textId="77777777">
      <w:pPr>
        <w:spacing w:before="0" w:line="240" w:lineRule="auto"/>
        <w:rPr>
          <w:bCs/>
          <w:sz w:val="26"/>
        </w:rPr>
      </w:pPr>
    </w:p>
    <w:p w:rsidR="006C630A" w:rsidRPr="006C630A" w:rsidP="006C630A" w14:paraId="57937764" w14:textId="26BDD9A5">
      <w:pPr>
        <w:spacing w:before="0" w:line="240" w:lineRule="auto"/>
        <w:rPr>
          <w:b/>
          <w:bCs/>
          <w:sz w:val="26"/>
        </w:rPr>
      </w:pPr>
      <w:r w:rsidRPr="00531934">
        <w:rPr>
          <w:b/>
          <w:bCs/>
          <w:sz w:val="26"/>
        </w:rPr>
        <w:t>12.</w:t>
      </w:r>
      <w:r w:rsidRPr="00531934">
        <w:rPr>
          <w:b/>
          <w:bCs/>
          <w:sz w:val="26"/>
        </w:rPr>
        <w:tab/>
      </w:r>
      <w:r w:rsidRPr="006C630A">
        <w:rPr>
          <w:b/>
          <w:bCs/>
          <w:sz w:val="26"/>
        </w:rPr>
        <w:t xml:space="preserve">ESTIMATED BURDEN OF COLLECTION OF INFORMATION </w:t>
      </w:r>
    </w:p>
    <w:p w:rsidR="008F72C1" w:rsidP="008F72C1" w14:paraId="2FE41887" w14:textId="77777777">
      <w:pPr>
        <w:spacing w:before="0" w:line="240" w:lineRule="auto"/>
        <w:rPr>
          <w:bCs/>
          <w:sz w:val="26"/>
        </w:rPr>
      </w:pPr>
    </w:p>
    <w:p w:rsidR="008F72C1" w:rsidRPr="008F72C1" w:rsidP="008F72C1" w14:paraId="2872624A" w14:textId="1097F023">
      <w:pPr>
        <w:spacing w:before="0" w:line="240" w:lineRule="auto"/>
        <w:rPr>
          <w:bCs/>
          <w:sz w:val="26"/>
        </w:rPr>
      </w:pPr>
      <w:r w:rsidRPr="008F72C1">
        <w:rPr>
          <w:bCs/>
          <w:sz w:val="26"/>
        </w:rPr>
        <w:t>The currently approved information collection burden is:</w:t>
      </w:r>
    </w:p>
    <w:p w:rsidR="003249D2" w:rsidP="003249D2" w14:paraId="7E3D4D23" w14:textId="77777777">
      <w:pPr>
        <w:widowControl/>
        <w:tabs>
          <w:tab w:val="num" w:pos="720"/>
        </w:tabs>
        <w:autoSpaceDE/>
        <w:autoSpaceDN/>
        <w:adjustRightInd/>
        <w:spacing w:before="0" w:line="240" w:lineRule="auto"/>
        <w:rPr>
          <w:rFonts w:eastAsia="Calibri"/>
          <w:b/>
        </w:rPr>
      </w:pPr>
    </w:p>
    <w:p w:rsidR="003249D2" w:rsidRPr="003249D2" w:rsidP="00265CED" w14:paraId="061EDBD2" w14:textId="72883CC7">
      <w:pPr>
        <w:widowControl/>
        <w:tabs>
          <w:tab w:val="num" w:pos="720"/>
        </w:tabs>
        <w:autoSpaceDE/>
        <w:autoSpaceDN/>
        <w:adjustRightInd/>
        <w:spacing w:before="0" w:line="240" w:lineRule="auto"/>
        <w:ind w:left="720"/>
        <w:rPr>
          <w:rFonts w:eastAsia="Calibri"/>
          <w:b/>
          <w:sz w:val="26"/>
          <w:szCs w:val="26"/>
        </w:rPr>
      </w:pPr>
      <w:r w:rsidRPr="003249D2">
        <w:rPr>
          <w:rFonts w:eastAsia="Calibri"/>
          <w:b/>
          <w:sz w:val="26"/>
          <w:szCs w:val="26"/>
        </w:rPr>
        <w:t>FERC-</w:t>
      </w:r>
      <w:r>
        <w:rPr>
          <w:rFonts w:eastAsia="Calibri"/>
          <w:b/>
          <w:sz w:val="26"/>
          <w:szCs w:val="26"/>
        </w:rPr>
        <w:t>917</w:t>
      </w:r>
      <w:r w:rsidRPr="003249D2">
        <w:rPr>
          <w:rFonts w:eastAsia="Calibri"/>
          <w:b/>
          <w:sz w:val="26"/>
          <w:szCs w:val="26"/>
        </w:rPr>
        <w:t>:</w:t>
      </w:r>
    </w:p>
    <w:p w:rsidR="003249D2" w:rsidRPr="00C81AEA" w:rsidP="00265CED" w14:paraId="68E3BCDC" w14:textId="72F21A1F">
      <w:pPr>
        <w:widowControl/>
        <w:tabs>
          <w:tab w:val="num" w:pos="720"/>
        </w:tabs>
        <w:autoSpaceDE/>
        <w:autoSpaceDN/>
        <w:adjustRightInd/>
        <w:spacing w:before="0" w:line="240" w:lineRule="auto"/>
        <w:ind w:left="720"/>
        <w:rPr>
          <w:rFonts w:eastAsia="Calibri"/>
          <w:sz w:val="26"/>
          <w:szCs w:val="26"/>
        </w:rPr>
      </w:pPr>
      <w:r w:rsidRPr="003249D2">
        <w:rPr>
          <w:rFonts w:eastAsia="Calibri"/>
          <w:sz w:val="26"/>
          <w:szCs w:val="26"/>
        </w:rPr>
        <w:t xml:space="preserve">Number of </w:t>
      </w:r>
      <w:r w:rsidRPr="00C81AEA">
        <w:rPr>
          <w:rFonts w:eastAsia="Calibri"/>
          <w:sz w:val="26"/>
          <w:szCs w:val="26"/>
        </w:rPr>
        <w:t xml:space="preserve">responses:  </w:t>
      </w:r>
      <w:r w:rsidRPr="00C81AEA" w:rsidR="006F0D16">
        <w:rPr>
          <w:rFonts w:eastAsia="Calibri"/>
          <w:sz w:val="26"/>
          <w:szCs w:val="26"/>
        </w:rPr>
        <w:t>3</w:t>
      </w:r>
      <w:r w:rsidRPr="00C81AEA" w:rsidR="00D30701">
        <w:rPr>
          <w:rFonts w:eastAsia="Calibri"/>
          <w:sz w:val="26"/>
          <w:szCs w:val="26"/>
        </w:rPr>
        <w:t>24</w:t>
      </w:r>
    </w:p>
    <w:p w:rsidR="008F72C1" w:rsidRPr="00C81AEA" w:rsidP="00265CED" w14:paraId="71F8985E" w14:textId="78BEC6AA">
      <w:pPr>
        <w:widowControl/>
        <w:tabs>
          <w:tab w:val="num" w:pos="720"/>
        </w:tabs>
        <w:autoSpaceDE/>
        <w:autoSpaceDN/>
        <w:adjustRightInd/>
        <w:spacing w:before="0" w:line="240" w:lineRule="auto"/>
        <w:ind w:left="720"/>
        <w:rPr>
          <w:rFonts w:eastAsia="Calibri"/>
          <w:sz w:val="26"/>
          <w:szCs w:val="26"/>
        </w:rPr>
      </w:pPr>
      <w:r w:rsidRPr="00C81AEA">
        <w:rPr>
          <w:rFonts w:eastAsia="Calibri"/>
          <w:sz w:val="26"/>
          <w:szCs w:val="26"/>
        </w:rPr>
        <w:t xml:space="preserve">Hourly Burden:  </w:t>
      </w:r>
      <w:r w:rsidRPr="00C81AEA" w:rsidR="00D30701">
        <w:rPr>
          <w:rFonts w:eastAsia="Calibri"/>
          <w:sz w:val="26"/>
          <w:szCs w:val="26"/>
        </w:rPr>
        <w:t>152,129</w:t>
      </w:r>
    </w:p>
    <w:p w:rsidR="00AB41DF" w:rsidP="00594614" w14:paraId="0E7E452A" w14:textId="2A3C22D1">
      <w:pPr>
        <w:spacing w:line="240" w:lineRule="auto"/>
        <w:rPr>
          <w:bCs/>
          <w:sz w:val="26"/>
        </w:rPr>
      </w:pPr>
      <w:r w:rsidRPr="00C81AEA">
        <w:rPr>
          <w:bCs/>
          <w:sz w:val="26"/>
        </w:rPr>
        <w:t>The information collection burden of the</w:t>
      </w:r>
      <w:r w:rsidRPr="00AB41DF">
        <w:rPr>
          <w:bCs/>
          <w:sz w:val="26"/>
        </w:rPr>
        <w:t xml:space="preserve"> reforms adopted in </w:t>
      </w:r>
      <w:r w:rsidRPr="00AB41DF" w:rsidR="008E0644">
        <w:rPr>
          <w:bCs/>
          <w:sz w:val="26"/>
        </w:rPr>
        <w:t>th</w:t>
      </w:r>
      <w:r w:rsidR="008E0644">
        <w:rPr>
          <w:bCs/>
          <w:sz w:val="26"/>
        </w:rPr>
        <w:t>e</w:t>
      </w:r>
      <w:r w:rsidRPr="00AB41DF" w:rsidR="008E0644">
        <w:rPr>
          <w:bCs/>
          <w:sz w:val="26"/>
        </w:rPr>
        <w:t xml:space="preserve"> </w:t>
      </w:r>
      <w:r w:rsidRPr="00AB41DF">
        <w:rPr>
          <w:bCs/>
          <w:sz w:val="26"/>
        </w:rPr>
        <w:t>final rule</w:t>
      </w:r>
      <w:r w:rsidR="008E0644">
        <w:rPr>
          <w:bCs/>
          <w:sz w:val="26"/>
        </w:rPr>
        <w:t xml:space="preserve"> and order on rehearing</w:t>
      </w:r>
      <w:r w:rsidRPr="00AB41DF">
        <w:rPr>
          <w:bCs/>
          <w:sz w:val="26"/>
        </w:rPr>
        <w:t xml:space="preserve"> is explained in in the following table</w:t>
      </w:r>
      <w:r w:rsidR="00D30701">
        <w:rPr>
          <w:bCs/>
          <w:sz w:val="26"/>
        </w:rPr>
        <w:t>.</w:t>
      </w:r>
      <w:r w:rsidRPr="00AB41DF" w:rsidR="00D30701">
        <w:rPr>
          <w:bCs/>
          <w:sz w:val="26"/>
        </w:rPr>
        <w:t xml:space="preserve"> </w:t>
      </w:r>
    </w:p>
    <w:p w:rsidR="00AB41DF" w:rsidP="00594614" w14:paraId="003AC73E" w14:textId="14A2160E">
      <w:pPr>
        <w:spacing w:line="240" w:lineRule="auto"/>
        <w:rPr>
          <w:bCs/>
          <w:sz w:val="26"/>
        </w:rPr>
      </w:pPr>
      <w:r w:rsidRPr="00BD5C49">
        <w:rPr>
          <w:bCs/>
          <w:sz w:val="26"/>
        </w:rPr>
        <w:t xml:space="preserve">Our </w:t>
      </w:r>
      <w:r w:rsidR="00457409">
        <w:rPr>
          <w:bCs/>
          <w:sz w:val="26"/>
        </w:rPr>
        <w:t xml:space="preserve">estimate </w:t>
      </w:r>
      <w:r w:rsidRPr="00457409" w:rsidR="00457409">
        <w:rPr>
          <w:bCs/>
          <w:sz w:val="26"/>
        </w:rPr>
        <w:t xml:space="preserve">of the number of reporting entities is </w:t>
      </w:r>
      <w:r w:rsidRPr="00BD5C49">
        <w:rPr>
          <w:bCs/>
          <w:sz w:val="26"/>
        </w:rPr>
        <w:t>based on the NERC Compliance Registry as of January 11, 2024, which indicates that there are 48 transmission service providers</w:t>
      </w:r>
      <w:r>
        <w:rPr>
          <w:b/>
          <w:bCs/>
          <w:sz w:val="26"/>
          <w:vertAlign w:val="superscript"/>
        </w:rPr>
        <w:footnoteReference w:id="10"/>
      </w:r>
      <w:r w:rsidRPr="00BD5C49">
        <w:rPr>
          <w:b/>
          <w:bCs/>
          <w:sz w:val="26"/>
        </w:rPr>
        <w:t xml:space="preserve"> </w:t>
      </w:r>
      <w:r w:rsidRPr="00BD5C49">
        <w:rPr>
          <w:bCs/>
          <w:sz w:val="26"/>
        </w:rPr>
        <w:t>with OATTs and 118 transmission owners that are registered within the United States and are subject to this rulemaking.</w:t>
      </w:r>
      <w:r>
        <w:rPr>
          <w:b/>
          <w:bCs/>
          <w:sz w:val="26"/>
          <w:vertAlign w:val="superscript"/>
        </w:rPr>
        <w:footnoteReference w:id="11"/>
      </w:r>
      <w:r w:rsidRPr="00BD5C49">
        <w:rPr>
          <w:bCs/>
          <w:sz w:val="26"/>
        </w:rPr>
        <w:t xml:space="preserve">  Because 41 of the 118 transmission owners </w:t>
      </w:r>
      <w:r w:rsidRPr="00BD5C49">
        <w:rPr>
          <w:bCs/>
          <w:sz w:val="26"/>
        </w:rPr>
        <w:t>are also included in the count of 48 transmission service providers, there are 125 distinct entities (i.e., 125 distinct transmission providers</w:t>
      </w:r>
      <w:r>
        <w:rPr>
          <w:b/>
          <w:bCs/>
          <w:sz w:val="26"/>
          <w:vertAlign w:val="superscript"/>
        </w:rPr>
        <w:footnoteReference w:id="12"/>
      </w:r>
      <w:r w:rsidRPr="00BD5C49">
        <w:rPr>
          <w:bCs/>
          <w:sz w:val="26"/>
        </w:rPr>
        <w:t xml:space="preserve">) in total that must comply </w:t>
      </w:r>
      <w:r w:rsidRPr="00BD5C49" w:rsidR="008E0644">
        <w:rPr>
          <w:bCs/>
          <w:sz w:val="26"/>
        </w:rPr>
        <w:t>th</w:t>
      </w:r>
      <w:r w:rsidR="008E0644">
        <w:rPr>
          <w:bCs/>
          <w:sz w:val="26"/>
        </w:rPr>
        <w:t xml:space="preserve">e </w:t>
      </w:r>
      <w:r w:rsidRPr="00BD5C49" w:rsidR="008E0644">
        <w:rPr>
          <w:bCs/>
          <w:sz w:val="26"/>
        </w:rPr>
        <w:t xml:space="preserve"> </w:t>
      </w:r>
      <w:r w:rsidRPr="00BD5C49">
        <w:rPr>
          <w:bCs/>
          <w:sz w:val="26"/>
        </w:rPr>
        <w:t>final rule</w:t>
      </w:r>
      <w:r w:rsidR="008E0644">
        <w:rPr>
          <w:bCs/>
          <w:sz w:val="26"/>
        </w:rPr>
        <w:t xml:space="preserve"> and order on rehearing</w:t>
      </w:r>
      <w:r w:rsidRPr="00BD5C49">
        <w:rPr>
          <w:bCs/>
          <w:sz w:val="26"/>
        </w:rPr>
        <w:t xml:space="preserve">.  </w:t>
      </w:r>
      <w:r w:rsidRPr="006470CF" w:rsidR="006470CF">
        <w:rPr>
          <w:bCs/>
          <w:sz w:val="26"/>
        </w:rPr>
        <w:t>The burden</w:t>
      </w:r>
      <w:bookmarkStart w:id="2" w:name="_Ref138164767"/>
      <w:r>
        <w:rPr>
          <w:b/>
          <w:bCs/>
          <w:sz w:val="26"/>
          <w:vertAlign w:val="superscript"/>
        </w:rPr>
        <w:footnoteReference w:id="13"/>
      </w:r>
      <w:bookmarkEnd w:id="2"/>
      <w:r w:rsidRPr="006470CF" w:rsidR="006470CF">
        <w:rPr>
          <w:b/>
          <w:bCs/>
          <w:sz w:val="26"/>
        </w:rPr>
        <w:t xml:space="preserve"> </w:t>
      </w:r>
      <w:r w:rsidRPr="006470CF" w:rsidR="006470CF">
        <w:rPr>
          <w:bCs/>
          <w:sz w:val="26"/>
        </w:rPr>
        <w:t>and cost estimates below are based on (1) the initial need for transmission providers to file revised versions of the standard interconnection procedures and agreements in Year 1 and (2) ongoing information collection activities in connection with reporting and disclosure requirements in subsequent years.</w:t>
      </w:r>
    </w:p>
    <w:p w:rsidR="00963744" w:rsidP="006C3CE0" w14:paraId="39BD0E13" w14:textId="64016842">
      <w:pPr>
        <w:spacing w:line="240" w:lineRule="auto"/>
        <w:rPr>
          <w:bCs/>
          <w:sz w:val="26"/>
        </w:rPr>
      </w:pPr>
      <w:r w:rsidRPr="006C3CE0">
        <w:rPr>
          <w:bCs/>
          <w:sz w:val="26"/>
        </w:rPr>
        <w:t xml:space="preserve">We estimate that the reforms in </w:t>
      </w:r>
      <w:r w:rsidRPr="006C3CE0" w:rsidR="008E0644">
        <w:rPr>
          <w:bCs/>
          <w:sz w:val="26"/>
        </w:rPr>
        <w:t>th</w:t>
      </w:r>
      <w:r w:rsidR="008E0644">
        <w:rPr>
          <w:bCs/>
          <w:sz w:val="26"/>
        </w:rPr>
        <w:t>e</w:t>
      </w:r>
      <w:r w:rsidRPr="006C3CE0" w:rsidR="008E0644">
        <w:rPr>
          <w:bCs/>
          <w:sz w:val="26"/>
        </w:rPr>
        <w:t xml:space="preserve"> </w:t>
      </w:r>
      <w:r w:rsidRPr="006C3CE0">
        <w:rPr>
          <w:bCs/>
          <w:sz w:val="26"/>
        </w:rPr>
        <w:t>final rule</w:t>
      </w:r>
      <w:r w:rsidR="008E0644">
        <w:rPr>
          <w:bCs/>
          <w:sz w:val="26"/>
        </w:rPr>
        <w:t xml:space="preserve"> and order on rehearing</w:t>
      </w:r>
      <w:r w:rsidRPr="006C3CE0">
        <w:rPr>
          <w:bCs/>
          <w:sz w:val="26"/>
        </w:rPr>
        <w:t xml:space="preserve"> would affect the burden and cost of FERC-917 as follows</w:t>
      </w:r>
      <w:r>
        <w:rPr>
          <w:bCs/>
          <w:sz w:val="26"/>
        </w:rPr>
        <w:t>.</w:t>
      </w:r>
    </w:p>
    <w:p w:rsidR="001D5512" w:rsidP="006C3CE0" w14:paraId="19317BAC" w14:textId="77777777">
      <w:pPr>
        <w:spacing w:line="240" w:lineRule="auto"/>
        <w:rPr>
          <w:bCs/>
          <w:sz w:val="26"/>
        </w:rPr>
      </w:pPr>
    </w:p>
    <w:tbl>
      <w:tblPr>
        <w:tblStyle w:val="TableGrid"/>
        <w:tblW w:w="9576" w:type="dxa"/>
        <w:tblLayout w:type="fixed"/>
        <w:tblLook w:val="04A0"/>
      </w:tblPr>
      <w:tblGrid>
        <w:gridCol w:w="2605"/>
        <w:gridCol w:w="1710"/>
        <w:gridCol w:w="1350"/>
        <w:gridCol w:w="1800"/>
        <w:gridCol w:w="2111"/>
      </w:tblGrid>
      <w:tr w14:paraId="113F8ABC" w14:textId="77777777" w:rsidTr="00346898">
        <w:tblPrEx>
          <w:tblW w:w="9576" w:type="dxa"/>
          <w:tblLayout w:type="fixed"/>
          <w:tblLook w:val="04A0"/>
        </w:tblPrEx>
        <w:tc>
          <w:tcPr>
            <w:tcW w:w="9576" w:type="dxa"/>
            <w:gridSpan w:val="5"/>
            <w:shd w:val="clear" w:color="auto" w:fill="BFBFBF" w:themeFill="background1" w:themeFillShade="BF"/>
          </w:tcPr>
          <w:p w:rsidR="00561B21" w:rsidRPr="00561B21" w:rsidP="00346898" w14:paraId="68C60F22" w14:textId="77777777">
            <w:pPr>
              <w:spacing w:before="0" w:line="240" w:lineRule="auto"/>
              <w:jc w:val="center"/>
              <w:rPr>
                <w:b/>
                <w:bCs/>
                <w:sz w:val="26"/>
              </w:rPr>
            </w:pPr>
            <w:r w:rsidRPr="00561B21">
              <w:rPr>
                <w:b/>
                <w:bCs/>
                <w:sz w:val="26"/>
              </w:rPr>
              <w:t>Changes Due to Order on Rehearing in Docket No. RM21-17-001</w:t>
            </w:r>
            <w:r>
              <w:rPr>
                <w:b/>
                <w:bCs/>
                <w:sz w:val="26"/>
                <w:vertAlign w:val="superscript"/>
              </w:rPr>
              <w:footnoteReference w:id="14"/>
            </w:r>
          </w:p>
        </w:tc>
      </w:tr>
      <w:tr w14:paraId="465B3A0C" w14:textId="77777777" w:rsidTr="00346898">
        <w:tblPrEx>
          <w:tblW w:w="9576" w:type="dxa"/>
          <w:tblLayout w:type="fixed"/>
          <w:tblLook w:val="04A0"/>
        </w:tblPrEx>
        <w:trPr>
          <w:tblHeader/>
        </w:trPr>
        <w:tc>
          <w:tcPr>
            <w:tcW w:w="2605" w:type="dxa"/>
            <w:shd w:val="clear" w:color="auto" w:fill="BFBFBF" w:themeFill="background1" w:themeFillShade="BF"/>
          </w:tcPr>
          <w:p w:rsidR="00561B21" w:rsidRPr="00561B21" w:rsidP="00346898" w14:paraId="4DB9F9AE" w14:textId="77777777">
            <w:pPr>
              <w:spacing w:before="0" w:line="240" w:lineRule="auto"/>
              <w:jc w:val="center"/>
              <w:rPr>
                <w:b/>
                <w:bCs/>
                <w:sz w:val="26"/>
              </w:rPr>
            </w:pPr>
            <w:r w:rsidRPr="00561B21">
              <w:rPr>
                <w:b/>
                <w:bCs/>
                <w:sz w:val="26"/>
              </w:rPr>
              <w:t>A.</w:t>
            </w:r>
          </w:p>
          <w:p w:rsidR="00561B21" w:rsidRPr="00561B21" w:rsidP="00346898" w14:paraId="72AC6891" w14:textId="77777777">
            <w:pPr>
              <w:spacing w:before="0" w:line="240" w:lineRule="auto"/>
              <w:jc w:val="center"/>
              <w:rPr>
                <w:b/>
                <w:bCs/>
                <w:sz w:val="26"/>
              </w:rPr>
            </w:pPr>
            <w:r w:rsidRPr="00561B21">
              <w:rPr>
                <w:b/>
                <w:bCs/>
                <w:sz w:val="26"/>
              </w:rPr>
              <w:t>Area of Modification</w:t>
            </w:r>
          </w:p>
        </w:tc>
        <w:tc>
          <w:tcPr>
            <w:tcW w:w="1710" w:type="dxa"/>
            <w:shd w:val="clear" w:color="auto" w:fill="BFBFBF" w:themeFill="background1" w:themeFillShade="BF"/>
          </w:tcPr>
          <w:p w:rsidR="00561B21" w:rsidRPr="00561B21" w:rsidP="00346898" w14:paraId="5B347324" w14:textId="77777777">
            <w:pPr>
              <w:spacing w:before="0" w:line="240" w:lineRule="auto"/>
              <w:jc w:val="center"/>
              <w:rPr>
                <w:b/>
                <w:bCs/>
                <w:sz w:val="26"/>
              </w:rPr>
            </w:pPr>
            <w:r w:rsidRPr="00561B21">
              <w:rPr>
                <w:b/>
                <w:bCs/>
                <w:sz w:val="26"/>
              </w:rPr>
              <w:t>B.</w:t>
            </w:r>
          </w:p>
          <w:p w:rsidR="00561B21" w:rsidRPr="00561B21" w:rsidP="00346898" w14:paraId="06321EA6" w14:textId="77777777">
            <w:pPr>
              <w:spacing w:before="0" w:line="240" w:lineRule="auto"/>
              <w:jc w:val="center"/>
              <w:rPr>
                <w:b/>
                <w:bCs/>
                <w:sz w:val="26"/>
              </w:rPr>
            </w:pPr>
            <w:r w:rsidRPr="00561B21">
              <w:rPr>
                <w:b/>
                <w:bCs/>
                <w:sz w:val="26"/>
              </w:rPr>
              <w:t>Annual Number of Respondents</w:t>
            </w:r>
          </w:p>
          <w:p w:rsidR="00561B21" w:rsidRPr="00561B21" w:rsidP="00346898" w14:paraId="4BCE6F5D" w14:textId="77777777">
            <w:pPr>
              <w:spacing w:before="0" w:line="240" w:lineRule="auto"/>
              <w:jc w:val="center"/>
              <w:rPr>
                <w:b/>
                <w:bCs/>
                <w:sz w:val="26"/>
              </w:rPr>
            </w:pPr>
          </w:p>
        </w:tc>
        <w:tc>
          <w:tcPr>
            <w:tcW w:w="1350" w:type="dxa"/>
            <w:shd w:val="clear" w:color="auto" w:fill="BFBFBF" w:themeFill="background1" w:themeFillShade="BF"/>
          </w:tcPr>
          <w:p w:rsidR="00561B21" w:rsidRPr="00561B21" w:rsidP="00346898" w14:paraId="4993314E" w14:textId="77777777">
            <w:pPr>
              <w:spacing w:before="0" w:line="240" w:lineRule="auto"/>
              <w:jc w:val="center"/>
              <w:rPr>
                <w:b/>
                <w:bCs/>
                <w:sz w:val="26"/>
              </w:rPr>
            </w:pPr>
            <w:r w:rsidRPr="00561B21">
              <w:rPr>
                <w:b/>
                <w:bCs/>
                <w:sz w:val="26"/>
              </w:rPr>
              <w:t>C.</w:t>
            </w:r>
          </w:p>
          <w:p w:rsidR="00561B21" w:rsidRPr="00561B21" w:rsidP="00346898" w14:paraId="15C25053" w14:textId="3E11C1CD">
            <w:pPr>
              <w:spacing w:before="0" w:line="240" w:lineRule="auto"/>
              <w:jc w:val="center"/>
              <w:rPr>
                <w:b/>
                <w:bCs/>
                <w:sz w:val="26"/>
              </w:rPr>
            </w:pPr>
            <w:r w:rsidRPr="00561B21">
              <w:rPr>
                <w:b/>
                <w:bCs/>
                <w:sz w:val="26"/>
              </w:rPr>
              <w:t xml:space="preserve">Total Annual Estimated Number </w:t>
            </w:r>
            <w:r w:rsidRPr="00561B21">
              <w:rPr>
                <w:b/>
                <w:bCs/>
                <w:sz w:val="26"/>
              </w:rPr>
              <w:t>of Responses</w:t>
            </w:r>
          </w:p>
        </w:tc>
        <w:tc>
          <w:tcPr>
            <w:tcW w:w="1800" w:type="dxa"/>
            <w:shd w:val="clear" w:color="auto" w:fill="BFBFBF" w:themeFill="background1" w:themeFillShade="BF"/>
          </w:tcPr>
          <w:p w:rsidR="00561B21" w:rsidRPr="00561B21" w:rsidP="00346898" w14:paraId="5A9042B0" w14:textId="77777777">
            <w:pPr>
              <w:spacing w:before="0" w:line="240" w:lineRule="auto"/>
              <w:jc w:val="center"/>
              <w:rPr>
                <w:b/>
                <w:bCs/>
                <w:sz w:val="26"/>
              </w:rPr>
            </w:pPr>
            <w:r w:rsidRPr="00561B21">
              <w:rPr>
                <w:b/>
                <w:bCs/>
                <w:sz w:val="26"/>
              </w:rPr>
              <w:t>D.</w:t>
            </w:r>
          </w:p>
          <w:p w:rsidR="00561B21" w:rsidRPr="00561B21" w:rsidP="00346898" w14:paraId="6B5B3F2A" w14:textId="77777777">
            <w:pPr>
              <w:spacing w:before="0" w:line="240" w:lineRule="auto"/>
              <w:jc w:val="center"/>
              <w:rPr>
                <w:b/>
                <w:bCs/>
                <w:sz w:val="26"/>
              </w:rPr>
            </w:pPr>
            <w:r w:rsidRPr="00561B21">
              <w:rPr>
                <w:b/>
                <w:bCs/>
                <w:sz w:val="26"/>
              </w:rPr>
              <w:t>Average Burden Hours &amp; Cost</w:t>
            </w:r>
            <w:r>
              <w:rPr>
                <w:b/>
                <w:bCs/>
                <w:sz w:val="26"/>
                <w:vertAlign w:val="superscript"/>
              </w:rPr>
              <w:footnoteReference w:id="15"/>
            </w:r>
            <w:r w:rsidRPr="00561B21">
              <w:rPr>
                <w:b/>
                <w:bCs/>
                <w:sz w:val="26"/>
              </w:rPr>
              <w:t xml:space="preserve"> per </w:t>
            </w:r>
            <w:r w:rsidRPr="00561B21">
              <w:rPr>
                <w:b/>
                <w:bCs/>
                <w:sz w:val="26"/>
              </w:rPr>
              <w:t>Response</w:t>
            </w:r>
          </w:p>
          <w:p w:rsidR="00561B21" w:rsidRPr="00561B21" w:rsidP="00346898" w14:paraId="2693174F" w14:textId="77777777">
            <w:pPr>
              <w:spacing w:before="0" w:line="240" w:lineRule="auto"/>
              <w:jc w:val="center"/>
              <w:rPr>
                <w:b/>
                <w:bCs/>
                <w:sz w:val="26"/>
              </w:rPr>
            </w:pPr>
          </w:p>
        </w:tc>
        <w:tc>
          <w:tcPr>
            <w:tcW w:w="2111" w:type="dxa"/>
            <w:shd w:val="clear" w:color="auto" w:fill="BFBFBF" w:themeFill="background1" w:themeFillShade="BF"/>
          </w:tcPr>
          <w:p w:rsidR="00561B21" w:rsidRPr="00561B21" w:rsidP="00346898" w14:paraId="73F1FEA6" w14:textId="77777777">
            <w:pPr>
              <w:spacing w:before="0" w:line="240" w:lineRule="auto"/>
              <w:jc w:val="center"/>
              <w:rPr>
                <w:b/>
                <w:bCs/>
                <w:sz w:val="26"/>
              </w:rPr>
            </w:pPr>
            <w:r w:rsidRPr="00561B21">
              <w:rPr>
                <w:b/>
                <w:bCs/>
                <w:sz w:val="26"/>
              </w:rPr>
              <w:t>E.</w:t>
            </w:r>
          </w:p>
          <w:p w:rsidR="00561B21" w:rsidRPr="00561B21" w:rsidP="00346898" w14:paraId="25C3150D" w14:textId="77777777">
            <w:pPr>
              <w:spacing w:before="0" w:line="240" w:lineRule="auto"/>
              <w:jc w:val="center"/>
              <w:rPr>
                <w:b/>
                <w:bCs/>
                <w:sz w:val="26"/>
              </w:rPr>
            </w:pPr>
            <w:r w:rsidRPr="00561B21">
              <w:rPr>
                <w:b/>
                <w:bCs/>
                <w:sz w:val="26"/>
              </w:rPr>
              <w:t>Total Estimated Burden Hours &amp; Total Estimated Cost</w:t>
            </w:r>
          </w:p>
          <w:p w:rsidR="00561B21" w:rsidRPr="00561B21" w:rsidP="00346898" w14:paraId="480B592E" w14:textId="77777777">
            <w:pPr>
              <w:spacing w:before="0" w:line="240" w:lineRule="auto"/>
              <w:jc w:val="center"/>
              <w:rPr>
                <w:b/>
                <w:bCs/>
                <w:sz w:val="26"/>
              </w:rPr>
            </w:pPr>
            <w:r w:rsidRPr="00561B21">
              <w:rPr>
                <w:b/>
                <w:bCs/>
                <w:sz w:val="26"/>
              </w:rPr>
              <w:t>(Column C x Column D)</w:t>
            </w:r>
          </w:p>
        </w:tc>
      </w:tr>
      <w:tr w14:paraId="3899A856" w14:textId="77777777" w:rsidTr="00346898">
        <w:tblPrEx>
          <w:tblW w:w="9576" w:type="dxa"/>
          <w:tblLayout w:type="fixed"/>
          <w:tblLook w:val="04A0"/>
        </w:tblPrEx>
        <w:tc>
          <w:tcPr>
            <w:tcW w:w="9576" w:type="dxa"/>
            <w:gridSpan w:val="5"/>
            <w:shd w:val="clear" w:color="auto" w:fill="BFBFBF" w:themeFill="background1" w:themeFillShade="BF"/>
          </w:tcPr>
          <w:p w:rsidR="00561B21" w:rsidRPr="00561B21" w:rsidP="00346898" w14:paraId="3A5060AD" w14:textId="77777777">
            <w:pPr>
              <w:spacing w:before="0" w:line="240" w:lineRule="auto"/>
              <w:rPr>
                <w:b/>
                <w:bCs/>
                <w:sz w:val="26"/>
              </w:rPr>
            </w:pPr>
            <w:r w:rsidRPr="00561B21">
              <w:rPr>
                <w:b/>
                <w:bCs/>
                <w:sz w:val="26"/>
              </w:rPr>
              <w:t>FERC-917, Electric Transmission Facilities (OMB Control No. 1902-0233)</w:t>
            </w:r>
          </w:p>
        </w:tc>
      </w:tr>
      <w:tr w14:paraId="50FD09E9" w14:textId="77777777" w:rsidTr="00346898">
        <w:tblPrEx>
          <w:tblW w:w="9576" w:type="dxa"/>
          <w:tblLayout w:type="fixed"/>
          <w:tblLook w:val="04A0"/>
        </w:tblPrEx>
        <w:tc>
          <w:tcPr>
            <w:tcW w:w="2605" w:type="dxa"/>
          </w:tcPr>
          <w:p w:rsidR="00561B21" w:rsidRPr="00561B21" w:rsidP="00346898" w14:paraId="79DBBCC3" w14:textId="77777777">
            <w:pPr>
              <w:spacing w:before="0" w:line="240" w:lineRule="auto"/>
              <w:rPr>
                <w:bCs/>
                <w:sz w:val="26"/>
              </w:rPr>
            </w:pPr>
            <w:r w:rsidRPr="00561B21">
              <w:rPr>
                <w:bCs/>
                <w:sz w:val="26"/>
              </w:rPr>
              <w:t xml:space="preserve">Establish a six-month time period during which transmission providers must, among other things, provide a forum for negotiation that enables participation by Relevant State Entities and to discuss potential Long-Term Regional Transmission Cost Allocation Methods and/or a State Agreement Process.  Also require transmission providers to consult with Relevant State Entities prior to amending Long-Term Regional Transmission Cost Allocation Methods and/or State Agreement Process on </w:t>
            </w:r>
            <w:r w:rsidRPr="00561B21">
              <w:rPr>
                <w:bCs/>
                <w:sz w:val="26"/>
              </w:rPr>
              <w:t>file with the Commission.</w:t>
            </w:r>
          </w:p>
        </w:tc>
        <w:tc>
          <w:tcPr>
            <w:tcW w:w="1710" w:type="dxa"/>
          </w:tcPr>
          <w:p w:rsidR="00561B21" w:rsidRPr="00561B21" w:rsidP="00346898" w14:paraId="7DE576A7" w14:textId="77777777">
            <w:pPr>
              <w:spacing w:before="0" w:line="240" w:lineRule="auto"/>
              <w:rPr>
                <w:bCs/>
                <w:sz w:val="26"/>
              </w:rPr>
            </w:pPr>
            <w:r w:rsidRPr="00561B21">
              <w:rPr>
                <w:bCs/>
                <w:sz w:val="26"/>
              </w:rPr>
              <w:t>48 transmission providers with OATTs</w:t>
            </w:r>
          </w:p>
          <w:p w:rsidR="00561B21" w:rsidRPr="00561B21" w:rsidP="00346898" w14:paraId="6705E192" w14:textId="77777777">
            <w:pPr>
              <w:spacing w:before="0" w:line="240" w:lineRule="auto"/>
              <w:rPr>
                <w:bCs/>
                <w:sz w:val="26"/>
              </w:rPr>
            </w:pPr>
          </w:p>
        </w:tc>
        <w:tc>
          <w:tcPr>
            <w:tcW w:w="1350" w:type="dxa"/>
          </w:tcPr>
          <w:p w:rsidR="00561B21" w:rsidRPr="00561B21" w:rsidP="00346898" w14:paraId="67AB9672" w14:textId="77777777">
            <w:pPr>
              <w:spacing w:before="0" w:line="240" w:lineRule="auto"/>
              <w:rPr>
                <w:bCs/>
                <w:sz w:val="26"/>
              </w:rPr>
            </w:pPr>
            <w:r w:rsidRPr="00561B21">
              <w:rPr>
                <w:bCs/>
                <w:sz w:val="26"/>
              </w:rPr>
              <w:t>48</w:t>
            </w:r>
          </w:p>
        </w:tc>
        <w:tc>
          <w:tcPr>
            <w:tcW w:w="1800" w:type="dxa"/>
          </w:tcPr>
          <w:p w:rsidR="00561B21" w:rsidRPr="00561B21" w:rsidP="00346898" w14:paraId="3CB78FA5" w14:textId="77777777">
            <w:pPr>
              <w:spacing w:before="0" w:line="240" w:lineRule="auto"/>
              <w:rPr>
                <w:bCs/>
                <w:sz w:val="26"/>
              </w:rPr>
            </w:pPr>
            <w:r w:rsidRPr="00561B21">
              <w:rPr>
                <w:bCs/>
                <w:sz w:val="26"/>
              </w:rPr>
              <w:t>One Time: 390 hours; $36,307</w:t>
            </w:r>
          </w:p>
          <w:p w:rsidR="00561B21" w:rsidRPr="00561B21" w:rsidP="00346898" w14:paraId="690E8CEC" w14:textId="77777777">
            <w:pPr>
              <w:spacing w:before="0" w:line="240" w:lineRule="auto"/>
              <w:rPr>
                <w:bCs/>
                <w:sz w:val="26"/>
              </w:rPr>
            </w:pPr>
          </w:p>
          <w:p w:rsidR="00561B21" w:rsidRPr="00561B21" w:rsidP="00346898" w14:paraId="6E412DB9" w14:textId="77777777">
            <w:pPr>
              <w:spacing w:before="0" w:line="240" w:lineRule="auto"/>
              <w:rPr>
                <w:bCs/>
                <w:sz w:val="26"/>
              </w:rPr>
            </w:pPr>
          </w:p>
          <w:p w:rsidR="00561B21" w:rsidRPr="00561B21" w:rsidP="00346898" w14:paraId="5583F2F0" w14:textId="77777777">
            <w:pPr>
              <w:spacing w:before="0" w:line="240" w:lineRule="auto"/>
              <w:rPr>
                <w:bCs/>
                <w:sz w:val="26"/>
              </w:rPr>
            </w:pPr>
            <w:r w:rsidRPr="00561B21">
              <w:rPr>
                <w:bCs/>
                <w:sz w:val="26"/>
              </w:rPr>
              <w:t>Ongoing: 39</w:t>
            </w:r>
            <w:r w:rsidRPr="00561B21">
              <w:rPr>
                <w:bCs/>
                <w:sz w:val="26"/>
              </w:rPr>
              <w:t xml:space="preserve"> </w:t>
            </w:r>
            <w:r w:rsidRPr="00561B21">
              <w:rPr>
                <w:bCs/>
                <w:sz w:val="26"/>
              </w:rPr>
              <w:t>hours per year; $3,631 per year</w:t>
            </w:r>
          </w:p>
          <w:p w:rsidR="00561B21" w:rsidRPr="00561B21" w:rsidP="00346898" w14:paraId="420BCE35" w14:textId="77777777">
            <w:pPr>
              <w:spacing w:before="0" w:line="240" w:lineRule="auto"/>
              <w:rPr>
                <w:bCs/>
                <w:sz w:val="26"/>
              </w:rPr>
            </w:pPr>
          </w:p>
          <w:p w:rsidR="00561B21" w:rsidRPr="00561B21" w:rsidP="00346898" w14:paraId="59F2AC1B" w14:textId="77777777">
            <w:pPr>
              <w:spacing w:before="0" w:line="240" w:lineRule="auto"/>
              <w:rPr>
                <w:bCs/>
                <w:sz w:val="26"/>
              </w:rPr>
            </w:pPr>
          </w:p>
        </w:tc>
        <w:tc>
          <w:tcPr>
            <w:tcW w:w="2111" w:type="dxa"/>
          </w:tcPr>
          <w:p w:rsidR="00561B21" w:rsidRPr="00561B21" w:rsidP="00346898" w14:paraId="4DC17461" w14:textId="77777777">
            <w:pPr>
              <w:spacing w:before="0" w:line="240" w:lineRule="auto"/>
              <w:rPr>
                <w:bCs/>
                <w:sz w:val="26"/>
              </w:rPr>
            </w:pPr>
            <w:r w:rsidRPr="00561B21">
              <w:rPr>
                <w:bCs/>
                <w:sz w:val="26"/>
              </w:rPr>
              <w:t>One Time: 18,720 hours; $1,742,734</w:t>
            </w:r>
          </w:p>
          <w:p w:rsidR="00561B21" w:rsidRPr="00561B21" w:rsidP="00346898" w14:paraId="119A8EA6" w14:textId="77777777">
            <w:pPr>
              <w:spacing w:before="0" w:line="240" w:lineRule="auto"/>
              <w:rPr>
                <w:bCs/>
                <w:sz w:val="26"/>
              </w:rPr>
            </w:pPr>
          </w:p>
          <w:p w:rsidR="00561B21" w:rsidRPr="00561B21" w:rsidP="00346898" w14:paraId="715F2EDF" w14:textId="77777777">
            <w:pPr>
              <w:spacing w:before="0" w:line="240" w:lineRule="auto"/>
              <w:rPr>
                <w:bCs/>
                <w:sz w:val="26"/>
              </w:rPr>
            </w:pPr>
            <w:r w:rsidRPr="00561B21">
              <w:rPr>
                <w:bCs/>
                <w:sz w:val="26"/>
              </w:rPr>
              <w:t>Ongoing: 1,872</w:t>
            </w:r>
            <w:r w:rsidRPr="00561B21">
              <w:rPr>
                <w:bCs/>
                <w:sz w:val="26"/>
              </w:rPr>
              <w:t xml:space="preserve"> </w:t>
            </w:r>
            <w:r w:rsidRPr="00561B21">
              <w:rPr>
                <w:bCs/>
                <w:sz w:val="26"/>
              </w:rPr>
              <w:t>hours per year; $174,274 per year</w:t>
            </w:r>
          </w:p>
          <w:p w:rsidR="00561B21" w:rsidRPr="00561B21" w:rsidP="00346898" w14:paraId="6B962688" w14:textId="77777777">
            <w:pPr>
              <w:spacing w:before="0" w:line="240" w:lineRule="auto"/>
              <w:rPr>
                <w:bCs/>
                <w:sz w:val="26"/>
              </w:rPr>
            </w:pPr>
          </w:p>
          <w:p w:rsidR="00561B21" w:rsidRPr="00561B21" w:rsidP="00346898" w14:paraId="7A51239E" w14:textId="77777777">
            <w:pPr>
              <w:spacing w:before="0" w:line="240" w:lineRule="auto"/>
              <w:rPr>
                <w:bCs/>
                <w:sz w:val="26"/>
              </w:rPr>
            </w:pPr>
          </w:p>
        </w:tc>
      </w:tr>
      <w:tr w14:paraId="68D86DFC" w14:textId="77777777" w:rsidTr="00346898">
        <w:tblPrEx>
          <w:tblW w:w="9576" w:type="dxa"/>
          <w:tblLayout w:type="fixed"/>
          <w:tblLook w:val="04A0"/>
        </w:tblPrEx>
        <w:tc>
          <w:tcPr>
            <w:tcW w:w="2605" w:type="dxa"/>
            <w:vMerge w:val="restart"/>
          </w:tcPr>
          <w:p w:rsidR="00561B21" w:rsidRPr="00561B21" w:rsidP="00346898" w14:paraId="751DCBCB" w14:textId="77777777">
            <w:pPr>
              <w:spacing w:before="0" w:line="240" w:lineRule="auto"/>
              <w:rPr>
                <w:bCs/>
                <w:sz w:val="26"/>
              </w:rPr>
            </w:pPr>
            <w:r w:rsidRPr="00561B21">
              <w:rPr>
                <w:bCs/>
                <w:sz w:val="26"/>
              </w:rPr>
              <w:t>Participate in Long-Term Regional Transmission Planning, which includes creating and updating datasets, developing Long-Term Scenarios, evaluating the benefits of Long-Term Regional Transmission Facilities, and establishing criteria in consultation with Relevant State Entities and stakeholders to select Long-Term Regional Transmission Facilities in the regional transmission plan for purposes of cost allocation.</w:t>
            </w:r>
          </w:p>
        </w:tc>
        <w:tc>
          <w:tcPr>
            <w:tcW w:w="1710" w:type="dxa"/>
          </w:tcPr>
          <w:p w:rsidR="00561B21" w:rsidRPr="00561B21" w:rsidP="00346898" w14:paraId="132032F8" w14:textId="77777777">
            <w:pPr>
              <w:spacing w:before="0" w:line="240" w:lineRule="auto"/>
              <w:rPr>
                <w:bCs/>
                <w:sz w:val="26"/>
              </w:rPr>
            </w:pPr>
            <w:r w:rsidRPr="00561B21">
              <w:rPr>
                <w:bCs/>
                <w:sz w:val="26"/>
              </w:rPr>
              <w:t>48 transmission providers with OATTs</w:t>
            </w:r>
          </w:p>
          <w:p w:rsidR="00561B21" w:rsidRPr="00561B21" w:rsidP="00346898" w14:paraId="55501043" w14:textId="77777777">
            <w:pPr>
              <w:spacing w:before="0" w:line="240" w:lineRule="auto"/>
              <w:rPr>
                <w:bCs/>
                <w:sz w:val="26"/>
              </w:rPr>
            </w:pPr>
          </w:p>
        </w:tc>
        <w:tc>
          <w:tcPr>
            <w:tcW w:w="1350" w:type="dxa"/>
          </w:tcPr>
          <w:p w:rsidR="00561B21" w:rsidRPr="00561B21" w:rsidP="00346898" w14:paraId="7B8CAEB5" w14:textId="77777777">
            <w:pPr>
              <w:spacing w:before="0" w:line="240" w:lineRule="auto"/>
              <w:rPr>
                <w:bCs/>
                <w:sz w:val="26"/>
              </w:rPr>
            </w:pPr>
            <w:r w:rsidRPr="00561B21">
              <w:rPr>
                <w:bCs/>
                <w:sz w:val="26"/>
              </w:rPr>
              <w:t>48</w:t>
            </w:r>
          </w:p>
        </w:tc>
        <w:tc>
          <w:tcPr>
            <w:tcW w:w="1800" w:type="dxa"/>
          </w:tcPr>
          <w:p w:rsidR="00561B21" w:rsidRPr="00561B21" w:rsidP="00346898" w14:paraId="5F1743D2" w14:textId="77777777">
            <w:pPr>
              <w:spacing w:before="0" w:line="240" w:lineRule="auto"/>
              <w:rPr>
                <w:bCs/>
                <w:sz w:val="26"/>
              </w:rPr>
            </w:pPr>
            <w:r w:rsidRPr="00561B21">
              <w:rPr>
                <w:bCs/>
                <w:sz w:val="26"/>
              </w:rPr>
              <w:t xml:space="preserve">One Time:  </w:t>
            </w:r>
          </w:p>
          <w:p w:rsidR="00561B21" w:rsidRPr="00561B21" w:rsidP="00346898" w14:paraId="1A91C90D" w14:textId="77777777">
            <w:pPr>
              <w:spacing w:before="0" w:line="240" w:lineRule="auto"/>
              <w:rPr>
                <w:bCs/>
                <w:sz w:val="26"/>
              </w:rPr>
            </w:pPr>
            <w:r w:rsidRPr="00561B21">
              <w:rPr>
                <w:bCs/>
                <w:sz w:val="26"/>
              </w:rPr>
              <w:t>0 hours; $0</w:t>
            </w:r>
          </w:p>
          <w:p w:rsidR="00561B21" w:rsidRPr="00561B21" w:rsidP="00346898" w14:paraId="65DAB191" w14:textId="77777777">
            <w:pPr>
              <w:spacing w:before="0" w:line="240" w:lineRule="auto"/>
              <w:rPr>
                <w:bCs/>
                <w:sz w:val="26"/>
              </w:rPr>
            </w:pPr>
          </w:p>
          <w:p w:rsidR="00561B21" w:rsidRPr="00561B21" w:rsidP="00346898" w14:paraId="11DAEA36" w14:textId="2D4E9C58">
            <w:pPr>
              <w:spacing w:before="0" w:line="240" w:lineRule="auto"/>
              <w:rPr>
                <w:bCs/>
                <w:sz w:val="26"/>
              </w:rPr>
            </w:pPr>
            <w:r w:rsidRPr="00561B21">
              <w:rPr>
                <w:bCs/>
                <w:sz w:val="26"/>
              </w:rPr>
              <w:t xml:space="preserve">Ongoing:  </w:t>
            </w:r>
            <w:r w:rsidRPr="00561B21">
              <w:rPr>
                <w:bCs/>
                <w:sz w:val="26"/>
              </w:rPr>
              <w:br/>
              <w:t>4,995 hours per year; $465,010 per year</w:t>
            </w:r>
          </w:p>
        </w:tc>
        <w:tc>
          <w:tcPr>
            <w:tcW w:w="2111" w:type="dxa"/>
          </w:tcPr>
          <w:p w:rsidR="00561B21" w:rsidRPr="00561B21" w:rsidP="00346898" w14:paraId="1657C7A0" w14:textId="77777777">
            <w:pPr>
              <w:spacing w:before="0" w:line="240" w:lineRule="auto"/>
              <w:rPr>
                <w:bCs/>
                <w:sz w:val="26"/>
              </w:rPr>
            </w:pPr>
            <w:r w:rsidRPr="00561B21">
              <w:rPr>
                <w:bCs/>
                <w:sz w:val="26"/>
              </w:rPr>
              <w:t xml:space="preserve">One Time:  </w:t>
            </w:r>
          </w:p>
          <w:p w:rsidR="00561B21" w:rsidRPr="00561B21" w:rsidP="00346898" w14:paraId="40920CD5" w14:textId="77777777">
            <w:pPr>
              <w:spacing w:before="0" w:line="240" w:lineRule="auto"/>
              <w:rPr>
                <w:bCs/>
                <w:sz w:val="26"/>
              </w:rPr>
            </w:pPr>
            <w:r w:rsidRPr="00561B21">
              <w:rPr>
                <w:bCs/>
                <w:sz w:val="26"/>
              </w:rPr>
              <w:t>0 hours; $0</w:t>
            </w:r>
          </w:p>
          <w:p w:rsidR="00561B21" w:rsidRPr="00561B21" w:rsidP="00346898" w14:paraId="3E031AB3" w14:textId="77777777">
            <w:pPr>
              <w:spacing w:before="0" w:line="240" w:lineRule="auto"/>
              <w:rPr>
                <w:bCs/>
                <w:sz w:val="26"/>
              </w:rPr>
            </w:pPr>
          </w:p>
          <w:p w:rsidR="00561B21" w:rsidRPr="00561B21" w:rsidP="00346898" w14:paraId="18241E45" w14:textId="77777777">
            <w:pPr>
              <w:spacing w:before="0" w:line="240" w:lineRule="auto"/>
              <w:rPr>
                <w:bCs/>
                <w:sz w:val="26"/>
              </w:rPr>
            </w:pPr>
            <w:r w:rsidRPr="00561B21">
              <w:rPr>
                <w:bCs/>
                <w:sz w:val="26"/>
              </w:rPr>
              <w:t xml:space="preserve">Ongoing:  </w:t>
            </w:r>
            <w:r w:rsidRPr="00561B21">
              <w:rPr>
                <w:bCs/>
                <w:sz w:val="26"/>
              </w:rPr>
              <w:br/>
              <w:t>239,760 hours per year; $22,320,457    per year</w:t>
            </w:r>
          </w:p>
        </w:tc>
      </w:tr>
      <w:tr w14:paraId="59463D29" w14:textId="77777777" w:rsidTr="00346898">
        <w:tblPrEx>
          <w:tblW w:w="9576" w:type="dxa"/>
          <w:tblLayout w:type="fixed"/>
          <w:tblLook w:val="04A0"/>
        </w:tblPrEx>
        <w:tc>
          <w:tcPr>
            <w:tcW w:w="2605" w:type="dxa"/>
            <w:vMerge/>
          </w:tcPr>
          <w:p w:rsidR="00561B21" w:rsidRPr="00561B21" w:rsidP="00346898" w14:paraId="6069600D" w14:textId="77777777">
            <w:pPr>
              <w:spacing w:before="0" w:line="240" w:lineRule="auto"/>
              <w:rPr>
                <w:bCs/>
                <w:sz w:val="26"/>
              </w:rPr>
            </w:pPr>
          </w:p>
        </w:tc>
        <w:tc>
          <w:tcPr>
            <w:tcW w:w="1710" w:type="dxa"/>
          </w:tcPr>
          <w:p w:rsidR="00561B21" w:rsidRPr="00561B21" w:rsidP="00346898" w14:paraId="4596C450" w14:textId="77777777">
            <w:pPr>
              <w:spacing w:before="0" w:line="240" w:lineRule="auto"/>
              <w:rPr>
                <w:bCs/>
                <w:sz w:val="26"/>
              </w:rPr>
            </w:pPr>
            <w:r w:rsidRPr="00561B21">
              <w:rPr>
                <w:bCs/>
                <w:sz w:val="26"/>
              </w:rPr>
              <w:t>77 transmission providers without OATTs</w:t>
            </w:r>
          </w:p>
        </w:tc>
        <w:tc>
          <w:tcPr>
            <w:tcW w:w="1350" w:type="dxa"/>
          </w:tcPr>
          <w:p w:rsidR="00561B21" w:rsidRPr="00561B21" w:rsidP="00346898" w14:paraId="43F618FD" w14:textId="77777777">
            <w:pPr>
              <w:spacing w:before="0" w:line="240" w:lineRule="auto"/>
              <w:rPr>
                <w:bCs/>
                <w:sz w:val="26"/>
              </w:rPr>
            </w:pPr>
            <w:r w:rsidRPr="00561B21">
              <w:rPr>
                <w:bCs/>
                <w:sz w:val="26"/>
              </w:rPr>
              <w:t>77</w:t>
            </w:r>
          </w:p>
        </w:tc>
        <w:tc>
          <w:tcPr>
            <w:tcW w:w="1800" w:type="dxa"/>
          </w:tcPr>
          <w:p w:rsidR="00561B21" w:rsidRPr="00561B21" w:rsidP="00346898" w14:paraId="53297947" w14:textId="77777777">
            <w:pPr>
              <w:spacing w:before="0" w:line="240" w:lineRule="auto"/>
              <w:rPr>
                <w:bCs/>
                <w:sz w:val="26"/>
              </w:rPr>
            </w:pPr>
            <w:r w:rsidRPr="00561B21">
              <w:rPr>
                <w:bCs/>
                <w:sz w:val="26"/>
              </w:rPr>
              <w:t xml:space="preserve">One Time:  </w:t>
            </w:r>
          </w:p>
          <w:p w:rsidR="00561B21" w:rsidRPr="00561B21" w:rsidP="00346898" w14:paraId="791E6AB0" w14:textId="77777777">
            <w:pPr>
              <w:spacing w:before="0" w:line="240" w:lineRule="auto"/>
              <w:rPr>
                <w:bCs/>
                <w:sz w:val="26"/>
              </w:rPr>
            </w:pPr>
            <w:r w:rsidRPr="00561B21">
              <w:rPr>
                <w:bCs/>
                <w:sz w:val="26"/>
              </w:rPr>
              <w:t>0 hours; $0</w:t>
            </w:r>
          </w:p>
          <w:p w:rsidR="00561B21" w:rsidRPr="00561B21" w:rsidP="00346898" w14:paraId="1EEFD03C" w14:textId="77777777">
            <w:pPr>
              <w:spacing w:before="0" w:line="240" w:lineRule="auto"/>
              <w:rPr>
                <w:bCs/>
                <w:sz w:val="26"/>
              </w:rPr>
            </w:pPr>
          </w:p>
          <w:p w:rsidR="00561B21" w:rsidRPr="00561B21" w:rsidP="00346898" w14:paraId="71144FA8" w14:textId="77777777">
            <w:pPr>
              <w:spacing w:before="0" w:line="240" w:lineRule="auto"/>
              <w:rPr>
                <w:bCs/>
                <w:sz w:val="26"/>
              </w:rPr>
            </w:pPr>
            <w:r w:rsidRPr="00561B21">
              <w:rPr>
                <w:bCs/>
                <w:sz w:val="26"/>
              </w:rPr>
              <w:t xml:space="preserve">Ongoing: </w:t>
            </w:r>
          </w:p>
          <w:p w:rsidR="00561B21" w:rsidRPr="00561B21" w:rsidP="00346898" w14:paraId="3340D346" w14:textId="77777777">
            <w:pPr>
              <w:spacing w:before="0" w:line="240" w:lineRule="auto"/>
              <w:rPr>
                <w:bCs/>
                <w:sz w:val="26"/>
              </w:rPr>
            </w:pPr>
            <w:r w:rsidRPr="00561B21">
              <w:rPr>
                <w:bCs/>
                <w:sz w:val="26"/>
              </w:rPr>
              <w:t>202 hours per year; $18,805   per year</w:t>
            </w:r>
          </w:p>
        </w:tc>
        <w:tc>
          <w:tcPr>
            <w:tcW w:w="2111" w:type="dxa"/>
          </w:tcPr>
          <w:p w:rsidR="00561B21" w:rsidRPr="00561B21" w:rsidP="00346898" w14:paraId="58F5E5FE" w14:textId="77777777">
            <w:pPr>
              <w:spacing w:before="0" w:line="240" w:lineRule="auto"/>
              <w:rPr>
                <w:bCs/>
                <w:sz w:val="26"/>
              </w:rPr>
            </w:pPr>
            <w:r w:rsidRPr="00561B21">
              <w:rPr>
                <w:bCs/>
                <w:sz w:val="26"/>
              </w:rPr>
              <w:t xml:space="preserve">One Time:  </w:t>
            </w:r>
          </w:p>
          <w:p w:rsidR="00561B21" w:rsidRPr="00561B21" w:rsidP="00346898" w14:paraId="6C8518A3" w14:textId="77777777">
            <w:pPr>
              <w:spacing w:before="0" w:line="240" w:lineRule="auto"/>
              <w:rPr>
                <w:bCs/>
                <w:sz w:val="26"/>
              </w:rPr>
            </w:pPr>
            <w:r w:rsidRPr="00561B21">
              <w:rPr>
                <w:bCs/>
                <w:sz w:val="26"/>
              </w:rPr>
              <w:t>0 hours; $0</w:t>
            </w:r>
          </w:p>
          <w:p w:rsidR="00561B21" w:rsidRPr="00561B21" w:rsidP="00346898" w14:paraId="490F1D79" w14:textId="77777777">
            <w:pPr>
              <w:spacing w:before="0" w:line="240" w:lineRule="auto"/>
              <w:rPr>
                <w:bCs/>
                <w:sz w:val="26"/>
              </w:rPr>
            </w:pPr>
          </w:p>
          <w:p w:rsidR="00561B21" w:rsidRPr="00561B21" w:rsidP="00346898" w14:paraId="63EA9953" w14:textId="77777777">
            <w:pPr>
              <w:spacing w:before="0" w:line="240" w:lineRule="auto"/>
              <w:rPr>
                <w:bCs/>
                <w:sz w:val="26"/>
              </w:rPr>
            </w:pPr>
            <w:r w:rsidRPr="00561B21">
              <w:rPr>
                <w:bCs/>
                <w:sz w:val="26"/>
              </w:rPr>
              <w:t xml:space="preserve">Ongoing:   </w:t>
            </w:r>
          </w:p>
          <w:p w:rsidR="00561B21" w:rsidRPr="00561B21" w:rsidP="00346898" w14:paraId="3A08F459" w14:textId="77777777">
            <w:pPr>
              <w:spacing w:before="0" w:line="240" w:lineRule="auto"/>
              <w:rPr>
                <w:bCs/>
                <w:sz w:val="26"/>
              </w:rPr>
            </w:pPr>
            <w:r w:rsidRPr="00561B21">
              <w:rPr>
                <w:bCs/>
                <w:sz w:val="26"/>
              </w:rPr>
              <w:t>15,554 hours per year; $1,448,000   per year</w:t>
            </w:r>
          </w:p>
        </w:tc>
      </w:tr>
      <w:tr w14:paraId="3712BC3C" w14:textId="77777777" w:rsidTr="00346898">
        <w:tblPrEx>
          <w:tblW w:w="9576" w:type="dxa"/>
          <w:tblLayout w:type="fixed"/>
          <w:tblLook w:val="04A0"/>
        </w:tblPrEx>
        <w:tc>
          <w:tcPr>
            <w:tcW w:w="2605" w:type="dxa"/>
            <w:vMerge w:val="restart"/>
          </w:tcPr>
          <w:p w:rsidR="00561B21" w:rsidRPr="00561B21" w:rsidP="00346898" w14:paraId="0D530B25" w14:textId="77777777">
            <w:pPr>
              <w:spacing w:before="0" w:line="240" w:lineRule="auto"/>
              <w:rPr>
                <w:bCs/>
                <w:sz w:val="26"/>
              </w:rPr>
            </w:pPr>
            <w:r w:rsidRPr="00561B21">
              <w:rPr>
                <w:b/>
                <w:bCs/>
                <w:sz w:val="26"/>
              </w:rPr>
              <w:t>Total new burden for FERC 917 (due to Docket No. RM21-17-001)</w:t>
            </w:r>
          </w:p>
        </w:tc>
        <w:tc>
          <w:tcPr>
            <w:tcW w:w="1710" w:type="dxa"/>
          </w:tcPr>
          <w:p w:rsidR="00561B21" w:rsidRPr="00561B21" w:rsidP="00346898" w14:paraId="45DF5059" w14:textId="77777777">
            <w:pPr>
              <w:spacing w:before="0" w:line="240" w:lineRule="auto"/>
              <w:rPr>
                <w:bCs/>
                <w:sz w:val="26"/>
              </w:rPr>
            </w:pPr>
            <w:r w:rsidRPr="00561B21">
              <w:rPr>
                <w:bCs/>
                <w:sz w:val="26"/>
              </w:rPr>
              <w:t>48 transmission providers with OATTs</w:t>
            </w:r>
          </w:p>
          <w:p w:rsidR="00561B21" w:rsidRPr="00561B21" w:rsidP="00346898" w14:paraId="231A523B" w14:textId="77777777">
            <w:pPr>
              <w:spacing w:before="0" w:line="240" w:lineRule="auto"/>
              <w:rPr>
                <w:bCs/>
                <w:sz w:val="26"/>
              </w:rPr>
            </w:pPr>
          </w:p>
        </w:tc>
        <w:tc>
          <w:tcPr>
            <w:tcW w:w="1350" w:type="dxa"/>
          </w:tcPr>
          <w:p w:rsidR="00561B21" w:rsidRPr="00561B21" w:rsidP="00346898" w14:paraId="43D16A7D" w14:textId="77777777">
            <w:pPr>
              <w:spacing w:before="0" w:line="240" w:lineRule="auto"/>
              <w:rPr>
                <w:bCs/>
                <w:sz w:val="26"/>
              </w:rPr>
            </w:pPr>
            <w:r w:rsidRPr="00561B21">
              <w:rPr>
                <w:bCs/>
                <w:sz w:val="26"/>
              </w:rPr>
              <w:t>48</w:t>
            </w:r>
          </w:p>
        </w:tc>
        <w:tc>
          <w:tcPr>
            <w:tcW w:w="1800" w:type="dxa"/>
          </w:tcPr>
          <w:p w:rsidR="00561B21" w:rsidRPr="00561B21" w:rsidP="00346898" w14:paraId="53EF1B12" w14:textId="77777777">
            <w:pPr>
              <w:spacing w:before="0" w:line="240" w:lineRule="auto"/>
              <w:rPr>
                <w:bCs/>
                <w:sz w:val="26"/>
              </w:rPr>
            </w:pPr>
            <w:r w:rsidRPr="00561B21">
              <w:rPr>
                <w:bCs/>
                <w:sz w:val="26"/>
              </w:rPr>
              <w:t>One Time: 1,113 hours; $103,614</w:t>
            </w:r>
          </w:p>
          <w:p w:rsidR="00561B21" w:rsidRPr="00561B21" w:rsidP="00346898" w14:paraId="16EE5D54" w14:textId="77777777">
            <w:pPr>
              <w:spacing w:before="0" w:line="240" w:lineRule="auto"/>
              <w:rPr>
                <w:bCs/>
                <w:sz w:val="26"/>
              </w:rPr>
            </w:pPr>
          </w:p>
          <w:p w:rsidR="00561B21" w:rsidRPr="00561B21" w:rsidP="00346898" w14:paraId="517F268C" w14:textId="77777777">
            <w:pPr>
              <w:spacing w:before="0" w:line="240" w:lineRule="auto"/>
              <w:rPr>
                <w:bCs/>
                <w:sz w:val="26"/>
              </w:rPr>
            </w:pPr>
            <w:r w:rsidRPr="00561B21">
              <w:rPr>
                <w:bCs/>
                <w:sz w:val="26"/>
              </w:rPr>
              <w:t>Ongoing: 5,329 hours per year; $496,103   per year</w:t>
            </w:r>
          </w:p>
        </w:tc>
        <w:tc>
          <w:tcPr>
            <w:tcW w:w="2111" w:type="dxa"/>
          </w:tcPr>
          <w:p w:rsidR="00561B21" w:rsidRPr="00561B21" w:rsidP="00346898" w14:paraId="15F6AA32" w14:textId="77777777">
            <w:pPr>
              <w:spacing w:before="0" w:line="240" w:lineRule="auto"/>
              <w:rPr>
                <w:bCs/>
                <w:sz w:val="26"/>
              </w:rPr>
            </w:pPr>
            <w:r w:rsidRPr="00561B21">
              <w:rPr>
                <w:bCs/>
                <w:sz w:val="26"/>
              </w:rPr>
              <w:t>One Time: 53,424 hours; $4,973,495</w:t>
            </w:r>
          </w:p>
          <w:p w:rsidR="00561B21" w:rsidRPr="00561B21" w:rsidP="00346898" w14:paraId="32EBF1C5" w14:textId="77777777">
            <w:pPr>
              <w:spacing w:before="0" w:line="240" w:lineRule="auto"/>
              <w:rPr>
                <w:bCs/>
                <w:sz w:val="26"/>
              </w:rPr>
            </w:pPr>
          </w:p>
          <w:p w:rsidR="00561B21" w:rsidRPr="00561B21" w:rsidP="00346898" w14:paraId="20A6CF7C" w14:textId="77777777">
            <w:pPr>
              <w:spacing w:before="0" w:line="240" w:lineRule="auto"/>
              <w:rPr>
                <w:bCs/>
                <w:sz w:val="26"/>
              </w:rPr>
            </w:pPr>
            <w:r w:rsidRPr="00561B21">
              <w:rPr>
                <w:bCs/>
                <w:sz w:val="26"/>
              </w:rPr>
              <w:t>Ongoing: 255,792 hours per year; $23,812,956   per year</w:t>
            </w:r>
          </w:p>
        </w:tc>
      </w:tr>
      <w:tr w14:paraId="5C57A691" w14:textId="77777777" w:rsidTr="00346898">
        <w:tblPrEx>
          <w:tblW w:w="9576" w:type="dxa"/>
          <w:tblLayout w:type="fixed"/>
          <w:tblLook w:val="04A0"/>
        </w:tblPrEx>
        <w:tc>
          <w:tcPr>
            <w:tcW w:w="2605" w:type="dxa"/>
            <w:vMerge/>
          </w:tcPr>
          <w:p w:rsidR="00561B21" w:rsidRPr="00561B21" w:rsidP="00346898" w14:paraId="58D948BC" w14:textId="77777777">
            <w:pPr>
              <w:numPr>
                <w:ilvl w:val="0"/>
                <w:numId w:val="31"/>
              </w:numPr>
              <w:spacing w:before="0" w:line="240" w:lineRule="auto"/>
              <w:rPr>
                <w:b/>
                <w:bCs/>
                <w:sz w:val="26"/>
              </w:rPr>
            </w:pPr>
          </w:p>
        </w:tc>
        <w:tc>
          <w:tcPr>
            <w:tcW w:w="1710" w:type="dxa"/>
          </w:tcPr>
          <w:p w:rsidR="00561B21" w:rsidRPr="00561B21" w:rsidP="00346898" w14:paraId="22C82B5E" w14:textId="77777777">
            <w:pPr>
              <w:spacing w:before="0" w:line="240" w:lineRule="auto"/>
              <w:rPr>
                <w:bCs/>
                <w:sz w:val="26"/>
              </w:rPr>
            </w:pPr>
            <w:r w:rsidRPr="00561B21">
              <w:rPr>
                <w:bCs/>
                <w:sz w:val="26"/>
              </w:rPr>
              <w:t xml:space="preserve">77 transmission providers </w:t>
            </w:r>
            <w:r w:rsidRPr="00561B21">
              <w:rPr>
                <w:bCs/>
                <w:sz w:val="26"/>
              </w:rPr>
              <w:t>without OATTs</w:t>
            </w:r>
          </w:p>
        </w:tc>
        <w:tc>
          <w:tcPr>
            <w:tcW w:w="1350" w:type="dxa"/>
          </w:tcPr>
          <w:p w:rsidR="00561B21" w:rsidRPr="00561B21" w:rsidP="00346898" w14:paraId="74346B2B" w14:textId="77777777">
            <w:pPr>
              <w:spacing w:before="0" w:line="240" w:lineRule="auto"/>
              <w:rPr>
                <w:bCs/>
                <w:sz w:val="26"/>
              </w:rPr>
            </w:pPr>
            <w:r w:rsidRPr="00561B21">
              <w:rPr>
                <w:bCs/>
                <w:sz w:val="26"/>
              </w:rPr>
              <w:t>77</w:t>
            </w:r>
          </w:p>
        </w:tc>
        <w:tc>
          <w:tcPr>
            <w:tcW w:w="1800" w:type="dxa"/>
          </w:tcPr>
          <w:p w:rsidR="00561B21" w:rsidRPr="00561B21" w:rsidP="00346898" w14:paraId="1A004F67" w14:textId="77777777">
            <w:pPr>
              <w:spacing w:before="0" w:line="240" w:lineRule="auto"/>
              <w:rPr>
                <w:bCs/>
                <w:sz w:val="26"/>
              </w:rPr>
            </w:pPr>
            <w:r w:rsidRPr="00561B21">
              <w:rPr>
                <w:bCs/>
                <w:sz w:val="26"/>
              </w:rPr>
              <w:t>One Time: 20 hours; $1,862</w:t>
            </w:r>
          </w:p>
          <w:p w:rsidR="00561B21" w:rsidRPr="00561B21" w:rsidP="00346898" w14:paraId="18F2E2C9" w14:textId="77777777">
            <w:pPr>
              <w:spacing w:before="0" w:line="240" w:lineRule="auto"/>
              <w:rPr>
                <w:bCs/>
                <w:sz w:val="26"/>
              </w:rPr>
            </w:pPr>
          </w:p>
          <w:p w:rsidR="00561B21" w:rsidRPr="00561B21" w:rsidP="00346898" w14:paraId="38F2ED9F" w14:textId="77777777">
            <w:pPr>
              <w:spacing w:before="0" w:line="240" w:lineRule="auto"/>
              <w:rPr>
                <w:bCs/>
                <w:sz w:val="26"/>
              </w:rPr>
            </w:pPr>
            <w:r w:rsidRPr="00561B21">
              <w:rPr>
                <w:bCs/>
                <w:sz w:val="26"/>
              </w:rPr>
              <w:t>Ongoing: 262   hours per year; $24,391  per year</w:t>
            </w:r>
          </w:p>
        </w:tc>
        <w:tc>
          <w:tcPr>
            <w:tcW w:w="2111" w:type="dxa"/>
          </w:tcPr>
          <w:p w:rsidR="00561B21" w:rsidRPr="00561B21" w:rsidP="00346898" w14:paraId="5A92B3DE" w14:textId="77777777">
            <w:pPr>
              <w:spacing w:before="0" w:line="240" w:lineRule="auto"/>
              <w:rPr>
                <w:bCs/>
                <w:sz w:val="26"/>
              </w:rPr>
            </w:pPr>
            <w:r w:rsidRPr="00561B21">
              <w:rPr>
                <w:bCs/>
                <w:sz w:val="26"/>
              </w:rPr>
              <w:t>One Time: 1,540 hours; $143,366</w:t>
            </w:r>
          </w:p>
          <w:p w:rsidR="00561B21" w:rsidRPr="00561B21" w:rsidP="00346898" w14:paraId="490B33F3" w14:textId="77777777">
            <w:pPr>
              <w:spacing w:before="0" w:line="240" w:lineRule="auto"/>
              <w:rPr>
                <w:bCs/>
                <w:sz w:val="26"/>
              </w:rPr>
            </w:pPr>
          </w:p>
          <w:p w:rsidR="00561B21" w:rsidRPr="00561B21" w:rsidP="00346898" w14:paraId="4DD4C51F" w14:textId="77777777">
            <w:pPr>
              <w:spacing w:before="0" w:line="240" w:lineRule="auto"/>
              <w:rPr>
                <w:bCs/>
                <w:sz w:val="26"/>
              </w:rPr>
            </w:pPr>
            <w:r w:rsidRPr="00561B21">
              <w:rPr>
                <w:bCs/>
                <w:sz w:val="26"/>
              </w:rPr>
              <w:t>Ongoing: 20,174 hours per year; $</w:t>
            </w:r>
            <w:bookmarkStart w:id="3" w:name="_Hlk181200069"/>
            <w:r w:rsidRPr="00561B21">
              <w:rPr>
                <w:bCs/>
                <w:sz w:val="26"/>
              </w:rPr>
              <w:t>1,</w:t>
            </w:r>
            <w:bookmarkEnd w:id="3"/>
            <w:r w:rsidRPr="00561B21">
              <w:rPr>
                <w:bCs/>
                <w:sz w:val="26"/>
              </w:rPr>
              <w:t>878,099  per year</w:t>
            </w:r>
          </w:p>
        </w:tc>
      </w:tr>
      <w:tr w14:paraId="556082F0" w14:textId="77777777" w:rsidTr="00257216">
        <w:tblPrEx>
          <w:tblW w:w="9576" w:type="dxa"/>
          <w:tblLayout w:type="fixed"/>
          <w:tblLook w:val="04A0"/>
        </w:tblPrEx>
        <w:tc>
          <w:tcPr>
            <w:tcW w:w="2605" w:type="dxa"/>
            <w:vMerge/>
          </w:tcPr>
          <w:p w:rsidR="00561B21" w:rsidRPr="00561B21" w:rsidP="00346898" w14:paraId="373E162D" w14:textId="77777777">
            <w:pPr>
              <w:spacing w:before="0" w:line="240" w:lineRule="auto"/>
              <w:rPr>
                <w:b/>
                <w:bCs/>
                <w:sz w:val="26"/>
              </w:rPr>
            </w:pPr>
          </w:p>
        </w:tc>
        <w:tc>
          <w:tcPr>
            <w:tcW w:w="4860" w:type="dxa"/>
            <w:gridSpan w:val="3"/>
          </w:tcPr>
          <w:p w:rsidR="00561B21" w:rsidRPr="00561B21" w:rsidP="00346898" w14:paraId="63E5930A" w14:textId="77777777">
            <w:pPr>
              <w:spacing w:before="0" w:line="240" w:lineRule="auto"/>
              <w:rPr>
                <w:bCs/>
                <w:sz w:val="26"/>
              </w:rPr>
            </w:pPr>
            <w:r w:rsidRPr="00561B21">
              <w:rPr>
                <w:bCs/>
                <w:sz w:val="26"/>
              </w:rPr>
              <w:t>Totals for all 125 transmission providers</w:t>
            </w:r>
          </w:p>
        </w:tc>
        <w:tc>
          <w:tcPr>
            <w:tcW w:w="2111" w:type="dxa"/>
          </w:tcPr>
          <w:p w:rsidR="00561B21" w:rsidRPr="00561B21" w:rsidP="00346898" w14:paraId="7946C68A" w14:textId="77777777">
            <w:pPr>
              <w:spacing w:before="0" w:line="240" w:lineRule="auto"/>
              <w:rPr>
                <w:bCs/>
                <w:sz w:val="26"/>
              </w:rPr>
            </w:pPr>
            <w:r w:rsidRPr="00561B21">
              <w:rPr>
                <w:bCs/>
                <w:sz w:val="26"/>
              </w:rPr>
              <w:t>One Time: 54,964 hours; $5,116,861</w:t>
            </w:r>
          </w:p>
          <w:p w:rsidR="00561B21" w:rsidRPr="00561B21" w:rsidP="00346898" w14:paraId="2B3B8928" w14:textId="77777777">
            <w:pPr>
              <w:spacing w:before="0" w:line="240" w:lineRule="auto"/>
              <w:rPr>
                <w:bCs/>
                <w:sz w:val="26"/>
              </w:rPr>
            </w:pPr>
          </w:p>
          <w:p w:rsidR="00561B21" w:rsidRPr="00561B21" w:rsidP="00346898" w14:paraId="26098219" w14:textId="77777777">
            <w:pPr>
              <w:spacing w:before="0" w:line="240" w:lineRule="auto"/>
              <w:rPr>
                <w:bCs/>
                <w:sz w:val="26"/>
              </w:rPr>
            </w:pPr>
            <w:r w:rsidRPr="00561B21">
              <w:rPr>
                <w:bCs/>
                <w:sz w:val="26"/>
              </w:rPr>
              <w:t>Ongoing: 275,966  hours per year; $25,691,055   per year</w:t>
            </w:r>
          </w:p>
        </w:tc>
      </w:tr>
    </w:tbl>
    <w:p w:rsidR="000134F4" w:rsidRPr="000134F4" w:rsidP="00E67CA3" w14:paraId="5D339D53" w14:textId="59887FA4">
      <w:pPr>
        <w:spacing w:line="240" w:lineRule="auto"/>
        <w:rPr>
          <w:bCs/>
          <w:sz w:val="26"/>
        </w:rPr>
      </w:pPr>
      <w:r w:rsidRPr="000134F4">
        <w:rPr>
          <w:b/>
          <w:bCs/>
          <w:sz w:val="26"/>
        </w:rPr>
        <w:t>13.</w:t>
      </w:r>
      <w:r w:rsidRPr="000134F4">
        <w:rPr>
          <w:b/>
          <w:bCs/>
          <w:sz w:val="26"/>
        </w:rPr>
        <w:tab/>
      </w:r>
      <w:r w:rsidRPr="00845049" w:rsidR="00845049">
        <w:rPr>
          <w:b/>
          <w:bCs/>
          <w:sz w:val="26"/>
        </w:rPr>
        <w:t>ESTIMATE OF THE TOTAL ANNUAL COST BURDEN TO RESPONDENTS</w:t>
      </w:r>
    </w:p>
    <w:p w:rsidR="00182D37" w:rsidRPr="00182D37" w:rsidP="00E67CA3" w14:paraId="4D2FCB00" w14:textId="2A2D8A29">
      <w:pPr>
        <w:spacing w:line="240" w:lineRule="auto"/>
        <w:rPr>
          <w:bCs/>
          <w:sz w:val="26"/>
        </w:rPr>
      </w:pPr>
      <w:r w:rsidRPr="00182D37">
        <w:rPr>
          <w:bCs/>
          <w:sz w:val="26"/>
        </w:rPr>
        <w:t>There are no non-labor start-up or other non-labor costs.</w:t>
      </w:r>
      <w:r w:rsidR="00A42AB8">
        <w:rPr>
          <w:bCs/>
          <w:sz w:val="26"/>
        </w:rPr>
        <w:br/>
      </w:r>
    </w:p>
    <w:p w:rsidR="00182D37" w:rsidRPr="00182D37" w:rsidP="00754D91" w14:paraId="3D8B982A" w14:textId="77777777">
      <w:pPr>
        <w:spacing w:before="0" w:line="240" w:lineRule="auto"/>
        <w:ind w:firstLine="720"/>
        <w:rPr>
          <w:bCs/>
          <w:sz w:val="26"/>
        </w:rPr>
      </w:pPr>
      <w:r w:rsidRPr="00182D37">
        <w:rPr>
          <w:bCs/>
          <w:sz w:val="26"/>
        </w:rPr>
        <w:t>Total Capital and Start-up Cost:  $0</w:t>
      </w:r>
    </w:p>
    <w:p w:rsidR="00182D37" w:rsidRPr="00182D37" w:rsidP="00A42AB8" w14:paraId="13358FAB" w14:textId="3F969A24">
      <w:pPr>
        <w:spacing w:before="0" w:line="240" w:lineRule="auto"/>
        <w:ind w:firstLine="720"/>
        <w:rPr>
          <w:bCs/>
          <w:sz w:val="26"/>
        </w:rPr>
      </w:pPr>
      <w:r w:rsidRPr="00182D37">
        <w:rPr>
          <w:bCs/>
          <w:sz w:val="26"/>
        </w:rPr>
        <w:t>Total Operation, Maintenance, and Purchase of Services:  $0</w:t>
      </w:r>
    </w:p>
    <w:p w:rsidR="00182D37" w:rsidRPr="00182D37" w:rsidP="00A42AB8" w14:paraId="08D55DFA" w14:textId="77777777">
      <w:pPr>
        <w:spacing w:line="240" w:lineRule="auto"/>
        <w:rPr>
          <w:bCs/>
          <w:sz w:val="26"/>
        </w:rPr>
      </w:pPr>
      <w:r w:rsidRPr="00182D37">
        <w:rPr>
          <w:bCs/>
          <w:sz w:val="26"/>
        </w:rPr>
        <w:t>All of the costs associated with burden hours (labor) are described in Questions #12 and #15 in this supporting statement.</w:t>
      </w:r>
    </w:p>
    <w:p w:rsidR="000134F4" w:rsidRPr="000134F4" w:rsidP="00A42AB8" w14:paraId="2C600B78" w14:textId="39A0EEEA">
      <w:pPr>
        <w:spacing w:line="240" w:lineRule="auto"/>
        <w:rPr>
          <w:bCs/>
          <w:sz w:val="26"/>
        </w:rPr>
      </w:pPr>
      <w:r w:rsidRPr="000134F4">
        <w:rPr>
          <w:b/>
          <w:bCs/>
          <w:sz w:val="26"/>
        </w:rPr>
        <w:t>14.</w:t>
      </w:r>
      <w:r w:rsidRPr="000134F4">
        <w:rPr>
          <w:b/>
          <w:bCs/>
          <w:sz w:val="26"/>
        </w:rPr>
        <w:tab/>
      </w:r>
      <w:r w:rsidRPr="009A5123" w:rsidR="009A5123">
        <w:rPr>
          <w:b/>
          <w:bCs/>
          <w:sz w:val="26"/>
        </w:rPr>
        <w:t>ESTIMATED ANNUALIZED COST TO FEDERAL GOVERNMENT</w:t>
      </w:r>
    </w:p>
    <w:p w:rsidR="00E34A15" w:rsidRPr="00E34A15" w:rsidP="00A42AB8" w14:paraId="7C9A3E20" w14:textId="060B2315">
      <w:pPr>
        <w:spacing w:line="240" w:lineRule="auto"/>
        <w:rPr>
          <w:bCs/>
          <w:sz w:val="26"/>
        </w:rPr>
      </w:pPr>
      <w:r w:rsidRPr="00E34A15">
        <w:rPr>
          <w:bCs/>
          <w:sz w:val="26"/>
        </w:rPr>
        <w:t>The estimates of the cost for analysis and processing of filings are based on salaries and benefits for professional and clerical support.  The estimated cost represents staff analysis, decision-making, and review of any actual filings submitted in response to the information collection.</w:t>
      </w:r>
    </w:p>
    <w:p w:rsidR="00E34A15" w:rsidRPr="00E34A15" w:rsidP="00A42AB8" w14:paraId="08252C1E" w14:textId="5643A38A">
      <w:pPr>
        <w:spacing w:line="240" w:lineRule="auto"/>
        <w:rPr>
          <w:bCs/>
          <w:sz w:val="26"/>
        </w:rPr>
      </w:pPr>
      <w:r w:rsidRPr="00E34A15">
        <w:rPr>
          <w:bCs/>
          <w:sz w:val="26"/>
        </w:rPr>
        <w:t xml:space="preserve">The </w:t>
      </w:r>
      <w:r w:rsidRPr="00E34A15" w:rsidR="001D40BC">
        <w:rPr>
          <w:bCs/>
          <w:sz w:val="26"/>
        </w:rPr>
        <w:t>Paperwork Reduction Act (</w:t>
      </w:r>
      <w:r w:rsidRPr="00E34A15">
        <w:rPr>
          <w:bCs/>
          <w:sz w:val="26"/>
        </w:rPr>
        <w:t>PRA</w:t>
      </w:r>
      <w:r w:rsidR="001D40BC">
        <w:rPr>
          <w:bCs/>
          <w:sz w:val="26"/>
        </w:rPr>
        <w:t>)</w:t>
      </w:r>
      <w:r w:rsidRPr="00E34A15">
        <w:rPr>
          <w:bCs/>
          <w:sz w:val="26"/>
        </w:rPr>
        <w:t xml:space="preserve"> Administrative Cost is a Federal Cost associated with preparing, issuing, and submitting materials necessary to comply with the PRA</w:t>
      </w:r>
      <w:r>
        <w:rPr>
          <w:b/>
          <w:vertAlign w:val="superscript"/>
        </w:rPr>
        <w:footnoteReference w:id="16"/>
      </w:r>
      <w:r w:rsidRPr="00E34A15">
        <w:rPr>
          <w:bCs/>
          <w:sz w:val="26"/>
        </w:rPr>
        <w:t xml:space="preserve"> for rulemakings, orders, or any other vehicle used to create, modify, extend, or discontinue an information collection.  This average annual cost includes requests for extensions, all </w:t>
      </w:r>
      <w:r w:rsidRPr="00E34A15">
        <w:rPr>
          <w:bCs/>
          <w:sz w:val="26"/>
        </w:rPr>
        <w:t xml:space="preserve">associated rulemakings, other changes to the collection, and publications in the </w:t>
      </w:r>
      <w:r w:rsidRPr="00A322CA">
        <w:rPr>
          <w:bCs/>
          <w:i/>
          <w:iCs/>
          <w:sz w:val="26"/>
        </w:rPr>
        <w:t>Federal Register</w:t>
      </w:r>
      <w:r w:rsidRPr="00E34A15">
        <w:rPr>
          <w:bCs/>
          <w:sz w:val="26"/>
        </w:rPr>
        <w:t>.</w:t>
      </w:r>
    </w:p>
    <w:p w:rsidR="000134F4" w:rsidRPr="000134F4" w:rsidP="00A42AB8" w14:paraId="2820B3DB" w14:textId="3D0F6EB9">
      <w:pPr>
        <w:spacing w:after="240" w:line="240" w:lineRule="auto"/>
        <w:rPr>
          <w:bCs/>
          <w:sz w:val="26"/>
        </w:rPr>
      </w:pPr>
      <w:r w:rsidRPr="00A322CA">
        <w:rPr>
          <w:bCs/>
          <w:sz w:val="26"/>
        </w:rPr>
        <w:t>The chart below represents the existing estimated annualized cost to</w:t>
      </w:r>
      <w:r w:rsidRPr="000134F4">
        <w:rPr>
          <w:bCs/>
          <w:sz w:val="26"/>
        </w:rPr>
        <w:t xml:space="preserve"> the Federal Government for FERC-917 is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0"/>
        <w:gridCol w:w="2675"/>
        <w:gridCol w:w="2745"/>
      </w:tblGrid>
      <w:tr w14:paraId="6141880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0" w:type="auto"/>
            <w:shd w:val="clear" w:color="auto" w:fill="CCCCCC"/>
          </w:tcPr>
          <w:p w:rsidR="000134F4" w:rsidRPr="000134F4" w:rsidP="000134F4" w14:paraId="09A0A6B6" w14:textId="77777777">
            <w:pPr>
              <w:spacing w:before="0" w:line="240" w:lineRule="auto"/>
              <w:rPr>
                <w:b/>
                <w:bCs/>
                <w:sz w:val="26"/>
              </w:rPr>
            </w:pPr>
            <w:r w:rsidRPr="000134F4">
              <w:rPr>
                <w:b/>
                <w:bCs/>
                <w:sz w:val="26"/>
              </w:rPr>
              <w:t xml:space="preserve">FERC-917 </w:t>
            </w:r>
          </w:p>
        </w:tc>
        <w:tc>
          <w:tcPr>
            <w:tcW w:w="0" w:type="auto"/>
            <w:shd w:val="clear" w:color="auto" w:fill="CCCCCC"/>
          </w:tcPr>
          <w:p w:rsidR="000134F4" w:rsidRPr="000134F4" w:rsidP="000134F4" w14:paraId="732858E6" w14:textId="77777777">
            <w:pPr>
              <w:spacing w:before="0" w:line="240" w:lineRule="auto"/>
              <w:rPr>
                <w:bCs/>
                <w:sz w:val="26"/>
              </w:rPr>
            </w:pPr>
            <w:r w:rsidRPr="000134F4">
              <w:rPr>
                <w:bCs/>
                <w:sz w:val="26"/>
              </w:rPr>
              <w:t>Number of Employees (FTEs)</w:t>
            </w:r>
          </w:p>
        </w:tc>
        <w:tc>
          <w:tcPr>
            <w:tcW w:w="0" w:type="auto"/>
            <w:shd w:val="clear" w:color="auto" w:fill="CCCCCC"/>
          </w:tcPr>
          <w:p w:rsidR="000134F4" w:rsidRPr="000134F4" w:rsidP="000134F4" w14:paraId="6DE76604" w14:textId="77777777">
            <w:pPr>
              <w:spacing w:before="0" w:line="240" w:lineRule="auto"/>
              <w:rPr>
                <w:bCs/>
                <w:sz w:val="26"/>
              </w:rPr>
            </w:pPr>
            <w:r w:rsidRPr="000134F4">
              <w:rPr>
                <w:bCs/>
                <w:sz w:val="26"/>
              </w:rPr>
              <w:t>Estimated Annual Federal Cost</w:t>
            </w:r>
          </w:p>
        </w:tc>
      </w:tr>
      <w:tr w14:paraId="108C1158" w14:textId="77777777">
        <w:tblPrEx>
          <w:tblW w:w="0" w:type="auto"/>
          <w:tblLook w:val="01E0"/>
        </w:tblPrEx>
        <w:trPr>
          <w:cantSplit/>
        </w:trPr>
        <w:tc>
          <w:tcPr>
            <w:tcW w:w="0" w:type="auto"/>
            <w:shd w:val="clear" w:color="auto" w:fill="auto"/>
          </w:tcPr>
          <w:p w:rsidR="00413384" w:rsidRPr="000134F4" w:rsidP="00413384" w14:paraId="2A0CA05B" w14:textId="77777777">
            <w:pPr>
              <w:spacing w:before="0" w:line="240" w:lineRule="auto"/>
              <w:rPr>
                <w:bCs/>
                <w:sz w:val="26"/>
              </w:rPr>
            </w:pPr>
            <w:r w:rsidRPr="000134F4">
              <w:rPr>
                <w:bCs/>
                <w:sz w:val="26"/>
              </w:rPr>
              <w:t>Analysis and Processing of filings</w:t>
            </w:r>
            <w:r>
              <w:rPr>
                <w:b/>
                <w:bCs/>
                <w:sz w:val="26"/>
                <w:vertAlign w:val="superscript"/>
              </w:rPr>
              <w:footnoteReference w:id="17"/>
            </w:r>
            <w:r w:rsidRPr="000134F4">
              <w:rPr>
                <w:bCs/>
                <w:sz w:val="26"/>
              </w:rPr>
              <w:t xml:space="preserve"> </w:t>
            </w:r>
          </w:p>
        </w:tc>
        <w:tc>
          <w:tcPr>
            <w:tcW w:w="0" w:type="auto"/>
            <w:tcBorders>
              <w:bottom w:val="single" w:sz="4" w:space="0" w:color="auto"/>
            </w:tcBorders>
            <w:shd w:val="clear" w:color="auto" w:fill="auto"/>
            <w:vAlign w:val="bottom"/>
          </w:tcPr>
          <w:p w:rsidR="00413384" w:rsidRPr="000134F4" w:rsidP="00413384" w14:paraId="417089CB" w14:textId="77777777">
            <w:pPr>
              <w:spacing w:before="0" w:line="240" w:lineRule="auto"/>
              <w:rPr>
                <w:bCs/>
                <w:sz w:val="26"/>
              </w:rPr>
            </w:pPr>
            <w:r w:rsidRPr="000134F4">
              <w:rPr>
                <w:bCs/>
                <w:sz w:val="26"/>
              </w:rPr>
              <w:t>7</w:t>
            </w:r>
          </w:p>
        </w:tc>
        <w:tc>
          <w:tcPr>
            <w:tcW w:w="0" w:type="auto"/>
            <w:shd w:val="clear" w:color="auto" w:fill="auto"/>
            <w:vAlign w:val="bottom"/>
          </w:tcPr>
          <w:p w:rsidR="00413384" w:rsidRPr="000134F4" w:rsidP="00413384" w14:paraId="1562F635" w14:textId="69DAF2EF">
            <w:pPr>
              <w:spacing w:before="0" w:line="240" w:lineRule="auto"/>
              <w:rPr>
                <w:bCs/>
                <w:sz w:val="26"/>
              </w:rPr>
            </w:pPr>
            <w:r w:rsidRPr="000134F4">
              <w:rPr>
                <w:bCs/>
                <w:sz w:val="26"/>
              </w:rPr>
              <w:t>$</w:t>
            </w:r>
            <w:r w:rsidRPr="00136278">
              <w:rPr>
                <w:bCs/>
                <w:sz w:val="26"/>
              </w:rPr>
              <w:t>1,454,502</w:t>
            </w:r>
          </w:p>
        </w:tc>
      </w:tr>
      <w:tr w14:paraId="411FD352" w14:textId="77777777">
        <w:tblPrEx>
          <w:tblW w:w="0" w:type="auto"/>
          <w:tblLook w:val="01E0"/>
        </w:tblPrEx>
        <w:trPr>
          <w:cantSplit/>
        </w:trPr>
        <w:tc>
          <w:tcPr>
            <w:tcW w:w="0" w:type="auto"/>
            <w:shd w:val="clear" w:color="auto" w:fill="auto"/>
          </w:tcPr>
          <w:p w:rsidR="00413384" w:rsidRPr="000134F4" w:rsidP="00413384" w14:paraId="68821862" w14:textId="5EF8D2C1">
            <w:pPr>
              <w:spacing w:before="0" w:line="240" w:lineRule="auto"/>
              <w:rPr>
                <w:bCs/>
                <w:sz w:val="26"/>
              </w:rPr>
            </w:pPr>
            <w:r w:rsidRPr="000134F4">
              <w:rPr>
                <w:bCs/>
                <w:sz w:val="26"/>
              </w:rPr>
              <w:t>Paperwork Reduction Act Administrative Cost</w:t>
            </w:r>
          </w:p>
        </w:tc>
        <w:tc>
          <w:tcPr>
            <w:tcW w:w="0" w:type="auto"/>
            <w:shd w:val="clear" w:color="auto" w:fill="D9D9D9" w:themeFill="background1" w:themeFillShade="D9"/>
            <w:vAlign w:val="bottom"/>
          </w:tcPr>
          <w:p w:rsidR="00413384" w:rsidRPr="000134F4" w:rsidP="00413384" w14:paraId="61EE6960" w14:textId="77777777">
            <w:pPr>
              <w:spacing w:before="0" w:line="240" w:lineRule="auto"/>
              <w:rPr>
                <w:bCs/>
                <w:sz w:val="26"/>
              </w:rPr>
            </w:pPr>
          </w:p>
        </w:tc>
        <w:tc>
          <w:tcPr>
            <w:tcW w:w="0" w:type="auto"/>
            <w:shd w:val="clear" w:color="auto" w:fill="auto"/>
            <w:vAlign w:val="bottom"/>
          </w:tcPr>
          <w:p w:rsidR="00413384" w:rsidRPr="000134F4" w:rsidP="00413384" w14:paraId="124D78CC" w14:textId="0FA6B70F">
            <w:pPr>
              <w:spacing w:before="0" w:line="240" w:lineRule="auto"/>
              <w:rPr>
                <w:bCs/>
                <w:sz w:val="26"/>
              </w:rPr>
            </w:pPr>
            <w:r w:rsidRPr="000134F4">
              <w:rPr>
                <w:bCs/>
                <w:sz w:val="26"/>
              </w:rPr>
              <w:t>$8,</w:t>
            </w:r>
            <w:r>
              <w:rPr>
                <w:bCs/>
                <w:sz w:val="26"/>
              </w:rPr>
              <w:t>396</w:t>
            </w:r>
          </w:p>
        </w:tc>
      </w:tr>
      <w:tr w14:paraId="1F2C4E9C" w14:textId="77777777">
        <w:tblPrEx>
          <w:tblW w:w="0" w:type="auto"/>
          <w:tblLook w:val="01E0"/>
        </w:tblPrEx>
        <w:trPr>
          <w:cantSplit/>
        </w:trPr>
        <w:tc>
          <w:tcPr>
            <w:tcW w:w="0" w:type="auto"/>
            <w:shd w:val="clear" w:color="auto" w:fill="auto"/>
          </w:tcPr>
          <w:p w:rsidR="00413384" w:rsidRPr="000134F4" w:rsidP="00413384" w14:paraId="7CFAC6E1" w14:textId="77777777">
            <w:pPr>
              <w:spacing w:before="0" w:line="240" w:lineRule="auto"/>
              <w:rPr>
                <w:b/>
                <w:bCs/>
                <w:sz w:val="26"/>
              </w:rPr>
            </w:pPr>
            <w:r w:rsidRPr="000134F4">
              <w:rPr>
                <w:b/>
                <w:bCs/>
                <w:sz w:val="26"/>
              </w:rPr>
              <w:t>TOTAL for FERC-917</w:t>
            </w:r>
          </w:p>
        </w:tc>
        <w:tc>
          <w:tcPr>
            <w:tcW w:w="0" w:type="auto"/>
            <w:shd w:val="clear" w:color="auto" w:fill="D9D9D9" w:themeFill="background1" w:themeFillShade="D9"/>
            <w:vAlign w:val="bottom"/>
          </w:tcPr>
          <w:p w:rsidR="00413384" w:rsidRPr="000134F4" w:rsidP="00413384" w14:paraId="3BAC9AA1" w14:textId="77777777">
            <w:pPr>
              <w:spacing w:before="0" w:line="240" w:lineRule="auto"/>
              <w:rPr>
                <w:b/>
                <w:bCs/>
                <w:sz w:val="26"/>
              </w:rPr>
            </w:pPr>
          </w:p>
        </w:tc>
        <w:tc>
          <w:tcPr>
            <w:tcW w:w="0" w:type="auto"/>
            <w:shd w:val="clear" w:color="auto" w:fill="auto"/>
            <w:vAlign w:val="bottom"/>
          </w:tcPr>
          <w:p w:rsidR="00413384" w:rsidRPr="000134F4" w:rsidP="00413384" w14:paraId="67B4D3C0" w14:textId="09C97413">
            <w:pPr>
              <w:spacing w:before="0" w:line="240" w:lineRule="auto"/>
              <w:rPr>
                <w:b/>
                <w:bCs/>
                <w:sz w:val="26"/>
              </w:rPr>
            </w:pPr>
            <w:r w:rsidRPr="000134F4">
              <w:rPr>
                <w:b/>
                <w:bCs/>
                <w:sz w:val="26"/>
              </w:rPr>
              <w:t>$</w:t>
            </w:r>
            <w:r w:rsidRPr="00136278">
              <w:rPr>
                <w:b/>
                <w:bCs/>
                <w:sz w:val="26"/>
              </w:rPr>
              <w:t>1,462,898</w:t>
            </w:r>
          </w:p>
        </w:tc>
      </w:tr>
    </w:tbl>
    <w:p w:rsidR="001B667D" w:rsidP="006E28C4" w14:paraId="6EA763F7" w14:textId="5341073E">
      <w:pPr>
        <w:spacing w:line="240" w:lineRule="auto"/>
        <w:rPr>
          <w:bCs/>
          <w:sz w:val="26"/>
        </w:rPr>
      </w:pPr>
      <w:r w:rsidRPr="000134F4">
        <w:rPr>
          <w:b/>
          <w:bCs/>
          <w:sz w:val="26"/>
        </w:rPr>
        <w:t>15.</w:t>
      </w:r>
      <w:r w:rsidRPr="000134F4">
        <w:rPr>
          <w:b/>
          <w:bCs/>
          <w:sz w:val="26"/>
        </w:rPr>
        <w:tab/>
      </w:r>
      <w:r w:rsidRPr="006D5167" w:rsidR="006D5167">
        <w:rPr>
          <w:b/>
          <w:bCs/>
          <w:sz w:val="26"/>
        </w:rPr>
        <w:t>REASONS FOR CHANGES IN BURDEN INCLUDING THE NEED FOR ANY INCREASE</w:t>
      </w:r>
    </w:p>
    <w:p w:rsidR="00334D9C" w:rsidRPr="000134F4" w:rsidP="006E28C4" w14:paraId="6795CB99" w14:textId="7D50E50B">
      <w:pPr>
        <w:spacing w:line="240" w:lineRule="auto"/>
        <w:rPr>
          <w:bCs/>
          <w:sz w:val="26"/>
        </w:rPr>
      </w:pPr>
      <w:r w:rsidRPr="000134F4">
        <w:rPr>
          <w:bCs/>
          <w:sz w:val="26"/>
        </w:rPr>
        <w:t xml:space="preserve">All of the PRA activities resulting from the reforms </w:t>
      </w:r>
      <w:r w:rsidRPr="000B0151" w:rsidR="000B0151">
        <w:rPr>
          <w:bCs/>
          <w:sz w:val="26"/>
        </w:rPr>
        <w:t xml:space="preserve">in the </w:t>
      </w:r>
      <w:r w:rsidR="008E0644">
        <w:rPr>
          <w:bCs/>
          <w:sz w:val="26"/>
        </w:rPr>
        <w:t xml:space="preserve">order on rehearing </w:t>
      </w:r>
      <w:r w:rsidRPr="000134F4">
        <w:rPr>
          <w:bCs/>
          <w:sz w:val="26"/>
        </w:rPr>
        <w:t>would be program changes that the Commission has determined will assist in fulfilling its statutory obligations under FPA section 206.</w:t>
      </w:r>
      <w:r w:rsidR="000C6669">
        <w:rPr>
          <w:bCs/>
          <w:sz w:val="26"/>
        </w:rPr>
        <w:t xml:space="preserve">  </w:t>
      </w:r>
      <w:r w:rsidRPr="000C6669" w:rsidR="000C6669">
        <w:rPr>
          <w:bCs/>
          <w:sz w:val="26"/>
        </w:rPr>
        <w:t xml:space="preserve">The reforms in the </w:t>
      </w:r>
      <w:r w:rsidR="008E0644">
        <w:rPr>
          <w:bCs/>
          <w:sz w:val="26"/>
        </w:rPr>
        <w:t>order on rehearing</w:t>
      </w:r>
      <w:r w:rsidRPr="000C6669" w:rsidR="000C6669">
        <w:rPr>
          <w:bCs/>
          <w:sz w:val="26"/>
        </w:rPr>
        <w:t xml:space="preserve"> </w:t>
      </w:r>
      <w:r w:rsidRPr="000C6669" w:rsidR="000C6669">
        <w:rPr>
          <w:bCs/>
          <w:sz w:val="26"/>
        </w:rPr>
        <w:t xml:space="preserve">are intended to remedy issues with the Commission’s </w:t>
      </w:r>
      <w:r w:rsidR="00FA5AB0">
        <w:rPr>
          <w:bCs/>
          <w:sz w:val="26"/>
        </w:rPr>
        <w:t xml:space="preserve">existing regional transmission planning and cost allocation requirements to ensure that </w:t>
      </w:r>
      <w:r w:rsidR="006F4193">
        <w:rPr>
          <w:bCs/>
          <w:sz w:val="26"/>
        </w:rPr>
        <w:t xml:space="preserve">public utility transmission providers adopt sufficiently </w:t>
      </w:r>
      <w:r w:rsidRPr="00FA5AB0" w:rsidR="00FA5AB0">
        <w:rPr>
          <w:bCs/>
          <w:sz w:val="26"/>
        </w:rPr>
        <w:t>long-term, forward-looking, and more comprehensive regional transmission planning and cost allocation processes that identify, evaluate, and select more efficient or cost-effective regional transmission solutions to Long-Term Transmission Needs</w:t>
      </w:r>
      <w:r w:rsidRPr="000C6669" w:rsidR="000C6669">
        <w:rPr>
          <w:bCs/>
          <w:sz w:val="26"/>
        </w:rPr>
        <w:t>, thereby ensuring that rates, terms, and conditions for Commission-jurisdictional services remain just and reasonable and not unduly discriminatory or preferential.</w:t>
      </w:r>
    </w:p>
    <w:p w:rsidR="00611727" w:rsidRPr="00611727" w:rsidP="002843BA" w14:paraId="408E7180" w14:textId="50B2EB16">
      <w:pPr>
        <w:spacing w:line="240" w:lineRule="auto"/>
        <w:rPr>
          <w:bCs/>
          <w:sz w:val="26"/>
        </w:rPr>
      </w:pPr>
      <w:r>
        <w:rPr>
          <w:bCs/>
          <w:sz w:val="26"/>
        </w:rPr>
        <w:t>T</w:t>
      </w:r>
      <w:r w:rsidRPr="000134F4" w:rsidR="000134F4">
        <w:rPr>
          <w:bCs/>
          <w:sz w:val="26"/>
        </w:rPr>
        <w:t xml:space="preserve">he PRA activities in the </w:t>
      </w:r>
      <w:r w:rsidR="008E0644">
        <w:rPr>
          <w:bCs/>
          <w:sz w:val="26"/>
        </w:rPr>
        <w:t xml:space="preserve">order on rehearing </w:t>
      </w:r>
      <w:r w:rsidRPr="000134F4" w:rsidR="000134F4">
        <w:rPr>
          <w:bCs/>
          <w:sz w:val="26"/>
        </w:rPr>
        <w:t xml:space="preserve">would increase the total burden of FERC-917. </w:t>
      </w:r>
      <w:r w:rsidR="0081586E">
        <w:rPr>
          <w:bCs/>
          <w:sz w:val="26"/>
        </w:rPr>
        <w:t xml:space="preserve"> </w:t>
      </w:r>
      <w:r w:rsidRPr="00611727">
        <w:rPr>
          <w:bCs/>
          <w:sz w:val="26"/>
        </w:rPr>
        <w:t xml:space="preserve">In </w:t>
      </w:r>
      <w:r w:rsidRPr="00611727" w:rsidR="008E0644">
        <w:rPr>
          <w:bCs/>
          <w:sz w:val="26"/>
        </w:rPr>
        <w:t>th</w:t>
      </w:r>
      <w:r w:rsidR="008E0644">
        <w:rPr>
          <w:bCs/>
          <w:sz w:val="26"/>
        </w:rPr>
        <w:t>e</w:t>
      </w:r>
      <w:r w:rsidRPr="00611727" w:rsidR="008E0644">
        <w:rPr>
          <w:bCs/>
          <w:sz w:val="26"/>
        </w:rPr>
        <w:t xml:space="preserve"> </w:t>
      </w:r>
      <w:r w:rsidR="008E0644">
        <w:rPr>
          <w:bCs/>
          <w:sz w:val="26"/>
        </w:rPr>
        <w:t>order on rehearing</w:t>
      </w:r>
      <w:r w:rsidRPr="00611727">
        <w:rPr>
          <w:bCs/>
          <w:sz w:val="26"/>
        </w:rPr>
        <w:t xml:space="preserve">, the commission is revising its estimate based on </w:t>
      </w:r>
      <w:r w:rsidR="008C56D0">
        <w:rPr>
          <w:bCs/>
          <w:sz w:val="26"/>
        </w:rPr>
        <w:t xml:space="preserve">the changes in the rehearing </w:t>
      </w:r>
      <w:r w:rsidRPr="00611727">
        <w:rPr>
          <w:bCs/>
          <w:sz w:val="26"/>
        </w:rPr>
        <w:t>in Docket RM21-17-00</w:t>
      </w:r>
      <w:r w:rsidR="008C56D0">
        <w:rPr>
          <w:bCs/>
          <w:sz w:val="26"/>
        </w:rPr>
        <w:t>1</w:t>
      </w:r>
      <w:r w:rsidRPr="00611727">
        <w:rPr>
          <w:bCs/>
          <w:sz w:val="26"/>
        </w:rPr>
        <w:t xml:space="preserve">. The result is an increase in burden of </w:t>
      </w:r>
      <w:r w:rsidR="00D01FB5">
        <w:rPr>
          <w:bCs/>
          <w:sz w:val="26"/>
        </w:rPr>
        <w:t>48</w:t>
      </w:r>
      <w:r w:rsidRPr="00611727">
        <w:rPr>
          <w:bCs/>
          <w:sz w:val="26"/>
        </w:rPr>
        <w:t xml:space="preserve"> responses, and </w:t>
      </w:r>
      <w:r w:rsidRPr="00302629" w:rsidR="00E675EC">
        <w:rPr>
          <w:sz w:val="26"/>
        </w:rPr>
        <w:t>25,786</w:t>
      </w:r>
      <w:r w:rsidR="00E675EC">
        <w:rPr>
          <w:sz w:val="26"/>
        </w:rPr>
        <w:t xml:space="preserve"> </w:t>
      </w:r>
      <w:r w:rsidRPr="00611727">
        <w:rPr>
          <w:bCs/>
          <w:sz w:val="26"/>
        </w:rPr>
        <w:t xml:space="preserve">hours. Most of these hours were due to increases in the estimates to prepare data sets and information to be used for long-term regional planning processes. </w:t>
      </w:r>
    </w:p>
    <w:p w:rsidR="0049741A" w:rsidP="0049741A" w14:paraId="2233813D" w14:textId="77777777">
      <w:pPr>
        <w:spacing w:before="0" w:line="240" w:lineRule="auto"/>
        <w:rPr>
          <w:b/>
          <w:bCs/>
          <w:sz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3DDA9B3B" w14:textId="77777777" w:rsidTr="007342EC">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1645BC" w:rsidRPr="001645BC" w:rsidP="001645BC" w14:paraId="0150E848" w14:textId="6FB0615D">
            <w:pPr>
              <w:spacing w:before="0" w:line="240" w:lineRule="auto"/>
              <w:rPr>
                <w:b/>
                <w:bCs/>
                <w:sz w:val="26"/>
              </w:rPr>
            </w:pPr>
            <w:r w:rsidRPr="001645BC">
              <w:rPr>
                <w:b/>
                <w:bCs/>
                <w:sz w:val="26"/>
              </w:rPr>
              <w:t>FERC-</w:t>
            </w:r>
            <w:r>
              <w:rPr>
                <w:b/>
                <w:bCs/>
                <w:sz w:val="26"/>
              </w:rPr>
              <w:t>917</w:t>
            </w:r>
            <w:r w:rsidR="000A3C02">
              <w:rPr>
                <w:b/>
                <w:bCs/>
                <w:sz w:val="26"/>
              </w:rPr>
              <w:t xml:space="preserve"> &amp; 918</w:t>
            </w:r>
            <w:r>
              <w:rPr>
                <w:rStyle w:val="FootnoteReference"/>
                <w:b/>
                <w:bCs/>
                <w:szCs w:val="22"/>
                <w:vertAlign w:val="superscript"/>
              </w:rPr>
              <w:footnoteReference w:id="18"/>
            </w:r>
          </w:p>
        </w:tc>
        <w:tc>
          <w:tcPr>
            <w:tcW w:w="1461" w:type="dxa"/>
            <w:shd w:val="clear" w:color="auto" w:fill="D9D9D9" w:themeFill="background1" w:themeFillShade="D9"/>
            <w:vAlign w:val="bottom"/>
          </w:tcPr>
          <w:p w:rsidR="001645BC" w:rsidRPr="001645BC" w:rsidP="001645BC" w14:paraId="17EBC0FD" w14:textId="77777777">
            <w:pPr>
              <w:spacing w:before="0" w:line="240" w:lineRule="auto"/>
              <w:rPr>
                <w:b/>
                <w:bCs/>
                <w:sz w:val="26"/>
              </w:rPr>
            </w:pPr>
            <w:r w:rsidRPr="001645BC">
              <w:rPr>
                <w:b/>
                <w:bCs/>
                <w:sz w:val="26"/>
              </w:rPr>
              <w:t>Total Request</w:t>
            </w:r>
          </w:p>
        </w:tc>
        <w:tc>
          <w:tcPr>
            <w:tcW w:w="1620" w:type="dxa"/>
            <w:shd w:val="clear" w:color="auto" w:fill="D9D9D9" w:themeFill="background1" w:themeFillShade="D9"/>
            <w:vAlign w:val="bottom"/>
          </w:tcPr>
          <w:p w:rsidR="001645BC" w:rsidRPr="001645BC" w:rsidP="001645BC" w14:paraId="4A57718B" w14:textId="77777777">
            <w:pPr>
              <w:spacing w:before="0" w:line="240" w:lineRule="auto"/>
              <w:rPr>
                <w:b/>
                <w:bCs/>
                <w:sz w:val="26"/>
              </w:rPr>
            </w:pPr>
            <w:r w:rsidRPr="001645BC">
              <w:rPr>
                <w:b/>
                <w:bCs/>
                <w:sz w:val="26"/>
              </w:rPr>
              <w:t>Previously Approved</w:t>
            </w:r>
          </w:p>
        </w:tc>
        <w:tc>
          <w:tcPr>
            <w:tcW w:w="1800" w:type="dxa"/>
            <w:shd w:val="clear" w:color="auto" w:fill="D9D9D9" w:themeFill="background1" w:themeFillShade="D9"/>
            <w:vAlign w:val="bottom"/>
          </w:tcPr>
          <w:p w:rsidR="001645BC" w:rsidRPr="001645BC" w:rsidP="001645BC" w14:paraId="17ABB95A" w14:textId="77777777">
            <w:pPr>
              <w:spacing w:before="0" w:line="240" w:lineRule="auto"/>
              <w:rPr>
                <w:b/>
                <w:bCs/>
                <w:sz w:val="26"/>
              </w:rPr>
            </w:pPr>
            <w:r w:rsidRPr="001645BC">
              <w:rPr>
                <w:b/>
                <w:bCs/>
                <w:sz w:val="26"/>
              </w:rPr>
              <w:t>Change due to Adjustment in Estimate</w:t>
            </w:r>
          </w:p>
        </w:tc>
        <w:tc>
          <w:tcPr>
            <w:tcW w:w="1800" w:type="dxa"/>
            <w:shd w:val="clear" w:color="auto" w:fill="D9D9D9" w:themeFill="background1" w:themeFillShade="D9"/>
            <w:vAlign w:val="bottom"/>
          </w:tcPr>
          <w:p w:rsidR="001645BC" w:rsidRPr="001645BC" w:rsidP="001645BC" w14:paraId="31F27761" w14:textId="77777777">
            <w:pPr>
              <w:spacing w:before="0" w:line="240" w:lineRule="auto"/>
              <w:rPr>
                <w:b/>
                <w:bCs/>
                <w:sz w:val="26"/>
              </w:rPr>
            </w:pPr>
            <w:r w:rsidRPr="001645BC">
              <w:rPr>
                <w:b/>
                <w:bCs/>
                <w:sz w:val="26"/>
              </w:rPr>
              <w:t>Change Due to Agency Discretion</w:t>
            </w:r>
          </w:p>
        </w:tc>
      </w:tr>
      <w:tr w14:paraId="21EC3255" w14:textId="77777777" w:rsidTr="007342EC">
        <w:tblPrEx>
          <w:tblW w:w="9360" w:type="dxa"/>
          <w:tblInd w:w="18" w:type="dxa"/>
          <w:tblLook w:val="01E0"/>
        </w:tblPrEx>
        <w:trPr>
          <w:trHeight w:val="591"/>
        </w:trPr>
        <w:tc>
          <w:tcPr>
            <w:tcW w:w="2679" w:type="dxa"/>
            <w:shd w:val="clear" w:color="auto" w:fill="FFFFFF" w:themeFill="background1"/>
          </w:tcPr>
          <w:p w:rsidR="001645BC" w:rsidRPr="001645BC" w:rsidP="001645BC" w14:paraId="0681FBDB" w14:textId="77777777">
            <w:pPr>
              <w:spacing w:before="0" w:line="240" w:lineRule="auto"/>
              <w:rPr>
                <w:sz w:val="26"/>
              </w:rPr>
            </w:pPr>
            <w:r w:rsidRPr="001645BC">
              <w:rPr>
                <w:sz w:val="26"/>
              </w:rPr>
              <w:t>Annual Number of Responses</w:t>
            </w:r>
          </w:p>
        </w:tc>
        <w:tc>
          <w:tcPr>
            <w:tcW w:w="1461" w:type="dxa"/>
            <w:shd w:val="clear" w:color="auto" w:fill="FFFFFF" w:themeFill="background1"/>
            <w:vAlign w:val="center"/>
          </w:tcPr>
          <w:p w:rsidR="001645BC" w:rsidRPr="001645BC" w:rsidP="001645BC" w14:paraId="43A7B6BB" w14:textId="486E054A">
            <w:pPr>
              <w:spacing w:before="0" w:line="240" w:lineRule="auto"/>
              <w:rPr>
                <w:sz w:val="26"/>
              </w:rPr>
            </w:pPr>
            <w:r>
              <w:rPr>
                <w:sz w:val="26"/>
              </w:rPr>
              <w:t>1,</w:t>
            </w:r>
            <w:r w:rsidRPr="00557650" w:rsidR="00557650">
              <w:rPr>
                <w:sz w:val="26"/>
              </w:rPr>
              <w:t>064</w:t>
            </w:r>
          </w:p>
        </w:tc>
        <w:tc>
          <w:tcPr>
            <w:tcW w:w="1620" w:type="dxa"/>
            <w:shd w:val="clear" w:color="auto" w:fill="FFFFFF" w:themeFill="background1"/>
            <w:vAlign w:val="center"/>
          </w:tcPr>
          <w:p w:rsidR="001645BC" w:rsidRPr="001645BC" w:rsidP="001645BC" w14:paraId="141A0A4A" w14:textId="60CAB507">
            <w:pPr>
              <w:spacing w:before="0" w:line="240" w:lineRule="auto"/>
              <w:rPr>
                <w:sz w:val="26"/>
              </w:rPr>
            </w:pPr>
            <w:r>
              <w:rPr>
                <w:sz w:val="26"/>
              </w:rPr>
              <w:t>1,016</w:t>
            </w:r>
          </w:p>
        </w:tc>
        <w:tc>
          <w:tcPr>
            <w:tcW w:w="1800" w:type="dxa"/>
            <w:shd w:val="clear" w:color="auto" w:fill="FFFFFF" w:themeFill="background1"/>
            <w:vAlign w:val="center"/>
          </w:tcPr>
          <w:p w:rsidR="001645BC" w:rsidRPr="001645BC" w:rsidP="001645BC" w14:paraId="46097101" w14:textId="77777777">
            <w:pPr>
              <w:spacing w:before="0" w:line="240" w:lineRule="auto"/>
              <w:rPr>
                <w:sz w:val="26"/>
              </w:rPr>
            </w:pPr>
            <w:r w:rsidRPr="001645BC">
              <w:rPr>
                <w:sz w:val="26"/>
              </w:rPr>
              <w:t>0</w:t>
            </w:r>
          </w:p>
        </w:tc>
        <w:tc>
          <w:tcPr>
            <w:tcW w:w="1800" w:type="dxa"/>
            <w:shd w:val="clear" w:color="auto" w:fill="FFFFFF" w:themeFill="background1"/>
            <w:vAlign w:val="center"/>
          </w:tcPr>
          <w:p w:rsidR="001645BC" w:rsidRPr="001645BC" w:rsidP="001645BC" w14:paraId="73410F13" w14:textId="2BCE74D9">
            <w:pPr>
              <w:spacing w:before="0" w:line="240" w:lineRule="auto"/>
              <w:rPr>
                <w:sz w:val="26"/>
              </w:rPr>
            </w:pPr>
            <w:r w:rsidRPr="001645BC">
              <w:rPr>
                <w:sz w:val="26"/>
              </w:rPr>
              <w:t>+</w:t>
            </w:r>
            <w:r w:rsidR="00302629">
              <w:rPr>
                <w:sz w:val="26"/>
              </w:rPr>
              <w:t>48</w:t>
            </w:r>
          </w:p>
        </w:tc>
      </w:tr>
      <w:tr w14:paraId="72E0150F" w14:textId="77777777" w:rsidTr="007342EC">
        <w:tblPrEx>
          <w:tblW w:w="9360" w:type="dxa"/>
          <w:tblInd w:w="18" w:type="dxa"/>
          <w:tblLook w:val="01E0"/>
        </w:tblPrEx>
        <w:trPr>
          <w:trHeight w:val="98"/>
        </w:trPr>
        <w:tc>
          <w:tcPr>
            <w:tcW w:w="2679" w:type="dxa"/>
            <w:shd w:val="clear" w:color="auto" w:fill="FFFFFF" w:themeFill="background1"/>
          </w:tcPr>
          <w:p w:rsidR="001645BC" w:rsidRPr="001645BC" w:rsidP="001645BC" w14:paraId="7D53A60A" w14:textId="77777777">
            <w:pPr>
              <w:spacing w:before="0" w:line="240" w:lineRule="auto"/>
              <w:rPr>
                <w:sz w:val="26"/>
              </w:rPr>
            </w:pPr>
            <w:r w:rsidRPr="001645BC">
              <w:rPr>
                <w:sz w:val="26"/>
              </w:rPr>
              <w:t>Annual Time Burden</w:t>
            </w:r>
          </w:p>
        </w:tc>
        <w:tc>
          <w:tcPr>
            <w:tcW w:w="1461" w:type="dxa"/>
            <w:shd w:val="clear" w:color="auto" w:fill="FFFFFF" w:themeFill="background1"/>
            <w:vAlign w:val="center"/>
          </w:tcPr>
          <w:p w:rsidR="001645BC" w:rsidRPr="001645BC" w:rsidP="001645BC" w14:paraId="0D15D28F" w14:textId="69332532">
            <w:pPr>
              <w:spacing w:before="0" w:line="240" w:lineRule="auto"/>
              <w:rPr>
                <w:sz w:val="26"/>
              </w:rPr>
            </w:pPr>
            <w:r w:rsidRPr="006E316E">
              <w:rPr>
                <w:sz w:val="26"/>
              </w:rPr>
              <w:t>496,140</w:t>
            </w:r>
          </w:p>
        </w:tc>
        <w:tc>
          <w:tcPr>
            <w:tcW w:w="1620" w:type="dxa"/>
            <w:shd w:val="clear" w:color="auto" w:fill="FFFFFF" w:themeFill="background1"/>
            <w:vAlign w:val="center"/>
          </w:tcPr>
          <w:p w:rsidR="001645BC" w:rsidRPr="001645BC" w:rsidP="001645BC" w14:paraId="193B746B" w14:textId="119D2C34">
            <w:pPr>
              <w:spacing w:before="0" w:line="240" w:lineRule="auto"/>
              <w:rPr>
                <w:sz w:val="26"/>
              </w:rPr>
            </w:pPr>
            <w:r w:rsidRPr="00CC266D">
              <w:rPr>
                <w:sz w:val="26"/>
              </w:rPr>
              <w:t>470,354</w:t>
            </w:r>
          </w:p>
        </w:tc>
        <w:tc>
          <w:tcPr>
            <w:tcW w:w="1800" w:type="dxa"/>
            <w:shd w:val="clear" w:color="auto" w:fill="FFFFFF" w:themeFill="background1"/>
            <w:vAlign w:val="center"/>
          </w:tcPr>
          <w:p w:rsidR="001645BC" w:rsidRPr="001645BC" w:rsidP="001645BC" w14:paraId="18EDF6C1" w14:textId="77777777">
            <w:pPr>
              <w:spacing w:before="0" w:line="240" w:lineRule="auto"/>
              <w:rPr>
                <w:sz w:val="26"/>
              </w:rPr>
            </w:pPr>
            <w:r w:rsidRPr="001645BC">
              <w:rPr>
                <w:sz w:val="26"/>
              </w:rPr>
              <w:t>0</w:t>
            </w:r>
          </w:p>
        </w:tc>
        <w:tc>
          <w:tcPr>
            <w:tcW w:w="1800" w:type="dxa"/>
            <w:shd w:val="clear" w:color="auto" w:fill="FFFFFF" w:themeFill="background1"/>
            <w:vAlign w:val="center"/>
          </w:tcPr>
          <w:p w:rsidR="001645BC" w:rsidRPr="001645BC" w:rsidP="001645BC" w14:paraId="7C200155" w14:textId="01B3A365">
            <w:pPr>
              <w:spacing w:before="0" w:line="240" w:lineRule="auto"/>
              <w:rPr>
                <w:sz w:val="26"/>
              </w:rPr>
            </w:pPr>
            <w:r w:rsidRPr="001645BC">
              <w:rPr>
                <w:sz w:val="26"/>
              </w:rPr>
              <w:t>+</w:t>
            </w:r>
            <w:r w:rsidRPr="00302629" w:rsidR="00302629">
              <w:rPr>
                <w:sz w:val="26"/>
              </w:rPr>
              <w:t>25,786</w:t>
            </w:r>
          </w:p>
        </w:tc>
      </w:tr>
      <w:tr w14:paraId="6E8F0518" w14:textId="77777777" w:rsidTr="007342EC">
        <w:tblPrEx>
          <w:tblW w:w="9360" w:type="dxa"/>
          <w:tblInd w:w="18" w:type="dxa"/>
          <w:tblLook w:val="01E0"/>
        </w:tblPrEx>
        <w:trPr>
          <w:trHeight w:val="295"/>
        </w:trPr>
        <w:tc>
          <w:tcPr>
            <w:tcW w:w="2679" w:type="dxa"/>
            <w:tcBorders>
              <w:bottom w:val="single" w:sz="4" w:space="0" w:color="auto"/>
            </w:tcBorders>
            <w:shd w:val="clear" w:color="auto" w:fill="FFFFFF" w:themeFill="background1"/>
          </w:tcPr>
          <w:p w:rsidR="001645BC" w:rsidRPr="001645BC" w:rsidP="001645BC" w14:paraId="1994D1F8" w14:textId="77777777">
            <w:pPr>
              <w:spacing w:before="0" w:line="240" w:lineRule="auto"/>
              <w:rPr>
                <w:sz w:val="26"/>
              </w:rPr>
            </w:pPr>
            <w:r w:rsidRPr="001645BC">
              <w:rPr>
                <w:sz w:val="26"/>
              </w:rPr>
              <w:t>Annual Cost Burden ($)</w:t>
            </w:r>
          </w:p>
        </w:tc>
        <w:tc>
          <w:tcPr>
            <w:tcW w:w="1461" w:type="dxa"/>
            <w:tcBorders>
              <w:bottom w:val="single" w:sz="4" w:space="0" w:color="auto"/>
            </w:tcBorders>
            <w:shd w:val="clear" w:color="auto" w:fill="FFFFFF" w:themeFill="background1"/>
            <w:vAlign w:val="center"/>
          </w:tcPr>
          <w:p w:rsidR="001645BC" w:rsidRPr="001645BC" w:rsidP="001645BC" w14:paraId="7D47D1C2" w14:textId="77777777">
            <w:pPr>
              <w:spacing w:before="0" w:line="240" w:lineRule="auto"/>
              <w:rPr>
                <w:sz w:val="26"/>
              </w:rPr>
            </w:pPr>
            <w:r w:rsidRPr="001645BC">
              <w:rPr>
                <w:sz w:val="26"/>
              </w:rPr>
              <w:t>$0</w:t>
            </w:r>
          </w:p>
        </w:tc>
        <w:tc>
          <w:tcPr>
            <w:tcW w:w="1620" w:type="dxa"/>
            <w:tcBorders>
              <w:bottom w:val="single" w:sz="4" w:space="0" w:color="auto"/>
            </w:tcBorders>
            <w:shd w:val="clear" w:color="auto" w:fill="FFFFFF" w:themeFill="background1"/>
            <w:vAlign w:val="center"/>
          </w:tcPr>
          <w:p w:rsidR="001645BC" w:rsidRPr="001645BC" w:rsidP="001645BC" w14:paraId="4747084C" w14:textId="77777777">
            <w:pPr>
              <w:spacing w:before="0" w:line="240" w:lineRule="auto"/>
              <w:rPr>
                <w:sz w:val="26"/>
              </w:rPr>
            </w:pPr>
            <w:r w:rsidRPr="001645BC">
              <w:rPr>
                <w:sz w:val="26"/>
              </w:rPr>
              <w:t>$0</w:t>
            </w:r>
          </w:p>
        </w:tc>
        <w:tc>
          <w:tcPr>
            <w:tcW w:w="1800" w:type="dxa"/>
            <w:tcBorders>
              <w:bottom w:val="single" w:sz="4" w:space="0" w:color="auto"/>
            </w:tcBorders>
            <w:shd w:val="clear" w:color="auto" w:fill="FFFFFF" w:themeFill="background1"/>
            <w:vAlign w:val="center"/>
          </w:tcPr>
          <w:p w:rsidR="001645BC" w:rsidRPr="001645BC" w:rsidP="001645BC" w14:paraId="0B16192A" w14:textId="77777777">
            <w:pPr>
              <w:spacing w:before="0" w:line="240" w:lineRule="auto"/>
              <w:rPr>
                <w:sz w:val="26"/>
              </w:rPr>
            </w:pPr>
            <w:r w:rsidRPr="001645BC">
              <w:rPr>
                <w:sz w:val="26"/>
              </w:rPr>
              <w:t>$0</w:t>
            </w:r>
          </w:p>
        </w:tc>
        <w:tc>
          <w:tcPr>
            <w:tcW w:w="1800" w:type="dxa"/>
            <w:tcBorders>
              <w:bottom w:val="single" w:sz="4" w:space="0" w:color="auto"/>
            </w:tcBorders>
            <w:shd w:val="clear" w:color="auto" w:fill="FFFFFF" w:themeFill="background1"/>
            <w:vAlign w:val="center"/>
          </w:tcPr>
          <w:p w:rsidR="001645BC" w:rsidRPr="001645BC" w:rsidP="001645BC" w14:paraId="69D013A8" w14:textId="77777777">
            <w:pPr>
              <w:spacing w:before="0" w:line="240" w:lineRule="auto"/>
              <w:rPr>
                <w:sz w:val="26"/>
              </w:rPr>
            </w:pPr>
            <w:r w:rsidRPr="001645BC">
              <w:rPr>
                <w:sz w:val="26"/>
              </w:rPr>
              <w:t>$0</w:t>
            </w:r>
          </w:p>
        </w:tc>
      </w:tr>
    </w:tbl>
    <w:p w:rsidR="00611727" w:rsidP="0049741A" w14:paraId="4DA7CF91" w14:textId="77777777">
      <w:pPr>
        <w:spacing w:before="0" w:line="240" w:lineRule="auto"/>
        <w:rPr>
          <w:b/>
          <w:bCs/>
          <w:sz w:val="26"/>
        </w:rPr>
      </w:pPr>
    </w:p>
    <w:p w:rsidR="001B667D" w:rsidP="00A42AB8" w14:paraId="2E3895AF" w14:textId="2B563B59">
      <w:pPr>
        <w:spacing w:line="240" w:lineRule="auto"/>
        <w:rPr>
          <w:bCs/>
          <w:sz w:val="26"/>
        </w:rPr>
      </w:pPr>
      <w:r w:rsidRPr="000134F4">
        <w:rPr>
          <w:b/>
          <w:bCs/>
          <w:sz w:val="26"/>
        </w:rPr>
        <w:t>16.</w:t>
      </w:r>
      <w:r w:rsidRPr="000134F4">
        <w:rPr>
          <w:b/>
          <w:bCs/>
          <w:sz w:val="26"/>
        </w:rPr>
        <w:tab/>
      </w:r>
      <w:r w:rsidRPr="00C06B9C" w:rsidR="00C06B9C">
        <w:rPr>
          <w:b/>
          <w:bCs/>
          <w:sz w:val="26"/>
        </w:rPr>
        <w:t>TIME SCHEDULE FOR THE PUBLICATION OF DATA</w:t>
      </w:r>
    </w:p>
    <w:p w:rsidR="001B667D" w:rsidP="00A42AB8" w14:paraId="6045B12C" w14:textId="35349FEA">
      <w:pPr>
        <w:spacing w:line="240" w:lineRule="auto"/>
        <w:rPr>
          <w:b/>
          <w:bCs/>
          <w:sz w:val="26"/>
        </w:rPr>
      </w:pPr>
      <w:r w:rsidRPr="00C420AB">
        <w:rPr>
          <w:bCs/>
          <w:sz w:val="26"/>
        </w:rPr>
        <w:t>There are no publication plans for the collection of information.  Although some reforms require the posting of information, this will not be done by the Commission.</w:t>
      </w:r>
    </w:p>
    <w:p w:rsidR="001B667D" w:rsidP="00A42AB8" w14:paraId="0A7315A7" w14:textId="08B93DE9">
      <w:pPr>
        <w:spacing w:line="240" w:lineRule="auto"/>
        <w:rPr>
          <w:bCs/>
          <w:sz w:val="26"/>
        </w:rPr>
      </w:pPr>
      <w:r w:rsidRPr="6DED7E48">
        <w:rPr>
          <w:b/>
          <w:sz w:val="26"/>
          <w:szCs w:val="26"/>
        </w:rPr>
        <w:t>17.</w:t>
      </w:r>
      <w:r w:rsidR="00A82B9F">
        <w:rPr>
          <w:b/>
          <w:color w:val="000000"/>
        </w:rPr>
        <w:tab/>
      </w:r>
      <w:r w:rsidRPr="6DED7E48" w:rsidR="00CF2910">
        <w:rPr>
          <w:b/>
          <w:sz w:val="26"/>
          <w:szCs w:val="26"/>
        </w:rPr>
        <w:t xml:space="preserve">DISPLAY OF THE EXPIRATION DATE  </w:t>
      </w:r>
    </w:p>
    <w:p w:rsidR="001B667D" w:rsidP="00A42AB8" w14:paraId="7E8763C3" w14:textId="7F81C2EF">
      <w:pPr>
        <w:spacing w:line="240" w:lineRule="auto"/>
        <w:rPr>
          <w:b/>
          <w:bCs/>
          <w:sz w:val="26"/>
        </w:rPr>
      </w:pPr>
      <w:r w:rsidRPr="005818DD">
        <w:rPr>
          <w:bCs/>
          <w:sz w:val="26"/>
        </w:rPr>
        <w:t xml:space="preserve">The OMB expiration dates are posted on </w:t>
      </w:r>
      <w:hyperlink r:id="rId11" w:history="1">
        <w:r w:rsidRPr="005818DD">
          <w:rPr>
            <w:rStyle w:val="Hyperlink"/>
            <w:bCs/>
            <w:sz w:val="26"/>
          </w:rPr>
          <w:t>https://www.ferc.gov/enforcement-legal/legal/information-collections</w:t>
        </w:r>
      </w:hyperlink>
      <w:r w:rsidRPr="005818DD">
        <w:rPr>
          <w:bCs/>
          <w:sz w:val="26"/>
          <w:u w:val="single"/>
        </w:rPr>
        <w:t>.</w:t>
      </w:r>
    </w:p>
    <w:p w:rsidR="001B667D" w:rsidP="00A42AB8" w14:paraId="21F0B0EA" w14:textId="77DF8F06">
      <w:pPr>
        <w:spacing w:line="240" w:lineRule="auto"/>
        <w:rPr>
          <w:bCs/>
          <w:sz w:val="26"/>
        </w:rPr>
      </w:pPr>
      <w:r w:rsidRPr="000134F4">
        <w:rPr>
          <w:b/>
          <w:bCs/>
          <w:sz w:val="26"/>
        </w:rPr>
        <w:t>18.</w:t>
      </w:r>
      <w:r w:rsidRPr="000134F4">
        <w:rPr>
          <w:b/>
          <w:bCs/>
          <w:sz w:val="26"/>
        </w:rPr>
        <w:tab/>
      </w:r>
      <w:r w:rsidRPr="00B07821" w:rsidR="00B07821">
        <w:rPr>
          <w:b/>
          <w:bCs/>
          <w:sz w:val="26"/>
        </w:rPr>
        <w:t>EXCEPTIONS TO THE CERTIFICATION STATEMENT</w:t>
      </w:r>
    </w:p>
    <w:p w:rsidR="002344E3" w:rsidRPr="000134F4" w:rsidP="00A42AB8" w14:paraId="1060531F" w14:textId="67155124">
      <w:pPr>
        <w:spacing w:line="240" w:lineRule="auto"/>
        <w:rPr>
          <w:bCs/>
          <w:sz w:val="26"/>
        </w:rPr>
      </w:pPr>
      <w:r w:rsidRPr="000134F4">
        <w:rPr>
          <w:bCs/>
          <w:sz w:val="26"/>
        </w:rPr>
        <w:t>There are no exceptions.</w:t>
      </w:r>
    </w:p>
    <w:sectPr w:rsidSect="003A2374">
      <w:head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342D" w14:paraId="52028D37" w14:textId="77777777">
      <w:r>
        <w:separator/>
      </w:r>
    </w:p>
  </w:endnote>
  <w:endnote w:type="continuationSeparator" w:id="1">
    <w:p w:rsidR="00AB342D" w14:paraId="0B39E6E6" w14:textId="77777777">
      <w:r>
        <w:continuationSeparator/>
      </w:r>
    </w:p>
  </w:endnote>
  <w:endnote w:type="continuationNotice" w:id="2">
    <w:p w:rsidR="00AB342D" w14:paraId="23498B6D"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342D" w14:paraId="672D553B" w14:textId="77777777">
      <w:r>
        <w:separator/>
      </w:r>
    </w:p>
  </w:footnote>
  <w:footnote w:type="continuationSeparator" w:id="1">
    <w:p w:rsidR="00AB342D" w14:paraId="1157C4EE" w14:textId="77777777">
      <w:r>
        <w:continuationSeparator/>
      </w:r>
    </w:p>
  </w:footnote>
  <w:footnote w:type="continuationNotice" w:id="2">
    <w:p w:rsidR="00AB342D" w14:paraId="5080A699" w14:textId="77777777">
      <w:pPr>
        <w:spacing w:before="0" w:line="240" w:lineRule="auto"/>
      </w:pPr>
    </w:p>
  </w:footnote>
  <w:footnote w:id="3">
    <w:p w:rsidR="00E73A63" w:rsidRPr="00C86BFE" w:rsidP="00921506" w14:paraId="6B92EFE9" w14:textId="02125049">
      <w:pPr>
        <w:pStyle w:val="FootnoteText"/>
        <w:spacing w:before="0" w:line="240" w:lineRule="auto"/>
        <w:rPr>
          <w:sz w:val="26"/>
        </w:rPr>
      </w:pPr>
      <w:r w:rsidRPr="00C86BFE">
        <w:rPr>
          <w:rStyle w:val="FootnoteReference"/>
          <w:sz w:val="26"/>
          <w:vertAlign w:val="superscript"/>
        </w:rPr>
        <w:footnoteRef/>
      </w:r>
      <w:r w:rsidRPr="00C86BFE">
        <w:rPr>
          <w:sz w:val="26"/>
        </w:rPr>
        <w:t xml:space="preserve"> As defined at 16 U.S.C. 824(e)</w:t>
      </w:r>
      <w:r w:rsidR="00471864">
        <w:rPr>
          <w:sz w:val="26"/>
        </w:rPr>
        <w:t>,</w:t>
      </w:r>
      <w:r w:rsidRPr="00C86BFE">
        <w:rPr>
          <w:sz w:val="26"/>
        </w:rPr>
        <w:t xml:space="preserve"> a “public utility” is any person who owns or operates facilities subject to the jurisdiction of the Comm</w:t>
      </w:r>
      <w:r w:rsidR="00002C89">
        <w:rPr>
          <w:sz w:val="26"/>
        </w:rPr>
        <w:t>i</w:t>
      </w:r>
      <w:r w:rsidRPr="00C86BFE">
        <w:rPr>
          <w:sz w:val="26"/>
        </w:rPr>
        <w:t>ssion under Subchapter</w:t>
      </w:r>
      <w:r w:rsidR="0082075F">
        <w:rPr>
          <w:sz w:val="26"/>
        </w:rPr>
        <w:t>s</w:t>
      </w:r>
      <w:r w:rsidRPr="00C86BFE">
        <w:rPr>
          <w:sz w:val="26"/>
        </w:rPr>
        <w:t xml:space="preserve"> II </w:t>
      </w:r>
      <w:r w:rsidR="0082075F">
        <w:rPr>
          <w:sz w:val="26"/>
        </w:rPr>
        <w:t xml:space="preserve">and III </w:t>
      </w:r>
      <w:r w:rsidRPr="00C86BFE">
        <w:rPr>
          <w:sz w:val="26"/>
        </w:rPr>
        <w:t>of the FPA</w:t>
      </w:r>
      <w:r w:rsidR="008D36F2">
        <w:rPr>
          <w:sz w:val="26"/>
        </w:rPr>
        <w:t>.</w:t>
      </w:r>
    </w:p>
  </w:footnote>
  <w:footnote w:id="4">
    <w:p w:rsidR="00085A9D" w:rsidRPr="00315CE2" w:rsidP="00085A9D" w14:paraId="0C21D8A5" w14:textId="37B16E3C">
      <w:pPr>
        <w:pStyle w:val="FootnoteText"/>
        <w:tabs>
          <w:tab w:val="left" w:pos="1710"/>
        </w:tabs>
        <w:spacing w:before="0" w:line="240" w:lineRule="auto"/>
        <w:rPr>
          <w:sz w:val="26"/>
        </w:rPr>
      </w:pPr>
      <w:r w:rsidRPr="00315CE2">
        <w:rPr>
          <w:rStyle w:val="FootnoteReference"/>
          <w:sz w:val="26"/>
          <w:vertAlign w:val="superscript"/>
        </w:rPr>
        <w:footnoteRef/>
      </w:r>
      <w:r w:rsidRPr="00315CE2">
        <w:rPr>
          <w:sz w:val="26"/>
        </w:rPr>
        <w:t xml:space="preserve"> </w:t>
      </w:r>
      <w:r w:rsidR="00337B66">
        <w:rPr>
          <w:sz w:val="26"/>
        </w:rPr>
        <w:t xml:space="preserve">Pro Forma OATT – effective March 14, 2022, </w:t>
      </w:r>
      <w:hyperlink r:id="rId1" w:history="1">
        <w:r w:rsidRPr="00337B66" w:rsidR="00337B66">
          <w:rPr>
            <w:rStyle w:val="Hyperlink"/>
            <w:sz w:val="26"/>
          </w:rPr>
          <w:t>https://www.ferc.gov/media/pro-forma-oatt-effective-march-14-2022</w:t>
        </w:r>
      </w:hyperlink>
      <w:r w:rsidR="00AF0B5D">
        <w:rPr>
          <w:rStyle w:val="Hyperlink"/>
          <w:sz w:val="26"/>
        </w:rPr>
        <w:t>. This document is typically updated 12-18 months after the issuance of the final rule</w:t>
      </w:r>
      <w:r w:rsidR="00FA4A1A">
        <w:rPr>
          <w:rStyle w:val="Hyperlink"/>
          <w:sz w:val="26"/>
        </w:rPr>
        <w:t xml:space="preserve">. This is common practice as the </w:t>
      </w:r>
      <w:r w:rsidR="00EC70F9">
        <w:rPr>
          <w:rStyle w:val="Hyperlink"/>
          <w:sz w:val="26"/>
        </w:rPr>
        <w:t xml:space="preserve">Pro Forma OATT can be modified during the rehearing process, that occurs after the original issuance of the final rule. </w:t>
      </w:r>
    </w:p>
  </w:footnote>
  <w:footnote w:id="5">
    <w:p w:rsidR="008925CA" w14:paraId="7F9400DA" w14:textId="36FDBA4A">
      <w:pPr>
        <w:pStyle w:val="FootnoteText"/>
      </w:pPr>
      <w:r w:rsidRPr="00455532">
        <w:rPr>
          <w:rStyle w:val="FootnoteReference"/>
          <w:sz w:val="24"/>
          <w:szCs w:val="24"/>
          <w:vertAlign w:val="superscript"/>
        </w:rPr>
        <w:footnoteRef/>
      </w:r>
      <w:r w:rsidRPr="008576CD">
        <w:rPr>
          <w:sz w:val="24"/>
          <w:szCs w:val="24"/>
          <w:vertAlign w:val="superscript"/>
        </w:rPr>
        <w:t xml:space="preserve"> </w:t>
      </w:r>
      <w:r w:rsidRPr="008576CD">
        <w:rPr>
          <w:sz w:val="26"/>
          <w:szCs w:val="26"/>
        </w:rPr>
        <w:t xml:space="preserve">FERC Order 1920’s information collections were approved in ICR: 202403-1902-009 </w:t>
      </w:r>
      <w:r w:rsidRPr="008576CD" w:rsidR="00955702">
        <w:rPr>
          <w:sz w:val="26"/>
          <w:szCs w:val="26"/>
        </w:rPr>
        <w:t>on 9/16/2024.</w:t>
      </w:r>
      <w:r w:rsidRPr="008576CD" w:rsidR="00955702">
        <w:rPr>
          <w:sz w:val="24"/>
          <w:szCs w:val="24"/>
        </w:rPr>
        <w:t xml:space="preserve"> </w:t>
      </w:r>
    </w:p>
  </w:footnote>
  <w:footnote w:id="6">
    <w:p w:rsidR="00BB0B29" w:rsidRPr="00C81B72" w:rsidP="00BB0B29" w14:paraId="49989F90" w14:textId="3CDE412B">
      <w:pPr>
        <w:pStyle w:val="FootnoteText"/>
        <w:spacing w:after="80"/>
        <w:ind w:left="360"/>
        <w:rPr>
          <w:sz w:val="24"/>
          <w:szCs w:val="24"/>
        </w:rPr>
      </w:pPr>
      <w:r w:rsidRPr="00A322CA">
        <w:rPr>
          <w:rStyle w:val="FootnoteReference"/>
          <w:sz w:val="26"/>
          <w:vertAlign w:val="superscript"/>
        </w:rPr>
        <w:footnoteRef/>
      </w:r>
      <w:r w:rsidRPr="00C81B72">
        <w:rPr>
          <w:sz w:val="24"/>
          <w:szCs w:val="24"/>
        </w:rPr>
        <w:t xml:space="preserve"> </w:t>
      </w:r>
      <w:r w:rsidRPr="00A322CA">
        <w:rPr>
          <w:i/>
          <w:iCs/>
          <w:sz w:val="26"/>
        </w:rPr>
        <w:t>See</w:t>
      </w:r>
      <w:r w:rsidRPr="00A322CA">
        <w:rPr>
          <w:sz w:val="26"/>
        </w:rPr>
        <w:t xml:space="preserve"> 18 CFR 37.6 (</w:t>
      </w:r>
      <w:r w:rsidRPr="00A322CA" w:rsidR="000A349D">
        <w:rPr>
          <w:sz w:val="26"/>
        </w:rPr>
        <w:t>explaining the i</w:t>
      </w:r>
      <w:r w:rsidRPr="00A322CA">
        <w:rPr>
          <w:sz w:val="26"/>
        </w:rPr>
        <w:t>nformation to be posted on the OASIS).</w:t>
      </w:r>
    </w:p>
  </w:footnote>
  <w:footnote w:id="7">
    <w:p w:rsidR="00FA70D8" w14:paraId="0277725D" w14:textId="441454A6">
      <w:pPr>
        <w:pStyle w:val="FootnoteText"/>
      </w:pPr>
      <w:r w:rsidRPr="00FF5EA8">
        <w:rPr>
          <w:rStyle w:val="FootnoteReference"/>
          <w:vertAlign w:val="superscript"/>
        </w:rPr>
        <w:footnoteRef/>
      </w:r>
      <w:r w:rsidRPr="00FF5EA8">
        <w:rPr>
          <w:vertAlign w:val="superscript"/>
        </w:rPr>
        <w:t xml:space="preserve"> </w:t>
      </w:r>
      <w:r w:rsidRPr="006B1BDA" w:rsidR="006B1BDA">
        <w:rPr>
          <w:sz w:val="24"/>
          <w:szCs w:val="24"/>
        </w:rPr>
        <w:t>https://www.ferc.gov/ferc-online/overview</w:t>
      </w:r>
    </w:p>
  </w:footnote>
  <w:footnote w:id="8">
    <w:p w:rsidR="00BB6C7E" w:rsidRPr="00B873FB" w:rsidP="00BB6C7E" w14:paraId="5BC68257" w14:textId="3C1BF9D8">
      <w:pPr>
        <w:pStyle w:val="FootnoteText"/>
        <w:rPr>
          <w:sz w:val="26"/>
        </w:rPr>
      </w:pPr>
      <w:r w:rsidRPr="00B13CA1">
        <w:rPr>
          <w:rStyle w:val="FootnoteReference"/>
          <w:sz w:val="26"/>
          <w:vertAlign w:val="superscript"/>
        </w:rPr>
        <w:footnoteRef/>
      </w:r>
      <w:r w:rsidRPr="00B873FB">
        <w:rPr>
          <w:sz w:val="26"/>
        </w:rPr>
        <w:t xml:space="preserve"> 86 FR 40266</w:t>
      </w:r>
      <w:r w:rsidR="003C5D87">
        <w:rPr>
          <w:sz w:val="26"/>
        </w:rPr>
        <w:t>.</w:t>
      </w:r>
    </w:p>
  </w:footnote>
  <w:footnote w:id="9">
    <w:p w:rsidR="0057181B" w14:paraId="3BC74A6E" w14:textId="1F488B50">
      <w:pPr>
        <w:pStyle w:val="FootnoteText"/>
      </w:pPr>
      <w:r>
        <w:rPr>
          <w:rStyle w:val="FootnoteReference"/>
        </w:rPr>
        <w:footnoteRef/>
      </w:r>
      <w:r>
        <w:t xml:space="preserve"> </w:t>
      </w:r>
      <w:r w:rsidRPr="00A322CA">
        <w:rPr>
          <w:sz w:val="26"/>
          <w:szCs w:val="26"/>
        </w:rPr>
        <w:t>PJM Initial Comments at 125-</w:t>
      </w:r>
      <w:r w:rsidR="006427D5">
        <w:rPr>
          <w:sz w:val="26"/>
          <w:szCs w:val="26"/>
        </w:rPr>
        <w:t>1</w:t>
      </w:r>
      <w:r w:rsidRPr="00A322CA">
        <w:rPr>
          <w:sz w:val="26"/>
          <w:szCs w:val="26"/>
        </w:rPr>
        <w:t>29</w:t>
      </w:r>
      <w:r w:rsidR="00935C35">
        <w:rPr>
          <w:sz w:val="26"/>
          <w:szCs w:val="26"/>
        </w:rPr>
        <w:t xml:space="preserve">, Docket No. RM21-17-000 (filed </w:t>
      </w:r>
      <w:r w:rsidR="006427D5">
        <w:rPr>
          <w:sz w:val="26"/>
          <w:szCs w:val="26"/>
        </w:rPr>
        <w:t>August 17, 2022</w:t>
      </w:r>
      <w:r w:rsidR="00935C35">
        <w:rPr>
          <w:sz w:val="26"/>
          <w:szCs w:val="26"/>
        </w:rPr>
        <w:t>)</w:t>
      </w:r>
      <w:r w:rsidRPr="00A322CA">
        <w:rPr>
          <w:sz w:val="26"/>
          <w:szCs w:val="26"/>
        </w:rPr>
        <w:t>.</w:t>
      </w:r>
    </w:p>
  </w:footnote>
  <w:footnote w:id="10">
    <w:p w:rsidR="00BD5C49" w:rsidP="00BD5C49" w14:paraId="7C623806" w14:textId="77777777">
      <w:pPr>
        <w:pStyle w:val="FootnoteText"/>
      </w:pPr>
      <w:r w:rsidRPr="00A322CA">
        <w:rPr>
          <w:rStyle w:val="FootnoteReference"/>
          <w:sz w:val="26"/>
          <w:vertAlign w:val="superscript"/>
        </w:rPr>
        <w:footnoteRef/>
      </w:r>
      <w:r>
        <w:t xml:space="preserve"> </w:t>
      </w:r>
      <w:r w:rsidRPr="00A6331D">
        <w:rPr>
          <w:sz w:val="26"/>
        </w:rPr>
        <w:t>The transmission service provider (TSP) function is a NERC registration function, which is similar to the transmission provider that is referenced in the pro forma OATT.  The TSP function is being used as a proxy to estimate the number of transmission providers that are impacted by this proposed rulemaking.</w:t>
      </w:r>
    </w:p>
  </w:footnote>
  <w:footnote w:id="11">
    <w:p w:rsidR="00BD5C49" w:rsidP="00BD5C49" w14:paraId="5F0C4965" w14:textId="77777777">
      <w:pPr>
        <w:pStyle w:val="FootnoteText"/>
      </w:pPr>
      <w:r w:rsidRPr="00A6331D">
        <w:rPr>
          <w:rStyle w:val="FootnoteReference"/>
          <w:sz w:val="26"/>
          <w:vertAlign w:val="superscript"/>
        </w:rPr>
        <w:footnoteRef/>
      </w:r>
      <w:r>
        <w:t xml:space="preserve"> </w:t>
      </w:r>
      <w:r w:rsidRPr="00A6331D">
        <w:rPr>
          <w:sz w:val="26"/>
        </w:rPr>
        <w:t>The number of entities listed from the NERC Compliance Registry reflects the omission of the Texas registered entities.  Note that the 48 transmission providers with OATTs do not include non-public utility transmission providers with reciprocity tariffs.</w:t>
      </w:r>
    </w:p>
  </w:footnote>
  <w:footnote w:id="12">
    <w:p w:rsidR="00BD5C49" w:rsidP="00BD5C49" w14:paraId="75689469" w14:textId="4B002DFA">
      <w:pPr>
        <w:pStyle w:val="FootnoteText"/>
      </w:pPr>
      <w:r w:rsidRPr="00A6331D">
        <w:rPr>
          <w:rStyle w:val="FootnoteReference"/>
          <w:sz w:val="26"/>
          <w:vertAlign w:val="superscript"/>
        </w:rPr>
        <w:footnoteRef/>
      </w:r>
      <w:r>
        <w:t xml:space="preserve"> </w:t>
      </w:r>
      <w:r w:rsidRPr="00830D6C">
        <w:rPr>
          <w:sz w:val="26"/>
        </w:rPr>
        <w:t xml:space="preserve">See </w:t>
      </w:r>
      <w:r w:rsidRPr="00830D6C">
        <w:rPr>
          <w:i/>
          <w:iCs/>
          <w:sz w:val="26"/>
        </w:rPr>
        <w:t>supra</w:t>
      </w:r>
      <w:r w:rsidRPr="00830D6C">
        <w:rPr>
          <w:sz w:val="26"/>
        </w:rPr>
        <w:t xml:space="preserve"> note </w:t>
      </w:r>
      <w:r w:rsidRPr="00830D6C" w:rsidR="00E66D1F">
        <w:rPr>
          <w:sz w:val="26"/>
        </w:rPr>
        <w:t>3</w:t>
      </w:r>
      <w:r w:rsidRPr="00830D6C">
        <w:rPr>
          <w:sz w:val="26"/>
        </w:rPr>
        <w:t>.</w:t>
      </w:r>
    </w:p>
  </w:footnote>
  <w:footnote w:id="13">
    <w:p w:rsidR="006470CF" w:rsidRPr="00C81B72" w:rsidP="00A6331D" w14:paraId="7613C360" w14:textId="77777777">
      <w:pPr>
        <w:pStyle w:val="FootnoteText"/>
        <w:rPr>
          <w:sz w:val="24"/>
          <w:szCs w:val="24"/>
        </w:rPr>
      </w:pPr>
      <w:r w:rsidRPr="00A6331D">
        <w:rPr>
          <w:rStyle w:val="FootnoteReference"/>
          <w:sz w:val="26"/>
          <w:vertAlign w:val="superscript"/>
        </w:rPr>
        <w:footnoteRef/>
      </w:r>
      <w:r w:rsidRPr="00C81B72">
        <w:rPr>
          <w:sz w:val="24"/>
          <w:szCs w:val="24"/>
        </w:rPr>
        <w:t xml:space="preserve"> </w:t>
      </w:r>
      <w:r w:rsidRPr="00A6331D">
        <w:rPr>
          <w:sz w:val="26"/>
        </w:rPr>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4">
    <w:p w:rsidR="00561B21" w:rsidRPr="008576CD" w:rsidP="00561B21" w14:paraId="4552AF43" w14:textId="77777777">
      <w:pPr>
        <w:pStyle w:val="FootnoteText"/>
        <w:rPr>
          <w:sz w:val="26"/>
        </w:rPr>
      </w:pPr>
      <w:r w:rsidRPr="008576CD">
        <w:rPr>
          <w:rStyle w:val="FootnoteReference"/>
          <w:vertAlign w:val="superscript"/>
        </w:rPr>
        <w:footnoteRef/>
      </w:r>
      <w:r>
        <w:t xml:space="preserve"> </w:t>
      </w:r>
      <w:r w:rsidRPr="008576CD">
        <w:rPr>
          <w:sz w:val="26"/>
        </w:rPr>
        <w:t>In the table, Year 1 figures are one-time implementation hours and cost.  “Subsequent years” show ongoing burdens and costs starting in Year 2.</w:t>
      </w:r>
    </w:p>
  </w:footnote>
  <w:footnote w:id="15">
    <w:p w:rsidR="00561B21" w:rsidP="00561B21" w14:paraId="101A7CA7" w14:textId="77777777">
      <w:pPr>
        <w:pStyle w:val="FootnoteText"/>
      </w:pPr>
      <w:r w:rsidRPr="008576CD">
        <w:rPr>
          <w:sz w:val="26"/>
          <w:vertAlign w:val="superscript"/>
        </w:rPr>
        <w:footnoteRef/>
      </w:r>
      <w:r w:rsidRPr="008576CD">
        <w:rPr>
          <w:sz w:val="26"/>
          <w:vertAlign w:val="superscript"/>
        </w:rPr>
        <w:t xml:space="preserve"> </w:t>
      </w:r>
      <w:r w:rsidRPr="008576CD">
        <w:rPr>
          <w:sz w:val="26"/>
        </w:rPr>
        <w:t>The hourly cost (for salary plus benefits) uses the figures from the Bureau of Labor Statistics (BLS) for three positions involved in the reporting and recordkeeping requirements.  These figures include salary (based on BLS data for May 2022, issued April 25, 2023, http://bls.gov/oes/current/naics2_22.htm) and benefits (based on BLS data for September 2023; issued December 15, 2023, http://www.bls.gov/news.release/ecec.nr0.htm) and are Manager (Occupation Code 11-0000, $122.48/hour), Electrical Engineer (Occupation Code 17-2071, $89.04/hour), and File Clerk (Occupation Code 43-4071, $42.43/hour).  The hourly cost for the reporting requirements ($105.76) is an average of the hourly cost (wages plus benefits) of a manager and engineer.  The hourly cost for recordkeeping requirements uses the cost of a file clerk.</w:t>
      </w:r>
    </w:p>
  </w:footnote>
  <w:footnote w:id="16">
    <w:p w:rsidR="007B3A22" w14:paraId="16C04CF6" w14:textId="7DD68E42">
      <w:pPr>
        <w:pStyle w:val="FootnoteText"/>
      </w:pPr>
      <w:r w:rsidRPr="00A322CA">
        <w:rPr>
          <w:rStyle w:val="FootnoteReference"/>
          <w:sz w:val="26"/>
          <w:szCs w:val="22"/>
          <w:vertAlign w:val="superscript"/>
        </w:rPr>
        <w:footnoteRef/>
      </w:r>
      <w:r>
        <w:t xml:space="preserve"> </w:t>
      </w:r>
      <w:r w:rsidRPr="00860D2F">
        <w:rPr>
          <w:sz w:val="26"/>
        </w:rPr>
        <w:t xml:space="preserve">5 CFR </w:t>
      </w:r>
      <w:r w:rsidR="004C74B0">
        <w:rPr>
          <w:sz w:val="26"/>
        </w:rPr>
        <w:t>pt.</w:t>
      </w:r>
      <w:r w:rsidR="001C51FF">
        <w:rPr>
          <w:sz w:val="26"/>
        </w:rPr>
        <w:t xml:space="preserve"> </w:t>
      </w:r>
      <w:r w:rsidRPr="00860D2F">
        <w:rPr>
          <w:sz w:val="26"/>
        </w:rPr>
        <w:t>1320.</w:t>
      </w:r>
    </w:p>
  </w:footnote>
  <w:footnote w:id="17">
    <w:p w:rsidR="00413384" w:rsidRPr="00423B4A" w:rsidP="000134F4" w14:paraId="43241145" w14:textId="3A42D16A">
      <w:pPr>
        <w:pStyle w:val="FootnoteText"/>
        <w:rPr>
          <w:sz w:val="26"/>
          <w:szCs w:val="22"/>
        </w:rPr>
      </w:pPr>
      <w:r w:rsidRPr="00A668FA">
        <w:rPr>
          <w:rStyle w:val="FootnoteReference"/>
          <w:sz w:val="26"/>
          <w:szCs w:val="22"/>
          <w:vertAlign w:val="superscript"/>
        </w:rPr>
        <w:footnoteRef/>
      </w:r>
      <w:r w:rsidRPr="00423B4A">
        <w:rPr>
          <w:sz w:val="26"/>
          <w:szCs w:val="22"/>
        </w:rPr>
        <w:t xml:space="preserve"> Based upon FERC’s 202</w:t>
      </w:r>
      <w:r w:rsidR="00ED3714">
        <w:rPr>
          <w:sz w:val="26"/>
          <w:szCs w:val="22"/>
        </w:rPr>
        <w:t>4</w:t>
      </w:r>
      <w:r w:rsidRPr="00423B4A">
        <w:rPr>
          <w:sz w:val="26"/>
          <w:szCs w:val="22"/>
        </w:rPr>
        <w:t xml:space="preserve"> FTE average annual salary plus benefits ($</w:t>
      </w:r>
      <w:r w:rsidR="00ED3714">
        <w:rPr>
          <w:sz w:val="26"/>
          <w:szCs w:val="22"/>
        </w:rPr>
        <w:t>207</w:t>
      </w:r>
      <w:r w:rsidRPr="00423B4A">
        <w:rPr>
          <w:sz w:val="26"/>
          <w:szCs w:val="22"/>
        </w:rPr>
        <w:t>,7</w:t>
      </w:r>
      <w:r w:rsidR="009411FA">
        <w:rPr>
          <w:sz w:val="26"/>
          <w:szCs w:val="22"/>
        </w:rPr>
        <w:t>86</w:t>
      </w:r>
      <w:r w:rsidRPr="00423B4A">
        <w:rPr>
          <w:sz w:val="26"/>
          <w:szCs w:val="22"/>
        </w:rPr>
        <w:t>).</w:t>
      </w:r>
    </w:p>
  </w:footnote>
  <w:footnote w:id="18">
    <w:p w:rsidR="000A3C02" w14:paraId="5C942F89" w14:textId="69981053">
      <w:pPr>
        <w:pStyle w:val="FootnoteText"/>
      </w:pPr>
      <w:r w:rsidRPr="00556BD2">
        <w:rPr>
          <w:rStyle w:val="FootnoteReference"/>
          <w:sz w:val="26"/>
          <w:szCs w:val="26"/>
          <w:vertAlign w:val="superscript"/>
        </w:rPr>
        <w:footnoteRef/>
      </w:r>
      <w:r w:rsidRPr="000A3C02">
        <w:rPr>
          <w:vertAlign w:val="superscript"/>
        </w:rPr>
        <w:t xml:space="preserve"> </w:t>
      </w:r>
      <w:r w:rsidRPr="00556BD2">
        <w:rPr>
          <w:sz w:val="26"/>
          <w:szCs w:val="26"/>
        </w:rPr>
        <w:t xml:space="preserve">The information collection of FERC 918 is not being changed in </w:t>
      </w:r>
      <w:r w:rsidRPr="00556BD2" w:rsidR="00BA185C">
        <w:rPr>
          <w:sz w:val="26"/>
          <w:szCs w:val="26"/>
        </w:rPr>
        <w:t>th</w:t>
      </w:r>
      <w:r w:rsidR="00BA185C">
        <w:rPr>
          <w:sz w:val="26"/>
          <w:szCs w:val="26"/>
        </w:rPr>
        <w:t>e</w:t>
      </w:r>
      <w:r w:rsidRPr="00BA185C" w:rsidR="00BA185C">
        <w:rPr>
          <w:bCs/>
          <w:sz w:val="26"/>
          <w:szCs w:val="24"/>
        </w:rPr>
        <w:t xml:space="preserve"> </w:t>
      </w:r>
      <w:r w:rsidRPr="00BA185C" w:rsidR="00BA185C">
        <w:rPr>
          <w:bCs/>
          <w:sz w:val="26"/>
          <w:szCs w:val="26"/>
        </w:rPr>
        <w:t>order on rehearing</w:t>
      </w:r>
      <w:r w:rsidRPr="00556BD2">
        <w:rPr>
          <w:sz w:val="26"/>
          <w:szCs w:val="26"/>
        </w:rPr>
        <w:t>, rather it is included in this OMB control n</w:t>
      </w:r>
      <w:r w:rsidR="007D583D">
        <w:rPr>
          <w:sz w:val="26"/>
          <w:szCs w:val="26"/>
        </w:rPr>
        <w:t>umber</w:t>
      </w:r>
      <w:r w:rsidRPr="00556BD2">
        <w:rPr>
          <w:sz w:val="26"/>
          <w:szCs w:val="2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AF3" w:rsidP="00D54533" w14:paraId="64EECE27" w14:textId="5C5E0502">
    <w:pPr>
      <w:pStyle w:val="Header"/>
      <w:spacing w:before="0" w:line="240" w:lineRule="auto"/>
    </w:pPr>
    <w:r>
      <w:t>FERC-917</w:t>
    </w:r>
    <w:r w:rsidR="0011715E">
      <w:t xml:space="preserve"> </w:t>
    </w:r>
    <w:r w:rsidRPr="004E533C" w:rsidR="0011715E">
      <w:t>(OMB Control N</w:t>
    </w:r>
    <w:r w:rsidR="007B6475">
      <w:t xml:space="preserve">o. </w:t>
    </w:r>
    <w:r w:rsidRPr="004E533C" w:rsidR="0011715E">
      <w:t>1902-0233)</w:t>
    </w:r>
  </w:p>
  <w:p w:rsidR="0057092C" w:rsidP="006B5685" w14:paraId="2A5D3D94" w14:textId="08CA59F1">
    <w:pPr>
      <w:pStyle w:val="Header"/>
      <w:spacing w:before="0" w:line="240" w:lineRule="auto"/>
    </w:pPr>
    <w:r>
      <w:t xml:space="preserve">Docket No. </w:t>
    </w:r>
    <w:r w:rsidRPr="00240488" w:rsidR="00240488">
      <w:t>RM21-17-001</w:t>
    </w:r>
  </w:p>
  <w:p w:rsidR="006B5685" w:rsidP="006B5685" w14:paraId="1D3EF5B7" w14:textId="456204C6">
    <w:pPr>
      <w:pStyle w:val="Header"/>
      <w:spacing w:before="0" w:line="240" w:lineRule="auto"/>
    </w:pPr>
    <w:r>
      <w:t xml:space="preserve">RIN </w:t>
    </w:r>
    <w:r w:rsidR="0057092C">
      <w:t xml:space="preserve"># </w:t>
    </w:r>
    <w:r>
      <w:t>1902-AF87</w:t>
    </w:r>
  </w:p>
  <w:p w:rsidR="00514DFF" w14:paraId="0600B3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DD8B4DC"/>
    <w:lvl w:ilvl="0">
      <w:start w:val="0"/>
      <w:numFmt w:val="bullet"/>
      <w:lvlText w:val="*"/>
      <w:lvlJc w:val="left"/>
    </w:lvl>
  </w:abstractNum>
  <w:abstractNum w:abstractNumId="1">
    <w:nsid w:val="00000001"/>
    <w:multiLevelType w:val="multilevel"/>
    <w:tmpl w:val="00000000"/>
    <w:name w:val="AutoList1"/>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0"/>
      <w:numFmt w:val="decimal"/>
      <w:lvlJc w:val="left"/>
    </w:lvl>
  </w:abstractNum>
  <w:abstractNum w:abstractNumId="2">
    <w:nsid w:val="01FC6288"/>
    <w:multiLevelType w:val="hybridMultilevel"/>
    <w:tmpl w:val="9D30E1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FB7CC3"/>
    <w:multiLevelType w:val="hybridMultilevel"/>
    <w:tmpl w:val="4EE4D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6D139A"/>
    <w:multiLevelType w:val="hybridMultilevel"/>
    <w:tmpl w:val="555403B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0B770280"/>
    <w:multiLevelType w:val="hybridMultilevel"/>
    <w:tmpl w:val="ADFC42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D50C2"/>
    <w:multiLevelType w:val="hybridMultilevel"/>
    <w:tmpl w:val="F2843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D341C8D"/>
    <w:multiLevelType w:val="hybridMultilevel"/>
    <w:tmpl w:val="0C0EC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8C6FDB"/>
    <w:multiLevelType w:val="hybridMultilevel"/>
    <w:tmpl w:val="D91C9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293EB5"/>
    <w:multiLevelType w:val="hybridMultilevel"/>
    <w:tmpl w:val="EE2E2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B23E9F"/>
    <w:multiLevelType w:val="hybridMultilevel"/>
    <w:tmpl w:val="24D2F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1F67C8"/>
    <w:multiLevelType w:val="hybridMultilevel"/>
    <w:tmpl w:val="4E103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97700F"/>
    <w:multiLevelType w:val="hybridMultilevel"/>
    <w:tmpl w:val="7E4CB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7C4FB9"/>
    <w:multiLevelType w:val="hybridMultilevel"/>
    <w:tmpl w:val="77543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57216B"/>
    <w:multiLevelType w:val="hybridMultilevel"/>
    <w:tmpl w:val="374A5EEE"/>
    <w:lvl w:ilvl="0">
      <w:start w:val="1"/>
      <w:numFmt w:val="decimal"/>
      <w:lvlText w:val="%1."/>
      <w:lvlJc w:val="left"/>
      <w:pPr>
        <w:tabs>
          <w:tab w:val="num" w:pos="720"/>
        </w:tabs>
        <w:ind w:left="0" w:firstLine="0"/>
      </w:pPr>
      <w:rPr>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030C1"/>
    <w:multiLevelType w:val="hybridMultilevel"/>
    <w:tmpl w:val="AC8E582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F657A6D"/>
    <w:multiLevelType w:val="hybridMultilevel"/>
    <w:tmpl w:val="0CE03D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8C5D40"/>
    <w:multiLevelType w:val="hybridMultilevel"/>
    <w:tmpl w:val="54302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B353D8"/>
    <w:multiLevelType w:val="hybridMultilevel"/>
    <w:tmpl w:val="CA3C111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CC6811"/>
    <w:multiLevelType w:val="hybridMultilevel"/>
    <w:tmpl w:val="0A12C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BC244C"/>
    <w:multiLevelType w:val="hybridMultilevel"/>
    <w:tmpl w:val="5A90C2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78545F"/>
    <w:multiLevelType w:val="hybridMultilevel"/>
    <w:tmpl w:val="142C1A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D5562C"/>
    <w:multiLevelType w:val="hybridMultilevel"/>
    <w:tmpl w:val="4F7CB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92094"/>
    <w:multiLevelType w:val="hybridMultilevel"/>
    <w:tmpl w:val="281AC1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C74BE9"/>
    <w:multiLevelType w:val="hybridMultilevel"/>
    <w:tmpl w:val="DC6CA9AE"/>
    <w:lvl w:ilvl="0">
      <w:start w:val="1"/>
      <w:numFmt w:val="bullet"/>
      <w:lvlText w:val=""/>
      <w:lvlJc w:val="left"/>
      <w:pPr>
        <w:tabs>
          <w:tab w:val="num" w:pos="720"/>
        </w:tabs>
        <w:ind w:left="0" w:firstLine="0"/>
      </w:pPr>
      <w:rPr>
        <w:rFonts w:ascii="Symbol" w:hAnsi="Symbol"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CC1895"/>
    <w:multiLevelType w:val="hybridMultilevel"/>
    <w:tmpl w:val="B3F20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6654B6"/>
    <w:multiLevelType w:val="hybridMultilevel"/>
    <w:tmpl w:val="80AE3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F3429F"/>
    <w:multiLevelType w:val="hybridMultilevel"/>
    <w:tmpl w:val="300A4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4251B23"/>
    <w:multiLevelType w:val="hybridMultilevel"/>
    <w:tmpl w:val="C75A4DB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F5065F"/>
    <w:multiLevelType w:val="hybridMultilevel"/>
    <w:tmpl w:val="132AB55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72265A1C"/>
    <w:multiLevelType w:val="hybridMultilevel"/>
    <w:tmpl w:val="CB04D4D8"/>
    <w:lvl w:ilvl="0">
      <w:start w:val="1"/>
      <w:numFmt w:val="decimal"/>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BF572F"/>
    <w:multiLevelType w:val="hybridMultilevel"/>
    <w:tmpl w:val="FD1A88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B954430"/>
    <w:multiLevelType w:val="hybridMultilevel"/>
    <w:tmpl w:val="57BAE4FE"/>
    <w:lvl w:ilvl="0">
      <w:start w:val="1"/>
      <w:numFmt w:val="decimal"/>
      <w:lvlText w:val="%1)"/>
      <w:lvlJc w:val="left"/>
      <w:pPr>
        <w:ind w:left="108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D3B09D3"/>
    <w:multiLevelType w:val="hybridMultilevel"/>
    <w:tmpl w:val="34DC4220"/>
    <w:lvl w:ilvl="0">
      <w:start w:val="1"/>
      <w:numFmt w:val="decimal"/>
      <w:pStyle w:val="FERCparanumber"/>
      <w:lvlText w:val="%1."/>
      <w:lvlJc w:val="left"/>
      <w:pPr>
        <w:tabs>
          <w:tab w:val="num" w:pos="72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60606624">
    <w:abstractNumId w:val="0"/>
    <w:lvlOverride w:ilvl="0">
      <w:lvl w:ilvl="0">
        <w:start w:va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2101442503">
    <w:abstractNumId w:val="7"/>
  </w:num>
  <w:num w:numId="3" w16cid:durableId="684281652">
    <w:abstractNumId w:val="17"/>
  </w:num>
  <w:num w:numId="4" w16cid:durableId="1174300301">
    <w:abstractNumId w:val="32"/>
  </w:num>
  <w:num w:numId="5" w16cid:durableId="130024562">
    <w:abstractNumId w:val="4"/>
  </w:num>
  <w:num w:numId="6" w16cid:durableId="460270509">
    <w:abstractNumId w:val="21"/>
  </w:num>
  <w:num w:numId="7" w16cid:durableId="1815098750">
    <w:abstractNumId w:val="28"/>
  </w:num>
  <w:num w:numId="8" w16cid:durableId="174811459">
    <w:abstractNumId w:val="24"/>
  </w:num>
  <w:num w:numId="9" w16cid:durableId="905458707">
    <w:abstractNumId w:val="3"/>
  </w:num>
  <w:num w:numId="10" w16cid:durableId="813331691">
    <w:abstractNumId w:val="2"/>
  </w:num>
  <w:num w:numId="11" w16cid:durableId="207031583">
    <w:abstractNumId w:val="31"/>
  </w:num>
  <w:num w:numId="12" w16cid:durableId="1180120862">
    <w:abstractNumId w:val="8"/>
  </w:num>
  <w:num w:numId="13" w16cid:durableId="186795700">
    <w:abstractNumId w:val="23"/>
  </w:num>
  <w:num w:numId="14" w16cid:durableId="1228802186">
    <w:abstractNumId w:val="22"/>
  </w:num>
  <w:num w:numId="15" w16cid:durableId="1004672350">
    <w:abstractNumId w:val="12"/>
  </w:num>
  <w:num w:numId="16" w16cid:durableId="1819305455">
    <w:abstractNumId w:val="27"/>
  </w:num>
  <w:num w:numId="17" w16cid:durableId="1619875798">
    <w:abstractNumId w:val="15"/>
  </w:num>
  <w:num w:numId="18" w16cid:durableId="2144808823">
    <w:abstractNumId w:val="19"/>
  </w:num>
  <w:num w:numId="19" w16cid:durableId="910038096">
    <w:abstractNumId w:val="30"/>
  </w:num>
  <w:num w:numId="20" w16cid:durableId="556546834">
    <w:abstractNumId w:val="29"/>
  </w:num>
  <w:num w:numId="21" w16cid:durableId="1851261184">
    <w:abstractNumId w:val="33"/>
  </w:num>
  <w:num w:numId="22" w16cid:durableId="1042948637">
    <w:abstractNumId w:val="25"/>
  </w:num>
  <w:num w:numId="23" w16cid:durableId="1278104957">
    <w:abstractNumId w:val="34"/>
  </w:num>
  <w:num w:numId="24" w16cid:durableId="90626308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1830725">
    <w:abstractNumId w:val="10"/>
  </w:num>
  <w:num w:numId="26" w16cid:durableId="498665425">
    <w:abstractNumId w:val="20"/>
  </w:num>
  <w:num w:numId="27" w16cid:durableId="1520192838">
    <w:abstractNumId w:val="18"/>
  </w:num>
  <w:num w:numId="28" w16cid:durableId="1608082468">
    <w:abstractNumId w:val="13"/>
  </w:num>
  <w:num w:numId="29" w16cid:durableId="18460453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1820555">
    <w:abstractNumId w:val="9"/>
  </w:num>
  <w:num w:numId="31" w16cid:durableId="218052754">
    <w:abstractNumId w:val="36"/>
  </w:num>
  <w:num w:numId="32" w16cid:durableId="1866822020">
    <w:abstractNumId w:val="6"/>
  </w:num>
  <w:num w:numId="33" w16cid:durableId="1755278712">
    <w:abstractNumId w:val="14"/>
  </w:num>
  <w:num w:numId="34" w16cid:durableId="1443501341">
    <w:abstractNumId w:val="35"/>
  </w:num>
  <w:num w:numId="35" w16cid:durableId="1867518874">
    <w:abstractNumId w:val="11"/>
  </w:num>
  <w:num w:numId="36" w16cid:durableId="393949">
    <w:abstractNumId w:val="16"/>
  </w:num>
  <w:num w:numId="37" w16cid:durableId="392970704">
    <w:abstractNumId w:val="5"/>
  </w:num>
  <w:num w:numId="38" w16cid:durableId="16194821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endnotePr>
    <w:endnote w:id="0"/>
    <w:endnote w:id="1"/>
    <w:endnote w:id="2"/>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19"/>
    <w:rsid w:val="00000556"/>
    <w:rsid w:val="00000A69"/>
    <w:rsid w:val="00000ADE"/>
    <w:rsid w:val="00000F46"/>
    <w:rsid w:val="00002C07"/>
    <w:rsid w:val="00002C89"/>
    <w:rsid w:val="00002FA6"/>
    <w:rsid w:val="00003275"/>
    <w:rsid w:val="000032A8"/>
    <w:rsid w:val="00003FBA"/>
    <w:rsid w:val="000059EC"/>
    <w:rsid w:val="00006933"/>
    <w:rsid w:val="00006BAE"/>
    <w:rsid w:val="00006FEB"/>
    <w:rsid w:val="0000739B"/>
    <w:rsid w:val="00007AE1"/>
    <w:rsid w:val="00007EC9"/>
    <w:rsid w:val="00010F29"/>
    <w:rsid w:val="00012DA7"/>
    <w:rsid w:val="000134F4"/>
    <w:rsid w:val="00013EE8"/>
    <w:rsid w:val="000157B8"/>
    <w:rsid w:val="00016783"/>
    <w:rsid w:val="00017347"/>
    <w:rsid w:val="00017C39"/>
    <w:rsid w:val="00020E37"/>
    <w:rsid w:val="00022393"/>
    <w:rsid w:val="00022519"/>
    <w:rsid w:val="00023D84"/>
    <w:rsid w:val="00023EF4"/>
    <w:rsid w:val="00025A8A"/>
    <w:rsid w:val="00025B4D"/>
    <w:rsid w:val="00026D5A"/>
    <w:rsid w:val="00027EF4"/>
    <w:rsid w:val="00030EE1"/>
    <w:rsid w:val="0003119C"/>
    <w:rsid w:val="00031577"/>
    <w:rsid w:val="00033753"/>
    <w:rsid w:val="000342C6"/>
    <w:rsid w:val="000343AB"/>
    <w:rsid w:val="00034B3F"/>
    <w:rsid w:val="0003642D"/>
    <w:rsid w:val="0004080E"/>
    <w:rsid w:val="000424D4"/>
    <w:rsid w:val="00042B70"/>
    <w:rsid w:val="00043BDA"/>
    <w:rsid w:val="00043EF1"/>
    <w:rsid w:val="000441BD"/>
    <w:rsid w:val="0004462F"/>
    <w:rsid w:val="00045080"/>
    <w:rsid w:val="000457F6"/>
    <w:rsid w:val="00047C47"/>
    <w:rsid w:val="00047D4A"/>
    <w:rsid w:val="00050CB0"/>
    <w:rsid w:val="00050E26"/>
    <w:rsid w:val="00051F1B"/>
    <w:rsid w:val="000524BB"/>
    <w:rsid w:val="00052C21"/>
    <w:rsid w:val="00053380"/>
    <w:rsid w:val="0005536E"/>
    <w:rsid w:val="0005780E"/>
    <w:rsid w:val="00057B78"/>
    <w:rsid w:val="000614DE"/>
    <w:rsid w:val="00061790"/>
    <w:rsid w:val="00061A07"/>
    <w:rsid w:val="0006387E"/>
    <w:rsid w:val="00063DE9"/>
    <w:rsid w:val="000645D2"/>
    <w:rsid w:val="00064933"/>
    <w:rsid w:val="00064CBA"/>
    <w:rsid w:val="0006519D"/>
    <w:rsid w:val="00065ABA"/>
    <w:rsid w:val="00066710"/>
    <w:rsid w:val="00066E78"/>
    <w:rsid w:val="00067878"/>
    <w:rsid w:val="00067D75"/>
    <w:rsid w:val="00072474"/>
    <w:rsid w:val="000729F3"/>
    <w:rsid w:val="00074986"/>
    <w:rsid w:val="0007566B"/>
    <w:rsid w:val="00075707"/>
    <w:rsid w:val="000757E1"/>
    <w:rsid w:val="00075960"/>
    <w:rsid w:val="00076577"/>
    <w:rsid w:val="0007728D"/>
    <w:rsid w:val="0007792B"/>
    <w:rsid w:val="00077D60"/>
    <w:rsid w:val="0008031E"/>
    <w:rsid w:val="0008092B"/>
    <w:rsid w:val="000816A7"/>
    <w:rsid w:val="00081908"/>
    <w:rsid w:val="00081B95"/>
    <w:rsid w:val="00082C1E"/>
    <w:rsid w:val="000837FA"/>
    <w:rsid w:val="000852C1"/>
    <w:rsid w:val="00085A9D"/>
    <w:rsid w:val="000863AB"/>
    <w:rsid w:val="00087B7F"/>
    <w:rsid w:val="00087F96"/>
    <w:rsid w:val="000911A1"/>
    <w:rsid w:val="00091D5B"/>
    <w:rsid w:val="00091F1A"/>
    <w:rsid w:val="000920DC"/>
    <w:rsid w:val="000929BE"/>
    <w:rsid w:val="00094BC6"/>
    <w:rsid w:val="00094F82"/>
    <w:rsid w:val="00094FD3"/>
    <w:rsid w:val="00096AF4"/>
    <w:rsid w:val="00096D88"/>
    <w:rsid w:val="000A16C6"/>
    <w:rsid w:val="000A1A3B"/>
    <w:rsid w:val="000A2243"/>
    <w:rsid w:val="000A22AF"/>
    <w:rsid w:val="000A274A"/>
    <w:rsid w:val="000A32C1"/>
    <w:rsid w:val="000A33A8"/>
    <w:rsid w:val="000A349D"/>
    <w:rsid w:val="000A3C02"/>
    <w:rsid w:val="000A4142"/>
    <w:rsid w:val="000A492D"/>
    <w:rsid w:val="000A4EE0"/>
    <w:rsid w:val="000A65E2"/>
    <w:rsid w:val="000A6788"/>
    <w:rsid w:val="000A68B6"/>
    <w:rsid w:val="000A7C34"/>
    <w:rsid w:val="000B0151"/>
    <w:rsid w:val="000B07A4"/>
    <w:rsid w:val="000B080A"/>
    <w:rsid w:val="000B2198"/>
    <w:rsid w:val="000B4066"/>
    <w:rsid w:val="000B4BB8"/>
    <w:rsid w:val="000B5406"/>
    <w:rsid w:val="000B5758"/>
    <w:rsid w:val="000B6662"/>
    <w:rsid w:val="000C23BE"/>
    <w:rsid w:val="000C282F"/>
    <w:rsid w:val="000C2E30"/>
    <w:rsid w:val="000C2EFA"/>
    <w:rsid w:val="000C3949"/>
    <w:rsid w:val="000C4007"/>
    <w:rsid w:val="000C4E53"/>
    <w:rsid w:val="000C4EED"/>
    <w:rsid w:val="000C586B"/>
    <w:rsid w:val="000C592B"/>
    <w:rsid w:val="000C6669"/>
    <w:rsid w:val="000C712C"/>
    <w:rsid w:val="000D002E"/>
    <w:rsid w:val="000D119A"/>
    <w:rsid w:val="000D1424"/>
    <w:rsid w:val="000D21A9"/>
    <w:rsid w:val="000D22F3"/>
    <w:rsid w:val="000D420A"/>
    <w:rsid w:val="000D489F"/>
    <w:rsid w:val="000D4913"/>
    <w:rsid w:val="000D4C14"/>
    <w:rsid w:val="000D63DC"/>
    <w:rsid w:val="000D7C04"/>
    <w:rsid w:val="000E1B4B"/>
    <w:rsid w:val="000E29C9"/>
    <w:rsid w:val="000E3F6E"/>
    <w:rsid w:val="000E7863"/>
    <w:rsid w:val="000F0070"/>
    <w:rsid w:val="000F1426"/>
    <w:rsid w:val="000F1B56"/>
    <w:rsid w:val="000F2A6C"/>
    <w:rsid w:val="000F3003"/>
    <w:rsid w:val="000F3209"/>
    <w:rsid w:val="000F62ED"/>
    <w:rsid w:val="000F66AF"/>
    <w:rsid w:val="000F71D6"/>
    <w:rsid w:val="000F79F2"/>
    <w:rsid w:val="000F7C11"/>
    <w:rsid w:val="00100E73"/>
    <w:rsid w:val="001030FA"/>
    <w:rsid w:val="001057FA"/>
    <w:rsid w:val="00105E7A"/>
    <w:rsid w:val="0010680C"/>
    <w:rsid w:val="00106E51"/>
    <w:rsid w:val="00107285"/>
    <w:rsid w:val="001072A0"/>
    <w:rsid w:val="00107985"/>
    <w:rsid w:val="00107B89"/>
    <w:rsid w:val="00107C48"/>
    <w:rsid w:val="0011040A"/>
    <w:rsid w:val="00111BAB"/>
    <w:rsid w:val="00112AEE"/>
    <w:rsid w:val="00113599"/>
    <w:rsid w:val="00113C49"/>
    <w:rsid w:val="00114831"/>
    <w:rsid w:val="001149BE"/>
    <w:rsid w:val="00115747"/>
    <w:rsid w:val="00116523"/>
    <w:rsid w:val="0011715E"/>
    <w:rsid w:val="00117EF8"/>
    <w:rsid w:val="00120218"/>
    <w:rsid w:val="00121134"/>
    <w:rsid w:val="001214DF"/>
    <w:rsid w:val="00121803"/>
    <w:rsid w:val="00121D4A"/>
    <w:rsid w:val="0012209E"/>
    <w:rsid w:val="00122E16"/>
    <w:rsid w:val="00123A40"/>
    <w:rsid w:val="0012427B"/>
    <w:rsid w:val="0012442B"/>
    <w:rsid w:val="00124FE7"/>
    <w:rsid w:val="001259DF"/>
    <w:rsid w:val="00126327"/>
    <w:rsid w:val="00126AA4"/>
    <w:rsid w:val="001273A9"/>
    <w:rsid w:val="00127730"/>
    <w:rsid w:val="001304A2"/>
    <w:rsid w:val="0013084C"/>
    <w:rsid w:val="00133663"/>
    <w:rsid w:val="00133B52"/>
    <w:rsid w:val="001341D2"/>
    <w:rsid w:val="00134BB9"/>
    <w:rsid w:val="0013519E"/>
    <w:rsid w:val="001351F9"/>
    <w:rsid w:val="0013595A"/>
    <w:rsid w:val="00135E62"/>
    <w:rsid w:val="001361A1"/>
    <w:rsid w:val="00136278"/>
    <w:rsid w:val="0014109E"/>
    <w:rsid w:val="001421B0"/>
    <w:rsid w:val="001423F3"/>
    <w:rsid w:val="001428D8"/>
    <w:rsid w:val="00142E04"/>
    <w:rsid w:val="00142F82"/>
    <w:rsid w:val="00143300"/>
    <w:rsid w:val="00144F8F"/>
    <w:rsid w:val="001451E5"/>
    <w:rsid w:val="001454CD"/>
    <w:rsid w:val="00146469"/>
    <w:rsid w:val="001469AD"/>
    <w:rsid w:val="00147481"/>
    <w:rsid w:val="00147869"/>
    <w:rsid w:val="00147EBF"/>
    <w:rsid w:val="001508A6"/>
    <w:rsid w:val="001516EF"/>
    <w:rsid w:val="00151783"/>
    <w:rsid w:val="00152324"/>
    <w:rsid w:val="00152CDE"/>
    <w:rsid w:val="001536E4"/>
    <w:rsid w:val="001539BC"/>
    <w:rsid w:val="00153CDF"/>
    <w:rsid w:val="0015403D"/>
    <w:rsid w:val="0015424A"/>
    <w:rsid w:val="0015495B"/>
    <w:rsid w:val="00154D7C"/>
    <w:rsid w:val="00157295"/>
    <w:rsid w:val="001575EC"/>
    <w:rsid w:val="00157878"/>
    <w:rsid w:val="00160A7B"/>
    <w:rsid w:val="0016126D"/>
    <w:rsid w:val="00162092"/>
    <w:rsid w:val="0016287A"/>
    <w:rsid w:val="00162BD3"/>
    <w:rsid w:val="00162D7D"/>
    <w:rsid w:val="001632DA"/>
    <w:rsid w:val="00163A40"/>
    <w:rsid w:val="001640BD"/>
    <w:rsid w:val="001645BC"/>
    <w:rsid w:val="00166CFA"/>
    <w:rsid w:val="0017070B"/>
    <w:rsid w:val="001709CB"/>
    <w:rsid w:val="00171036"/>
    <w:rsid w:val="0017157F"/>
    <w:rsid w:val="00171B1F"/>
    <w:rsid w:val="00171FC7"/>
    <w:rsid w:val="001728E1"/>
    <w:rsid w:val="0017324A"/>
    <w:rsid w:val="00174293"/>
    <w:rsid w:val="00174C19"/>
    <w:rsid w:val="00174CC0"/>
    <w:rsid w:val="0017554A"/>
    <w:rsid w:val="0017618B"/>
    <w:rsid w:val="0018071E"/>
    <w:rsid w:val="00180C79"/>
    <w:rsid w:val="00180FC4"/>
    <w:rsid w:val="00181112"/>
    <w:rsid w:val="00181491"/>
    <w:rsid w:val="00182626"/>
    <w:rsid w:val="00182C0F"/>
    <w:rsid w:val="00182D37"/>
    <w:rsid w:val="00183C54"/>
    <w:rsid w:val="00184DF4"/>
    <w:rsid w:val="00185C83"/>
    <w:rsid w:val="00186229"/>
    <w:rsid w:val="0018628A"/>
    <w:rsid w:val="001866EB"/>
    <w:rsid w:val="00187D2F"/>
    <w:rsid w:val="00190129"/>
    <w:rsid w:val="001902D9"/>
    <w:rsid w:val="001908EC"/>
    <w:rsid w:val="00190A45"/>
    <w:rsid w:val="00191D6A"/>
    <w:rsid w:val="00192B82"/>
    <w:rsid w:val="00193169"/>
    <w:rsid w:val="001966BC"/>
    <w:rsid w:val="0019724D"/>
    <w:rsid w:val="0019769A"/>
    <w:rsid w:val="001A0F8F"/>
    <w:rsid w:val="001A11E0"/>
    <w:rsid w:val="001A3731"/>
    <w:rsid w:val="001A4864"/>
    <w:rsid w:val="001A69C1"/>
    <w:rsid w:val="001A6FBF"/>
    <w:rsid w:val="001A7D9B"/>
    <w:rsid w:val="001A7E99"/>
    <w:rsid w:val="001A7F4B"/>
    <w:rsid w:val="001B15BD"/>
    <w:rsid w:val="001B22FA"/>
    <w:rsid w:val="001B2AF3"/>
    <w:rsid w:val="001B2D66"/>
    <w:rsid w:val="001B2ED0"/>
    <w:rsid w:val="001B42C3"/>
    <w:rsid w:val="001B4FEA"/>
    <w:rsid w:val="001B51FC"/>
    <w:rsid w:val="001B54EF"/>
    <w:rsid w:val="001B647A"/>
    <w:rsid w:val="001B667D"/>
    <w:rsid w:val="001C05EB"/>
    <w:rsid w:val="001C0E64"/>
    <w:rsid w:val="001C2704"/>
    <w:rsid w:val="001C27AC"/>
    <w:rsid w:val="001C4679"/>
    <w:rsid w:val="001C4BE8"/>
    <w:rsid w:val="001C51FF"/>
    <w:rsid w:val="001C6211"/>
    <w:rsid w:val="001C65FD"/>
    <w:rsid w:val="001C6D14"/>
    <w:rsid w:val="001C7AF3"/>
    <w:rsid w:val="001D1480"/>
    <w:rsid w:val="001D1CFE"/>
    <w:rsid w:val="001D3855"/>
    <w:rsid w:val="001D3964"/>
    <w:rsid w:val="001D3A2D"/>
    <w:rsid w:val="001D3AAC"/>
    <w:rsid w:val="001D40BC"/>
    <w:rsid w:val="001D479F"/>
    <w:rsid w:val="001D4E0A"/>
    <w:rsid w:val="001D51B8"/>
    <w:rsid w:val="001D5338"/>
    <w:rsid w:val="001D5512"/>
    <w:rsid w:val="001D5C1D"/>
    <w:rsid w:val="001D740C"/>
    <w:rsid w:val="001D7C91"/>
    <w:rsid w:val="001D7EC1"/>
    <w:rsid w:val="001E1060"/>
    <w:rsid w:val="001E146F"/>
    <w:rsid w:val="001E14A2"/>
    <w:rsid w:val="001E3F02"/>
    <w:rsid w:val="001E41C1"/>
    <w:rsid w:val="001E5E43"/>
    <w:rsid w:val="001E62D0"/>
    <w:rsid w:val="001E75FF"/>
    <w:rsid w:val="001F0445"/>
    <w:rsid w:val="001F0A14"/>
    <w:rsid w:val="001F0D73"/>
    <w:rsid w:val="001F184A"/>
    <w:rsid w:val="001F2EA1"/>
    <w:rsid w:val="001F3F72"/>
    <w:rsid w:val="001F4172"/>
    <w:rsid w:val="001F434E"/>
    <w:rsid w:val="001F4BF3"/>
    <w:rsid w:val="001F4C7E"/>
    <w:rsid w:val="001F4CC2"/>
    <w:rsid w:val="001F4F2A"/>
    <w:rsid w:val="001F528A"/>
    <w:rsid w:val="001F533B"/>
    <w:rsid w:val="001F6D8F"/>
    <w:rsid w:val="001F7303"/>
    <w:rsid w:val="0020156C"/>
    <w:rsid w:val="002036EB"/>
    <w:rsid w:val="00203807"/>
    <w:rsid w:val="00203E5C"/>
    <w:rsid w:val="00204480"/>
    <w:rsid w:val="00204602"/>
    <w:rsid w:val="00204D2A"/>
    <w:rsid w:val="00205069"/>
    <w:rsid w:val="002051E7"/>
    <w:rsid w:val="00205820"/>
    <w:rsid w:val="00205E62"/>
    <w:rsid w:val="0020667E"/>
    <w:rsid w:val="002101EF"/>
    <w:rsid w:val="0021292D"/>
    <w:rsid w:val="0021297D"/>
    <w:rsid w:val="00212F6A"/>
    <w:rsid w:val="00213260"/>
    <w:rsid w:val="002144F5"/>
    <w:rsid w:val="002145B0"/>
    <w:rsid w:val="00214644"/>
    <w:rsid w:val="00215805"/>
    <w:rsid w:val="002160AD"/>
    <w:rsid w:val="00216272"/>
    <w:rsid w:val="00216CFF"/>
    <w:rsid w:val="0021730B"/>
    <w:rsid w:val="00217986"/>
    <w:rsid w:val="002179A2"/>
    <w:rsid w:val="00217C36"/>
    <w:rsid w:val="002203EB"/>
    <w:rsid w:val="00221A52"/>
    <w:rsid w:val="00221D52"/>
    <w:rsid w:val="00224416"/>
    <w:rsid w:val="00224F88"/>
    <w:rsid w:val="0022564B"/>
    <w:rsid w:val="0022651F"/>
    <w:rsid w:val="00226819"/>
    <w:rsid w:val="0022686F"/>
    <w:rsid w:val="002268CA"/>
    <w:rsid w:val="002273D5"/>
    <w:rsid w:val="00230372"/>
    <w:rsid w:val="002306B8"/>
    <w:rsid w:val="00230905"/>
    <w:rsid w:val="002323C9"/>
    <w:rsid w:val="00232422"/>
    <w:rsid w:val="00233317"/>
    <w:rsid w:val="0023403A"/>
    <w:rsid w:val="002341FF"/>
    <w:rsid w:val="002344E3"/>
    <w:rsid w:val="00234A42"/>
    <w:rsid w:val="00234AF4"/>
    <w:rsid w:val="00235ACF"/>
    <w:rsid w:val="00235B3E"/>
    <w:rsid w:val="00235C27"/>
    <w:rsid w:val="00236C04"/>
    <w:rsid w:val="002379AF"/>
    <w:rsid w:val="00240488"/>
    <w:rsid w:val="00241D67"/>
    <w:rsid w:val="00244252"/>
    <w:rsid w:val="002442F2"/>
    <w:rsid w:val="00244D18"/>
    <w:rsid w:val="00245551"/>
    <w:rsid w:val="0024611E"/>
    <w:rsid w:val="00246770"/>
    <w:rsid w:val="00247C2E"/>
    <w:rsid w:val="00247FA3"/>
    <w:rsid w:val="00251963"/>
    <w:rsid w:val="00251D90"/>
    <w:rsid w:val="0025235C"/>
    <w:rsid w:val="002526B9"/>
    <w:rsid w:val="00252FF0"/>
    <w:rsid w:val="00253B1F"/>
    <w:rsid w:val="00253E25"/>
    <w:rsid w:val="00253F24"/>
    <w:rsid w:val="00254C64"/>
    <w:rsid w:val="00254F04"/>
    <w:rsid w:val="00255394"/>
    <w:rsid w:val="00255429"/>
    <w:rsid w:val="00256323"/>
    <w:rsid w:val="00257216"/>
    <w:rsid w:val="002575DB"/>
    <w:rsid w:val="00257FD8"/>
    <w:rsid w:val="00260BB5"/>
    <w:rsid w:val="00260BCA"/>
    <w:rsid w:val="00260D6F"/>
    <w:rsid w:val="00261B1F"/>
    <w:rsid w:val="00261FC5"/>
    <w:rsid w:val="00263745"/>
    <w:rsid w:val="00263952"/>
    <w:rsid w:val="00263B6B"/>
    <w:rsid w:val="00263E79"/>
    <w:rsid w:val="0026420E"/>
    <w:rsid w:val="0026574A"/>
    <w:rsid w:val="002659C7"/>
    <w:rsid w:val="00265CED"/>
    <w:rsid w:val="00265FE7"/>
    <w:rsid w:val="00266212"/>
    <w:rsid w:val="00266C35"/>
    <w:rsid w:val="00271243"/>
    <w:rsid w:val="0027176E"/>
    <w:rsid w:val="00271FD5"/>
    <w:rsid w:val="0027208D"/>
    <w:rsid w:val="002720CF"/>
    <w:rsid w:val="00273AE7"/>
    <w:rsid w:val="002740AA"/>
    <w:rsid w:val="0027703C"/>
    <w:rsid w:val="0027758B"/>
    <w:rsid w:val="0028056C"/>
    <w:rsid w:val="00280847"/>
    <w:rsid w:val="00280F63"/>
    <w:rsid w:val="00281467"/>
    <w:rsid w:val="002814EE"/>
    <w:rsid w:val="002826B8"/>
    <w:rsid w:val="00282B31"/>
    <w:rsid w:val="0028357F"/>
    <w:rsid w:val="00283B8D"/>
    <w:rsid w:val="002843BA"/>
    <w:rsid w:val="002851D3"/>
    <w:rsid w:val="00285263"/>
    <w:rsid w:val="00285534"/>
    <w:rsid w:val="002857D9"/>
    <w:rsid w:val="00286726"/>
    <w:rsid w:val="002876D8"/>
    <w:rsid w:val="00290D66"/>
    <w:rsid w:val="00292923"/>
    <w:rsid w:val="00292BDC"/>
    <w:rsid w:val="00292ED3"/>
    <w:rsid w:val="002937C8"/>
    <w:rsid w:val="00293B4F"/>
    <w:rsid w:val="002941CD"/>
    <w:rsid w:val="00296A67"/>
    <w:rsid w:val="00296EAC"/>
    <w:rsid w:val="0029725C"/>
    <w:rsid w:val="00297E09"/>
    <w:rsid w:val="002A2D97"/>
    <w:rsid w:val="002A2E57"/>
    <w:rsid w:val="002A38F3"/>
    <w:rsid w:val="002A3E34"/>
    <w:rsid w:val="002A4407"/>
    <w:rsid w:val="002A64D4"/>
    <w:rsid w:val="002A74F2"/>
    <w:rsid w:val="002B367B"/>
    <w:rsid w:val="002B4F0C"/>
    <w:rsid w:val="002B64F1"/>
    <w:rsid w:val="002B66EB"/>
    <w:rsid w:val="002B6CE1"/>
    <w:rsid w:val="002B6EF6"/>
    <w:rsid w:val="002B78F1"/>
    <w:rsid w:val="002C0DD6"/>
    <w:rsid w:val="002C0EDB"/>
    <w:rsid w:val="002C218D"/>
    <w:rsid w:val="002C247B"/>
    <w:rsid w:val="002C27B7"/>
    <w:rsid w:val="002C3787"/>
    <w:rsid w:val="002C3C69"/>
    <w:rsid w:val="002C41C4"/>
    <w:rsid w:val="002C4386"/>
    <w:rsid w:val="002C4928"/>
    <w:rsid w:val="002C5E54"/>
    <w:rsid w:val="002C703A"/>
    <w:rsid w:val="002C7734"/>
    <w:rsid w:val="002C7743"/>
    <w:rsid w:val="002D0A08"/>
    <w:rsid w:val="002D20AD"/>
    <w:rsid w:val="002D22EE"/>
    <w:rsid w:val="002D2C63"/>
    <w:rsid w:val="002D3C4E"/>
    <w:rsid w:val="002D49D0"/>
    <w:rsid w:val="002D5CB2"/>
    <w:rsid w:val="002D5FF6"/>
    <w:rsid w:val="002D6C75"/>
    <w:rsid w:val="002D7817"/>
    <w:rsid w:val="002E16A1"/>
    <w:rsid w:val="002E18FF"/>
    <w:rsid w:val="002E19BD"/>
    <w:rsid w:val="002E1F4B"/>
    <w:rsid w:val="002E27FA"/>
    <w:rsid w:val="002E3169"/>
    <w:rsid w:val="002E56EA"/>
    <w:rsid w:val="002E609F"/>
    <w:rsid w:val="002E627A"/>
    <w:rsid w:val="002E7A04"/>
    <w:rsid w:val="002F11FA"/>
    <w:rsid w:val="002F2DFE"/>
    <w:rsid w:val="002F48E6"/>
    <w:rsid w:val="002F4B93"/>
    <w:rsid w:val="002F529A"/>
    <w:rsid w:val="002F5F9C"/>
    <w:rsid w:val="002F7D6D"/>
    <w:rsid w:val="003003EC"/>
    <w:rsid w:val="003017FD"/>
    <w:rsid w:val="00301CBF"/>
    <w:rsid w:val="00302387"/>
    <w:rsid w:val="00302629"/>
    <w:rsid w:val="00302B1F"/>
    <w:rsid w:val="00304BF0"/>
    <w:rsid w:val="00305040"/>
    <w:rsid w:val="003057C1"/>
    <w:rsid w:val="00305D13"/>
    <w:rsid w:val="003076EC"/>
    <w:rsid w:val="00307707"/>
    <w:rsid w:val="00307CE9"/>
    <w:rsid w:val="00310A4F"/>
    <w:rsid w:val="00311154"/>
    <w:rsid w:val="00311B5F"/>
    <w:rsid w:val="00311BAC"/>
    <w:rsid w:val="00313130"/>
    <w:rsid w:val="00313895"/>
    <w:rsid w:val="00313F77"/>
    <w:rsid w:val="00315CCB"/>
    <w:rsid w:val="00315CE2"/>
    <w:rsid w:val="003171B0"/>
    <w:rsid w:val="0031766B"/>
    <w:rsid w:val="00317EB0"/>
    <w:rsid w:val="003204BA"/>
    <w:rsid w:val="00321293"/>
    <w:rsid w:val="00321444"/>
    <w:rsid w:val="00322BA6"/>
    <w:rsid w:val="0032352D"/>
    <w:rsid w:val="003249D2"/>
    <w:rsid w:val="00325A6F"/>
    <w:rsid w:val="00331913"/>
    <w:rsid w:val="0033213E"/>
    <w:rsid w:val="00332714"/>
    <w:rsid w:val="00332D45"/>
    <w:rsid w:val="00333193"/>
    <w:rsid w:val="00334D9C"/>
    <w:rsid w:val="00334E86"/>
    <w:rsid w:val="00334EDF"/>
    <w:rsid w:val="00335852"/>
    <w:rsid w:val="00335A2B"/>
    <w:rsid w:val="0033644D"/>
    <w:rsid w:val="00337B66"/>
    <w:rsid w:val="0034021A"/>
    <w:rsid w:val="00340605"/>
    <w:rsid w:val="00341D13"/>
    <w:rsid w:val="00341D5B"/>
    <w:rsid w:val="0034218D"/>
    <w:rsid w:val="0034247E"/>
    <w:rsid w:val="00342C80"/>
    <w:rsid w:val="00342CF7"/>
    <w:rsid w:val="00346898"/>
    <w:rsid w:val="003469AD"/>
    <w:rsid w:val="00347ADD"/>
    <w:rsid w:val="00347CBB"/>
    <w:rsid w:val="003501E3"/>
    <w:rsid w:val="00350E4C"/>
    <w:rsid w:val="003514D7"/>
    <w:rsid w:val="00351B25"/>
    <w:rsid w:val="00353075"/>
    <w:rsid w:val="00353F47"/>
    <w:rsid w:val="00354021"/>
    <w:rsid w:val="0035427F"/>
    <w:rsid w:val="00355164"/>
    <w:rsid w:val="00355965"/>
    <w:rsid w:val="00355A50"/>
    <w:rsid w:val="00356129"/>
    <w:rsid w:val="00356EFC"/>
    <w:rsid w:val="003578A7"/>
    <w:rsid w:val="00357D0C"/>
    <w:rsid w:val="003601FC"/>
    <w:rsid w:val="003606B7"/>
    <w:rsid w:val="003606D3"/>
    <w:rsid w:val="00360927"/>
    <w:rsid w:val="00360C10"/>
    <w:rsid w:val="0036134B"/>
    <w:rsid w:val="00361AEF"/>
    <w:rsid w:val="00361F41"/>
    <w:rsid w:val="0036200D"/>
    <w:rsid w:val="003628FE"/>
    <w:rsid w:val="0036401D"/>
    <w:rsid w:val="003647E8"/>
    <w:rsid w:val="003651ED"/>
    <w:rsid w:val="00365C25"/>
    <w:rsid w:val="003670AF"/>
    <w:rsid w:val="003670C9"/>
    <w:rsid w:val="003676B6"/>
    <w:rsid w:val="003720CF"/>
    <w:rsid w:val="003727D1"/>
    <w:rsid w:val="00372B74"/>
    <w:rsid w:val="0037348D"/>
    <w:rsid w:val="00373519"/>
    <w:rsid w:val="00373E2D"/>
    <w:rsid w:val="00374D61"/>
    <w:rsid w:val="00375595"/>
    <w:rsid w:val="00375877"/>
    <w:rsid w:val="00377254"/>
    <w:rsid w:val="003777C5"/>
    <w:rsid w:val="003778DA"/>
    <w:rsid w:val="00377D62"/>
    <w:rsid w:val="00381024"/>
    <w:rsid w:val="003819A7"/>
    <w:rsid w:val="003822F2"/>
    <w:rsid w:val="003825FC"/>
    <w:rsid w:val="00382AC6"/>
    <w:rsid w:val="00382E2E"/>
    <w:rsid w:val="00383549"/>
    <w:rsid w:val="003841D9"/>
    <w:rsid w:val="00384475"/>
    <w:rsid w:val="003849F8"/>
    <w:rsid w:val="00385399"/>
    <w:rsid w:val="00386206"/>
    <w:rsid w:val="00386501"/>
    <w:rsid w:val="00386D7A"/>
    <w:rsid w:val="003874FB"/>
    <w:rsid w:val="00387911"/>
    <w:rsid w:val="00390662"/>
    <w:rsid w:val="0039075D"/>
    <w:rsid w:val="003911B7"/>
    <w:rsid w:val="00391C34"/>
    <w:rsid w:val="003930F0"/>
    <w:rsid w:val="00393740"/>
    <w:rsid w:val="003940E7"/>
    <w:rsid w:val="00395BEA"/>
    <w:rsid w:val="00396A71"/>
    <w:rsid w:val="00396F54"/>
    <w:rsid w:val="00396F55"/>
    <w:rsid w:val="003970C0"/>
    <w:rsid w:val="00397186"/>
    <w:rsid w:val="00397B03"/>
    <w:rsid w:val="00397E2A"/>
    <w:rsid w:val="003A0659"/>
    <w:rsid w:val="003A08B6"/>
    <w:rsid w:val="003A09B8"/>
    <w:rsid w:val="003A10F4"/>
    <w:rsid w:val="003A121E"/>
    <w:rsid w:val="003A1AEE"/>
    <w:rsid w:val="003A2374"/>
    <w:rsid w:val="003A275B"/>
    <w:rsid w:val="003A3529"/>
    <w:rsid w:val="003A402C"/>
    <w:rsid w:val="003A4298"/>
    <w:rsid w:val="003A50CD"/>
    <w:rsid w:val="003A5609"/>
    <w:rsid w:val="003A5792"/>
    <w:rsid w:val="003A584F"/>
    <w:rsid w:val="003A685D"/>
    <w:rsid w:val="003A6A7E"/>
    <w:rsid w:val="003B0DF9"/>
    <w:rsid w:val="003B0FEC"/>
    <w:rsid w:val="003B109A"/>
    <w:rsid w:val="003B11EF"/>
    <w:rsid w:val="003B154A"/>
    <w:rsid w:val="003B2658"/>
    <w:rsid w:val="003B2D03"/>
    <w:rsid w:val="003B2D31"/>
    <w:rsid w:val="003B32A1"/>
    <w:rsid w:val="003B42DD"/>
    <w:rsid w:val="003B46B9"/>
    <w:rsid w:val="003B514E"/>
    <w:rsid w:val="003B565B"/>
    <w:rsid w:val="003B61D0"/>
    <w:rsid w:val="003B6B74"/>
    <w:rsid w:val="003B74CA"/>
    <w:rsid w:val="003C081E"/>
    <w:rsid w:val="003C1897"/>
    <w:rsid w:val="003C1CEA"/>
    <w:rsid w:val="003C2433"/>
    <w:rsid w:val="003C2C50"/>
    <w:rsid w:val="003C3D51"/>
    <w:rsid w:val="003C402C"/>
    <w:rsid w:val="003C4543"/>
    <w:rsid w:val="003C47F6"/>
    <w:rsid w:val="003C4805"/>
    <w:rsid w:val="003C5B86"/>
    <w:rsid w:val="003C5D87"/>
    <w:rsid w:val="003C63B8"/>
    <w:rsid w:val="003C7138"/>
    <w:rsid w:val="003C7458"/>
    <w:rsid w:val="003C780C"/>
    <w:rsid w:val="003D024A"/>
    <w:rsid w:val="003D09ED"/>
    <w:rsid w:val="003D1668"/>
    <w:rsid w:val="003D1D50"/>
    <w:rsid w:val="003D23B9"/>
    <w:rsid w:val="003D24BD"/>
    <w:rsid w:val="003D3104"/>
    <w:rsid w:val="003D3613"/>
    <w:rsid w:val="003D3B16"/>
    <w:rsid w:val="003D44CD"/>
    <w:rsid w:val="003D4767"/>
    <w:rsid w:val="003D49B2"/>
    <w:rsid w:val="003D4A8A"/>
    <w:rsid w:val="003D51D8"/>
    <w:rsid w:val="003D6EA1"/>
    <w:rsid w:val="003E167C"/>
    <w:rsid w:val="003E366D"/>
    <w:rsid w:val="003E402E"/>
    <w:rsid w:val="003E5270"/>
    <w:rsid w:val="003E5E7D"/>
    <w:rsid w:val="003E7501"/>
    <w:rsid w:val="003F1165"/>
    <w:rsid w:val="003F5856"/>
    <w:rsid w:val="003F7214"/>
    <w:rsid w:val="003F75A3"/>
    <w:rsid w:val="004006D9"/>
    <w:rsid w:val="0040071E"/>
    <w:rsid w:val="00401AB3"/>
    <w:rsid w:val="00401E0B"/>
    <w:rsid w:val="0040280A"/>
    <w:rsid w:val="00403774"/>
    <w:rsid w:val="0040453F"/>
    <w:rsid w:val="004051AC"/>
    <w:rsid w:val="00405690"/>
    <w:rsid w:val="004061D6"/>
    <w:rsid w:val="00406650"/>
    <w:rsid w:val="004078FF"/>
    <w:rsid w:val="00407A03"/>
    <w:rsid w:val="00410D8D"/>
    <w:rsid w:val="00410EDD"/>
    <w:rsid w:val="00411F40"/>
    <w:rsid w:val="00413384"/>
    <w:rsid w:val="004135C2"/>
    <w:rsid w:val="00413BFD"/>
    <w:rsid w:val="00414993"/>
    <w:rsid w:val="00416AA9"/>
    <w:rsid w:val="00417E53"/>
    <w:rsid w:val="004202AA"/>
    <w:rsid w:val="004204AF"/>
    <w:rsid w:val="00420BB0"/>
    <w:rsid w:val="00420DB7"/>
    <w:rsid w:val="00423261"/>
    <w:rsid w:val="0042394A"/>
    <w:rsid w:val="00423B4A"/>
    <w:rsid w:val="00424232"/>
    <w:rsid w:val="00424627"/>
    <w:rsid w:val="00424920"/>
    <w:rsid w:val="00425BC0"/>
    <w:rsid w:val="00426452"/>
    <w:rsid w:val="004267BC"/>
    <w:rsid w:val="00426ADC"/>
    <w:rsid w:val="00426B53"/>
    <w:rsid w:val="004276BC"/>
    <w:rsid w:val="00427CE3"/>
    <w:rsid w:val="004305E9"/>
    <w:rsid w:val="0043122E"/>
    <w:rsid w:val="004319C8"/>
    <w:rsid w:val="0043301B"/>
    <w:rsid w:val="0043417A"/>
    <w:rsid w:val="0043458D"/>
    <w:rsid w:val="00435BBF"/>
    <w:rsid w:val="0044256B"/>
    <w:rsid w:val="00442A44"/>
    <w:rsid w:val="00443940"/>
    <w:rsid w:val="00444EC1"/>
    <w:rsid w:val="0044539B"/>
    <w:rsid w:val="004474BA"/>
    <w:rsid w:val="00450AAD"/>
    <w:rsid w:val="0045116A"/>
    <w:rsid w:val="004511D4"/>
    <w:rsid w:val="00452222"/>
    <w:rsid w:val="004524B4"/>
    <w:rsid w:val="00452AC5"/>
    <w:rsid w:val="00453931"/>
    <w:rsid w:val="00454476"/>
    <w:rsid w:val="0045499A"/>
    <w:rsid w:val="00455532"/>
    <w:rsid w:val="004556D0"/>
    <w:rsid w:val="004558F6"/>
    <w:rsid w:val="00455CB9"/>
    <w:rsid w:val="004568CC"/>
    <w:rsid w:val="00457409"/>
    <w:rsid w:val="00457DF1"/>
    <w:rsid w:val="00460061"/>
    <w:rsid w:val="00461C20"/>
    <w:rsid w:val="00462FA3"/>
    <w:rsid w:val="004643D8"/>
    <w:rsid w:val="0046490B"/>
    <w:rsid w:val="00464A0A"/>
    <w:rsid w:val="00464FEC"/>
    <w:rsid w:val="00465093"/>
    <w:rsid w:val="00465AB5"/>
    <w:rsid w:val="00465BAE"/>
    <w:rsid w:val="00465CF0"/>
    <w:rsid w:val="00466A25"/>
    <w:rsid w:val="00466FC5"/>
    <w:rsid w:val="00470741"/>
    <w:rsid w:val="004708B6"/>
    <w:rsid w:val="00471864"/>
    <w:rsid w:val="00471C69"/>
    <w:rsid w:val="00472166"/>
    <w:rsid w:val="00472C0E"/>
    <w:rsid w:val="00473FB3"/>
    <w:rsid w:val="004742F9"/>
    <w:rsid w:val="00477499"/>
    <w:rsid w:val="00480D05"/>
    <w:rsid w:val="00482866"/>
    <w:rsid w:val="004837A5"/>
    <w:rsid w:val="004837DD"/>
    <w:rsid w:val="00484A78"/>
    <w:rsid w:val="00485783"/>
    <w:rsid w:val="004865B0"/>
    <w:rsid w:val="0048756B"/>
    <w:rsid w:val="00492ED7"/>
    <w:rsid w:val="004935AE"/>
    <w:rsid w:val="00495A8F"/>
    <w:rsid w:val="00495F45"/>
    <w:rsid w:val="0049643D"/>
    <w:rsid w:val="00496A5D"/>
    <w:rsid w:val="00496D56"/>
    <w:rsid w:val="0049741A"/>
    <w:rsid w:val="00497795"/>
    <w:rsid w:val="004A0F64"/>
    <w:rsid w:val="004A1656"/>
    <w:rsid w:val="004A2360"/>
    <w:rsid w:val="004A2ED6"/>
    <w:rsid w:val="004A494F"/>
    <w:rsid w:val="004A5813"/>
    <w:rsid w:val="004A61DE"/>
    <w:rsid w:val="004A65BB"/>
    <w:rsid w:val="004A7E61"/>
    <w:rsid w:val="004B0048"/>
    <w:rsid w:val="004B06A0"/>
    <w:rsid w:val="004B0708"/>
    <w:rsid w:val="004B1483"/>
    <w:rsid w:val="004B1490"/>
    <w:rsid w:val="004B1498"/>
    <w:rsid w:val="004B17CB"/>
    <w:rsid w:val="004B1CDE"/>
    <w:rsid w:val="004B25CB"/>
    <w:rsid w:val="004B2829"/>
    <w:rsid w:val="004B3480"/>
    <w:rsid w:val="004B374A"/>
    <w:rsid w:val="004B443B"/>
    <w:rsid w:val="004B4550"/>
    <w:rsid w:val="004B4F65"/>
    <w:rsid w:val="004B6DE1"/>
    <w:rsid w:val="004B6E98"/>
    <w:rsid w:val="004B7624"/>
    <w:rsid w:val="004B77A5"/>
    <w:rsid w:val="004B7936"/>
    <w:rsid w:val="004C09EA"/>
    <w:rsid w:val="004C0C7C"/>
    <w:rsid w:val="004C15E0"/>
    <w:rsid w:val="004C2023"/>
    <w:rsid w:val="004C2598"/>
    <w:rsid w:val="004C3071"/>
    <w:rsid w:val="004C4876"/>
    <w:rsid w:val="004C5C14"/>
    <w:rsid w:val="004C74B0"/>
    <w:rsid w:val="004C7EAC"/>
    <w:rsid w:val="004D0908"/>
    <w:rsid w:val="004D1A4D"/>
    <w:rsid w:val="004D54A1"/>
    <w:rsid w:val="004D68CE"/>
    <w:rsid w:val="004D6A83"/>
    <w:rsid w:val="004D6FA7"/>
    <w:rsid w:val="004D7269"/>
    <w:rsid w:val="004D7895"/>
    <w:rsid w:val="004D7ED8"/>
    <w:rsid w:val="004E1E7C"/>
    <w:rsid w:val="004E274D"/>
    <w:rsid w:val="004E3CD0"/>
    <w:rsid w:val="004E4CD1"/>
    <w:rsid w:val="004E533C"/>
    <w:rsid w:val="004E597A"/>
    <w:rsid w:val="004E6464"/>
    <w:rsid w:val="004E6AB5"/>
    <w:rsid w:val="004E7C20"/>
    <w:rsid w:val="004F260D"/>
    <w:rsid w:val="004F2966"/>
    <w:rsid w:val="004F2B8F"/>
    <w:rsid w:val="004F30CB"/>
    <w:rsid w:val="004F4E61"/>
    <w:rsid w:val="004F5197"/>
    <w:rsid w:val="004F5910"/>
    <w:rsid w:val="004F61BE"/>
    <w:rsid w:val="004F63B1"/>
    <w:rsid w:val="004F7EB7"/>
    <w:rsid w:val="0050114B"/>
    <w:rsid w:val="00501760"/>
    <w:rsid w:val="00501F8C"/>
    <w:rsid w:val="00501FF3"/>
    <w:rsid w:val="00502B82"/>
    <w:rsid w:val="00502D4E"/>
    <w:rsid w:val="00504365"/>
    <w:rsid w:val="00505CC7"/>
    <w:rsid w:val="0050620A"/>
    <w:rsid w:val="00507D83"/>
    <w:rsid w:val="005102D8"/>
    <w:rsid w:val="005109C4"/>
    <w:rsid w:val="00510B2E"/>
    <w:rsid w:val="00510FA7"/>
    <w:rsid w:val="00510FB9"/>
    <w:rsid w:val="005121D4"/>
    <w:rsid w:val="00512736"/>
    <w:rsid w:val="00512CEC"/>
    <w:rsid w:val="00513355"/>
    <w:rsid w:val="00514963"/>
    <w:rsid w:val="00514DFF"/>
    <w:rsid w:val="005159E1"/>
    <w:rsid w:val="00516DAA"/>
    <w:rsid w:val="00521028"/>
    <w:rsid w:val="005223D0"/>
    <w:rsid w:val="00522A7B"/>
    <w:rsid w:val="00525D97"/>
    <w:rsid w:val="00525E6F"/>
    <w:rsid w:val="005261B8"/>
    <w:rsid w:val="00526F6C"/>
    <w:rsid w:val="005307AD"/>
    <w:rsid w:val="0053087E"/>
    <w:rsid w:val="0053150A"/>
    <w:rsid w:val="00531934"/>
    <w:rsid w:val="005320B4"/>
    <w:rsid w:val="00535E50"/>
    <w:rsid w:val="00535E93"/>
    <w:rsid w:val="0053638F"/>
    <w:rsid w:val="00540025"/>
    <w:rsid w:val="005402A7"/>
    <w:rsid w:val="00540345"/>
    <w:rsid w:val="00543CB8"/>
    <w:rsid w:val="005442C6"/>
    <w:rsid w:val="0054496C"/>
    <w:rsid w:val="0054596B"/>
    <w:rsid w:val="00545ABA"/>
    <w:rsid w:val="00545E03"/>
    <w:rsid w:val="00546DDC"/>
    <w:rsid w:val="00550676"/>
    <w:rsid w:val="00551205"/>
    <w:rsid w:val="00551519"/>
    <w:rsid w:val="00552289"/>
    <w:rsid w:val="00552C44"/>
    <w:rsid w:val="00552F30"/>
    <w:rsid w:val="00553ABF"/>
    <w:rsid w:val="00554EE6"/>
    <w:rsid w:val="00554FAB"/>
    <w:rsid w:val="005552FC"/>
    <w:rsid w:val="0055643A"/>
    <w:rsid w:val="00556BD2"/>
    <w:rsid w:val="005573AD"/>
    <w:rsid w:val="00557650"/>
    <w:rsid w:val="00557AFB"/>
    <w:rsid w:val="00557DDC"/>
    <w:rsid w:val="00557FAA"/>
    <w:rsid w:val="00557FE3"/>
    <w:rsid w:val="00560327"/>
    <w:rsid w:val="0056082B"/>
    <w:rsid w:val="00560D16"/>
    <w:rsid w:val="00560EA4"/>
    <w:rsid w:val="00561B21"/>
    <w:rsid w:val="00561CA9"/>
    <w:rsid w:val="0056236F"/>
    <w:rsid w:val="00563687"/>
    <w:rsid w:val="00564792"/>
    <w:rsid w:val="00564817"/>
    <w:rsid w:val="0056497B"/>
    <w:rsid w:val="00564ADE"/>
    <w:rsid w:val="005657C1"/>
    <w:rsid w:val="00565FC4"/>
    <w:rsid w:val="0056628B"/>
    <w:rsid w:val="005665AD"/>
    <w:rsid w:val="0056751A"/>
    <w:rsid w:val="005702DD"/>
    <w:rsid w:val="0057092C"/>
    <w:rsid w:val="00571474"/>
    <w:rsid w:val="00571504"/>
    <w:rsid w:val="0057181B"/>
    <w:rsid w:val="005719BC"/>
    <w:rsid w:val="00572EEA"/>
    <w:rsid w:val="00573B11"/>
    <w:rsid w:val="00574637"/>
    <w:rsid w:val="00574E6B"/>
    <w:rsid w:val="005758D0"/>
    <w:rsid w:val="00575D98"/>
    <w:rsid w:val="00575ED1"/>
    <w:rsid w:val="005764B9"/>
    <w:rsid w:val="005765E8"/>
    <w:rsid w:val="00576BF7"/>
    <w:rsid w:val="00577102"/>
    <w:rsid w:val="0058101E"/>
    <w:rsid w:val="005817FA"/>
    <w:rsid w:val="005818DD"/>
    <w:rsid w:val="00582DD9"/>
    <w:rsid w:val="00584328"/>
    <w:rsid w:val="0058586D"/>
    <w:rsid w:val="00587932"/>
    <w:rsid w:val="0059069F"/>
    <w:rsid w:val="005910C3"/>
    <w:rsid w:val="00591DCE"/>
    <w:rsid w:val="0059211A"/>
    <w:rsid w:val="0059363B"/>
    <w:rsid w:val="0059373F"/>
    <w:rsid w:val="00593B23"/>
    <w:rsid w:val="00594614"/>
    <w:rsid w:val="00594C73"/>
    <w:rsid w:val="00594E10"/>
    <w:rsid w:val="0059542D"/>
    <w:rsid w:val="005954DC"/>
    <w:rsid w:val="00595583"/>
    <w:rsid w:val="005957F3"/>
    <w:rsid w:val="005A036C"/>
    <w:rsid w:val="005A0759"/>
    <w:rsid w:val="005A1031"/>
    <w:rsid w:val="005A111D"/>
    <w:rsid w:val="005A1218"/>
    <w:rsid w:val="005A1DF1"/>
    <w:rsid w:val="005A27FA"/>
    <w:rsid w:val="005A3343"/>
    <w:rsid w:val="005A359A"/>
    <w:rsid w:val="005A4797"/>
    <w:rsid w:val="005A4846"/>
    <w:rsid w:val="005A4B4C"/>
    <w:rsid w:val="005A54D8"/>
    <w:rsid w:val="005A6473"/>
    <w:rsid w:val="005A66A4"/>
    <w:rsid w:val="005A6FBC"/>
    <w:rsid w:val="005A7D33"/>
    <w:rsid w:val="005B0AE3"/>
    <w:rsid w:val="005B2862"/>
    <w:rsid w:val="005B2FA1"/>
    <w:rsid w:val="005B634A"/>
    <w:rsid w:val="005B6626"/>
    <w:rsid w:val="005B6A16"/>
    <w:rsid w:val="005B6B35"/>
    <w:rsid w:val="005B6BAD"/>
    <w:rsid w:val="005B6E61"/>
    <w:rsid w:val="005B6F0F"/>
    <w:rsid w:val="005B700B"/>
    <w:rsid w:val="005B71E1"/>
    <w:rsid w:val="005C136B"/>
    <w:rsid w:val="005C1379"/>
    <w:rsid w:val="005C1896"/>
    <w:rsid w:val="005C1DDC"/>
    <w:rsid w:val="005C2B0B"/>
    <w:rsid w:val="005C359E"/>
    <w:rsid w:val="005C3C67"/>
    <w:rsid w:val="005C41FE"/>
    <w:rsid w:val="005C5DE1"/>
    <w:rsid w:val="005C66A6"/>
    <w:rsid w:val="005C6AC1"/>
    <w:rsid w:val="005C6BEA"/>
    <w:rsid w:val="005D078D"/>
    <w:rsid w:val="005D0879"/>
    <w:rsid w:val="005D0B2D"/>
    <w:rsid w:val="005D0D0A"/>
    <w:rsid w:val="005D17A2"/>
    <w:rsid w:val="005D1816"/>
    <w:rsid w:val="005D2252"/>
    <w:rsid w:val="005D29EA"/>
    <w:rsid w:val="005D3180"/>
    <w:rsid w:val="005D4AF1"/>
    <w:rsid w:val="005D5932"/>
    <w:rsid w:val="005D6847"/>
    <w:rsid w:val="005D7A18"/>
    <w:rsid w:val="005D7BF5"/>
    <w:rsid w:val="005E087C"/>
    <w:rsid w:val="005E0B65"/>
    <w:rsid w:val="005E1A05"/>
    <w:rsid w:val="005E2829"/>
    <w:rsid w:val="005E3360"/>
    <w:rsid w:val="005E33A3"/>
    <w:rsid w:val="005E3820"/>
    <w:rsid w:val="005E4546"/>
    <w:rsid w:val="005E48B1"/>
    <w:rsid w:val="005E5849"/>
    <w:rsid w:val="005E59CC"/>
    <w:rsid w:val="005E6B25"/>
    <w:rsid w:val="005E7ED6"/>
    <w:rsid w:val="005F0B87"/>
    <w:rsid w:val="005F13BC"/>
    <w:rsid w:val="005F15DF"/>
    <w:rsid w:val="005F2EE3"/>
    <w:rsid w:val="005F3377"/>
    <w:rsid w:val="005F3535"/>
    <w:rsid w:val="005F3C81"/>
    <w:rsid w:val="005F4310"/>
    <w:rsid w:val="005F48BA"/>
    <w:rsid w:val="005F5651"/>
    <w:rsid w:val="005F582B"/>
    <w:rsid w:val="005F71DA"/>
    <w:rsid w:val="00601A25"/>
    <w:rsid w:val="006026D2"/>
    <w:rsid w:val="00603867"/>
    <w:rsid w:val="00603C1D"/>
    <w:rsid w:val="00604AFE"/>
    <w:rsid w:val="00605EA0"/>
    <w:rsid w:val="006063FA"/>
    <w:rsid w:val="0060667B"/>
    <w:rsid w:val="00606B5F"/>
    <w:rsid w:val="00610530"/>
    <w:rsid w:val="006114E6"/>
    <w:rsid w:val="00611727"/>
    <w:rsid w:val="006122D9"/>
    <w:rsid w:val="00614647"/>
    <w:rsid w:val="00615A93"/>
    <w:rsid w:val="00616545"/>
    <w:rsid w:val="00620295"/>
    <w:rsid w:val="00621239"/>
    <w:rsid w:val="0062172F"/>
    <w:rsid w:val="00621B81"/>
    <w:rsid w:val="00622517"/>
    <w:rsid w:val="00622F76"/>
    <w:rsid w:val="006239D7"/>
    <w:rsid w:val="006260F8"/>
    <w:rsid w:val="00626344"/>
    <w:rsid w:val="00626463"/>
    <w:rsid w:val="00627B98"/>
    <w:rsid w:val="0063032A"/>
    <w:rsid w:val="00631BD8"/>
    <w:rsid w:val="00632909"/>
    <w:rsid w:val="00635038"/>
    <w:rsid w:val="0063525B"/>
    <w:rsid w:val="006362C7"/>
    <w:rsid w:val="006368A1"/>
    <w:rsid w:val="00637A82"/>
    <w:rsid w:val="00637DD8"/>
    <w:rsid w:val="0064040F"/>
    <w:rsid w:val="006404A2"/>
    <w:rsid w:val="006427D5"/>
    <w:rsid w:val="006458D5"/>
    <w:rsid w:val="006465F2"/>
    <w:rsid w:val="00646C1A"/>
    <w:rsid w:val="00646C2E"/>
    <w:rsid w:val="006470CF"/>
    <w:rsid w:val="00647613"/>
    <w:rsid w:val="00647CF7"/>
    <w:rsid w:val="00647DAA"/>
    <w:rsid w:val="0065069C"/>
    <w:rsid w:val="00650AA3"/>
    <w:rsid w:val="0065195F"/>
    <w:rsid w:val="00652070"/>
    <w:rsid w:val="00652CF0"/>
    <w:rsid w:val="00652D4E"/>
    <w:rsid w:val="00652E30"/>
    <w:rsid w:val="0065545B"/>
    <w:rsid w:val="00656100"/>
    <w:rsid w:val="006563AC"/>
    <w:rsid w:val="00657BEE"/>
    <w:rsid w:val="00657DDC"/>
    <w:rsid w:val="0066129F"/>
    <w:rsid w:val="00661821"/>
    <w:rsid w:val="006620BC"/>
    <w:rsid w:val="006627C7"/>
    <w:rsid w:val="00662DF8"/>
    <w:rsid w:val="00663030"/>
    <w:rsid w:val="006651AC"/>
    <w:rsid w:val="006652D0"/>
    <w:rsid w:val="006658FF"/>
    <w:rsid w:val="00665C18"/>
    <w:rsid w:val="00666B29"/>
    <w:rsid w:val="006670C7"/>
    <w:rsid w:val="006672A9"/>
    <w:rsid w:val="00667963"/>
    <w:rsid w:val="0067073E"/>
    <w:rsid w:val="00671D35"/>
    <w:rsid w:val="0067228E"/>
    <w:rsid w:val="006722FB"/>
    <w:rsid w:val="00672FCE"/>
    <w:rsid w:val="0067301B"/>
    <w:rsid w:val="006731E5"/>
    <w:rsid w:val="00673BC3"/>
    <w:rsid w:val="00673D3F"/>
    <w:rsid w:val="00673F5C"/>
    <w:rsid w:val="0067474E"/>
    <w:rsid w:val="00674FB3"/>
    <w:rsid w:val="00676212"/>
    <w:rsid w:val="006766BB"/>
    <w:rsid w:val="00676979"/>
    <w:rsid w:val="006771D2"/>
    <w:rsid w:val="00680BC2"/>
    <w:rsid w:val="00681314"/>
    <w:rsid w:val="00681404"/>
    <w:rsid w:val="00682245"/>
    <w:rsid w:val="00682AE8"/>
    <w:rsid w:val="00682C09"/>
    <w:rsid w:val="0068345C"/>
    <w:rsid w:val="00685341"/>
    <w:rsid w:val="00685845"/>
    <w:rsid w:val="00685AE5"/>
    <w:rsid w:val="00687A10"/>
    <w:rsid w:val="00690F6D"/>
    <w:rsid w:val="00693DD6"/>
    <w:rsid w:val="00694554"/>
    <w:rsid w:val="00697B1C"/>
    <w:rsid w:val="006A0ABD"/>
    <w:rsid w:val="006A1DC9"/>
    <w:rsid w:val="006A24EA"/>
    <w:rsid w:val="006A29A2"/>
    <w:rsid w:val="006A30A9"/>
    <w:rsid w:val="006A3C4C"/>
    <w:rsid w:val="006A66D1"/>
    <w:rsid w:val="006B0084"/>
    <w:rsid w:val="006B1BDA"/>
    <w:rsid w:val="006B2660"/>
    <w:rsid w:val="006B26F6"/>
    <w:rsid w:val="006B35EF"/>
    <w:rsid w:val="006B40EA"/>
    <w:rsid w:val="006B4A99"/>
    <w:rsid w:val="006B5685"/>
    <w:rsid w:val="006C015E"/>
    <w:rsid w:val="006C0526"/>
    <w:rsid w:val="006C0BAF"/>
    <w:rsid w:val="006C15CF"/>
    <w:rsid w:val="006C1A3D"/>
    <w:rsid w:val="006C1FB6"/>
    <w:rsid w:val="006C21ED"/>
    <w:rsid w:val="006C3CE0"/>
    <w:rsid w:val="006C3D15"/>
    <w:rsid w:val="006C3FF3"/>
    <w:rsid w:val="006C40A9"/>
    <w:rsid w:val="006C4458"/>
    <w:rsid w:val="006C484A"/>
    <w:rsid w:val="006C5BA7"/>
    <w:rsid w:val="006C630A"/>
    <w:rsid w:val="006C6C5A"/>
    <w:rsid w:val="006D037F"/>
    <w:rsid w:val="006D07C1"/>
    <w:rsid w:val="006D0BD9"/>
    <w:rsid w:val="006D0C1D"/>
    <w:rsid w:val="006D1C48"/>
    <w:rsid w:val="006D1E3C"/>
    <w:rsid w:val="006D284C"/>
    <w:rsid w:val="006D2A65"/>
    <w:rsid w:val="006D41BC"/>
    <w:rsid w:val="006D5167"/>
    <w:rsid w:val="006D6DA4"/>
    <w:rsid w:val="006D7323"/>
    <w:rsid w:val="006D79B8"/>
    <w:rsid w:val="006D7F39"/>
    <w:rsid w:val="006E11F0"/>
    <w:rsid w:val="006E284A"/>
    <w:rsid w:val="006E28C4"/>
    <w:rsid w:val="006E2B11"/>
    <w:rsid w:val="006E2B20"/>
    <w:rsid w:val="006E316E"/>
    <w:rsid w:val="006E3CCA"/>
    <w:rsid w:val="006E40C8"/>
    <w:rsid w:val="006E46D7"/>
    <w:rsid w:val="006E4923"/>
    <w:rsid w:val="006E5824"/>
    <w:rsid w:val="006E5D9D"/>
    <w:rsid w:val="006E6168"/>
    <w:rsid w:val="006E6E06"/>
    <w:rsid w:val="006E6EB8"/>
    <w:rsid w:val="006E7133"/>
    <w:rsid w:val="006F0D16"/>
    <w:rsid w:val="006F121B"/>
    <w:rsid w:val="006F1A09"/>
    <w:rsid w:val="006F27CB"/>
    <w:rsid w:val="006F2E82"/>
    <w:rsid w:val="006F2ED3"/>
    <w:rsid w:val="006F4193"/>
    <w:rsid w:val="006F42C5"/>
    <w:rsid w:val="006F6351"/>
    <w:rsid w:val="006F69E7"/>
    <w:rsid w:val="006F7CBF"/>
    <w:rsid w:val="006F7E09"/>
    <w:rsid w:val="00700D12"/>
    <w:rsid w:val="00700E0E"/>
    <w:rsid w:val="007011EE"/>
    <w:rsid w:val="0070290E"/>
    <w:rsid w:val="00702F80"/>
    <w:rsid w:val="00702FD0"/>
    <w:rsid w:val="007030CE"/>
    <w:rsid w:val="00703E9D"/>
    <w:rsid w:val="00705029"/>
    <w:rsid w:val="007077E5"/>
    <w:rsid w:val="00707DB4"/>
    <w:rsid w:val="0071046D"/>
    <w:rsid w:val="00710E3A"/>
    <w:rsid w:val="00712D8F"/>
    <w:rsid w:val="00713686"/>
    <w:rsid w:val="00713715"/>
    <w:rsid w:val="00714D4A"/>
    <w:rsid w:val="00715E9C"/>
    <w:rsid w:val="00716D9C"/>
    <w:rsid w:val="00716E6F"/>
    <w:rsid w:val="0072003A"/>
    <w:rsid w:val="00724481"/>
    <w:rsid w:val="00724B45"/>
    <w:rsid w:val="007259B2"/>
    <w:rsid w:val="00725CD0"/>
    <w:rsid w:val="00727320"/>
    <w:rsid w:val="007274BF"/>
    <w:rsid w:val="00727F2C"/>
    <w:rsid w:val="0073043B"/>
    <w:rsid w:val="00730AC1"/>
    <w:rsid w:val="007311B1"/>
    <w:rsid w:val="00731B31"/>
    <w:rsid w:val="0073497F"/>
    <w:rsid w:val="00734D38"/>
    <w:rsid w:val="00734E40"/>
    <w:rsid w:val="007365A1"/>
    <w:rsid w:val="00737283"/>
    <w:rsid w:val="007379A6"/>
    <w:rsid w:val="00737E08"/>
    <w:rsid w:val="00741218"/>
    <w:rsid w:val="00741230"/>
    <w:rsid w:val="00741280"/>
    <w:rsid w:val="007418FA"/>
    <w:rsid w:val="00744557"/>
    <w:rsid w:val="00744FFA"/>
    <w:rsid w:val="007454A9"/>
    <w:rsid w:val="00745CD1"/>
    <w:rsid w:val="00745EA3"/>
    <w:rsid w:val="0074653A"/>
    <w:rsid w:val="00746EFF"/>
    <w:rsid w:val="007514D5"/>
    <w:rsid w:val="00752625"/>
    <w:rsid w:val="00752BF9"/>
    <w:rsid w:val="00752E1A"/>
    <w:rsid w:val="00753999"/>
    <w:rsid w:val="00754773"/>
    <w:rsid w:val="0075488A"/>
    <w:rsid w:val="00754D91"/>
    <w:rsid w:val="00754D9B"/>
    <w:rsid w:val="00757E1F"/>
    <w:rsid w:val="00760DB1"/>
    <w:rsid w:val="007617D4"/>
    <w:rsid w:val="007623BD"/>
    <w:rsid w:val="0076266C"/>
    <w:rsid w:val="00763201"/>
    <w:rsid w:val="00763284"/>
    <w:rsid w:val="0076487A"/>
    <w:rsid w:val="00765E56"/>
    <w:rsid w:val="00766130"/>
    <w:rsid w:val="00766C2E"/>
    <w:rsid w:val="00767FCF"/>
    <w:rsid w:val="00770A96"/>
    <w:rsid w:val="00772121"/>
    <w:rsid w:val="00772A41"/>
    <w:rsid w:val="00775B6F"/>
    <w:rsid w:val="00777683"/>
    <w:rsid w:val="00777C8E"/>
    <w:rsid w:val="00780DFA"/>
    <w:rsid w:val="00781353"/>
    <w:rsid w:val="00781B05"/>
    <w:rsid w:val="00782260"/>
    <w:rsid w:val="0078293F"/>
    <w:rsid w:val="00782C7D"/>
    <w:rsid w:val="00783428"/>
    <w:rsid w:val="0078380F"/>
    <w:rsid w:val="00783D36"/>
    <w:rsid w:val="007843B2"/>
    <w:rsid w:val="007853B3"/>
    <w:rsid w:val="007868A8"/>
    <w:rsid w:val="00791E86"/>
    <w:rsid w:val="007930B8"/>
    <w:rsid w:val="007932A0"/>
    <w:rsid w:val="007937F6"/>
    <w:rsid w:val="0079425F"/>
    <w:rsid w:val="00794342"/>
    <w:rsid w:val="00795EEA"/>
    <w:rsid w:val="00796738"/>
    <w:rsid w:val="0079734F"/>
    <w:rsid w:val="00797C7E"/>
    <w:rsid w:val="007A0D3F"/>
    <w:rsid w:val="007A1738"/>
    <w:rsid w:val="007A3342"/>
    <w:rsid w:val="007A354C"/>
    <w:rsid w:val="007A3C06"/>
    <w:rsid w:val="007A49C2"/>
    <w:rsid w:val="007A6032"/>
    <w:rsid w:val="007A66D3"/>
    <w:rsid w:val="007A7474"/>
    <w:rsid w:val="007A75B7"/>
    <w:rsid w:val="007B0133"/>
    <w:rsid w:val="007B1320"/>
    <w:rsid w:val="007B1551"/>
    <w:rsid w:val="007B1A04"/>
    <w:rsid w:val="007B29C0"/>
    <w:rsid w:val="007B2F4D"/>
    <w:rsid w:val="007B308F"/>
    <w:rsid w:val="007B316C"/>
    <w:rsid w:val="007B32FA"/>
    <w:rsid w:val="007B3A22"/>
    <w:rsid w:val="007B3F2D"/>
    <w:rsid w:val="007B4325"/>
    <w:rsid w:val="007B544E"/>
    <w:rsid w:val="007B5C56"/>
    <w:rsid w:val="007B6475"/>
    <w:rsid w:val="007B6822"/>
    <w:rsid w:val="007B6A10"/>
    <w:rsid w:val="007B6C18"/>
    <w:rsid w:val="007B6EEC"/>
    <w:rsid w:val="007B7970"/>
    <w:rsid w:val="007C160F"/>
    <w:rsid w:val="007C196F"/>
    <w:rsid w:val="007C24F4"/>
    <w:rsid w:val="007C3DC9"/>
    <w:rsid w:val="007C518A"/>
    <w:rsid w:val="007C6641"/>
    <w:rsid w:val="007C7CEF"/>
    <w:rsid w:val="007D0948"/>
    <w:rsid w:val="007D0AC7"/>
    <w:rsid w:val="007D14C7"/>
    <w:rsid w:val="007D1BC1"/>
    <w:rsid w:val="007D2D8F"/>
    <w:rsid w:val="007D3754"/>
    <w:rsid w:val="007D3921"/>
    <w:rsid w:val="007D3D91"/>
    <w:rsid w:val="007D5513"/>
    <w:rsid w:val="007D583D"/>
    <w:rsid w:val="007D6D90"/>
    <w:rsid w:val="007D770B"/>
    <w:rsid w:val="007D7ADB"/>
    <w:rsid w:val="007E0CA6"/>
    <w:rsid w:val="007E1129"/>
    <w:rsid w:val="007E1650"/>
    <w:rsid w:val="007E16E7"/>
    <w:rsid w:val="007E1E45"/>
    <w:rsid w:val="007E1E91"/>
    <w:rsid w:val="007E24F4"/>
    <w:rsid w:val="007E3748"/>
    <w:rsid w:val="007E3813"/>
    <w:rsid w:val="007E46BF"/>
    <w:rsid w:val="007E4C1A"/>
    <w:rsid w:val="007E6295"/>
    <w:rsid w:val="007E62E6"/>
    <w:rsid w:val="007E7F82"/>
    <w:rsid w:val="007F0A43"/>
    <w:rsid w:val="007F1821"/>
    <w:rsid w:val="007F1F30"/>
    <w:rsid w:val="007F25AA"/>
    <w:rsid w:val="007F27B3"/>
    <w:rsid w:val="007F3661"/>
    <w:rsid w:val="007F41C9"/>
    <w:rsid w:val="007F5F6A"/>
    <w:rsid w:val="007F6110"/>
    <w:rsid w:val="007F62DE"/>
    <w:rsid w:val="007F6497"/>
    <w:rsid w:val="007F7398"/>
    <w:rsid w:val="00800E2B"/>
    <w:rsid w:val="008012C6"/>
    <w:rsid w:val="0080158E"/>
    <w:rsid w:val="008017E0"/>
    <w:rsid w:val="008025EB"/>
    <w:rsid w:val="0080326A"/>
    <w:rsid w:val="008035AC"/>
    <w:rsid w:val="008036F1"/>
    <w:rsid w:val="00804138"/>
    <w:rsid w:val="0080610B"/>
    <w:rsid w:val="00806188"/>
    <w:rsid w:val="00806D35"/>
    <w:rsid w:val="00807532"/>
    <w:rsid w:val="00807B48"/>
    <w:rsid w:val="00810B0C"/>
    <w:rsid w:val="00810E7F"/>
    <w:rsid w:val="00811340"/>
    <w:rsid w:val="00811EFB"/>
    <w:rsid w:val="008121E8"/>
    <w:rsid w:val="008130A5"/>
    <w:rsid w:val="00813146"/>
    <w:rsid w:val="0081325B"/>
    <w:rsid w:val="00813A2D"/>
    <w:rsid w:val="00813A70"/>
    <w:rsid w:val="00813BD1"/>
    <w:rsid w:val="00814649"/>
    <w:rsid w:val="00814C16"/>
    <w:rsid w:val="00814CBD"/>
    <w:rsid w:val="0081586E"/>
    <w:rsid w:val="008158BB"/>
    <w:rsid w:val="00815E5C"/>
    <w:rsid w:val="0081688E"/>
    <w:rsid w:val="00817425"/>
    <w:rsid w:val="00817467"/>
    <w:rsid w:val="00817FB9"/>
    <w:rsid w:val="00820528"/>
    <w:rsid w:val="0082075F"/>
    <w:rsid w:val="0082184C"/>
    <w:rsid w:val="00821923"/>
    <w:rsid w:val="00821A0E"/>
    <w:rsid w:val="00821EF8"/>
    <w:rsid w:val="00822F8F"/>
    <w:rsid w:val="008255BE"/>
    <w:rsid w:val="00825F1B"/>
    <w:rsid w:val="00827301"/>
    <w:rsid w:val="0083020A"/>
    <w:rsid w:val="00830270"/>
    <w:rsid w:val="00830D6C"/>
    <w:rsid w:val="0083205D"/>
    <w:rsid w:val="00832D98"/>
    <w:rsid w:val="0083409D"/>
    <w:rsid w:val="00834533"/>
    <w:rsid w:val="008349FA"/>
    <w:rsid w:val="00835A0E"/>
    <w:rsid w:val="00835C5C"/>
    <w:rsid w:val="0083624A"/>
    <w:rsid w:val="008366BC"/>
    <w:rsid w:val="0083682D"/>
    <w:rsid w:val="00836EFE"/>
    <w:rsid w:val="00841D9C"/>
    <w:rsid w:val="00842474"/>
    <w:rsid w:val="008424A0"/>
    <w:rsid w:val="00842E9A"/>
    <w:rsid w:val="00844071"/>
    <w:rsid w:val="008445D0"/>
    <w:rsid w:val="00844861"/>
    <w:rsid w:val="00845049"/>
    <w:rsid w:val="00846413"/>
    <w:rsid w:val="00847310"/>
    <w:rsid w:val="00847DEC"/>
    <w:rsid w:val="0085077A"/>
    <w:rsid w:val="00850967"/>
    <w:rsid w:val="008517ED"/>
    <w:rsid w:val="00852BA0"/>
    <w:rsid w:val="0085372E"/>
    <w:rsid w:val="00853D3A"/>
    <w:rsid w:val="00854627"/>
    <w:rsid w:val="00854959"/>
    <w:rsid w:val="00854F12"/>
    <w:rsid w:val="008554F4"/>
    <w:rsid w:val="00856F20"/>
    <w:rsid w:val="00856F59"/>
    <w:rsid w:val="008576CD"/>
    <w:rsid w:val="00857E01"/>
    <w:rsid w:val="00857E8E"/>
    <w:rsid w:val="00860587"/>
    <w:rsid w:val="00860D2F"/>
    <w:rsid w:val="008614F7"/>
    <w:rsid w:val="00862422"/>
    <w:rsid w:val="00862783"/>
    <w:rsid w:val="00862BF0"/>
    <w:rsid w:val="00863A6D"/>
    <w:rsid w:val="008652FE"/>
    <w:rsid w:val="008653EF"/>
    <w:rsid w:val="008659E4"/>
    <w:rsid w:val="008662EC"/>
    <w:rsid w:val="008664AE"/>
    <w:rsid w:val="00866711"/>
    <w:rsid w:val="00866CB5"/>
    <w:rsid w:val="0087060F"/>
    <w:rsid w:val="0087145B"/>
    <w:rsid w:val="00871EE4"/>
    <w:rsid w:val="00872282"/>
    <w:rsid w:val="008724FF"/>
    <w:rsid w:val="00873786"/>
    <w:rsid w:val="008741B7"/>
    <w:rsid w:val="008744ED"/>
    <w:rsid w:val="00874A9A"/>
    <w:rsid w:val="0087607E"/>
    <w:rsid w:val="008806ED"/>
    <w:rsid w:val="00880F6B"/>
    <w:rsid w:val="0088290F"/>
    <w:rsid w:val="00882C3A"/>
    <w:rsid w:val="0088402D"/>
    <w:rsid w:val="008862DE"/>
    <w:rsid w:val="00886862"/>
    <w:rsid w:val="0088693C"/>
    <w:rsid w:val="008911D3"/>
    <w:rsid w:val="008912FD"/>
    <w:rsid w:val="008925CA"/>
    <w:rsid w:val="00892883"/>
    <w:rsid w:val="00892B16"/>
    <w:rsid w:val="00892B3B"/>
    <w:rsid w:val="00892FEB"/>
    <w:rsid w:val="0089313F"/>
    <w:rsid w:val="008951BF"/>
    <w:rsid w:val="00895881"/>
    <w:rsid w:val="00895C49"/>
    <w:rsid w:val="008968F0"/>
    <w:rsid w:val="00896B31"/>
    <w:rsid w:val="008978E0"/>
    <w:rsid w:val="008A0A56"/>
    <w:rsid w:val="008A17D5"/>
    <w:rsid w:val="008A1ECA"/>
    <w:rsid w:val="008A2BB8"/>
    <w:rsid w:val="008A329B"/>
    <w:rsid w:val="008A4640"/>
    <w:rsid w:val="008A570F"/>
    <w:rsid w:val="008A5A34"/>
    <w:rsid w:val="008A62CC"/>
    <w:rsid w:val="008A6820"/>
    <w:rsid w:val="008A684D"/>
    <w:rsid w:val="008A74D5"/>
    <w:rsid w:val="008A7E3B"/>
    <w:rsid w:val="008B135D"/>
    <w:rsid w:val="008B14B2"/>
    <w:rsid w:val="008B1CC8"/>
    <w:rsid w:val="008B279A"/>
    <w:rsid w:val="008B2E35"/>
    <w:rsid w:val="008B3186"/>
    <w:rsid w:val="008B3414"/>
    <w:rsid w:val="008B3778"/>
    <w:rsid w:val="008B45A3"/>
    <w:rsid w:val="008B46B0"/>
    <w:rsid w:val="008B4B1F"/>
    <w:rsid w:val="008B56D1"/>
    <w:rsid w:val="008B5B2B"/>
    <w:rsid w:val="008B61CB"/>
    <w:rsid w:val="008B7D68"/>
    <w:rsid w:val="008C0126"/>
    <w:rsid w:val="008C04B6"/>
    <w:rsid w:val="008C05B7"/>
    <w:rsid w:val="008C0A84"/>
    <w:rsid w:val="008C2003"/>
    <w:rsid w:val="008C2091"/>
    <w:rsid w:val="008C2492"/>
    <w:rsid w:val="008C2F99"/>
    <w:rsid w:val="008C361E"/>
    <w:rsid w:val="008C50D2"/>
    <w:rsid w:val="008C53D6"/>
    <w:rsid w:val="008C56D0"/>
    <w:rsid w:val="008C5A74"/>
    <w:rsid w:val="008C5D68"/>
    <w:rsid w:val="008C5DB6"/>
    <w:rsid w:val="008C6A0C"/>
    <w:rsid w:val="008C7669"/>
    <w:rsid w:val="008C7EE4"/>
    <w:rsid w:val="008D0DA3"/>
    <w:rsid w:val="008D14FC"/>
    <w:rsid w:val="008D1A86"/>
    <w:rsid w:val="008D36F2"/>
    <w:rsid w:val="008D4733"/>
    <w:rsid w:val="008D580F"/>
    <w:rsid w:val="008D6FD3"/>
    <w:rsid w:val="008E0644"/>
    <w:rsid w:val="008E0FCE"/>
    <w:rsid w:val="008E0FED"/>
    <w:rsid w:val="008E1419"/>
    <w:rsid w:val="008E14AA"/>
    <w:rsid w:val="008E3B1F"/>
    <w:rsid w:val="008E4751"/>
    <w:rsid w:val="008E579E"/>
    <w:rsid w:val="008E6524"/>
    <w:rsid w:val="008E782B"/>
    <w:rsid w:val="008E7C3F"/>
    <w:rsid w:val="008F17A7"/>
    <w:rsid w:val="008F2646"/>
    <w:rsid w:val="008F2D7D"/>
    <w:rsid w:val="008F30C6"/>
    <w:rsid w:val="008F31F8"/>
    <w:rsid w:val="008F3D6C"/>
    <w:rsid w:val="008F4005"/>
    <w:rsid w:val="008F4049"/>
    <w:rsid w:val="008F414F"/>
    <w:rsid w:val="008F5EA7"/>
    <w:rsid w:val="008F646D"/>
    <w:rsid w:val="008F72C1"/>
    <w:rsid w:val="008F76A5"/>
    <w:rsid w:val="00900FC1"/>
    <w:rsid w:val="00901A10"/>
    <w:rsid w:val="00901CEB"/>
    <w:rsid w:val="00902131"/>
    <w:rsid w:val="00902B0A"/>
    <w:rsid w:val="00903264"/>
    <w:rsid w:val="00904D79"/>
    <w:rsid w:val="00904EDD"/>
    <w:rsid w:val="0090525B"/>
    <w:rsid w:val="0090622F"/>
    <w:rsid w:val="00906D80"/>
    <w:rsid w:val="009070E0"/>
    <w:rsid w:val="009073CC"/>
    <w:rsid w:val="00910ADE"/>
    <w:rsid w:val="0091107C"/>
    <w:rsid w:val="00911FE3"/>
    <w:rsid w:val="00912D29"/>
    <w:rsid w:val="00912EFB"/>
    <w:rsid w:val="00913491"/>
    <w:rsid w:val="009142FE"/>
    <w:rsid w:val="009143F5"/>
    <w:rsid w:val="00915B32"/>
    <w:rsid w:val="00916431"/>
    <w:rsid w:val="00916E21"/>
    <w:rsid w:val="00917795"/>
    <w:rsid w:val="00920078"/>
    <w:rsid w:val="009200A5"/>
    <w:rsid w:val="009213B2"/>
    <w:rsid w:val="00921506"/>
    <w:rsid w:val="00921785"/>
    <w:rsid w:val="00921923"/>
    <w:rsid w:val="00922840"/>
    <w:rsid w:val="009230F2"/>
    <w:rsid w:val="00923858"/>
    <w:rsid w:val="009245F3"/>
    <w:rsid w:val="009258DB"/>
    <w:rsid w:val="00925DB6"/>
    <w:rsid w:val="00925DF6"/>
    <w:rsid w:val="00931A7C"/>
    <w:rsid w:val="0093244A"/>
    <w:rsid w:val="00932D10"/>
    <w:rsid w:val="00933207"/>
    <w:rsid w:val="009342A9"/>
    <w:rsid w:val="00934835"/>
    <w:rsid w:val="00934F4A"/>
    <w:rsid w:val="00935C35"/>
    <w:rsid w:val="00936276"/>
    <w:rsid w:val="009370CD"/>
    <w:rsid w:val="0093783B"/>
    <w:rsid w:val="00937E12"/>
    <w:rsid w:val="009411FA"/>
    <w:rsid w:val="00941546"/>
    <w:rsid w:val="009415AB"/>
    <w:rsid w:val="00943295"/>
    <w:rsid w:val="00943F7C"/>
    <w:rsid w:val="0094540A"/>
    <w:rsid w:val="009455BB"/>
    <w:rsid w:val="009457D1"/>
    <w:rsid w:val="0094730C"/>
    <w:rsid w:val="00947971"/>
    <w:rsid w:val="009479C0"/>
    <w:rsid w:val="00947AAB"/>
    <w:rsid w:val="00953089"/>
    <w:rsid w:val="009540E5"/>
    <w:rsid w:val="00954559"/>
    <w:rsid w:val="00955702"/>
    <w:rsid w:val="0095698D"/>
    <w:rsid w:val="00957487"/>
    <w:rsid w:val="00957E99"/>
    <w:rsid w:val="00960590"/>
    <w:rsid w:val="00960CE8"/>
    <w:rsid w:val="009613E4"/>
    <w:rsid w:val="00961CEC"/>
    <w:rsid w:val="00962CA0"/>
    <w:rsid w:val="00963744"/>
    <w:rsid w:val="009637E4"/>
    <w:rsid w:val="00963E87"/>
    <w:rsid w:val="009654B3"/>
    <w:rsid w:val="009655F0"/>
    <w:rsid w:val="00965A43"/>
    <w:rsid w:val="009660F7"/>
    <w:rsid w:val="0096613B"/>
    <w:rsid w:val="00966D0A"/>
    <w:rsid w:val="00967588"/>
    <w:rsid w:val="009675BE"/>
    <w:rsid w:val="009712EB"/>
    <w:rsid w:val="00972A42"/>
    <w:rsid w:val="00972AC0"/>
    <w:rsid w:val="00972C2E"/>
    <w:rsid w:val="0097376E"/>
    <w:rsid w:val="00973C27"/>
    <w:rsid w:val="00973CAF"/>
    <w:rsid w:val="0097481A"/>
    <w:rsid w:val="00975415"/>
    <w:rsid w:val="00975881"/>
    <w:rsid w:val="00976B2C"/>
    <w:rsid w:val="00982079"/>
    <w:rsid w:val="00982B05"/>
    <w:rsid w:val="00983374"/>
    <w:rsid w:val="009836F3"/>
    <w:rsid w:val="00983D79"/>
    <w:rsid w:val="009851CD"/>
    <w:rsid w:val="00985344"/>
    <w:rsid w:val="0098607C"/>
    <w:rsid w:val="0098658A"/>
    <w:rsid w:val="00986A99"/>
    <w:rsid w:val="00986F61"/>
    <w:rsid w:val="00990670"/>
    <w:rsid w:val="009907B3"/>
    <w:rsid w:val="009909C2"/>
    <w:rsid w:val="00990B1C"/>
    <w:rsid w:val="00992303"/>
    <w:rsid w:val="00993894"/>
    <w:rsid w:val="00993A76"/>
    <w:rsid w:val="00993F2E"/>
    <w:rsid w:val="0099474D"/>
    <w:rsid w:val="0099649B"/>
    <w:rsid w:val="00996540"/>
    <w:rsid w:val="009965E7"/>
    <w:rsid w:val="00997E9F"/>
    <w:rsid w:val="009A033D"/>
    <w:rsid w:val="009A11A4"/>
    <w:rsid w:val="009A1532"/>
    <w:rsid w:val="009A1545"/>
    <w:rsid w:val="009A17B1"/>
    <w:rsid w:val="009A1D46"/>
    <w:rsid w:val="009A1D76"/>
    <w:rsid w:val="009A39DE"/>
    <w:rsid w:val="009A41D7"/>
    <w:rsid w:val="009A4EE6"/>
    <w:rsid w:val="009A50ED"/>
    <w:rsid w:val="009A5123"/>
    <w:rsid w:val="009A5A23"/>
    <w:rsid w:val="009A6242"/>
    <w:rsid w:val="009A6A09"/>
    <w:rsid w:val="009B07F9"/>
    <w:rsid w:val="009B0C17"/>
    <w:rsid w:val="009B13AF"/>
    <w:rsid w:val="009B13F8"/>
    <w:rsid w:val="009B1E6F"/>
    <w:rsid w:val="009B4388"/>
    <w:rsid w:val="009B4906"/>
    <w:rsid w:val="009B496F"/>
    <w:rsid w:val="009B49B2"/>
    <w:rsid w:val="009B4D32"/>
    <w:rsid w:val="009B574C"/>
    <w:rsid w:val="009B5B33"/>
    <w:rsid w:val="009B7027"/>
    <w:rsid w:val="009B7C8F"/>
    <w:rsid w:val="009C037C"/>
    <w:rsid w:val="009C0BDC"/>
    <w:rsid w:val="009C142A"/>
    <w:rsid w:val="009C179B"/>
    <w:rsid w:val="009C2FFA"/>
    <w:rsid w:val="009C4183"/>
    <w:rsid w:val="009C45D5"/>
    <w:rsid w:val="009C4887"/>
    <w:rsid w:val="009C4AFB"/>
    <w:rsid w:val="009C4CCC"/>
    <w:rsid w:val="009C5AE9"/>
    <w:rsid w:val="009C5EA5"/>
    <w:rsid w:val="009C6461"/>
    <w:rsid w:val="009C68A8"/>
    <w:rsid w:val="009C7B7A"/>
    <w:rsid w:val="009D0B0C"/>
    <w:rsid w:val="009D133D"/>
    <w:rsid w:val="009D207B"/>
    <w:rsid w:val="009D248F"/>
    <w:rsid w:val="009D257F"/>
    <w:rsid w:val="009D31EE"/>
    <w:rsid w:val="009D3651"/>
    <w:rsid w:val="009D4775"/>
    <w:rsid w:val="009D5688"/>
    <w:rsid w:val="009D7DD3"/>
    <w:rsid w:val="009E1244"/>
    <w:rsid w:val="009E1F80"/>
    <w:rsid w:val="009E2071"/>
    <w:rsid w:val="009E24B5"/>
    <w:rsid w:val="009E2D9D"/>
    <w:rsid w:val="009E42A1"/>
    <w:rsid w:val="009E51B0"/>
    <w:rsid w:val="009F056A"/>
    <w:rsid w:val="009F1025"/>
    <w:rsid w:val="009F1465"/>
    <w:rsid w:val="009F2A15"/>
    <w:rsid w:val="009F3990"/>
    <w:rsid w:val="009F52A2"/>
    <w:rsid w:val="009F570E"/>
    <w:rsid w:val="009F5F03"/>
    <w:rsid w:val="009F69D5"/>
    <w:rsid w:val="00A00919"/>
    <w:rsid w:val="00A01F7C"/>
    <w:rsid w:val="00A0551D"/>
    <w:rsid w:val="00A05656"/>
    <w:rsid w:val="00A0612E"/>
    <w:rsid w:val="00A07283"/>
    <w:rsid w:val="00A10F1E"/>
    <w:rsid w:val="00A11A57"/>
    <w:rsid w:val="00A124AC"/>
    <w:rsid w:val="00A12D8E"/>
    <w:rsid w:val="00A13233"/>
    <w:rsid w:val="00A13292"/>
    <w:rsid w:val="00A13D11"/>
    <w:rsid w:val="00A156D5"/>
    <w:rsid w:val="00A15F46"/>
    <w:rsid w:val="00A160A4"/>
    <w:rsid w:val="00A16CDD"/>
    <w:rsid w:val="00A171B3"/>
    <w:rsid w:val="00A175FD"/>
    <w:rsid w:val="00A20991"/>
    <w:rsid w:val="00A21310"/>
    <w:rsid w:val="00A213E4"/>
    <w:rsid w:val="00A2216F"/>
    <w:rsid w:val="00A2272B"/>
    <w:rsid w:val="00A238F9"/>
    <w:rsid w:val="00A23BE5"/>
    <w:rsid w:val="00A2502C"/>
    <w:rsid w:val="00A25252"/>
    <w:rsid w:val="00A25C4F"/>
    <w:rsid w:val="00A25C9D"/>
    <w:rsid w:val="00A262E8"/>
    <w:rsid w:val="00A27587"/>
    <w:rsid w:val="00A27F36"/>
    <w:rsid w:val="00A3050B"/>
    <w:rsid w:val="00A3121B"/>
    <w:rsid w:val="00A3130B"/>
    <w:rsid w:val="00A316B3"/>
    <w:rsid w:val="00A31835"/>
    <w:rsid w:val="00A31F8B"/>
    <w:rsid w:val="00A322CA"/>
    <w:rsid w:val="00A322FE"/>
    <w:rsid w:val="00A330C9"/>
    <w:rsid w:val="00A34179"/>
    <w:rsid w:val="00A34339"/>
    <w:rsid w:val="00A3455F"/>
    <w:rsid w:val="00A35132"/>
    <w:rsid w:val="00A3599A"/>
    <w:rsid w:val="00A36E70"/>
    <w:rsid w:val="00A37677"/>
    <w:rsid w:val="00A37D47"/>
    <w:rsid w:val="00A42249"/>
    <w:rsid w:val="00A42274"/>
    <w:rsid w:val="00A4233A"/>
    <w:rsid w:val="00A42AB8"/>
    <w:rsid w:val="00A42E13"/>
    <w:rsid w:val="00A43601"/>
    <w:rsid w:val="00A43801"/>
    <w:rsid w:val="00A43A2C"/>
    <w:rsid w:val="00A43BCA"/>
    <w:rsid w:val="00A44326"/>
    <w:rsid w:val="00A44C34"/>
    <w:rsid w:val="00A45635"/>
    <w:rsid w:val="00A45A88"/>
    <w:rsid w:val="00A46161"/>
    <w:rsid w:val="00A46D32"/>
    <w:rsid w:val="00A47317"/>
    <w:rsid w:val="00A477B6"/>
    <w:rsid w:val="00A47835"/>
    <w:rsid w:val="00A47BFA"/>
    <w:rsid w:val="00A47CE1"/>
    <w:rsid w:val="00A47D55"/>
    <w:rsid w:val="00A50B25"/>
    <w:rsid w:val="00A52081"/>
    <w:rsid w:val="00A52313"/>
    <w:rsid w:val="00A56193"/>
    <w:rsid w:val="00A56245"/>
    <w:rsid w:val="00A57125"/>
    <w:rsid w:val="00A617F3"/>
    <w:rsid w:val="00A61A28"/>
    <w:rsid w:val="00A61C00"/>
    <w:rsid w:val="00A625FE"/>
    <w:rsid w:val="00A62B7D"/>
    <w:rsid w:val="00A6331D"/>
    <w:rsid w:val="00A6525A"/>
    <w:rsid w:val="00A668FA"/>
    <w:rsid w:val="00A671AF"/>
    <w:rsid w:val="00A67969"/>
    <w:rsid w:val="00A715CE"/>
    <w:rsid w:val="00A72D66"/>
    <w:rsid w:val="00A73104"/>
    <w:rsid w:val="00A73222"/>
    <w:rsid w:val="00A73BC0"/>
    <w:rsid w:val="00A7415E"/>
    <w:rsid w:val="00A742DF"/>
    <w:rsid w:val="00A7452C"/>
    <w:rsid w:val="00A745D4"/>
    <w:rsid w:val="00A75363"/>
    <w:rsid w:val="00A76476"/>
    <w:rsid w:val="00A76D9B"/>
    <w:rsid w:val="00A77FE9"/>
    <w:rsid w:val="00A80578"/>
    <w:rsid w:val="00A811AF"/>
    <w:rsid w:val="00A81CA5"/>
    <w:rsid w:val="00A82A1B"/>
    <w:rsid w:val="00A82B9F"/>
    <w:rsid w:val="00A82E46"/>
    <w:rsid w:val="00A831F6"/>
    <w:rsid w:val="00A844CC"/>
    <w:rsid w:val="00A847B6"/>
    <w:rsid w:val="00A849E0"/>
    <w:rsid w:val="00A84D22"/>
    <w:rsid w:val="00A84D47"/>
    <w:rsid w:val="00A85C9C"/>
    <w:rsid w:val="00A8644C"/>
    <w:rsid w:val="00A86E87"/>
    <w:rsid w:val="00A912C0"/>
    <w:rsid w:val="00A9165C"/>
    <w:rsid w:val="00A91F98"/>
    <w:rsid w:val="00A92962"/>
    <w:rsid w:val="00A92C94"/>
    <w:rsid w:val="00A9380D"/>
    <w:rsid w:val="00A94841"/>
    <w:rsid w:val="00A94A1A"/>
    <w:rsid w:val="00A94FD9"/>
    <w:rsid w:val="00A95229"/>
    <w:rsid w:val="00A95FB5"/>
    <w:rsid w:val="00A96A65"/>
    <w:rsid w:val="00A97326"/>
    <w:rsid w:val="00A976CC"/>
    <w:rsid w:val="00A97AAE"/>
    <w:rsid w:val="00A97D68"/>
    <w:rsid w:val="00AA0369"/>
    <w:rsid w:val="00AA0370"/>
    <w:rsid w:val="00AA08BE"/>
    <w:rsid w:val="00AA0B2F"/>
    <w:rsid w:val="00AA16BF"/>
    <w:rsid w:val="00AA17B0"/>
    <w:rsid w:val="00AA1827"/>
    <w:rsid w:val="00AA1B84"/>
    <w:rsid w:val="00AA279B"/>
    <w:rsid w:val="00AA288F"/>
    <w:rsid w:val="00AA3577"/>
    <w:rsid w:val="00AA430D"/>
    <w:rsid w:val="00AA47DF"/>
    <w:rsid w:val="00AA49DE"/>
    <w:rsid w:val="00AA5F5D"/>
    <w:rsid w:val="00AA77FD"/>
    <w:rsid w:val="00AB0DEF"/>
    <w:rsid w:val="00AB169D"/>
    <w:rsid w:val="00AB1D7A"/>
    <w:rsid w:val="00AB2258"/>
    <w:rsid w:val="00AB22E1"/>
    <w:rsid w:val="00AB247D"/>
    <w:rsid w:val="00AB262A"/>
    <w:rsid w:val="00AB29D5"/>
    <w:rsid w:val="00AB342D"/>
    <w:rsid w:val="00AB41DF"/>
    <w:rsid w:val="00AB4494"/>
    <w:rsid w:val="00AB49C5"/>
    <w:rsid w:val="00AB6BFB"/>
    <w:rsid w:val="00AB7877"/>
    <w:rsid w:val="00AB79F5"/>
    <w:rsid w:val="00AB7C60"/>
    <w:rsid w:val="00AC04A1"/>
    <w:rsid w:val="00AC09D2"/>
    <w:rsid w:val="00AC0B9A"/>
    <w:rsid w:val="00AC1A54"/>
    <w:rsid w:val="00AC1F43"/>
    <w:rsid w:val="00AC279B"/>
    <w:rsid w:val="00AC285F"/>
    <w:rsid w:val="00AC4019"/>
    <w:rsid w:val="00AC4292"/>
    <w:rsid w:val="00AC4323"/>
    <w:rsid w:val="00AC6D0D"/>
    <w:rsid w:val="00AC7196"/>
    <w:rsid w:val="00AC740B"/>
    <w:rsid w:val="00AD06A0"/>
    <w:rsid w:val="00AD1387"/>
    <w:rsid w:val="00AD153C"/>
    <w:rsid w:val="00AD1B59"/>
    <w:rsid w:val="00AD1E46"/>
    <w:rsid w:val="00AD23CD"/>
    <w:rsid w:val="00AD2409"/>
    <w:rsid w:val="00AD2A42"/>
    <w:rsid w:val="00AD45E1"/>
    <w:rsid w:val="00AE0D6E"/>
    <w:rsid w:val="00AE0D7A"/>
    <w:rsid w:val="00AE11EB"/>
    <w:rsid w:val="00AE1E2A"/>
    <w:rsid w:val="00AE4C1A"/>
    <w:rsid w:val="00AE4FCB"/>
    <w:rsid w:val="00AE5310"/>
    <w:rsid w:val="00AE5C2C"/>
    <w:rsid w:val="00AE5D50"/>
    <w:rsid w:val="00AE5E64"/>
    <w:rsid w:val="00AE6F43"/>
    <w:rsid w:val="00AE7A3B"/>
    <w:rsid w:val="00AF0B5D"/>
    <w:rsid w:val="00AF0E76"/>
    <w:rsid w:val="00AF1698"/>
    <w:rsid w:val="00AF3E6A"/>
    <w:rsid w:val="00AF4196"/>
    <w:rsid w:val="00AF43CC"/>
    <w:rsid w:val="00AF4519"/>
    <w:rsid w:val="00AF53E2"/>
    <w:rsid w:val="00AF5C72"/>
    <w:rsid w:val="00AF61BA"/>
    <w:rsid w:val="00AF6495"/>
    <w:rsid w:val="00AF6644"/>
    <w:rsid w:val="00AF6BDD"/>
    <w:rsid w:val="00AF6C29"/>
    <w:rsid w:val="00AF78F1"/>
    <w:rsid w:val="00B009C7"/>
    <w:rsid w:val="00B00ABC"/>
    <w:rsid w:val="00B0324F"/>
    <w:rsid w:val="00B05194"/>
    <w:rsid w:val="00B065AF"/>
    <w:rsid w:val="00B06949"/>
    <w:rsid w:val="00B072A2"/>
    <w:rsid w:val="00B07523"/>
    <w:rsid w:val="00B07821"/>
    <w:rsid w:val="00B07E28"/>
    <w:rsid w:val="00B101AA"/>
    <w:rsid w:val="00B102BA"/>
    <w:rsid w:val="00B10563"/>
    <w:rsid w:val="00B114FD"/>
    <w:rsid w:val="00B1194B"/>
    <w:rsid w:val="00B11ED4"/>
    <w:rsid w:val="00B1225B"/>
    <w:rsid w:val="00B123F6"/>
    <w:rsid w:val="00B1265C"/>
    <w:rsid w:val="00B12985"/>
    <w:rsid w:val="00B13CA1"/>
    <w:rsid w:val="00B1571C"/>
    <w:rsid w:val="00B1575F"/>
    <w:rsid w:val="00B15EDD"/>
    <w:rsid w:val="00B163DA"/>
    <w:rsid w:val="00B20AE5"/>
    <w:rsid w:val="00B20E17"/>
    <w:rsid w:val="00B20F9F"/>
    <w:rsid w:val="00B214AC"/>
    <w:rsid w:val="00B21D3A"/>
    <w:rsid w:val="00B21D71"/>
    <w:rsid w:val="00B2367B"/>
    <w:rsid w:val="00B2407A"/>
    <w:rsid w:val="00B25661"/>
    <w:rsid w:val="00B256EA"/>
    <w:rsid w:val="00B25F69"/>
    <w:rsid w:val="00B3043C"/>
    <w:rsid w:val="00B30A64"/>
    <w:rsid w:val="00B30D04"/>
    <w:rsid w:val="00B313A5"/>
    <w:rsid w:val="00B31441"/>
    <w:rsid w:val="00B31D7F"/>
    <w:rsid w:val="00B33361"/>
    <w:rsid w:val="00B34E70"/>
    <w:rsid w:val="00B35205"/>
    <w:rsid w:val="00B36584"/>
    <w:rsid w:val="00B36F8A"/>
    <w:rsid w:val="00B37B80"/>
    <w:rsid w:val="00B37CB9"/>
    <w:rsid w:val="00B406F9"/>
    <w:rsid w:val="00B40C9E"/>
    <w:rsid w:val="00B435AE"/>
    <w:rsid w:val="00B4461F"/>
    <w:rsid w:val="00B452E9"/>
    <w:rsid w:val="00B46662"/>
    <w:rsid w:val="00B470DD"/>
    <w:rsid w:val="00B473D4"/>
    <w:rsid w:val="00B473EF"/>
    <w:rsid w:val="00B47615"/>
    <w:rsid w:val="00B47F60"/>
    <w:rsid w:val="00B5063B"/>
    <w:rsid w:val="00B515A1"/>
    <w:rsid w:val="00B528F8"/>
    <w:rsid w:val="00B539BB"/>
    <w:rsid w:val="00B54867"/>
    <w:rsid w:val="00B555A2"/>
    <w:rsid w:val="00B56508"/>
    <w:rsid w:val="00B57489"/>
    <w:rsid w:val="00B60289"/>
    <w:rsid w:val="00B610B2"/>
    <w:rsid w:val="00B61180"/>
    <w:rsid w:val="00B613DB"/>
    <w:rsid w:val="00B62955"/>
    <w:rsid w:val="00B62B37"/>
    <w:rsid w:val="00B64B25"/>
    <w:rsid w:val="00B64FCA"/>
    <w:rsid w:val="00B65AF1"/>
    <w:rsid w:val="00B67D46"/>
    <w:rsid w:val="00B716F0"/>
    <w:rsid w:val="00B71D7C"/>
    <w:rsid w:val="00B721AF"/>
    <w:rsid w:val="00B72419"/>
    <w:rsid w:val="00B72E45"/>
    <w:rsid w:val="00B72FBB"/>
    <w:rsid w:val="00B75B65"/>
    <w:rsid w:val="00B7658A"/>
    <w:rsid w:val="00B770CD"/>
    <w:rsid w:val="00B771E3"/>
    <w:rsid w:val="00B7730F"/>
    <w:rsid w:val="00B77FF1"/>
    <w:rsid w:val="00B80591"/>
    <w:rsid w:val="00B80B48"/>
    <w:rsid w:val="00B81245"/>
    <w:rsid w:val="00B813E1"/>
    <w:rsid w:val="00B81890"/>
    <w:rsid w:val="00B81990"/>
    <w:rsid w:val="00B827FA"/>
    <w:rsid w:val="00B82B1B"/>
    <w:rsid w:val="00B83F8A"/>
    <w:rsid w:val="00B845A0"/>
    <w:rsid w:val="00B845A8"/>
    <w:rsid w:val="00B84612"/>
    <w:rsid w:val="00B85023"/>
    <w:rsid w:val="00B873FB"/>
    <w:rsid w:val="00B87F5A"/>
    <w:rsid w:val="00B90501"/>
    <w:rsid w:val="00B90662"/>
    <w:rsid w:val="00B91886"/>
    <w:rsid w:val="00B922FC"/>
    <w:rsid w:val="00B92321"/>
    <w:rsid w:val="00B934B5"/>
    <w:rsid w:val="00B9357F"/>
    <w:rsid w:val="00B93668"/>
    <w:rsid w:val="00B93B94"/>
    <w:rsid w:val="00B94B7B"/>
    <w:rsid w:val="00B957DD"/>
    <w:rsid w:val="00B95A81"/>
    <w:rsid w:val="00B95DBE"/>
    <w:rsid w:val="00B97981"/>
    <w:rsid w:val="00BA185C"/>
    <w:rsid w:val="00BA1A0A"/>
    <w:rsid w:val="00BA2D06"/>
    <w:rsid w:val="00BA2E50"/>
    <w:rsid w:val="00BA2FE9"/>
    <w:rsid w:val="00BA31E9"/>
    <w:rsid w:val="00BA38E9"/>
    <w:rsid w:val="00BA3E41"/>
    <w:rsid w:val="00BA4059"/>
    <w:rsid w:val="00BA4CEB"/>
    <w:rsid w:val="00BA616E"/>
    <w:rsid w:val="00BA6191"/>
    <w:rsid w:val="00BB06D0"/>
    <w:rsid w:val="00BB0B29"/>
    <w:rsid w:val="00BB0D32"/>
    <w:rsid w:val="00BB12F7"/>
    <w:rsid w:val="00BB192F"/>
    <w:rsid w:val="00BB26C4"/>
    <w:rsid w:val="00BB3227"/>
    <w:rsid w:val="00BB336E"/>
    <w:rsid w:val="00BB35E9"/>
    <w:rsid w:val="00BB3FE7"/>
    <w:rsid w:val="00BB49DE"/>
    <w:rsid w:val="00BB6C7E"/>
    <w:rsid w:val="00BC1566"/>
    <w:rsid w:val="00BC255B"/>
    <w:rsid w:val="00BC46F0"/>
    <w:rsid w:val="00BC57A9"/>
    <w:rsid w:val="00BC5808"/>
    <w:rsid w:val="00BC5851"/>
    <w:rsid w:val="00BC633A"/>
    <w:rsid w:val="00BC75A5"/>
    <w:rsid w:val="00BC77DA"/>
    <w:rsid w:val="00BC7C67"/>
    <w:rsid w:val="00BD051F"/>
    <w:rsid w:val="00BD059D"/>
    <w:rsid w:val="00BD0A7A"/>
    <w:rsid w:val="00BD4B22"/>
    <w:rsid w:val="00BD4F6D"/>
    <w:rsid w:val="00BD576D"/>
    <w:rsid w:val="00BD5C49"/>
    <w:rsid w:val="00BD759F"/>
    <w:rsid w:val="00BE0091"/>
    <w:rsid w:val="00BE13CB"/>
    <w:rsid w:val="00BE1669"/>
    <w:rsid w:val="00BE2B1C"/>
    <w:rsid w:val="00BE4E02"/>
    <w:rsid w:val="00BE558D"/>
    <w:rsid w:val="00BE7517"/>
    <w:rsid w:val="00BE75FF"/>
    <w:rsid w:val="00BE7705"/>
    <w:rsid w:val="00BE7AF4"/>
    <w:rsid w:val="00BF10CE"/>
    <w:rsid w:val="00BF2303"/>
    <w:rsid w:val="00BF3057"/>
    <w:rsid w:val="00BF3225"/>
    <w:rsid w:val="00BF3CBA"/>
    <w:rsid w:val="00BF3FCB"/>
    <w:rsid w:val="00BF444E"/>
    <w:rsid w:val="00BF44C7"/>
    <w:rsid w:val="00BF4E69"/>
    <w:rsid w:val="00BF4ED9"/>
    <w:rsid w:val="00BF53FF"/>
    <w:rsid w:val="00BF688C"/>
    <w:rsid w:val="00BF7699"/>
    <w:rsid w:val="00C01105"/>
    <w:rsid w:val="00C029D8"/>
    <w:rsid w:val="00C03044"/>
    <w:rsid w:val="00C0327F"/>
    <w:rsid w:val="00C03319"/>
    <w:rsid w:val="00C05550"/>
    <w:rsid w:val="00C058A7"/>
    <w:rsid w:val="00C05A2C"/>
    <w:rsid w:val="00C05FFE"/>
    <w:rsid w:val="00C0627C"/>
    <w:rsid w:val="00C06323"/>
    <w:rsid w:val="00C06B9C"/>
    <w:rsid w:val="00C07288"/>
    <w:rsid w:val="00C0738A"/>
    <w:rsid w:val="00C07D0F"/>
    <w:rsid w:val="00C07FF1"/>
    <w:rsid w:val="00C10E23"/>
    <w:rsid w:val="00C12E93"/>
    <w:rsid w:val="00C150B2"/>
    <w:rsid w:val="00C15314"/>
    <w:rsid w:val="00C156F4"/>
    <w:rsid w:val="00C165E8"/>
    <w:rsid w:val="00C16B57"/>
    <w:rsid w:val="00C174BB"/>
    <w:rsid w:val="00C201F1"/>
    <w:rsid w:val="00C22494"/>
    <w:rsid w:val="00C225A1"/>
    <w:rsid w:val="00C229FA"/>
    <w:rsid w:val="00C23075"/>
    <w:rsid w:val="00C23927"/>
    <w:rsid w:val="00C24638"/>
    <w:rsid w:val="00C24AF6"/>
    <w:rsid w:val="00C252A5"/>
    <w:rsid w:val="00C25D5A"/>
    <w:rsid w:val="00C26F1F"/>
    <w:rsid w:val="00C27D67"/>
    <w:rsid w:val="00C3027F"/>
    <w:rsid w:val="00C3045A"/>
    <w:rsid w:val="00C3046B"/>
    <w:rsid w:val="00C30D56"/>
    <w:rsid w:val="00C33560"/>
    <w:rsid w:val="00C34BB7"/>
    <w:rsid w:val="00C351B5"/>
    <w:rsid w:val="00C3576B"/>
    <w:rsid w:val="00C35FAB"/>
    <w:rsid w:val="00C36444"/>
    <w:rsid w:val="00C36B89"/>
    <w:rsid w:val="00C36F2E"/>
    <w:rsid w:val="00C3705D"/>
    <w:rsid w:val="00C37CA4"/>
    <w:rsid w:val="00C41888"/>
    <w:rsid w:val="00C420AB"/>
    <w:rsid w:val="00C4227E"/>
    <w:rsid w:val="00C43670"/>
    <w:rsid w:val="00C44D51"/>
    <w:rsid w:val="00C44F80"/>
    <w:rsid w:val="00C47FAC"/>
    <w:rsid w:val="00C51C84"/>
    <w:rsid w:val="00C51DFE"/>
    <w:rsid w:val="00C528CA"/>
    <w:rsid w:val="00C53B32"/>
    <w:rsid w:val="00C53E07"/>
    <w:rsid w:val="00C545A4"/>
    <w:rsid w:val="00C54712"/>
    <w:rsid w:val="00C573C9"/>
    <w:rsid w:val="00C5751D"/>
    <w:rsid w:val="00C60058"/>
    <w:rsid w:val="00C604C3"/>
    <w:rsid w:val="00C604CB"/>
    <w:rsid w:val="00C61000"/>
    <w:rsid w:val="00C63149"/>
    <w:rsid w:val="00C6357A"/>
    <w:rsid w:val="00C63E17"/>
    <w:rsid w:val="00C64D60"/>
    <w:rsid w:val="00C65139"/>
    <w:rsid w:val="00C65865"/>
    <w:rsid w:val="00C66B45"/>
    <w:rsid w:val="00C67DAE"/>
    <w:rsid w:val="00C70E4C"/>
    <w:rsid w:val="00C712BD"/>
    <w:rsid w:val="00C727F7"/>
    <w:rsid w:val="00C72B83"/>
    <w:rsid w:val="00C736B3"/>
    <w:rsid w:val="00C74C2B"/>
    <w:rsid w:val="00C764F7"/>
    <w:rsid w:val="00C76DB7"/>
    <w:rsid w:val="00C76DE5"/>
    <w:rsid w:val="00C770B4"/>
    <w:rsid w:val="00C7725C"/>
    <w:rsid w:val="00C81748"/>
    <w:rsid w:val="00C81AEA"/>
    <w:rsid w:val="00C81B72"/>
    <w:rsid w:val="00C8315D"/>
    <w:rsid w:val="00C837C5"/>
    <w:rsid w:val="00C83ED8"/>
    <w:rsid w:val="00C84209"/>
    <w:rsid w:val="00C850EC"/>
    <w:rsid w:val="00C85F50"/>
    <w:rsid w:val="00C86BFE"/>
    <w:rsid w:val="00C86DF6"/>
    <w:rsid w:val="00C87274"/>
    <w:rsid w:val="00C90CA2"/>
    <w:rsid w:val="00C91B1B"/>
    <w:rsid w:val="00C934C2"/>
    <w:rsid w:val="00C94A6D"/>
    <w:rsid w:val="00C94C9B"/>
    <w:rsid w:val="00C9642C"/>
    <w:rsid w:val="00C9642D"/>
    <w:rsid w:val="00C96749"/>
    <w:rsid w:val="00C976DC"/>
    <w:rsid w:val="00CA07F3"/>
    <w:rsid w:val="00CA1318"/>
    <w:rsid w:val="00CA1FF4"/>
    <w:rsid w:val="00CA3424"/>
    <w:rsid w:val="00CA4787"/>
    <w:rsid w:val="00CA572F"/>
    <w:rsid w:val="00CA619F"/>
    <w:rsid w:val="00CA69D8"/>
    <w:rsid w:val="00CA6CCD"/>
    <w:rsid w:val="00CA6E97"/>
    <w:rsid w:val="00CB0F47"/>
    <w:rsid w:val="00CB1403"/>
    <w:rsid w:val="00CB2589"/>
    <w:rsid w:val="00CB26B1"/>
    <w:rsid w:val="00CB2ECE"/>
    <w:rsid w:val="00CB3391"/>
    <w:rsid w:val="00CB4FE6"/>
    <w:rsid w:val="00CB6A9B"/>
    <w:rsid w:val="00CB74AB"/>
    <w:rsid w:val="00CC0899"/>
    <w:rsid w:val="00CC0F27"/>
    <w:rsid w:val="00CC14E1"/>
    <w:rsid w:val="00CC266D"/>
    <w:rsid w:val="00CC2DAE"/>
    <w:rsid w:val="00CC2DB1"/>
    <w:rsid w:val="00CC2FC0"/>
    <w:rsid w:val="00CC2FD5"/>
    <w:rsid w:val="00CC37BC"/>
    <w:rsid w:val="00CC40AC"/>
    <w:rsid w:val="00CC40B7"/>
    <w:rsid w:val="00CC4745"/>
    <w:rsid w:val="00CC48B9"/>
    <w:rsid w:val="00CC54CF"/>
    <w:rsid w:val="00CC586D"/>
    <w:rsid w:val="00CC5C5C"/>
    <w:rsid w:val="00CC5FBF"/>
    <w:rsid w:val="00CC67E8"/>
    <w:rsid w:val="00CD0654"/>
    <w:rsid w:val="00CD0F7A"/>
    <w:rsid w:val="00CD26FA"/>
    <w:rsid w:val="00CD299A"/>
    <w:rsid w:val="00CD4943"/>
    <w:rsid w:val="00CD53D3"/>
    <w:rsid w:val="00CD5582"/>
    <w:rsid w:val="00CE038F"/>
    <w:rsid w:val="00CE06B2"/>
    <w:rsid w:val="00CE0F9B"/>
    <w:rsid w:val="00CE140B"/>
    <w:rsid w:val="00CE1A08"/>
    <w:rsid w:val="00CE1F78"/>
    <w:rsid w:val="00CE2E98"/>
    <w:rsid w:val="00CE33EC"/>
    <w:rsid w:val="00CE36A7"/>
    <w:rsid w:val="00CE473D"/>
    <w:rsid w:val="00CE4EB0"/>
    <w:rsid w:val="00CE5F86"/>
    <w:rsid w:val="00CF0248"/>
    <w:rsid w:val="00CF11C1"/>
    <w:rsid w:val="00CF1569"/>
    <w:rsid w:val="00CF1A53"/>
    <w:rsid w:val="00CF24B1"/>
    <w:rsid w:val="00CF24F7"/>
    <w:rsid w:val="00CF2910"/>
    <w:rsid w:val="00CF3439"/>
    <w:rsid w:val="00CF38C4"/>
    <w:rsid w:val="00CF3EE6"/>
    <w:rsid w:val="00CF46CE"/>
    <w:rsid w:val="00CF4B2F"/>
    <w:rsid w:val="00D014F1"/>
    <w:rsid w:val="00D01FB5"/>
    <w:rsid w:val="00D02682"/>
    <w:rsid w:val="00D02BFA"/>
    <w:rsid w:val="00D03FE9"/>
    <w:rsid w:val="00D0504D"/>
    <w:rsid w:val="00D05422"/>
    <w:rsid w:val="00D05A3A"/>
    <w:rsid w:val="00D05B0F"/>
    <w:rsid w:val="00D0691C"/>
    <w:rsid w:val="00D06998"/>
    <w:rsid w:val="00D07E7A"/>
    <w:rsid w:val="00D103BD"/>
    <w:rsid w:val="00D10A05"/>
    <w:rsid w:val="00D1300B"/>
    <w:rsid w:val="00D13378"/>
    <w:rsid w:val="00D135BD"/>
    <w:rsid w:val="00D14796"/>
    <w:rsid w:val="00D15795"/>
    <w:rsid w:val="00D160B5"/>
    <w:rsid w:val="00D167CD"/>
    <w:rsid w:val="00D17766"/>
    <w:rsid w:val="00D20E91"/>
    <w:rsid w:val="00D21BF9"/>
    <w:rsid w:val="00D225F1"/>
    <w:rsid w:val="00D22C6E"/>
    <w:rsid w:val="00D237BB"/>
    <w:rsid w:val="00D23857"/>
    <w:rsid w:val="00D23D4D"/>
    <w:rsid w:val="00D23F4B"/>
    <w:rsid w:val="00D246CF"/>
    <w:rsid w:val="00D25437"/>
    <w:rsid w:val="00D26160"/>
    <w:rsid w:val="00D26417"/>
    <w:rsid w:val="00D264CA"/>
    <w:rsid w:val="00D26DB3"/>
    <w:rsid w:val="00D27F19"/>
    <w:rsid w:val="00D30701"/>
    <w:rsid w:val="00D30938"/>
    <w:rsid w:val="00D30956"/>
    <w:rsid w:val="00D325A1"/>
    <w:rsid w:val="00D32CAA"/>
    <w:rsid w:val="00D331F4"/>
    <w:rsid w:val="00D356AF"/>
    <w:rsid w:val="00D3581A"/>
    <w:rsid w:val="00D36C5A"/>
    <w:rsid w:val="00D36F8C"/>
    <w:rsid w:val="00D37B81"/>
    <w:rsid w:val="00D37E95"/>
    <w:rsid w:val="00D41030"/>
    <w:rsid w:val="00D41BD3"/>
    <w:rsid w:val="00D42C0E"/>
    <w:rsid w:val="00D44561"/>
    <w:rsid w:val="00D445CA"/>
    <w:rsid w:val="00D44D5D"/>
    <w:rsid w:val="00D44FB2"/>
    <w:rsid w:val="00D45445"/>
    <w:rsid w:val="00D45580"/>
    <w:rsid w:val="00D459FB"/>
    <w:rsid w:val="00D45FF6"/>
    <w:rsid w:val="00D469E9"/>
    <w:rsid w:val="00D47935"/>
    <w:rsid w:val="00D50095"/>
    <w:rsid w:val="00D50A5E"/>
    <w:rsid w:val="00D51891"/>
    <w:rsid w:val="00D52DFE"/>
    <w:rsid w:val="00D52FBC"/>
    <w:rsid w:val="00D53B9C"/>
    <w:rsid w:val="00D54533"/>
    <w:rsid w:val="00D54ACD"/>
    <w:rsid w:val="00D54B72"/>
    <w:rsid w:val="00D54D2D"/>
    <w:rsid w:val="00D5589D"/>
    <w:rsid w:val="00D5632C"/>
    <w:rsid w:val="00D5659F"/>
    <w:rsid w:val="00D56B00"/>
    <w:rsid w:val="00D57E57"/>
    <w:rsid w:val="00D60AE0"/>
    <w:rsid w:val="00D60C48"/>
    <w:rsid w:val="00D6189C"/>
    <w:rsid w:val="00D61F66"/>
    <w:rsid w:val="00D62769"/>
    <w:rsid w:val="00D63B95"/>
    <w:rsid w:val="00D6467F"/>
    <w:rsid w:val="00D65326"/>
    <w:rsid w:val="00D655A4"/>
    <w:rsid w:val="00D65A15"/>
    <w:rsid w:val="00D6643B"/>
    <w:rsid w:val="00D6661A"/>
    <w:rsid w:val="00D6737D"/>
    <w:rsid w:val="00D67CE8"/>
    <w:rsid w:val="00D70979"/>
    <w:rsid w:val="00D73B62"/>
    <w:rsid w:val="00D73C0B"/>
    <w:rsid w:val="00D73DD3"/>
    <w:rsid w:val="00D7474E"/>
    <w:rsid w:val="00D75190"/>
    <w:rsid w:val="00D75ABD"/>
    <w:rsid w:val="00D75B63"/>
    <w:rsid w:val="00D77246"/>
    <w:rsid w:val="00D8025C"/>
    <w:rsid w:val="00D80A56"/>
    <w:rsid w:val="00D81398"/>
    <w:rsid w:val="00D813F1"/>
    <w:rsid w:val="00D82026"/>
    <w:rsid w:val="00D82AE9"/>
    <w:rsid w:val="00D83155"/>
    <w:rsid w:val="00D83779"/>
    <w:rsid w:val="00D8411F"/>
    <w:rsid w:val="00D84468"/>
    <w:rsid w:val="00D845B3"/>
    <w:rsid w:val="00D847B7"/>
    <w:rsid w:val="00D8561D"/>
    <w:rsid w:val="00D86490"/>
    <w:rsid w:val="00D86DCB"/>
    <w:rsid w:val="00D871BE"/>
    <w:rsid w:val="00D876AA"/>
    <w:rsid w:val="00D87C27"/>
    <w:rsid w:val="00D87E1C"/>
    <w:rsid w:val="00D90DF0"/>
    <w:rsid w:val="00D915B9"/>
    <w:rsid w:val="00D91D4F"/>
    <w:rsid w:val="00D91FF5"/>
    <w:rsid w:val="00D920FE"/>
    <w:rsid w:val="00D93505"/>
    <w:rsid w:val="00D95A1A"/>
    <w:rsid w:val="00D9621B"/>
    <w:rsid w:val="00D967E8"/>
    <w:rsid w:val="00D96BCC"/>
    <w:rsid w:val="00D973A7"/>
    <w:rsid w:val="00D979A9"/>
    <w:rsid w:val="00DA13A9"/>
    <w:rsid w:val="00DA1D69"/>
    <w:rsid w:val="00DA21BA"/>
    <w:rsid w:val="00DA23F4"/>
    <w:rsid w:val="00DA29A4"/>
    <w:rsid w:val="00DA2D07"/>
    <w:rsid w:val="00DA313B"/>
    <w:rsid w:val="00DA471B"/>
    <w:rsid w:val="00DA6277"/>
    <w:rsid w:val="00DA636B"/>
    <w:rsid w:val="00DA7F09"/>
    <w:rsid w:val="00DB02A2"/>
    <w:rsid w:val="00DB0ED1"/>
    <w:rsid w:val="00DB238B"/>
    <w:rsid w:val="00DB2427"/>
    <w:rsid w:val="00DB2EDD"/>
    <w:rsid w:val="00DB447A"/>
    <w:rsid w:val="00DB6ABB"/>
    <w:rsid w:val="00DB6BF1"/>
    <w:rsid w:val="00DB7035"/>
    <w:rsid w:val="00DB7240"/>
    <w:rsid w:val="00DC0A4C"/>
    <w:rsid w:val="00DC1DB1"/>
    <w:rsid w:val="00DC2BB0"/>
    <w:rsid w:val="00DC31F5"/>
    <w:rsid w:val="00DC4B04"/>
    <w:rsid w:val="00DC58C7"/>
    <w:rsid w:val="00DC5CB6"/>
    <w:rsid w:val="00DC5D57"/>
    <w:rsid w:val="00DC5DC7"/>
    <w:rsid w:val="00DC6091"/>
    <w:rsid w:val="00DC61DB"/>
    <w:rsid w:val="00DC6900"/>
    <w:rsid w:val="00DC7BFB"/>
    <w:rsid w:val="00DD06C0"/>
    <w:rsid w:val="00DD1C06"/>
    <w:rsid w:val="00DD1C67"/>
    <w:rsid w:val="00DD213B"/>
    <w:rsid w:val="00DD28F7"/>
    <w:rsid w:val="00DD3B08"/>
    <w:rsid w:val="00DD4ACA"/>
    <w:rsid w:val="00DD769D"/>
    <w:rsid w:val="00DE0212"/>
    <w:rsid w:val="00DE0804"/>
    <w:rsid w:val="00DE1893"/>
    <w:rsid w:val="00DE2273"/>
    <w:rsid w:val="00DE2574"/>
    <w:rsid w:val="00DE2BC9"/>
    <w:rsid w:val="00DE346F"/>
    <w:rsid w:val="00DE3757"/>
    <w:rsid w:val="00DE5018"/>
    <w:rsid w:val="00DE736C"/>
    <w:rsid w:val="00DE7E0A"/>
    <w:rsid w:val="00DF0049"/>
    <w:rsid w:val="00DF0714"/>
    <w:rsid w:val="00DF0E2F"/>
    <w:rsid w:val="00DF1435"/>
    <w:rsid w:val="00DF1859"/>
    <w:rsid w:val="00DF18B6"/>
    <w:rsid w:val="00DF2B01"/>
    <w:rsid w:val="00DF342A"/>
    <w:rsid w:val="00DF3439"/>
    <w:rsid w:val="00DF3E38"/>
    <w:rsid w:val="00DF442F"/>
    <w:rsid w:val="00DF5BD9"/>
    <w:rsid w:val="00DF5CD8"/>
    <w:rsid w:val="00DF7912"/>
    <w:rsid w:val="00E02B10"/>
    <w:rsid w:val="00E02C95"/>
    <w:rsid w:val="00E06CF3"/>
    <w:rsid w:val="00E07522"/>
    <w:rsid w:val="00E07A64"/>
    <w:rsid w:val="00E07BBF"/>
    <w:rsid w:val="00E1143F"/>
    <w:rsid w:val="00E1194F"/>
    <w:rsid w:val="00E1289E"/>
    <w:rsid w:val="00E12FBD"/>
    <w:rsid w:val="00E137E2"/>
    <w:rsid w:val="00E14E1F"/>
    <w:rsid w:val="00E1607E"/>
    <w:rsid w:val="00E16C6C"/>
    <w:rsid w:val="00E176F9"/>
    <w:rsid w:val="00E177DA"/>
    <w:rsid w:val="00E20781"/>
    <w:rsid w:val="00E20D37"/>
    <w:rsid w:val="00E215A9"/>
    <w:rsid w:val="00E219A8"/>
    <w:rsid w:val="00E21C3C"/>
    <w:rsid w:val="00E23B1B"/>
    <w:rsid w:val="00E23DBA"/>
    <w:rsid w:val="00E246B9"/>
    <w:rsid w:val="00E2557D"/>
    <w:rsid w:val="00E25DD0"/>
    <w:rsid w:val="00E2604A"/>
    <w:rsid w:val="00E2606F"/>
    <w:rsid w:val="00E26586"/>
    <w:rsid w:val="00E26A19"/>
    <w:rsid w:val="00E27578"/>
    <w:rsid w:val="00E30F26"/>
    <w:rsid w:val="00E31E34"/>
    <w:rsid w:val="00E32216"/>
    <w:rsid w:val="00E3351E"/>
    <w:rsid w:val="00E34A15"/>
    <w:rsid w:val="00E34FF7"/>
    <w:rsid w:val="00E369C8"/>
    <w:rsid w:val="00E37102"/>
    <w:rsid w:val="00E407F2"/>
    <w:rsid w:val="00E40EC5"/>
    <w:rsid w:val="00E40FF9"/>
    <w:rsid w:val="00E41368"/>
    <w:rsid w:val="00E41717"/>
    <w:rsid w:val="00E41AFE"/>
    <w:rsid w:val="00E41B69"/>
    <w:rsid w:val="00E42501"/>
    <w:rsid w:val="00E427A9"/>
    <w:rsid w:val="00E42B94"/>
    <w:rsid w:val="00E4796F"/>
    <w:rsid w:val="00E47D05"/>
    <w:rsid w:val="00E50527"/>
    <w:rsid w:val="00E50D5E"/>
    <w:rsid w:val="00E51C59"/>
    <w:rsid w:val="00E55EE8"/>
    <w:rsid w:val="00E57890"/>
    <w:rsid w:val="00E5797F"/>
    <w:rsid w:val="00E57B2B"/>
    <w:rsid w:val="00E6485F"/>
    <w:rsid w:val="00E65355"/>
    <w:rsid w:val="00E659B8"/>
    <w:rsid w:val="00E6601B"/>
    <w:rsid w:val="00E66D1F"/>
    <w:rsid w:val="00E675EC"/>
    <w:rsid w:val="00E67CA3"/>
    <w:rsid w:val="00E72B66"/>
    <w:rsid w:val="00E73A63"/>
    <w:rsid w:val="00E7462C"/>
    <w:rsid w:val="00E75D71"/>
    <w:rsid w:val="00E76420"/>
    <w:rsid w:val="00E76B6D"/>
    <w:rsid w:val="00E773B3"/>
    <w:rsid w:val="00E817D8"/>
    <w:rsid w:val="00E81923"/>
    <w:rsid w:val="00E81F17"/>
    <w:rsid w:val="00E8212A"/>
    <w:rsid w:val="00E82E09"/>
    <w:rsid w:val="00E8388C"/>
    <w:rsid w:val="00E83B7F"/>
    <w:rsid w:val="00E83E3E"/>
    <w:rsid w:val="00E846F8"/>
    <w:rsid w:val="00E84DF2"/>
    <w:rsid w:val="00E8512A"/>
    <w:rsid w:val="00E8654B"/>
    <w:rsid w:val="00E8657B"/>
    <w:rsid w:val="00E86709"/>
    <w:rsid w:val="00E86A61"/>
    <w:rsid w:val="00E87C4E"/>
    <w:rsid w:val="00E9038F"/>
    <w:rsid w:val="00E91F8A"/>
    <w:rsid w:val="00E92337"/>
    <w:rsid w:val="00E92401"/>
    <w:rsid w:val="00E92410"/>
    <w:rsid w:val="00E94DAF"/>
    <w:rsid w:val="00E951F7"/>
    <w:rsid w:val="00E95D87"/>
    <w:rsid w:val="00E95DAA"/>
    <w:rsid w:val="00E965DC"/>
    <w:rsid w:val="00E978CC"/>
    <w:rsid w:val="00E97F62"/>
    <w:rsid w:val="00EA0CAC"/>
    <w:rsid w:val="00EA261C"/>
    <w:rsid w:val="00EA45A2"/>
    <w:rsid w:val="00EA560B"/>
    <w:rsid w:val="00EA69E6"/>
    <w:rsid w:val="00EA6BC6"/>
    <w:rsid w:val="00EB0EF8"/>
    <w:rsid w:val="00EB1832"/>
    <w:rsid w:val="00EB3A32"/>
    <w:rsid w:val="00EB44ED"/>
    <w:rsid w:val="00EB4EAF"/>
    <w:rsid w:val="00EB547C"/>
    <w:rsid w:val="00EB5A68"/>
    <w:rsid w:val="00EB6B87"/>
    <w:rsid w:val="00EB789A"/>
    <w:rsid w:val="00EB7A59"/>
    <w:rsid w:val="00EC083C"/>
    <w:rsid w:val="00EC0844"/>
    <w:rsid w:val="00EC08D5"/>
    <w:rsid w:val="00EC3AC9"/>
    <w:rsid w:val="00EC4DF7"/>
    <w:rsid w:val="00EC4F2C"/>
    <w:rsid w:val="00EC62FF"/>
    <w:rsid w:val="00EC6587"/>
    <w:rsid w:val="00EC70F9"/>
    <w:rsid w:val="00EC7E32"/>
    <w:rsid w:val="00ED1B99"/>
    <w:rsid w:val="00ED2085"/>
    <w:rsid w:val="00ED215A"/>
    <w:rsid w:val="00ED3193"/>
    <w:rsid w:val="00ED34FA"/>
    <w:rsid w:val="00ED3714"/>
    <w:rsid w:val="00ED392A"/>
    <w:rsid w:val="00ED3938"/>
    <w:rsid w:val="00ED3A7F"/>
    <w:rsid w:val="00ED3AAF"/>
    <w:rsid w:val="00ED5331"/>
    <w:rsid w:val="00ED6563"/>
    <w:rsid w:val="00ED6EA0"/>
    <w:rsid w:val="00ED6EE2"/>
    <w:rsid w:val="00EE0146"/>
    <w:rsid w:val="00EE07B4"/>
    <w:rsid w:val="00EE0863"/>
    <w:rsid w:val="00EE09FD"/>
    <w:rsid w:val="00EE2432"/>
    <w:rsid w:val="00EE2B27"/>
    <w:rsid w:val="00EE359F"/>
    <w:rsid w:val="00EE3841"/>
    <w:rsid w:val="00EE428A"/>
    <w:rsid w:val="00EE5254"/>
    <w:rsid w:val="00EE64AB"/>
    <w:rsid w:val="00EE77F6"/>
    <w:rsid w:val="00EF0901"/>
    <w:rsid w:val="00EF1989"/>
    <w:rsid w:val="00EF1A0C"/>
    <w:rsid w:val="00EF1C5E"/>
    <w:rsid w:val="00EF2B8F"/>
    <w:rsid w:val="00EF3394"/>
    <w:rsid w:val="00EF57BB"/>
    <w:rsid w:val="00EF5AAB"/>
    <w:rsid w:val="00EF5C37"/>
    <w:rsid w:val="00EF67F0"/>
    <w:rsid w:val="00EF7148"/>
    <w:rsid w:val="00EF71E2"/>
    <w:rsid w:val="00EF7456"/>
    <w:rsid w:val="00F006D8"/>
    <w:rsid w:val="00F00959"/>
    <w:rsid w:val="00F02E52"/>
    <w:rsid w:val="00F0483D"/>
    <w:rsid w:val="00F04972"/>
    <w:rsid w:val="00F055DE"/>
    <w:rsid w:val="00F07F63"/>
    <w:rsid w:val="00F1297C"/>
    <w:rsid w:val="00F133FC"/>
    <w:rsid w:val="00F13463"/>
    <w:rsid w:val="00F13844"/>
    <w:rsid w:val="00F1440C"/>
    <w:rsid w:val="00F1524B"/>
    <w:rsid w:val="00F17C7B"/>
    <w:rsid w:val="00F216E2"/>
    <w:rsid w:val="00F22D38"/>
    <w:rsid w:val="00F23629"/>
    <w:rsid w:val="00F23AB0"/>
    <w:rsid w:val="00F240CD"/>
    <w:rsid w:val="00F245C4"/>
    <w:rsid w:val="00F24FB6"/>
    <w:rsid w:val="00F2503F"/>
    <w:rsid w:val="00F25E23"/>
    <w:rsid w:val="00F26032"/>
    <w:rsid w:val="00F27464"/>
    <w:rsid w:val="00F27F3D"/>
    <w:rsid w:val="00F3230D"/>
    <w:rsid w:val="00F32354"/>
    <w:rsid w:val="00F326D8"/>
    <w:rsid w:val="00F33992"/>
    <w:rsid w:val="00F3597D"/>
    <w:rsid w:val="00F3795C"/>
    <w:rsid w:val="00F416BA"/>
    <w:rsid w:val="00F428DD"/>
    <w:rsid w:val="00F4298F"/>
    <w:rsid w:val="00F433EE"/>
    <w:rsid w:val="00F4411D"/>
    <w:rsid w:val="00F4450E"/>
    <w:rsid w:val="00F447F4"/>
    <w:rsid w:val="00F4507B"/>
    <w:rsid w:val="00F45349"/>
    <w:rsid w:val="00F45E25"/>
    <w:rsid w:val="00F47AD0"/>
    <w:rsid w:val="00F51367"/>
    <w:rsid w:val="00F51DC0"/>
    <w:rsid w:val="00F52296"/>
    <w:rsid w:val="00F539E1"/>
    <w:rsid w:val="00F53DD8"/>
    <w:rsid w:val="00F54BEF"/>
    <w:rsid w:val="00F556F2"/>
    <w:rsid w:val="00F56085"/>
    <w:rsid w:val="00F56E21"/>
    <w:rsid w:val="00F57AB8"/>
    <w:rsid w:val="00F57F9E"/>
    <w:rsid w:val="00F61BF1"/>
    <w:rsid w:val="00F625A3"/>
    <w:rsid w:val="00F62AAF"/>
    <w:rsid w:val="00F62B0D"/>
    <w:rsid w:val="00F63104"/>
    <w:rsid w:val="00F63C50"/>
    <w:rsid w:val="00F647B3"/>
    <w:rsid w:val="00F656F6"/>
    <w:rsid w:val="00F66F71"/>
    <w:rsid w:val="00F70749"/>
    <w:rsid w:val="00F71877"/>
    <w:rsid w:val="00F71997"/>
    <w:rsid w:val="00F734B4"/>
    <w:rsid w:val="00F74081"/>
    <w:rsid w:val="00F74234"/>
    <w:rsid w:val="00F743F0"/>
    <w:rsid w:val="00F7488E"/>
    <w:rsid w:val="00F74F0C"/>
    <w:rsid w:val="00F75946"/>
    <w:rsid w:val="00F76323"/>
    <w:rsid w:val="00F7703A"/>
    <w:rsid w:val="00F77AC3"/>
    <w:rsid w:val="00F80606"/>
    <w:rsid w:val="00F80B4B"/>
    <w:rsid w:val="00F8116A"/>
    <w:rsid w:val="00F8178E"/>
    <w:rsid w:val="00F81A82"/>
    <w:rsid w:val="00F825A1"/>
    <w:rsid w:val="00F82E9E"/>
    <w:rsid w:val="00F84006"/>
    <w:rsid w:val="00F87B0A"/>
    <w:rsid w:val="00F9034F"/>
    <w:rsid w:val="00F90B98"/>
    <w:rsid w:val="00F90E1E"/>
    <w:rsid w:val="00F92380"/>
    <w:rsid w:val="00F937AE"/>
    <w:rsid w:val="00F93FA7"/>
    <w:rsid w:val="00F952AE"/>
    <w:rsid w:val="00F95D4D"/>
    <w:rsid w:val="00F96565"/>
    <w:rsid w:val="00F96E01"/>
    <w:rsid w:val="00F97581"/>
    <w:rsid w:val="00FA06F7"/>
    <w:rsid w:val="00FA185A"/>
    <w:rsid w:val="00FA1A20"/>
    <w:rsid w:val="00FA1D3C"/>
    <w:rsid w:val="00FA4A1A"/>
    <w:rsid w:val="00FA5AB0"/>
    <w:rsid w:val="00FA70D8"/>
    <w:rsid w:val="00FA787E"/>
    <w:rsid w:val="00FB09D2"/>
    <w:rsid w:val="00FB102A"/>
    <w:rsid w:val="00FB2697"/>
    <w:rsid w:val="00FB2D2E"/>
    <w:rsid w:val="00FB2D30"/>
    <w:rsid w:val="00FB3240"/>
    <w:rsid w:val="00FB3EA5"/>
    <w:rsid w:val="00FB42DC"/>
    <w:rsid w:val="00FB5D0E"/>
    <w:rsid w:val="00FB5DDD"/>
    <w:rsid w:val="00FB6168"/>
    <w:rsid w:val="00FB6D9A"/>
    <w:rsid w:val="00FB799C"/>
    <w:rsid w:val="00FB7C10"/>
    <w:rsid w:val="00FB7C95"/>
    <w:rsid w:val="00FC045F"/>
    <w:rsid w:val="00FC0F40"/>
    <w:rsid w:val="00FC199F"/>
    <w:rsid w:val="00FC317E"/>
    <w:rsid w:val="00FC329C"/>
    <w:rsid w:val="00FC3E09"/>
    <w:rsid w:val="00FC4188"/>
    <w:rsid w:val="00FC4AE7"/>
    <w:rsid w:val="00FC4AF3"/>
    <w:rsid w:val="00FC5CEF"/>
    <w:rsid w:val="00FC693D"/>
    <w:rsid w:val="00FC6990"/>
    <w:rsid w:val="00FC6AE1"/>
    <w:rsid w:val="00FD04F8"/>
    <w:rsid w:val="00FD0A62"/>
    <w:rsid w:val="00FD15B6"/>
    <w:rsid w:val="00FD1ED3"/>
    <w:rsid w:val="00FD2295"/>
    <w:rsid w:val="00FD2763"/>
    <w:rsid w:val="00FD43FE"/>
    <w:rsid w:val="00FD511B"/>
    <w:rsid w:val="00FD553B"/>
    <w:rsid w:val="00FD6029"/>
    <w:rsid w:val="00FD676A"/>
    <w:rsid w:val="00FD7EFE"/>
    <w:rsid w:val="00FE0B27"/>
    <w:rsid w:val="00FE0EA1"/>
    <w:rsid w:val="00FE0FCC"/>
    <w:rsid w:val="00FE2D33"/>
    <w:rsid w:val="00FE2DB6"/>
    <w:rsid w:val="00FE2F11"/>
    <w:rsid w:val="00FE43FF"/>
    <w:rsid w:val="00FE4D29"/>
    <w:rsid w:val="00FE4ED9"/>
    <w:rsid w:val="00FE5E9D"/>
    <w:rsid w:val="00FE60DE"/>
    <w:rsid w:val="00FE7162"/>
    <w:rsid w:val="00FE7F32"/>
    <w:rsid w:val="00FF00E4"/>
    <w:rsid w:val="00FF04DA"/>
    <w:rsid w:val="00FF0746"/>
    <w:rsid w:val="00FF11EA"/>
    <w:rsid w:val="00FF1694"/>
    <w:rsid w:val="00FF249F"/>
    <w:rsid w:val="00FF3F4A"/>
    <w:rsid w:val="00FF43EA"/>
    <w:rsid w:val="00FF5983"/>
    <w:rsid w:val="00FF5EA8"/>
    <w:rsid w:val="00FF6CC2"/>
    <w:rsid w:val="57A5929D"/>
    <w:rsid w:val="6DED7E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B6D85EE"/>
  <w15:chartTrackingRefBased/>
  <w15:docId w15:val="{442FBA62-7345-4BE0-BE88-D96ADAA6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32A"/>
    <w:pPr>
      <w:widowControl w:val="0"/>
      <w:autoSpaceDE w:val="0"/>
      <w:autoSpaceDN w:val="0"/>
      <w:adjustRightInd w:val="0"/>
      <w:spacing w:before="240" w:line="276" w:lineRule="auto"/>
    </w:pPr>
    <w:rPr>
      <w:sz w:val="24"/>
      <w:szCs w:val="24"/>
    </w:rPr>
  </w:style>
  <w:style w:type="paragraph" w:styleId="Heading1">
    <w:name w:val="heading 1"/>
    <w:basedOn w:val="Normal"/>
    <w:next w:val="Normal"/>
    <w:link w:val="Heading1Char"/>
    <w:uiPriority w:val="9"/>
    <w:qFormat/>
    <w:rsid w:val="009F5F03"/>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customStyle="1" w:styleId="Level1">
    <w:name w:val="Level 1"/>
    <w:basedOn w:val="Normal"/>
    <w:pPr>
      <w:ind w:left="720" w:hanging="720"/>
    </w:pPr>
  </w:style>
  <w:style w:type="character" w:styleId="Hyperlink">
    <w:name w:val="Hyperlink"/>
    <w:rsid w:val="00016783"/>
    <w:rPr>
      <w:color w:val="0000FF"/>
      <w:u w:val="single"/>
    </w:rPr>
  </w:style>
  <w:style w:type="table" w:styleId="TableGrid">
    <w:name w:val="Table Grid"/>
    <w:basedOn w:val="TableNormal"/>
    <w:rsid w:val="004837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AB262A"/>
    <w:rPr>
      <w:sz w:val="16"/>
      <w:szCs w:val="16"/>
    </w:rPr>
  </w:style>
  <w:style w:type="paragraph" w:styleId="CommentText">
    <w:name w:val="annotation text"/>
    <w:basedOn w:val="Normal"/>
    <w:link w:val="CommentTextChar"/>
    <w:uiPriority w:val="99"/>
    <w:unhideWhenUsed/>
    <w:rsid w:val="00AB262A"/>
    <w:rPr>
      <w:sz w:val="20"/>
      <w:szCs w:val="20"/>
    </w:rPr>
  </w:style>
  <w:style w:type="character" w:customStyle="1" w:styleId="CommentTextChar">
    <w:name w:val="Comment Text Char"/>
    <w:link w:val="CommentText"/>
    <w:uiPriority w:val="99"/>
    <w:rsid w:val="00AB262A"/>
    <w:rPr>
      <w:rFonts w:ascii="Courier" w:hAnsi="Courier"/>
    </w:rPr>
  </w:style>
  <w:style w:type="paragraph" w:styleId="CommentSubject">
    <w:name w:val="annotation subject"/>
    <w:basedOn w:val="CommentText"/>
    <w:next w:val="CommentText"/>
    <w:link w:val="CommentSubjectChar"/>
    <w:uiPriority w:val="99"/>
    <w:semiHidden/>
    <w:unhideWhenUsed/>
    <w:rsid w:val="00AB262A"/>
    <w:rPr>
      <w:b/>
      <w:bCs/>
    </w:rPr>
  </w:style>
  <w:style w:type="character" w:customStyle="1" w:styleId="CommentSubjectChar">
    <w:name w:val="Comment Subject Char"/>
    <w:link w:val="CommentSubject"/>
    <w:uiPriority w:val="99"/>
    <w:semiHidden/>
    <w:rsid w:val="00AB262A"/>
    <w:rPr>
      <w:rFonts w:ascii="Courier" w:hAnsi="Courier"/>
      <w:b/>
      <w:bCs/>
    </w:rPr>
  </w:style>
  <w:style w:type="paragraph" w:styleId="BalloonText">
    <w:name w:val="Balloon Text"/>
    <w:basedOn w:val="Normal"/>
    <w:link w:val="BalloonTextChar"/>
    <w:uiPriority w:val="99"/>
    <w:semiHidden/>
    <w:unhideWhenUsed/>
    <w:rsid w:val="00AB262A"/>
    <w:rPr>
      <w:rFonts w:ascii="Tahoma" w:hAnsi="Tahoma" w:cs="Tahoma"/>
      <w:sz w:val="16"/>
      <w:szCs w:val="16"/>
    </w:rPr>
  </w:style>
  <w:style w:type="character" w:customStyle="1" w:styleId="BalloonTextChar">
    <w:name w:val="Balloon Text Char"/>
    <w:link w:val="BalloonText"/>
    <w:uiPriority w:val="99"/>
    <w:semiHidden/>
    <w:rsid w:val="00AB262A"/>
    <w:rPr>
      <w:rFonts w:ascii="Tahoma" w:hAnsi="Tahoma" w:cs="Tahoma"/>
      <w:sz w:val="16"/>
      <w:szCs w:val="16"/>
    </w:rPr>
  </w:style>
  <w:style w:type="character" w:styleId="FollowedHyperlink">
    <w:name w:val="FollowedHyperlink"/>
    <w:uiPriority w:val="99"/>
    <w:semiHidden/>
    <w:unhideWhenUsed/>
    <w:rsid w:val="009A6242"/>
    <w:rPr>
      <w:color w:val="800080"/>
      <w:u w:val="single"/>
    </w:rPr>
  </w:style>
  <w:style w:type="paragraph" w:styleId="NormalWeb">
    <w:name w:val="Normal (Web)"/>
    <w:basedOn w:val="Normal"/>
    <w:uiPriority w:val="99"/>
    <w:unhideWhenUsed/>
    <w:rsid w:val="0031766B"/>
    <w:pPr>
      <w:widowControl/>
      <w:autoSpaceDE/>
      <w:autoSpaceDN/>
      <w:adjustRightInd/>
      <w:spacing w:before="100" w:beforeAutospacing="1" w:after="100" w:afterAutospacing="1"/>
    </w:pPr>
  </w:style>
  <w:style w:type="character" w:styleId="Strong">
    <w:name w:val="Strong"/>
    <w:uiPriority w:val="22"/>
    <w:qFormat/>
    <w:rsid w:val="0031766B"/>
    <w:rPr>
      <w:b/>
      <w:bCs/>
    </w:rPr>
  </w:style>
  <w:style w:type="paragraph" w:styleId="FootnoteText">
    <w:name w:val="footnote text"/>
    <w:aliases w:val=" Char,Char,Footnote Text Char Ch,Footnote Text Char Ch1,Footnote Text Char Char1 Char,Footnote Text Char1,Footnote Text Char1 Char Char Char,Footnote Text Char2 Char,Footnote Text1 Char,Footnote Text1 Char1,fn,fn1,fn3,ft,ft Char,ft Char Ch"/>
    <w:basedOn w:val="Normal"/>
    <w:link w:val="FootnoteTextChar"/>
    <w:qFormat/>
    <w:rsid w:val="0043122E"/>
    <w:rPr>
      <w:sz w:val="20"/>
      <w:szCs w:val="20"/>
    </w:rPr>
  </w:style>
  <w:style w:type="character" w:customStyle="1" w:styleId="FootnoteTextChar">
    <w:name w:val="Footnote Text Char"/>
    <w:aliases w:val=" Char Char,Char Char,Footnote Text Char Ch Char1,Footnote Text Char Ch1 Char1,Footnote Text Char Char1 Char Char1,Footnote Text Char1 Char Char Char Char,Footnote Text Char1 Char1,Footnote Text Char2 Char Char1,fn Char1,fn1 Char"/>
    <w:basedOn w:val="DefaultParagraphFont"/>
    <w:link w:val="FootnoteText"/>
    <w:rsid w:val="0043122E"/>
  </w:style>
  <w:style w:type="paragraph" w:styleId="Revision">
    <w:name w:val="Revision"/>
    <w:hidden/>
    <w:uiPriority w:val="99"/>
    <w:semiHidden/>
    <w:rsid w:val="007B6A10"/>
    <w:rPr>
      <w:rFonts w:ascii="Courier" w:hAnsi="Courier"/>
      <w:sz w:val="24"/>
      <w:szCs w:val="24"/>
    </w:rPr>
  </w:style>
  <w:style w:type="paragraph" w:styleId="ListParagraph">
    <w:name w:val="List Paragraph"/>
    <w:basedOn w:val="Normal"/>
    <w:uiPriority w:val="34"/>
    <w:qFormat/>
    <w:rsid w:val="00FB5DDD"/>
    <w:pPr>
      <w:ind w:left="720"/>
    </w:pPr>
  </w:style>
  <w:style w:type="character" w:customStyle="1" w:styleId="apple-converted-space">
    <w:name w:val="apple-converted-space"/>
    <w:rsid w:val="007B2F4D"/>
  </w:style>
  <w:style w:type="paragraph" w:styleId="Header">
    <w:name w:val="header"/>
    <w:basedOn w:val="Normal"/>
    <w:link w:val="HeaderChar"/>
    <w:uiPriority w:val="99"/>
    <w:unhideWhenUsed/>
    <w:rsid w:val="00F80B4B"/>
    <w:pPr>
      <w:tabs>
        <w:tab w:val="center" w:pos="4680"/>
        <w:tab w:val="right" w:pos="9360"/>
      </w:tabs>
    </w:pPr>
  </w:style>
  <w:style w:type="character" w:customStyle="1" w:styleId="HeaderChar">
    <w:name w:val="Header Char"/>
    <w:link w:val="Header"/>
    <w:uiPriority w:val="99"/>
    <w:rsid w:val="00F80B4B"/>
    <w:rPr>
      <w:rFonts w:ascii="Courier" w:hAnsi="Courier"/>
      <w:sz w:val="24"/>
      <w:szCs w:val="24"/>
    </w:rPr>
  </w:style>
  <w:style w:type="paragraph" w:styleId="Footer">
    <w:name w:val="footer"/>
    <w:basedOn w:val="Normal"/>
    <w:link w:val="FooterChar"/>
    <w:uiPriority w:val="99"/>
    <w:unhideWhenUsed/>
    <w:rsid w:val="00F80B4B"/>
    <w:pPr>
      <w:tabs>
        <w:tab w:val="center" w:pos="4680"/>
        <w:tab w:val="right" w:pos="9360"/>
      </w:tabs>
    </w:pPr>
  </w:style>
  <w:style w:type="character" w:customStyle="1" w:styleId="FooterChar">
    <w:name w:val="Footer Char"/>
    <w:link w:val="Footer"/>
    <w:uiPriority w:val="99"/>
    <w:rsid w:val="00F80B4B"/>
    <w:rPr>
      <w:rFonts w:ascii="Courier" w:hAnsi="Courier"/>
      <w:sz w:val="24"/>
      <w:szCs w:val="24"/>
    </w:rPr>
  </w:style>
  <w:style w:type="character" w:styleId="UnresolvedMention">
    <w:name w:val="Unresolved Mention"/>
    <w:uiPriority w:val="99"/>
    <w:semiHidden/>
    <w:unhideWhenUsed/>
    <w:rsid w:val="00CD0F7A"/>
    <w:rPr>
      <w:color w:val="605E5C"/>
      <w:shd w:val="clear" w:color="auto" w:fill="E1DFDD"/>
    </w:rPr>
  </w:style>
  <w:style w:type="paragraph" w:styleId="NoSpacing">
    <w:name w:val="No Spacing"/>
    <w:uiPriority w:val="1"/>
    <w:qFormat/>
    <w:rsid w:val="006766BB"/>
    <w:pPr>
      <w:widowControl w:val="0"/>
      <w:autoSpaceDE w:val="0"/>
      <w:autoSpaceDN w:val="0"/>
      <w:adjustRightInd w:val="0"/>
    </w:pPr>
    <w:rPr>
      <w:sz w:val="24"/>
      <w:szCs w:val="24"/>
    </w:rPr>
  </w:style>
  <w:style w:type="paragraph" w:customStyle="1" w:styleId="FERCparanumber">
    <w:name w:val="FERC paranumber"/>
    <w:basedOn w:val="Normal"/>
    <w:link w:val="FERCparanumberChar"/>
    <w:qFormat/>
    <w:rsid w:val="00C64D60"/>
    <w:pPr>
      <w:widowControl/>
      <w:numPr>
        <w:numId w:val="24"/>
      </w:numPr>
      <w:tabs>
        <w:tab w:val="clear" w:pos="720"/>
      </w:tabs>
      <w:autoSpaceDE/>
      <w:autoSpaceDN/>
      <w:adjustRightInd/>
      <w:spacing w:before="0" w:line="480" w:lineRule="auto"/>
      <w:ind w:left="720" w:hanging="360"/>
    </w:pPr>
    <w:rPr>
      <w:rFonts w:eastAsiaTheme="minorHAnsi"/>
      <w:sz w:val="26"/>
      <w:szCs w:val="22"/>
    </w:rPr>
  </w:style>
  <w:style w:type="character" w:customStyle="1" w:styleId="FERCparanumberChar">
    <w:name w:val="FERC paranumber Char"/>
    <w:basedOn w:val="DefaultParagraphFont"/>
    <w:link w:val="FERCparanumber"/>
    <w:rsid w:val="00C64D60"/>
    <w:rPr>
      <w:rFonts w:eastAsiaTheme="minorHAnsi"/>
      <w:sz w:val="26"/>
      <w:szCs w:val="22"/>
    </w:rPr>
  </w:style>
  <w:style w:type="character" w:customStyle="1" w:styleId="FootnoteTextChar2">
    <w:name w:val="Footnote Text Char2"/>
    <w:aliases w:val="Footnote Text Char Ch Char,Footnote Text Char Ch1 Char,Footnote Text Char Char1 Char Char,Footnote Text Char1 Char,Footnote Text Char2 Char Char,Footnote Text1 Char Char,Footnote Text1 Char1 Char,fn Char,ft Char Char,ft Char1"/>
    <w:rsid w:val="00CA6E97"/>
    <w:rPr>
      <w:rFonts w:ascii="Times New Roman" w:eastAsia="Times New Roman" w:hAnsi="Times New Roman" w:cs="Times New Roman"/>
      <w:sz w:val="26"/>
      <w:szCs w:val="20"/>
    </w:rPr>
  </w:style>
  <w:style w:type="character" w:customStyle="1" w:styleId="Heading1Char">
    <w:name w:val="Heading 1 Char"/>
    <w:basedOn w:val="DefaultParagraphFont"/>
    <w:link w:val="Heading1"/>
    <w:uiPriority w:val="9"/>
    <w:rsid w:val="009F5F03"/>
    <w:rPr>
      <w:rFonts w:asciiTheme="majorHAnsi" w:eastAsiaTheme="majorEastAsia" w:hAnsiTheme="majorHAnsi" w:cstheme="majorBidi"/>
      <w:color w:val="2F5496" w:themeColor="accent1" w:themeShade="BF"/>
      <w:sz w:val="32"/>
      <w:szCs w:val="32"/>
    </w:rPr>
  </w:style>
  <w:style w:type="paragraph" w:customStyle="1" w:styleId="FERCNopara">
    <w:name w:val="FERC Nopara"/>
    <w:basedOn w:val="Normal"/>
    <w:qFormat/>
    <w:rsid w:val="009D4775"/>
    <w:pPr>
      <w:widowControl/>
      <w:autoSpaceDE/>
      <w:autoSpaceDN/>
      <w:adjustRightInd/>
      <w:spacing w:before="0" w:after="260" w:line="240" w:lineRule="auto"/>
      <w:ind w:firstLine="720"/>
    </w:pPr>
    <w:rPr>
      <w:rFonts w:eastAsiaTheme="minorHAnsi"/>
      <w:sz w:val="26"/>
      <w:szCs w:val="22"/>
    </w:rPr>
  </w:style>
  <w:style w:type="character" w:styleId="Mention">
    <w:name w:val="Mention"/>
    <w:basedOn w:val="DefaultParagraphFont"/>
    <w:uiPriority w:val="99"/>
    <w:unhideWhenUsed/>
    <w:rsid w:val="005C66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online/etariff" TargetMode="External" /><Relationship Id="rId11" Type="http://schemas.openxmlformats.org/officeDocument/2006/relationships/hyperlink" Target="https://www.ferc.gov/enforcement-legal/legal/information-collection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rc.gov/media/pro-forma-oatt-effective-march-14-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29e753-062b-49ce-baa7-feb352134f8f">
      <Terms xmlns="http://schemas.microsoft.com/office/infopath/2007/PartnerControls"/>
    </lcf76f155ced4ddcb4097134ff3c332f>
    <TaxCatchAll xmlns="5a7c6213-c3f8-4376-93f2-dc58e5c51d54" xsi:nil="true"/>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246F-E629-4414-88A5-289F099378E8}">
  <ds:schemaRefs>
    <ds:schemaRef ds:uri="http://schemas.microsoft.com/sharepoint/v3/contenttype/forms"/>
  </ds:schemaRefs>
</ds:datastoreItem>
</file>

<file path=customXml/itemProps2.xml><?xml version="1.0" encoding="utf-8"?>
<ds:datastoreItem xmlns:ds="http://schemas.openxmlformats.org/officeDocument/2006/customXml" ds:itemID="{38D1D61C-664D-4595-9238-3731934441A2}">
  <ds:schemaRefs>
    <ds:schemaRef ds:uri="http://schemas.microsoft.com/office/2006/documentManagement/types"/>
    <ds:schemaRef ds:uri="http://purl.org/dc/elements/1.1/"/>
    <ds:schemaRef ds:uri="http://schemas.microsoft.com/office/2006/metadata/properties"/>
    <ds:schemaRef ds:uri="d6eefc7d-9817-4fa6-84d5-3bc009be21b8"/>
    <ds:schemaRef ds:uri="http://purl.org/dc/terms/"/>
    <ds:schemaRef ds:uri="http://schemas.microsoft.com/office/infopath/2007/PartnerControls"/>
    <ds:schemaRef ds:uri="e029e753-062b-49ce-baa7-feb352134f8f"/>
    <ds:schemaRef ds:uri="http://purl.org/dc/dcmitype/"/>
    <ds:schemaRef ds:uri="http://schemas.openxmlformats.org/package/2006/metadata/core-properties"/>
    <ds:schemaRef ds:uri="5a7c6213-c3f8-4376-93f2-dc58e5c51d54"/>
    <ds:schemaRef ds:uri="http://www.w3.org/XML/1998/namespace"/>
  </ds:schemaRefs>
</ds:datastoreItem>
</file>

<file path=customXml/itemProps3.xml><?xml version="1.0" encoding="utf-8"?>
<ds:datastoreItem xmlns:ds="http://schemas.openxmlformats.org/officeDocument/2006/customXml" ds:itemID="{146F3558-27BA-4C36-A661-9F1C7B29F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327EA-8703-4AA7-9302-82D76A6D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3933</Words>
  <Characters>21124</Characters>
  <Application>Microsoft Office Word</Application>
  <DocSecurity>0</DocSecurity>
  <Lines>422</Lines>
  <Paragraphs>168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DOI BLM</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sbeshir</dc:creator>
  <cp:lastModifiedBy>Christopher Kozler</cp:lastModifiedBy>
  <cp:revision>3</cp:revision>
  <cp:lastPrinted>2018-03-09T03:25:00Z</cp:lastPrinted>
  <dcterms:created xsi:type="dcterms:W3CDTF">2024-12-09T13:36:00Z</dcterms:created>
  <dcterms:modified xsi:type="dcterms:W3CDTF">2024-12-09T13:40:00Z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2ce0d868-1170-4af8-8bc2-5cae38b6e133</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2024-11-25T13:24:12Z</vt:lpwstr>
  </property>
  <property fmtid="{D5CDD505-2E9C-101B-9397-08002B2CF9AE}" pid="10" name="MSIP_Label_bd24d06a-0e85-4d57-b1e0-ba34b1abc708_SiteId">
    <vt:lpwstr>19caa9e9-04ff-43fa-885f-d77fac387903</vt:lpwstr>
  </property>
</Properties>
</file>