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F728B2" w:rsidP="00530CB9" w14:paraId="4DFFE15F" w14:textId="77777777">
      <w:pPr>
        <w:spacing w:after="0" w:line="240" w:lineRule="auto"/>
        <w:jc w:val="center"/>
        <w:rPr>
          <w:rFonts w:cstheme="minorHAnsi"/>
          <w:sz w:val="32"/>
          <w:szCs w:val="32"/>
        </w:rPr>
      </w:pPr>
      <w:bookmarkStart w:id="0" w:name="_Toc49148152"/>
      <w:r w:rsidRPr="00F728B2">
        <w:rPr>
          <w:rFonts w:cstheme="minorHAnsi"/>
          <w:sz w:val="32"/>
          <w:szCs w:val="32"/>
        </w:rPr>
        <w:t>U.S. Environmental Protection Agency</w:t>
      </w:r>
    </w:p>
    <w:p w:rsidR="00DE4E0C" w:rsidRPr="00F728B2" w:rsidP="00530CB9" w14:paraId="6C75CC3B" w14:textId="39E30EDC">
      <w:pPr>
        <w:spacing w:after="0" w:line="240" w:lineRule="auto"/>
        <w:jc w:val="center"/>
        <w:rPr>
          <w:rFonts w:cstheme="minorHAnsi"/>
          <w:sz w:val="32"/>
          <w:szCs w:val="32"/>
        </w:rPr>
      </w:pPr>
      <w:r w:rsidRPr="00F728B2">
        <w:rPr>
          <w:rFonts w:cstheme="minorHAnsi"/>
          <w:sz w:val="32"/>
          <w:szCs w:val="32"/>
        </w:rPr>
        <w:t>Information Collection Request</w:t>
      </w:r>
      <w:r w:rsidRPr="00F728B2" w:rsidR="00530CB9">
        <w:rPr>
          <w:rFonts w:cstheme="minorHAnsi"/>
          <w:sz w:val="32"/>
          <w:szCs w:val="32"/>
        </w:rPr>
        <w:t xml:space="preserve"> Supporting Statement</w:t>
      </w:r>
    </w:p>
    <w:p w:rsidR="00530CB9" w:rsidRPr="00F728B2" w:rsidP="00530CB9" w14:paraId="4F9EC7EF" w14:textId="77F74A53">
      <w:pPr>
        <w:spacing w:after="0" w:line="240" w:lineRule="auto"/>
        <w:jc w:val="center"/>
        <w:rPr>
          <w:rFonts w:cstheme="minorHAnsi"/>
          <w:sz w:val="32"/>
          <w:szCs w:val="32"/>
        </w:rPr>
      </w:pPr>
      <w:r w:rsidRPr="00F728B2">
        <w:rPr>
          <w:rFonts w:cstheme="minorHAnsi"/>
          <w:sz w:val="32"/>
          <w:szCs w:val="32"/>
        </w:rPr>
        <w:t>Part A</w:t>
      </w:r>
    </w:p>
    <w:p w:rsidR="00EA0D20" w:rsidRPr="00F728B2" w:rsidP="00BB432F" w14:paraId="7E28E1A6" w14:textId="77777777">
      <w:pPr>
        <w:rPr>
          <w:rFonts w:cstheme="minorHAnsi"/>
          <w:b/>
          <w:bCs/>
        </w:rPr>
      </w:pPr>
    </w:p>
    <w:p w:rsidR="00D9733E" w:rsidRPr="00F728B2" w:rsidP="00D9733E" w14:paraId="1C801CF8" w14:textId="2A584A18">
      <w:pPr>
        <w:spacing w:before="240"/>
        <w:rPr>
          <w:rFonts w:cstheme="minorHAnsi"/>
          <w:b/>
          <w:bCs/>
        </w:rPr>
      </w:pPr>
      <w:r w:rsidRPr="00F728B2">
        <w:rPr>
          <w:rFonts w:cstheme="minorHAnsi"/>
          <w:b/>
          <w:bCs/>
        </w:rPr>
        <w:t xml:space="preserve">Title: </w:t>
      </w:r>
      <w:r w:rsidRPr="00F728B2" w:rsidR="00851EDA">
        <w:rPr>
          <w:rFonts w:cstheme="minorHAnsi"/>
        </w:rPr>
        <w:t xml:space="preserve">Container </w:t>
      </w:r>
      <w:r w:rsidRPr="00F728B2">
        <w:rPr>
          <w:rFonts w:cstheme="minorHAnsi"/>
        </w:rPr>
        <w:t>Reconditioning Resource Conservation and Recovery Act (RCRA) 3007 Mandatory Information Collection Request</w:t>
      </w:r>
    </w:p>
    <w:p w:rsidR="00BD05BA" w:rsidP="00D9733E" w14:paraId="3F534D6A" w14:textId="77777777">
      <w:pPr>
        <w:spacing w:before="240"/>
        <w:rPr>
          <w:rFonts w:cstheme="minorHAnsi"/>
        </w:rPr>
      </w:pPr>
      <w:r w:rsidRPr="00F728B2">
        <w:rPr>
          <w:rFonts w:cstheme="minorHAnsi"/>
          <w:b/>
          <w:bCs/>
        </w:rPr>
        <w:t xml:space="preserve">OMB Control Number: </w:t>
      </w:r>
      <w:r w:rsidRPr="00F728B2">
        <w:rPr>
          <w:rFonts w:cstheme="minorHAnsi"/>
        </w:rPr>
        <w:t>2050-</w:t>
      </w:r>
      <w:r w:rsidRPr="00F728B2" w:rsidR="00953EFB">
        <w:rPr>
          <w:rFonts w:cstheme="minorHAnsi"/>
        </w:rPr>
        <w:t>NEW</w:t>
      </w:r>
    </w:p>
    <w:p w:rsidR="00D9733E" w:rsidRPr="00F728B2" w:rsidP="00D9733E" w14:paraId="403E0A72" w14:textId="02C7A00A">
      <w:pPr>
        <w:spacing w:before="240"/>
        <w:rPr>
          <w:rFonts w:cstheme="minorHAnsi"/>
          <w:b/>
          <w:bCs/>
        </w:rPr>
      </w:pPr>
      <w:r w:rsidRPr="00F728B2">
        <w:rPr>
          <w:rFonts w:cstheme="minorHAnsi"/>
          <w:b/>
          <w:bCs/>
        </w:rPr>
        <w:t xml:space="preserve">EPA ICR Number: </w:t>
      </w:r>
      <w:r w:rsidRPr="00BD05BA" w:rsidR="00256E02">
        <w:rPr>
          <w:rFonts w:cstheme="minorHAnsi"/>
        </w:rPr>
        <w:t>2800</w:t>
      </w:r>
      <w:r w:rsidRPr="00BD05BA">
        <w:rPr>
          <w:rFonts w:cstheme="minorHAnsi"/>
        </w:rPr>
        <w:t>.</w:t>
      </w:r>
      <w:r w:rsidRPr="00BD05BA" w:rsidR="00256E02">
        <w:rPr>
          <w:rFonts w:cstheme="minorHAnsi"/>
        </w:rPr>
        <w:t>01</w:t>
      </w:r>
    </w:p>
    <w:p w:rsidR="0021068B" w:rsidRPr="00F728B2" w:rsidP="0021068B" w14:paraId="5D1DCF46" w14:textId="54739715">
      <w:pPr>
        <w:spacing w:before="240"/>
        <w:rPr>
          <w:rFonts w:cstheme="minorHAnsi"/>
          <w:b/>
          <w:bCs/>
        </w:rPr>
      </w:pPr>
      <w:r w:rsidRPr="00F728B2">
        <w:rPr>
          <w:rFonts w:cstheme="minorHAnsi"/>
          <w:b/>
          <w:bCs/>
        </w:rPr>
        <w:t xml:space="preserve">Abstract: </w:t>
      </w:r>
    </w:p>
    <w:p w:rsidR="00380E4C" w:rsidRPr="00F728B2" w:rsidP="00380E4C" w14:paraId="7ABAB00F" w14:textId="16F632AF">
      <w:pPr>
        <w:spacing w:before="240"/>
        <w:rPr>
          <w:rFonts w:cstheme="minorHAnsi"/>
        </w:rPr>
      </w:pPr>
      <w:r w:rsidRPr="00F728B2">
        <w:rPr>
          <w:rFonts w:cstheme="minorHAnsi"/>
        </w:rPr>
        <w:t>The reconditioning and recycling processes provide</w:t>
      </w:r>
      <w:r w:rsidRPr="00F728B2" w:rsidR="00923BB0">
        <w:rPr>
          <w:rFonts w:cstheme="minorHAnsi"/>
        </w:rPr>
        <w:t>d</w:t>
      </w:r>
      <w:r w:rsidRPr="00F728B2">
        <w:rPr>
          <w:rFonts w:cstheme="minorHAnsi"/>
        </w:rPr>
        <w:t xml:space="preserve"> </w:t>
      </w:r>
      <w:r w:rsidRPr="00F728B2" w:rsidR="001907BB">
        <w:rPr>
          <w:rFonts w:cstheme="minorHAnsi"/>
        </w:rPr>
        <w:t xml:space="preserve">by </w:t>
      </w:r>
      <w:r w:rsidRPr="00F728B2" w:rsidR="00923BB0">
        <w:rPr>
          <w:rFonts w:cstheme="minorHAnsi"/>
        </w:rPr>
        <w:t>u</w:t>
      </w:r>
      <w:r w:rsidRPr="00F728B2" w:rsidR="001907BB">
        <w:rPr>
          <w:rFonts w:cstheme="minorHAnsi"/>
        </w:rPr>
        <w:t xml:space="preserve">sed </w:t>
      </w:r>
      <w:r w:rsidRPr="00F728B2" w:rsidR="00851EDA">
        <w:rPr>
          <w:rFonts w:cstheme="minorHAnsi"/>
        </w:rPr>
        <w:t xml:space="preserve">container </w:t>
      </w:r>
      <w:r w:rsidRPr="00F728B2" w:rsidR="00923BB0">
        <w:rPr>
          <w:rFonts w:cstheme="minorHAnsi"/>
        </w:rPr>
        <w:t>r</w:t>
      </w:r>
      <w:r w:rsidRPr="00F728B2" w:rsidR="001907BB">
        <w:rPr>
          <w:rFonts w:cstheme="minorHAnsi"/>
        </w:rPr>
        <w:t xml:space="preserve">econditioning </w:t>
      </w:r>
      <w:r w:rsidRPr="00F728B2" w:rsidR="00923BB0">
        <w:rPr>
          <w:rFonts w:cstheme="minorHAnsi"/>
        </w:rPr>
        <w:t xml:space="preserve">facilities offer </w:t>
      </w:r>
      <w:r w:rsidRPr="00F728B2">
        <w:rPr>
          <w:rFonts w:cstheme="minorHAnsi"/>
        </w:rPr>
        <w:t xml:space="preserve">important economic and environmental advantages </w:t>
      </w:r>
      <w:r w:rsidRPr="00F728B2" w:rsidR="005D5AC1">
        <w:rPr>
          <w:rFonts w:cstheme="minorHAnsi"/>
        </w:rPr>
        <w:t xml:space="preserve">by requiring less energy </w:t>
      </w:r>
      <w:r w:rsidRPr="00F728B2">
        <w:rPr>
          <w:rFonts w:cstheme="minorHAnsi"/>
        </w:rPr>
        <w:t>and resources to meet the demand for industrial containers</w:t>
      </w:r>
      <w:r w:rsidRPr="00F728B2" w:rsidR="008014D2">
        <w:rPr>
          <w:rFonts w:cstheme="minorHAnsi"/>
        </w:rPr>
        <w:t xml:space="preserve"> than </w:t>
      </w:r>
      <w:r w:rsidRPr="00F728B2" w:rsidR="00426CD4">
        <w:rPr>
          <w:rFonts w:cstheme="minorHAnsi"/>
        </w:rPr>
        <w:t>required to create new containers</w:t>
      </w:r>
      <w:r w:rsidRPr="00F728B2" w:rsidR="00934988">
        <w:rPr>
          <w:rFonts w:cstheme="minorHAnsi"/>
        </w:rPr>
        <w:t xml:space="preserve">. </w:t>
      </w:r>
      <w:r w:rsidRPr="00F728B2">
        <w:rPr>
          <w:rFonts w:cstheme="minorHAnsi"/>
        </w:rPr>
        <w:t xml:space="preserve">However, if not done in an environmentally safe manner, these processes can negatively impact the surrounding communities. To gain greater understanding of current industry practices and environmental impacts, EPA is seeking information directly from the </w:t>
      </w:r>
      <w:r w:rsidRPr="00F728B2" w:rsidR="00173A68">
        <w:rPr>
          <w:rFonts w:cstheme="minorHAnsi"/>
        </w:rPr>
        <w:t>container</w:t>
      </w:r>
      <w:r w:rsidRPr="00F728B2">
        <w:rPr>
          <w:rFonts w:cstheme="minorHAnsi"/>
        </w:rPr>
        <w:t xml:space="preserve"> reconditioning industry through an Information Collection Request (ICR.) </w:t>
      </w:r>
      <w:r w:rsidRPr="00F728B2" w:rsidR="007E1CBA">
        <w:rPr>
          <w:rFonts w:cstheme="minorHAnsi"/>
        </w:rPr>
        <w:t xml:space="preserve">The EPA will conduct this ICR through an RCRA Section 3007 Survey of </w:t>
      </w:r>
      <w:r w:rsidRPr="00F728B2" w:rsidR="0006465A">
        <w:rPr>
          <w:rFonts w:cstheme="minorHAnsi"/>
        </w:rPr>
        <w:t>Container</w:t>
      </w:r>
      <w:r w:rsidRPr="00F728B2" w:rsidR="007E1CBA">
        <w:rPr>
          <w:rFonts w:cstheme="minorHAnsi"/>
        </w:rPr>
        <w:t xml:space="preserve"> Reconditioning Facilities. </w:t>
      </w:r>
      <w:r w:rsidRPr="00F728B2">
        <w:rPr>
          <w:rFonts w:cstheme="minorHAnsi"/>
        </w:rPr>
        <w:t>Through this ICR, EPA hopes to better understand the issues and impacts of how these containers are being managed and develop potential solutions that would ensure protection of human health and the environment. These steps could include non-regulatory approaches, like best management practices, or revisions to waste regulations.</w:t>
      </w:r>
    </w:p>
    <w:p w:rsidR="00856FD8" w:rsidRPr="00F728B2" w:rsidP="0021068B" w14:paraId="4FE7F9F9" w14:textId="0105AB7B">
      <w:pPr>
        <w:spacing w:before="240"/>
        <w:rPr>
          <w:rFonts w:cstheme="minorHAnsi"/>
        </w:rPr>
      </w:pPr>
      <w:r w:rsidRPr="00F728B2">
        <w:rPr>
          <w:rFonts w:cstheme="minorHAnsi"/>
        </w:rPr>
        <w:t xml:space="preserve">On August 11, </w:t>
      </w:r>
      <w:r w:rsidRPr="00F728B2" w:rsidR="000B381D">
        <w:rPr>
          <w:rFonts w:cstheme="minorHAnsi"/>
        </w:rPr>
        <w:t>2023,</w:t>
      </w:r>
      <w:r w:rsidRPr="00F728B2">
        <w:rPr>
          <w:rFonts w:cstheme="minorHAnsi"/>
        </w:rPr>
        <w:t xml:space="preserve"> </w:t>
      </w:r>
      <w:r w:rsidRPr="00F728B2" w:rsidR="001A6D73">
        <w:rPr>
          <w:rFonts w:cstheme="minorHAnsi"/>
        </w:rPr>
        <w:t xml:space="preserve">the </w:t>
      </w:r>
      <w:r w:rsidRPr="00F728B2">
        <w:rPr>
          <w:rFonts w:cstheme="minorHAnsi"/>
        </w:rPr>
        <w:t>EPA published the Used Drum Management and Reconditioning Advance Notice of Proposed Rulemaking</w:t>
      </w:r>
      <w:r w:rsidRPr="00F728B2" w:rsidR="007D59E5">
        <w:rPr>
          <w:rFonts w:cstheme="minorHAnsi"/>
        </w:rPr>
        <w:t xml:space="preserve"> (ANPRM</w:t>
      </w:r>
      <w:r w:rsidRPr="00F728B2" w:rsidR="00634284">
        <w:rPr>
          <w:rFonts w:cstheme="minorHAnsi"/>
        </w:rPr>
        <w:t>.)</w:t>
      </w:r>
      <w:r w:rsidRPr="00F728B2">
        <w:rPr>
          <w:rFonts w:cstheme="minorHAnsi"/>
        </w:rPr>
        <w:t xml:space="preserve"> </w:t>
      </w:r>
      <w:r w:rsidRPr="00F728B2" w:rsidR="007B20E6">
        <w:rPr>
          <w:rFonts w:cstheme="minorHAnsi"/>
        </w:rPr>
        <w:t xml:space="preserve">The EPA </w:t>
      </w:r>
      <w:r w:rsidRPr="00F728B2" w:rsidR="002448AF">
        <w:rPr>
          <w:rFonts w:cstheme="minorHAnsi"/>
        </w:rPr>
        <w:t xml:space="preserve">requested information and comments to </w:t>
      </w:r>
      <w:r w:rsidRPr="00F728B2" w:rsidR="00DB5406">
        <w:rPr>
          <w:rFonts w:cstheme="minorHAnsi"/>
        </w:rPr>
        <w:t>assist in addressing concerns about used industrial containers that previously held hazardous chemicals or hazardous waste. </w:t>
      </w:r>
      <w:r w:rsidRPr="00F728B2" w:rsidR="00342380">
        <w:rPr>
          <w:rFonts w:cstheme="minorHAnsi"/>
        </w:rPr>
        <w:t>This effort</w:t>
      </w:r>
      <w:r w:rsidRPr="00F728B2" w:rsidR="00487E00">
        <w:rPr>
          <w:rFonts w:cstheme="minorHAnsi"/>
        </w:rPr>
        <w:t xml:space="preserve"> </w:t>
      </w:r>
      <w:r w:rsidRPr="00F728B2" w:rsidR="005C1E7F">
        <w:rPr>
          <w:rFonts w:cstheme="minorHAnsi"/>
        </w:rPr>
        <w:t xml:space="preserve">was initiated in response to the EPA’s 2022 Drum Reconditioner Damage Case Report that identified incidents damaging to human health and the environment from used industrial containers, as well as necessary, </w:t>
      </w:r>
      <w:r w:rsidRPr="00F728B2" w:rsidR="005C1E7F">
        <w:rPr>
          <w:rFonts w:cstheme="minorHAnsi"/>
        </w:rPr>
        <w:t>costly</w:t>
      </w:r>
      <w:r w:rsidRPr="00F728B2" w:rsidR="005C1E7F">
        <w:rPr>
          <w:rFonts w:cstheme="minorHAnsi"/>
        </w:rPr>
        <w:t xml:space="preserve"> and sometimes dangerous cleanup efforts with unknown chemicals required by EPA or other environmental agencies. </w:t>
      </w:r>
      <w:r w:rsidRPr="00F728B2" w:rsidR="004B4532">
        <w:rPr>
          <w:rFonts w:cstheme="minorHAnsi"/>
        </w:rPr>
        <w:t>On November 1, 2023, EPA</w:t>
      </w:r>
      <w:r w:rsidRPr="00F728B2" w:rsidR="00F63F56">
        <w:rPr>
          <w:rFonts w:cstheme="minorHAnsi"/>
        </w:rPr>
        <w:t xml:space="preserve"> co</w:t>
      </w:r>
      <w:r w:rsidRPr="00F728B2" w:rsidR="005E54C3">
        <w:rPr>
          <w:rFonts w:cstheme="minorHAnsi"/>
        </w:rPr>
        <w:t>ntinued their efforts to gather information by</w:t>
      </w:r>
      <w:r w:rsidRPr="00F728B2" w:rsidR="004B4532">
        <w:rPr>
          <w:rFonts w:cstheme="minorHAnsi"/>
        </w:rPr>
        <w:t xml:space="preserve"> host</w:t>
      </w:r>
      <w:r w:rsidRPr="00F728B2" w:rsidR="005E54C3">
        <w:rPr>
          <w:rFonts w:cstheme="minorHAnsi"/>
        </w:rPr>
        <w:t>ing</w:t>
      </w:r>
      <w:r w:rsidRPr="00F728B2" w:rsidR="004B4532">
        <w:rPr>
          <w:rFonts w:cstheme="minorHAnsi"/>
        </w:rPr>
        <w:t xml:space="preserve"> a virtual meeting to discuss the issues surrounding the management of used industrial containers and the reconditioning of these containers. </w:t>
      </w:r>
    </w:p>
    <w:p w:rsidR="002478BA" w:rsidRPr="00F728B2" w:rsidP="0021068B" w14:paraId="6AFDEDAD" w14:textId="6D33ACC3">
      <w:pPr>
        <w:spacing w:before="240"/>
        <w:rPr>
          <w:rFonts w:cstheme="minorHAnsi"/>
        </w:rPr>
      </w:pPr>
      <w:r w:rsidRPr="00F728B2">
        <w:rPr>
          <w:rFonts w:cstheme="minorHAnsi"/>
        </w:rPr>
        <w:t>A Federal Regist</w:t>
      </w:r>
      <w:r w:rsidRPr="00F728B2" w:rsidR="0006465A">
        <w:rPr>
          <w:rFonts w:cstheme="minorHAnsi"/>
        </w:rPr>
        <w:t>e</w:t>
      </w:r>
      <w:r w:rsidRPr="00F728B2">
        <w:rPr>
          <w:rFonts w:cstheme="minorHAnsi"/>
        </w:rPr>
        <w:t xml:space="preserve">r notice was released on April 24, </w:t>
      </w:r>
      <w:r w:rsidRPr="00F728B2" w:rsidR="000B381D">
        <w:rPr>
          <w:rFonts w:cstheme="minorHAnsi"/>
        </w:rPr>
        <w:t>2024,</w:t>
      </w:r>
      <w:r w:rsidRPr="00F728B2" w:rsidR="0056094A">
        <w:rPr>
          <w:rFonts w:cstheme="minorHAnsi"/>
        </w:rPr>
        <w:t xml:space="preserve"> requesting </w:t>
      </w:r>
      <w:r w:rsidRPr="00F728B2" w:rsidR="00AB28CF">
        <w:rPr>
          <w:rFonts w:cstheme="minorHAnsi"/>
        </w:rPr>
        <w:t>public</w:t>
      </w:r>
      <w:r w:rsidRPr="00F728B2" w:rsidR="0056094A">
        <w:rPr>
          <w:rFonts w:cstheme="minorHAnsi"/>
        </w:rPr>
        <w:t xml:space="preserve"> comment on specific aspects of the proposed information collection</w:t>
      </w:r>
      <w:r w:rsidRPr="00F728B2" w:rsidR="007E1CBA">
        <w:rPr>
          <w:rFonts w:cstheme="minorHAnsi"/>
        </w:rPr>
        <w:t>.</w:t>
      </w:r>
      <w:r w:rsidRPr="00F728B2" w:rsidR="00A9653D">
        <w:rPr>
          <w:rFonts w:cstheme="minorHAnsi"/>
        </w:rPr>
        <w:t xml:space="preserve"> </w:t>
      </w:r>
      <w:r w:rsidRPr="00F728B2" w:rsidR="00756EFC">
        <w:rPr>
          <w:rFonts w:cstheme="minorHAnsi"/>
        </w:rPr>
        <w:t xml:space="preserve">The EPA received comments from the </w:t>
      </w:r>
      <w:r w:rsidRPr="00F728B2" w:rsidR="00756EFC">
        <w:rPr>
          <w:rFonts w:cstheme="minorHAnsi"/>
        </w:rPr>
        <w:t>general public</w:t>
      </w:r>
      <w:r w:rsidRPr="00F728B2" w:rsidR="00756EFC">
        <w:rPr>
          <w:rFonts w:cstheme="minorHAnsi"/>
        </w:rPr>
        <w:t xml:space="preserve"> as well as from </w:t>
      </w:r>
      <w:r w:rsidRPr="00F728B2" w:rsidR="00EC171A">
        <w:rPr>
          <w:rFonts w:cstheme="minorHAnsi"/>
        </w:rPr>
        <w:t xml:space="preserve">the </w:t>
      </w:r>
      <w:r w:rsidRPr="00F728B2" w:rsidR="00173A68">
        <w:rPr>
          <w:rFonts w:cstheme="minorHAnsi"/>
        </w:rPr>
        <w:t>container</w:t>
      </w:r>
      <w:r w:rsidRPr="00F728B2" w:rsidR="00EC171A">
        <w:rPr>
          <w:rFonts w:cstheme="minorHAnsi"/>
        </w:rPr>
        <w:t xml:space="preserve"> reconditioning industry</w:t>
      </w:r>
      <w:r w:rsidRPr="00F728B2" w:rsidR="002222AF">
        <w:rPr>
          <w:rFonts w:cstheme="minorHAnsi"/>
        </w:rPr>
        <w:t xml:space="preserve"> and trad</w:t>
      </w:r>
      <w:r w:rsidRPr="00F728B2" w:rsidR="0052007E">
        <w:rPr>
          <w:rFonts w:cstheme="minorHAnsi"/>
        </w:rPr>
        <w:t>e</w:t>
      </w:r>
      <w:r w:rsidRPr="00F728B2" w:rsidR="002222AF">
        <w:rPr>
          <w:rFonts w:cstheme="minorHAnsi"/>
        </w:rPr>
        <w:t xml:space="preserve"> associations</w:t>
      </w:r>
      <w:r w:rsidRPr="00F728B2" w:rsidR="00EC171A">
        <w:rPr>
          <w:rFonts w:cstheme="minorHAnsi"/>
        </w:rPr>
        <w:t>, environmental agencies</w:t>
      </w:r>
      <w:r w:rsidRPr="00F728B2" w:rsidR="00756EFC">
        <w:rPr>
          <w:rFonts w:cstheme="minorHAnsi"/>
        </w:rPr>
        <w:t xml:space="preserve"> and</w:t>
      </w:r>
      <w:r w:rsidRPr="00F728B2" w:rsidR="00EC171A">
        <w:rPr>
          <w:rFonts w:cstheme="minorHAnsi"/>
        </w:rPr>
        <w:t xml:space="preserve"> environmental advocacy groups</w:t>
      </w:r>
      <w:r w:rsidRPr="00F728B2" w:rsidR="005D72D0">
        <w:rPr>
          <w:rFonts w:cstheme="minorHAnsi"/>
        </w:rPr>
        <w:t xml:space="preserve"> in response to </w:t>
      </w:r>
      <w:r w:rsidRPr="00F728B2" w:rsidR="00493061">
        <w:rPr>
          <w:rFonts w:cstheme="minorHAnsi"/>
        </w:rPr>
        <w:t xml:space="preserve">both </w:t>
      </w:r>
      <w:r w:rsidRPr="00F728B2" w:rsidR="00D61550">
        <w:rPr>
          <w:rFonts w:cstheme="minorHAnsi"/>
        </w:rPr>
        <w:t>the ANPRM</w:t>
      </w:r>
      <w:r w:rsidRPr="00F728B2" w:rsidR="00141D7A">
        <w:rPr>
          <w:rFonts w:cstheme="minorHAnsi"/>
        </w:rPr>
        <w:t xml:space="preserve"> and the </w:t>
      </w:r>
      <w:r w:rsidRPr="00F728B2" w:rsidR="00A842CD">
        <w:rPr>
          <w:rFonts w:cstheme="minorHAnsi"/>
        </w:rPr>
        <w:t xml:space="preserve">solicitation for comments on the </w:t>
      </w:r>
      <w:r w:rsidRPr="00F728B2" w:rsidR="00E34EC8">
        <w:rPr>
          <w:rFonts w:cstheme="minorHAnsi"/>
        </w:rPr>
        <w:t>proposed information collection</w:t>
      </w:r>
      <w:r w:rsidRPr="00F728B2" w:rsidR="002222AF">
        <w:rPr>
          <w:rFonts w:cstheme="minorHAnsi"/>
        </w:rPr>
        <w:t xml:space="preserve">. </w:t>
      </w:r>
      <w:r w:rsidRPr="00F728B2" w:rsidR="00756EFC">
        <w:rPr>
          <w:rFonts w:cstheme="minorHAnsi"/>
        </w:rPr>
        <w:t>The EPA also c</w:t>
      </w:r>
      <w:r w:rsidRPr="00F728B2" w:rsidR="00F52732">
        <w:rPr>
          <w:rFonts w:cstheme="minorHAnsi"/>
        </w:rPr>
        <w:t xml:space="preserve">onsulted with </w:t>
      </w:r>
      <w:r w:rsidRPr="00F728B2" w:rsidR="001624C8">
        <w:rPr>
          <w:rFonts w:cstheme="minorHAnsi"/>
        </w:rPr>
        <w:t xml:space="preserve">both large and small </w:t>
      </w:r>
      <w:r w:rsidRPr="00F728B2" w:rsidR="00173A68">
        <w:rPr>
          <w:rFonts w:cstheme="minorHAnsi"/>
        </w:rPr>
        <w:t>container</w:t>
      </w:r>
      <w:r w:rsidRPr="00F728B2" w:rsidR="001624C8">
        <w:rPr>
          <w:rFonts w:cstheme="minorHAnsi"/>
        </w:rPr>
        <w:t xml:space="preserve"> </w:t>
      </w:r>
      <w:r w:rsidRPr="00F728B2" w:rsidR="00175A15">
        <w:rPr>
          <w:rFonts w:cstheme="minorHAnsi"/>
        </w:rPr>
        <w:t xml:space="preserve">reconditioning facilities to assist in </w:t>
      </w:r>
      <w:r w:rsidRPr="00F728B2" w:rsidR="00C30ED0">
        <w:rPr>
          <w:rFonts w:cstheme="minorHAnsi"/>
        </w:rPr>
        <w:t>improving the survey</w:t>
      </w:r>
      <w:r w:rsidRPr="00F728B2" w:rsidR="00E34EC8">
        <w:rPr>
          <w:rFonts w:cstheme="minorHAnsi"/>
        </w:rPr>
        <w:t xml:space="preserve"> and ensuring </w:t>
      </w:r>
      <w:r w:rsidRPr="00F728B2" w:rsidR="009B66C5">
        <w:rPr>
          <w:rFonts w:cstheme="minorHAnsi"/>
        </w:rPr>
        <w:t>the collection of accurate and useful information</w:t>
      </w:r>
      <w:r w:rsidRPr="00F728B2" w:rsidR="00A9653D">
        <w:rPr>
          <w:rFonts w:cstheme="minorHAnsi"/>
        </w:rPr>
        <w:t xml:space="preserve">. The survey requests information about standard practices, training, reconditioning methods, safety and security, environmental permitting, wastewater, solid waste, air pollution and </w:t>
      </w:r>
      <w:r w:rsidRPr="00F728B2" w:rsidR="00A9653D">
        <w:rPr>
          <w:rFonts w:cstheme="minorHAnsi"/>
        </w:rPr>
        <w:t xml:space="preserve">pollution control technology. </w:t>
      </w:r>
      <w:r w:rsidRPr="00F728B2" w:rsidR="004371BD">
        <w:rPr>
          <w:rFonts w:cstheme="minorHAnsi"/>
        </w:rPr>
        <w:t xml:space="preserve">The results of </w:t>
      </w:r>
      <w:r w:rsidR="009C00CD">
        <w:rPr>
          <w:rFonts w:cstheme="minorHAnsi"/>
        </w:rPr>
        <w:t xml:space="preserve">this </w:t>
      </w:r>
      <w:r w:rsidRPr="00F728B2" w:rsidR="00C30ED0">
        <w:rPr>
          <w:rFonts w:cstheme="minorHAnsi"/>
        </w:rPr>
        <w:t xml:space="preserve">information collection request </w:t>
      </w:r>
      <w:r w:rsidRPr="00F728B2" w:rsidR="004371BD">
        <w:rPr>
          <w:rFonts w:cstheme="minorHAnsi"/>
        </w:rPr>
        <w:t xml:space="preserve">will </w:t>
      </w:r>
      <w:r w:rsidRPr="00F728B2" w:rsidR="008A411A">
        <w:rPr>
          <w:rFonts w:cstheme="minorHAnsi"/>
        </w:rPr>
        <w:t xml:space="preserve">give the EPA a more comprehensive </w:t>
      </w:r>
      <w:r w:rsidRPr="00F728B2" w:rsidR="003049A0">
        <w:rPr>
          <w:rFonts w:cstheme="minorHAnsi"/>
        </w:rPr>
        <w:t xml:space="preserve">perspective on the regulatory framework governing </w:t>
      </w:r>
      <w:r w:rsidRPr="00F728B2" w:rsidR="00061EE0">
        <w:rPr>
          <w:rFonts w:cstheme="minorHAnsi"/>
        </w:rPr>
        <w:t xml:space="preserve">the </w:t>
      </w:r>
      <w:r w:rsidRPr="00F728B2" w:rsidR="00173A68">
        <w:rPr>
          <w:rFonts w:cstheme="minorHAnsi"/>
        </w:rPr>
        <w:t>container</w:t>
      </w:r>
      <w:r w:rsidRPr="00F728B2" w:rsidR="00A37D70">
        <w:rPr>
          <w:rFonts w:cstheme="minorHAnsi"/>
        </w:rPr>
        <w:t xml:space="preserve"> reconditioning</w:t>
      </w:r>
      <w:r w:rsidRPr="00F728B2" w:rsidR="00061EE0">
        <w:rPr>
          <w:rFonts w:cstheme="minorHAnsi"/>
        </w:rPr>
        <w:t xml:space="preserve"> industry</w:t>
      </w:r>
      <w:r w:rsidRPr="00F728B2" w:rsidR="00C14149">
        <w:rPr>
          <w:rFonts w:cstheme="minorHAnsi"/>
        </w:rPr>
        <w:t xml:space="preserve"> and</w:t>
      </w:r>
      <w:r w:rsidRPr="00F728B2" w:rsidR="004F5467">
        <w:rPr>
          <w:rFonts w:cstheme="minorHAnsi"/>
        </w:rPr>
        <w:t xml:space="preserve"> help the EPA </w:t>
      </w:r>
      <w:r w:rsidRPr="00F728B2" w:rsidR="007A6FDF">
        <w:rPr>
          <w:rFonts w:cstheme="minorHAnsi"/>
        </w:rPr>
        <w:t>identify the most effective option</w:t>
      </w:r>
      <w:r w:rsidRPr="00F728B2" w:rsidR="00885BC8">
        <w:rPr>
          <w:rFonts w:cstheme="minorHAnsi"/>
        </w:rPr>
        <w:t>s to</w:t>
      </w:r>
      <w:r w:rsidRPr="00F728B2" w:rsidR="007361FA">
        <w:rPr>
          <w:rFonts w:cstheme="minorHAnsi"/>
        </w:rPr>
        <w:t xml:space="preserve"> ensure proper management of used industrial containers.</w:t>
      </w:r>
    </w:p>
    <w:p w:rsidR="002478BA" w:rsidRPr="00F728B2" w:rsidP="0021068B" w14:paraId="27C57678" w14:textId="77777777">
      <w:pPr>
        <w:spacing w:before="240"/>
        <w:rPr>
          <w:rFonts w:cstheme="minorHAnsi"/>
        </w:rPr>
      </w:pPr>
    </w:p>
    <w:p w:rsidR="00DE4E0C" w:rsidRPr="00F728B2" w:rsidP="4BDBF0A0" w14:paraId="63C2E114" w14:textId="77777777">
      <w:pPr>
        <w:rPr>
          <w:rFonts w:cstheme="minorHAnsi"/>
          <w:b/>
          <w:bCs/>
          <w:u w:val="single"/>
        </w:rPr>
      </w:pPr>
      <w:r w:rsidRPr="00F728B2">
        <w:rPr>
          <w:rFonts w:cstheme="minorHAnsi"/>
          <w:b/>
          <w:bCs/>
          <w:u w:val="single"/>
        </w:rPr>
        <w:t>Supporting Statement A</w:t>
      </w:r>
      <w:bookmarkEnd w:id="0"/>
    </w:p>
    <w:p w:rsidR="00D47CB3" w:rsidRPr="00F728B2" w:rsidP="00854AAE" w14:paraId="4641B68C" w14:textId="77777777">
      <w:pPr>
        <w:pStyle w:val="ListParagraph"/>
        <w:numPr>
          <w:ilvl w:val="0"/>
          <w:numId w:val="25"/>
        </w:numPr>
        <w:pBdr>
          <w:bottom w:val="single" w:sz="4" w:space="1" w:color="auto"/>
        </w:pBdr>
        <w:spacing w:before="240" w:after="0"/>
        <w:rPr>
          <w:rFonts w:cstheme="minorHAnsi"/>
          <w:b/>
          <w:bCs/>
        </w:rPr>
      </w:pPr>
      <w:bookmarkStart w:id="1" w:name="_Toc156593368"/>
      <w:r w:rsidRPr="00F728B2">
        <w:rPr>
          <w:rFonts w:cstheme="minorHAnsi"/>
          <w:b/>
          <w:bCs/>
        </w:rPr>
        <w:t>NEED AND AUTHORITY FOR THE COLLECTION</w:t>
      </w:r>
      <w:bookmarkEnd w:id="1"/>
    </w:p>
    <w:p w:rsidR="000B592C" w:rsidRPr="00F728B2" w:rsidP="00762E39" w14:paraId="22657F0F" w14:textId="25B422F1">
      <w:pPr>
        <w:pBdr>
          <w:bottom w:val="single" w:sz="4" w:space="1" w:color="auto"/>
        </w:pBdr>
        <w:spacing w:before="60"/>
        <w:rPr>
          <w:i/>
        </w:rPr>
      </w:pPr>
      <w:r w:rsidRPr="19815AE1">
        <w:rPr>
          <w:i/>
          <w:color w:val="000000"/>
          <w:shd w:val="clear" w:color="auto" w:fill="FFFFFF"/>
        </w:rPr>
        <w:t>Explain the circumstances that make the collection of information necessary. Identify any legal or administrative requirements that necessitate the collection.</w:t>
      </w:r>
    </w:p>
    <w:p w:rsidR="00D9733E" w:rsidRPr="00F728B2" w:rsidP="00D9733E" w14:paraId="3D561EB0" w14:textId="6E0EB1ED">
      <w:pPr>
        <w:keepNext/>
        <w:rPr>
          <w:rFonts w:cstheme="minorHAnsi"/>
        </w:rPr>
      </w:pPr>
      <w:r w:rsidRPr="00F728B2">
        <w:rPr>
          <w:rFonts w:cstheme="minorHAnsi"/>
        </w:rPr>
        <w:t>The U.S. Environmental Protection Agency (the EPA or the Agency)</w:t>
      </w:r>
      <w:r w:rsidR="00301206">
        <w:rPr>
          <w:rFonts w:cstheme="minorHAnsi"/>
        </w:rPr>
        <w:t>, under the authority of the Resource Conservation and Recovery Act (RCRA) Section 3007 (</w:t>
      </w:r>
      <w:hyperlink r:id="rId9" w:history="1">
        <w:r w:rsidRPr="00301206" w:rsidR="00301206">
          <w:rPr>
            <w:rStyle w:val="Hyperlink"/>
            <w:rFonts w:cstheme="minorHAnsi"/>
          </w:rPr>
          <w:t>42 U.S.C. 6927</w:t>
        </w:r>
      </w:hyperlink>
      <w:r w:rsidR="00301206">
        <w:rPr>
          <w:rFonts w:cstheme="minorHAnsi"/>
        </w:rPr>
        <w:t>),</w:t>
      </w:r>
      <w:r w:rsidRPr="00F728B2">
        <w:rPr>
          <w:rFonts w:cstheme="minorHAnsi"/>
        </w:rPr>
        <w:t xml:space="preserve"> is soliciting information to assist in the potential development of non-regulatory and regulatory options that would ensure the proper management of used industrial containers that held hazardous chemicals or hazardous waste, up to and including the </w:t>
      </w:r>
      <w:r w:rsidRPr="00F728B2" w:rsidR="00173A68">
        <w:rPr>
          <w:rFonts w:cstheme="minorHAnsi"/>
        </w:rPr>
        <w:t>container</w:t>
      </w:r>
      <w:r w:rsidRPr="00F728B2">
        <w:rPr>
          <w:rFonts w:cstheme="minorHAnsi"/>
        </w:rPr>
        <w:t xml:space="preserve"> reconditioning process. Options could include revising the Resource Conservation and Recovery Act (RCRA) regulations or other, non-regulatory options.</w:t>
      </w:r>
    </w:p>
    <w:p w:rsidR="00D9733E" w:rsidRPr="00F728B2" w:rsidP="00D9733E" w14:paraId="2BE42373" w14:textId="02ECFB3C">
      <w:pPr>
        <w:keepNext/>
        <w:rPr>
          <w:rFonts w:cstheme="minorHAnsi"/>
        </w:rPr>
      </w:pPr>
      <w:r w:rsidRPr="00F728B2">
        <w:rPr>
          <w:rFonts w:cstheme="minorHAnsi"/>
        </w:rPr>
        <w:t xml:space="preserve">Container </w:t>
      </w:r>
      <w:r w:rsidRPr="00F728B2">
        <w:rPr>
          <w:rFonts w:cstheme="minorHAnsi"/>
        </w:rPr>
        <w:t>reconditioning facilities recondition metal and plastic drums and intermediate bulk containers (IBCs) for resale and reuse by cleaning, restoring, testing, and certifying these industrial containers. These containers previously held a variety of materials including hazardous waste, chemicals, paints, resins, tars, adhesives, foods, oils, soaps, solvents, or related materials. The two main processes used for reconditioning are burning off residue from metal drums in a drum furnace and washing metal or plastic drums or containers with water and/or a caustic solution to clean out residues.</w:t>
      </w:r>
    </w:p>
    <w:p w:rsidR="00D9733E" w:rsidRPr="00F728B2" w:rsidP="00D9733E" w14:paraId="6A30C0A0" w14:textId="645AF8B5">
      <w:pPr>
        <w:keepNext/>
        <w:rPr>
          <w:rFonts w:cstheme="minorHAnsi"/>
        </w:rPr>
      </w:pPr>
      <w:r w:rsidRPr="00F728B2">
        <w:rPr>
          <w:rFonts w:cstheme="minorHAnsi"/>
        </w:rPr>
        <w:t xml:space="preserve">On September 8, 2022, the EPA published a Drum Reconditioner Damage Case Report (DCR) that described the EPA's understanding of how the </w:t>
      </w:r>
      <w:r w:rsidRPr="00F728B2" w:rsidR="00173A68">
        <w:rPr>
          <w:rFonts w:cstheme="minorHAnsi"/>
        </w:rPr>
        <w:t>container</w:t>
      </w:r>
      <w:r w:rsidRPr="00F728B2">
        <w:rPr>
          <w:rFonts w:cstheme="minorHAnsi"/>
        </w:rPr>
        <w:t xml:space="preserve"> reconditioning industry operates and documents damage case incidents at facilities that have caused significant harm to human health and the environment. The report also served to inform domestic policymakers, enforcement officials, and the public about the regulatory and waste issues surrounding </w:t>
      </w:r>
      <w:r w:rsidRPr="00F728B2" w:rsidR="00173A68">
        <w:rPr>
          <w:rFonts w:cstheme="minorHAnsi"/>
        </w:rPr>
        <w:t>container</w:t>
      </w:r>
      <w:r w:rsidRPr="00F728B2">
        <w:rPr>
          <w:rFonts w:cstheme="minorHAnsi"/>
        </w:rPr>
        <w:t xml:space="preserve"> reconditioning facilities and served as the EPA's first step to gather information and engage stakeholders on approaches to address and mitigate these issues.</w:t>
      </w:r>
    </w:p>
    <w:p w:rsidR="00D9733E" w:rsidRPr="00F728B2" w:rsidP="00D9733E" w14:paraId="6B5AAFC3" w14:textId="4421DFBC">
      <w:pPr>
        <w:keepNext/>
        <w:rPr>
          <w:rFonts w:cstheme="minorHAnsi"/>
        </w:rPr>
      </w:pPr>
      <w:r w:rsidRPr="00F728B2">
        <w:rPr>
          <w:rFonts w:cstheme="minorHAnsi"/>
        </w:rPr>
        <w:t xml:space="preserve">The DCR's findings indicate an estimated national </w:t>
      </w:r>
      <w:r w:rsidRPr="00F728B2" w:rsidR="00173A68">
        <w:rPr>
          <w:rFonts w:cstheme="minorHAnsi"/>
        </w:rPr>
        <w:t>container</w:t>
      </w:r>
      <w:r w:rsidRPr="00F728B2">
        <w:rPr>
          <w:rFonts w:cstheme="minorHAnsi"/>
        </w:rPr>
        <w:t xml:space="preserve"> reconditioning universe of 181 facilities with approximately 40 million total metal and plastic containers being processed each year. The data also indicates that approximately 35% of drums are reconditioned using drum furnaces, and the remaining 65% of containers are reconditioned through washing methods. Of the total 181 drum reconditioning facilities identified by the EPA, 86 had one or more reported damage cases, representing 47.5% of the total industry.</w:t>
      </w:r>
    </w:p>
    <w:p w:rsidR="00D9733E" w:rsidRPr="00F728B2" w:rsidP="00D9733E" w14:paraId="1115AC6D" w14:textId="77777777">
      <w:pPr>
        <w:keepNext/>
        <w:rPr>
          <w:rFonts w:cstheme="minorHAnsi"/>
        </w:rPr>
      </w:pPr>
      <w:r w:rsidRPr="00F728B2">
        <w:rPr>
          <w:rFonts w:cstheme="minorHAnsi"/>
        </w:rPr>
        <w:t xml:space="preserve">The EPA's data also indicates that 25% of drum reconditioning facilities that are currently operating have had damage cases, 23 facilities experienced damage cases between 2011 and the present, and 58 of the 86 facilities that experienced damage cases had at least one incident occur after the empty container provision, found in 40 CFR 261.7, was promulgated in 1980. Damages include fires; drum explosions; </w:t>
      </w:r>
      <w:r w:rsidRPr="00F728B2">
        <w:rPr>
          <w:rFonts w:cstheme="minorHAnsi"/>
        </w:rPr>
        <w:t>hazardous waste spills; leaking caused by improper storage of drums/containers; employee injuries; air, water, or soil contamination; and various combinations of these incidents.</w:t>
      </w:r>
    </w:p>
    <w:p w:rsidR="00D9733E" w:rsidRPr="00F728B2" w:rsidP="00D9733E" w14:paraId="07848A52" w14:textId="2B458D21">
      <w:pPr>
        <w:keepNext/>
        <w:rPr>
          <w:rFonts w:cstheme="minorHAnsi"/>
        </w:rPr>
      </w:pPr>
      <w:r w:rsidRPr="00F728B2">
        <w:rPr>
          <w:rFonts w:cstheme="minorHAnsi"/>
        </w:rPr>
        <w:t>An Advance Notice of Proposed Rulemaking (ANPRM) was published in the Federal Register (88 FR 54537) on August 11, 2023 that gives additional details on the need for data and provide</w:t>
      </w:r>
      <w:r w:rsidRPr="00F728B2" w:rsidR="009611C0">
        <w:rPr>
          <w:rFonts w:cstheme="minorHAnsi"/>
        </w:rPr>
        <w:t>d</w:t>
      </w:r>
      <w:r w:rsidRPr="00F728B2">
        <w:rPr>
          <w:rFonts w:cstheme="minorHAnsi"/>
        </w:rPr>
        <w:t xml:space="preserve"> an opportunity to comment on the potential development of non-regulatory and regulatory options that would ensure the proper management of used industrial containers that held hazardous chemicals or hazardous waste, up to and including the </w:t>
      </w:r>
      <w:r w:rsidRPr="00F728B2" w:rsidR="00173A68">
        <w:rPr>
          <w:rFonts w:cstheme="minorHAnsi"/>
        </w:rPr>
        <w:t>container</w:t>
      </w:r>
      <w:r w:rsidRPr="00F728B2">
        <w:rPr>
          <w:rFonts w:cstheme="minorHAnsi"/>
        </w:rPr>
        <w:t xml:space="preserve"> reconditioning process. </w:t>
      </w:r>
    </w:p>
    <w:p w:rsidR="00D9733E" w:rsidRPr="00F728B2" w:rsidP="00D9733E" w14:paraId="02BB3287" w14:textId="60270B89">
      <w:pPr>
        <w:keepNext/>
        <w:rPr>
          <w:rFonts w:cstheme="minorHAnsi"/>
        </w:rPr>
      </w:pPr>
      <w:r w:rsidRPr="00F728B2">
        <w:rPr>
          <w:rFonts w:cstheme="minorHAnsi"/>
        </w:rPr>
        <w:t xml:space="preserve">EPA, through this Information Collection Request (ICR) package, requests that the Office of Management and Budget (OMB) review and approve the ICR for the </w:t>
      </w:r>
      <w:r w:rsidRPr="00F728B2" w:rsidR="0006465A">
        <w:rPr>
          <w:rFonts w:cstheme="minorHAnsi"/>
        </w:rPr>
        <w:t>Container</w:t>
      </w:r>
      <w:r w:rsidRPr="00F728B2">
        <w:rPr>
          <w:rFonts w:cstheme="minorHAnsi"/>
        </w:rPr>
        <w:t xml:space="preserve"> Reconditioning Facilities Data Collection. Through this collection, EPA will obtain data essential to determine the current practices in acceptance, storage, handling, and management of non-RCRA empty containers; emissions from drum furnaces; management of wastewaters and other wastes generated from </w:t>
      </w:r>
      <w:r w:rsidRPr="00F728B2" w:rsidR="00173A68">
        <w:rPr>
          <w:rFonts w:cstheme="minorHAnsi"/>
        </w:rPr>
        <w:t>container</w:t>
      </w:r>
      <w:r w:rsidRPr="00F728B2">
        <w:rPr>
          <w:rFonts w:cstheme="minorHAnsi"/>
        </w:rPr>
        <w:t xml:space="preserve"> reconditioning; and emergency response, training and permitting practices at </w:t>
      </w:r>
      <w:r w:rsidRPr="00F728B2" w:rsidR="00173A68">
        <w:rPr>
          <w:rFonts w:cstheme="minorHAnsi"/>
        </w:rPr>
        <w:t>container</w:t>
      </w:r>
      <w:r w:rsidRPr="00F728B2">
        <w:rPr>
          <w:rFonts w:cstheme="minorHAnsi"/>
        </w:rPr>
        <w:t xml:space="preserve"> reconditioning facilities. This collection effort is necessary because there are limited national data on these topics from </w:t>
      </w:r>
      <w:r w:rsidRPr="00F728B2" w:rsidR="00173A68">
        <w:rPr>
          <w:rFonts w:cstheme="minorHAnsi"/>
        </w:rPr>
        <w:t>container</w:t>
      </w:r>
      <w:r w:rsidRPr="00F728B2">
        <w:rPr>
          <w:rFonts w:cstheme="minorHAnsi"/>
        </w:rPr>
        <w:t xml:space="preserve"> reconditioning facilities and no previous federal rulemaking (air or water) efforts have focused on this industrial sector. A limited amount of information from varied sources was compiled on </w:t>
      </w:r>
      <w:r w:rsidRPr="00F728B2" w:rsidR="00173A68">
        <w:rPr>
          <w:rFonts w:cstheme="minorHAnsi"/>
        </w:rPr>
        <w:t>container</w:t>
      </w:r>
      <w:r w:rsidRPr="00F728B2">
        <w:rPr>
          <w:rFonts w:cstheme="minorHAnsi"/>
        </w:rPr>
        <w:t xml:space="preserve"> reconditioning facilities by EPA’s Office of Water between 1989 and 2000, but this information does not address important aspects of hazardous waste management and may be out of date. </w:t>
      </w:r>
    </w:p>
    <w:p w:rsidR="00BB432F" w:rsidRPr="00F728B2" w:rsidP="00D9733E" w14:paraId="756371BA" w14:textId="1447E221">
      <w:pPr>
        <w:keepNext/>
        <w:rPr>
          <w:rFonts w:cstheme="minorHAnsi"/>
        </w:rPr>
      </w:pPr>
      <w:r w:rsidRPr="00F728B2">
        <w:rPr>
          <w:rFonts w:cstheme="minorHAnsi"/>
        </w:rPr>
        <w:t xml:space="preserve">A questionnaire for the </w:t>
      </w:r>
      <w:r w:rsidRPr="00F728B2" w:rsidR="009611C0">
        <w:rPr>
          <w:rFonts w:cstheme="minorHAnsi"/>
        </w:rPr>
        <w:t>c</w:t>
      </w:r>
      <w:r w:rsidRPr="00F728B2" w:rsidR="0006465A">
        <w:rPr>
          <w:rFonts w:cstheme="minorHAnsi"/>
        </w:rPr>
        <w:t>ontainer</w:t>
      </w:r>
      <w:r w:rsidRPr="00F728B2">
        <w:rPr>
          <w:rFonts w:cstheme="minorHAnsi"/>
        </w:rPr>
        <w:t xml:space="preserve"> </w:t>
      </w:r>
      <w:r w:rsidRPr="00F728B2" w:rsidR="009611C0">
        <w:rPr>
          <w:rFonts w:cstheme="minorHAnsi"/>
        </w:rPr>
        <w:t>r</w:t>
      </w:r>
      <w:r w:rsidRPr="00F728B2">
        <w:rPr>
          <w:rFonts w:cstheme="minorHAnsi"/>
        </w:rPr>
        <w:t xml:space="preserve">econditioning industry is an essential portion of the rulemaking process, necessary for EPA to determine if the current regulations or voluntary actions remain appropriate and, if warranted, develop new regulations or voluntary actions. The data collection activities described in this ICR will provide a robust data set that characterizes </w:t>
      </w:r>
      <w:r w:rsidRPr="00F728B2" w:rsidR="00173A68">
        <w:rPr>
          <w:rFonts w:cstheme="minorHAnsi"/>
        </w:rPr>
        <w:t>container</w:t>
      </w:r>
      <w:r w:rsidRPr="00F728B2">
        <w:rPr>
          <w:rFonts w:cstheme="minorHAnsi"/>
        </w:rPr>
        <w:t xml:space="preserve"> reconditioning acceptance, storage, and handling practices; air emission and control techniques; and wastewater generation, treatment, and discharge from </w:t>
      </w:r>
      <w:r w:rsidRPr="00F728B2" w:rsidR="00173A68">
        <w:rPr>
          <w:rFonts w:cstheme="minorHAnsi"/>
        </w:rPr>
        <w:t>container</w:t>
      </w:r>
      <w:r w:rsidRPr="00F728B2">
        <w:rPr>
          <w:rFonts w:cstheme="minorHAnsi"/>
        </w:rPr>
        <w:t xml:space="preserve"> reconditioning facilities in the United States.</w:t>
      </w:r>
    </w:p>
    <w:p w:rsidR="00D9733E" w:rsidRPr="00F728B2" w:rsidP="00854AAE" w14:paraId="5FD1BE80" w14:textId="77777777">
      <w:pPr>
        <w:keepNext/>
        <w:rPr>
          <w:rFonts w:cstheme="minorHAnsi"/>
        </w:rPr>
      </w:pPr>
    </w:p>
    <w:p w:rsidR="00D47CB3" w:rsidRPr="00F728B2" w:rsidP="00854AAE" w14:paraId="030EE9EE" w14:textId="77777777">
      <w:pPr>
        <w:pStyle w:val="ListParagraph"/>
        <w:numPr>
          <w:ilvl w:val="0"/>
          <w:numId w:val="25"/>
        </w:numPr>
        <w:pBdr>
          <w:bottom w:val="single" w:sz="4" w:space="1" w:color="auto"/>
        </w:pBdr>
        <w:spacing w:before="240" w:after="0"/>
        <w:rPr>
          <w:rFonts w:cstheme="minorHAnsi"/>
          <w:b/>
          <w:bCs/>
        </w:rPr>
      </w:pPr>
      <w:bookmarkStart w:id="2" w:name="_Toc156593369"/>
      <w:r w:rsidRPr="00F728B2">
        <w:rPr>
          <w:rFonts w:cstheme="minorHAnsi"/>
          <w:b/>
          <w:bCs/>
        </w:rPr>
        <w:t>PRACTICAL UTILITY/USERS OF THE DATA</w:t>
      </w:r>
      <w:bookmarkEnd w:id="2"/>
    </w:p>
    <w:p w:rsidR="00CC2E3C" w:rsidRPr="0063321E" w:rsidP="00563E86" w14:paraId="09D2412D" w14:textId="77777777">
      <w:pPr>
        <w:pBdr>
          <w:bottom w:val="single" w:sz="4" w:space="1" w:color="auto"/>
        </w:pBdr>
        <w:spacing w:before="60"/>
        <w:rPr>
          <w:rFonts w:cstheme="minorHAnsi"/>
          <w:i/>
          <w:iCs/>
          <w:color w:val="000000"/>
          <w:shd w:val="clear" w:color="auto" w:fill="FFFFFF"/>
        </w:rPr>
      </w:pPr>
      <w:r w:rsidRPr="0063321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D9733E" w:rsidRPr="00F728B2" w:rsidP="00D9733E" w14:paraId="463AC46E" w14:textId="730D0E8A">
      <w:pPr>
        <w:pStyle w:val="BodyText"/>
        <w:rPr>
          <w:rFonts w:asciiTheme="minorHAnsi" w:hAnsiTheme="minorHAnsi" w:cstheme="minorHAnsi"/>
          <w:sz w:val="22"/>
          <w:szCs w:val="22"/>
        </w:rPr>
      </w:pPr>
      <w:r w:rsidRPr="00F728B2">
        <w:rPr>
          <w:rFonts w:asciiTheme="minorHAnsi" w:hAnsiTheme="minorHAnsi" w:cstheme="minorHAnsi"/>
          <w:sz w:val="22"/>
          <w:szCs w:val="22"/>
        </w:rPr>
        <w:t xml:space="preserve">EPA’s Office of Resource Conservation and Recovery plans to administer the data collection, in the form of a one-time questionnaire under the authority of RCRA 3007. EPA plans to administer a questionnaire to all active facilities that currently conduct </w:t>
      </w:r>
      <w:r w:rsidRPr="00F728B2" w:rsidR="00173A68">
        <w:rPr>
          <w:rFonts w:asciiTheme="minorHAnsi" w:hAnsiTheme="minorHAnsi" w:cstheme="minorHAnsi"/>
          <w:sz w:val="22"/>
          <w:szCs w:val="22"/>
        </w:rPr>
        <w:t>container</w:t>
      </w:r>
      <w:r w:rsidRPr="00F728B2">
        <w:rPr>
          <w:rFonts w:asciiTheme="minorHAnsi" w:hAnsiTheme="minorHAnsi" w:cstheme="minorHAnsi"/>
          <w:sz w:val="22"/>
          <w:szCs w:val="22"/>
        </w:rPr>
        <w:t xml:space="preserve"> reconditioning operations in the United States. Based on the data sources discussed in Section </w:t>
      </w:r>
      <w:r w:rsidRPr="00F728B2">
        <w:rPr>
          <w:rFonts w:asciiTheme="minorHAnsi" w:hAnsiTheme="minorHAnsi" w:cstheme="minorHAnsi"/>
          <w:sz w:val="22"/>
          <w:szCs w:val="22"/>
        </w:rPr>
        <w:fldChar w:fldCharType="begin"/>
      </w:r>
      <w:r w:rsidRPr="00F728B2">
        <w:rPr>
          <w:rFonts w:asciiTheme="minorHAnsi" w:hAnsiTheme="minorHAnsi" w:cstheme="minorHAnsi"/>
          <w:sz w:val="22"/>
          <w:szCs w:val="22"/>
        </w:rPr>
        <w:instrText xml:space="preserve"> REF _Ref152062005 \r \h  \* MERGEFORMAT </w:instrText>
      </w:r>
      <w:r w:rsidRPr="00F728B2">
        <w:rPr>
          <w:rFonts w:asciiTheme="minorHAnsi" w:hAnsiTheme="minorHAnsi" w:cstheme="minorHAnsi"/>
          <w:sz w:val="22"/>
          <w:szCs w:val="22"/>
        </w:rPr>
        <w:fldChar w:fldCharType="separate"/>
      </w:r>
      <w:r w:rsidRPr="00F728B2">
        <w:rPr>
          <w:rFonts w:asciiTheme="minorHAnsi" w:hAnsiTheme="minorHAnsi" w:cstheme="minorHAnsi"/>
          <w:sz w:val="22"/>
          <w:szCs w:val="22"/>
        </w:rPr>
        <w:t>4</w:t>
      </w:r>
      <w:r w:rsidRPr="00F728B2">
        <w:rPr>
          <w:rFonts w:asciiTheme="minorHAnsi" w:hAnsiTheme="minorHAnsi" w:cstheme="minorHAnsi"/>
          <w:sz w:val="22"/>
          <w:szCs w:val="22"/>
        </w:rPr>
        <w:fldChar w:fldCharType="end"/>
      </w:r>
      <w:r w:rsidRPr="00F728B2">
        <w:rPr>
          <w:rFonts w:asciiTheme="minorHAnsi" w:hAnsiTheme="minorHAnsi" w:cstheme="minorHAnsi"/>
          <w:sz w:val="22"/>
          <w:szCs w:val="22"/>
        </w:rPr>
        <w:t xml:space="preserve">, EPA has identified and compiled mailing addresses for approximately 216 </w:t>
      </w:r>
      <w:r w:rsidRPr="00F728B2" w:rsidR="00173A68">
        <w:rPr>
          <w:rFonts w:asciiTheme="minorHAnsi" w:hAnsiTheme="minorHAnsi" w:cstheme="minorHAnsi"/>
          <w:sz w:val="22"/>
          <w:szCs w:val="22"/>
        </w:rPr>
        <w:t>container</w:t>
      </w:r>
      <w:r w:rsidRPr="00F728B2">
        <w:rPr>
          <w:rFonts w:asciiTheme="minorHAnsi" w:hAnsiTheme="minorHAnsi" w:cstheme="minorHAnsi"/>
          <w:sz w:val="22"/>
          <w:szCs w:val="22"/>
        </w:rPr>
        <w:t xml:space="preserve"> reconditioning facilities in the United States. All active </w:t>
      </w:r>
      <w:r w:rsidRPr="00F728B2" w:rsidR="00173A68">
        <w:rPr>
          <w:rFonts w:asciiTheme="minorHAnsi" w:hAnsiTheme="minorHAnsi" w:cstheme="minorHAnsi"/>
          <w:sz w:val="22"/>
          <w:szCs w:val="22"/>
        </w:rPr>
        <w:t>container</w:t>
      </w:r>
      <w:r w:rsidRPr="00F728B2">
        <w:rPr>
          <w:rFonts w:asciiTheme="minorHAnsi" w:hAnsiTheme="minorHAnsi" w:cstheme="minorHAnsi"/>
          <w:sz w:val="22"/>
          <w:szCs w:val="22"/>
        </w:rPr>
        <w:t xml:space="preserve"> reconditioning facilities will be required to complete the questionnaire regardless of size or geography. Because no single existing data source includes information for all facilities engaging in one or more of the specified </w:t>
      </w:r>
      <w:r w:rsidRPr="00F728B2" w:rsidR="00173A68">
        <w:rPr>
          <w:rFonts w:asciiTheme="minorHAnsi" w:hAnsiTheme="minorHAnsi" w:cstheme="minorHAnsi"/>
          <w:sz w:val="22"/>
          <w:szCs w:val="22"/>
        </w:rPr>
        <w:t>container</w:t>
      </w:r>
      <w:r w:rsidRPr="00F728B2">
        <w:rPr>
          <w:rFonts w:asciiTheme="minorHAnsi" w:hAnsiTheme="minorHAnsi" w:cstheme="minorHAnsi"/>
          <w:sz w:val="22"/>
          <w:szCs w:val="22"/>
        </w:rPr>
        <w:t xml:space="preserve"> reconditioning operations, the exact number of facilities is unclear. EPA estimates the population of </w:t>
      </w:r>
      <w:r w:rsidRPr="00F728B2" w:rsidR="00173A68">
        <w:rPr>
          <w:rFonts w:asciiTheme="minorHAnsi" w:hAnsiTheme="minorHAnsi" w:cstheme="minorHAnsi"/>
          <w:sz w:val="22"/>
          <w:szCs w:val="22"/>
        </w:rPr>
        <w:t>container</w:t>
      </w:r>
      <w:r w:rsidRPr="00F728B2">
        <w:rPr>
          <w:rFonts w:asciiTheme="minorHAnsi" w:hAnsiTheme="minorHAnsi" w:cstheme="minorHAnsi"/>
          <w:sz w:val="22"/>
          <w:szCs w:val="22"/>
        </w:rPr>
        <w:t xml:space="preserve"> reconditioning facilities that will receive and be required to complete the questionnaire as 216 facilities.</w:t>
      </w:r>
    </w:p>
    <w:p w:rsidR="00D9733E" w:rsidRPr="00F728B2" w:rsidP="00D9733E" w14:paraId="578E8D52" w14:textId="4366B5DB">
      <w:pPr>
        <w:pStyle w:val="BodyText"/>
        <w:rPr>
          <w:rFonts w:asciiTheme="minorHAnsi" w:hAnsiTheme="minorHAnsi" w:cstheme="minorHAnsi"/>
          <w:sz w:val="22"/>
          <w:szCs w:val="22"/>
        </w:rPr>
      </w:pPr>
      <w:r w:rsidRPr="00F728B2">
        <w:rPr>
          <w:rFonts w:asciiTheme="minorHAnsi" w:hAnsiTheme="minorHAnsi" w:cstheme="minorHAnsi"/>
          <w:sz w:val="22"/>
          <w:szCs w:val="22"/>
        </w:rPr>
        <w:t xml:space="preserve">The objectives of the questionnaire will be to confirm the population of facilities that engage or have engaged in </w:t>
      </w:r>
      <w:r w:rsidRPr="00F728B2" w:rsidR="00173A68">
        <w:rPr>
          <w:rFonts w:asciiTheme="minorHAnsi" w:hAnsiTheme="minorHAnsi" w:cstheme="minorHAnsi"/>
          <w:sz w:val="22"/>
          <w:szCs w:val="22"/>
        </w:rPr>
        <w:t>container</w:t>
      </w:r>
      <w:r w:rsidRPr="00F728B2">
        <w:rPr>
          <w:rFonts w:asciiTheme="minorHAnsi" w:hAnsiTheme="minorHAnsi" w:cstheme="minorHAnsi"/>
          <w:sz w:val="22"/>
          <w:szCs w:val="22"/>
        </w:rPr>
        <w:t xml:space="preserve"> reconditioning operations, as well as gather facility-specific information and data </w:t>
      </w:r>
      <w:r w:rsidRPr="00F728B2">
        <w:rPr>
          <w:rFonts w:asciiTheme="minorHAnsi" w:hAnsiTheme="minorHAnsi" w:cstheme="minorHAnsi"/>
          <w:sz w:val="22"/>
          <w:szCs w:val="22"/>
        </w:rPr>
        <w:t>relevant to the facility operations, security, employee safety, management, and discharge of air emissions, solid waste, and wastewater by the industry, including:</w:t>
      </w:r>
    </w:p>
    <w:p w:rsidR="00D9733E" w:rsidRPr="00F728B2" w:rsidP="00D9733E" w14:paraId="12D06912" w14:textId="77777777">
      <w:pPr>
        <w:pStyle w:val="ListBullet"/>
        <w:rPr>
          <w:sz w:val="22"/>
          <w:szCs w:val="22"/>
        </w:rPr>
      </w:pPr>
      <w:r w:rsidRPr="00F728B2">
        <w:rPr>
          <w:sz w:val="22"/>
          <w:szCs w:val="22"/>
        </w:rPr>
        <w:t>Facility name, location, contact information, EPA identification numbers, industrial classification, and operating status.</w:t>
      </w:r>
    </w:p>
    <w:p w:rsidR="00D9733E" w:rsidRPr="00F728B2" w:rsidP="00D9733E" w14:paraId="605B88B1" w14:textId="77777777">
      <w:pPr>
        <w:pStyle w:val="ListBullet"/>
        <w:rPr>
          <w:sz w:val="22"/>
          <w:szCs w:val="22"/>
        </w:rPr>
      </w:pPr>
      <w:r w:rsidRPr="00F728B2">
        <w:rPr>
          <w:sz w:val="22"/>
          <w:szCs w:val="22"/>
        </w:rPr>
        <w:t>Information on applicable air, solid waste, and wastewater permits.</w:t>
      </w:r>
    </w:p>
    <w:p w:rsidR="00D9733E" w:rsidRPr="00F728B2" w:rsidP="00D9733E" w14:paraId="3297CE23" w14:textId="10388A56">
      <w:pPr>
        <w:pStyle w:val="ListBullet"/>
        <w:rPr>
          <w:sz w:val="22"/>
          <w:szCs w:val="22"/>
        </w:rPr>
      </w:pPr>
      <w:r w:rsidRPr="00F728B2">
        <w:rPr>
          <w:sz w:val="22"/>
          <w:szCs w:val="22"/>
        </w:rPr>
        <w:t xml:space="preserve">Details on </w:t>
      </w:r>
      <w:r w:rsidRPr="00F728B2" w:rsidR="009611C0">
        <w:rPr>
          <w:sz w:val="22"/>
          <w:szCs w:val="22"/>
        </w:rPr>
        <w:t xml:space="preserve">container </w:t>
      </w:r>
      <w:r w:rsidRPr="00F728B2">
        <w:rPr>
          <w:sz w:val="22"/>
          <w:szCs w:val="22"/>
        </w:rPr>
        <w:t>reconditioning operations, including the type(s) of processes performed.</w:t>
      </w:r>
    </w:p>
    <w:p w:rsidR="00D9733E" w:rsidRPr="00F728B2" w:rsidP="00D9733E" w14:paraId="04CBD468" w14:textId="77777777">
      <w:pPr>
        <w:pStyle w:val="ListBullet"/>
        <w:rPr>
          <w:sz w:val="22"/>
          <w:szCs w:val="22"/>
        </w:rPr>
      </w:pPr>
      <w:r w:rsidRPr="00F728B2">
        <w:rPr>
          <w:sz w:val="22"/>
          <w:szCs w:val="22"/>
        </w:rPr>
        <w:t>Quantities and characteristics of air emissions, solid waste, and wastewater generated on site.</w:t>
      </w:r>
    </w:p>
    <w:p w:rsidR="00D9733E" w:rsidRPr="00F728B2" w:rsidP="00D9733E" w14:paraId="1AA05C65" w14:textId="77777777">
      <w:pPr>
        <w:pStyle w:val="ListBulletLast"/>
        <w:rPr>
          <w:sz w:val="22"/>
          <w:szCs w:val="22"/>
        </w:rPr>
      </w:pPr>
      <w:r w:rsidRPr="00F728B2">
        <w:rPr>
          <w:sz w:val="22"/>
          <w:szCs w:val="22"/>
        </w:rPr>
        <w:t xml:space="preserve">Financial, ownership, and employment data for individual facilities and their respective ultimate parent companies. </w:t>
      </w:r>
    </w:p>
    <w:p w:rsidR="00D9733E" w:rsidRPr="00F728B2" w:rsidP="00D9733E" w14:paraId="15055487" w14:textId="5A4EF797">
      <w:pPr>
        <w:pStyle w:val="BodyText"/>
        <w:rPr>
          <w:rFonts w:asciiTheme="minorHAnsi" w:hAnsiTheme="minorHAnsi" w:cstheme="minorHAnsi"/>
          <w:sz w:val="22"/>
          <w:szCs w:val="22"/>
        </w:rPr>
      </w:pPr>
      <w:r w:rsidRPr="00F728B2">
        <w:rPr>
          <w:rFonts w:asciiTheme="minorHAnsi" w:hAnsiTheme="minorHAnsi" w:cstheme="minorHAnsi"/>
          <w:sz w:val="22"/>
          <w:szCs w:val="22"/>
        </w:rPr>
        <w:t xml:space="preserve">The questionnaire consists of </w:t>
      </w:r>
      <w:r w:rsidRPr="00F728B2" w:rsidR="006644F4">
        <w:rPr>
          <w:rFonts w:asciiTheme="minorHAnsi" w:hAnsiTheme="minorHAnsi" w:cstheme="minorHAnsi"/>
          <w:sz w:val="22"/>
          <w:szCs w:val="22"/>
        </w:rPr>
        <w:t>6</w:t>
      </w:r>
      <w:r w:rsidRPr="00F728B2" w:rsidR="00AA5549">
        <w:rPr>
          <w:rFonts w:asciiTheme="minorHAnsi" w:hAnsiTheme="minorHAnsi" w:cstheme="minorHAnsi"/>
          <w:sz w:val="22"/>
          <w:szCs w:val="22"/>
        </w:rPr>
        <w:t>4</w:t>
      </w:r>
      <w:r w:rsidRPr="00F728B2">
        <w:rPr>
          <w:rFonts w:asciiTheme="minorHAnsi" w:hAnsiTheme="minorHAnsi" w:cstheme="minorHAnsi"/>
          <w:sz w:val="22"/>
          <w:szCs w:val="22"/>
        </w:rPr>
        <w:t xml:space="preserve"> questions. EPA believes that all the information and data requested in the questionnaire is readily available to facilities; EPA does not anticipate facilities will need to generate new information or data to complete the questionnaire. </w:t>
      </w:r>
    </w:p>
    <w:p w:rsidR="00D9733E" w:rsidRPr="00F728B2" w:rsidP="00D9733E" w14:paraId="08887D9D" w14:textId="7FB92BA4">
      <w:pPr>
        <w:pStyle w:val="BodyText"/>
        <w:rPr>
          <w:rFonts w:asciiTheme="minorHAnsi" w:hAnsiTheme="minorHAnsi" w:cstheme="minorHAnsi"/>
          <w:sz w:val="22"/>
          <w:szCs w:val="22"/>
        </w:rPr>
      </w:pPr>
      <w:r w:rsidRPr="00F728B2">
        <w:rPr>
          <w:rFonts w:asciiTheme="minorHAnsi" w:hAnsiTheme="minorHAnsi" w:cstheme="minorHAnsi"/>
          <w:sz w:val="22"/>
          <w:szCs w:val="22"/>
        </w:rPr>
        <w:t xml:space="preserve">EPA prepared the questionnaire to be applicable to a variety of facilities; therefore, not all questions will apply to every company or facility. Facilities that receive the questionnaire but have not conducted </w:t>
      </w:r>
      <w:r w:rsidRPr="00F728B2" w:rsidR="00173A68">
        <w:rPr>
          <w:rFonts w:asciiTheme="minorHAnsi" w:hAnsiTheme="minorHAnsi" w:cstheme="minorHAnsi"/>
          <w:sz w:val="22"/>
          <w:szCs w:val="22"/>
        </w:rPr>
        <w:t>container</w:t>
      </w:r>
      <w:r w:rsidRPr="00F728B2">
        <w:rPr>
          <w:rFonts w:asciiTheme="minorHAnsi" w:hAnsiTheme="minorHAnsi" w:cstheme="minorHAnsi"/>
          <w:sz w:val="22"/>
          <w:szCs w:val="22"/>
        </w:rPr>
        <w:t xml:space="preserve"> reconditioning operations after January 1, 2023, or have permanently closed as of January 1, 2023, are instructed not to complete the questionnaire. Most facilities will not be required to complete every question in the questionnaire. For example, facilities that did not generate wastewater, operate wastewater treatment, or discharge wastewater in 2023 will be instructed to skip entire sections or sets of questions in the questionnaire. </w:t>
      </w:r>
    </w:p>
    <w:p w:rsidR="00BB432F" w:rsidRPr="00F728B2" w:rsidP="00D9733E" w14:paraId="68A3CA5C" w14:textId="3497A9C0">
      <w:pPr>
        <w:pBdr>
          <w:top w:val="single" w:sz="6" w:space="0" w:color="FFFFFF"/>
          <w:left w:val="single" w:sz="6" w:space="0" w:color="FFFFFF"/>
          <w:bottom w:val="single" w:sz="6" w:space="0" w:color="FFFFFF"/>
          <w:right w:val="single" w:sz="6" w:space="0" w:color="FFFFFF"/>
        </w:pBdr>
        <w:rPr>
          <w:rFonts w:cstheme="minorHAnsi"/>
          <w:i/>
          <w:iCs/>
          <w:color w:val="000000"/>
          <w:shd w:val="clear" w:color="auto" w:fill="FFFFFF"/>
        </w:rPr>
      </w:pPr>
      <w:r w:rsidRPr="00F728B2">
        <w:rPr>
          <w:rFonts w:cstheme="minorHAnsi"/>
        </w:rPr>
        <w:t xml:space="preserve">EPA plans to conduct the questionnaire via a web-based platform, Qualtrics Survey Software (Qualtrics). The questionnaire will primarily collect data for calendar year 2023, which represents the most recent year for which complete technical and economic data will be available, as EPA expects the survey will be administered in 2024. The questionnaire will also collect limited data for time periods prior to 2023. </w:t>
      </w:r>
    </w:p>
    <w:p w:rsidR="004E6D3D" w:rsidRPr="00F728B2" w:rsidP="00D9733E" w14:paraId="6F55C175" w14:textId="77777777">
      <w:pPr>
        <w:pBdr>
          <w:top w:val="single" w:sz="6" w:space="0" w:color="FFFFFF"/>
          <w:left w:val="single" w:sz="6" w:space="0" w:color="FFFFFF"/>
          <w:bottom w:val="single" w:sz="6" w:space="0" w:color="FFFFFF"/>
          <w:right w:val="single" w:sz="6" w:space="0" w:color="FFFFFF"/>
        </w:pBdr>
        <w:rPr>
          <w:rFonts w:cstheme="minorHAnsi"/>
          <w:color w:val="FF0000"/>
        </w:rPr>
      </w:pPr>
    </w:p>
    <w:p w:rsidR="00074917" w:rsidRPr="00F728B2" w:rsidP="00854AAE" w14:paraId="6E9724BA" w14:textId="77777777">
      <w:pPr>
        <w:pStyle w:val="ListParagraph"/>
        <w:numPr>
          <w:ilvl w:val="0"/>
          <w:numId w:val="25"/>
        </w:numPr>
        <w:pBdr>
          <w:bottom w:val="single" w:sz="4" w:space="1" w:color="auto"/>
        </w:pBdr>
        <w:spacing w:before="240" w:after="0"/>
        <w:rPr>
          <w:rFonts w:cstheme="minorHAnsi"/>
          <w:b/>
          <w:bCs/>
        </w:rPr>
      </w:pPr>
      <w:bookmarkStart w:id="3" w:name="_Toc156593370"/>
      <w:r w:rsidRPr="00F728B2">
        <w:rPr>
          <w:rFonts w:cstheme="minorHAnsi"/>
          <w:b/>
          <w:bCs/>
        </w:rPr>
        <w:t>USE OF TECHNOLOGY</w:t>
      </w:r>
      <w:bookmarkEnd w:id="3"/>
    </w:p>
    <w:p w:rsidR="004E6D3D" w:rsidRPr="00F728B2" w:rsidP="004E6D3D" w14:paraId="0D4D6C64" w14:textId="3AE457D9">
      <w:pPr>
        <w:pBdr>
          <w:bottom w:val="single" w:sz="4" w:space="1" w:color="auto"/>
        </w:pBdr>
        <w:spacing w:before="60"/>
        <w:rPr>
          <w:rFonts w:cstheme="minorHAnsi"/>
          <w:i/>
          <w:iCs/>
        </w:rPr>
      </w:pPr>
      <w:r w:rsidRPr="0063321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9733E" w:rsidRPr="00F728B2" w:rsidP="00D9733E" w14:paraId="2714D5B8" w14:textId="77777777">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F728B2">
        <w:rPr>
          <w:rFonts w:cstheme="minorHAnsi"/>
          <w:bdr w:val="none" w:sz="0" w:space="0" w:color="auto" w:frame="1"/>
          <w:shd w:val="clear" w:color="auto" w:fill="FFFFFF"/>
        </w:rPr>
        <w:t>EPA plans to develop the questionnaire in Qualtrics, which allows respondents to fill out and submit the questionnaire online. The Qualtrics questionnaire will be developed to meet the 1998 Government Paperwork Elimination Act (GPEA). EPA anticipates that most respondents will be familiar and comfortable with online submission. Additionally, the Qualtrics questionnaire will include automatic validation checks to minimize data entry errors and allow for automatic export of a response data set, reducing the potential for errors introduced by key-entry of data. EPA’s email and phone helpline will also be available during the response period to assist facilities as needed with submitting responses.</w:t>
      </w:r>
    </w:p>
    <w:p w:rsidR="00D9733E" w:rsidRPr="00F728B2" w:rsidP="00D9733E" w14:paraId="6557AA8A" w14:textId="77777777">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F728B2">
        <w:rPr>
          <w:rFonts w:cstheme="minorHAnsi"/>
          <w:bdr w:val="none" w:sz="0" w:space="0" w:color="auto" w:frame="1"/>
          <w:shd w:val="clear" w:color="auto" w:fill="FFFFFF"/>
        </w:rPr>
        <w:t xml:space="preserve">EPA designed the questionnaire to include burden-reducing features. For example, the questionnaire also contains “screening” questions that direct respondents that do not qualify as the population of interest for a particular subset of questions to indicate their status and then bypass this subset of questions to continue their response. The questionnaire is also designed with drop down menus to simplify and standardize responses, minimizing the number of narrative text responses. </w:t>
      </w:r>
    </w:p>
    <w:p w:rsidR="009F1E00" w:rsidRPr="00F728B2" w:rsidP="00D9733E" w14:paraId="50CCDFB5" w14:textId="227D485B">
      <w:pPr>
        <w:pBdr>
          <w:top w:val="single" w:sz="6" w:space="0" w:color="FFFFFF"/>
          <w:left w:val="single" w:sz="6" w:space="0" w:color="FFFFFF"/>
          <w:bottom w:val="single" w:sz="6" w:space="0" w:color="FFFFFF"/>
          <w:right w:val="single" w:sz="6" w:space="0" w:color="FFFFFF"/>
        </w:pBdr>
        <w:rPr>
          <w:rFonts w:cstheme="minorHAnsi"/>
        </w:rPr>
      </w:pPr>
      <w:r w:rsidRPr="00F728B2">
        <w:rPr>
          <w:rFonts w:cstheme="minorHAnsi"/>
          <w:bdr w:val="none" w:sz="0" w:space="0" w:color="auto" w:frame="1"/>
          <w:shd w:val="clear" w:color="auto" w:fill="FFFFFF"/>
        </w:rPr>
        <w:t xml:space="preserve">EPA will provide a mechanism for facilities to respond with a hardcopy mailed response if the facility cannot access the internet. EPA anticipates this situation to affect less than </w:t>
      </w:r>
      <w:r w:rsidR="00FE65A8">
        <w:rPr>
          <w:rFonts w:cstheme="minorHAnsi"/>
          <w:bdr w:val="none" w:sz="0" w:space="0" w:color="auto" w:frame="1"/>
          <w:shd w:val="clear" w:color="auto" w:fill="FFFFFF"/>
        </w:rPr>
        <w:t>two</w:t>
      </w:r>
      <w:r w:rsidRPr="00F728B2">
        <w:rPr>
          <w:rFonts w:cstheme="minorHAnsi"/>
          <w:bdr w:val="none" w:sz="0" w:space="0" w:color="auto" w:frame="1"/>
          <w:shd w:val="clear" w:color="auto" w:fill="FFFFFF"/>
        </w:rPr>
        <w:t xml:space="preserve"> percent of the total population that receives the questionnaire.</w:t>
      </w:r>
      <w:r w:rsidRPr="00F728B2">
        <w:rPr>
          <w:rFonts w:cstheme="minorHAnsi"/>
          <w:bdr w:val="none" w:sz="0" w:space="0" w:color="auto" w:frame="1"/>
          <w:shd w:val="clear" w:color="auto" w:fill="FFFFFF"/>
        </w:rPr>
        <w:t xml:space="preserve"> </w:t>
      </w:r>
    </w:p>
    <w:p w:rsidR="005263EC" w:rsidRPr="00F728B2" w:rsidP="00854AAE" w14:paraId="5EAF02CF" w14:textId="77777777">
      <w:pPr>
        <w:pStyle w:val="ListParagraph"/>
        <w:numPr>
          <w:ilvl w:val="0"/>
          <w:numId w:val="25"/>
        </w:numPr>
        <w:pBdr>
          <w:bottom w:val="single" w:sz="4" w:space="1" w:color="auto"/>
        </w:pBdr>
        <w:spacing w:before="240" w:after="0"/>
        <w:rPr>
          <w:rFonts w:cstheme="minorHAnsi"/>
          <w:b/>
          <w:bCs/>
        </w:rPr>
      </w:pPr>
      <w:bookmarkStart w:id="4" w:name="_Toc156593371"/>
      <w:r w:rsidRPr="00F728B2">
        <w:rPr>
          <w:rFonts w:cstheme="minorHAnsi"/>
          <w:b/>
          <w:bCs/>
        </w:rPr>
        <w:t>EFFORTS TO IDENTIFY DUPLICATION</w:t>
      </w:r>
      <w:bookmarkEnd w:id="4"/>
    </w:p>
    <w:p w:rsidR="00241836" w:rsidRPr="00F728B2" w:rsidP="00241836" w14:paraId="011E7801" w14:textId="1D8611EA">
      <w:pPr>
        <w:pBdr>
          <w:bottom w:val="single" w:sz="4" w:space="1" w:color="auto"/>
        </w:pBdr>
        <w:spacing w:before="60"/>
        <w:rPr>
          <w:rFonts w:cstheme="minorHAnsi"/>
          <w:i/>
          <w:iCs/>
        </w:rPr>
      </w:pPr>
      <w:r w:rsidRPr="0063321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D9733E" w:rsidRPr="00F728B2" w:rsidP="00D9733E" w14:paraId="19FC0D35" w14:textId="6EAC7866">
      <w:pPr>
        <w:pStyle w:val="BodyText"/>
        <w:rPr>
          <w:rFonts w:asciiTheme="minorHAnsi" w:hAnsiTheme="minorHAnsi" w:cstheme="minorHAnsi"/>
          <w:sz w:val="22"/>
          <w:szCs w:val="22"/>
        </w:rPr>
      </w:pPr>
      <w:r w:rsidRPr="00F728B2">
        <w:rPr>
          <w:rFonts w:asciiTheme="minorHAnsi" w:hAnsiTheme="minorHAnsi" w:cstheme="minorHAnsi"/>
          <w:sz w:val="22"/>
          <w:szCs w:val="22"/>
        </w:rPr>
        <w:t xml:space="preserve">The list of </w:t>
      </w:r>
      <w:r w:rsidRPr="00F728B2" w:rsidR="00173A68">
        <w:rPr>
          <w:rFonts w:asciiTheme="minorHAnsi" w:hAnsiTheme="minorHAnsi" w:cstheme="minorHAnsi"/>
          <w:sz w:val="22"/>
          <w:szCs w:val="22"/>
        </w:rPr>
        <w:t>container</w:t>
      </w:r>
      <w:r w:rsidRPr="00F728B2">
        <w:rPr>
          <w:rFonts w:asciiTheme="minorHAnsi" w:hAnsiTheme="minorHAnsi" w:cstheme="minorHAnsi"/>
          <w:sz w:val="22"/>
          <w:szCs w:val="22"/>
        </w:rPr>
        <w:t xml:space="preserve"> reconditioning facilities was originally developed for the DCR. Facilities were identified by searching available online databases, news articles, waste facility websites, and other EPA records and databases (i.e., the Definition of Solid Waste (DSW) Damage Case Report, RCRA Info Web, EPA’s 2002 “Preliminary Data Summary for Industrial Container and Drum Cleaning Industry” and 2014 “An Assessment of Environmental Problems Associated with Recycling of Hazardous Secondary Materials: Appendix 1- Damage Cases from Recycling of Hazardous Secondary Materials” reports, and EPA Superfund Site Database). Additional facilities were identified through the Pipeline and Hazardous Materials Safety Administration (PHMSA). See </w:t>
      </w:r>
      <w:r w:rsidRPr="00F728B2">
        <w:rPr>
          <w:rFonts w:asciiTheme="minorHAnsi" w:hAnsiTheme="minorHAnsi" w:cstheme="minorHAnsi"/>
          <w:sz w:val="22"/>
          <w:szCs w:val="22"/>
        </w:rPr>
        <w:fldChar w:fldCharType="begin"/>
      </w:r>
      <w:r w:rsidRPr="00F728B2">
        <w:rPr>
          <w:rFonts w:asciiTheme="minorHAnsi" w:hAnsiTheme="minorHAnsi" w:cstheme="minorHAnsi"/>
          <w:sz w:val="22"/>
          <w:szCs w:val="22"/>
        </w:rPr>
        <w:instrText xml:space="preserve"> REF _Ref152053769 \h  \* MERGEFORMAT </w:instrText>
      </w:r>
      <w:r w:rsidRPr="00F728B2">
        <w:rPr>
          <w:rFonts w:asciiTheme="minorHAnsi" w:hAnsiTheme="minorHAnsi" w:cstheme="minorHAnsi"/>
          <w:sz w:val="22"/>
          <w:szCs w:val="22"/>
        </w:rPr>
        <w:fldChar w:fldCharType="separate"/>
      </w:r>
      <w:r w:rsidRPr="00F728B2">
        <w:rPr>
          <w:rFonts w:asciiTheme="minorHAnsi" w:hAnsiTheme="minorHAnsi" w:cstheme="minorHAnsi"/>
          <w:sz w:val="22"/>
          <w:szCs w:val="22"/>
        </w:rPr>
        <w:t xml:space="preserve">Table </w:t>
      </w:r>
      <w:r w:rsidRPr="00F728B2">
        <w:rPr>
          <w:rFonts w:asciiTheme="minorHAnsi" w:hAnsiTheme="minorHAnsi" w:cstheme="minorHAnsi"/>
          <w:noProof/>
          <w:sz w:val="22"/>
          <w:szCs w:val="22"/>
        </w:rPr>
        <w:t>4</w:t>
      </w:r>
      <w:r w:rsidRPr="00F728B2">
        <w:rPr>
          <w:rFonts w:asciiTheme="minorHAnsi" w:hAnsiTheme="minorHAnsi" w:cstheme="minorHAnsi"/>
          <w:sz w:val="22"/>
          <w:szCs w:val="22"/>
        </w:rPr>
        <w:noBreakHyphen/>
      </w:r>
      <w:r w:rsidRPr="00F728B2">
        <w:rPr>
          <w:rFonts w:asciiTheme="minorHAnsi" w:hAnsiTheme="minorHAnsi" w:cstheme="minorHAnsi"/>
          <w:noProof/>
          <w:sz w:val="22"/>
          <w:szCs w:val="22"/>
        </w:rPr>
        <w:t>1</w:t>
      </w:r>
      <w:r w:rsidRPr="00F728B2">
        <w:rPr>
          <w:rFonts w:asciiTheme="minorHAnsi" w:hAnsiTheme="minorHAnsi" w:cstheme="minorHAnsi"/>
          <w:sz w:val="22"/>
          <w:szCs w:val="22"/>
        </w:rPr>
        <w:fldChar w:fldCharType="end"/>
      </w:r>
      <w:r w:rsidRPr="00F728B2">
        <w:rPr>
          <w:rFonts w:asciiTheme="minorHAnsi" w:hAnsiTheme="minorHAnsi" w:cstheme="minorHAnsi"/>
          <w:sz w:val="22"/>
          <w:szCs w:val="22"/>
        </w:rPr>
        <w:t xml:space="preserve"> below for a list of data sources. Currently operating facilities were further verified th</w:t>
      </w:r>
      <w:r w:rsidRPr="00F728B2" w:rsidR="001953D0">
        <w:rPr>
          <w:rFonts w:asciiTheme="minorHAnsi" w:hAnsiTheme="minorHAnsi" w:cstheme="minorHAnsi"/>
          <w:sz w:val="22"/>
          <w:szCs w:val="22"/>
        </w:rPr>
        <w:t>r</w:t>
      </w:r>
      <w:r w:rsidRPr="00F728B2">
        <w:rPr>
          <w:rFonts w:asciiTheme="minorHAnsi" w:hAnsiTheme="minorHAnsi" w:cstheme="minorHAnsi"/>
          <w:sz w:val="22"/>
          <w:szCs w:val="22"/>
        </w:rPr>
        <w:t>ough a publicly available list published by the Reusable Industrial Packaging Association (RIPA), which claims to represent over 90% of the industrial packaging reconditioning industry in North America.</w:t>
      </w:r>
    </w:p>
    <w:p w:rsidR="00D9733E" w:rsidRPr="00F728B2" w:rsidP="00D9733E" w14:paraId="75935E7A" w14:textId="77777777">
      <w:pPr>
        <w:pStyle w:val="TableTitle"/>
        <w:rPr>
          <w:rFonts w:asciiTheme="minorHAnsi" w:hAnsiTheme="minorHAnsi" w:cstheme="minorHAnsi"/>
          <w:szCs w:val="22"/>
        </w:rPr>
      </w:pPr>
      <w:bookmarkStart w:id="5" w:name="_Ref152053769"/>
      <w:bookmarkStart w:id="6" w:name="_Toc152077188"/>
      <w:r w:rsidRPr="00F728B2">
        <w:rPr>
          <w:rFonts w:asciiTheme="minorHAnsi" w:hAnsiTheme="minorHAnsi" w:cstheme="minorHAnsi"/>
          <w:szCs w:val="22"/>
        </w:rPr>
        <w:t xml:space="preserve">Table </w:t>
      </w:r>
      <w:r w:rsidRPr="00F728B2">
        <w:rPr>
          <w:rFonts w:asciiTheme="minorHAnsi" w:hAnsiTheme="minorHAnsi" w:cstheme="minorHAnsi"/>
          <w:szCs w:val="22"/>
        </w:rPr>
        <w:fldChar w:fldCharType="begin"/>
      </w:r>
      <w:r w:rsidRPr="00F728B2">
        <w:rPr>
          <w:rFonts w:asciiTheme="minorHAnsi" w:hAnsiTheme="minorHAnsi" w:cstheme="minorHAnsi"/>
          <w:szCs w:val="22"/>
        </w:rPr>
        <w:instrText>STYLEREF 1 \s</w:instrText>
      </w:r>
      <w:r w:rsidRPr="00F728B2">
        <w:rPr>
          <w:rFonts w:asciiTheme="minorHAnsi" w:hAnsiTheme="minorHAnsi" w:cstheme="minorHAnsi"/>
          <w:szCs w:val="22"/>
        </w:rPr>
        <w:fldChar w:fldCharType="separate"/>
      </w:r>
      <w:r w:rsidRPr="00F728B2">
        <w:rPr>
          <w:rFonts w:asciiTheme="minorHAnsi" w:hAnsiTheme="minorHAnsi" w:cstheme="minorHAnsi"/>
          <w:noProof/>
          <w:szCs w:val="22"/>
        </w:rPr>
        <w:t>4</w:t>
      </w:r>
      <w:r w:rsidRPr="00F728B2">
        <w:rPr>
          <w:rFonts w:asciiTheme="minorHAnsi" w:hAnsiTheme="minorHAnsi" w:cstheme="minorHAnsi"/>
          <w:szCs w:val="22"/>
        </w:rPr>
        <w:fldChar w:fldCharType="end"/>
      </w:r>
      <w:r w:rsidRPr="00F728B2">
        <w:rPr>
          <w:rFonts w:asciiTheme="minorHAnsi" w:hAnsiTheme="minorHAnsi" w:cstheme="minorHAnsi"/>
          <w:szCs w:val="22"/>
        </w:rPr>
        <w:noBreakHyphen/>
      </w:r>
      <w:r w:rsidRPr="00F728B2">
        <w:rPr>
          <w:rFonts w:asciiTheme="minorHAnsi" w:hAnsiTheme="minorHAnsi" w:cstheme="minorHAnsi"/>
          <w:szCs w:val="22"/>
        </w:rPr>
        <w:fldChar w:fldCharType="begin"/>
      </w:r>
      <w:r w:rsidRPr="00F728B2">
        <w:rPr>
          <w:rFonts w:asciiTheme="minorHAnsi" w:hAnsiTheme="minorHAnsi" w:cstheme="minorHAnsi"/>
          <w:szCs w:val="22"/>
        </w:rPr>
        <w:instrText>SEQ Table \* ARABIC \s 1</w:instrText>
      </w:r>
      <w:r w:rsidRPr="00F728B2">
        <w:rPr>
          <w:rFonts w:asciiTheme="minorHAnsi" w:hAnsiTheme="minorHAnsi" w:cstheme="minorHAnsi"/>
          <w:szCs w:val="22"/>
        </w:rPr>
        <w:fldChar w:fldCharType="separate"/>
      </w:r>
      <w:r w:rsidRPr="00F728B2">
        <w:rPr>
          <w:rFonts w:asciiTheme="minorHAnsi" w:hAnsiTheme="minorHAnsi" w:cstheme="minorHAnsi"/>
          <w:noProof/>
          <w:szCs w:val="22"/>
        </w:rPr>
        <w:t>1</w:t>
      </w:r>
      <w:r w:rsidRPr="00F728B2">
        <w:rPr>
          <w:rFonts w:asciiTheme="minorHAnsi" w:hAnsiTheme="minorHAnsi" w:cstheme="minorHAnsi"/>
          <w:szCs w:val="22"/>
        </w:rPr>
        <w:fldChar w:fldCharType="end"/>
      </w:r>
      <w:bookmarkEnd w:id="5"/>
      <w:r w:rsidRPr="00F728B2">
        <w:rPr>
          <w:rFonts w:asciiTheme="minorHAnsi" w:hAnsiTheme="minorHAnsi" w:cstheme="minorHAnsi"/>
          <w:szCs w:val="22"/>
        </w:rPr>
        <w:t>. Existing Data Sources</w:t>
      </w:r>
      <w:bookmarkEnd w:id="6"/>
    </w:p>
    <w:tbl>
      <w:tblPr>
        <w:tblStyle w:val="TableGrid"/>
        <w:tblW w:w="5000" w:type="pct"/>
        <w:jc w:val="center"/>
        <w:tblCellMar>
          <w:top w:w="14" w:type="dxa"/>
          <w:left w:w="72" w:type="dxa"/>
          <w:bottom w:w="14" w:type="dxa"/>
          <w:right w:w="72" w:type="dxa"/>
        </w:tblCellMar>
        <w:tblLook w:val="04A0"/>
      </w:tblPr>
      <w:tblGrid>
        <w:gridCol w:w="2246"/>
        <w:gridCol w:w="1352"/>
        <w:gridCol w:w="1610"/>
        <w:gridCol w:w="2309"/>
        <w:gridCol w:w="1833"/>
      </w:tblGrid>
      <w:tr w14:paraId="6855A10D" w14:textId="77777777" w:rsidTr="00396CB7">
        <w:tblPrEx>
          <w:tblW w:w="5000" w:type="pct"/>
          <w:jc w:val="center"/>
          <w:tblCellMar>
            <w:top w:w="14" w:type="dxa"/>
            <w:left w:w="72" w:type="dxa"/>
            <w:bottom w:w="14" w:type="dxa"/>
            <w:right w:w="72" w:type="dxa"/>
          </w:tblCellMar>
          <w:tblLook w:val="04A0"/>
        </w:tblPrEx>
        <w:trPr>
          <w:tblHeader/>
          <w:jc w:val="center"/>
        </w:trPr>
        <w:tc>
          <w:tcPr>
            <w:tcW w:w="1201" w:type="pct"/>
            <w:shd w:val="clear" w:color="auto" w:fill="DDD9C3"/>
            <w:vAlign w:val="center"/>
          </w:tcPr>
          <w:p w:rsidR="00D9733E" w:rsidRPr="0063321E" w:rsidP="00396CB7" w14:paraId="319C5F50" w14:textId="77777777">
            <w:pPr>
              <w:jc w:val="center"/>
              <w:rPr>
                <w:rFonts w:cstheme="minorHAnsi"/>
                <w:b/>
                <w:bCs/>
                <w:sz w:val="20"/>
                <w:szCs w:val="20"/>
              </w:rPr>
            </w:pPr>
            <w:r w:rsidRPr="0063321E">
              <w:rPr>
                <w:rFonts w:cstheme="minorHAnsi"/>
                <w:b/>
                <w:bCs/>
                <w:sz w:val="20"/>
                <w:szCs w:val="20"/>
              </w:rPr>
              <w:t>Data Source</w:t>
            </w:r>
          </w:p>
        </w:tc>
        <w:tc>
          <w:tcPr>
            <w:tcW w:w="723" w:type="pct"/>
            <w:shd w:val="clear" w:color="auto" w:fill="DDD9C3"/>
            <w:vAlign w:val="center"/>
          </w:tcPr>
          <w:p w:rsidR="00D9733E" w:rsidRPr="0063321E" w:rsidP="00396CB7" w14:paraId="5701569B" w14:textId="77777777">
            <w:pPr>
              <w:jc w:val="center"/>
              <w:rPr>
                <w:rFonts w:cstheme="minorHAnsi"/>
                <w:b/>
                <w:bCs/>
                <w:sz w:val="20"/>
                <w:szCs w:val="20"/>
              </w:rPr>
            </w:pPr>
            <w:r w:rsidRPr="0063321E">
              <w:rPr>
                <w:rFonts w:cstheme="minorHAnsi"/>
                <w:b/>
                <w:bCs/>
                <w:sz w:val="20"/>
                <w:szCs w:val="20"/>
              </w:rPr>
              <w:t>Date of Data Collection</w:t>
            </w:r>
          </w:p>
        </w:tc>
        <w:tc>
          <w:tcPr>
            <w:tcW w:w="861" w:type="pct"/>
            <w:shd w:val="clear" w:color="auto" w:fill="DDD9C3"/>
            <w:vAlign w:val="center"/>
          </w:tcPr>
          <w:p w:rsidR="00D9733E" w:rsidRPr="0063321E" w:rsidP="00396CB7" w14:paraId="69644A47" w14:textId="77777777">
            <w:pPr>
              <w:jc w:val="center"/>
              <w:rPr>
                <w:rFonts w:cstheme="minorHAnsi"/>
                <w:b/>
                <w:bCs/>
                <w:sz w:val="20"/>
                <w:szCs w:val="20"/>
              </w:rPr>
            </w:pPr>
            <w:r w:rsidRPr="0063321E">
              <w:rPr>
                <w:rFonts w:cstheme="minorHAnsi"/>
                <w:b/>
                <w:bCs/>
                <w:sz w:val="20"/>
                <w:szCs w:val="20"/>
              </w:rPr>
              <w:t>Population Included</w:t>
            </w:r>
          </w:p>
        </w:tc>
        <w:tc>
          <w:tcPr>
            <w:tcW w:w="1235" w:type="pct"/>
            <w:shd w:val="clear" w:color="auto" w:fill="DDD9C3"/>
            <w:vAlign w:val="center"/>
          </w:tcPr>
          <w:p w:rsidR="00D9733E" w:rsidRPr="0063321E" w:rsidP="00396CB7" w14:paraId="47827B0E" w14:textId="77777777">
            <w:pPr>
              <w:jc w:val="center"/>
              <w:rPr>
                <w:rFonts w:cstheme="minorHAnsi"/>
                <w:b/>
                <w:bCs/>
                <w:sz w:val="20"/>
                <w:szCs w:val="20"/>
              </w:rPr>
            </w:pPr>
            <w:r w:rsidRPr="0063321E">
              <w:rPr>
                <w:rFonts w:cstheme="minorHAnsi"/>
                <w:b/>
                <w:bCs/>
                <w:sz w:val="20"/>
                <w:szCs w:val="20"/>
              </w:rPr>
              <w:t>Available Data</w:t>
            </w:r>
          </w:p>
        </w:tc>
        <w:tc>
          <w:tcPr>
            <w:tcW w:w="981" w:type="pct"/>
            <w:shd w:val="clear" w:color="auto" w:fill="DDD9C3"/>
            <w:vAlign w:val="center"/>
          </w:tcPr>
          <w:p w:rsidR="00D9733E" w:rsidRPr="0063321E" w:rsidP="00396CB7" w14:paraId="73B7AC30" w14:textId="77777777">
            <w:pPr>
              <w:jc w:val="center"/>
              <w:rPr>
                <w:rFonts w:cstheme="minorHAnsi"/>
                <w:b/>
                <w:bCs/>
                <w:sz w:val="20"/>
                <w:szCs w:val="20"/>
              </w:rPr>
            </w:pPr>
            <w:r w:rsidRPr="0063321E">
              <w:rPr>
                <w:rFonts w:cstheme="minorHAnsi"/>
                <w:b/>
                <w:bCs/>
                <w:sz w:val="20"/>
                <w:szCs w:val="20"/>
              </w:rPr>
              <w:t>Considerations</w:t>
            </w:r>
          </w:p>
        </w:tc>
      </w:tr>
      <w:tr w14:paraId="3B23928C" w14:textId="77777777" w:rsidTr="00396CB7">
        <w:tblPrEx>
          <w:tblW w:w="5000" w:type="pct"/>
          <w:jc w:val="center"/>
          <w:tblCellMar>
            <w:top w:w="14" w:type="dxa"/>
            <w:left w:w="72" w:type="dxa"/>
            <w:bottom w:w="14" w:type="dxa"/>
            <w:right w:w="72" w:type="dxa"/>
          </w:tblCellMar>
          <w:tblLook w:val="04A0"/>
        </w:tblPrEx>
        <w:trPr>
          <w:jc w:val="center"/>
        </w:trPr>
        <w:tc>
          <w:tcPr>
            <w:tcW w:w="1201" w:type="pct"/>
          </w:tcPr>
          <w:p w:rsidR="00D9733E" w:rsidRPr="0063321E" w:rsidP="00396CB7" w14:paraId="3810540D" w14:textId="77777777">
            <w:pPr>
              <w:rPr>
                <w:rFonts w:cstheme="minorHAnsi"/>
                <w:sz w:val="20"/>
                <w:szCs w:val="20"/>
              </w:rPr>
            </w:pPr>
            <w:r w:rsidRPr="0063321E">
              <w:rPr>
                <w:rFonts w:cstheme="minorHAnsi"/>
                <w:sz w:val="20"/>
                <w:szCs w:val="20"/>
              </w:rPr>
              <w:t>An Assessment of Environmental Problems Associated with Recycling of Hazardous Secondary Materials: Appendix 1- Damage Cases from Recycling of Hazardous Secondary Materials</w:t>
            </w:r>
          </w:p>
        </w:tc>
        <w:tc>
          <w:tcPr>
            <w:tcW w:w="723" w:type="pct"/>
          </w:tcPr>
          <w:p w:rsidR="00D9733E" w:rsidRPr="0063321E" w:rsidP="00396CB7" w14:paraId="657558E0" w14:textId="77777777">
            <w:pPr>
              <w:rPr>
                <w:rFonts w:cstheme="minorHAnsi"/>
                <w:sz w:val="20"/>
                <w:szCs w:val="20"/>
              </w:rPr>
            </w:pPr>
            <w:r w:rsidRPr="0063321E">
              <w:rPr>
                <w:rFonts w:cstheme="minorHAnsi"/>
                <w:sz w:val="20"/>
                <w:szCs w:val="20"/>
              </w:rPr>
              <w:t>2014</w:t>
            </w:r>
          </w:p>
        </w:tc>
        <w:tc>
          <w:tcPr>
            <w:tcW w:w="861" w:type="pct"/>
          </w:tcPr>
          <w:p w:rsidR="00D9733E" w:rsidRPr="0063321E" w:rsidP="00396CB7" w14:paraId="61DF87A1" w14:textId="77777777">
            <w:pPr>
              <w:rPr>
                <w:rFonts w:cstheme="minorHAnsi"/>
                <w:sz w:val="20"/>
                <w:szCs w:val="20"/>
              </w:rPr>
            </w:pPr>
            <w:r w:rsidRPr="0063321E">
              <w:rPr>
                <w:rFonts w:cstheme="minorHAnsi"/>
                <w:sz w:val="20"/>
                <w:szCs w:val="20"/>
              </w:rPr>
              <w:t>Facilities identified in damage cases</w:t>
            </w:r>
          </w:p>
        </w:tc>
        <w:tc>
          <w:tcPr>
            <w:tcW w:w="1235" w:type="pct"/>
          </w:tcPr>
          <w:p w:rsidR="00D9733E" w:rsidRPr="0063321E" w:rsidP="00396CB7" w14:paraId="576307CD" w14:textId="77777777">
            <w:pPr>
              <w:pStyle w:val="TableListBullet"/>
              <w:rPr>
                <w:sz w:val="20"/>
                <w:szCs w:val="20"/>
              </w:rPr>
            </w:pPr>
            <w:r w:rsidRPr="0063321E">
              <w:rPr>
                <w:sz w:val="20"/>
                <w:szCs w:val="20"/>
              </w:rPr>
              <w:t>Name, location, and EPA ID</w:t>
            </w:r>
          </w:p>
          <w:p w:rsidR="00D9733E" w:rsidRPr="0063321E" w:rsidP="00396CB7" w14:paraId="0D2F14EC" w14:textId="77777777">
            <w:pPr>
              <w:pStyle w:val="TableListBullet"/>
              <w:rPr>
                <w:sz w:val="20"/>
                <w:szCs w:val="20"/>
              </w:rPr>
            </w:pPr>
            <w:r w:rsidRPr="0063321E">
              <w:rPr>
                <w:sz w:val="20"/>
                <w:szCs w:val="20"/>
              </w:rPr>
              <w:t>Site description</w:t>
            </w:r>
          </w:p>
          <w:p w:rsidR="00D9733E" w:rsidRPr="0063321E" w:rsidP="00396CB7" w14:paraId="62426638" w14:textId="77777777">
            <w:pPr>
              <w:pStyle w:val="TableListBullet"/>
              <w:rPr>
                <w:sz w:val="20"/>
                <w:szCs w:val="20"/>
              </w:rPr>
            </w:pPr>
            <w:r w:rsidRPr="0063321E">
              <w:rPr>
                <w:sz w:val="20"/>
                <w:szCs w:val="20"/>
              </w:rPr>
              <w:t>Site history</w:t>
            </w:r>
          </w:p>
          <w:p w:rsidR="00D9733E" w:rsidRPr="0063321E" w:rsidP="00396CB7" w14:paraId="28584CEF" w14:textId="77777777">
            <w:pPr>
              <w:pStyle w:val="TableListBullet"/>
              <w:rPr>
                <w:sz w:val="20"/>
                <w:szCs w:val="20"/>
              </w:rPr>
            </w:pPr>
            <w:r w:rsidRPr="0063321E">
              <w:rPr>
                <w:sz w:val="20"/>
                <w:szCs w:val="20"/>
              </w:rPr>
              <w:t xml:space="preserve">Damage that </w:t>
            </w:r>
            <w:r w:rsidRPr="0063321E">
              <w:rPr>
                <w:sz w:val="20"/>
                <w:szCs w:val="20"/>
              </w:rPr>
              <w:t>occurred</w:t>
            </w:r>
          </w:p>
          <w:p w:rsidR="00D9733E" w:rsidRPr="0063321E" w:rsidP="00396CB7" w14:paraId="5E8C3774" w14:textId="77777777">
            <w:pPr>
              <w:pStyle w:val="TableListBullet"/>
              <w:rPr>
                <w:sz w:val="20"/>
                <w:szCs w:val="20"/>
              </w:rPr>
            </w:pPr>
            <w:r w:rsidRPr="0063321E">
              <w:rPr>
                <w:sz w:val="20"/>
                <w:szCs w:val="20"/>
              </w:rPr>
              <w:t>Activities associated with the damage</w:t>
            </w:r>
          </w:p>
        </w:tc>
        <w:tc>
          <w:tcPr>
            <w:tcW w:w="981" w:type="pct"/>
          </w:tcPr>
          <w:p w:rsidR="00D9733E" w:rsidRPr="0063321E" w:rsidP="00396CB7" w14:paraId="443833AF" w14:textId="77777777">
            <w:pPr>
              <w:rPr>
                <w:rFonts w:cstheme="minorHAnsi"/>
                <w:sz w:val="20"/>
                <w:szCs w:val="20"/>
              </w:rPr>
            </w:pPr>
            <w:r w:rsidRPr="0063321E">
              <w:rPr>
                <w:rFonts w:cstheme="minorHAnsi"/>
                <w:sz w:val="20"/>
                <w:szCs w:val="20"/>
              </w:rPr>
              <w:t>This source includes only those facilities with damage case reports and is not a comprehensive list</w:t>
            </w:r>
          </w:p>
        </w:tc>
      </w:tr>
      <w:tr w14:paraId="4849E2C8" w14:textId="77777777" w:rsidTr="00396CB7">
        <w:tblPrEx>
          <w:tblW w:w="5000" w:type="pct"/>
          <w:jc w:val="center"/>
          <w:tblCellMar>
            <w:top w:w="14" w:type="dxa"/>
            <w:left w:w="72" w:type="dxa"/>
            <w:bottom w:w="14" w:type="dxa"/>
            <w:right w:w="72" w:type="dxa"/>
          </w:tblCellMar>
          <w:tblLook w:val="04A0"/>
        </w:tblPrEx>
        <w:trPr>
          <w:jc w:val="center"/>
        </w:trPr>
        <w:tc>
          <w:tcPr>
            <w:tcW w:w="1201" w:type="pct"/>
          </w:tcPr>
          <w:p w:rsidR="00D9733E" w:rsidRPr="0063321E" w:rsidP="00396CB7" w14:paraId="5EB9D3C2" w14:textId="77777777">
            <w:pPr>
              <w:rPr>
                <w:rFonts w:cstheme="minorHAnsi"/>
                <w:sz w:val="20"/>
                <w:szCs w:val="20"/>
              </w:rPr>
            </w:pPr>
            <w:r w:rsidRPr="0063321E">
              <w:rPr>
                <w:rFonts w:cstheme="minorHAnsi"/>
                <w:sz w:val="20"/>
                <w:szCs w:val="20"/>
              </w:rPr>
              <w:t>Pipeline and Hazardous Materials Safety Administration (PHMSA) Active M number list</w:t>
            </w:r>
          </w:p>
        </w:tc>
        <w:tc>
          <w:tcPr>
            <w:tcW w:w="723" w:type="pct"/>
          </w:tcPr>
          <w:p w:rsidR="00D9733E" w:rsidRPr="0063321E" w:rsidP="00396CB7" w14:paraId="19FD9D95" w14:textId="77777777">
            <w:pPr>
              <w:rPr>
                <w:rFonts w:cstheme="minorHAnsi"/>
                <w:sz w:val="20"/>
                <w:szCs w:val="20"/>
              </w:rPr>
            </w:pPr>
            <w:r w:rsidRPr="0063321E">
              <w:rPr>
                <w:rFonts w:cstheme="minorHAnsi"/>
                <w:sz w:val="20"/>
                <w:szCs w:val="20"/>
              </w:rPr>
              <w:t>2023</w:t>
            </w:r>
          </w:p>
        </w:tc>
        <w:tc>
          <w:tcPr>
            <w:tcW w:w="861" w:type="pct"/>
          </w:tcPr>
          <w:p w:rsidR="00D9733E" w:rsidRPr="0063321E" w:rsidP="00396CB7" w14:paraId="31932A62" w14:textId="77777777">
            <w:pPr>
              <w:rPr>
                <w:rFonts w:cstheme="minorHAnsi"/>
                <w:sz w:val="20"/>
                <w:szCs w:val="20"/>
              </w:rPr>
            </w:pPr>
            <w:r w:rsidRPr="0063321E">
              <w:rPr>
                <w:rFonts w:cstheme="minorHAnsi"/>
                <w:sz w:val="20"/>
                <w:szCs w:val="20"/>
              </w:rPr>
              <w:t>Facilities issued M-number approval by PHMSA</w:t>
            </w:r>
          </w:p>
        </w:tc>
        <w:tc>
          <w:tcPr>
            <w:tcW w:w="1235" w:type="pct"/>
          </w:tcPr>
          <w:p w:rsidR="00D9733E" w:rsidRPr="0063321E" w:rsidP="00396CB7" w14:paraId="75CDAF7D" w14:textId="77777777">
            <w:pPr>
              <w:pStyle w:val="TableListBullet"/>
              <w:rPr>
                <w:sz w:val="20"/>
                <w:szCs w:val="20"/>
              </w:rPr>
            </w:pPr>
            <w:r w:rsidRPr="0063321E">
              <w:rPr>
                <w:sz w:val="20"/>
                <w:szCs w:val="20"/>
              </w:rPr>
              <w:t>Name, location and EPA/RCRA/State ID</w:t>
            </w:r>
          </w:p>
          <w:p w:rsidR="00D9733E" w:rsidRPr="0063321E" w:rsidP="00396CB7" w14:paraId="6ED24FF5" w14:textId="77777777">
            <w:pPr>
              <w:pStyle w:val="TableListBullet"/>
              <w:rPr>
                <w:sz w:val="20"/>
                <w:szCs w:val="20"/>
              </w:rPr>
            </w:pPr>
            <w:r w:rsidRPr="0063321E">
              <w:rPr>
                <w:sz w:val="20"/>
                <w:szCs w:val="20"/>
              </w:rPr>
              <w:t xml:space="preserve">Open or </w:t>
            </w:r>
            <w:r w:rsidRPr="0063321E">
              <w:rPr>
                <w:sz w:val="20"/>
                <w:szCs w:val="20"/>
              </w:rPr>
              <w:t>closed</w:t>
            </w:r>
          </w:p>
          <w:p w:rsidR="00D9733E" w:rsidRPr="0063321E" w:rsidP="00396CB7" w14:paraId="15526C75" w14:textId="77777777">
            <w:pPr>
              <w:pStyle w:val="TableListBullet"/>
              <w:rPr>
                <w:sz w:val="20"/>
                <w:szCs w:val="20"/>
              </w:rPr>
            </w:pPr>
            <w:r w:rsidRPr="0063321E">
              <w:rPr>
                <w:sz w:val="20"/>
                <w:szCs w:val="20"/>
              </w:rPr>
              <w:t>If there is a damage case</w:t>
            </w:r>
          </w:p>
          <w:p w:rsidR="00D9733E" w:rsidRPr="0063321E" w:rsidP="00396CB7" w14:paraId="16178120" w14:textId="77777777">
            <w:pPr>
              <w:pStyle w:val="TableListBullet"/>
              <w:rPr>
                <w:sz w:val="20"/>
                <w:szCs w:val="20"/>
              </w:rPr>
            </w:pPr>
            <w:r w:rsidRPr="0063321E">
              <w:rPr>
                <w:sz w:val="20"/>
                <w:szCs w:val="20"/>
              </w:rPr>
              <w:t xml:space="preserve">If site is a Superfund </w:t>
            </w:r>
          </w:p>
          <w:p w:rsidR="00D9733E" w:rsidRPr="0063321E" w:rsidP="00396CB7" w14:paraId="1EC15A14" w14:textId="77777777">
            <w:pPr>
              <w:pStyle w:val="TableListBullet"/>
              <w:rPr>
                <w:sz w:val="20"/>
                <w:szCs w:val="20"/>
              </w:rPr>
            </w:pPr>
            <w:r w:rsidRPr="0063321E">
              <w:rPr>
                <w:sz w:val="20"/>
                <w:szCs w:val="20"/>
              </w:rPr>
              <w:t>NPL Site Status</w:t>
            </w:r>
          </w:p>
          <w:p w:rsidR="00D9733E" w:rsidRPr="0063321E" w:rsidP="00396CB7" w14:paraId="7AA9869B" w14:textId="77777777">
            <w:pPr>
              <w:pStyle w:val="TableListBullet"/>
              <w:rPr>
                <w:sz w:val="20"/>
                <w:szCs w:val="20"/>
              </w:rPr>
            </w:pPr>
            <w:r w:rsidRPr="0063321E">
              <w:rPr>
                <w:sz w:val="20"/>
                <w:szCs w:val="20"/>
              </w:rPr>
              <w:t>RIPA member</w:t>
            </w:r>
          </w:p>
        </w:tc>
        <w:tc>
          <w:tcPr>
            <w:tcW w:w="981" w:type="pct"/>
          </w:tcPr>
          <w:p w:rsidR="00D9733E" w:rsidRPr="0063321E" w:rsidP="00396CB7" w14:paraId="549DE43D" w14:textId="6549750C">
            <w:pPr>
              <w:rPr>
                <w:rFonts w:cstheme="minorHAnsi"/>
                <w:sz w:val="20"/>
                <w:szCs w:val="20"/>
              </w:rPr>
            </w:pPr>
            <w:r w:rsidRPr="0063321E">
              <w:rPr>
                <w:rFonts w:cstheme="minorHAnsi"/>
                <w:sz w:val="20"/>
                <w:szCs w:val="20"/>
              </w:rPr>
              <w:t xml:space="preserve">This source includes all facilities issued a PHMSA M-number approval, not only </w:t>
            </w:r>
            <w:r w:rsidRPr="0063321E" w:rsidR="00173A68">
              <w:rPr>
                <w:rFonts w:cstheme="minorHAnsi"/>
                <w:sz w:val="20"/>
                <w:szCs w:val="20"/>
              </w:rPr>
              <w:t>container</w:t>
            </w:r>
            <w:r w:rsidRPr="0063321E">
              <w:rPr>
                <w:rFonts w:cstheme="minorHAnsi"/>
                <w:sz w:val="20"/>
                <w:szCs w:val="20"/>
              </w:rPr>
              <w:t xml:space="preserve"> reconditioning facilities.</w:t>
            </w:r>
          </w:p>
        </w:tc>
      </w:tr>
      <w:tr w14:paraId="3D83B62E" w14:textId="77777777" w:rsidTr="00396CB7">
        <w:tblPrEx>
          <w:tblW w:w="5000" w:type="pct"/>
          <w:jc w:val="center"/>
          <w:tblCellMar>
            <w:top w:w="14" w:type="dxa"/>
            <w:left w:w="72" w:type="dxa"/>
            <w:bottom w:w="14" w:type="dxa"/>
            <w:right w:w="72" w:type="dxa"/>
          </w:tblCellMar>
          <w:tblLook w:val="04A0"/>
        </w:tblPrEx>
        <w:trPr>
          <w:jc w:val="center"/>
        </w:trPr>
        <w:tc>
          <w:tcPr>
            <w:tcW w:w="1201" w:type="pct"/>
          </w:tcPr>
          <w:p w:rsidR="00D9733E" w:rsidRPr="0063321E" w:rsidP="00396CB7" w14:paraId="558DFEB4" w14:textId="77777777">
            <w:pPr>
              <w:rPr>
                <w:rFonts w:cstheme="minorHAnsi"/>
                <w:sz w:val="20"/>
                <w:szCs w:val="20"/>
              </w:rPr>
            </w:pPr>
            <w:r w:rsidRPr="0063321E">
              <w:rPr>
                <w:rFonts w:cstheme="minorHAnsi"/>
                <w:sz w:val="20"/>
                <w:szCs w:val="20"/>
              </w:rPr>
              <w:t>PHMSA “R” List</w:t>
            </w:r>
          </w:p>
        </w:tc>
        <w:tc>
          <w:tcPr>
            <w:tcW w:w="723" w:type="pct"/>
          </w:tcPr>
          <w:p w:rsidR="00D9733E" w:rsidRPr="0063321E" w:rsidP="00396CB7" w14:paraId="43711662" w14:textId="77777777">
            <w:pPr>
              <w:rPr>
                <w:rFonts w:cstheme="minorHAnsi"/>
                <w:sz w:val="20"/>
                <w:szCs w:val="20"/>
              </w:rPr>
            </w:pPr>
            <w:r w:rsidRPr="0063321E">
              <w:rPr>
                <w:rFonts w:cstheme="minorHAnsi"/>
                <w:sz w:val="20"/>
                <w:szCs w:val="20"/>
              </w:rPr>
              <w:t>November 17, 2018</w:t>
            </w:r>
          </w:p>
        </w:tc>
        <w:tc>
          <w:tcPr>
            <w:tcW w:w="861" w:type="pct"/>
          </w:tcPr>
          <w:p w:rsidR="00D9733E" w:rsidRPr="0063321E" w:rsidP="00396CB7" w14:paraId="64748305" w14:textId="77777777">
            <w:pPr>
              <w:rPr>
                <w:rFonts w:cstheme="minorHAnsi"/>
                <w:sz w:val="20"/>
                <w:szCs w:val="20"/>
              </w:rPr>
            </w:pPr>
            <w:r w:rsidRPr="0063321E">
              <w:rPr>
                <w:rFonts w:cstheme="minorHAnsi"/>
                <w:sz w:val="20"/>
                <w:szCs w:val="20"/>
              </w:rPr>
              <w:t xml:space="preserve">Facilities issued a Registration </w:t>
            </w:r>
            <w:r w:rsidRPr="0063321E">
              <w:rPr>
                <w:rFonts w:cstheme="minorHAnsi"/>
                <w:sz w:val="20"/>
                <w:szCs w:val="20"/>
              </w:rPr>
              <w:t>number by PHMSA</w:t>
            </w:r>
          </w:p>
        </w:tc>
        <w:tc>
          <w:tcPr>
            <w:tcW w:w="1235" w:type="pct"/>
          </w:tcPr>
          <w:p w:rsidR="00D9733E" w:rsidRPr="0063321E" w:rsidP="00396CB7" w14:paraId="64D3335A" w14:textId="77777777">
            <w:pPr>
              <w:pStyle w:val="TableListBullet"/>
              <w:rPr>
                <w:sz w:val="20"/>
                <w:szCs w:val="20"/>
              </w:rPr>
            </w:pPr>
            <w:r w:rsidRPr="0063321E">
              <w:rPr>
                <w:sz w:val="20"/>
                <w:szCs w:val="20"/>
              </w:rPr>
              <w:t xml:space="preserve">Name, location and R-number </w:t>
            </w:r>
            <w:r w:rsidRPr="0063321E">
              <w:rPr>
                <w:sz w:val="20"/>
                <w:szCs w:val="20"/>
              </w:rPr>
              <w:t>ID</w:t>
            </w:r>
          </w:p>
          <w:p w:rsidR="00D9733E" w:rsidRPr="0063321E" w:rsidP="00396CB7" w14:paraId="1565EA0D" w14:textId="77777777">
            <w:pPr>
              <w:pStyle w:val="TableListBullet"/>
              <w:rPr>
                <w:sz w:val="20"/>
                <w:szCs w:val="20"/>
              </w:rPr>
            </w:pPr>
            <w:r w:rsidRPr="0063321E">
              <w:rPr>
                <w:sz w:val="20"/>
                <w:szCs w:val="20"/>
              </w:rPr>
              <w:t>Open or closed</w:t>
            </w:r>
          </w:p>
        </w:tc>
        <w:tc>
          <w:tcPr>
            <w:tcW w:w="981" w:type="pct"/>
          </w:tcPr>
          <w:p w:rsidR="00D9733E" w:rsidRPr="0063321E" w:rsidP="00396CB7" w14:paraId="01D0ACD9" w14:textId="396D7B99">
            <w:pPr>
              <w:rPr>
                <w:rFonts w:cstheme="minorHAnsi"/>
                <w:sz w:val="20"/>
                <w:szCs w:val="20"/>
              </w:rPr>
            </w:pPr>
            <w:r w:rsidRPr="0063321E">
              <w:rPr>
                <w:rFonts w:cstheme="minorHAnsi"/>
                <w:sz w:val="20"/>
                <w:szCs w:val="20"/>
              </w:rPr>
              <w:t xml:space="preserve">This source includes all facilities issued a </w:t>
            </w:r>
            <w:r w:rsidRPr="0063321E">
              <w:rPr>
                <w:rFonts w:cstheme="minorHAnsi"/>
                <w:sz w:val="20"/>
                <w:szCs w:val="20"/>
              </w:rPr>
              <w:t xml:space="preserve">PHMSA R-number approval, not only </w:t>
            </w:r>
            <w:r w:rsidRPr="0063321E" w:rsidR="00173A68">
              <w:rPr>
                <w:rFonts w:cstheme="minorHAnsi"/>
                <w:sz w:val="20"/>
                <w:szCs w:val="20"/>
              </w:rPr>
              <w:t>container</w:t>
            </w:r>
            <w:r w:rsidRPr="0063321E">
              <w:rPr>
                <w:rFonts w:cstheme="minorHAnsi"/>
                <w:sz w:val="20"/>
                <w:szCs w:val="20"/>
              </w:rPr>
              <w:t xml:space="preserve"> reconditioning facilities.</w:t>
            </w:r>
          </w:p>
        </w:tc>
      </w:tr>
      <w:tr w14:paraId="3A4D1F6E" w14:textId="77777777" w:rsidTr="00396CB7">
        <w:tblPrEx>
          <w:tblW w:w="5000" w:type="pct"/>
          <w:jc w:val="center"/>
          <w:tblCellMar>
            <w:top w:w="14" w:type="dxa"/>
            <w:left w:w="72" w:type="dxa"/>
            <w:bottom w:w="14" w:type="dxa"/>
            <w:right w:w="72" w:type="dxa"/>
          </w:tblCellMar>
          <w:tblLook w:val="04A0"/>
        </w:tblPrEx>
        <w:trPr>
          <w:jc w:val="center"/>
        </w:trPr>
        <w:tc>
          <w:tcPr>
            <w:tcW w:w="1201" w:type="pct"/>
          </w:tcPr>
          <w:p w:rsidR="00D9733E" w:rsidRPr="0063321E" w:rsidP="00396CB7" w14:paraId="00F0E925" w14:textId="77777777">
            <w:pPr>
              <w:rPr>
                <w:rFonts w:cstheme="minorHAnsi"/>
                <w:sz w:val="20"/>
                <w:szCs w:val="20"/>
              </w:rPr>
            </w:pPr>
            <w:r w:rsidRPr="0063321E">
              <w:rPr>
                <w:rFonts w:cstheme="minorHAnsi"/>
                <w:sz w:val="20"/>
                <w:szCs w:val="20"/>
              </w:rPr>
              <w:t>Reusable Industrial packaging Association (RIPA) membership list</w:t>
            </w:r>
          </w:p>
        </w:tc>
        <w:tc>
          <w:tcPr>
            <w:tcW w:w="723" w:type="pct"/>
          </w:tcPr>
          <w:p w:rsidR="00D9733E" w:rsidRPr="0063321E" w:rsidP="00396CB7" w14:paraId="352CE02C" w14:textId="77777777">
            <w:pPr>
              <w:rPr>
                <w:rFonts w:cstheme="minorHAnsi"/>
                <w:sz w:val="20"/>
                <w:szCs w:val="20"/>
              </w:rPr>
            </w:pPr>
            <w:r w:rsidRPr="0063321E">
              <w:rPr>
                <w:rFonts w:cstheme="minorHAnsi"/>
                <w:sz w:val="20"/>
                <w:szCs w:val="20"/>
              </w:rPr>
              <w:t>2023</w:t>
            </w:r>
          </w:p>
        </w:tc>
        <w:tc>
          <w:tcPr>
            <w:tcW w:w="861" w:type="pct"/>
          </w:tcPr>
          <w:p w:rsidR="00D9733E" w:rsidRPr="0063321E" w:rsidP="00396CB7" w14:paraId="15A0C683" w14:textId="77777777">
            <w:pPr>
              <w:rPr>
                <w:rFonts w:cstheme="minorHAnsi"/>
                <w:sz w:val="20"/>
                <w:szCs w:val="20"/>
              </w:rPr>
            </w:pPr>
            <w:r w:rsidRPr="0063321E">
              <w:rPr>
                <w:rFonts w:cstheme="minorHAnsi"/>
                <w:sz w:val="20"/>
                <w:szCs w:val="20"/>
              </w:rPr>
              <w:t>Facilities with membership in RIPA</w:t>
            </w:r>
          </w:p>
        </w:tc>
        <w:tc>
          <w:tcPr>
            <w:tcW w:w="1235" w:type="pct"/>
          </w:tcPr>
          <w:p w:rsidR="00D9733E" w:rsidRPr="0063321E" w:rsidP="00396CB7" w14:paraId="53EC5C5A" w14:textId="77777777">
            <w:pPr>
              <w:pStyle w:val="TableListBullet"/>
              <w:rPr>
                <w:sz w:val="20"/>
                <w:szCs w:val="20"/>
              </w:rPr>
            </w:pPr>
            <w:r w:rsidRPr="0063321E">
              <w:rPr>
                <w:sz w:val="20"/>
                <w:szCs w:val="20"/>
              </w:rPr>
              <w:t xml:space="preserve">Name, location and phone </w:t>
            </w:r>
            <w:r w:rsidRPr="0063321E">
              <w:rPr>
                <w:sz w:val="20"/>
                <w:szCs w:val="20"/>
              </w:rPr>
              <w:t>number</w:t>
            </w:r>
          </w:p>
          <w:p w:rsidR="00D9733E" w:rsidRPr="0063321E" w:rsidP="00396CB7" w14:paraId="2D9FD934" w14:textId="77777777">
            <w:pPr>
              <w:pStyle w:val="TableListBullet"/>
              <w:rPr>
                <w:sz w:val="20"/>
                <w:szCs w:val="20"/>
              </w:rPr>
            </w:pPr>
            <w:r w:rsidRPr="0063321E">
              <w:rPr>
                <w:sz w:val="20"/>
                <w:szCs w:val="20"/>
              </w:rPr>
              <w:t>Container types</w:t>
            </w:r>
          </w:p>
        </w:tc>
        <w:tc>
          <w:tcPr>
            <w:tcW w:w="981" w:type="pct"/>
          </w:tcPr>
          <w:p w:rsidR="00D9733E" w:rsidRPr="0063321E" w:rsidP="00396CB7" w14:paraId="685C5C48" w14:textId="77777777">
            <w:pPr>
              <w:rPr>
                <w:rFonts w:cstheme="minorHAnsi"/>
                <w:sz w:val="20"/>
                <w:szCs w:val="20"/>
              </w:rPr>
            </w:pPr>
            <w:r w:rsidRPr="0063321E">
              <w:rPr>
                <w:rFonts w:cstheme="minorHAnsi"/>
                <w:sz w:val="20"/>
                <w:szCs w:val="20"/>
              </w:rPr>
              <w:t>This source includes only those facilities that choose to be members of RIPA.</w:t>
            </w:r>
          </w:p>
        </w:tc>
      </w:tr>
    </w:tbl>
    <w:p w:rsidR="00D9733E" w:rsidRPr="00F728B2" w:rsidP="00D9733E" w14:paraId="3BBBA0AB" w14:textId="77777777">
      <w:pPr>
        <w:rPr>
          <w:rFonts w:cstheme="minorHAnsi"/>
        </w:rPr>
      </w:pPr>
    </w:p>
    <w:p w:rsidR="00D9733E" w:rsidRPr="00F728B2" w:rsidP="00D9733E" w14:paraId="280F9491" w14:textId="2FDE69EB">
      <w:pPr>
        <w:pStyle w:val="BodyText"/>
        <w:rPr>
          <w:rFonts w:asciiTheme="minorHAnsi" w:hAnsiTheme="minorHAnsi" w:cstheme="minorHAnsi"/>
          <w:sz w:val="22"/>
          <w:szCs w:val="22"/>
        </w:rPr>
      </w:pPr>
      <w:r w:rsidRPr="00F728B2">
        <w:rPr>
          <w:rFonts w:asciiTheme="minorHAnsi" w:hAnsiTheme="minorHAnsi" w:cstheme="minorHAnsi"/>
          <w:sz w:val="22"/>
          <w:szCs w:val="22"/>
        </w:rPr>
        <w:t xml:space="preserve">As described in the </w:t>
      </w:r>
      <w:r w:rsidRPr="00F728B2">
        <w:rPr>
          <w:rFonts w:asciiTheme="minorHAnsi" w:hAnsiTheme="minorHAnsi" w:cstheme="minorHAnsi"/>
          <w:sz w:val="22"/>
          <w:szCs w:val="22"/>
        </w:rPr>
        <w:t>limitations</w:t>
      </w:r>
      <w:r w:rsidRPr="00F728B2">
        <w:rPr>
          <w:rFonts w:asciiTheme="minorHAnsi" w:hAnsiTheme="minorHAnsi" w:cstheme="minorHAnsi"/>
          <w:sz w:val="22"/>
          <w:szCs w:val="22"/>
        </w:rPr>
        <w:t xml:space="preserve"> discussion in the DCR, EPA noted that</w:t>
      </w:r>
      <w:r w:rsidRPr="00F728B2" w:rsidR="00D040A1">
        <w:rPr>
          <w:rFonts w:asciiTheme="minorHAnsi" w:hAnsiTheme="minorHAnsi" w:cstheme="minorHAnsi"/>
          <w:sz w:val="22"/>
          <w:szCs w:val="22"/>
        </w:rPr>
        <w:t>:</w:t>
      </w:r>
      <w:r w:rsidRPr="00F728B2">
        <w:rPr>
          <w:rFonts w:asciiTheme="minorHAnsi" w:hAnsiTheme="minorHAnsi" w:cstheme="minorHAnsi"/>
          <w:sz w:val="22"/>
          <w:szCs w:val="22"/>
        </w:rPr>
        <w:t xml:space="preserve"> “All of the information in the report was gathered from publicly available sources and in many cases, the company’s website was the only source of information on a specific facility. </w:t>
      </w:r>
      <w:r w:rsidRPr="00F728B2">
        <w:rPr>
          <w:rFonts w:asciiTheme="minorHAnsi" w:hAnsiTheme="minorHAnsi" w:cstheme="minorHAnsi"/>
          <w:sz w:val="22"/>
          <w:szCs w:val="22"/>
        </w:rPr>
        <w:t>A number of</w:t>
      </w:r>
      <w:r w:rsidRPr="00F728B2">
        <w:rPr>
          <w:rFonts w:asciiTheme="minorHAnsi" w:hAnsiTheme="minorHAnsi" w:cstheme="minorHAnsi"/>
          <w:sz w:val="22"/>
          <w:szCs w:val="22"/>
        </w:rPr>
        <w:t xml:space="preserve"> drum reconditioning facilities don’t have webpages at all making it at times difficult to find information on this industry.” EPA noted in the DCR that</w:t>
      </w:r>
      <w:r w:rsidRPr="00F728B2" w:rsidR="005B718C">
        <w:rPr>
          <w:rFonts w:asciiTheme="minorHAnsi" w:hAnsiTheme="minorHAnsi" w:cstheme="minorHAnsi"/>
          <w:sz w:val="22"/>
          <w:szCs w:val="22"/>
        </w:rPr>
        <w:t>,</w:t>
      </w:r>
      <w:r w:rsidRPr="00F728B2">
        <w:rPr>
          <w:rFonts w:asciiTheme="minorHAnsi" w:hAnsiTheme="minorHAnsi" w:cstheme="minorHAnsi"/>
          <w:sz w:val="22"/>
          <w:szCs w:val="22"/>
        </w:rPr>
        <w:t xml:space="preserve"> “besides RIPA, NAICS codes, and internet database searches, no other comprehensive database for drum reconditioners exists, making it difficult to know if all facilities were captured in this report.”</w:t>
      </w:r>
    </w:p>
    <w:p w:rsidR="00ED57A4" w:rsidRPr="00F728B2" w:rsidP="00D9733E" w14:paraId="0BF16D25" w14:textId="197C685B">
      <w:pPr>
        <w:rPr>
          <w:rFonts w:cstheme="minorHAnsi"/>
          <w:shd w:val="clear" w:color="auto" w:fill="FFFFFF"/>
        </w:rPr>
      </w:pPr>
      <w:r w:rsidRPr="00F728B2">
        <w:rPr>
          <w:rFonts w:cstheme="minorHAnsi"/>
        </w:rPr>
        <w:t xml:space="preserve">As for the information on </w:t>
      </w:r>
      <w:r w:rsidRPr="00F728B2" w:rsidR="00173A68">
        <w:rPr>
          <w:rFonts w:cstheme="minorHAnsi"/>
        </w:rPr>
        <w:t>container</w:t>
      </w:r>
      <w:r w:rsidRPr="00F728B2">
        <w:rPr>
          <w:rFonts w:cstheme="minorHAnsi"/>
        </w:rPr>
        <w:t xml:space="preserve"> acceptance, storage, handling practices, air emissions data, and waste and wastewater generation and discharge data, since no previous regulatory efforts have been undertaken on </w:t>
      </w:r>
      <w:r w:rsidRPr="00F728B2" w:rsidR="00173A68">
        <w:rPr>
          <w:rFonts w:cstheme="minorHAnsi"/>
        </w:rPr>
        <w:t>container</w:t>
      </w:r>
      <w:r w:rsidRPr="00F728B2">
        <w:rPr>
          <w:rFonts w:cstheme="minorHAnsi"/>
        </w:rPr>
        <w:t xml:space="preserve"> reconditioning facilities, there is no pre-existing database available to obtain the air emission and wastewater discharge information for these facilities in the level of detail that would enable assessment of the need for regulatory or nonregulatory efforts to minimize environmental releases.</w:t>
      </w:r>
    </w:p>
    <w:p w:rsidR="00251151" w:rsidRPr="00F728B2" w:rsidP="4BDBF0A0" w14:paraId="47F4EB66" w14:textId="77777777">
      <w:pPr>
        <w:pStyle w:val="ListParagraph"/>
        <w:numPr>
          <w:ilvl w:val="0"/>
          <w:numId w:val="25"/>
        </w:numPr>
        <w:pBdr>
          <w:bottom w:val="single" w:sz="4" w:space="1" w:color="auto"/>
        </w:pBdr>
        <w:spacing w:before="240" w:after="0"/>
        <w:rPr>
          <w:rFonts w:cstheme="minorHAnsi"/>
          <w:b/>
          <w:bCs/>
        </w:rPr>
      </w:pPr>
      <w:bookmarkStart w:id="7" w:name="_Toc156593372"/>
      <w:r w:rsidRPr="00F728B2">
        <w:rPr>
          <w:rFonts w:cstheme="minorHAnsi"/>
          <w:b/>
          <w:bCs/>
        </w:rPr>
        <w:t xml:space="preserve">MINIMIZING BURDEN ON SMALL </w:t>
      </w:r>
      <w:r w:rsidRPr="00F728B2" w:rsidR="0F43C128">
        <w:rPr>
          <w:rFonts w:cstheme="minorHAnsi"/>
          <w:b/>
          <w:bCs/>
        </w:rPr>
        <w:t xml:space="preserve">BUSINESSES AND SMALL </w:t>
      </w:r>
      <w:r w:rsidRPr="00F728B2">
        <w:rPr>
          <w:rFonts w:cstheme="minorHAnsi"/>
          <w:b/>
          <w:bCs/>
        </w:rPr>
        <w:t>ENTITIES</w:t>
      </w:r>
      <w:bookmarkEnd w:id="7"/>
    </w:p>
    <w:p w:rsidR="00DB3C27" w:rsidRPr="00F728B2" w:rsidP="00DB3C27" w14:paraId="78973CD3" w14:textId="28542C96">
      <w:pPr>
        <w:pBdr>
          <w:bottom w:val="single" w:sz="4" w:space="1" w:color="auto"/>
        </w:pBdr>
        <w:spacing w:before="60"/>
        <w:rPr>
          <w:rFonts w:cstheme="minorHAnsi"/>
          <w:i/>
          <w:iCs/>
        </w:rPr>
      </w:pPr>
      <w:r w:rsidRPr="0063321E">
        <w:rPr>
          <w:rFonts w:cstheme="minorHAnsi"/>
          <w:i/>
          <w:iCs/>
          <w:color w:val="000000"/>
          <w:shd w:val="clear" w:color="auto" w:fill="FFFFFF"/>
        </w:rPr>
        <w:t>If the collection of information impacts small businesses or other small entities, describe any methods used to minimize burden.</w:t>
      </w:r>
    </w:p>
    <w:p w:rsidR="00D9733E" w:rsidRPr="00F728B2" w:rsidP="00D9733E" w14:paraId="5923A412" w14:textId="77777777">
      <w:pPr>
        <w:rPr>
          <w:rFonts w:cstheme="minorHAnsi"/>
        </w:rPr>
      </w:pPr>
      <w:r w:rsidRPr="00F728B2">
        <w:rPr>
          <w:rFonts w:cstheme="minorHAnsi"/>
        </w:rPr>
        <w:t>In accordance with requirements of the Regulatory Flexibility Act (RFA), EPA must assess whether actions would have “a significant impact on a substantial number of small entities” (SISNOSE). Small entities include small businesses, small organizations, and small governmental jurisdictions.</w:t>
      </w:r>
    </w:p>
    <w:p w:rsidR="00D9733E" w:rsidRPr="00F728B2" w:rsidP="00D9733E" w14:paraId="475A368F" w14:textId="270B2FCC">
      <w:pPr>
        <w:rPr>
          <w:rFonts w:cstheme="minorHAnsi"/>
        </w:rPr>
      </w:pPr>
      <w:r w:rsidRPr="00F728B2">
        <w:rPr>
          <w:rFonts w:cstheme="minorHAnsi"/>
        </w:rPr>
        <w:t xml:space="preserve">EPA has taken steps to ensure that the respondent burden is minimized for small entities, while collecting sufficient data to evaluate regulatory flexibility for small entities. EPA will identify the size of the business entity according to Small Business Administration definitions from questionnaire information through sales revenues and company employment. For entities reporting under NAICS code 811310, the Small Business Administration defines small entities as those with annual average receipts of $12.5M or less. Based on available information, EPA believes most </w:t>
      </w:r>
      <w:r w:rsidRPr="00F728B2" w:rsidR="00173A68">
        <w:rPr>
          <w:rFonts w:cstheme="minorHAnsi"/>
        </w:rPr>
        <w:t>container</w:t>
      </w:r>
      <w:r w:rsidRPr="00F728B2">
        <w:rPr>
          <w:rFonts w:cstheme="minorHAnsi"/>
        </w:rPr>
        <w:t xml:space="preserve"> reconditioning facilities and parent companies would meet this Small Business Administration definition. The financial and economic information collected in the questionnaire is necessary to perform the economic analysis of any proposed rulemaking </w:t>
      </w:r>
      <w:r w:rsidRPr="00F728B2" w:rsidR="00014D20">
        <w:rPr>
          <w:rFonts w:cstheme="minorHAnsi"/>
        </w:rPr>
        <w:t>to</w:t>
      </w:r>
      <w:r w:rsidRPr="00F728B2">
        <w:rPr>
          <w:rFonts w:cstheme="minorHAnsi"/>
        </w:rPr>
        <w:t xml:space="preserve"> meet the requirements of the Small Business Regulatory Enforcement Fairness Act (SBREFA).</w:t>
      </w:r>
    </w:p>
    <w:p w:rsidR="00ED57A4" w:rsidRPr="00F728B2" w:rsidP="00D9733E" w14:paraId="47531EF5" w14:textId="240DED23">
      <w:pPr>
        <w:rPr>
          <w:rFonts w:cstheme="minorHAnsi"/>
        </w:rPr>
      </w:pPr>
      <w:r w:rsidRPr="00F728B2">
        <w:rPr>
          <w:rFonts w:cstheme="minorHAnsi"/>
        </w:rPr>
        <w:t xml:space="preserve">To minimize the burden of responding to the questionnaire, EPA has written a series of questions that will preclude facilities from completing the entire questionnaire if they are identified as not conducting </w:t>
      </w:r>
      <w:r w:rsidRPr="00F728B2" w:rsidR="00173A68">
        <w:rPr>
          <w:rFonts w:cstheme="minorHAnsi"/>
        </w:rPr>
        <w:t>container</w:t>
      </w:r>
      <w:r w:rsidRPr="00F728B2">
        <w:rPr>
          <w:rFonts w:cstheme="minorHAnsi"/>
        </w:rPr>
        <w:t xml:space="preserve"> reconditioning operations. Additionally, the questions are phrased with commonly used terminology and the tables are organized in formats familiar to the respondent industry. </w:t>
      </w:r>
    </w:p>
    <w:p w:rsidR="004252C1" w:rsidRPr="00F728B2" w:rsidP="4BDBF0A0" w14:paraId="5AD77FE8" w14:textId="77777777">
      <w:pPr>
        <w:pStyle w:val="ListParagraph"/>
        <w:numPr>
          <w:ilvl w:val="0"/>
          <w:numId w:val="25"/>
        </w:numPr>
        <w:pBdr>
          <w:bottom w:val="single" w:sz="4" w:space="1" w:color="auto"/>
        </w:pBdr>
        <w:spacing w:before="240" w:after="0"/>
        <w:rPr>
          <w:rFonts w:cstheme="minorHAnsi"/>
          <w:b/>
          <w:bCs/>
        </w:rPr>
      </w:pPr>
      <w:bookmarkStart w:id="8" w:name="_Toc156593373"/>
      <w:r w:rsidRPr="00F728B2">
        <w:rPr>
          <w:rFonts w:cstheme="minorHAnsi"/>
          <w:b/>
          <w:bCs/>
        </w:rPr>
        <w:t>CONSEQUENCES</w:t>
      </w:r>
      <w:r w:rsidRPr="00F728B2" w:rsidR="00061A77">
        <w:rPr>
          <w:rFonts w:cstheme="minorHAnsi"/>
          <w:b/>
          <w:bCs/>
        </w:rPr>
        <w:t xml:space="preserve"> OF LESS FREQUENT COLLECTION</w:t>
      </w:r>
      <w:bookmarkEnd w:id="8"/>
    </w:p>
    <w:p w:rsidR="00A834F6" w:rsidRPr="00F728B2" w:rsidP="00ED4671" w14:paraId="6F1D18D0" w14:textId="12C628BF">
      <w:pPr>
        <w:pBdr>
          <w:bottom w:val="single" w:sz="4" w:space="1" w:color="auto"/>
        </w:pBdr>
        <w:tabs>
          <w:tab w:val="left" w:pos="921"/>
        </w:tabs>
        <w:spacing w:before="60"/>
        <w:rPr>
          <w:rFonts w:cstheme="minorHAnsi"/>
          <w:i/>
          <w:iCs/>
        </w:rPr>
      </w:pPr>
      <w:r w:rsidRPr="0063321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D9733E" w:rsidRPr="00F728B2" w:rsidP="00D9733E" w14:paraId="72C07196" w14:textId="12CA9A44">
      <w:pPr>
        <w:pBdr>
          <w:top w:val="single" w:sz="6" w:space="0" w:color="FFFFFF"/>
          <w:left w:val="single" w:sz="6" w:space="0" w:color="FFFFFF"/>
          <w:bottom w:val="single" w:sz="6" w:space="0" w:color="FFFFFF"/>
          <w:right w:val="single" w:sz="6" w:space="0" w:color="FFFFFF"/>
        </w:pBdr>
        <w:rPr>
          <w:rFonts w:cstheme="minorHAnsi"/>
          <w:color w:val="000000"/>
        </w:rPr>
      </w:pPr>
      <w:r w:rsidRPr="00F728B2">
        <w:rPr>
          <w:rFonts w:cstheme="minorHAnsi"/>
          <w:color w:val="000000"/>
        </w:rPr>
        <w:t xml:space="preserve">This ICR is to be conducted once with </w:t>
      </w:r>
      <w:r w:rsidRPr="00F728B2" w:rsidR="00173A68">
        <w:rPr>
          <w:rFonts w:cstheme="minorHAnsi"/>
          <w:color w:val="000000"/>
        </w:rPr>
        <w:t>container</w:t>
      </w:r>
      <w:r w:rsidRPr="00F728B2">
        <w:rPr>
          <w:rFonts w:cstheme="minorHAnsi"/>
          <w:color w:val="000000"/>
        </w:rPr>
        <w:t xml:space="preserve"> reconditioning facilities, but depending on some of the responses, may result in the need to reach out to other facilities that ship used drum containers to </w:t>
      </w:r>
      <w:r w:rsidRPr="00F728B2" w:rsidR="00173A68">
        <w:rPr>
          <w:rFonts w:cstheme="minorHAnsi"/>
          <w:color w:val="000000"/>
        </w:rPr>
        <w:t>container</w:t>
      </w:r>
      <w:r w:rsidRPr="00F728B2">
        <w:rPr>
          <w:rFonts w:cstheme="minorHAnsi"/>
          <w:color w:val="000000"/>
        </w:rPr>
        <w:t xml:space="preserve"> reconditioning facilities. Without this data collection, the EPA cannot fulfill its </w:t>
      </w:r>
      <w:r w:rsidRPr="00F728B2" w:rsidR="00DB6FB0">
        <w:rPr>
          <w:rFonts w:cstheme="minorHAnsi"/>
          <w:color w:val="000000"/>
        </w:rPr>
        <w:t>RCRA responsibility to ensure hazardous waste is managed appropriately from cradle to grave</w:t>
      </w:r>
      <w:r w:rsidRPr="00F728B2">
        <w:rPr>
          <w:rFonts w:cstheme="minorHAnsi"/>
          <w:color w:val="000000"/>
        </w:rPr>
        <w:t xml:space="preserve">, in addition to the general duty to protect human health and the environment from </w:t>
      </w:r>
      <w:r w:rsidRPr="00F728B2">
        <w:rPr>
          <w:rFonts w:cstheme="minorHAnsi"/>
          <w:color w:val="000000"/>
        </w:rPr>
        <w:t>potential</w:t>
      </w:r>
      <w:r w:rsidRPr="00F728B2">
        <w:rPr>
          <w:rFonts w:cstheme="minorHAnsi"/>
          <w:color w:val="000000"/>
        </w:rPr>
        <w:t xml:space="preserve"> hazardous waste releases from </w:t>
      </w:r>
      <w:r w:rsidRPr="00F728B2" w:rsidR="00173A68">
        <w:rPr>
          <w:rFonts w:cstheme="minorHAnsi"/>
          <w:color w:val="000000"/>
        </w:rPr>
        <w:t>container</w:t>
      </w:r>
      <w:r w:rsidRPr="00F728B2">
        <w:rPr>
          <w:rFonts w:cstheme="minorHAnsi"/>
          <w:color w:val="000000"/>
        </w:rPr>
        <w:t xml:space="preserve"> reconditioning facilities. </w:t>
      </w:r>
      <w:r w:rsidRPr="00F728B2" w:rsidR="0006465A">
        <w:rPr>
          <w:rFonts w:cstheme="minorHAnsi"/>
          <w:color w:val="000000"/>
        </w:rPr>
        <w:t>Container</w:t>
      </w:r>
      <w:r w:rsidRPr="00F728B2">
        <w:rPr>
          <w:rFonts w:cstheme="minorHAnsi"/>
          <w:color w:val="000000"/>
        </w:rPr>
        <w:t xml:space="preserve"> reconditioning is currently not directly covered by the Clean Air Act. In terms of air quality, the DCR identified sources of unidentified, unquantified, and unmonitored air emissions that may contain hazardous materials. In addition to air quality impacts, this report identified damage to human health, soil and water, and unsafe conditions for workers and the communities surrounding these facilities. </w:t>
      </w:r>
    </w:p>
    <w:p w:rsidR="00D9733E" w:rsidRPr="00F728B2" w:rsidP="00D9733E" w14:paraId="5BD2751D" w14:textId="137309F7">
      <w:pPr>
        <w:pBdr>
          <w:top w:val="single" w:sz="6" w:space="0" w:color="FFFFFF"/>
          <w:left w:val="single" w:sz="6" w:space="0" w:color="FFFFFF"/>
          <w:bottom w:val="single" w:sz="6" w:space="0" w:color="FFFFFF"/>
          <w:right w:val="single" w:sz="6" w:space="0" w:color="FFFFFF"/>
        </w:pBdr>
        <w:rPr>
          <w:rFonts w:cstheme="minorHAnsi"/>
          <w:color w:val="000000"/>
        </w:rPr>
      </w:pPr>
      <w:r w:rsidRPr="00F728B2">
        <w:rPr>
          <w:rFonts w:cstheme="minorHAnsi"/>
          <w:color w:val="000000"/>
        </w:rPr>
        <w:t xml:space="preserve">The DCR revealed that used </w:t>
      </w:r>
      <w:r w:rsidRPr="00F728B2" w:rsidR="00173A68">
        <w:rPr>
          <w:rFonts w:cstheme="minorHAnsi"/>
          <w:color w:val="000000"/>
        </w:rPr>
        <w:t>container</w:t>
      </w:r>
      <w:r w:rsidRPr="00F728B2">
        <w:rPr>
          <w:rFonts w:cstheme="minorHAnsi"/>
          <w:color w:val="000000"/>
        </w:rPr>
        <w:t xml:space="preserve">s may not be empty upon receipt at </w:t>
      </w:r>
      <w:r w:rsidRPr="00F728B2" w:rsidR="00173A68">
        <w:rPr>
          <w:rFonts w:cstheme="minorHAnsi"/>
          <w:color w:val="000000"/>
        </w:rPr>
        <w:t>container</w:t>
      </w:r>
      <w:r w:rsidRPr="00F728B2">
        <w:rPr>
          <w:rFonts w:cstheme="minorHAnsi"/>
          <w:color w:val="000000"/>
        </w:rPr>
        <w:t xml:space="preserve"> reconditioning facilities and may contain unknown potentially hazardous materials. The used </w:t>
      </w:r>
      <w:r w:rsidRPr="00F728B2" w:rsidR="00173A68">
        <w:rPr>
          <w:rFonts w:cstheme="minorHAnsi"/>
          <w:color w:val="000000"/>
        </w:rPr>
        <w:t>container</w:t>
      </w:r>
      <w:r w:rsidRPr="00F728B2">
        <w:rPr>
          <w:rFonts w:cstheme="minorHAnsi"/>
          <w:color w:val="000000"/>
        </w:rPr>
        <w:t xml:space="preserve"> generator is responsible for the hazardous waste that they generate, but if the content of the used drums is not identifiable at the time that they are shipped, then the drum reconditioner cannot know with any confidence what they are treating or the risks associated with treatment, and the used </w:t>
      </w:r>
      <w:r w:rsidRPr="00F728B2" w:rsidR="00173A68">
        <w:rPr>
          <w:rFonts w:cstheme="minorHAnsi"/>
          <w:color w:val="000000"/>
        </w:rPr>
        <w:t>container</w:t>
      </w:r>
      <w:r w:rsidRPr="00F728B2">
        <w:rPr>
          <w:rFonts w:cstheme="minorHAnsi"/>
          <w:color w:val="000000"/>
        </w:rPr>
        <w:t xml:space="preserve"> generator may not be able to provide this information after it has been shipped. This ICR requests that </w:t>
      </w:r>
      <w:r w:rsidRPr="00F728B2" w:rsidR="00173A68">
        <w:rPr>
          <w:rFonts w:cstheme="minorHAnsi"/>
          <w:color w:val="000000"/>
        </w:rPr>
        <w:t>container</w:t>
      </w:r>
      <w:r w:rsidRPr="00F728B2">
        <w:rPr>
          <w:rFonts w:cstheme="minorHAnsi"/>
          <w:color w:val="000000"/>
        </w:rPr>
        <w:t xml:space="preserve"> reconditioning facilities identify whether they receive containers with hazardous materials and how much. Without this information the EPA cannot accurately quantify the amount of hazardous material received by </w:t>
      </w:r>
      <w:r w:rsidRPr="00F728B2" w:rsidR="00173A68">
        <w:rPr>
          <w:rFonts w:cstheme="minorHAnsi"/>
          <w:color w:val="000000"/>
        </w:rPr>
        <w:t>container</w:t>
      </w:r>
      <w:r w:rsidRPr="00F728B2">
        <w:rPr>
          <w:rFonts w:cstheme="minorHAnsi"/>
          <w:color w:val="000000"/>
        </w:rPr>
        <w:t xml:space="preserve"> reconditioning facilities or the potential for hazardous </w:t>
      </w:r>
      <w:r w:rsidR="00B05212">
        <w:rPr>
          <w:rFonts w:cstheme="minorHAnsi"/>
          <w:color w:val="000000"/>
        </w:rPr>
        <w:t>waste releases</w:t>
      </w:r>
      <w:r w:rsidRPr="00F728B2">
        <w:rPr>
          <w:rFonts w:cstheme="minorHAnsi"/>
          <w:color w:val="000000"/>
        </w:rPr>
        <w:t xml:space="preserve"> from these facilities. This ICR may also reveal the need for additional monitoring of hazardous materials at used </w:t>
      </w:r>
      <w:r w:rsidRPr="00F728B2" w:rsidR="00173A68">
        <w:rPr>
          <w:rFonts w:cstheme="minorHAnsi"/>
          <w:color w:val="000000"/>
        </w:rPr>
        <w:t>container</w:t>
      </w:r>
      <w:r w:rsidRPr="00F728B2">
        <w:rPr>
          <w:rFonts w:cstheme="minorHAnsi"/>
          <w:color w:val="000000"/>
        </w:rPr>
        <w:t xml:space="preserve"> generators before sending them to </w:t>
      </w:r>
      <w:r w:rsidRPr="00F728B2" w:rsidR="00173A68">
        <w:rPr>
          <w:rFonts w:cstheme="minorHAnsi"/>
          <w:color w:val="000000"/>
        </w:rPr>
        <w:t>container</w:t>
      </w:r>
      <w:r w:rsidRPr="00F728B2">
        <w:rPr>
          <w:rFonts w:cstheme="minorHAnsi"/>
          <w:color w:val="000000"/>
        </w:rPr>
        <w:t xml:space="preserve"> reconditioning facilities </w:t>
      </w:r>
      <w:r w:rsidRPr="00F728B2" w:rsidR="00014D20">
        <w:rPr>
          <w:rFonts w:cstheme="minorHAnsi"/>
          <w:color w:val="000000"/>
        </w:rPr>
        <w:t>to</w:t>
      </w:r>
      <w:r w:rsidRPr="00F728B2">
        <w:rPr>
          <w:rFonts w:cstheme="minorHAnsi"/>
          <w:color w:val="000000"/>
        </w:rPr>
        <w:t xml:space="preserve"> protect the facility, collocated companies, and the public.</w:t>
      </w:r>
    </w:p>
    <w:p w:rsidR="00D9733E" w:rsidRPr="00F728B2" w:rsidP="00D9733E" w14:paraId="33E3B506" w14:textId="1D11F69B">
      <w:pPr>
        <w:pBdr>
          <w:top w:val="single" w:sz="6" w:space="0" w:color="FFFFFF"/>
          <w:left w:val="single" w:sz="6" w:space="0" w:color="FFFFFF"/>
          <w:bottom w:val="single" w:sz="6" w:space="0" w:color="FFFFFF"/>
          <w:right w:val="single" w:sz="6" w:space="0" w:color="FFFFFF"/>
        </w:pBdr>
        <w:rPr>
          <w:rFonts w:cstheme="minorHAnsi"/>
          <w:color w:val="000000"/>
        </w:rPr>
      </w:pPr>
      <w:r w:rsidRPr="00F728B2">
        <w:rPr>
          <w:rFonts w:cstheme="minorHAnsi"/>
          <w:color w:val="000000"/>
        </w:rPr>
        <w:t xml:space="preserve">The DCR identified multiple instances of sites containing tens of thousands to hundreds of thousands of gallons of hazardous waste onsite at </w:t>
      </w:r>
      <w:r w:rsidRPr="00F728B2" w:rsidR="00173A68">
        <w:rPr>
          <w:rFonts w:cstheme="minorHAnsi"/>
          <w:color w:val="000000"/>
        </w:rPr>
        <w:t>container</w:t>
      </w:r>
      <w:r w:rsidRPr="00F728B2">
        <w:rPr>
          <w:rFonts w:cstheme="minorHAnsi"/>
          <w:color w:val="000000"/>
        </w:rPr>
        <w:t xml:space="preserve"> reconditioning facilities as well as some facilities with unknown amounts of hazardous waste but with the potential to have received millions of gallons of hazardous waste. Some of these facilities were abandoned and at risk of being accessed by the public. Additionally, there were multiple cases that resulted in millions of dollars of cleanup costs. This ICR requests information about the storage of the hazardous waste containers, the security of the facility and the foreseeable future of the facility to ensure that the public and nearby companies cannot be exposed to the hazardous waste during operations and in the event of closure. </w:t>
      </w:r>
      <w:r w:rsidRPr="007E6F17" w:rsidR="00A92B2A">
        <w:rPr>
          <w:rFonts w:cstheme="minorHAnsi"/>
          <w:color w:val="000000"/>
        </w:rPr>
        <w:t xml:space="preserve">Without this information, regulatory authorities, either EPA or state and local regulators, won’t know whether future hazardous waste cleanups are needed. </w:t>
      </w:r>
      <w:r w:rsidRPr="00F728B2">
        <w:rPr>
          <w:rFonts w:cstheme="minorHAnsi"/>
          <w:color w:val="000000"/>
        </w:rPr>
        <w:t xml:space="preserve"> Additionally, future incidents of public exposure to hazardous waste could occur without knowing that the risk exists until after the fact. </w:t>
      </w:r>
    </w:p>
    <w:p w:rsidR="00D9733E" w:rsidRPr="00F728B2" w:rsidP="00D9733E" w14:paraId="41A478B4" w14:textId="3715D262">
      <w:pPr>
        <w:pBdr>
          <w:top w:val="single" w:sz="6" w:space="0" w:color="FFFFFF"/>
          <w:left w:val="single" w:sz="6" w:space="0" w:color="FFFFFF"/>
          <w:bottom w:val="single" w:sz="6" w:space="0" w:color="FFFFFF"/>
          <w:right w:val="single" w:sz="6" w:space="0" w:color="FFFFFF"/>
        </w:pBdr>
        <w:rPr>
          <w:rFonts w:cstheme="minorHAnsi"/>
          <w:color w:val="000000"/>
        </w:rPr>
      </w:pPr>
      <w:r w:rsidRPr="00F728B2">
        <w:rPr>
          <w:rFonts w:cstheme="minorHAnsi"/>
          <w:color w:val="000000"/>
        </w:rPr>
        <w:t xml:space="preserve">Two primary methods are used to recondition </w:t>
      </w:r>
      <w:r w:rsidRPr="00F728B2" w:rsidR="00320741">
        <w:rPr>
          <w:rFonts w:cstheme="minorHAnsi"/>
          <w:color w:val="000000"/>
        </w:rPr>
        <w:t>containers</w:t>
      </w:r>
      <w:r w:rsidRPr="00F728B2">
        <w:rPr>
          <w:rFonts w:cstheme="minorHAnsi"/>
          <w:color w:val="000000"/>
        </w:rPr>
        <w:t>: 1.) burning off residuals</w:t>
      </w:r>
      <w:r w:rsidRPr="00F728B2" w:rsidR="004E2666">
        <w:rPr>
          <w:rFonts w:cstheme="minorHAnsi"/>
          <w:color w:val="000000"/>
        </w:rPr>
        <w:t>;</w:t>
      </w:r>
      <w:r w:rsidRPr="00F728B2">
        <w:rPr>
          <w:rFonts w:cstheme="minorHAnsi"/>
          <w:color w:val="000000"/>
        </w:rPr>
        <w:t xml:space="preserve"> </w:t>
      </w:r>
      <w:r w:rsidRPr="00F728B2" w:rsidR="00071E30">
        <w:rPr>
          <w:rFonts w:cstheme="minorHAnsi"/>
          <w:color w:val="000000"/>
        </w:rPr>
        <w:t>and</w:t>
      </w:r>
      <w:r w:rsidRPr="00F728B2">
        <w:rPr>
          <w:rFonts w:cstheme="minorHAnsi"/>
          <w:color w:val="000000"/>
        </w:rPr>
        <w:t xml:space="preserve"> 2.) caustic wash. Depending on how a facility operates</w:t>
      </w:r>
      <w:r w:rsidR="00A11FB5">
        <w:rPr>
          <w:rFonts w:cstheme="minorHAnsi"/>
          <w:color w:val="000000"/>
        </w:rPr>
        <w:t>,</w:t>
      </w:r>
      <w:r w:rsidRPr="00F728B2">
        <w:rPr>
          <w:rFonts w:cstheme="minorHAnsi"/>
          <w:color w:val="000000"/>
        </w:rPr>
        <w:t xml:space="preserve"> it could produce air emissions due to either method and be subject to air quality regulations, or it could potentially discharge water to the environment containing </w:t>
      </w:r>
      <w:r w:rsidRPr="00F728B2">
        <w:rPr>
          <w:rFonts w:cstheme="minorHAnsi"/>
          <w:color w:val="000000"/>
        </w:rPr>
        <w:t xml:space="preserve">hazardous materials and be subject to regulations under the Clean Water Act. Some of these facilities may also be governed by solid waste regulations. One example of this is that some of these facilities may be subject to 40 CFR 63 Subpart EEE: National Emission Standards for Hazardous Air Pollutants from Hazardous Waste Combustors and the associated monitoring and performance testing requirements or they may also have a National Pollutant Discharge Elimination System (NPDES) permit. This ICR requests information on the environmental permits </w:t>
      </w:r>
      <w:r w:rsidRPr="00F728B2" w:rsidR="00173A68">
        <w:rPr>
          <w:rFonts w:cstheme="minorHAnsi"/>
          <w:color w:val="000000"/>
        </w:rPr>
        <w:t>container</w:t>
      </w:r>
      <w:r w:rsidRPr="00F728B2">
        <w:rPr>
          <w:rFonts w:cstheme="minorHAnsi"/>
          <w:color w:val="000000"/>
        </w:rPr>
        <w:t xml:space="preserve"> reconditioning facilities already have and how they operate under those permits. Without this information</w:t>
      </w:r>
      <w:r w:rsidR="00A11FB5">
        <w:rPr>
          <w:rFonts w:cstheme="minorHAnsi"/>
          <w:color w:val="000000"/>
        </w:rPr>
        <w:t>,</w:t>
      </w:r>
      <w:r w:rsidRPr="00F728B2">
        <w:rPr>
          <w:rFonts w:cstheme="minorHAnsi"/>
          <w:color w:val="000000"/>
        </w:rPr>
        <w:t xml:space="preserve"> the EPA will not be able to differentiate between which environmental impacts are the result of non-compliance of existing permits, which impacts are due to unpermitted facilities needing permits under existing regulations and which companies do not currently need any permits but are still potential sources of hazardous air pollutants, discharge water containing hazardous materials and hazardous solid waste. This information will help prevent duplicating regulations and allow the proposed rulemaking to work in concert with existing rules. </w:t>
      </w:r>
    </w:p>
    <w:p w:rsidR="00ED57A4" w:rsidRPr="00F728B2" w:rsidP="00D9733E" w14:paraId="3E2E613D" w14:textId="6D57556C">
      <w:pPr>
        <w:pBdr>
          <w:top w:val="single" w:sz="6" w:space="0" w:color="FFFFFF"/>
          <w:left w:val="single" w:sz="6" w:space="0" w:color="FFFFFF"/>
          <w:bottom w:val="single" w:sz="6" w:space="0" w:color="FFFFFF"/>
          <w:right w:val="single" w:sz="6" w:space="0" w:color="FFFFFF"/>
        </w:pBdr>
        <w:rPr>
          <w:rFonts w:cstheme="minorHAnsi"/>
          <w:color w:val="000000"/>
        </w:rPr>
      </w:pPr>
      <w:r w:rsidRPr="00F728B2">
        <w:rPr>
          <w:rFonts w:cstheme="minorHAnsi"/>
          <w:color w:val="000000"/>
        </w:rPr>
        <w:t xml:space="preserve">This </w:t>
      </w:r>
      <w:r w:rsidRPr="00F728B2" w:rsidR="00173A68">
        <w:rPr>
          <w:rFonts w:cstheme="minorHAnsi"/>
          <w:color w:val="000000"/>
        </w:rPr>
        <w:t>container</w:t>
      </w:r>
      <w:r w:rsidRPr="00F728B2">
        <w:rPr>
          <w:rFonts w:cstheme="minorHAnsi"/>
          <w:color w:val="000000"/>
        </w:rPr>
        <w:t xml:space="preserve"> reconditioning facility ICR will provide necessary information to understand the current operating and regulatory landscape, improve existing regulatory requirements to protect the environment and the public, and support the development of new regulations in concert with existing regulations. The DCR demonstrates the need to collect this information and develop new regulations through numerous cases of environmental impacts, costly cleanup, legal action, and harm to both employees at these facilities and the public.</w:t>
      </w:r>
    </w:p>
    <w:p w:rsidR="00A233E0" w:rsidRPr="00F728B2" w:rsidP="00854AAE" w14:paraId="1455365B" w14:textId="77777777">
      <w:pPr>
        <w:pStyle w:val="ListParagraph"/>
        <w:numPr>
          <w:ilvl w:val="0"/>
          <w:numId w:val="25"/>
        </w:numPr>
        <w:pBdr>
          <w:bottom w:val="single" w:sz="4" w:space="1" w:color="auto"/>
        </w:pBdr>
        <w:spacing w:before="240" w:after="0"/>
        <w:rPr>
          <w:rFonts w:cstheme="minorHAnsi"/>
          <w:b/>
          <w:bCs/>
        </w:rPr>
      </w:pPr>
      <w:bookmarkStart w:id="9" w:name="_Toc156593374"/>
      <w:r w:rsidRPr="00F728B2">
        <w:rPr>
          <w:rFonts w:cstheme="minorHAnsi"/>
          <w:b/>
          <w:bCs/>
        </w:rPr>
        <w:t>GENERAL GUIDELINES</w:t>
      </w:r>
      <w:bookmarkEnd w:id="9"/>
    </w:p>
    <w:p w:rsidR="000D6371" w:rsidP="000D6371" w14:paraId="1333C7B7" w14:textId="290345B4">
      <w:pPr>
        <w:pBdr>
          <w:bottom w:val="single" w:sz="4" w:space="1" w:color="auto"/>
        </w:pBdr>
        <w:spacing w:before="60"/>
        <w:rPr>
          <w:rFonts w:cstheme="minorHAnsi"/>
          <w:i/>
          <w:iCs/>
        </w:rPr>
      </w:pPr>
      <w:r w:rsidRPr="00F728B2">
        <w:rPr>
          <w:rFonts w:cstheme="minorHAnsi"/>
          <w:i/>
          <w:iCs/>
        </w:rPr>
        <w:t>Explain any special circumstances that require the collection to be conducted in a manner inconsistent with OMB guidelines.</w:t>
      </w:r>
    </w:p>
    <w:p w:rsidR="00BD05BA" w:rsidRPr="00F728B2" w:rsidP="000D6371" w14:paraId="17B25429" w14:textId="2A20434A">
      <w:pPr>
        <w:pBdr>
          <w:bottom w:val="single" w:sz="4" w:space="1" w:color="auto"/>
        </w:pBdr>
        <w:spacing w:before="60"/>
        <w:rPr>
          <w:rFonts w:cstheme="minorHAnsi"/>
        </w:rPr>
      </w:pPr>
      <w:r w:rsidRPr="00531DEE">
        <w:rPr>
          <w:rFonts w:cstheme="minorHAnsi"/>
        </w:rPr>
        <w:t>The information collection is consistent with the guidelines set forth in 5 CFR 1320(d)(2) of the Paperwork Reduction Act.</w:t>
      </w:r>
    </w:p>
    <w:p w:rsidR="002F235B" w:rsidRPr="00F728B2" w:rsidP="002F235B" w14:paraId="01E62BFA" w14:textId="20A082E6">
      <w:pPr>
        <w:pStyle w:val="ListParagraph"/>
        <w:numPr>
          <w:ilvl w:val="0"/>
          <w:numId w:val="25"/>
        </w:numPr>
        <w:pBdr>
          <w:bottom w:val="single" w:sz="4" w:space="1" w:color="auto"/>
        </w:pBdr>
        <w:spacing w:before="240" w:after="0"/>
        <w:rPr>
          <w:rFonts w:cstheme="minorHAnsi"/>
          <w:b/>
          <w:bCs/>
        </w:rPr>
      </w:pPr>
      <w:bookmarkStart w:id="10" w:name="_Toc156593375"/>
      <w:r w:rsidRPr="00F728B2">
        <w:rPr>
          <w:rFonts w:cstheme="minorHAnsi"/>
          <w:b/>
          <w:bCs/>
        </w:rPr>
        <w:t>PUBLIC COMMENT AND CONSULTATIONS</w:t>
      </w:r>
      <w:bookmarkStart w:id="11" w:name="_Toc156593376"/>
      <w:bookmarkEnd w:id="10"/>
    </w:p>
    <w:p w:rsidR="00DD2682" w:rsidRPr="00F728B2" w:rsidP="00854AAE" w14:paraId="49B250D2" w14:textId="77777777">
      <w:pPr>
        <w:spacing w:before="120" w:after="0"/>
        <w:rPr>
          <w:rFonts w:cstheme="minorHAnsi"/>
          <w:b/>
          <w:bCs/>
        </w:rPr>
      </w:pPr>
      <w:r w:rsidRPr="00F728B2">
        <w:rPr>
          <w:rFonts w:cstheme="minorHAnsi"/>
          <w:b/>
          <w:bCs/>
        </w:rPr>
        <w:t xml:space="preserve">8a. </w:t>
      </w:r>
      <w:r w:rsidRPr="00F728B2" w:rsidR="00A82647">
        <w:rPr>
          <w:rFonts w:cstheme="minorHAnsi"/>
          <w:b/>
          <w:bCs/>
        </w:rPr>
        <w:t>Public Comment</w:t>
      </w:r>
      <w:bookmarkStart w:id="12" w:name="_Toc156593377"/>
      <w:bookmarkEnd w:id="11"/>
    </w:p>
    <w:p w:rsidR="00A82FF8" w:rsidRPr="00F728B2" w:rsidP="00CA337A" w14:paraId="61ED678B" w14:textId="3380082C">
      <w:pPr>
        <w:spacing w:line="240" w:lineRule="auto"/>
        <w:rPr>
          <w:rFonts w:cstheme="minorHAnsi"/>
          <w:i/>
          <w:iCs/>
        </w:rPr>
      </w:pPr>
      <w:r w:rsidRPr="00F728B2">
        <w:rPr>
          <w:rFonts w:cstheme="minorHAnsi"/>
          <w:i/>
          <w:iCs/>
        </w:rPr>
        <w:t xml:space="preserve">If applicable, provide a copy and identify the date and page number of </w:t>
      </w:r>
      <w:r w:rsidRPr="00F728B2">
        <w:rPr>
          <w:rFonts w:cstheme="minorHAnsi"/>
          <w:i/>
          <w:iCs/>
        </w:rPr>
        <w:t>publication</w:t>
      </w:r>
      <w:r w:rsidRPr="00F728B2">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05A9F" w:rsidP="00D9733E" w14:paraId="48218723" w14:textId="5C74CF6E">
      <w:pPr>
        <w:pStyle w:val="BodyText"/>
        <w:rPr>
          <w:rFonts w:asciiTheme="minorHAnsi" w:hAnsiTheme="minorHAnsi" w:cstheme="minorHAnsi"/>
          <w:sz w:val="22"/>
          <w:szCs w:val="22"/>
        </w:rPr>
      </w:pPr>
      <w:r>
        <w:rPr>
          <w:rFonts w:asciiTheme="minorHAnsi" w:hAnsiTheme="minorHAnsi" w:cstheme="minorHAnsi"/>
          <w:sz w:val="22"/>
          <w:szCs w:val="22"/>
        </w:rPr>
        <w:t xml:space="preserve">On April 24, 2024, </w:t>
      </w:r>
      <w:r>
        <w:rPr>
          <w:rFonts w:asciiTheme="minorHAnsi" w:hAnsiTheme="minorHAnsi" w:cstheme="minorHAnsi"/>
          <w:sz w:val="22"/>
          <w:szCs w:val="22"/>
        </w:rPr>
        <w:t>EPA published a Federal Register Notice (</w:t>
      </w:r>
      <w:hyperlink r:id="rId10" w:history="1">
        <w:r w:rsidRPr="00705A9F">
          <w:rPr>
            <w:rStyle w:val="Hyperlink"/>
            <w:rFonts w:asciiTheme="minorHAnsi" w:hAnsiTheme="minorHAnsi" w:cstheme="minorHAnsi"/>
            <w:sz w:val="22"/>
            <w:szCs w:val="22"/>
          </w:rPr>
          <w:t>89 FR 31199</w:t>
        </w:r>
      </w:hyperlink>
      <w:r>
        <w:rPr>
          <w:rFonts w:asciiTheme="minorHAnsi" w:hAnsiTheme="minorHAnsi" w:cstheme="minorHAnsi"/>
          <w:sz w:val="22"/>
          <w:szCs w:val="22"/>
        </w:rPr>
        <w:t>) to notify the public of this proposed information collection and solicit public comment on the need for the collection and the draft survey instrument.</w:t>
      </w:r>
      <w:r>
        <w:rPr>
          <w:rFonts w:asciiTheme="minorHAnsi" w:hAnsiTheme="minorHAnsi" w:cstheme="minorHAnsi"/>
          <w:sz w:val="22"/>
          <w:szCs w:val="22"/>
        </w:rPr>
        <w:t xml:space="preserve"> Comments were accepted until June 24, 2024. </w:t>
      </w:r>
      <w:r w:rsidR="006A4203">
        <w:rPr>
          <w:rFonts w:asciiTheme="minorHAnsi" w:hAnsiTheme="minorHAnsi" w:cstheme="minorHAnsi"/>
          <w:sz w:val="22"/>
          <w:szCs w:val="22"/>
        </w:rPr>
        <w:t>The Agency received three comments.</w:t>
      </w:r>
      <w:r w:rsidR="007B7A3E">
        <w:rPr>
          <w:rFonts w:asciiTheme="minorHAnsi" w:hAnsiTheme="minorHAnsi" w:cstheme="minorHAnsi"/>
          <w:sz w:val="22"/>
          <w:szCs w:val="22"/>
        </w:rPr>
        <w:t xml:space="preserve"> These </w:t>
      </w:r>
      <w:r w:rsidRPr="007B7A3E" w:rsidR="007B7A3E">
        <w:rPr>
          <w:rFonts w:asciiTheme="minorHAnsi" w:hAnsiTheme="minorHAnsi" w:cstheme="minorHAnsi"/>
          <w:sz w:val="22"/>
          <w:szCs w:val="22"/>
        </w:rPr>
        <w:t>comments did not directly address the cost and burden hour estimate. However, the comments provided general feedback on the survey effort and proposed means by which EPA could improve the draft survey included in the docket of the first FRN to reduce respondent burden.</w:t>
      </w:r>
    </w:p>
    <w:p w:rsidR="00202C7A" w:rsidP="00202C7A" w14:paraId="6AD664B1" w14:textId="42D95337">
      <w:r>
        <w:t>In regard to</w:t>
      </w:r>
      <w:r>
        <w:t xml:space="preserve"> the survey effort overall, commenters communicated a need to look upstream of industrial container reconditioners to determine compliance at the container emptying stage. While EPA agrees that facilities that send containers to reconditioners (sometimes called “container </w:t>
      </w:r>
      <w:r>
        <w:t>emptiers</w:t>
      </w:r>
      <w:r>
        <w:t xml:space="preserve">”) have an </w:t>
      </w:r>
      <w:r>
        <w:t xml:space="preserve">obligation to comply with the requirements of the empty container provision (i.e., not send containers that still hold large amounts of hazardous waste to reconditioners), the Agency is focusing this information collection on container reconditioners. Container reconditioning facilities receive and manage large numbers of containers as a consolidation point, posing the greatest risk to human health and the environment from improper storage and management of containers and their residues. Further, collecting information from every facility that sends containers to be reconditioned would be prohibitively burdensome, as the universe of respondents would be very large (potentially in the tens of thousands).  </w:t>
      </w:r>
    </w:p>
    <w:p w:rsidR="00202C7A" w:rsidP="00202C7A" w14:paraId="3DE1D46F" w14:textId="77777777">
      <w:r>
        <w:t>To improve the survey itself, commenters suggested the Agency should standardize language throughout the survey to improve clarity and ensure consistency internally and with common industry terms. In response to these comments, EPA expanded the survey’s glossary section to provide more context on the meaning of specific terms and revised the survey to remove any inconsistency of terms used for the same concept. The Agency also revised specific word choices throughout the survey to match industry terminology (e.g., using “container” rather than “drum” in some questions).</w:t>
      </w:r>
    </w:p>
    <w:p w:rsidR="00202C7A" w:rsidP="00202C7A" w14:paraId="1B9F832A" w14:textId="77777777">
      <w:r>
        <w:t>Multiple commenters also identified a need for quantitative thresholds to increase clarity in certain aspects of the survey. In response, EPA inserted numeric values to increase clarity and make response simpler and less subjective. For instance, the Agency established numeric thresholds for what constitutes a significant change in facility operations (question 12). EPA also established an explicit threshold of up to 1,000 gallons for which containers are relevant to the survey. This threshold was derived from one commenter’s suggestion and consistent with other commenters’ intent.</w:t>
      </w:r>
    </w:p>
    <w:p w:rsidR="00202C7A" w:rsidP="00202C7A" w14:paraId="517797C2" w14:textId="77777777">
      <w:r>
        <w:t xml:space="preserve">Commenters also proposed revisions to specific questions; most of these suggestions focused on improving the clarity of what information was being requested or revising terminology to better match common industry parlance. Wherever possible, EPA adopted these proposed changes. Some question-specific comments also suggested deleting questions that were deemed to involve confidential business information (CBI); rather than delete these questions from the survey, EPA has designed the survey to allow respondents to indicate which responses contain CBI. EPA will manage any surveys containing responses claimed as CBI under the appropriate CBI provisions. </w:t>
      </w:r>
    </w:p>
    <w:p w:rsidR="00202C7A" w:rsidP="00202C7A" w14:paraId="7405BB79" w14:textId="77777777">
      <w:r>
        <w:t xml:space="preserve">Additionally, commenters identified other means to reduce respondent burden that EPA adopted wherever possible. For specific questions, commenters suggested the Agency provide a checklist of potential responses rather than using a fill-in-the-blank style response. EPA incorporated this check-box approach in </w:t>
      </w:r>
      <w:r>
        <w:t>a large number of</w:t>
      </w:r>
      <w:r>
        <w:t xml:space="preserve"> questions, reducing respondent burden by simplifying the response process. EPA also made some changes to terminology to reduce respondent burden by clarifying that estimates, rather than exact counts, would suffice (e.g., questions 18 and 53). </w:t>
      </w:r>
    </w:p>
    <w:p w:rsidR="00202C7A" w:rsidP="00202C7A" w14:paraId="1AF61489" w14:textId="77777777">
      <w:r>
        <w:t>Considered together, these changes should reduce respondent burden and therefore cost from expended labor by reducing the amount of time staff will spend responding to the survey. Greater clarity from consistent terms and numeric thresholds (where appropriate) will reduce the amount of time staff spend contacting the survey help line or deliberating internally on appropriate responses. Incorporation of survey mechanisms like check boxes rather than open-ended responses should also simplify survey response and reduce burden. Question-specific revisions are also generally expected to reduce respondent burden by improving clarity.</w:t>
      </w:r>
    </w:p>
    <w:p w:rsidR="00202C7A" w:rsidP="00202C7A" w14:paraId="6D7E7DBF" w14:textId="77777777">
      <w:r>
        <w:t>Finally, commenters recommended adding some questions or portions of the survey to allow facilities to report additional information. EPA adopted some of the recommended questions when it was deemed the utility of the information would justify the marginal additional burden of these questions. EPA also added one final question to allow respondents to report any additional information (e.g., best management practices or standard operating procedures employed at the facility) that they feel is relevant.</w:t>
      </w:r>
    </w:p>
    <w:p w:rsidR="00D9733E" w:rsidRPr="00A93CB0" w:rsidP="64231FE2" w14:paraId="55AB079D" w14:textId="53002894">
      <w:pPr>
        <w:pStyle w:val="BodyText"/>
        <w:rPr>
          <w:rFonts w:asciiTheme="minorHAnsi" w:hAnsiTheme="minorHAnsi" w:cstheme="minorBidi"/>
          <w:sz w:val="22"/>
          <w:szCs w:val="22"/>
        </w:rPr>
      </w:pPr>
      <w:r w:rsidRPr="64231FE2">
        <w:rPr>
          <w:rFonts w:asciiTheme="minorHAnsi" w:hAnsiTheme="minorHAnsi" w:cstheme="minorBidi"/>
          <w:sz w:val="22"/>
          <w:szCs w:val="22"/>
        </w:rPr>
        <w:t xml:space="preserve">Additionally, </w:t>
      </w:r>
      <w:r w:rsidRPr="64231FE2">
        <w:rPr>
          <w:rFonts w:asciiTheme="minorHAnsi" w:hAnsiTheme="minorHAnsi" w:cstheme="minorBidi"/>
          <w:sz w:val="22"/>
          <w:szCs w:val="22"/>
        </w:rPr>
        <w:t xml:space="preserve">EPA published the Used Drum Management and Reconditioning ANPRM in the </w:t>
      </w:r>
      <w:r w:rsidRPr="64231FE2">
        <w:rPr>
          <w:rFonts w:asciiTheme="minorHAnsi" w:hAnsiTheme="minorHAnsi" w:cstheme="minorBidi"/>
          <w:i/>
          <w:iCs/>
          <w:sz w:val="22"/>
          <w:szCs w:val="22"/>
        </w:rPr>
        <w:t>Federal Register</w:t>
      </w:r>
      <w:r w:rsidRPr="64231FE2">
        <w:rPr>
          <w:rFonts w:asciiTheme="minorHAnsi" w:hAnsiTheme="minorHAnsi" w:cstheme="minorBidi"/>
          <w:sz w:val="22"/>
          <w:szCs w:val="22"/>
        </w:rPr>
        <w:t xml:space="preserve"> on August 11, 2023</w:t>
      </w:r>
      <w:r w:rsidRPr="64231FE2" w:rsidR="00320741">
        <w:rPr>
          <w:rFonts w:asciiTheme="minorHAnsi" w:hAnsiTheme="minorHAnsi" w:cstheme="minorBidi"/>
          <w:sz w:val="22"/>
          <w:szCs w:val="22"/>
        </w:rPr>
        <w:t>,</w:t>
      </w:r>
      <w:r w:rsidRPr="64231FE2">
        <w:rPr>
          <w:rFonts w:asciiTheme="minorHAnsi" w:hAnsiTheme="minorHAnsi" w:cstheme="minorBidi"/>
          <w:sz w:val="22"/>
          <w:szCs w:val="22"/>
        </w:rPr>
        <w:t xml:space="preserve"> requesting input on regulatory and non-regulatory options to ensure proper management of used industrial containers that once contained hazardous chemicals or hazardous waste. The notice described the national </w:t>
      </w:r>
      <w:r w:rsidRPr="64231FE2" w:rsidR="00173A68">
        <w:rPr>
          <w:rFonts w:asciiTheme="minorHAnsi" w:hAnsiTheme="minorHAnsi" w:cstheme="minorBidi"/>
          <w:sz w:val="22"/>
          <w:szCs w:val="22"/>
        </w:rPr>
        <w:t>container</w:t>
      </w:r>
      <w:r w:rsidRPr="64231FE2">
        <w:rPr>
          <w:rFonts w:asciiTheme="minorHAnsi" w:hAnsiTheme="minorHAnsi" w:cstheme="minorBidi"/>
          <w:sz w:val="22"/>
          <w:szCs w:val="22"/>
        </w:rPr>
        <w:t xml:space="preserve"> reconditioning industry, summarized the findings of EPA’s 2022 Drum Reconditioner Damage Case </w:t>
      </w:r>
      <w:r w:rsidRPr="64231FE2">
        <w:rPr>
          <w:rFonts w:asciiTheme="minorHAnsi" w:hAnsiTheme="minorHAnsi" w:cstheme="minorBidi"/>
          <w:sz w:val="22"/>
          <w:szCs w:val="22"/>
        </w:rPr>
        <w:t>Report</w:t>
      </w:r>
      <w:r w:rsidRPr="64231FE2">
        <w:rPr>
          <w:rFonts w:asciiTheme="minorHAnsi" w:hAnsiTheme="minorHAnsi" w:cstheme="minorBidi"/>
          <w:sz w:val="22"/>
          <w:szCs w:val="22"/>
        </w:rPr>
        <w:t xml:space="preserve"> and described potential agency actions. On November 1, 2023</w:t>
      </w:r>
      <w:r w:rsidRPr="64231FE2" w:rsidR="00320741">
        <w:rPr>
          <w:rFonts w:asciiTheme="minorHAnsi" w:hAnsiTheme="minorHAnsi" w:cstheme="minorBidi"/>
          <w:sz w:val="22"/>
          <w:szCs w:val="22"/>
        </w:rPr>
        <w:t>,</w:t>
      </w:r>
      <w:r w:rsidRPr="64231FE2">
        <w:rPr>
          <w:rFonts w:asciiTheme="minorHAnsi" w:hAnsiTheme="minorHAnsi" w:cstheme="minorBidi"/>
          <w:sz w:val="22"/>
          <w:szCs w:val="22"/>
        </w:rPr>
        <w:t xml:space="preserve"> EPA hosted a virtual meeting to discuss the </w:t>
      </w:r>
      <w:r w:rsidRPr="64231FE2" w:rsidR="00173A68">
        <w:rPr>
          <w:rFonts w:asciiTheme="minorHAnsi" w:hAnsiTheme="minorHAnsi" w:cstheme="minorBidi"/>
          <w:sz w:val="22"/>
          <w:szCs w:val="22"/>
        </w:rPr>
        <w:t>container</w:t>
      </w:r>
      <w:r w:rsidRPr="64231FE2">
        <w:rPr>
          <w:rFonts w:asciiTheme="minorHAnsi" w:hAnsiTheme="minorHAnsi" w:cstheme="minorBidi"/>
          <w:sz w:val="22"/>
          <w:szCs w:val="22"/>
        </w:rPr>
        <w:t xml:space="preserve"> reconditioning industry, the ANPRM, potential agency actions and get feedback from the public.</w:t>
      </w:r>
    </w:p>
    <w:p w:rsidR="00D9733E" w:rsidRPr="00A93CB0" w:rsidP="00D9733E" w14:paraId="1D50068D" w14:textId="4350884E">
      <w:pPr>
        <w:pStyle w:val="BodyText"/>
        <w:rPr>
          <w:rFonts w:asciiTheme="minorHAnsi" w:hAnsiTheme="minorHAnsi" w:cstheme="minorHAnsi"/>
          <w:sz w:val="22"/>
          <w:szCs w:val="22"/>
        </w:rPr>
      </w:pPr>
      <w:r w:rsidRPr="00A93CB0">
        <w:rPr>
          <w:rFonts w:asciiTheme="minorHAnsi" w:hAnsiTheme="minorHAnsi" w:cstheme="minorHAnsi"/>
          <w:sz w:val="22"/>
          <w:szCs w:val="22"/>
        </w:rPr>
        <w:t xml:space="preserve">The </w:t>
      </w:r>
      <w:r w:rsidRPr="00A93CB0" w:rsidR="00320741">
        <w:rPr>
          <w:rFonts w:asciiTheme="minorHAnsi" w:hAnsiTheme="minorHAnsi" w:cstheme="minorHAnsi"/>
          <w:sz w:val="22"/>
          <w:szCs w:val="22"/>
        </w:rPr>
        <w:t xml:space="preserve">ANPRM </w:t>
      </w:r>
      <w:r w:rsidRPr="00A93CB0">
        <w:rPr>
          <w:rFonts w:asciiTheme="minorHAnsi" w:hAnsiTheme="minorHAnsi" w:cstheme="minorHAnsi"/>
          <w:sz w:val="22"/>
          <w:szCs w:val="22"/>
        </w:rPr>
        <w:t xml:space="preserve">comment period concluded on November 22, 2023. Commenters included </w:t>
      </w:r>
      <w:r w:rsidRPr="00A93CB0" w:rsidR="00173A68">
        <w:rPr>
          <w:rFonts w:asciiTheme="minorHAnsi" w:hAnsiTheme="minorHAnsi" w:cstheme="minorHAnsi"/>
          <w:sz w:val="22"/>
          <w:szCs w:val="22"/>
        </w:rPr>
        <w:t>container</w:t>
      </w:r>
      <w:r w:rsidRPr="00A93CB0">
        <w:rPr>
          <w:rFonts w:asciiTheme="minorHAnsi" w:hAnsiTheme="minorHAnsi" w:cstheme="minorHAnsi"/>
          <w:sz w:val="22"/>
          <w:szCs w:val="22"/>
        </w:rPr>
        <w:t xml:space="preserve"> reconditioners, </w:t>
      </w:r>
      <w:r w:rsidRPr="00A93CB0" w:rsidR="00173A68">
        <w:rPr>
          <w:rFonts w:asciiTheme="minorHAnsi" w:hAnsiTheme="minorHAnsi" w:cstheme="minorHAnsi"/>
          <w:sz w:val="22"/>
          <w:szCs w:val="22"/>
        </w:rPr>
        <w:t>container</w:t>
      </w:r>
      <w:r w:rsidRPr="00A93CB0">
        <w:rPr>
          <w:rFonts w:asciiTheme="minorHAnsi" w:hAnsiTheme="minorHAnsi" w:cstheme="minorHAnsi"/>
          <w:sz w:val="22"/>
          <w:szCs w:val="22"/>
        </w:rPr>
        <w:t xml:space="preserve"> generators, environmental agencies, environmental advocacy groups and industry trade associations. Many of the commenters opposed new regulations</w:t>
      </w:r>
      <w:r w:rsidRPr="00A93CB0" w:rsidR="00320741">
        <w:rPr>
          <w:rFonts w:asciiTheme="minorHAnsi" w:hAnsiTheme="minorHAnsi" w:cstheme="minorHAnsi"/>
          <w:sz w:val="22"/>
          <w:szCs w:val="22"/>
        </w:rPr>
        <w:t>,</w:t>
      </w:r>
      <w:r w:rsidRPr="00A93CB0">
        <w:rPr>
          <w:rFonts w:asciiTheme="minorHAnsi" w:hAnsiTheme="minorHAnsi" w:cstheme="minorHAnsi"/>
          <w:sz w:val="22"/>
          <w:szCs w:val="22"/>
        </w:rPr>
        <w:t xml:space="preserve"> in particular changes to the definition and implementation of </w:t>
      </w:r>
      <w:r w:rsidRPr="00A93CB0" w:rsidR="00B67E1B">
        <w:rPr>
          <w:rFonts w:asciiTheme="minorHAnsi" w:hAnsiTheme="minorHAnsi" w:cstheme="minorHAnsi"/>
          <w:sz w:val="22"/>
          <w:szCs w:val="22"/>
        </w:rPr>
        <w:t>“</w:t>
      </w:r>
      <w:r w:rsidRPr="00A93CB0">
        <w:rPr>
          <w:rFonts w:asciiTheme="minorHAnsi" w:hAnsiTheme="minorHAnsi" w:cstheme="minorHAnsi"/>
          <w:sz w:val="22"/>
          <w:szCs w:val="22"/>
        </w:rPr>
        <w:t>RCRA-empty.</w:t>
      </w:r>
      <w:r w:rsidRPr="00A93CB0" w:rsidR="00B67E1B">
        <w:rPr>
          <w:rFonts w:asciiTheme="minorHAnsi" w:hAnsiTheme="minorHAnsi" w:cstheme="minorHAnsi"/>
          <w:sz w:val="22"/>
          <w:szCs w:val="22"/>
        </w:rPr>
        <w:t>”</w:t>
      </w:r>
      <w:r w:rsidRPr="00A93CB0">
        <w:rPr>
          <w:rFonts w:asciiTheme="minorHAnsi" w:hAnsiTheme="minorHAnsi" w:cstheme="minorHAnsi"/>
          <w:sz w:val="22"/>
          <w:szCs w:val="22"/>
        </w:rPr>
        <w:t xml:space="preserve"> A few commenters suggested that the agency actions place responsibility on the </w:t>
      </w:r>
      <w:r w:rsidRPr="00A93CB0" w:rsidR="00173A68">
        <w:rPr>
          <w:rFonts w:asciiTheme="minorHAnsi" w:hAnsiTheme="minorHAnsi" w:cstheme="minorHAnsi"/>
          <w:sz w:val="22"/>
          <w:szCs w:val="22"/>
        </w:rPr>
        <w:t>container</w:t>
      </w:r>
      <w:r w:rsidRPr="00A93CB0">
        <w:rPr>
          <w:rFonts w:asciiTheme="minorHAnsi" w:hAnsiTheme="minorHAnsi" w:cstheme="minorHAnsi"/>
          <w:sz w:val="22"/>
          <w:szCs w:val="22"/>
        </w:rPr>
        <w:t xml:space="preserve"> generators and not the reconditioners. </w:t>
      </w:r>
    </w:p>
    <w:p w:rsidR="00D9733E" w:rsidRPr="00A93CB0" w:rsidP="00D9733E" w14:paraId="22181402" w14:textId="4CC5BABC">
      <w:pPr>
        <w:pStyle w:val="BodyText"/>
        <w:rPr>
          <w:rFonts w:asciiTheme="minorHAnsi" w:hAnsiTheme="minorHAnsi" w:cstheme="minorHAnsi"/>
          <w:sz w:val="22"/>
          <w:szCs w:val="22"/>
        </w:rPr>
      </w:pPr>
      <w:r w:rsidRPr="00A93CB0">
        <w:rPr>
          <w:rFonts w:asciiTheme="minorHAnsi" w:hAnsiTheme="minorHAnsi" w:cstheme="minorHAnsi"/>
          <w:sz w:val="22"/>
          <w:szCs w:val="22"/>
        </w:rPr>
        <w:t>The Reusable Industrial Packaging Association (RIPA)</w:t>
      </w:r>
      <w:r w:rsidRPr="00A93CB0" w:rsidR="0007244A">
        <w:rPr>
          <w:rFonts w:asciiTheme="minorHAnsi" w:hAnsiTheme="minorHAnsi" w:cstheme="minorHAnsi"/>
          <w:sz w:val="22"/>
          <w:szCs w:val="22"/>
        </w:rPr>
        <w:t xml:space="preserve">, joined by eight other trade associations, </w:t>
      </w:r>
      <w:r w:rsidRPr="00A93CB0">
        <w:rPr>
          <w:rFonts w:asciiTheme="minorHAnsi" w:hAnsiTheme="minorHAnsi" w:cstheme="minorHAnsi"/>
          <w:sz w:val="22"/>
          <w:szCs w:val="22"/>
        </w:rPr>
        <w:t xml:space="preserve">submitted a comment in response to the ANPRM. These organizations believe that the EPA does not need to revise the existing regulatory framework and that the best approach is to focus on compliance with existing regulations.  The associations also warned that changes to the existing regulations would negatively impact human health and the environment by reducing or eliminating beneficial drum reuse, increasing waste to already overburdened </w:t>
      </w:r>
      <w:r w:rsidRPr="00A93CB0">
        <w:rPr>
          <w:rFonts w:asciiTheme="minorHAnsi" w:hAnsiTheme="minorHAnsi" w:cstheme="minorHAnsi"/>
          <w:sz w:val="22"/>
          <w:szCs w:val="22"/>
        </w:rPr>
        <w:t>landfills</w:t>
      </w:r>
      <w:r w:rsidRPr="00A93CB0">
        <w:rPr>
          <w:rFonts w:asciiTheme="minorHAnsi" w:hAnsiTheme="minorHAnsi" w:cstheme="minorHAnsi"/>
          <w:sz w:val="22"/>
          <w:szCs w:val="22"/>
        </w:rPr>
        <w:t xml:space="preserve"> and leading to substantially increased GHG emissions. </w:t>
      </w:r>
    </w:p>
    <w:p w:rsidR="00ED57A4" w:rsidRPr="00F728B2" w:rsidP="00D9733E" w14:paraId="400F41AB" w14:textId="18345D88">
      <w:pPr>
        <w:pBdr>
          <w:top w:val="single" w:sz="6" w:space="0" w:color="FFFFFF"/>
          <w:left w:val="single" w:sz="6" w:space="0" w:color="FFFFFF"/>
          <w:bottom w:val="single" w:sz="6" w:space="0" w:color="FFFFFF"/>
          <w:right w:val="single" w:sz="6" w:space="0" w:color="FFFFFF"/>
        </w:pBdr>
        <w:rPr>
          <w:rFonts w:cstheme="minorHAnsi"/>
          <w:color w:val="000000"/>
        </w:rPr>
      </w:pPr>
      <w:r w:rsidRPr="00F728B2">
        <w:rPr>
          <w:rFonts w:cstheme="minorHAnsi"/>
        </w:rPr>
        <w:t>Earthjustice</w:t>
      </w:r>
      <w:r w:rsidRPr="00F728B2" w:rsidR="00320741">
        <w:rPr>
          <w:rFonts w:cstheme="minorHAnsi"/>
        </w:rPr>
        <w:t>,</w:t>
      </w:r>
      <w:r w:rsidRPr="00F728B2">
        <w:rPr>
          <w:rFonts w:cstheme="minorHAnsi"/>
        </w:rPr>
        <w:t xml:space="preserve"> </w:t>
      </w:r>
      <w:r w:rsidRPr="00F728B2" w:rsidR="00417957">
        <w:rPr>
          <w:rFonts w:cstheme="minorHAnsi"/>
        </w:rPr>
        <w:t xml:space="preserve">joined by five other organizations including the Texas Environmental Justice Advocacy Services, </w:t>
      </w:r>
      <w:r w:rsidRPr="00F728B2">
        <w:rPr>
          <w:rFonts w:cstheme="minorHAnsi"/>
        </w:rPr>
        <w:t>submitted a comment in response to the ANPRM support</w:t>
      </w:r>
      <w:r w:rsidRPr="00F728B2" w:rsidR="00417957">
        <w:rPr>
          <w:rFonts w:cstheme="minorHAnsi"/>
        </w:rPr>
        <w:t>ing</w:t>
      </w:r>
      <w:r w:rsidRPr="00F728B2">
        <w:rPr>
          <w:rFonts w:cstheme="minorHAnsi"/>
        </w:rPr>
        <w:t xml:space="preserve"> regulatory options for </w:t>
      </w:r>
      <w:r w:rsidRPr="00F728B2" w:rsidR="00173A68">
        <w:rPr>
          <w:rFonts w:cstheme="minorHAnsi"/>
        </w:rPr>
        <w:t>container</w:t>
      </w:r>
      <w:r w:rsidRPr="00F728B2">
        <w:rPr>
          <w:rFonts w:cstheme="minorHAnsi"/>
        </w:rPr>
        <w:t xml:space="preserve"> reconditioning facilities specifically noting that the RCRA empty provisions “exempt from the protective “cradle-to-grave" regulations provided by” RCRA. They note that this exemption resulted in facilities transporting, </w:t>
      </w:r>
      <w:r w:rsidRPr="00F728B2">
        <w:rPr>
          <w:rFonts w:cstheme="minorHAnsi"/>
        </w:rPr>
        <w:t>managing</w:t>
      </w:r>
      <w:r w:rsidRPr="00F728B2">
        <w:rPr>
          <w:rFonts w:cstheme="minorHAnsi"/>
        </w:rPr>
        <w:t xml:space="preserve"> and burning millions of drums without regulatory safeguards to protect nearby communities.</w:t>
      </w:r>
    </w:p>
    <w:p w:rsidR="00DB7775" w:rsidRPr="00F728B2" w:rsidP="00854AAE" w14:paraId="2457232D" w14:textId="77777777">
      <w:pPr>
        <w:spacing w:before="120" w:after="0"/>
        <w:rPr>
          <w:rFonts w:cstheme="minorHAnsi"/>
          <w:b/>
          <w:bCs/>
        </w:rPr>
      </w:pPr>
      <w:r w:rsidRPr="00F728B2">
        <w:rPr>
          <w:rFonts w:cstheme="minorHAnsi"/>
          <w:b/>
          <w:bCs/>
        </w:rPr>
        <w:t xml:space="preserve">8b. </w:t>
      </w:r>
      <w:r w:rsidRPr="00F728B2" w:rsidR="0061689C">
        <w:rPr>
          <w:rFonts w:cstheme="minorHAnsi"/>
          <w:b/>
          <w:bCs/>
        </w:rPr>
        <w:t>C</w:t>
      </w:r>
      <w:bookmarkEnd w:id="12"/>
      <w:r w:rsidRPr="00F728B2" w:rsidR="005D140B">
        <w:rPr>
          <w:rFonts w:cstheme="minorHAnsi"/>
          <w:b/>
          <w:bCs/>
        </w:rPr>
        <w:t>onsultations</w:t>
      </w:r>
    </w:p>
    <w:p w:rsidR="00CA337A" w:rsidRPr="00F728B2" w:rsidP="00A93CB0" w14:paraId="4131882B" w14:textId="2D9E10E3">
      <w:pPr>
        <w:rPr>
          <w:rFonts w:cstheme="minorHAnsi"/>
          <w:b/>
          <w:bCs/>
        </w:rPr>
      </w:pPr>
      <w:r w:rsidRPr="00F728B2">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9733E" w:rsidRPr="00A93CB0" w:rsidP="00D9733E" w14:paraId="164581D2" w14:textId="3FF30140">
      <w:pPr>
        <w:pStyle w:val="BodyText"/>
        <w:spacing w:after="0"/>
        <w:rPr>
          <w:rFonts w:asciiTheme="minorHAnsi" w:hAnsiTheme="minorHAnsi" w:cstheme="minorHAnsi"/>
          <w:sz w:val="22"/>
          <w:szCs w:val="22"/>
        </w:rPr>
      </w:pPr>
      <w:r w:rsidRPr="00A93CB0">
        <w:rPr>
          <w:rFonts w:asciiTheme="minorHAnsi" w:hAnsiTheme="minorHAnsi" w:cstheme="minorHAnsi"/>
          <w:sz w:val="22"/>
          <w:szCs w:val="22"/>
        </w:rPr>
        <w:t xml:space="preserve">EPA consulted with </w:t>
      </w:r>
      <w:r w:rsidRPr="00A93CB0" w:rsidR="00173A68">
        <w:rPr>
          <w:rFonts w:asciiTheme="minorHAnsi" w:hAnsiTheme="minorHAnsi" w:cstheme="minorHAnsi"/>
          <w:sz w:val="22"/>
          <w:szCs w:val="22"/>
        </w:rPr>
        <w:t>container</w:t>
      </w:r>
      <w:r w:rsidRPr="00A93CB0">
        <w:rPr>
          <w:rFonts w:asciiTheme="minorHAnsi" w:hAnsiTheme="minorHAnsi" w:cstheme="minorHAnsi"/>
          <w:sz w:val="22"/>
          <w:szCs w:val="22"/>
        </w:rPr>
        <w:t xml:space="preserve"> reconditioning industry members to get feedback on the upcoming </w:t>
      </w:r>
      <w:r w:rsidRPr="00A93CB0" w:rsidR="00173A68">
        <w:rPr>
          <w:rFonts w:asciiTheme="minorHAnsi" w:hAnsiTheme="minorHAnsi" w:cstheme="minorHAnsi"/>
          <w:sz w:val="22"/>
          <w:szCs w:val="22"/>
        </w:rPr>
        <w:t>container</w:t>
      </w:r>
      <w:r w:rsidRPr="00A93CB0">
        <w:rPr>
          <w:rFonts w:asciiTheme="minorHAnsi" w:hAnsiTheme="minorHAnsi" w:cstheme="minorHAnsi"/>
          <w:sz w:val="22"/>
          <w:szCs w:val="22"/>
        </w:rPr>
        <w:t xml:space="preserve"> reconditioning survey and associated burden estimate. Below are the companies that </w:t>
      </w:r>
      <w:r w:rsidRPr="00A93CB0" w:rsidR="00EF393F">
        <w:rPr>
          <w:rFonts w:asciiTheme="minorHAnsi" w:hAnsiTheme="minorHAnsi" w:cstheme="minorHAnsi"/>
          <w:sz w:val="22"/>
          <w:szCs w:val="22"/>
        </w:rPr>
        <w:t xml:space="preserve">participated in </w:t>
      </w:r>
      <w:r w:rsidRPr="00A93CB0" w:rsidR="00B20B03">
        <w:rPr>
          <w:rFonts w:asciiTheme="minorHAnsi" w:hAnsiTheme="minorHAnsi" w:cstheme="minorHAnsi"/>
          <w:sz w:val="22"/>
          <w:szCs w:val="22"/>
        </w:rPr>
        <w:t>a</w:t>
      </w:r>
      <w:r w:rsidRPr="00A93CB0">
        <w:rPr>
          <w:rFonts w:asciiTheme="minorHAnsi" w:hAnsiTheme="minorHAnsi" w:cstheme="minorHAnsi"/>
          <w:sz w:val="22"/>
          <w:szCs w:val="22"/>
        </w:rPr>
        <w:t xml:space="preserve"> consultation.</w:t>
      </w:r>
      <w:r w:rsidRPr="00A93CB0" w:rsidR="00ED4E89">
        <w:rPr>
          <w:rFonts w:asciiTheme="minorHAnsi" w:hAnsiTheme="minorHAnsi" w:cstheme="minorHAnsi"/>
          <w:sz w:val="22"/>
          <w:szCs w:val="22"/>
        </w:rPr>
        <w:t xml:space="preserve"> Three additional </w:t>
      </w:r>
      <w:r w:rsidRPr="00A93CB0" w:rsidR="008C2C49">
        <w:rPr>
          <w:rFonts w:asciiTheme="minorHAnsi" w:hAnsiTheme="minorHAnsi" w:cstheme="minorHAnsi"/>
          <w:sz w:val="22"/>
          <w:szCs w:val="22"/>
        </w:rPr>
        <w:t>companies, FDS Packaging, Coastal Con</w:t>
      </w:r>
      <w:r w:rsidRPr="00A93CB0" w:rsidR="00A82ADD">
        <w:rPr>
          <w:rFonts w:asciiTheme="minorHAnsi" w:hAnsiTheme="minorHAnsi" w:cstheme="minorHAnsi"/>
          <w:sz w:val="22"/>
          <w:szCs w:val="22"/>
        </w:rPr>
        <w:t>t</w:t>
      </w:r>
      <w:r w:rsidRPr="00A93CB0" w:rsidR="008C2C49">
        <w:rPr>
          <w:rFonts w:asciiTheme="minorHAnsi" w:hAnsiTheme="minorHAnsi" w:cstheme="minorHAnsi"/>
          <w:sz w:val="22"/>
          <w:szCs w:val="22"/>
        </w:rPr>
        <w:t>ainer Services</w:t>
      </w:r>
      <w:r w:rsidRPr="00A93CB0" w:rsidR="00A82ADD">
        <w:rPr>
          <w:rFonts w:asciiTheme="minorHAnsi" w:hAnsiTheme="minorHAnsi" w:cstheme="minorHAnsi"/>
          <w:sz w:val="22"/>
          <w:szCs w:val="22"/>
        </w:rPr>
        <w:t xml:space="preserve">, and </w:t>
      </w:r>
      <w:r w:rsidRPr="00A93CB0" w:rsidR="00A82ADD">
        <w:rPr>
          <w:rFonts w:asciiTheme="minorHAnsi" w:hAnsiTheme="minorHAnsi" w:cstheme="minorHAnsi"/>
          <w:sz w:val="22"/>
          <w:szCs w:val="22"/>
        </w:rPr>
        <w:t>Quala</w:t>
      </w:r>
      <w:r w:rsidRPr="00A93CB0" w:rsidR="008C2C49">
        <w:rPr>
          <w:rFonts w:asciiTheme="minorHAnsi" w:hAnsiTheme="minorHAnsi" w:cstheme="minorHAnsi"/>
          <w:sz w:val="22"/>
          <w:szCs w:val="22"/>
        </w:rPr>
        <w:t xml:space="preserve"> </w:t>
      </w:r>
      <w:r w:rsidRPr="00A93CB0">
        <w:rPr>
          <w:rFonts w:asciiTheme="minorHAnsi" w:hAnsiTheme="minorHAnsi" w:cstheme="minorHAnsi"/>
          <w:sz w:val="22"/>
          <w:szCs w:val="22"/>
        </w:rPr>
        <w:t xml:space="preserve">were contacted for </w:t>
      </w:r>
      <w:r w:rsidRPr="00A93CB0" w:rsidR="008C2C49">
        <w:rPr>
          <w:rFonts w:asciiTheme="minorHAnsi" w:hAnsiTheme="minorHAnsi" w:cstheme="minorHAnsi"/>
          <w:sz w:val="22"/>
          <w:szCs w:val="22"/>
        </w:rPr>
        <w:t>feedback</w:t>
      </w:r>
      <w:r w:rsidRPr="00A93CB0">
        <w:rPr>
          <w:rFonts w:asciiTheme="minorHAnsi" w:hAnsiTheme="minorHAnsi" w:cstheme="minorHAnsi"/>
          <w:sz w:val="22"/>
          <w:szCs w:val="22"/>
        </w:rPr>
        <w:t xml:space="preserve"> </w:t>
      </w:r>
      <w:r w:rsidRPr="00A93CB0" w:rsidR="00A82ADD">
        <w:rPr>
          <w:rFonts w:asciiTheme="minorHAnsi" w:hAnsiTheme="minorHAnsi" w:cstheme="minorHAnsi"/>
          <w:sz w:val="22"/>
          <w:szCs w:val="22"/>
        </w:rPr>
        <w:t xml:space="preserve">but did not </w:t>
      </w:r>
      <w:r w:rsidRPr="00A93CB0" w:rsidR="00791344">
        <w:rPr>
          <w:rFonts w:asciiTheme="minorHAnsi" w:hAnsiTheme="minorHAnsi" w:cstheme="minorHAnsi"/>
          <w:sz w:val="22"/>
          <w:szCs w:val="22"/>
        </w:rPr>
        <w:t xml:space="preserve">choose to </w:t>
      </w:r>
      <w:r w:rsidRPr="00A93CB0" w:rsidR="00A82ADD">
        <w:rPr>
          <w:rFonts w:asciiTheme="minorHAnsi" w:hAnsiTheme="minorHAnsi" w:cstheme="minorHAnsi"/>
          <w:sz w:val="22"/>
          <w:szCs w:val="22"/>
        </w:rPr>
        <w:t xml:space="preserve">complete a consultation. </w:t>
      </w:r>
      <w:r w:rsidRPr="00A93CB0" w:rsidR="000C1CC6">
        <w:rPr>
          <w:rFonts w:asciiTheme="minorHAnsi" w:hAnsiTheme="minorHAnsi" w:cstheme="minorHAnsi"/>
          <w:sz w:val="22"/>
          <w:szCs w:val="22"/>
        </w:rPr>
        <w:t>All</w:t>
      </w:r>
      <w:r w:rsidRPr="00A93CB0">
        <w:rPr>
          <w:rFonts w:asciiTheme="minorHAnsi" w:hAnsiTheme="minorHAnsi" w:cstheme="minorHAnsi"/>
          <w:sz w:val="22"/>
          <w:szCs w:val="22"/>
        </w:rPr>
        <w:t xml:space="preserve"> the </w:t>
      </w:r>
      <w:r w:rsidRPr="00A93CB0">
        <w:rPr>
          <w:rFonts w:asciiTheme="minorHAnsi" w:hAnsiTheme="minorHAnsi" w:cstheme="minorHAnsi"/>
          <w:sz w:val="22"/>
          <w:szCs w:val="22"/>
        </w:rPr>
        <w:t xml:space="preserve">companies </w:t>
      </w:r>
      <w:r w:rsidRPr="00A93CB0" w:rsidR="00341EDD">
        <w:rPr>
          <w:rFonts w:asciiTheme="minorHAnsi" w:hAnsiTheme="minorHAnsi" w:cstheme="minorHAnsi"/>
          <w:sz w:val="22"/>
          <w:szCs w:val="22"/>
        </w:rPr>
        <w:t>that completed consulta</w:t>
      </w:r>
      <w:r w:rsidRPr="00A93CB0" w:rsidR="000F7493">
        <w:rPr>
          <w:rFonts w:asciiTheme="minorHAnsi" w:hAnsiTheme="minorHAnsi" w:cstheme="minorHAnsi"/>
          <w:sz w:val="22"/>
          <w:szCs w:val="22"/>
        </w:rPr>
        <w:t>t</w:t>
      </w:r>
      <w:r w:rsidRPr="00A93CB0" w:rsidR="00341EDD">
        <w:rPr>
          <w:rFonts w:asciiTheme="minorHAnsi" w:hAnsiTheme="minorHAnsi" w:cstheme="minorHAnsi"/>
          <w:sz w:val="22"/>
          <w:szCs w:val="22"/>
        </w:rPr>
        <w:t>ions</w:t>
      </w:r>
      <w:r w:rsidRPr="00A93CB0">
        <w:rPr>
          <w:rFonts w:asciiTheme="minorHAnsi" w:hAnsiTheme="minorHAnsi" w:cstheme="minorHAnsi"/>
          <w:sz w:val="22"/>
          <w:szCs w:val="22"/>
        </w:rPr>
        <w:t xml:space="preserve"> are members of RIPA</w:t>
      </w:r>
      <w:r w:rsidRPr="00A93CB0" w:rsidR="000F7493">
        <w:rPr>
          <w:rFonts w:asciiTheme="minorHAnsi" w:hAnsiTheme="minorHAnsi" w:cstheme="minorHAnsi"/>
          <w:sz w:val="22"/>
          <w:szCs w:val="22"/>
        </w:rPr>
        <w:t xml:space="preserve">, </w:t>
      </w:r>
      <w:r w:rsidRPr="00A93CB0">
        <w:rPr>
          <w:rFonts w:asciiTheme="minorHAnsi" w:hAnsiTheme="minorHAnsi" w:cstheme="minorHAnsi"/>
          <w:sz w:val="22"/>
          <w:szCs w:val="22"/>
        </w:rPr>
        <w:t xml:space="preserve">except Hoover Solutions. The consultants include small and large reconditioners.  </w:t>
      </w:r>
    </w:p>
    <w:p w:rsidR="00D9733E" w:rsidRPr="00A93CB0" w:rsidP="00D9733E" w14:paraId="0392053F" w14:textId="77777777">
      <w:pPr>
        <w:pStyle w:val="BodyText"/>
        <w:rPr>
          <w:rFonts w:asciiTheme="minorHAnsi" w:hAnsiTheme="minorHAnsi" w:cstheme="minorHAnsi"/>
          <w:sz w:val="22"/>
          <w:szCs w:val="22"/>
        </w:rPr>
      </w:pPr>
    </w:p>
    <w:p w:rsidR="00D9733E" w:rsidRPr="00A93CB0" w:rsidP="00D9733E" w14:paraId="13DFFEF5" w14:textId="77777777">
      <w:pPr>
        <w:pStyle w:val="BodyText"/>
        <w:numPr>
          <w:ilvl w:val="0"/>
          <w:numId w:val="30"/>
        </w:numPr>
        <w:spacing w:after="0"/>
        <w:rPr>
          <w:rFonts w:asciiTheme="minorHAnsi" w:hAnsiTheme="minorHAnsi" w:cstheme="minorHAnsi"/>
          <w:sz w:val="22"/>
          <w:szCs w:val="22"/>
        </w:rPr>
      </w:pPr>
      <w:r w:rsidRPr="00A93CB0">
        <w:rPr>
          <w:rFonts w:asciiTheme="minorHAnsi" w:hAnsiTheme="minorHAnsi" w:cstheme="minorHAnsi"/>
          <w:sz w:val="22"/>
          <w:szCs w:val="22"/>
        </w:rPr>
        <w:t>Advance Drum Service Inc.</w:t>
      </w:r>
    </w:p>
    <w:p w:rsidR="00D9733E" w:rsidRPr="00A93CB0" w:rsidP="00D9733E" w14:paraId="1344B1E8" w14:textId="77777777">
      <w:pPr>
        <w:pStyle w:val="BodyText"/>
        <w:numPr>
          <w:ilvl w:val="0"/>
          <w:numId w:val="30"/>
        </w:numPr>
        <w:spacing w:after="0"/>
        <w:rPr>
          <w:rFonts w:asciiTheme="minorHAnsi" w:hAnsiTheme="minorHAnsi" w:cstheme="minorHAnsi"/>
          <w:sz w:val="22"/>
          <w:szCs w:val="22"/>
        </w:rPr>
      </w:pPr>
      <w:r w:rsidRPr="00A93CB0">
        <w:rPr>
          <w:rFonts w:asciiTheme="minorHAnsi" w:hAnsiTheme="minorHAnsi" w:cstheme="minorHAnsi"/>
          <w:sz w:val="22"/>
          <w:szCs w:val="22"/>
        </w:rPr>
        <w:t>Apex Drum</w:t>
      </w:r>
    </w:p>
    <w:p w:rsidR="00D9733E" w:rsidRPr="00A93CB0" w:rsidP="00D9733E" w14:paraId="4D69CDE6" w14:textId="77777777">
      <w:pPr>
        <w:pStyle w:val="BodyText"/>
        <w:numPr>
          <w:ilvl w:val="0"/>
          <w:numId w:val="30"/>
        </w:numPr>
        <w:spacing w:after="0"/>
        <w:rPr>
          <w:rFonts w:asciiTheme="minorHAnsi" w:hAnsiTheme="minorHAnsi" w:cstheme="minorHAnsi"/>
          <w:sz w:val="22"/>
          <w:szCs w:val="22"/>
        </w:rPr>
      </w:pPr>
      <w:r w:rsidRPr="00A93CB0">
        <w:rPr>
          <w:rFonts w:asciiTheme="minorHAnsi" w:hAnsiTheme="minorHAnsi" w:cstheme="minorHAnsi"/>
          <w:sz w:val="22"/>
          <w:szCs w:val="22"/>
        </w:rPr>
        <w:t>Hoover Solutions</w:t>
      </w:r>
    </w:p>
    <w:p w:rsidR="00D9733E" w:rsidRPr="00A93CB0" w:rsidP="00D9733E" w14:paraId="6F0CC85E" w14:textId="77777777">
      <w:pPr>
        <w:pStyle w:val="BodyText"/>
        <w:numPr>
          <w:ilvl w:val="0"/>
          <w:numId w:val="30"/>
        </w:numPr>
        <w:spacing w:after="0"/>
        <w:rPr>
          <w:rFonts w:asciiTheme="minorHAnsi" w:hAnsiTheme="minorHAnsi" w:cstheme="minorHAnsi"/>
          <w:sz w:val="22"/>
          <w:szCs w:val="22"/>
        </w:rPr>
      </w:pPr>
      <w:r w:rsidRPr="00A93CB0">
        <w:rPr>
          <w:rFonts w:asciiTheme="minorHAnsi" w:hAnsiTheme="minorHAnsi" w:cstheme="minorHAnsi"/>
          <w:sz w:val="22"/>
          <w:szCs w:val="22"/>
        </w:rPr>
        <w:t>Mauser Inc.</w:t>
      </w:r>
    </w:p>
    <w:p w:rsidR="00D9733E" w:rsidRPr="00A93CB0" w:rsidP="00D9733E" w14:paraId="586FB9DB" w14:textId="77777777">
      <w:pPr>
        <w:pStyle w:val="BodyText"/>
        <w:numPr>
          <w:ilvl w:val="0"/>
          <w:numId w:val="30"/>
        </w:numPr>
        <w:spacing w:after="0"/>
        <w:rPr>
          <w:rFonts w:asciiTheme="minorHAnsi" w:hAnsiTheme="minorHAnsi" w:cstheme="minorHAnsi"/>
          <w:sz w:val="22"/>
          <w:szCs w:val="22"/>
        </w:rPr>
      </w:pPr>
      <w:r w:rsidRPr="00A93CB0">
        <w:rPr>
          <w:rFonts w:asciiTheme="minorHAnsi" w:hAnsiTheme="minorHAnsi" w:cstheme="minorHAnsi"/>
          <w:sz w:val="22"/>
          <w:szCs w:val="22"/>
        </w:rPr>
        <w:t>O’Bryan Barrel Co.</w:t>
      </w:r>
    </w:p>
    <w:p w:rsidR="00D9733E" w:rsidRPr="00A93CB0" w:rsidP="00D9733E" w14:paraId="5139DC33" w14:textId="77777777">
      <w:pPr>
        <w:pStyle w:val="BodyText"/>
        <w:numPr>
          <w:ilvl w:val="0"/>
          <w:numId w:val="30"/>
        </w:numPr>
        <w:spacing w:after="0"/>
        <w:rPr>
          <w:rFonts w:asciiTheme="minorHAnsi" w:hAnsiTheme="minorHAnsi" w:cstheme="minorHAnsi"/>
          <w:sz w:val="22"/>
          <w:szCs w:val="22"/>
        </w:rPr>
      </w:pPr>
      <w:r w:rsidRPr="00A93CB0">
        <w:rPr>
          <w:rFonts w:asciiTheme="minorHAnsi" w:hAnsiTheme="minorHAnsi" w:cstheme="minorHAnsi"/>
          <w:sz w:val="22"/>
          <w:szCs w:val="22"/>
        </w:rPr>
        <w:t>RIPA</w:t>
      </w:r>
    </w:p>
    <w:p w:rsidR="00D9733E" w:rsidRPr="00A93CB0" w:rsidP="00D9733E" w14:paraId="33C181F8" w14:textId="77777777">
      <w:pPr>
        <w:pStyle w:val="BodyText"/>
        <w:spacing w:after="0"/>
        <w:rPr>
          <w:rFonts w:asciiTheme="minorHAnsi" w:hAnsiTheme="minorHAnsi" w:cstheme="minorHAnsi"/>
          <w:sz w:val="22"/>
          <w:szCs w:val="22"/>
        </w:rPr>
      </w:pPr>
    </w:p>
    <w:p w:rsidR="00D9733E" w:rsidRPr="00A93CB0" w:rsidP="00D9733E" w14:paraId="21A3E116" w14:textId="7C0BD256">
      <w:pPr>
        <w:pStyle w:val="BodyText"/>
        <w:spacing w:after="0"/>
        <w:rPr>
          <w:rFonts w:asciiTheme="minorHAnsi" w:hAnsiTheme="minorHAnsi" w:cstheme="minorHAnsi"/>
          <w:sz w:val="22"/>
          <w:szCs w:val="22"/>
        </w:rPr>
      </w:pPr>
      <w:r w:rsidRPr="00A93CB0">
        <w:rPr>
          <w:rFonts w:asciiTheme="minorHAnsi" w:hAnsiTheme="minorHAnsi" w:cstheme="minorHAnsi"/>
          <w:sz w:val="22"/>
          <w:szCs w:val="22"/>
        </w:rPr>
        <w:t xml:space="preserve">Some of the companies expressed concern with sharing financial information and questioned whether they could claim financial information as CBI. Multiple </w:t>
      </w:r>
      <w:r w:rsidRPr="00A93CB0" w:rsidR="0044301E">
        <w:rPr>
          <w:rFonts w:asciiTheme="minorHAnsi" w:hAnsiTheme="minorHAnsi" w:cstheme="minorHAnsi"/>
          <w:sz w:val="22"/>
          <w:szCs w:val="22"/>
        </w:rPr>
        <w:t xml:space="preserve">companies </w:t>
      </w:r>
      <w:r w:rsidRPr="00A93CB0">
        <w:rPr>
          <w:rFonts w:asciiTheme="minorHAnsi" w:hAnsiTheme="minorHAnsi" w:cstheme="minorHAnsi"/>
          <w:sz w:val="22"/>
          <w:szCs w:val="22"/>
        </w:rPr>
        <w:t>also requested that EPA use ranges to request the financial information and not write</w:t>
      </w:r>
      <w:r w:rsidRPr="00A93CB0" w:rsidR="0044301E">
        <w:rPr>
          <w:rFonts w:asciiTheme="minorHAnsi" w:hAnsiTheme="minorHAnsi" w:cstheme="minorHAnsi"/>
          <w:sz w:val="22"/>
          <w:szCs w:val="22"/>
        </w:rPr>
        <w:t>-</w:t>
      </w:r>
      <w:r w:rsidRPr="00A93CB0">
        <w:rPr>
          <w:rFonts w:asciiTheme="minorHAnsi" w:hAnsiTheme="minorHAnsi" w:cstheme="minorHAnsi"/>
          <w:sz w:val="22"/>
          <w:szCs w:val="22"/>
        </w:rPr>
        <w:t xml:space="preserve">in values. One of the commenters asked why the financial information was needed, to which EPA explained that it will help distinguish between different size companies while looking for different trends between smaller and larger companies. </w:t>
      </w:r>
    </w:p>
    <w:p w:rsidR="00D9733E" w:rsidRPr="00A93CB0" w:rsidP="00D9733E" w14:paraId="26FEC23D" w14:textId="77777777">
      <w:pPr>
        <w:pStyle w:val="BodyText"/>
        <w:spacing w:after="0"/>
        <w:rPr>
          <w:rFonts w:asciiTheme="minorHAnsi" w:hAnsiTheme="minorHAnsi" w:cstheme="minorHAnsi"/>
          <w:sz w:val="22"/>
          <w:szCs w:val="22"/>
        </w:rPr>
      </w:pPr>
    </w:p>
    <w:p w:rsidR="00D9733E" w:rsidRPr="00A93CB0" w:rsidP="00D9733E" w14:paraId="166E6F4F" w14:textId="2F031C17">
      <w:pPr>
        <w:pStyle w:val="BodyText"/>
        <w:spacing w:after="0"/>
        <w:rPr>
          <w:rFonts w:asciiTheme="minorHAnsi" w:hAnsiTheme="minorHAnsi" w:cstheme="minorHAnsi"/>
          <w:sz w:val="22"/>
          <w:szCs w:val="22"/>
        </w:rPr>
      </w:pPr>
      <w:r w:rsidRPr="00A93CB0">
        <w:rPr>
          <w:rFonts w:asciiTheme="minorHAnsi" w:hAnsiTheme="minorHAnsi" w:cstheme="minorHAnsi"/>
          <w:sz w:val="22"/>
          <w:szCs w:val="22"/>
        </w:rPr>
        <w:t xml:space="preserve">Some of the companies suggested adding questions about how heavies and rejected </w:t>
      </w:r>
      <w:r w:rsidRPr="00A93CB0" w:rsidR="00A90714">
        <w:rPr>
          <w:rFonts w:asciiTheme="minorHAnsi" w:hAnsiTheme="minorHAnsi" w:cstheme="minorHAnsi"/>
          <w:sz w:val="22"/>
          <w:szCs w:val="22"/>
        </w:rPr>
        <w:t xml:space="preserve">containers </w:t>
      </w:r>
      <w:r w:rsidRPr="00A93CB0">
        <w:rPr>
          <w:rFonts w:asciiTheme="minorHAnsi" w:hAnsiTheme="minorHAnsi" w:cstheme="minorHAnsi"/>
          <w:sz w:val="22"/>
          <w:szCs w:val="22"/>
        </w:rPr>
        <w:t xml:space="preserve">are handled. One company commented on the administrative burden of dealing with heavies and suggested annual reporting on the storage of barrels rejected as heavies. One company suggested </w:t>
      </w:r>
      <w:r w:rsidRPr="00A93CB0" w:rsidR="0044301E">
        <w:rPr>
          <w:rFonts w:asciiTheme="minorHAnsi" w:hAnsiTheme="minorHAnsi" w:cstheme="minorHAnsi"/>
          <w:sz w:val="22"/>
          <w:szCs w:val="22"/>
        </w:rPr>
        <w:t xml:space="preserve">adding questions </w:t>
      </w:r>
      <w:r w:rsidRPr="00A93CB0">
        <w:rPr>
          <w:rFonts w:asciiTheme="minorHAnsi" w:hAnsiTheme="minorHAnsi" w:cstheme="minorHAnsi"/>
          <w:sz w:val="22"/>
          <w:szCs w:val="22"/>
        </w:rPr>
        <w:t xml:space="preserve">about interactions with </w:t>
      </w:r>
      <w:r w:rsidRPr="00A93CB0" w:rsidR="00173A68">
        <w:rPr>
          <w:rFonts w:asciiTheme="minorHAnsi" w:hAnsiTheme="minorHAnsi" w:cstheme="minorHAnsi"/>
          <w:sz w:val="22"/>
          <w:szCs w:val="22"/>
        </w:rPr>
        <w:t>container</w:t>
      </w:r>
      <w:r w:rsidRPr="00A93CB0">
        <w:rPr>
          <w:rFonts w:asciiTheme="minorHAnsi" w:hAnsiTheme="minorHAnsi" w:cstheme="minorHAnsi"/>
          <w:sz w:val="22"/>
          <w:szCs w:val="22"/>
        </w:rPr>
        <w:t xml:space="preserve"> generators. One company suggested </w:t>
      </w:r>
      <w:r w:rsidRPr="00A93CB0" w:rsidR="00A512A2">
        <w:rPr>
          <w:rFonts w:asciiTheme="minorHAnsi" w:hAnsiTheme="minorHAnsi" w:cstheme="minorHAnsi"/>
          <w:sz w:val="22"/>
          <w:szCs w:val="22"/>
        </w:rPr>
        <w:t xml:space="preserve">adding </w:t>
      </w:r>
      <w:r w:rsidRPr="00A93CB0">
        <w:rPr>
          <w:rFonts w:asciiTheme="minorHAnsi" w:hAnsiTheme="minorHAnsi" w:cstheme="minorHAnsi"/>
          <w:sz w:val="22"/>
          <w:szCs w:val="22"/>
        </w:rPr>
        <w:t xml:space="preserve">questions about </w:t>
      </w:r>
      <w:r w:rsidRPr="00A93CB0" w:rsidR="00173A68">
        <w:rPr>
          <w:rFonts w:asciiTheme="minorHAnsi" w:hAnsiTheme="minorHAnsi" w:cstheme="minorHAnsi"/>
          <w:sz w:val="22"/>
          <w:szCs w:val="22"/>
        </w:rPr>
        <w:t>container</w:t>
      </w:r>
      <w:r w:rsidRPr="00A93CB0" w:rsidR="00A512A2">
        <w:rPr>
          <w:rFonts w:asciiTheme="minorHAnsi" w:hAnsiTheme="minorHAnsi" w:cstheme="minorHAnsi"/>
          <w:sz w:val="22"/>
          <w:szCs w:val="22"/>
        </w:rPr>
        <w:t xml:space="preserve"> </w:t>
      </w:r>
      <w:r w:rsidRPr="00A93CB0">
        <w:rPr>
          <w:rFonts w:asciiTheme="minorHAnsi" w:hAnsiTheme="minorHAnsi" w:cstheme="minorHAnsi"/>
          <w:sz w:val="22"/>
          <w:szCs w:val="22"/>
        </w:rPr>
        <w:t xml:space="preserve">traceability </w:t>
      </w:r>
      <w:r w:rsidRPr="00A93CB0" w:rsidR="00A512A2">
        <w:rPr>
          <w:rFonts w:asciiTheme="minorHAnsi" w:hAnsiTheme="minorHAnsi" w:cstheme="minorHAnsi"/>
          <w:sz w:val="22"/>
          <w:szCs w:val="22"/>
        </w:rPr>
        <w:t xml:space="preserve">for returning rejected </w:t>
      </w:r>
      <w:r w:rsidRPr="00A93CB0" w:rsidR="00173A68">
        <w:rPr>
          <w:rFonts w:asciiTheme="minorHAnsi" w:hAnsiTheme="minorHAnsi" w:cstheme="minorHAnsi"/>
          <w:sz w:val="22"/>
          <w:szCs w:val="22"/>
        </w:rPr>
        <w:t>container</w:t>
      </w:r>
      <w:r w:rsidRPr="00A93CB0" w:rsidR="00A512A2">
        <w:rPr>
          <w:rFonts w:asciiTheme="minorHAnsi" w:hAnsiTheme="minorHAnsi" w:cstheme="minorHAnsi"/>
          <w:sz w:val="22"/>
          <w:szCs w:val="22"/>
        </w:rPr>
        <w:t>s to generators</w:t>
      </w:r>
      <w:r w:rsidR="00BB64B5">
        <w:rPr>
          <w:rFonts w:asciiTheme="minorHAnsi" w:hAnsiTheme="minorHAnsi" w:cstheme="minorHAnsi"/>
          <w:sz w:val="22"/>
          <w:szCs w:val="22"/>
        </w:rPr>
        <w:t>.</w:t>
      </w:r>
    </w:p>
    <w:p w:rsidR="00D9733E" w:rsidRPr="00A93CB0" w:rsidP="00D9733E" w14:paraId="25B0F8AD" w14:textId="77777777">
      <w:pPr>
        <w:pStyle w:val="BodyText"/>
        <w:spacing w:after="0"/>
        <w:rPr>
          <w:rFonts w:asciiTheme="minorHAnsi" w:hAnsiTheme="minorHAnsi" w:cstheme="minorHAnsi"/>
          <w:sz w:val="22"/>
          <w:szCs w:val="22"/>
        </w:rPr>
      </w:pPr>
    </w:p>
    <w:p w:rsidR="00D9733E" w:rsidRPr="00A93CB0" w:rsidP="00D9733E" w14:paraId="1140C98F" w14:textId="27C62211">
      <w:pPr>
        <w:pStyle w:val="BodyText"/>
        <w:rPr>
          <w:rFonts w:asciiTheme="minorHAnsi" w:hAnsiTheme="minorHAnsi" w:cstheme="minorHAnsi"/>
          <w:sz w:val="22"/>
          <w:szCs w:val="22"/>
        </w:rPr>
      </w:pPr>
      <w:r w:rsidRPr="00A93CB0">
        <w:rPr>
          <w:rFonts w:asciiTheme="minorHAnsi" w:hAnsiTheme="minorHAnsi" w:cstheme="minorHAnsi"/>
          <w:sz w:val="22"/>
          <w:szCs w:val="22"/>
        </w:rPr>
        <w:t xml:space="preserve">The companies asked for </w:t>
      </w:r>
      <w:r w:rsidRPr="00A93CB0" w:rsidR="00A02A13">
        <w:rPr>
          <w:rFonts w:asciiTheme="minorHAnsi" w:hAnsiTheme="minorHAnsi" w:cstheme="minorHAnsi"/>
          <w:sz w:val="22"/>
          <w:szCs w:val="22"/>
        </w:rPr>
        <w:t>several</w:t>
      </w:r>
      <w:r w:rsidRPr="00A93CB0">
        <w:rPr>
          <w:rFonts w:asciiTheme="minorHAnsi" w:hAnsiTheme="minorHAnsi" w:cstheme="minorHAnsi"/>
          <w:sz w:val="22"/>
          <w:szCs w:val="22"/>
        </w:rPr>
        <w:t xml:space="preserve"> clarifications throughout the survey. Some of the companies suggested adding more definitions and clarifying some of the terms that were used. The companies also asked for clarification for some of the questions related to the permits the companies had </w:t>
      </w:r>
      <w:r w:rsidRPr="00A93CB0" w:rsidR="000A528D">
        <w:rPr>
          <w:rFonts w:asciiTheme="minorHAnsi" w:hAnsiTheme="minorHAnsi" w:cstheme="minorHAnsi"/>
          <w:sz w:val="22"/>
          <w:szCs w:val="22"/>
        </w:rPr>
        <w:t xml:space="preserve">pertaining </w:t>
      </w:r>
      <w:r w:rsidRPr="00A93CB0">
        <w:rPr>
          <w:rFonts w:asciiTheme="minorHAnsi" w:hAnsiTheme="minorHAnsi" w:cstheme="minorHAnsi"/>
          <w:sz w:val="22"/>
          <w:szCs w:val="22"/>
        </w:rPr>
        <w:t xml:space="preserve">to </w:t>
      </w:r>
      <w:r w:rsidRPr="00A93CB0" w:rsidR="00173A68">
        <w:rPr>
          <w:rFonts w:asciiTheme="minorHAnsi" w:hAnsiTheme="minorHAnsi" w:cstheme="minorHAnsi"/>
          <w:sz w:val="22"/>
          <w:szCs w:val="22"/>
        </w:rPr>
        <w:t>container</w:t>
      </w:r>
      <w:r w:rsidRPr="00A93CB0">
        <w:rPr>
          <w:rFonts w:asciiTheme="minorHAnsi" w:hAnsiTheme="minorHAnsi" w:cstheme="minorHAnsi"/>
          <w:sz w:val="22"/>
          <w:szCs w:val="22"/>
        </w:rPr>
        <w:t xml:space="preserve"> reconditioning. The companies wanted to ensure they were able to skip sections that did not apply to them</w:t>
      </w:r>
      <w:r w:rsidRPr="00A93CB0" w:rsidR="000D066A">
        <w:rPr>
          <w:rFonts w:asciiTheme="minorHAnsi" w:hAnsiTheme="minorHAnsi" w:cstheme="minorHAnsi"/>
          <w:sz w:val="22"/>
          <w:szCs w:val="22"/>
        </w:rPr>
        <w:t>,</w:t>
      </w:r>
      <w:r w:rsidRPr="00A93CB0">
        <w:rPr>
          <w:rFonts w:asciiTheme="minorHAnsi" w:hAnsiTheme="minorHAnsi" w:cstheme="minorHAnsi"/>
          <w:sz w:val="22"/>
          <w:szCs w:val="22"/>
        </w:rPr>
        <w:t xml:space="preserve"> which EPA confirmed would be possible. Two companies warned that they would not be able to get the exact number of drums and instead suggested changing this question from a write-in to a range.  </w:t>
      </w:r>
    </w:p>
    <w:p w:rsidR="00111663" w:rsidRPr="00F728B2" w:rsidP="00D9733E" w14:paraId="50889E33" w14:textId="2F553D08">
      <w:pPr>
        <w:rPr>
          <w:rFonts w:cstheme="minorHAnsi"/>
        </w:rPr>
      </w:pPr>
      <w:r w:rsidRPr="00F728B2">
        <w:rPr>
          <w:rFonts w:cstheme="minorHAnsi"/>
        </w:rPr>
        <w:t>The companies generally believed that the burden estimate was reasonable</w:t>
      </w:r>
      <w:r w:rsidRPr="00F728B2" w:rsidR="00CE1338">
        <w:rPr>
          <w:rFonts w:cstheme="minorHAnsi"/>
        </w:rPr>
        <w:t xml:space="preserve">. </w:t>
      </w:r>
      <w:r w:rsidRPr="00F728B2" w:rsidR="008B63D0">
        <w:rPr>
          <w:rFonts w:cstheme="minorHAnsi"/>
        </w:rPr>
        <w:t xml:space="preserve">Two of the larger companies asked </w:t>
      </w:r>
      <w:r w:rsidRPr="00F728B2" w:rsidR="0027210C">
        <w:rPr>
          <w:rFonts w:cstheme="minorHAnsi"/>
        </w:rPr>
        <w:t>questions about completing the survey for multiple facilities</w:t>
      </w:r>
      <w:r w:rsidRPr="00F728B2" w:rsidR="00BB3171">
        <w:rPr>
          <w:rFonts w:cstheme="minorHAnsi"/>
        </w:rPr>
        <w:t xml:space="preserve"> under the same ownership</w:t>
      </w:r>
      <w:r w:rsidRPr="00F728B2" w:rsidR="0027210C">
        <w:rPr>
          <w:rFonts w:cstheme="minorHAnsi"/>
        </w:rPr>
        <w:t xml:space="preserve">. </w:t>
      </w:r>
      <w:r w:rsidRPr="00F728B2" w:rsidR="00BB3171">
        <w:rPr>
          <w:rFonts w:cstheme="minorHAnsi"/>
        </w:rPr>
        <w:t>EPA clarified many of the questions posed during the consultations and updated the survey based on the feedback received.</w:t>
      </w:r>
    </w:p>
    <w:p w:rsidR="00A233E0" w:rsidRPr="00F728B2" w:rsidP="00854AAE" w14:paraId="2429EF75" w14:textId="77777777">
      <w:pPr>
        <w:pStyle w:val="ListParagraph"/>
        <w:numPr>
          <w:ilvl w:val="0"/>
          <w:numId w:val="25"/>
        </w:numPr>
        <w:pBdr>
          <w:bottom w:val="single" w:sz="4" w:space="1" w:color="auto"/>
        </w:pBdr>
        <w:spacing w:before="240" w:after="0"/>
        <w:rPr>
          <w:rFonts w:cstheme="minorHAnsi"/>
          <w:b/>
          <w:bCs/>
        </w:rPr>
      </w:pPr>
      <w:bookmarkStart w:id="13" w:name="_Toc156593378"/>
      <w:r w:rsidRPr="00F728B2">
        <w:rPr>
          <w:rFonts w:cstheme="minorHAnsi"/>
          <w:b/>
          <w:bCs/>
        </w:rPr>
        <w:t>PAYMENTS OR GIFTS TO RESPONDENTS</w:t>
      </w:r>
      <w:bookmarkEnd w:id="13"/>
    </w:p>
    <w:p w:rsidR="008E4DFB" w:rsidRPr="00F728B2" w:rsidP="008E4DFB" w14:paraId="4DDD513F" w14:textId="050E7563">
      <w:pPr>
        <w:pBdr>
          <w:bottom w:val="single" w:sz="4" w:space="1" w:color="auto"/>
        </w:pBdr>
        <w:spacing w:before="60"/>
        <w:rPr>
          <w:rFonts w:cstheme="minorHAnsi"/>
        </w:rPr>
      </w:pPr>
      <w:r w:rsidRPr="00F728B2">
        <w:rPr>
          <w:rFonts w:cstheme="minorHAnsi"/>
          <w:i/>
          <w:iCs/>
        </w:rPr>
        <w:t>Explain any decisions to provide payments or gifts to respondents, other than remuneration of contractors or grantees.</w:t>
      </w:r>
    </w:p>
    <w:p w:rsidR="00ED57A4" w:rsidRPr="00F728B2" w:rsidP="00854AAE" w14:paraId="21297880" w14:textId="1010588A">
      <w:pPr>
        <w:rPr>
          <w:rFonts w:cstheme="minorHAnsi"/>
        </w:rPr>
      </w:pPr>
      <w:r w:rsidRPr="00F728B2">
        <w:rPr>
          <w:rFonts w:cstheme="minorHAnsi"/>
        </w:rPr>
        <w:t>No payments or gifts are provided to respondents.</w:t>
      </w:r>
    </w:p>
    <w:p w:rsidR="4C04BBF2" w:rsidRPr="00F728B2" w:rsidP="4BDBF0A0" w14:paraId="4F007F85" w14:textId="77777777">
      <w:pPr>
        <w:pStyle w:val="ListParagraph"/>
        <w:numPr>
          <w:ilvl w:val="0"/>
          <w:numId w:val="25"/>
        </w:numPr>
        <w:pBdr>
          <w:bottom w:val="single" w:sz="4" w:space="1" w:color="auto"/>
        </w:pBdr>
        <w:spacing w:before="240" w:after="0"/>
        <w:rPr>
          <w:rFonts w:cstheme="minorHAnsi"/>
          <w:b/>
          <w:bCs/>
        </w:rPr>
      </w:pPr>
      <w:r w:rsidRPr="00F728B2">
        <w:rPr>
          <w:rFonts w:cstheme="minorHAnsi"/>
          <w:b/>
          <w:bCs/>
        </w:rPr>
        <w:t>ASSURANCE OF CONFIDENTIALITY</w:t>
      </w:r>
    </w:p>
    <w:p w:rsidR="008C7B5D" w:rsidRPr="00F728B2" w:rsidP="008C7B5D" w14:paraId="39A64E6D" w14:textId="64832A3D">
      <w:pPr>
        <w:pBdr>
          <w:bottom w:val="single" w:sz="4" w:space="1" w:color="auto"/>
        </w:pBdr>
        <w:spacing w:before="60"/>
        <w:rPr>
          <w:rFonts w:cstheme="minorHAnsi"/>
          <w:b/>
          <w:bCs/>
        </w:rPr>
      </w:pPr>
      <w:r w:rsidRPr="00F728B2">
        <w:rPr>
          <w:rFonts w:cstheme="minorHAnsi"/>
          <w:i/>
          <w:iCs/>
        </w:rPr>
        <w:t xml:space="preserve">Describe any assurance of confidentiality provided to respondents and the basis for the assurance in statute, regulation, or Agency policy. If the collection requires a </w:t>
      </w:r>
      <w:r w:rsidRPr="00F728B2">
        <w:rPr>
          <w:rFonts w:cstheme="minorHAnsi"/>
          <w:i/>
          <w:iCs/>
        </w:rPr>
        <w:t>systems of records notice (SORN)</w:t>
      </w:r>
      <w:r w:rsidRPr="00F728B2">
        <w:rPr>
          <w:rFonts w:cstheme="minorHAnsi"/>
          <w:i/>
          <w:iCs/>
        </w:rPr>
        <w:t xml:space="preserve"> or privacy impact assessment (PIA), those should be cited and described here.</w:t>
      </w:r>
    </w:p>
    <w:p w:rsidR="009F1E00" w:rsidRPr="00F728B2" w:rsidP="00854AAE" w14:paraId="7B228012" w14:textId="56324AAC">
      <w:pPr>
        <w:pBdr>
          <w:top w:val="single" w:sz="6" w:space="0" w:color="FFFFFF"/>
          <w:left w:val="single" w:sz="6" w:space="0" w:color="FFFFFF"/>
          <w:bottom w:val="single" w:sz="6" w:space="0" w:color="FFFFFF"/>
          <w:right w:val="single" w:sz="6" w:space="0" w:color="FFFFFF"/>
        </w:pBdr>
        <w:rPr>
          <w:rFonts w:cstheme="minorHAnsi"/>
          <w:color w:val="000000"/>
        </w:rPr>
      </w:pPr>
      <w:r w:rsidRPr="00F728B2">
        <w:rPr>
          <w:rFonts w:cstheme="minorHAnsi"/>
        </w:rPr>
        <w:t>All information submitted to the Agency in response to the ICR that is claimed as confidential will be managed in accordance with applicable laws and EPA’s regulations governing treatment of confidential business information at 40 CFR Part 2, Subpart B. Any information determined to constitute a trade secret will be protected under 18 U.S.C. § 1905.</w:t>
      </w:r>
    </w:p>
    <w:p w:rsidR="00A233E0" w:rsidRPr="00F728B2" w:rsidP="00854AAE" w14:paraId="75981C7C" w14:textId="77777777">
      <w:pPr>
        <w:pStyle w:val="ListParagraph"/>
        <w:numPr>
          <w:ilvl w:val="0"/>
          <w:numId w:val="25"/>
        </w:numPr>
        <w:pBdr>
          <w:bottom w:val="single" w:sz="4" w:space="1" w:color="auto"/>
        </w:pBdr>
        <w:spacing w:before="240" w:after="0"/>
        <w:rPr>
          <w:rFonts w:cstheme="minorHAnsi"/>
          <w:b/>
          <w:bCs/>
        </w:rPr>
      </w:pPr>
      <w:bookmarkStart w:id="14" w:name="_Toc156593380"/>
      <w:r w:rsidRPr="00F728B2">
        <w:rPr>
          <w:rFonts w:cstheme="minorHAnsi"/>
          <w:b/>
          <w:bCs/>
        </w:rPr>
        <w:t>JUSTIFICATION FOR SENSITIVE QUESTIONS</w:t>
      </w:r>
      <w:bookmarkEnd w:id="14"/>
    </w:p>
    <w:p w:rsidR="0020265E" w:rsidRPr="00F728B2" w:rsidP="0020265E" w14:paraId="28B45277" w14:textId="193E3640">
      <w:pPr>
        <w:pBdr>
          <w:bottom w:val="single" w:sz="4" w:space="1" w:color="auto"/>
        </w:pBdr>
        <w:spacing w:before="60"/>
        <w:rPr>
          <w:rFonts w:cstheme="minorHAnsi"/>
        </w:rPr>
      </w:pPr>
      <w:r w:rsidRPr="00F728B2">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233E0" w:rsidRPr="00F728B2" w:rsidP="00396CB7" w14:paraId="6D751E0B" w14:textId="725E026E">
      <w:pPr>
        <w:pStyle w:val="ListParagraph"/>
        <w:numPr>
          <w:ilvl w:val="0"/>
          <w:numId w:val="25"/>
        </w:numPr>
        <w:pBdr>
          <w:bottom w:val="single" w:sz="4" w:space="1" w:color="auto"/>
        </w:pBdr>
        <w:spacing w:before="240" w:after="0"/>
        <w:rPr>
          <w:rFonts w:cstheme="minorHAnsi"/>
          <w:i/>
          <w:iCs/>
        </w:rPr>
      </w:pPr>
      <w:r w:rsidRPr="00B858E4">
        <w:rPr>
          <w:rFonts w:cstheme="minorHAnsi"/>
        </w:rPr>
        <w:t xml:space="preserve">The information collection activities covered by this ICR will not include questions about sensitive issues (e.g., religious beliefs, sexual </w:t>
      </w:r>
      <w:r w:rsidRPr="00B858E4">
        <w:rPr>
          <w:rFonts w:cstheme="minorHAnsi"/>
        </w:rPr>
        <w:t>attitudes</w:t>
      </w:r>
      <w:r w:rsidRPr="00B858E4">
        <w:rPr>
          <w:rFonts w:cstheme="minorHAnsi"/>
        </w:rPr>
        <w:t xml:space="preserve"> and behavior). </w:t>
      </w:r>
      <w:bookmarkStart w:id="15" w:name="_Toc156593381"/>
      <w:bookmarkStart w:id="16" w:name="_Hlk162363270"/>
      <w:r w:rsidRPr="00F728B2" w:rsidR="00331168">
        <w:rPr>
          <w:rFonts w:cstheme="minorHAnsi"/>
          <w:b/>
          <w:bCs/>
        </w:rPr>
        <w:t>RESPONDENT BURDEN HOURS</w:t>
      </w:r>
      <w:r w:rsidRPr="00F728B2" w:rsidR="00DB799B">
        <w:rPr>
          <w:rFonts w:cstheme="minorHAnsi"/>
          <w:b/>
          <w:bCs/>
        </w:rPr>
        <w:t xml:space="preserve"> &amp; LABOR COSTS</w:t>
      </w:r>
      <w:bookmarkStart w:id="17" w:name="_Toc156593382"/>
      <w:bookmarkEnd w:id="15"/>
    </w:p>
    <w:p w:rsidR="00F26EAC" w:rsidRPr="00F728B2" w:rsidP="009A175C" w14:paraId="2CE13EDE" w14:textId="4423EB84">
      <w:pPr>
        <w:spacing w:after="0" w:line="240" w:lineRule="auto"/>
        <w:rPr>
          <w:rFonts w:cstheme="minorHAnsi"/>
          <w:i/>
          <w:iCs/>
        </w:rPr>
      </w:pPr>
      <w:r w:rsidRPr="00F728B2">
        <w:rPr>
          <w:rFonts w:cstheme="minorHAnsi"/>
          <w:i/>
          <w:iCs/>
        </w:rPr>
        <w:t>Provide estimates of the hour burden of the collection of information. The statement should:</w:t>
      </w:r>
    </w:p>
    <w:p w:rsidR="00F26EAC" w:rsidRPr="00F728B2" w:rsidP="00F26EAC" w14:paraId="5835987F" w14:textId="77777777">
      <w:pPr>
        <w:pStyle w:val="ListParagraph"/>
        <w:numPr>
          <w:ilvl w:val="0"/>
          <w:numId w:val="14"/>
        </w:numPr>
        <w:ind w:left="446"/>
        <w:outlineLvl w:val="9"/>
        <w:rPr>
          <w:rFonts w:cstheme="minorHAnsi"/>
          <w:i/>
          <w:iCs/>
        </w:rPr>
      </w:pPr>
      <w:r w:rsidRPr="00F728B2">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F26EAC" w:rsidRPr="00F728B2" w:rsidP="00F26EAC" w14:paraId="1B2835C7" w14:textId="77777777">
      <w:pPr>
        <w:pStyle w:val="ListParagraph"/>
        <w:numPr>
          <w:ilvl w:val="0"/>
          <w:numId w:val="14"/>
        </w:numPr>
        <w:ind w:left="450"/>
        <w:outlineLvl w:val="9"/>
        <w:rPr>
          <w:rFonts w:cstheme="minorHAnsi"/>
          <w:i/>
          <w:iCs/>
        </w:rPr>
      </w:pPr>
      <w:r w:rsidRPr="00F728B2">
        <w:rPr>
          <w:rFonts w:cstheme="minorHAnsi"/>
          <w:i/>
          <w:iCs/>
        </w:rPr>
        <w:t>If this request for approval covers more than one form, provide separate hour burden estimates for each form and the aggregate the hour burdens.</w:t>
      </w:r>
    </w:p>
    <w:p w:rsidR="00F26EAC" w:rsidRPr="00F728B2" w:rsidP="00F26EAC" w14:paraId="4F3A5571" w14:textId="7CA041E2">
      <w:pPr>
        <w:pStyle w:val="ListParagraph"/>
        <w:numPr>
          <w:ilvl w:val="0"/>
          <w:numId w:val="14"/>
        </w:numPr>
        <w:pBdr>
          <w:bottom w:val="single" w:sz="4" w:space="1" w:color="auto"/>
        </w:pBdr>
        <w:ind w:left="446"/>
        <w:outlineLvl w:val="9"/>
        <w:rPr>
          <w:rFonts w:cstheme="minorHAnsi"/>
          <w:i/>
          <w:iCs/>
        </w:rPr>
      </w:pPr>
      <w:r w:rsidRPr="00F728B2">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bookmarkEnd w:id="16"/>
    <w:p w:rsidR="00FC4D34" w:rsidRPr="00F728B2" w:rsidP="00FC4D34" w14:paraId="04427FD6" w14:textId="2167D1F1">
      <w:pPr>
        <w:spacing w:before="120" w:after="0"/>
        <w:rPr>
          <w:rFonts w:cstheme="minorHAnsi"/>
          <w:b/>
          <w:bCs/>
        </w:rPr>
      </w:pPr>
      <w:r w:rsidRPr="00F728B2">
        <w:rPr>
          <w:rFonts w:cstheme="minorHAnsi"/>
          <w:b/>
          <w:bCs/>
        </w:rPr>
        <w:t>Number of Respondents: 216</w:t>
      </w:r>
    </w:p>
    <w:p w:rsidR="00FC4D34" w:rsidRPr="00F728B2" w:rsidP="00FC4D34" w14:paraId="40FD7B90" w14:textId="72C71812">
      <w:pPr>
        <w:spacing w:before="120" w:after="0"/>
        <w:rPr>
          <w:rFonts w:cstheme="minorHAnsi"/>
          <w:b/>
          <w:bCs/>
        </w:rPr>
      </w:pPr>
      <w:r w:rsidRPr="00F728B2">
        <w:rPr>
          <w:rFonts w:cstheme="minorHAnsi"/>
          <w:b/>
          <w:bCs/>
        </w:rPr>
        <w:t>Total Responses Burden Estimate: $</w:t>
      </w:r>
      <w:r w:rsidRPr="00F728B2" w:rsidR="00F73255">
        <w:rPr>
          <w:rFonts w:cstheme="minorHAnsi"/>
          <w:b/>
          <w:bCs/>
        </w:rPr>
        <w:t>40</w:t>
      </w:r>
      <w:r w:rsidR="00524652">
        <w:rPr>
          <w:rFonts w:cstheme="minorHAnsi"/>
          <w:b/>
          <w:bCs/>
        </w:rPr>
        <w:t>8</w:t>
      </w:r>
      <w:r w:rsidRPr="00F728B2" w:rsidR="005904FF">
        <w:rPr>
          <w:rFonts w:cstheme="minorHAnsi"/>
          <w:b/>
          <w:bCs/>
        </w:rPr>
        <w:t>,</w:t>
      </w:r>
      <w:r w:rsidRPr="00F728B2" w:rsidR="005734C6">
        <w:rPr>
          <w:rFonts w:cstheme="minorHAnsi"/>
          <w:b/>
          <w:bCs/>
        </w:rPr>
        <w:t>0</w:t>
      </w:r>
      <w:r w:rsidRPr="00F728B2" w:rsidR="005904FF">
        <w:rPr>
          <w:rFonts w:cstheme="minorHAnsi"/>
          <w:b/>
          <w:bCs/>
        </w:rPr>
        <w:t>0</w:t>
      </w:r>
      <w:r w:rsidRPr="00F728B2" w:rsidR="00385C97">
        <w:rPr>
          <w:rFonts w:cstheme="minorHAnsi"/>
          <w:b/>
          <w:bCs/>
        </w:rPr>
        <w:t>0</w:t>
      </w:r>
      <w:r w:rsidRPr="00F728B2" w:rsidR="003A4FF1">
        <w:rPr>
          <w:rFonts w:cstheme="minorHAnsi"/>
          <w:b/>
          <w:bCs/>
        </w:rPr>
        <w:t xml:space="preserve"> </w:t>
      </w:r>
      <w:r w:rsidRPr="00F728B2">
        <w:rPr>
          <w:rFonts w:cstheme="minorHAnsi"/>
          <w:b/>
          <w:bCs/>
        </w:rPr>
        <w:t>($1,</w:t>
      </w:r>
      <w:r w:rsidRPr="00F728B2" w:rsidR="00303970">
        <w:rPr>
          <w:rFonts w:cstheme="minorHAnsi"/>
          <w:b/>
          <w:bCs/>
        </w:rPr>
        <w:t>8</w:t>
      </w:r>
      <w:r w:rsidR="00524652">
        <w:rPr>
          <w:rFonts w:cstheme="minorHAnsi"/>
          <w:b/>
          <w:bCs/>
        </w:rPr>
        <w:t>9</w:t>
      </w:r>
      <w:r w:rsidRPr="00F728B2" w:rsidR="00303970">
        <w:rPr>
          <w:rFonts w:cstheme="minorHAnsi"/>
          <w:b/>
          <w:bCs/>
        </w:rPr>
        <w:t>0</w:t>
      </w:r>
      <w:r w:rsidRPr="00F728B2">
        <w:rPr>
          <w:rFonts w:cstheme="minorHAnsi"/>
          <w:b/>
          <w:bCs/>
        </w:rPr>
        <w:t xml:space="preserve"> per respondent)</w:t>
      </w:r>
    </w:p>
    <w:p w:rsidR="00FC4D34" w:rsidRPr="00F728B2" w:rsidP="00FC4D34" w14:paraId="3BEFA899" w14:textId="77D5B94E">
      <w:pPr>
        <w:spacing w:before="120" w:after="0"/>
        <w:rPr>
          <w:rFonts w:cstheme="minorHAnsi"/>
          <w:b/>
          <w:bCs/>
        </w:rPr>
      </w:pPr>
      <w:r w:rsidRPr="00F728B2">
        <w:rPr>
          <w:rFonts w:cstheme="minorHAnsi"/>
          <w:b/>
          <w:bCs/>
        </w:rPr>
        <w:t xml:space="preserve">Total Hour Burden Estimate: </w:t>
      </w:r>
      <w:r w:rsidR="00524652">
        <w:rPr>
          <w:rFonts w:cstheme="minorHAnsi"/>
          <w:b/>
          <w:bCs/>
        </w:rPr>
        <w:t>4,000</w:t>
      </w:r>
      <w:r w:rsidRPr="00F728B2" w:rsidR="00444404">
        <w:rPr>
          <w:rFonts w:cstheme="minorHAnsi"/>
          <w:b/>
          <w:bCs/>
        </w:rPr>
        <w:t xml:space="preserve"> </w:t>
      </w:r>
      <w:r w:rsidRPr="00F728B2">
        <w:rPr>
          <w:rFonts w:cstheme="minorHAnsi"/>
          <w:b/>
          <w:bCs/>
        </w:rPr>
        <w:t xml:space="preserve">hours (average of </w:t>
      </w:r>
      <w:r w:rsidRPr="00F728B2" w:rsidR="006644F4">
        <w:rPr>
          <w:rFonts w:cstheme="minorHAnsi"/>
          <w:b/>
          <w:bCs/>
        </w:rPr>
        <w:t>1</w:t>
      </w:r>
      <w:r w:rsidR="00524652">
        <w:rPr>
          <w:rFonts w:cstheme="minorHAnsi"/>
          <w:b/>
          <w:bCs/>
        </w:rPr>
        <w:t>9</w:t>
      </w:r>
      <w:r w:rsidRPr="00F728B2">
        <w:rPr>
          <w:rFonts w:cstheme="minorHAnsi"/>
          <w:b/>
          <w:bCs/>
        </w:rPr>
        <w:t xml:space="preserve"> hours per respondent)</w:t>
      </w:r>
    </w:p>
    <w:p w:rsidR="001172FE" w:rsidRPr="00F728B2" w:rsidP="00854AAE" w14:paraId="410E7DF6" w14:textId="016FDFF7">
      <w:pPr>
        <w:spacing w:before="120" w:after="0"/>
        <w:rPr>
          <w:rFonts w:cstheme="minorHAnsi"/>
          <w:b/>
          <w:bCs/>
        </w:rPr>
      </w:pPr>
      <w:r w:rsidRPr="00F728B2">
        <w:rPr>
          <w:rFonts w:cstheme="minorHAnsi"/>
          <w:b/>
          <w:bCs/>
        </w:rPr>
        <w:t xml:space="preserve">12a. </w:t>
      </w:r>
      <w:r w:rsidRPr="00F728B2" w:rsidR="00557E8F">
        <w:rPr>
          <w:rFonts w:cstheme="minorHAnsi"/>
          <w:b/>
          <w:bCs/>
        </w:rPr>
        <w:t>Respondents/NAICS Codes</w:t>
      </w:r>
      <w:bookmarkStart w:id="18" w:name="_Toc156593383"/>
      <w:bookmarkEnd w:id="17"/>
    </w:p>
    <w:p w:rsidR="00FC4D34" w:rsidRPr="00A93CB0" w:rsidP="00FC4D34" w14:paraId="3A7866F0" w14:textId="5382BEEE">
      <w:pPr>
        <w:pStyle w:val="BodyText"/>
        <w:rPr>
          <w:rFonts w:asciiTheme="minorHAnsi" w:eastAsiaTheme="minorEastAsia" w:hAnsiTheme="minorHAnsi" w:cstheme="minorHAnsi"/>
          <w:sz w:val="22"/>
          <w:szCs w:val="22"/>
        </w:rPr>
      </w:pPr>
      <w:r w:rsidRPr="00A93CB0">
        <w:rPr>
          <w:rFonts w:asciiTheme="minorHAnsi" w:eastAsiaTheme="minorEastAsia" w:hAnsiTheme="minorHAnsi" w:cstheme="minorHAnsi"/>
          <w:sz w:val="22"/>
          <w:szCs w:val="22"/>
        </w:rPr>
        <w:t>To develop the burden estimates, the EPA estimated the number of hours required to complete all parts of the questionnaire, including reviewing instructions, gathering data, entering the information requested, reviewing responses, and submitting the questionnaire. The EPA has differentiated the hours that will be spent by distinct types of facilities by assuming 50% of facilities include a drum furnace</w:t>
      </w:r>
      <w:r w:rsidR="00524652">
        <w:rPr>
          <w:rFonts w:asciiTheme="minorHAnsi" w:eastAsiaTheme="minorEastAsia" w:hAnsiTheme="minorHAnsi" w:cstheme="minorHAnsi"/>
          <w:sz w:val="22"/>
          <w:szCs w:val="22"/>
        </w:rPr>
        <w:t>,</w:t>
      </w:r>
      <w:r w:rsidRPr="00A93CB0">
        <w:rPr>
          <w:rFonts w:asciiTheme="minorHAnsi" w:eastAsiaTheme="minorEastAsia" w:hAnsiTheme="minorHAnsi" w:cstheme="minorHAnsi"/>
          <w:sz w:val="22"/>
          <w:szCs w:val="22"/>
        </w:rPr>
        <w:t xml:space="preserve"> 50% have on-site water treatment</w:t>
      </w:r>
      <w:r w:rsidR="00524652">
        <w:rPr>
          <w:rFonts w:asciiTheme="minorHAnsi" w:eastAsiaTheme="minorEastAsia" w:hAnsiTheme="minorHAnsi" w:cstheme="minorHAnsi"/>
          <w:sz w:val="22"/>
          <w:szCs w:val="22"/>
        </w:rPr>
        <w:t>, and 50% of the facilities generate hazardous waste due to reconditioning activities</w:t>
      </w:r>
      <w:r w:rsidRPr="00A93CB0">
        <w:rPr>
          <w:rFonts w:asciiTheme="minorHAnsi" w:eastAsiaTheme="minorEastAsia" w:hAnsiTheme="minorHAnsi" w:cstheme="minorHAnsi"/>
          <w:sz w:val="22"/>
          <w:szCs w:val="22"/>
        </w:rPr>
        <w:t xml:space="preserve">. These assumptions adjust the burden for 108 respondents by removing </w:t>
      </w:r>
      <w:r w:rsidR="00524652">
        <w:rPr>
          <w:rFonts w:asciiTheme="minorHAnsi" w:eastAsiaTheme="minorEastAsia" w:hAnsiTheme="minorHAnsi" w:cstheme="minorHAnsi"/>
          <w:sz w:val="22"/>
          <w:szCs w:val="22"/>
        </w:rPr>
        <w:t>four</w:t>
      </w:r>
      <w:r w:rsidRPr="00A93CB0">
        <w:rPr>
          <w:rFonts w:asciiTheme="minorHAnsi" w:eastAsiaTheme="minorEastAsia" w:hAnsiTheme="minorHAnsi" w:cstheme="minorHAnsi"/>
          <w:sz w:val="22"/>
          <w:szCs w:val="22"/>
        </w:rPr>
        <w:t xml:space="preserve"> questions referencing drum furnaces</w:t>
      </w:r>
      <w:r w:rsidR="00524652">
        <w:rPr>
          <w:rFonts w:asciiTheme="minorHAnsi" w:eastAsiaTheme="minorEastAsia" w:hAnsiTheme="minorHAnsi" w:cstheme="minorHAnsi"/>
          <w:sz w:val="22"/>
          <w:szCs w:val="22"/>
        </w:rPr>
        <w:t>,</w:t>
      </w:r>
      <w:r w:rsidRPr="00A93CB0">
        <w:rPr>
          <w:rFonts w:asciiTheme="minorHAnsi" w:eastAsiaTheme="minorEastAsia" w:hAnsiTheme="minorHAnsi" w:cstheme="minorHAnsi"/>
          <w:sz w:val="22"/>
          <w:szCs w:val="22"/>
        </w:rPr>
        <w:t xml:space="preserve"> </w:t>
      </w:r>
      <w:r w:rsidR="005D1472">
        <w:rPr>
          <w:rFonts w:asciiTheme="minorHAnsi" w:eastAsiaTheme="minorEastAsia" w:hAnsiTheme="minorHAnsi" w:cstheme="minorHAnsi"/>
          <w:sz w:val="22"/>
          <w:szCs w:val="22"/>
        </w:rPr>
        <w:t>two</w:t>
      </w:r>
      <w:r w:rsidRPr="00A93CB0">
        <w:rPr>
          <w:rFonts w:asciiTheme="minorHAnsi" w:eastAsiaTheme="minorEastAsia" w:hAnsiTheme="minorHAnsi" w:cstheme="minorHAnsi"/>
          <w:sz w:val="22"/>
          <w:szCs w:val="22"/>
        </w:rPr>
        <w:t xml:space="preserve"> question</w:t>
      </w:r>
      <w:r w:rsidR="005D1472">
        <w:rPr>
          <w:rFonts w:asciiTheme="minorHAnsi" w:eastAsiaTheme="minorEastAsia" w:hAnsiTheme="minorHAnsi" w:cstheme="minorHAnsi"/>
          <w:sz w:val="22"/>
          <w:szCs w:val="22"/>
        </w:rPr>
        <w:t>s</w:t>
      </w:r>
      <w:r w:rsidRPr="00A93CB0">
        <w:rPr>
          <w:rFonts w:asciiTheme="minorHAnsi" w:eastAsiaTheme="minorEastAsia" w:hAnsiTheme="minorHAnsi" w:cstheme="minorHAnsi"/>
          <w:sz w:val="22"/>
          <w:szCs w:val="22"/>
        </w:rPr>
        <w:t xml:space="preserve"> referencing on-site water treatment</w:t>
      </w:r>
      <w:r w:rsidR="00524652">
        <w:rPr>
          <w:rFonts w:asciiTheme="minorHAnsi" w:eastAsiaTheme="minorEastAsia" w:hAnsiTheme="minorHAnsi" w:cstheme="minorHAnsi"/>
          <w:sz w:val="22"/>
          <w:szCs w:val="22"/>
        </w:rPr>
        <w:t>, and one question referencing hazardous waste generation</w:t>
      </w:r>
      <w:r w:rsidRPr="00A93CB0">
        <w:rPr>
          <w:rFonts w:asciiTheme="minorHAnsi" w:eastAsiaTheme="minorEastAsia" w:hAnsiTheme="minorHAnsi" w:cstheme="minorHAnsi"/>
          <w:sz w:val="22"/>
          <w:szCs w:val="22"/>
        </w:rPr>
        <w:t xml:space="preserve">. </w:t>
      </w:r>
      <w:r w:rsidRPr="00524652" w:rsidR="00524652">
        <w:rPr>
          <w:rFonts w:asciiTheme="minorHAnsi" w:eastAsiaTheme="minorEastAsia" w:hAnsiTheme="minorHAnsi" w:cstheme="minorHAnsi"/>
          <w:sz w:val="22"/>
          <w:szCs w:val="22"/>
        </w:rPr>
        <w:t xml:space="preserve">Some of these questions follow screening questions that explicitly state when a respondent can skip one or more questions. Other questions require a negative or not applicable answer, but do not require the completion of the supporting tables which will be filled out by facilities that include the activities referenced by the question. </w:t>
      </w:r>
      <w:r w:rsidRPr="00A93CB0">
        <w:rPr>
          <w:rFonts w:asciiTheme="minorHAnsi" w:eastAsiaTheme="minorEastAsia" w:hAnsiTheme="minorHAnsi" w:cstheme="minorHAnsi"/>
          <w:sz w:val="22"/>
          <w:szCs w:val="22"/>
        </w:rPr>
        <w:t xml:space="preserve">The burden estimate otherwise assumes that all facilities will fill out the remaining questions. </w:t>
      </w:r>
      <w:r w:rsidRPr="00A93CB0" w:rsidR="006150F2">
        <w:rPr>
          <w:rFonts w:asciiTheme="minorHAnsi" w:eastAsiaTheme="minorEastAsia" w:hAnsiTheme="minorHAnsi" w:cstheme="minorHAnsi"/>
          <w:sz w:val="22"/>
          <w:szCs w:val="22"/>
        </w:rPr>
        <w:t xml:space="preserve">EPA has included hours for engineering staff to support collecting data and entering details related to production as well as finance specialists to support details related to financial information requested in the questionnaire. </w:t>
      </w:r>
      <w:r w:rsidRPr="00A93CB0">
        <w:rPr>
          <w:rFonts w:asciiTheme="minorHAnsi" w:eastAsiaTheme="minorEastAsia" w:hAnsiTheme="minorHAnsi" w:cstheme="minorHAnsi"/>
          <w:sz w:val="22"/>
          <w:szCs w:val="22"/>
        </w:rPr>
        <w:t xml:space="preserve">This burden estimate </w:t>
      </w:r>
      <w:r w:rsidRPr="00A93CB0">
        <w:rPr>
          <w:rFonts w:asciiTheme="minorHAnsi" w:eastAsiaTheme="minorEastAsia" w:hAnsiTheme="minorHAnsi" w:cstheme="minorHAnsi"/>
          <w:sz w:val="22"/>
          <w:szCs w:val="22"/>
        </w:rPr>
        <w:t xml:space="preserve">represents a conservative estimate since the EPA does not expect a full 50% of facilities to have to fill out the entire questionnaire. However, how many facilities will not have to fill out the entire questionnaire is unknown. </w:t>
      </w:r>
    </w:p>
    <w:p w:rsidR="00C65050" w:rsidRPr="00A93CB0" w:rsidP="00C65050" w14:paraId="19E89806" w14:textId="77777777">
      <w:pPr>
        <w:pStyle w:val="BodyText"/>
        <w:rPr>
          <w:rFonts w:eastAsia="Calibri" w:asciiTheme="minorHAnsi" w:hAnsiTheme="minorHAnsi" w:cstheme="minorHAnsi"/>
          <w:sz w:val="22"/>
          <w:szCs w:val="22"/>
        </w:rPr>
      </w:pPr>
      <w:r w:rsidRPr="00A93CB0">
        <w:rPr>
          <w:rFonts w:eastAsia="Calibri" w:asciiTheme="minorHAnsi" w:hAnsiTheme="minorHAnsi" w:cstheme="minorHAnsi"/>
          <w:sz w:val="22"/>
          <w:szCs w:val="22"/>
        </w:rPr>
        <w:t>The EPA obtained mean labor rates from the May 2022, US Department of Labor, Bureau of Labor Statistics website for National Industry-Specific Occupational Employment and Wage Estimates for NAICS code 562220 -Waste Treatment and Disposal. To account for additional costs to the employer for benefits and overhead the EPA applied a 50% increase for Fringe Benefit loading and a 40% increase for Overhead and Profit rate. The direct labor cost to respondents to complete the questionnaire equals the time required to read and understand all instructions, gather relevant information and data, transfer it to the questionnaire response, review responses, and certify and submit the completed questionnaire. To estimate the time required for each question the following hierarchy was used:</w:t>
      </w:r>
    </w:p>
    <w:p w:rsidR="00C65050" w:rsidRPr="00F728B2" w:rsidP="00C65050" w14:paraId="0B1CEC42" w14:textId="3CADD40B">
      <w:pPr>
        <w:pStyle w:val="ListBullet"/>
        <w:rPr>
          <w:rFonts w:eastAsia="Calibri"/>
          <w:sz w:val="22"/>
          <w:szCs w:val="22"/>
        </w:rPr>
      </w:pPr>
      <w:r w:rsidRPr="00F728B2">
        <w:rPr>
          <w:rFonts w:eastAsia="Calibri"/>
          <w:sz w:val="22"/>
          <w:szCs w:val="22"/>
        </w:rPr>
        <w:t xml:space="preserve">Every simple yes/no question and short question with readily available answers </w:t>
      </w:r>
      <w:r w:rsidRPr="00F728B2" w:rsidR="007D3BC2">
        <w:rPr>
          <w:rFonts w:eastAsia="Calibri"/>
          <w:sz w:val="22"/>
          <w:szCs w:val="22"/>
        </w:rPr>
        <w:t>takes</w:t>
      </w:r>
      <w:r w:rsidRPr="00F728B2">
        <w:rPr>
          <w:rFonts w:eastAsia="Calibri"/>
          <w:sz w:val="22"/>
          <w:szCs w:val="22"/>
        </w:rPr>
        <w:t xml:space="preserve"> a minimum of 5 minutes.</w:t>
      </w:r>
    </w:p>
    <w:p w:rsidR="00C65050" w:rsidRPr="00F728B2" w:rsidP="00C65050" w14:paraId="6FA05DCA" w14:textId="77777777">
      <w:pPr>
        <w:pStyle w:val="ListBullet"/>
        <w:rPr>
          <w:rFonts w:eastAsia="Calibri"/>
          <w:sz w:val="22"/>
          <w:szCs w:val="22"/>
        </w:rPr>
      </w:pPr>
      <w:r w:rsidRPr="00F728B2">
        <w:rPr>
          <w:rFonts w:eastAsia="Calibri"/>
          <w:sz w:val="22"/>
          <w:szCs w:val="22"/>
        </w:rPr>
        <w:t>A question requires 10 minutes if it involves readily available information but requires a description or similar textual response.</w:t>
      </w:r>
    </w:p>
    <w:p w:rsidR="00C65050" w:rsidRPr="00F728B2" w:rsidP="00C65050" w14:paraId="763B08F6" w14:textId="77777777">
      <w:pPr>
        <w:pStyle w:val="ListBullet"/>
        <w:rPr>
          <w:rFonts w:eastAsia="Calibri"/>
          <w:sz w:val="22"/>
          <w:szCs w:val="22"/>
        </w:rPr>
      </w:pPr>
      <w:r w:rsidRPr="00F728B2">
        <w:rPr>
          <w:rFonts w:eastAsia="Calibri"/>
          <w:sz w:val="22"/>
          <w:szCs w:val="22"/>
        </w:rPr>
        <w:t>A question requires 20 or 30 minutes if the respondent may need to search for information depending on the complexity and magnitude of the required information.</w:t>
      </w:r>
    </w:p>
    <w:p w:rsidR="00C65050" w:rsidRPr="00F728B2" w:rsidP="00C65050" w14:paraId="51D3CBDD" w14:textId="77777777">
      <w:pPr>
        <w:pStyle w:val="ListBullet"/>
        <w:rPr>
          <w:sz w:val="22"/>
          <w:szCs w:val="22"/>
        </w:rPr>
      </w:pPr>
      <w:r w:rsidRPr="00F728B2">
        <w:rPr>
          <w:sz w:val="22"/>
          <w:szCs w:val="22"/>
        </w:rPr>
        <w:t>A question requires 30 minutes to 1 hour if the respondent needs to search for and analyze information depending on the complexity and magnitude of the required information.</w:t>
      </w:r>
    </w:p>
    <w:p w:rsidR="00C65050" w:rsidRPr="00A93CB0" w:rsidP="00FC4D34" w14:paraId="67ED692B" w14:textId="05A80C61">
      <w:pPr>
        <w:pStyle w:val="BodyText"/>
        <w:rPr>
          <w:rFonts w:eastAsia="Calibri" w:asciiTheme="minorHAnsi" w:hAnsiTheme="minorHAnsi" w:cstheme="minorHAnsi"/>
          <w:sz w:val="22"/>
          <w:szCs w:val="22"/>
        </w:rPr>
      </w:pPr>
      <w:r w:rsidRPr="00A93CB0">
        <w:rPr>
          <w:rFonts w:eastAsia="Calibri" w:asciiTheme="minorHAnsi" w:hAnsiTheme="minorHAnsi" w:cstheme="minorHAnsi"/>
          <w:sz w:val="22"/>
          <w:szCs w:val="22"/>
        </w:rPr>
        <w:t xml:space="preserve">The total burden for the questionnaire equals the estimated burden per facility for all facilities EPA expects will respond. The EPA expects that there are approximately 216 </w:t>
      </w:r>
      <w:r w:rsidRPr="00A93CB0" w:rsidR="00173A68">
        <w:rPr>
          <w:rFonts w:eastAsia="Calibri" w:asciiTheme="minorHAnsi" w:hAnsiTheme="minorHAnsi" w:cstheme="minorHAnsi"/>
          <w:sz w:val="22"/>
          <w:szCs w:val="22"/>
        </w:rPr>
        <w:t>container</w:t>
      </w:r>
      <w:r w:rsidRPr="00A93CB0">
        <w:rPr>
          <w:rFonts w:eastAsia="Calibri" w:asciiTheme="minorHAnsi" w:hAnsiTheme="minorHAnsi" w:cstheme="minorHAnsi"/>
          <w:sz w:val="22"/>
          <w:szCs w:val="22"/>
        </w:rPr>
        <w:t xml:space="preserve"> reconditioning facilities and for a conservative assessment assumes 100% response because the collection will be </w:t>
      </w:r>
      <w:r w:rsidRPr="00A93CB0">
        <w:rPr>
          <w:rFonts w:eastAsia="Calibri" w:asciiTheme="minorHAnsi" w:hAnsiTheme="minorHAnsi" w:cstheme="minorHAnsi"/>
          <w:sz w:val="22"/>
          <w:szCs w:val="22"/>
        </w:rPr>
        <w:t>mandatory</w:t>
      </w:r>
      <w:r w:rsidRPr="00A93CB0">
        <w:rPr>
          <w:rFonts w:eastAsia="Calibri" w:asciiTheme="minorHAnsi" w:hAnsiTheme="minorHAnsi" w:cstheme="minorHAnsi"/>
          <w:sz w:val="22"/>
          <w:szCs w:val="22"/>
        </w:rPr>
        <w:t xml:space="preserve"> and response can be enforced. </w:t>
      </w:r>
      <w:r w:rsidRPr="00A93CB0">
        <w:rPr>
          <w:rFonts w:asciiTheme="minorHAnsi" w:eastAsiaTheme="minorEastAsia" w:hAnsiTheme="minorHAnsi" w:cstheme="minorHAnsi"/>
          <w:sz w:val="22"/>
          <w:szCs w:val="22"/>
        </w:rPr>
        <w:t>This is expected to be a one-time effort.</w:t>
      </w:r>
    </w:p>
    <w:p w:rsidR="00ED57A4" w:rsidRPr="00F728B2" w:rsidP="00854AAE" w14:paraId="688F908F" w14:textId="77777777">
      <w:pPr>
        <w:spacing w:before="120" w:after="0"/>
        <w:rPr>
          <w:rFonts w:cstheme="minorHAnsi"/>
          <w:b/>
          <w:bCs/>
        </w:rPr>
      </w:pPr>
      <w:r w:rsidRPr="00F728B2">
        <w:rPr>
          <w:rFonts w:cstheme="minorHAnsi"/>
          <w:b/>
          <w:bCs/>
        </w:rPr>
        <w:t xml:space="preserve">12b. </w:t>
      </w:r>
      <w:r w:rsidRPr="00F728B2" w:rsidR="00BB7DA0">
        <w:rPr>
          <w:rFonts w:cstheme="minorHAnsi"/>
          <w:b/>
          <w:bCs/>
        </w:rPr>
        <w:t>Information Requested</w:t>
      </w:r>
      <w:bookmarkStart w:id="19" w:name="_Toc156593384"/>
      <w:bookmarkEnd w:id="18"/>
    </w:p>
    <w:p w:rsidR="00C65050" w:rsidRPr="00A93CB0" w:rsidP="006150F2" w14:paraId="4AAC946B" w14:textId="44B128D9">
      <w:pPr>
        <w:pStyle w:val="BodyText"/>
        <w:rPr>
          <w:rFonts w:asciiTheme="minorHAnsi" w:eastAsiaTheme="minorEastAsia" w:hAnsiTheme="minorHAnsi" w:cstheme="minorHAnsi"/>
          <w:sz w:val="22"/>
          <w:szCs w:val="22"/>
        </w:rPr>
      </w:pPr>
      <w:r w:rsidRPr="00A93CB0">
        <w:rPr>
          <w:rFonts w:asciiTheme="minorHAnsi" w:eastAsiaTheme="minorEastAsia" w:hAnsiTheme="minorHAnsi" w:cstheme="minorHAnsi"/>
          <w:sz w:val="22"/>
          <w:szCs w:val="22"/>
        </w:rPr>
        <w:t xml:space="preserve">The EPA expects that questionnaire response will be led by the technical staff or operations managers as most questions are specific to recordkeeping of technical data and environmental permitting. </w:t>
      </w:r>
      <w:r w:rsidRPr="00A93CB0" w:rsidR="00034C96">
        <w:rPr>
          <w:rFonts w:asciiTheme="minorHAnsi" w:eastAsiaTheme="minorEastAsia" w:hAnsiTheme="minorHAnsi" w:cstheme="minorHAnsi"/>
          <w:sz w:val="22"/>
          <w:szCs w:val="22"/>
        </w:rPr>
        <w:t xml:space="preserve">The survey starts with general facility information about the company and questions to confirm that the survey applies to each recipient. The technical information </w:t>
      </w:r>
      <w:r w:rsidRPr="00A93CB0" w:rsidR="00533F09">
        <w:rPr>
          <w:rFonts w:asciiTheme="minorHAnsi" w:eastAsiaTheme="minorEastAsia" w:hAnsiTheme="minorHAnsi" w:cstheme="minorHAnsi"/>
          <w:sz w:val="22"/>
          <w:szCs w:val="22"/>
        </w:rPr>
        <w:t>requests</w:t>
      </w:r>
      <w:r w:rsidRPr="00A93CB0" w:rsidR="00034C96">
        <w:rPr>
          <w:rFonts w:asciiTheme="minorHAnsi" w:eastAsiaTheme="minorEastAsia" w:hAnsiTheme="minorHAnsi" w:cstheme="minorHAnsi"/>
          <w:sz w:val="22"/>
          <w:szCs w:val="22"/>
        </w:rPr>
        <w:t xml:space="preserve"> applicable NAICS IDs and ID information on regulatory reporting systems as well as planned major changes that may occur at the facility. The facility information asks specifics about what kind of containers are handled by the facility and how. The facility security section includes questions about how the containers are stored and if the facility is collocated with another company. The employee safety section asks about safety procedures</w:t>
      </w:r>
      <w:r w:rsidRPr="00A93CB0">
        <w:rPr>
          <w:rFonts w:asciiTheme="minorHAnsi" w:eastAsiaTheme="minorEastAsia" w:hAnsiTheme="minorHAnsi" w:cstheme="minorHAnsi"/>
          <w:sz w:val="22"/>
          <w:szCs w:val="22"/>
        </w:rPr>
        <w:t xml:space="preserve">, equipment, training incidents and relationships with local emergency services. </w:t>
      </w:r>
    </w:p>
    <w:p w:rsidR="006150F2" w:rsidRPr="00A93CB0" w:rsidP="006150F2" w14:paraId="3CD40661" w14:textId="058EE990">
      <w:pPr>
        <w:pStyle w:val="BodyText"/>
        <w:rPr>
          <w:rFonts w:asciiTheme="minorHAnsi" w:eastAsiaTheme="minorEastAsia" w:hAnsiTheme="minorHAnsi" w:cstheme="minorHAnsi"/>
          <w:sz w:val="22"/>
          <w:szCs w:val="22"/>
        </w:rPr>
      </w:pPr>
      <w:r w:rsidRPr="00A93CB0">
        <w:rPr>
          <w:rFonts w:asciiTheme="minorHAnsi" w:eastAsiaTheme="minorEastAsia" w:hAnsiTheme="minorHAnsi" w:cstheme="minorHAnsi"/>
          <w:sz w:val="22"/>
          <w:szCs w:val="22"/>
        </w:rPr>
        <w:t xml:space="preserve">The next few sections cover waste generation, handling and permitting. The container washing and wastewater covers washing procedures and wastewater handling via permits, offsite transfer of wastewater or onsite equipment. The solid waste and hazardous waste section covers solid waste generated onsite and permitting requirements. The drum furnace and other air emissions section covers air quality permits and emission control in use onsite. The conclusion gives the company the chance to include other information that recipients believe is relevant to the questionnaire that was not covered in another section. </w:t>
      </w:r>
    </w:p>
    <w:p w:rsidR="001172FE" w:rsidRPr="00F728B2" w:rsidP="00854AAE" w14:paraId="1769C16E" w14:textId="77777777">
      <w:pPr>
        <w:spacing w:before="120" w:after="0"/>
        <w:rPr>
          <w:rFonts w:cstheme="minorHAnsi"/>
          <w:b/>
          <w:bCs/>
        </w:rPr>
      </w:pPr>
      <w:r w:rsidRPr="00F728B2">
        <w:rPr>
          <w:rFonts w:cstheme="minorHAnsi"/>
          <w:b/>
          <w:bCs/>
        </w:rPr>
        <w:t xml:space="preserve">12c. </w:t>
      </w:r>
      <w:r w:rsidRPr="00F728B2" w:rsidR="00DD718B">
        <w:rPr>
          <w:rFonts w:cstheme="minorHAnsi"/>
          <w:b/>
          <w:bCs/>
        </w:rPr>
        <w:t>Respondent Activities</w:t>
      </w:r>
      <w:bookmarkStart w:id="20" w:name="_Toc156593385"/>
      <w:bookmarkEnd w:id="19"/>
    </w:p>
    <w:p w:rsidR="006150F2" w:rsidRPr="00A93CB0" w:rsidP="006150F2" w14:paraId="7E8F97FA" w14:textId="2B384D0F">
      <w:pPr>
        <w:pStyle w:val="BodyText"/>
        <w:rPr>
          <w:rFonts w:asciiTheme="minorHAnsi" w:eastAsiaTheme="minorEastAsia" w:hAnsiTheme="minorHAnsi" w:cstheme="minorHAnsi"/>
          <w:sz w:val="22"/>
          <w:szCs w:val="22"/>
        </w:rPr>
      </w:pPr>
      <w:r w:rsidRPr="00A93CB0">
        <w:rPr>
          <w:rFonts w:asciiTheme="minorHAnsi" w:eastAsiaTheme="minorEastAsia" w:hAnsiTheme="minorHAnsi" w:cstheme="minorHAnsi"/>
          <w:sz w:val="22"/>
          <w:szCs w:val="22"/>
        </w:rPr>
        <w:t xml:space="preserve">The </w:t>
      </w:r>
      <w:r w:rsidRPr="00A93CB0" w:rsidR="0006465A">
        <w:rPr>
          <w:rFonts w:asciiTheme="minorHAnsi" w:eastAsiaTheme="minorEastAsia" w:hAnsiTheme="minorHAnsi" w:cstheme="minorHAnsi"/>
          <w:sz w:val="22"/>
          <w:szCs w:val="22"/>
        </w:rPr>
        <w:t>Container</w:t>
      </w:r>
      <w:r w:rsidR="00A93CB0">
        <w:rPr>
          <w:rFonts w:asciiTheme="minorHAnsi" w:eastAsiaTheme="minorEastAsia" w:hAnsiTheme="minorHAnsi" w:cstheme="minorHAnsi"/>
          <w:sz w:val="22"/>
          <w:szCs w:val="22"/>
        </w:rPr>
        <w:t xml:space="preserve"> Reconditioner</w:t>
      </w:r>
      <w:r w:rsidRPr="00A93CB0">
        <w:rPr>
          <w:rFonts w:asciiTheme="minorHAnsi" w:eastAsiaTheme="minorEastAsia" w:hAnsiTheme="minorHAnsi" w:cstheme="minorHAnsi"/>
          <w:sz w:val="22"/>
          <w:szCs w:val="22"/>
        </w:rPr>
        <w:t xml:space="preserve"> ICR effort will require recipient facilities to devote time and resources to produce acceptable responses to a questionnaire. No environmental sampling or experimental data will be required. Some data analysis or managerial review may be required if recipients believe that some of the requested data contains sensitive data. The EPA expects that operators, engineers, operations managers, finance specialists and technical staff at the facilities will devote time toward gathering requested information and data, </w:t>
      </w:r>
      <w:r w:rsidRPr="00A93CB0">
        <w:rPr>
          <w:rFonts w:asciiTheme="minorHAnsi" w:eastAsiaTheme="minorEastAsia" w:hAnsiTheme="minorHAnsi" w:cstheme="minorHAnsi"/>
          <w:sz w:val="22"/>
          <w:szCs w:val="22"/>
        </w:rPr>
        <w:t>preparing</w:t>
      </w:r>
      <w:r w:rsidRPr="00A93CB0">
        <w:rPr>
          <w:rFonts w:asciiTheme="minorHAnsi" w:eastAsiaTheme="minorEastAsia" w:hAnsiTheme="minorHAnsi" w:cstheme="minorHAnsi"/>
          <w:sz w:val="22"/>
          <w:szCs w:val="22"/>
        </w:rPr>
        <w:t xml:space="preserve"> and submitting the final responses to the questionnaire. Legal staff is most likely not necessary for the information collection, but some facilities may decide to enlist aid from legal staff for some of the general information that refers to other companies or legal documents (permits). The costs to the respondents’ facilities associated with these time commitments can be estimated by multiplying the time spent in each labor category by an appropriately loaded hourly labor rate. </w:t>
      </w:r>
    </w:p>
    <w:p w:rsidR="00D92ED6" w:rsidRPr="00F728B2" w:rsidP="00854AAE" w14:paraId="41A6CEC9" w14:textId="77777777">
      <w:pPr>
        <w:spacing w:before="120" w:after="0"/>
        <w:rPr>
          <w:rFonts w:cstheme="minorHAnsi"/>
          <w:b/>
          <w:bCs/>
        </w:rPr>
      </w:pPr>
      <w:r w:rsidRPr="00F728B2">
        <w:rPr>
          <w:rFonts w:cstheme="minorHAnsi"/>
          <w:b/>
          <w:bCs/>
        </w:rPr>
        <w:t xml:space="preserve">12d. </w:t>
      </w:r>
      <w:r w:rsidRPr="00F728B2">
        <w:rPr>
          <w:rFonts w:cstheme="minorHAnsi"/>
          <w:b/>
          <w:bCs/>
        </w:rPr>
        <w:t xml:space="preserve">Respondent </w:t>
      </w:r>
      <w:r w:rsidRPr="00F728B2" w:rsidR="00BB2B15">
        <w:rPr>
          <w:rFonts w:cstheme="minorHAnsi"/>
          <w:b/>
          <w:bCs/>
        </w:rPr>
        <w:t xml:space="preserve">Burden </w:t>
      </w:r>
      <w:r w:rsidRPr="00F728B2" w:rsidR="00B666CD">
        <w:rPr>
          <w:rFonts w:cstheme="minorHAnsi"/>
          <w:b/>
          <w:bCs/>
        </w:rPr>
        <w:t>Hour</w:t>
      </w:r>
      <w:r w:rsidRPr="00F728B2" w:rsidR="00BB2B15">
        <w:rPr>
          <w:rFonts w:cstheme="minorHAnsi"/>
          <w:b/>
          <w:bCs/>
        </w:rPr>
        <w:t>s</w:t>
      </w:r>
      <w:r w:rsidRPr="00F728B2" w:rsidR="00B666CD">
        <w:rPr>
          <w:rFonts w:cstheme="minorHAnsi"/>
          <w:b/>
          <w:bCs/>
        </w:rPr>
        <w:t xml:space="preserve"> and Labor </w:t>
      </w:r>
      <w:bookmarkEnd w:id="20"/>
      <w:r w:rsidRPr="00F728B2" w:rsidR="00BB2B15">
        <w:rPr>
          <w:rFonts w:cstheme="minorHAnsi"/>
          <w:b/>
          <w:bCs/>
        </w:rPr>
        <w:t>Costs</w:t>
      </w:r>
    </w:p>
    <w:p w:rsidR="00C65050" w:rsidRPr="00A93CB0" w:rsidP="00C65050" w14:paraId="4CD24F65" w14:textId="77777777">
      <w:pPr>
        <w:pStyle w:val="BodyText"/>
        <w:rPr>
          <w:rFonts w:asciiTheme="minorHAnsi" w:hAnsiTheme="minorHAnsi" w:cstheme="minorHAnsi"/>
          <w:sz w:val="22"/>
          <w:szCs w:val="22"/>
        </w:rPr>
      </w:pPr>
      <w:r w:rsidRPr="00A93CB0">
        <w:rPr>
          <w:rFonts w:asciiTheme="minorHAnsi" w:hAnsiTheme="minorHAnsi" w:cstheme="minorHAnsi"/>
          <w:sz w:val="22"/>
          <w:szCs w:val="22"/>
        </w:rPr>
        <w:t>The following tables show the summary of respondent hour burdens and the burden per questionnaire estimate.</w:t>
      </w:r>
    </w:p>
    <w:p w:rsidR="00C65050" w:rsidRPr="00A93CB0" w:rsidP="00C65050" w14:paraId="3B3CA93D" w14:textId="77777777">
      <w:pPr>
        <w:pStyle w:val="TableTitle"/>
        <w:rPr>
          <w:rFonts w:asciiTheme="minorHAnsi" w:hAnsiTheme="minorHAnsi" w:cstheme="minorHAnsi"/>
        </w:rPr>
      </w:pPr>
      <w:bookmarkStart w:id="21" w:name="_Toc152077189"/>
      <w:r w:rsidRPr="00A93CB0">
        <w:rPr>
          <w:rFonts w:asciiTheme="minorHAnsi" w:hAnsiTheme="minorHAnsi" w:cstheme="minorHAnsi"/>
        </w:rPr>
        <w:t xml:space="preserve">Table </w:t>
      </w:r>
      <w:r w:rsidRPr="00A93CB0">
        <w:rPr>
          <w:rFonts w:asciiTheme="minorHAnsi" w:hAnsiTheme="minorHAnsi" w:cstheme="minorHAnsi"/>
        </w:rPr>
        <w:fldChar w:fldCharType="begin"/>
      </w:r>
      <w:r w:rsidRPr="00A93CB0">
        <w:rPr>
          <w:rFonts w:asciiTheme="minorHAnsi" w:hAnsiTheme="minorHAnsi" w:cstheme="minorHAnsi"/>
        </w:rPr>
        <w:instrText>STYLEREF 1 \s</w:instrText>
      </w:r>
      <w:r w:rsidRPr="00A93CB0">
        <w:rPr>
          <w:rFonts w:asciiTheme="minorHAnsi" w:hAnsiTheme="minorHAnsi" w:cstheme="minorHAnsi"/>
        </w:rPr>
        <w:fldChar w:fldCharType="separate"/>
      </w:r>
      <w:r w:rsidRPr="00A93CB0">
        <w:rPr>
          <w:rFonts w:asciiTheme="minorHAnsi" w:hAnsiTheme="minorHAnsi" w:cstheme="minorHAnsi"/>
          <w:noProof/>
        </w:rPr>
        <w:t>12</w:t>
      </w:r>
      <w:r w:rsidRPr="00A93CB0">
        <w:rPr>
          <w:rFonts w:asciiTheme="minorHAnsi" w:hAnsiTheme="minorHAnsi" w:cstheme="minorHAnsi"/>
        </w:rPr>
        <w:fldChar w:fldCharType="end"/>
      </w:r>
      <w:r w:rsidRPr="00A93CB0">
        <w:rPr>
          <w:rFonts w:asciiTheme="minorHAnsi" w:hAnsiTheme="minorHAnsi" w:cstheme="minorHAnsi"/>
        </w:rPr>
        <w:noBreakHyphen/>
      </w:r>
      <w:r w:rsidRPr="00A93CB0">
        <w:rPr>
          <w:rFonts w:asciiTheme="minorHAnsi" w:hAnsiTheme="minorHAnsi" w:cstheme="minorHAnsi"/>
        </w:rPr>
        <w:fldChar w:fldCharType="begin"/>
      </w:r>
      <w:r w:rsidRPr="00A93CB0">
        <w:rPr>
          <w:rFonts w:asciiTheme="minorHAnsi" w:hAnsiTheme="minorHAnsi" w:cstheme="minorHAnsi"/>
        </w:rPr>
        <w:instrText>SEQ Table \* ARABIC \s 1</w:instrText>
      </w:r>
      <w:r w:rsidRPr="00A93CB0">
        <w:rPr>
          <w:rFonts w:asciiTheme="minorHAnsi" w:hAnsiTheme="minorHAnsi" w:cstheme="minorHAnsi"/>
        </w:rPr>
        <w:fldChar w:fldCharType="separate"/>
      </w:r>
      <w:r w:rsidRPr="00A93CB0">
        <w:rPr>
          <w:rFonts w:asciiTheme="minorHAnsi" w:hAnsiTheme="minorHAnsi" w:cstheme="minorHAnsi"/>
          <w:noProof/>
        </w:rPr>
        <w:t>1</w:t>
      </w:r>
      <w:r w:rsidRPr="00A93CB0">
        <w:rPr>
          <w:rFonts w:asciiTheme="minorHAnsi" w:hAnsiTheme="minorHAnsi" w:cstheme="minorHAnsi"/>
        </w:rPr>
        <w:fldChar w:fldCharType="end"/>
      </w:r>
      <w:r w:rsidRPr="00A93CB0">
        <w:rPr>
          <w:rFonts w:asciiTheme="minorHAnsi" w:hAnsiTheme="minorHAnsi" w:cstheme="minorHAnsi"/>
        </w:rPr>
        <w:t>. Summary of Respondent Hour Burdens</w:t>
      </w:r>
      <w:bookmarkEnd w:id="21"/>
    </w:p>
    <w:tbl>
      <w:tblPr>
        <w:tblStyle w:val="TableGrid"/>
        <w:tblW w:w="0" w:type="auto"/>
        <w:tblLook w:val="04A0"/>
      </w:tblPr>
      <w:tblGrid>
        <w:gridCol w:w="1870"/>
        <w:gridCol w:w="1870"/>
        <w:gridCol w:w="1870"/>
        <w:gridCol w:w="1870"/>
        <w:gridCol w:w="1870"/>
      </w:tblGrid>
      <w:tr w14:paraId="72379F8D" w14:textId="77777777" w:rsidTr="00396CB7">
        <w:tblPrEx>
          <w:tblW w:w="0" w:type="auto"/>
          <w:tblLook w:val="04A0"/>
        </w:tblPrEx>
        <w:tc>
          <w:tcPr>
            <w:tcW w:w="1870" w:type="dxa"/>
            <w:shd w:val="clear" w:color="auto" w:fill="DDD9C3"/>
            <w:vAlign w:val="center"/>
          </w:tcPr>
          <w:p w:rsidR="00C65050" w:rsidRPr="00F728B2" w:rsidP="00396CB7" w14:paraId="213550F2" w14:textId="77777777">
            <w:pPr>
              <w:jc w:val="center"/>
              <w:rPr>
                <w:rFonts w:cstheme="minorHAnsi"/>
              </w:rPr>
            </w:pPr>
            <w:r w:rsidRPr="00F728B2">
              <w:rPr>
                <w:rFonts w:cstheme="minorHAnsi"/>
                <w:b/>
                <w:bCs/>
                <w:sz w:val="20"/>
              </w:rPr>
              <w:t>Summary of Respondent Burden and Cost</w:t>
            </w:r>
          </w:p>
        </w:tc>
        <w:tc>
          <w:tcPr>
            <w:tcW w:w="1870" w:type="dxa"/>
            <w:shd w:val="clear" w:color="auto" w:fill="DDD9C3"/>
            <w:vAlign w:val="center"/>
          </w:tcPr>
          <w:p w:rsidR="00C65050" w:rsidRPr="00F728B2" w:rsidP="00396CB7" w14:paraId="156F07D8" w14:textId="77777777">
            <w:pPr>
              <w:jc w:val="center"/>
              <w:rPr>
                <w:rFonts w:cstheme="minorHAnsi"/>
              </w:rPr>
            </w:pPr>
            <w:r w:rsidRPr="00F728B2">
              <w:rPr>
                <w:rFonts w:cstheme="minorHAnsi"/>
                <w:b/>
                <w:bCs/>
                <w:sz w:val="20"/>
              </w:rPr>
              <w:t>Total Labor Hours</w:t>
            </w:r>
          </w:p>
        </w:tc>
        <w:tc>
          <w:tcPr>
            <w:tcW w:w="1870" w:type="dxa"/>
            <w:shd w:val="clear" w:color="auto" w:fill="DDD9C3"/>
            <w:vAlign w:val="center"/>
          </w:tcPr>
          <w:p w:rsidR="00C65050" w:rsidRPr="00F728B2" w:rsidP="00396CB7" w14:paraId="5F8C9839" w14:textId="77777777">
            <w:pPr>
              <w:jc w:val="center"/>
              <w:rPr>
                <w:rFonts w:cstheme="minorHAnsi"/>
              </w:rPr>
            </w:pPr>
            <w:r w:rsidRPr="00F728B2">
              <w:rPr>
                <w:rFonts w:cstheme="minorHAnsi"/>
                <w:b/>
                <w:bCs/>
                <w:sz w:val="20"/>
              </w:rPr>
              <w:t>Labor Costs</w:t>
            </w:r>
          </w:p>
        </w:tc>
        <w:tc>
          <w:tcPr>
            <w:tcW w:w="1870" w:type="dxa"/>
            <w:shd w:val="clear" w:color="auto" w:fill="DDD9C3"/>
            <w:vAlign w:val="center"/>
          </w:tcPr>
          <w:p w:rsidR="00C65050" w:rsidRPr="00F728B2" w:rsidP="00396CB7" w14:paraId="2FB8A9BC" w14:textId="77777777">
            <w:pPr>
              <w:jc w:val="center"/>
              <w:rPr>
                <w:rFonts w:cstheme="minorHAnsi"/>
              </w:rPr>
            </w:pPr>
            <w:r w:rsidRPr="00F728B2">
              <w:rPr>
                <w:rFonts w:cstheme="minorHAnsi"/>
                <w:b/>
                <w:bCs/>
                <w:sz w:val="20"/>
              </w:rPr>
              <w:t>Non-Labor (Capital/Startup and O&amp;M) Costs</w:t>
            </w:r>
          </w:p>
        </w:tc>
        <w:tc>
          <w:tcPr>
            <w:tcW w:w="1870" w:type="dxa"/>
            <w:shd w:val="clear" w:color="auto" w:fill="DDD9C3"/>
            <w:vAlign w:val="center"/>
          </w:tcPr>
          <w:p w:rsidR="00C65050" w:rsidRPr="00F728B2" w:rsidP="00396CB7" w14:paraId="5A5461C5" w14:textId="77777777">
            <w:pPr>
              <w:jc w:val="center"/>
              <w:rPr>
                <w:rFonts w:cstheme="minorHAnsi"/>
              </w:rPr>
            </w:pPr>
            <w:r w:rsidRPr="00F728B2">
              <w:rPr>
                <w:rFonts w:cstheme="minorHAnsi"/>
                <w:b/>
                <w:bCs/>
                <w:sz w:val="20"/>
              </w:rPr>
              <w:t>Total Costs</w:t>
            </w:r>
          </w:p>
        </w:tc>
      </w:tr>
      <w:tr w14:paraId="55C554E3" w14:textId="77777777" w:rsidTr="00396CB7">
        <w:tblPrEx>
          <w:tblW w:w="0" w:type="auto"/>
          <w:tblLook w:val="04A0"/>
        </w:tblPrEx>
        <w:tc>
          <w:tcPr>
            <w:tcW w:w="1870" w:type="dxa"/>
            <w:vAlign w:val="center"/>
          </w:tcPr>
          <w:p w:rsidR="00C65050" w:rsidRPr="00F728B2" w:rsidP="00396CB7" w14:paraId="5AF0CE05" w14:textId="77777777">
            <w:pPr>
              <w:jc w:val="center"/>
              <w:rPr>
                <w:rFonts w:cstheme="minorHAnsi"/>
              </w:rPr>
            </w:pPr>
            <w:r w:rsidRPr="00F728B2">
              <w:rPr>
                <w:rFonts w:cstheme="minorHAnsi"/>
                <w:sz w:val="20"/>
              </w:rPr>
              <w:t>Total (rounded)</w:t>
            </w:r>
          </w:p>
        </w:tc>
        <w:tc>
          <w:tcPr>
            <w:tcW w:w="1870" w:type="dxa"/>
            <w:vAlign w:val="center"/>
          </w:tcPr>
          <w:p w:rsidR="00C65050" w:rsidRPr="00F728B2" w:rsidP="00396CB7" w14:paraId="631C81F0" w14:textId="3A5E0B71">
            <w:pPr>
              <w:jc w:val="center"/>
              <w:rPr>
                <w:rFonts w:cstheme="minorHAnsi"/>
              </w:rPr>
            </w:pPr>
            <w:r>
              <w:rPr>
                <w:rFonts w:cstheme="minorHAnsi"/>
                <w:sz w:val="20"/>
              </w:rPr>
              <w:t>4,000</w:t>
            </w:r>
          </w:p>
        </w:tc>
        <w:tc>
          <w:tcPr>
            <w:tcW w:w="1870" w:type="dxa"/>
            <w:vAlign w:val="center"/>
          </w:tcPr>
          <w:p w:rsidR="00C65050" w:rsidRPr="00F728B2" w:rsidP="00396CB7" w14:paraId="57B1B225" w14:textId="23EA0750">
            <w:pPr>
              <w:jc w:val="center"/>
              <w:rPr>
                <w:rFonts w:cstheme="minorHAnsi"/>
              </w:rPr>
            </w:pPr>
            <w:r w:rsidRPr="00F728B2">
              <w:rPr>
                <w:rFonts w:cstheme="minorHAnsi"/>
                <w:sz w:val="20"/>
              </w:rPr>
              <w:t>$</w:t>
            </w:r>
            <w:r w:rsidRPr="00F728B2" w:rsidR="00F73255">
              <w:rPr>
                <w:rFonts w:cstheme="minorHAnsi"/>
                <w:sz w:val="20"/>
              </w:rPr>
              <w:t>40</w:t>
            </w:r>
            <w:r w:rsidR="00524652">
              <w:rPr>
                <w:rFonts w:cstheme="minorHAnsi"/>
                <w:sz w:val="20"/>
              </w:rPr>
              <w:t>8</w:t>
            </w:r>
            <w:r w:rsidRPr="00F728B2">
              <w:rPr>
                <w:rFonts w:cstheme="minorHAnsi"/>
                <w:sz w:val="20"/>
              </w:rPr>
              <w:t>,</w:t>
            </w:r>
            <w:r w:rsidRPr="00F728B2" w:rsidR="00992288">
              <w:rPr>
                <w:rFonts w:cstheme="minorHAnsi"/>
                <w:sz w:val="20"/>
              </w:rPr>
              <w:t>000</w:t>
            </w:r>
          </w:p>
        </w:tc>
        <w:tc>
          <w:tcPr>
            <w:tcW w:w="1870" w:type="dxa"/>
            <w:vAlign w:val="center"/>
          </w:tcPr>
          <w:p w:rsidR="00C65050" w:rsidRPr="00F728B2" w:rsidP="00396CB7" w14:paraId="570C2D1A" w14:textId="15DF1B68">
            <w:pPr>
              <w:jc w:val="center"/>
              <w:rPr>
                <w:rFonts w:cstheme="minorHAnsi"/>
              </w:rPr>
            </w:pPr>
            <w:r w:rsidRPr="00F728B2">
              <w:rPr>
                <w:rFonts w:cstheme="minorHAnsi"/>
                <w:sz w:val="20"/>
              </w:rPr>
              <w:t>$0</w:t>
            </w:r>
          </w:p>
        </w:tc>
        <w:tc>
          <w:tcPr>
            <w:tcW w:w="1870" w:type="dxa"/>
            <w:vAlign w:val="center"/>
          </w:tcPr>
          <w:p w:rsidR="00C65050" w:rsidRPr="00F728B2" w:rsidP="00396CB7" w14:paraId="092B1B5C" w14:textId="6427596F">
            <w:pPr>
              <w:jc w:val="center"/>
              <w:rPr>
                <w:rFonts w:cstheme="minorHAnsi"/>
              </w:rPr>
            </w:pPr>
            <w:r w:rsidRPr="00F728B2">
              <w:rPr>
                <w:rFonts w:cstheme="minorHAnsi"/>
                <w:sz w:val="20"/>
              </w:rPr>
              <w:t>$40</w:t>
            </w:r>
            <w:r w:rsidR="00524652">
              <w:rPr>
                <w:rFonts w:cstheme="minorHAnsi"/>
                <w:sz w:val="20"/>
              </w:rPr>
              <w:t>8</w:t>
            </w:r>
            <w:r w:rsidRPr="00F728B2">
              <w:rPr>
                <w:rFonts w:cstheme="minorHAnsi"/>
                <w:sz w:val="20"/>
              </w:rPr>
              <w:t>,000</w:t>
            </w:r>
          </w:p>
        </w:tc>
      </w:tr>
      <w:tr w14:paraId="41FA643E" w14:textId="77777777" w:rsidTr="00396CB7">
        <w:tblPrEx>
          <w:tblW w:w="0" w:type="auto"/>
          <w:tblLook w:val="04A0"/>
        </w:tblPrEx>
        <w:tc>
          <w:tcPr>
            <w:tcW w:w="1870" w:type="dxa"/>
            <w:vAlign w:val="center"/>
          </w:tcPr>
          <w:p w:rsidR="00C65050" w:rsidRPr="00F728B2" w:rsidP="00396CB7" w14:paraId="0E5678B6" w14:textId="77777777">
            <w:pPr>
              <w:jc w:val="center"/>
              <w:rPr>
                <w:rFonts w:cstheme="minorHAnsi"/>
              </w:rPr>
            </w:pPr>
            <w:r w:rsidRPr="00F728B2">
              <w:rPr>
                <w:rFonts w:cstheme="minorHAnsi"/>
                <w:sz w:val="20"/>
              </w:rPr>
              <w:t>Average per respondent (rounded)</w:t>
            </w:r>
          </w:p>
        </w:tc>
        <w:tc>
          <w:tcPr>
            <w:tcW w:w="1870" w:type="dxa"/>
            <w:vAlign w:val="center"/>
          </w:tcPr>
          <w:p w:rsidR="00C65050" w:rsidRPr="00F728B2" w:rsidP="00396CB7" w14:paraId="26619557" w14:textId="571C3AC5">
            <w:pPr>
              <w:jc w:val="center"/>
              <w:rPr>
                <w:rFonts w:cstheme="minorHAnsi"/>
              </w:rPr>
            </w:pPr>
            <w:r w:rsidRPr="00F728B2">
              <w:rPr>
                <w:rFonts w:cstheme="minorHAnsi"/>
                <w:sz w:val="20"/>
              </w:rPr>
              <w:t>1</w:t>
            </w:r>
            <w:r w:rsidR="00524652">
              <w:rPr>
                <w:rFonts w:cstheme="minorHAnsi"/>
                <w:sz w:val="20"/>
              </w:rPr>
              <w:t>9</w:t>
            </w:r>
          </w:p>
        </w:tc>
        <w:tc>
          <w:tcPr>
            <w:tcW w:w="1870" w:type="dxa"/>
            <w:vAlign w:val="center"/>
          </w:tcPr>
          <w:p w:rsidR="00C65050" w:rsidRPr="00F728B2" w:rsidP="00396CB7" w14:paraId="08AAFF6E" w14:textId="2D5B4614">
            <w:pPr>
              <w:jc w:val="center"/>
              <w:rPr>
                <w:rFonts w:cstheme="minorHAnsi"/>
              </w:rPr>
            </w:pPr>
            <w:r w:rsidRPr="00F728B2">
              <w:rPr>
                <w:rFonts w:cstheme="minorHAnsi"/>
                <w:sz w:val="20"/>
              </w:rPr>
              <w:t>$1,</w:t>
            </w:r>
            <w:r w:rsidRPr="00F728B2" w:rsidR="00303970">
              <w:rPr>
                <w:rFonts w:cstheme="minorHAnsi"/>
                <w:sz w:val="20"/>
              </w:rPr>
              <w:t>8</w:t>
            </w:r>
            <w:r w:rsidR="00524652">
              <w:rPr>
                <w:rFonts w:cstheme="minorHAnsi"/>
                <w:sz w:val="20"/>
              </w:rPr>
              <w:t>9</w:t>
            </w:r>
            <w:r w:rsidRPr="00F728B2" w:rsidR="00303970">
              <w:rPr>
                <w:rFonts w:cstheme="minorHAnsi"/>
                <w:sz w:val="20"/>
              </w:rPr>
              <w:t>0</w:t>
            </w:r>
          </w:p>
        </w:tc>
        <w:tc>
          <w:tcPr>
            <w:tcW w:w="1870" w:type="dxa"/>
            <w:vAlign w:val="center"/>
          </w:tcPr>
          <w:p w:rsidR="00C65050" w:rsidRPr="00F728B2" w:rsidP="00396CB7" w14:paraId="2315C3C1" w14:textId="77777777">
            <w:pPr>
              <w:jc w:val="center"/>
              <w:rPr>
                <w:rFonts w:cstheme="minorHAnsi"/>
              </w:rPr>
            </w:pPr>
            <w:r w:rsidRPr="00F728B2">
              <w:rPr>
                <w:rFonts w:cstheme="minorHAnsi"/>
                <w:sz w:val="20"/>
              </w:rPr>
              <w:t>$0</w:t>
            </w:r>
          </w:p>
        </w:tc>
        <w:tc>
          <w:tcPr>
            <w:tcW w:w="1870" w:type="dxa"/>
            <w:vAlign w:val="center"/>
          </w:tcPr>
          <w:p w:rsidR="00C65050" w:rsidRPr="00F728B2" w:rsidP="00396CB7" w14:paraId="15037DB6" w14:textId="0C3F08AA">
            <w:pPr>
              <w:jc w:val="center"/>
              <w:rPr>
                <w:rFonts w:cstheme="minorHAnsi"/>
              </w:rPr>
            </w:pPr>
            <w:r w:rsidRPr="00F728B2">
              <w:rPr>
                <w:rFonts w:cstheme="minorHAnsi"/>
                <w:sz w:val="20"/>
              </w:rPr>
              <w:t>$1,</w:t>
            </w:r>
            <w:r w:rsidRPr="00F728B2" w:rsidR="002320C1">
              <w:rPr>
                <w:rFonts w:cstheme="minorHAnsi"/>
                <w:sz w:val="20"/>
              </w:rPr>
              <w:t>8</w:t>
            </w:r>
            <w:r w:rsidR="00524652">
              <w:rPr>
                <w:rFonts w:cstheme="minorHAnsi"/>
                <w:sz w:val="20"/>
              </w:rPr>
              <w:t>9</w:t>
            </w:r>
            <w:r w:rsidRPr="00F728B2" w:rsidR="002320C1">
              <w:rPr>
                <w:rFonts w:cstheme="minorHAnsi"/>
                <w:sz w:val="20"/>
              </w:rPr>
              <w:t>0</w:t>
            </w:r>
          </w:p>
        </w:tc>
      </w:tr>
    </w:tbl>
    <w:p w:rsidR="00C65050" w:rsidRPr="00F728B2" w:rsidP="00C65050" w14:paraId="3DE4700C" w14:textId="77777777">
      <w:pPr>
        <w:rPr>
          <w:rFonts w:cstheme="minorHAnsi"/>
        </w:rPr>
      </w:pPr>
    </w:p>
    <w:p w:rsidR="00C65050" w:rsidRPr="00A93CB0" w:rsidP="00C65050" w14:paraId="7FAB47CF" w14:textId="77777777">
      <w:pPr>
        <w:pStyle w:val="TableTitle"/>
        <w:rPr>
          <w:rFonts w:asciiTheme="minorHAnsi" w:hAnsiTheme="minorHAnsi" w:cstheme="minorHAnsi"/>
        </w:rPr>
      </w:pPr>
      <w:bookmarkStart w:id="22" w:name="_Toc152077190"/>
      <w:r w:rsidRPr="00A93CB0">
        <w:rPr>
          <w:rFonts w:asciiTheme="minorHAnsi" w:hAnsiTheme="minorHAnsi" w:cstheme="minorHAnsi"/>
        </w:rPr>
        <w:t xml:space="preserve">Table </w:t>
      </w:r>
      <w:r w:rsidRPr="00A93CB0">
        <w:rPr>
          <w:rFonts w:asciiTheme="minorHAnsi" w:hAnsiTheme="minorHAnsi" w:cstheme="minorHAnsi"/>
        </w:rPr>
        <w:fldChar w:fldCharType="begin"/>
      </w:r>
      <w:r w:rsidRPr="00A93CB0">
        <w:rPr>
          <w:rFonts w:asciiTheme="minorHAnsi" w:hAnsiTheme="minorHAnsi" w:cstheme="minorHAnsi"/>
        </w:rPr>
        <w:instrText>STYLEREF 1 \s</w:instrText>
      </w:r>
      <w:r w:rsidRPr="00A93CB0">
        <w:rPr>
          <w:rFonts w:asciiTheme="minorHAnsi" w:hAnsiTheme="minorHAnsi" w:cstheme="minorHAnsi"/>
        </w:rPr>
        <w:fldChar w:fldCharType="separate"/>
      </w:r>
      <w:r w:rsidRPr="00A93CB0">
        <w:rPr>
          <w:rFonts w:asciiTheme="minorHAnsi" w:hAnsiTheme="minorHAnsi" w:cstheme="minorHAnsi"/>
          <w:noProof/>
        </w:rPr>
        <w:t>12</w:t>
      </w:r>
      <w:r w:rsidRPr="00A93CB0">
        <w:rPr>
          <w:rFonts w:asciiTheme="minorHAnsi" w:hAnsiTheme="minorHAnsi" w:cstheme="minorHAnsi"/>
        </w:rPr>
        <w:fldChar w:fldCharType="end"/>
      </w:r>
      <w:r w:rsidRPr="00A93CB0">
        <w:rPr>
          <w:rFonts w:asciiTheme="minorHAnsi" w:hAnsiTheme="minorHAnsi" w:cstheme="minorHAnsi"/>
        </w:rPr>
        <w:noBreakHyphen/>
      </w:r>
      <w:r w:rsidRPr="00A93CB0">
        <w:rPr>
          <w:rFonts w:asciiTheme="minorHAnsi" w:hAnsiTheme="minorHAnsi" w:cstheme="minorHAnsi"/>
        </w:rPr>
        <w:fldChar w:fldCharType="begin"/>
      </w:r>
      <w:r w:rsidRPr="00A93CB0">
        <w:rPr>
          <w:rFonts w:asciiTheme="minorHAnsi" w:hAnsiTheme="minorHAnsi" w:cstheme="minorHAnsi"/>
        </w:rPr>
        <w:instrText>SEQ Table \* ARABIC \s 1</w:instrText>
      </w:r>
      <w:r w:rsidRPr="00A93CB0">
        <w:rPr>
          <w:rFonts w:asciiTheme="minorHAnsi" w:hAnsiTheme="minorHAnsi" w:cstheme="minorHAnsi"/>
        </w:rPr>
        <w:fldChar w:fldCharType="separate"/>
      </w:r>
      <w:r w:rsidRPr="00A93CB0">
        <w:rPr>
          <w:rFonts w:asciiTheme="minorHAnsi" w:hAnsiTheme="minorHAnsi" w:cstheme="minorHAnsi"/>
          <w:noProof/>
        </w:rPr>
        <w:t>2</w:t>
      </w:r>
      <w:r w:rsidRPr="00A93CB0">
        <w:rPr>
          <w:rFonts w:asciiTheme="minorHAnsi" w:hAnsiTheme="minorHAnsi" w:cstheme="minorHAnsi"/>
        </w:rPr>
        <w:fldChar w:fldCharType="end"/>
      </w:r>
      <w:r w:rsidRPr="00A93CB0">
        <w:rPr>
          <w:rFonts w:asciiTheme="minorHAnsi" w:hAnsiTheme="minorHAnsi" w:cstheme="minorHAnsi"/>
        </w:rPr>
        <w:t>. Burden per Questionnaire Estimate</w:t>
      </w:r>
      <w:bookmarkEnd w:id="22"/>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bottom w:w="14" w:type="dxa"/>
          <w:right w:w="58" w:type="dxa"/>
        </w:tblCellMar>
        <w:tblLook w:val="06A0"/>
      </w:tblPr>
      <w:tblGrid>
        <w:gridCol w:w="2155"/>
        <w:gridCol w:w="1230"/>
        <w:gridCol w:w="1381"/>
        <w:gridCol w:w="1083"/>
        <w:gridCol w:w="1261"/>
        <w:gridCol w:w="1201"/>
        <w:gridCol w:w="1224"/>
      </w:tblGrid>
      <w:tr w14:paraId="1EBF29A0" w14:textId="77777777" w:rsidTr="00536E4C">
        <w:tblPrEx>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bottom w:w="14" w:type="dxa"/>
            <w:right w:w="58" w:type="dxa"/>
          </w:tblCellMar>
          <w:tblLook w:val="06A0"/>
        </w:tblPrEx>
        <w:trPr>
          <w:cantSplit/>
          <w:trHeight w:val="579"/>
          <w:tblHeader/>
        </w:trPr>
        <w:tc>
          <w:tcPr>
            <w:tcW w:w="1130" w:type="pct"/>
            <w:vMerge w:val="restart"/>
            <w:shd w:val="clear" w:color="auto" w:fill="DDD9C3"/>
            <w:vAlign w:val="center"/>
          </w:tcPr>
          <w:p w:rsidR="00B52DF0" w:rsidRPr="00F728B2" w:rsidP="00396CB7" w14:paraId="68EECD07" w14:textId="77777777">
            <w:pPr>
              <w:spacing w:before="40" w:after="40"/>
              <w:jc w:val="center"/>
              <w:rPr>
                <w:rFonts w:cstheme="minorHAnsi"/>
                <w:b/>
                <w:bCs/>
                <w:sz w:val="20"/>
              </w:rPr>
            </w:pPr>
            <w:r w:rsidRPr="00F728B2">
              <w:rPr>
                <w:rFonts w:cstheme="minorHAnsi"/>
                <w:b/>
                <w:bCs/>
                <w:sz w:val="20"/>
              </w:rPr>
              <w:t>Burden item</w:t>
            </w:r>
          </w:p>
        </w:tc>
        <w:tc>
          <w:tcPr>
            <w:tcW w:w="645" w:type="pct"/>
            <w:shd w:val="clear" w:color="auto" w:fill="DDD9C3"/>
            <w:vAlign w:val="center"/>
          </w:tcPr>
          <w:p w:rsidR="00B52DF0" w:rsidRPr="00F728B2" w:rsidP="00396CB7" w14:paraId="2C3C7710" w14:textId="77777777">
            <w:pPr>
              <w:spacing w:before="40" w:after="40"/>
              <w:jc w:val="center"/>
              <w:rPr>
                <w:rFonts w:cstheme="minorHAnsi"/>
                <w:b/>
                <w:bCs/>
                <w:sz w:val="20"/>
              </w:rPr>
            </w:pPr>
            <w:r w:rsidRPr="00F728B2">
              <w:rPr>
                <w:rFonts w:cstheme="minorHAnsi"/>
                <w:b/>
                <w:bCs/>
                <w:sz w:val="20"/>
              </w:rPr>
              <w:t>(C)</w:t>
            </w:r>
          </w:p>
        </w:tc>
        <w:tc>
          <w:tcPr>
            <w:tcW w:w="724" w:type="pct"/>
            <w:shd w:val="clear" w:color="auto" w:fill="DDD9C3"/>
            <w:vAlign w:val="center"/>
          </w:tcPr>
          <w:p w:rsidR="00B52DF0" w:rsidRPr="00F728B2" w:rsidP="00396CB7" w14:paraId="26B05B69" w14:textId="77777777">
            <w:pPr>
              <w:spacing w:before="40" w:after="40"/>
              <w:jc w:val="center"/>
              <w:rPr>
                <w:rFonts w:cstheme="minorHAnsi"/>
                <w:b/>
                <w:bCs/>
                <w:sz w:val="20"/>
              </w:rPr>
            </w:pPr>
            <w:r w:rsidRPr="00F728B2">
              <w:rPr>
                <w:rFonts w:cstheme="minorHAnsi"/>
                <w:b/>
                <w:bCs/>
                <w:sz w:val="20"/>
              </w:rPr>
              <w:t>(D)</w:t>
            </w:r>
          </w:p>
        </w:tc>
        <w:tc>
          <w:tcPr>
            <w:tcW w:w="568" w:type="pct"/>
            <w:shd w:val="clear" w:color="auto" w:fill="DDD9C3"/>
            <w:vAlign w:val="center"/>
          </w:tcPr>
          <w:p w:rsidR="00B52DF0" w:rsidRPr="00F728B2" w:rsidP="00396CB7" w14:paraId="56AF8045" w14:textId="77777777">
            <w:pPr>
              <w:spacing w:before="40" w:after="40"/>
              <w:jc w:val="center"/>
              <w:rPr>
                <w:rFonts w:cstheme="minorHAnsi"/>
                <w:b/>
                <w:bCs/>
                <w:sz w:val="20"/>
              </w:rPr>
            </w:pPr>
            <w:r w:rsidRPr="00F728B2">
              <w:rPr>
                <w:rFonts w:cstheme="minorHAnsi"/>
                <w:b/>
                <w:bCs/>
                <w:sz w:val="20"/>
              </w:rPr>
              <w:t>(E)</w:t>
            </w:r>
          </w:p>
        </w:tc>
        <w:tc>
          <w:tcPr>
            <w:tcW w:w="661" w:type="pct"/>
            <w:shd w:val="clear" w:color="auto" w:fill="DDD9C3"/>
            <w:vAlign w:val="center"/>
          </w:tcPr>
          <w:p w:rsidR="00B52DF0" w:rsidRPr="00F728B2" w:rsidP="00396CB7" w14:paraId="25D8A897" w14:textId="77777777">
            <w:pPr>
              <w:spacing w:before="40" w:after="40"/>
              <w:jc w:val="center"/>
              <w:rPr>
                <w:rFonts w:cstheme="minorHAnsi"/>
                <w:b/>
                <w:bCs/>
                <w:sz w:val="20"/>
              </w:rPr>
            </w:pPr>
            <w:r w:rsidRPr="00F728B2">
              <w:rPr>
                <w:rFonts w:cstheme="minorHAnsi"/>
                <w:b/>
                <w:bCs/>
                <w:sz w:val="20"/>
              </w:rPr>
              <w:t>(F)</w:t>
            </w:r>
          </w:p>
        </w:tc>
        <w:tc>
          <w:tcPr>
            <w:tcW w:w="630" w:type="pct"/>
            <w:shd w:val="clear" w:color="auto" w:fill="DDD9C3"/>
            <w:vAlign w:val="center"/>
          </w:tcPr>
          <w:p w:rsidR="00B52DF0" w:rsidRPr="00F728B2" w:rsidP="00396CB7" w14:paraId="03C87450" w14:textId="77777777">
            <w:pPr>
              <w:spacing w:before="40" w:after="40"/>
              <w:jc w:val="center"/>
              <w:rPr>
                <w:rFonts w:cstheme="minorHAnsi"/>
                <w:b/>
                <w:bCs/>
                <w:sz w:val="20"/>
              </w:rPr>
            </w:pPr>
            <w:r w:rsidRPr="00F728B2">
              <w:rPr>
                <w:rFonts w:cstheme="minorHAnsi"/>
                <w:b/>
                <w:bCs/>
                <w:sz w:val="20"/>
              </w:rPr>
              <w:t>(G)</w:t>
            </w:r>
          </w:p>
        </w:tc>
        <w:tc>
          <w:tcPr>
            <w:tcW w:w="642" w:type="pct"/>
            <w:shd w:val="clear" w:color="auto" w:fill="DDD9C3"/>
            <w:vAlign w:val="center"/>
          </w:tcPr>
          <w:p w:rsidR="00B52DF0" w:rsidRPr="00F728B2" w:rsidP="00396CB7" w14:paraId="3C22D12B" w14:textId="77777777">
            <w:pPr>
              <w:spacing w:before="40" w:after="40"/>
              <w:jc w:val="center"/>
              <w:rPr>
                <w:rFonts w:cstheme="minorHAnsi"/>
                <w:b/>
                <w:bCs/>
                <w:sz w:val="20"/>
              </w:rPr>
            </w:pPr>
            <w:r w:rsidRPr="00F728B2">
              <w:rPr>
                <w:rFonts w:cstheme="minorHAnsi"/>
                <w:b/>
                <w:bCs/>
                <w:sz w:val="20"/>
              </w:rPr>
              <w:t>(H)</w:t>
            </w:r>
          </w:p>
        </w:tc>
      </w:tr>
      <w:tr w14:paraId="2F1D1AAB" w14:textId="77777777" w:rsidTr="00536E4C">
        <w:tblPrEx>
          <w:tblW w:w="5099" w:type="pct"/>
          <w:tblLayout w:type="fixed"/>
          <w:tblCellMar>
            <w:top w:w="14" w:type="dxa"/>
            <w:left w:w="58" w:type="dxa"/>
            <w:bottom w:w="14" w:type="dxa"/>
            <w:right w:w="58" w:type="dxa"/>
          </w:tblCellMar>
          <w:tblLook w:val="06A0"/>
        </w:tblPrEx>
        <w:trPr>
          <w:cantSplit/>
          <w:trHeight w:val="651"/>
          <w:tblHeader/>
        </w:trPr>
        <w:tc>
          <w:tcPr>
            <w:tcW w:w="1130" w:type="pct"/>
            <w:vMerge/>
            <w:shd w:val="clear" w:color="auto" w:fill="DDD9C3"/>
            <w:vAlign w:val="center"/>
          </w:tcPr>
          <w:p w:rsidR="00B52DF0" w:rsidRPr="00F728B2" w:rsidP="00396CB7" w14:paraId="26ACB226" w14:textId="77777777">
            <w:pPr>
              <w:spacing w:before="40" w:after="40"/>
              <w:jc w:val="center"/>
              <w:rPr>
                <w:rFonts w:cstheme="minorHAnsi"/>
                <w:b/>
                <w:bCs/>
                <w:sz w:val="20"/>
              </w:rPr>
            </w:pPr>
          </w:p>
        </w:tc>
        <w:tc>
          <w:tcPr>
            <w:tcW w:w="645" w:type="pct"/>
            <w:shd w:val="clear" w:color="auto" w:fill="DDD9C3"/>
            <w:vAlign w:val="center"/>
          </w:tcPr>
          <w:p w:rsidR="00B52DF0" w:rsidRPr="00F728B2" w:rsidP="00396CB7" w14:paraId="4A3B192C" w14:textId="77777777">
            <w:pPr>
              <w:spacing w:before="40" w:after="40"/>
              <w:jc w:val="center"/>
              <w:rPr>
                <w:rFonts w:cstheme="minorHAnsi"/>
                <w:b/>
                <w:bCs/>
                <w:sz w:val="20"/>
              </w:rPr>
            </w:pPr>
            <w:r w:rsidRPr="00F728B2">
              <w:rPr>
                <w:rFonts w:cstheme="minorHAnsi"/>
                <w:b/>
                <w:bCs/>
                <w:sz w:val="20"/>
              </w:rPr>
              <w:t>Person-hours per respondent</w:t>
            </w:r>
          </w:p>
        </w:tc>
        <w:tc>
          <w:tcPr>
            <w:tcW w:w="724" w:type="pct"/>
            <w:shd w:val="clear" w:color="auto" w:fill="DDD9C3"/>
            <w:vAlign w:val="center"/>
          </w:tcPr>
          <w:p w:rsidR="00B52DF0" w:rsidRPr="00F728B2" w:rsidP="00396CB7" w14:paraId="58417DC2" w14:textId="2BE038BD">
            <w:pPr>
              <w:spacing w:before="40" w:after="40"/>
              <w:jc w:val="center"/>
              <w:rPr>
                <w:rFonts w:cstheme="minorHAnsi"/>
                <w:b/>
                <w:bCs/>
                <w:sz w:val="20"/>
              </w:rPr>
            </w:pPr>
            <w:r w:rsidRPr="00F728B2">
              <w:rPr>
                <w:rFonts w:cstheme="minorHAnsi"/>
                <w:b/>
                <w:bCs/>
                <w:sz w:val="20"/>
              </w:rPr>
              <w:t>Respondents</w:t>
            </w:r>
            <w:r w:rsidRPr="00F728B2" w:rsidR="001D6468">
              <w:rPr>
                <w:rFonts w:cstheme="minorHAnsi"/>
                <w:b/>
                <w:bCs/>
                <w:sz w:val="20"/>
              </w:rPr>
              <w:t>*</w:t>
            </w:r>
          </w:p>
        </w:tc>
        <w:tc>
          <w:tcPr>
            <w:tcW w:w="568" w:type="pct"/>
            <w:shd w:val="clear" w:color="auto" w:fill="DDD9C3"/>
            <w:vAlign w:val="center"/>
          </w:tcPr>
          <w:p w:rsidR="00B52DF0" w:rsidRPr="00F728B2" w:rsidP="00396CB7" w14:paraId="63824DF9" w14:textId="77777777">
            <w:pPr>
              <w:spacing w:before="40" w:after="40"/>
              <w:jc w:val="center"/>
              <w:rPr>
                <w:rFonts w:cstheme="minorHAnsi"/>
                <w:b/>
                <w:bCs/>
                <w:sz w:val="20"/>
              </w:rPr>
            </w:pPr>
            <w:r w:rsidRPr="00F728B2">
              <w:rPr>
                <w:rFonts w:cstheme="minorHAnsi"/>
                <w:b/>
                <w:bCs/>
                <w:sz w:val="20"/>
              </w:rPr>
              <w:t xml:space="preserve">Technical hours </w:t>
            </w:r>
            <w:r w:rsidRPr="00F728B2">
              <w:rPr>
                <w:rFonts w:cstheme="minorHAnsi"/>
                <w:b/>
                <w:bCs/>
                <w:sz w:val="20"/>
              </w:rPr>
              <w:br/>
              <w:t>(E=</w:t>
            </w:r>
            <w:r w:rsidRPr="00F728B2">
              <w:rPr>
                <w:rFonts w:cstheme="minorHAnsi"/>
                <w:b/>
                <w:bCs/>
                <w:sz w:val="20"/>
              </w:rPr>
              <w:t>CxD</w:t>
            </w:r>
            <w:r w:rsidRPr="00F728B2">
              <w:rPr>
                <w:rFonts w:cstheme="minorHAnsi"/>
                <w:b/>
                <w:bCs/>
                <w:sz w:val="20"/>
              </w:rPr>
              <w:t>)</w:t>
            </w:r>
          </w:p>
        </w:tc>
        <w:tc>
          <w:tcPr>
            <w:tcW w:w="661" w:type="pct"/>
            <w:shd w:val="clear" w:color="auto" w:fill="DDD9C3"/>
            <w:vAlign w:val="center"/>
          </w:tcPr>
          <w:p w:rsidR="00B52DF0" w:rsidRPr="00F728B2" w:rsidP="00396CB7" w14:paraId="18F622C6" w14:textId="77777777">
            <w:pPr>
              <w:spacing w:before="40" w:after="40"/>
              <w:jc w:val="center"/>
              <w:rPr>
                <w:rFonts w:cstheme="minorHAnsi"/>
                <w:b/>
                <w:bCs/>
                <w:sz w:val="20"/>
              </w:rPr>
            </w:pPr>
            <w:r w:rsidRPr="00F728B2">
              <w:rPr>
                <w:rFonts w:cstheme="minorHAnsi"/>
                <w:b/>
                <w:bCs/>
                <w:sz w:val="20"/>
              </w:rPr>
              <w:t xml:space="preserve">Management hours </w:t>
            </w:r>
            <w:r w:rsidRPr="00F728B2">
              <w:rPr>
                <w:rFonts w:cstheme="minorHAnsi"/>
                <w:b/>
                <w:bCs/>
                <w:sz w:val="20"/>
              </w:rPr>
              <w:br/>
              <w:t>(F=Ex0.05)</w:t>
            </w:r>
          </w:p>
        </w:tc>
        <w:tc>
          <w:tcPr>
            <w:tcW w:w="630" w:type="pct"/>
            <w:shd w:val="clear" w:color="auto" w:fill="DDD9C3"/>
            <w:vAlign w:val="center"/>
          </w:tcPr>
          <w:p w:rsidR="00B52DF0" w:rsidRPr="00F728B2" w:rsidP="00396CB7" w14:paraId="35A0CD30" w14:textId="77777777">
            <w:pPr>
              <w:spacing w:before="40" w:after="40"/>
              <w:jc w:val="center"/>
              <w:rPr>
                <w:rFonts w:cstheme="minorHAnsi"/>
                <w:b/>
                <w:bCs/>
                <w:sz w:val="20"/>
              </w:rPr>
            </w:pPr>
            <w:r w:rsidRPr="00F728B2">
              <w:rPr>
                <w:rFonts w:cstheme="minorHAnsi"/>
                <w:b/>
                <w:bCs/>
                <w:sz w:val="20"/>
              </w:rPr>
              <w:t xml:space="preserve">Clerical hours </w:t>
            </w:r>
            <w:r w:rsidRPr="00F728B2">
              <w:rPr>
                <w:rFonts w:cstheme="minorHAnsi"/>
                <w:b/>
                <w:bCs/>
                <w:sz w:val="20"/>
              </w:rPr>
              <w:br/>
              <w:t>(G=Ex0.1)</w:t>
            </w:r>
          </w:p>
        </w:tc>
        <w:tc>
          <w:tcPr>
            <w:tcW w:w="642" w:type="pct"/>
            <w:shd w:val="clear" w:color="auto" w:fill="DDD9C3"/>
            <w:vAlign w:val="center"/>
          </w:tcPr>
          <w:p w:rsidR="00B52DF0" w:rsidRPr="00F728B2" w:rsidP="00396CB7" w14:paraId="74EC7A4F" w14:textId="77777777">
            <w:pPr>
              <w:spacing w:before="40" w:after="40"/>
              <w:jc w:val="center"/>
              <w:rPr>
                <w:rFonts w:cstheme="minorHAnsi"/>
                <w:b/>
                <w:bCs/>
                <w:sz w:val="20"/>
              </w:rPr>
            </w:pPr>
            <w:r w:rsidRPr="00F728B2">
              <w:rPr>
                <w:rFonts w:cstheme="minorHAnsi"/>
                <w:b/>
                <w:bCs/>
                <w:sz w:val="20"/>
              </w:rPr>
              <w:t>Total cost</w:t>
            </w:r>
            <w:r w:rsidRPr="00F728B2">
              <w:rPr>
                <w:rFonts w:cstheme="minorHAnsi"/>
                <w:b/>
                <w:bCs/>
                <w:sz w:val="20"/>
              </w:rPr>
              <w:br/>
              <w:t>($)</w:t>
            </w:r>
          </w:p>
        </w:tc>
      </w:tr>
      <w:tr w14:paraId="1150850A" w14:textId="77777777" w:rsidTr="00536E4C">
        <w:tblPrEx>
          <w:tblW w:w="5099" w:type="pct"/>
          <w:tblLayout w:type="fixed"/>
          <w:tblCellMar>
            <w:top w:w="14" w:type="dxa"/>
            <w:left w:w="58" w:type="dxa"/>
            <w:bottom w:w="14" w:type="dxa"/>
            <w:right w:w="58" w:type="dxa"/>
          </w:tblCellMar>
          <w:tblLook w:val="06A0"/>
        </w:tblPrEx>
        <w:trPr>
          <w:cantSplit/>
          <w:trHeight w:val="300"/>
        </w:trPr>
        <w:tc>
          <w:tcPr>
            <w:tcW w:w="1130" w:type="pct"/>
            <w:vAlign w:val="center"/>
          </w:tcPr>
          <w:p w:rsidR="00BE71FB" w:rsidRPr="00F728B2" w:rsidP="00BE71FB" w14:paraId="0A94D03E" w14:textId="39E89F16">
            <w:pPr>
              <w:spacing w:before="40" w:after="40"/>
              <w:jc w:val="center"/>
              <w:rPr>
                <w:rFonts w:cstheme="minorHAnsi"/>
                <w:sz w:val="20"/>
                <w:szCs w:val="20"/>
              </w:rPr>
            </w:pPr>
            <w:r w:rsidRPr="00A93CB0">
              <w:rPr>
                <w:rFonts w:cstheme="minorHAnsi"/>
                <w:sz w:val="20"/>
                <w:szCs w:val="20"/>
              </w:rPr>
              <w:t>General Information</w:t>
            </w:r>
          </w:p>
        </w:tc>
        <w:tc>
          <w:tcPr>
            <w:tcW w:w="645" w:type="pct"/>
            <w:vAlign w:val="center"/>
          </w:tcPr>
          <w:p w:rsidR="00BE71FB" w:rsidRPr="00F728B2" w:rsidP="00BE71FB" w14:paraId="0A057DE5" w14:textId="0A7190E9">
            <w:pPr>
              <w:spacing w:before="40" w:after="40"/>
              <w:jc w:val="center"/>
              <w:rPr>
                <w:rFonts w:cstheme="minorHAnsi"/>
                <w:sz w:val="20"/>
                <w:szCs w:val="20"/>
              </w:rPr>
            </w:pPr>
            <w:r w:rsidRPr="00A93CB0">
              <w:rPr>
                <w:rFonts w:cstheme="minorHAnsi"/>
                <w:sz w:val="20"/>
                <w:szCs w:val="20"/>
              </w:rPr>
              <w:t>0.86</w:t>
            </w:r>
          </w:p>
        </w:tc>
        <w:tc>
          <w:tcPr>
            <w:tcW w:w="724" w:type="pct"/>
            <w:vAlign w:val="center"/>
          </w:tcPr>
          <w:p w:rsidR="00BE71FB" w:rsidRPr="00F728B2" w:rsidP="00BE71FB" w14:paraId="0FBB637B" w14:textId="41D0ECFF">
            <w:pPr>
              <w:spacing w:before="40" w:after="40"/>
              <w:jc w:val="center"/>
              <w:rPr>
                <w:rFonts w:cstheme="minorHAnsi"/>
                <w:sz w:val="20"/>
                <w:szCs w:val="20"/>
              </w:rPr>
            </w:pPr>
            <w:r w:rsidRPr="00A93CB0">
              <w:rPr>
                <w:rFonts w:cstheme="minorHAnsi"/>
                <w:sz w:val="20"/>
                <w:szCs w:val="20"/>
              </w:rPr>
              <w:t>216</w:t>
            </w:r>
          </w:p>
        </w:tc>
        <w:tc>
          <w:tcPr>
            <w:tcW w:w="568" w:type="pct"/>
            <w:vAlign w:val="center"/>
          </w:tcPr>
          <w:p w:rsidR="00BE71FB" w:rsidRPr="00F728B2" w:rsidP="00BE71FB" w14:paraId="22E41C62" w14:textId="3FCB23C0">
            <w:pPr>
              <w:spacing w:before="40" w:after="40"/>
              <w:jc w:val="center"/>
              <w:rPr>
                <w:rFonts w:cstheme="minorHAnsi"/>
                <w:sz w:val="20"/>
                <w:szCs w:val="20"/>
              </w:rPr>
            </w:pPr>
            <w:r w:rsidRPr="00A93CB0">
              <w:rPr>
                <w:rFonts w:cstheme="minorHAnsi"/>
                <w:sz w:val="20"/>
                <w:szCs w:val="20"/>
              </w:rPr>
              <w:t>18</w:t>
            </w:r>
            <w:r w:rsidRPr="00A93CB0" w:rsidR="00ED26F6">
              <w:rPr>
                <w:rFonts w:cstheme="minorHAnsi"/>
                <w:sz w:val="20"/>
                <w:szCs w:val="20"/>
              </w:rPr>
              <w:t>6</w:t>
            </w:r>
          </w:p>
        </w:tc>
        <w:tc>
          <w:tcPr>
            <w:tcW w:w="661" w:type="pct"/>
            <w:vAlign w:val="center"/>
          </w:tcPr>
          <w:p w:rsidR="00BE71FB" w:rsidRPr="00F728B2" w:rsidP="00BE71FB" w14:paraId="2421A602" w14:textId="10AD31DB">
            <w:pPr>
              <w:spacing w:before="40" w:after="40"/>
              <w:jc w:val="center"/>
              <w:rPr>
                <w:rFonts w:cstheme="minorHAnsi"/>
                <w:sz w:val="20"/>
                <w:szCs w:val="20"/>
              </w:rPr>
            </w:pPr>
            <w:r w:rsidRPr="00A93CB0">
              <w:rPr>
                <w:rFonts w:cstheme="minorHAnsi"/>
                <w:sz w:val="20"/>
                <w:szCs w:val="20"/>
              </w:rPr>
              <w:t>9.3</w:t>
            </w:r>
          </w:p>
        </w:tc>
        <w:tc>
          <w:tcPr>
            <w:tcW w:w="630" w:type="pct"/>
            <w:vAlign w:val="center"/>
          </w:tcPr>
          <w:p w:rsidR="00BE71FB" w:rsidRPr="00F728B2" w:rsidP="00BE71FB" w14:paraId="39EA5C5D" w14:textId="5F5E672A">
            <w:pPr>
              <w:spacing w:before="40" w:after="40"/>
              <w:jc w:val="center"/>
              <w:rPr>
                <w:rFonts w:cstheme="minorHAnsi"/>
                <w:sz w:val="20"/>
                <w:szCs w:val="20"/>
              </w:rPr>
            </w:pPr>
            <w:r w:rsidRPr="00A93CB0">
              <w:rPr>
                <w:rFonts w:cstheme="minorHAnsi"/>
                <w:sz w:val="20"/>
                <w:szCs w:val="20"/>
              </w:rPr>
              <w:t>18.6</w:t>
            </w:r>
          </w:p>
        </w:tc>
        <w:tc>
          <w:tcPr>
            <w:tcW w:w="642" w:type="pct"/>
            <w:vAlign w:val="center"/>
          </w:tcPr>
          <w:p w:rsidR="00BE71FB" w:rsidRPr="00F728B2" w:rsidP="00BE71FB" w14:paraId="6EE63A1E" w14:textId="37A82863">
            <w:pPr>
              <w:spacing w:before="40" w:after="40"/>
              <w:jc w:val="center"/>
              <w:rPr>
                <w:rFonts w:cstheme="minorHAnsi"/>
                <w:sz w:val="20"/>
                <w:szCs w:val="20"/>
              </w:rPr>
            </w:pPr>
            <w:r w:rsidRPr="00A93CB0">
              <w:rPr>
                <w:rFonts w:cstheme="minorHAnsi"/>
                <w:sz w:val="20"/>
                <w:szCs w:val="20"/>
              </w:rPr>
              <w:t>$21,</w:t>
            </w:r>
            <w:r w:rsidRPr="00A93CB0" w:rsidR="00CA0709">
              <w:rPr>
                <w:rFonts w:cstheme="minorHAnsi"/>
                <w:sz w:val="20"/>
                <w:szCs w:val="20"/>
              </w:rPr>
              <w:t>800</w:t>
            </w:r>
          </w:p>
        </w:tc>
      </w:tr>
      <w:tr w14:paraId="27E0CA2C" w14:textId="77777777" w:rsidTr="00536E4C">
        <w:tblPrEx>
          <w:tblW w:w="5099" w:type="pct"/>
          <w:tblLayout w:type="fixed"/>
          <w:tblCellMar>
            <w:top w:w="14" w:type="dxa"/>
            <w:left w:w="58" w:type="dxa"/>
            <w:bottom w:w="14" w:type="dxa"/>
            <w:right w:w="58" w:type="dxa"/>
          </w:tblCellMar>
          <w:tblLook w:val="06A0"/>
        </w:tblPrEx>
        <w:trPr>
          <w:cantSplit/>
          <w:trHeight w:val="300"/>
        </w:trPr>
        <w:tc>
          <w:tcPr>
            <w:tcW w:w="1130" w:type="pct"/>
            <w:vAlign w:val="center"/>
          </w:tcPr>
          <w:p w:rsidR="00BE71FB" w:rsidRPr="00F728B2" w:rsidP="00BE71FB" w14:paraId="590C9916" w14:textId="28234C7F">
            <w:pPr>
              <w:spacing w:before="40" w:after="40"/>
              <w:jc w:val="center"/>
              <w:rPr>
                <w:rFonts w:cstheme="minorHAnsi"/>
                <w:sz w:val="20"/>
                <w:szCs w:val="20"/>
              </w:rPr>
            </w:pPr>
            <w:r w:rsidRPr="00A93CB0">
              <w:rPr>
                <w:rFonts w:cstheme="minorHAnsi"/>
                <w:sz w:val="20"/>
                <w:szCs w:val="20"/>
              </w:rPr>
              <w:t>Technical Information</w:t>
            </w:r>
          </w:p>
        </w:tc>
        <w:tc>
          <w:tcPr>
            <w:tcW w:w="645" w:type="pct"/>
            <w:vAlign w:val="center"/>
          </w:tcPr>
          <w:p w:rsidR="00BE71FB" w:rsidRPr="00F728B2" w:rsidP="00BE71FB" w14:paraId="5359D3A2" w14:textId="34BB401C">
            <w:pPr>
              <w:spacing w:before="40" w:after="40"/>
              <w:jc w:val="center"/>
              <w:rPr>
                <w:rFonts w:cstheme="minorHAnsi"/>
                <w:sz w:val="20"/>
                <w:szCs w:val="20"/>
              </w:rPr>
            </w:pPr>
            <w:r w:rsidRPr="00A93CB0">
              <w:rPr>
                <w:rFonts w:cstheme="minorHAnsi"/>
                <w:sz w:val="20"/>
                <w:szCs w:val="20"/>
              </w:rPr>
              <w:t>1.55</w:t>
            </w:r>
          </w:p>
        </w:tc>
        <w:tc>
          <w:tcPr>
            <w:tcW w:w="724" w:type="pct"/>
            <w:vAlign w:val="center"/>
          </w:tcPr>
          <w:p w:rsidR="00BE71FB" w:rsidRPr="00F728B2" w:rsidP="00BE71FB" w14:paraId="3818C43F" w14:textId="0E9736F6">
            <w:pPr>
              <w:spacing w:before="40" w:after="40"/>
              <w:jc w:val="center"/>
              <w:rPr>
                <w:rFonts w:cstheme="minorHAnsi"/>
                <w:sz w:val="20"/>
                <w:szCs w:val="20"/>
              </w:rPr>
            </w:pPr>
            <w:r w:rsidRPr="00A93CB0">
              <w:rPr>
                <w:rFonts w:cstheme="minorHAnsi"/>
                <w:sz w:val="20"/>
                <w:szCs w:val="20"/>
              </w:rPr>
              <w:t>216</w:t>
            </w:r>
          </w:p>
        </w:tc>
        <w:tc>
          <w:tcPr>
            <w:tcW w:w="568" w:type="pct"/>
            <w:vAlign w:val="center"/>
          </w:tcPr>
          <w:p w:rsidR="00BE71FB" w:rsidRPr="00F728B2" w:rsidP="00BE71FB" w14:paraId="292D68EC" w14:textId="5273AF0E">
            <w:pPr>
              <w:spacing w:before="40" w:after="40"/>
              <w:jc w:val="center"/>
              <w:rPr>
                <w:rFonts w:cstheme="minorHAnsi"/>
                <w:sz w:val="20"/>
                <w:szCs w:val="20"/>
              </w:rPr>
            </w:pPr>
            <w:r w:rsidRPr="00A93CB0">
              <w:rPr>
                <w:rFonts w:cstheme="minorHAnsi"/>
                <w:sz w:val="20"/>
                <w:szCs w:val="20"/>
              </w:rPr>
              <w:t>33</w:t>
            </w:r>
            <w:r w:rsidRPr="00A93CB0" w:rsidR="00ED26F6">
              <w:rPr>
                <w:rFonts w:cstheme="minorHAnsi"/>
                <w:sz w:val="20"/>
                <w:szCs w:val="20"/>
              </w:rPr>
              <w:t>5</w:t>
            </w:r>
          </w:p>
        </w:tc>
        <w:tc>
          <w:tcPr>
            <w:tcW w:w="661" w:type="pct"/>
            <w:vAlign w:val="center"/>
          </w:tcPr>
          <w:p w:rsidR="00BE71FB" w:rsidRPr="00F728B2" w:rsidP="00BE71FB" w14:paraId="4E1EFCE0" w14:textId="37B036F4">
            <w:pPr>
              <w:spacing w:before="40" w:after="40"/>
              <w:jc w:val="center"/>
              <w:rPr>
                <w:rFonts w:cstheme="minorHAnsi"/>
                <w:sz w:val="20"/>
                <w:szCs w:val="20"/>
              </w:rPr>
            </w:pPr>
            <w:r w:rsidRPr="00A93CB0">
              <w:rPr>
                <w:rFonts w:cstheme="minorHAnsi"/>
                <w:sz w:val="20"/>
                <w:szCs w:val="20"/>
              </w:rPr>
              <w:t>16.7</w:t>
            </w:r>
          </w:p>
        </w:tc>
        <w:tc>
          <w:tcPr>
            <w:tcW w:w="630" w:type="pct"/>
            <w:vAlign w:val="center"/>
          </w:tcPr>
          <w:p w:rsidR="00BE71FB" w:rsidRPr="00F728B2" w:rsidP="00BE71FB" w14:paraId="15D800BC" w14:textId="7E3906AE">
            <w:pPr>
              <w:spacing w:before="40" w:after="40"/>
              <w:jc w:val="center"/>
              <w:rPr>
                <w:rFonts w:cstheme="minorHAnsi"/>
                <w:sz w:val="20"/>
                <w:szCs w:val="20"/>
              </w:rPr>
            </w:pPr>
            <w:r w:rsidRPr="00A93CB0">
              <w:rPr>
                <w:rFonts w:cstheme="minorHAnsi"/>
                <w:sz w:val="20"/>
                <w:szCs w:val="20"/>
              </w:rPr>
              <w:t>33.5</w:t>
            </w:r>
          </w:p>
        </w:tc>
        <w:tc>
          <w:tcPr>
            <w:tcW w:w="642" w:type="pct"/>
            <w:vAlign w:val="center"/>
          </w:tcPr>
          <w:p w:rsidR="00BE71FB" w:rsidRPr="00F728B2" w:rsidP="00BE71FB" w14:paraId="1AA0DA3B" w14:textId="35A39C7C">
            <w:pPr>
              <w:spacing w:before="40" w:after="40"/>
              <w:jc w:val="center"/>
              <w:rPr>
                <w:rFonts w:cstheme="minorHAnsi"/>
                <w:sz w:val="20"/>
                <w:szCs w:val="20"/>
              </w:rPr>
            </w:pPr>
            <w:r w:rsidRPr="00A93CB0">
              <w:rPr>
                <w:rFonts w:cstheme="minorHAnsi"/>
                <w:sz w:val="20"/>
                <w:szCs w:val="20"/>
              </w:rPr>
              <w:t>$39,2</w:t>
            </w:r>
            <w:r w:rsidRPr="00A93CB0" w:rsidR="00CA0709">
              <w:rPr>
                <w:rFonts w:cstheme="minorHAnsi"/>
                <w:sz w:val="20"/>
                <w:szCs w:val="20"/>
              </w:rPr>
              <w:t>00</w:t>
            </w:r>
          </w:p>
        </w:tc>
      </w:tr>
      <w:tr w14:paraId="7C459874" w14:textId="77777777" w:rsidTr="00536E4C">
        <w:tblPrEx>
          <w:tblW w:w="5099" w:type="pct"/>
          <w:tblLayout w:type="fixed"/>
          <w:tblCellMar>
            <w:top w:w="14" w:type="dxa"/>
            <w:left w:w="58" w:type="dxa"/>
            <w:bottom w:w="14" w:type="dxa"/>
            <w:right w:w="58" w:type="dxa"/>
          </w:tblCellMar>
          <w:tblLook w:val="06A0"/>
        </w:tblPrEx>
        <w:trPr>
          <w:cantSplit/>
          <w:trHeight w:val="300"/>
        </w:trPr>
        <w:tc>
          <w:tcPr>
            <w:tcW w:w="1130" w:type="pct"/>
            <w:vAlign w:val="center"/>
          </w:tcPr>
          <w:p w:rsidR="00BE71FB" w:rsidRPr="00F728B2" w:rsidP="00BE71FB" w14:paraId="1C9EC3B0" w14:textId="6D3A7475">
            <w:pPr>
              <w:spacing w:before="40" w:after="40"/>
              <w:jc w:val="center"/>
              <w:rPr>
                <w:rFonts w:cstheme="minorHAnsi"/>
                <w:sz w:val="20"/>
                <w:szCs w:val="20"/>
              </w:rPr>
            </w:pPr>
            <w:r w:rsidRPr="00A93CB0">
              <w:rPr>
                <w:rFonts w:cstheme="minorHAnsi"/>
                <w:sz w:val="20"/>
                <w:szCs w:val="20"/>
              </w:rPr>
              <w:t>Facility Operations</w:t>
            </w:r>
          </w:p>
        </w:tc>
        <w:tc>
          <w:tcPr>
            <w:tcW w:w="645" w:type="pct"/>
            <w:vAlign w:val="center"/>
          </w:tcPr>
          <w:p w:rsidR="00BE71FB" w:rsidRPr="00F728B2" w:rsidP="00BE71FB" w14:paraId="11C601CB" w14:textId="700A1738">
            <w:pPr>
              <w:spacing w:before="40" w:after="40"/>
              <w:jc w:val="center"/>
              <w:rPr>
                <w:rFonts w:cstheme="minorHAnsi"/>
                <w:sz w:val="20"/>
                <w:szCs w:val="20"/>
              </w:rPr>
            </w:pPr>
            <w:r w:rsidRPr="00A93CB0">
              <w:rPr>
                <w:rFonts w:cstheme="minorHAnsi"/>
                <w:sz w:val="20"/>
                <w:szCs w:val="20"/>
              </w:rPr>
              <w:t>5.17</w:t>
            </w:r>
          </w:p>
        </w:tc>
        <w:tc>
          <w:tcPr>
            <w:tcW w:w="724" w:type="pct"/>
            <w:vAlign w:val="center"/>
          </w:tcPr>
          <w:p w:rsidR="00BE71FB" w:rsidRPr="00F728B2" w:rsidP="00BE71FB" w14:paraId="743F8DD4" w14:textId="4E29B8F4">
            <w:pPr>
              <w:spacing w:before="40" w:after="40"/>
              <w:jc w:val="center"/>
              <w:rPr>
                <w:rFonts w:cstheme="minorHAnsi"/>
                <w:sz w:val="20"/>
                <w:szCs w:val="20"/>
              </w:rPr>
            </w:pPr>
            <w:r w:rsidRPr="00A93CB0">
              <w:rPr>
                <w:rFonts w:cstheme="minorHAnsi"/>
                <w:sz w:val="20"/>
                <w:szCs w:val="20"/>
              </w:rPr>
              <w:t>216</w:t>
            </w:r>
          </w:p>
        </w:tc>
        <w:tc>
          <w:tcPr>
            <w:tcW w:w="568" w:type="pct"/>
            <w:vAlign w:val="center"/>
          </w:tcPr>
          <w:p w:rsidR="00BE71FB" w:rsidRPr="00F728B2" w:rsidP="00BE71FB" w14:paraId="4530E9FD" w14:textId="5FA84EB7">
            <w:pPr>
              <w:spacing w:before="40" w:after="40"/>
              <w:jc w:val="center"/>
              <w:rPr>
                <w:rFonts w:cstheme="minorHAnsi"/>
                <w:sz w:val="20"/>
                <w:szCs w:val="20"/>
              </w:rPr>
            </w:pPr>
            <w:r w:rsidRPr="00A93CB0">
              <w:rPr>
                <w:rFonts w:cstheme="minorHAnsi"/>
                <w:sz w:val="20"/>
                <w:szCs w:val="20"/>
              </w:rPr>
              <w:t>1117</w:t>
            </w:r>
          </w:p>
        </w:tc>
        <w:tc>
          <w:tcPr>
            <w:tcW w:w="661" w:type="pct"/>
            <w:vAlign w:val="center"/>
          </w:tcPr>
          <w:p w:rsidR="00BE71FB" w:rsidRPr="00F728B2" w:rsidP="00BE71FB" w14:paraId="008D5F03" w14:textId="4448C74A">
            <w:pPr>
              <w:spacing w:before="40" w:after="40"/>
              <w:jc w:val="center"/>
              <w:rPr>
                <w:rFonts w:cstheme="minorHAnsi"/>
                <w:sz w:val="20"/>
                <w:szCs w:val="20"/>
              </w:rPr>
            </w:pPr>
            <w:r w:rsidRPr="00A93CB0">
              <w:rPr>
                <w:rFonts w:cstheme="minorHAnsi"/>
                <w:sz w:val="20"/>
                <w:szCs w:val="20"/>
              </w:rPr>
              <w:t>55.8</w:t>
            </w:r>
          </w:p>
        </w:tc>
        <w:tc>
          <w:tcPr>
            <w:tcW w:w="630" w:type="pct"/>
            <w:vAlign w:val="center"/>
          </w:tcPr>
          <w:p w:rsidR="00BE71FB" w:rsidRPr="00F728B2" w:rsidP="00BE71FB" w14:paraId="4A82B03C" w14:textId="2141581D">
            <w:pPr>
              <w:spacing w:before="40" w:after="40"/>
              <w:jc w:val="center"/>
              <w:rPr>
                <w:rFonts w:cstheme="minorHAnsi"/>
                <w:sz w:val="20"/>
                <w:szCs w:val="20"/>
              </w:rPr>
            </w:pPr>
            <w:r w:rsidRPr="00A93CB0">
              <w:rPr>
                <w:rFonts w:cstheme="minorHAnsi"/>
                <w:sz w:val="20"/>
                <w:szCs w:val="20"/>
              </w:rPr>
              <w:t>11</w:t>
            </w:r>
            <w:r w:rsidRPr="00A93CB0" w:rsidR="00CA0709">
              <w:rPr>
                <w:rFonts w:cstheme="minorHAnsi"/>
                <w:sz w:val="20"/>
                <w:szCs w:val="20"/>
              </w:rPr>
              <w:t>2</w:t>
            </w:r>
          </w:p>
        </w:tc>
        <w:tc>
          <w:tcPr>
            <w:tcW w:w="642" w:type="pct"/>
            <w:vAlign w:val="center"/>
          </w:tcPr>
          <w:p w:rsidR="00BE71FB" w:rsidRPr="00F728B2" w:rsidP="00BE71FB" w14:paraId="12AFC5D8" w14:textId="5FEB0276">
            <w:pPr>
              <w:spacing w:before="40" w:after="40"/>
              <w:jc w:val="center"/>
              <w:rPr>
                <w:rFonts w:cstheme="minorHAnsi"/>
                <w:sz w:val="20"/>
                <w:szCs w:val="20"/>
              </w:rPr>
            </w:pPr>
            <w:r w:rsidRPr="00A93CB0">
              <w:rPr>
                <w:rFonts w:cstheme="minorHAnsi"/>
                <w:sz w:val="20"/>
                <w:szCs w:val="20"/>
              </w:rPr>
              <w:t>$13</w:t>
            </w:r>
            <w:r w:rsidRPr="00A93CB0" w:rsidR="006B56E9">
              <w:rPr>
                <w:rFonts w:cstheme="minorHAnsi"/>
                <w:sz w:val="20"/>
                <w:szCs w:val="20"/>
              </w:rPr>
              <w:t>1,000</w:t>
            </w:r>
          </w:p>
        </w:tc>
      </w:tr>
      <w:tr w14:paraId="6ECE92FC" w14:textId="77777777" w:rsidTr="00536E4C">
        <w:tblPrEx>
          <w:tblW w:w="5099" w:type="pct"/>
          <w:tblLayout w:type="fixed"/>
          <w:tblCellMar>
            <w:top w:w="14" w:type="dxa"/>
            <w:left w:w="58" w:type="dxa"/>
            <w:bottom w:w="14" w:type="dxa"/>
            <w:right w:w="58" w:type="dxa"/>
          </w:tblCellMar>
          <w:tblLook w:val="06A0"/>
        </w:tblPrEx>
        <w:trPr>
          <w:cantSplit/>
          <w:trHeight w:val="300"/>
        </w:trPr>
        <w:tc>
          <w:tcPr>
            <w:tcW w:w="1130" w:type="pct"/>
            <w:vAlign w:val="center"/>
          </w:tcPr>
          <w:p w:rsidR="00BE71FB" w:rsidRPr="00F728B2" w:rsidP="00BE71FB" w14:paraId="75B8D16C" w14:textId="725A801F">
            <w:pPr>
              <w:spacing w:before="40" w:after="40"/>
              <w:jc w:val="center"/>
              <w:rPr>
                <w:rFonts w:cstheme="minorHAnsi"/>
                <w:sz w:val="20"/>
                <w:szCs w:val="20"/>
              </w:rPr>
            </w:pPr>
            <w:r w:rsidRPr="00A93CB0">
              <w:rPr>
                <w:rFonts w:cstheme="minorHAnsi"/>
                <w:sz w:val="20"/>
                <w:szCs w:val="20"/>
              </w:rPr>
              <w:t>Security</w:t>
            </w:r>
          </w:p>
        </w:tc>
        <w:tc>
          <w:tcPr>
            <w:tcW w:w="645" w:type="pct"/>
            <w:vAlign w:val="center"/>
          </w:tcPr>
          <w:p w:rsidR="00BE71FB" w:rsidRPr="00F728B2" w:rsidP="00BE71FB" w14:paraId="4E471B76" w14:textId="434EF137">
            <w:pPr>
              <w:spacing w:before="40" w:after="40"/>
              <w:jc w:val="center"/>
              <w:rPr>
                <w:rFonts w:cstheme="minorHAnsi"/>
                <w:sz w:val="20"/>
                <w:szCs w:val="20"/>
              </w:rPr>
            </w:pPr>
            <w:r w:rsidRPr="00A93CB0">
              <w:rPr>
                <w:rFonts w:cstheme="minorHAnsi"/>
                <w:sz w:val="20"/>
                <w:szCs w:val="20"/>
              </w:rPr>
              <w:t>0.66</w:t>
            </w:r>
          </w:p>
        </w:tc>
        <w:tc>
          <w:tcPr>
            <w:tcW w:w="724" w:type="pct"/>
            <w:vAlign w:val="center"/>
          </w:tcPr>
          <w:p w:rsidR="00BE71FB" w:rsidRPr="00F728B2" w:rsidP="00BE71FB" w14:paraId="18F56831" w14:textId="4688B23B">
            <w:pPr>
              <w:spacing w:before="40" w:after="40"/>
              <w:jc w:val="center"/>
              <w:rPr>
                <w:rFonts w:cstheme="minorHAnsi"/>
                <w:sz w:val="20"/>
                <w:szCs w:val="20"/>
              </w:rPr>
            </w:pPr>
            <w:r w:rsidRPr="00A93CB0">
              <w:rPr>
                <w:rFonts w:cstheme="minorHAnsi"/>
                <w:sz w:val="20"/>
                <w:szCs w:val="20"/>
              </w:rPr>
              <w:t>216</w:t>
            </w:r>
          </w:p>
        </w:tc>
        <w:tc>
          <w:tcPr>
            <w:tcW w:w="568" w:type="pct"/>
            <w:vAlign w:val="center"/>
          </w:tcPr>
          <w:p w:rsidR="00BE71FB" w:rsidRPr="00F728B2" w:rsidP="00BE71FB" w14:paraId="19AAEFFA" w14:textId="3F779A04">
            <w:pPr>
              <w:spacing w:before="40" w:after="40"/>
              <w:jc w:val="center"/>
              <w:rPr>
                <w:rFonts w:cstheme="minorHAnsi"/>
                <w:sz w:val="20"/>
                <w:szCs w:val="20"/>
              </w:rPr>
            </w:pPr>
            <w:r w:rsidRPr="00A93CB0">
              <w:rPr>
                <w:rFonts w:cstheme="minorHAnsi"/>
                <w:sz w:val="20"/>
                <w:szCs w:val="20"/>
              </w:rPr>
              <w:t>14</w:t>
            </w:r>
            <w:r w:rsidRPr="00A93CB0" w:rsidR="00ED26F6">
              <w:rPr>
                <w:rFonts w:cstheme="minorHAnsi"/>
                <w:sz w:val="20"/>
                <w:szCs w:val="20"/>
              </w:rPr>
              <w:t>3</w:t>
            </w:r>
          </w:p>
        </w:tc>
        <w:tc>
          <w:tcPr>
            <w:tcW w:w="661" w:type="pct"/>
            <w:vAlign w:val="center"/>
          </w:tcPr>
          <w:p w:rsidR="00BE71FB" w:rsidRPr="00F728B2" w:rsidP="00BE71FB" w14:paraId="4DC50AEF" w14:textId="46B70A2F">
            <w:pPr>
              <w:spacing w:before="40" w:after="40"/>
              <w:jc w:val="center"/>
              <w:rPr>
                <w:rFonts w:cstheme="minorHAnsi"/>
                <w:sz w:val="20"/>
                <w:szCs w:val="20"/>
              </w:rPr>
            </w:pPr>
            <w:r w:rsidRPr="00A93CB0">
              <w:rPr>
                <w:rFonts w:cstheme="minorHAnsi"/>
                <w:sz w:val="20"/>
                <w:szCs w:val="20"/>
              </w:rPr>
              <w:t>7.1</w:t>
            </w:r>
          </w:p>
        </w:tc>
        <w:tc>
          <w:tcPr>
            <w:tcW w:w="630" w:type="pct"/>
            <w:vAlign w:val="center"/>
          </w:tcPr>
          <w:p w:rsidR="00BE71FB" w:rsidRPr="00F728B2" w:rsidP="00BE71FB" w14:paraId="1B4146BF" w14:textId="770E97FE">
            <w:pPr>
              <w:spacing w:before="40" w:after="40"/>
              <w:jc w:val="center"/>
              <w:rPr>
                <w:rFonts w:cstheme="minorHAnsi"/>
                <w:sz w:val="20"/>
                <w:szCs w:val="20"/>
              </w:rPr>
            </w:pPr>
            <w:r w:rsidRPr="00A93CB0">
              <w:rPr>
                <w:rFonts w:cstheme="minorHAnsi"/>
                <w:sz w:val="20"/>
                <w:szCs w:val="20"/>
              </w:rPr>
              <w:t>14.3</w:t>
            </w:r>
          </w:p>
        </w:tc>
        <w:tc>
          <w:tcPr>
            <w:tcW w:w="642" w:type="pct"/>
            <w:vAlign w:val="center"/>
          </w:tcPr>
          <w:p w:rsidR="00BE71FB" w:rsidRPr="00F728B2" w:rsidP="00BE71FB" w14:paraId="3243D1A6" w14:textId="509B0FCE">
            <w:pPr>
              <w:spacing w:before="40" w:after="40"/>
              <w:jc w:val="center"/>
              <w:rPr>
                <w:rFonts w:cstheme="minorHAnsi"/>
                <w:sz w:val="20"/>
                <w:szCs w:val="20"/>
              </w:rPr>
            </w:pPr>
            <w:r w:rsidRPr="00A93CB0">
              <w:rPr>
                <w:rFonts w:cstheme="minorHAnsi"/>
                <w:sz w:val="20"/>
                <w:szCs w:val="20"/>
              </w:rPr>
              <w:t>$16,7</w:t>
            </w:r>
            <w:r w:rsidRPr="00A93CB0" w:rsidR="006B56E9">
              <w:rPr>
                <w:rFonts w:cstheme="minorHAnsi"/>
                <w:sz w:val="20"/>
                <w:szCs w:val="20"/>
              </w:rPr>
              <w:t>0</w:t>
            </w:r>
            <w:r w:rsidRPr="00A93CB0">
              <w:rPr>
                <w:rFonts w:cstheme="minorHAnsi"/>
                <w:sz w:val="20"/>
                <w:szCs w:val="20"/>
              </w:rPr>
              <w:t>0</w:t>
            </w:r>
          </w:p>
        </w:tc>
      </w:tr>
      <w:tr w14:paraId="76A9B36F" w14:textId="77777777" w:rsidTr="00536E4C">
        <w:tblPrEx>
          <w:tblW w:w="5099" w:type="pct"/>
          <w:tblLayout w:type="fixed"/>
          <w:tblCellMar>
            <w:top w:w="14" w:type="dxa"/>
            <w:left w:w="58" w:type="dxa"/>
            <w:bottom w:w="14" w:type="dxa"/>
            <w:right w:w="58" w:type="dxa"/>
          </w:tblCellMar>
          <w:tblLook w:val="06A0"/>
        </w:tblPrEx>
        <w:trPr>
          <w:cantSplit/>
          <w:trHeight w:val="300"/>
        </w:trPr>
        <w:tc>
          <w:tcPr>
            <w:tcW w:w="1130" w:type="pct"/>
            <w:vAlign w:val="center"/>
          </w:tcPr>
          <w:p w:rsidR="00BE71FB" w:rsidRPr="00F728B2" w:rsidP="00BE71FB" w14:paraId="05E9CAE8" w14:textId="26832FC6">
            <w:pPr>
              <w:spacing w:before="40" w:after="40"/>
              <w:jc w:val="center"/>
              <w:rPr>
                <w:rFonts w:cstheme="minorHAnsi"/>
                <w:sz w:val="20"/>
                <w:szCs w:val="20"/>
              </w:rPr>
            </w:pPr>
            <w:r w:rsidRPr="00A93CB0">
              <w:rPr>
                <w:rFonts w:cstheme="minorHAnsi"/>
                <w:sz w:val="20"/>
                <w:szCs w:val="20"/>
              </w:rPr>
              <w:t>Safety</w:t>
            </w:r>
          </w:p>
        </w:tc>
        <w:tc>
          <w:tcPr>
            <w:tcW w:w="645" w:type="pct"/>
            <w:vAlign w:val="center"/>
          </w:tcPr>
          <w:p w:rsidR="00BE71FB" w:rsidRPr="00F728B2" w:rsidP="00BE71FB" w14:paraId="7519D569" w14:textId="7B238BD1">
            <w:pPr>
              <w:spacing w:before="40" w:after="40"/>
              <w:jc w:val="center"/>
              <w:rPr>
                <w:rFonts w:cstheme="minorHAnsi"/>
                <w:sz w:val="20"/>
                <w:szCs w:val="20"/>
              </w:rPr>
            </w:pPr>
            <w:r w:rsidRPr="00A93CB0">
              <w:rPr>
                <w:rFonts w:cstheme="minorHAnsi"/>
                <w:sz w:val="20"/>
                <w:szCs w:val="20"/>
              </w:rPr>
              <w:t>2.</w:t>
            </w:r>
            <w:r w:rsidRPr="00A93CB0" w:rsidR="00906218">
              <w:rPr>
                <w:rFonts w:cstheme="minorHAnsi"/>
                <w:sz w:val="20"/>
                <w:szCs w:val="20"/>
              </w:rPr>
              <w:t>49</w:t>
            </w:r>
          </w:p>
        </w:tc>
        <w:tc>
          <w:tcPr>
            <w:tcW w:w="724" w:type="pct"/>
            <w:vAlign w:val="center"/>
          </w:tcPr>
          <w:p w:rsidR="00BE71FB" w:rsidRPr="00F728B2" w:rsidP="00BE71FB" w14:paraId="7B1D00A5" w14:textId="1DB7DC25">
            <w:pPr>
              <w:spacing w:before="40" w:after="40"/>
              <w:jc w:val="center"/>
              <w:rPr>
                <w:rFonts w:cstheme="minorHAnsi"/>
                <w:sz w:val="20"/>
                <w:szCs w:val="20"/>
              </w:rPr>
            </w:pPr>
            <w:r w:rsidRPr="00A93CB0">
              <w:rPr>
                <w:rFonts w:cstheme="minorHAnsi"/>
                <w:sz w:val="20"/>
                <w:szCs w:val="20"/>
              </w:rPr>
              <w:t>216</w:t>
            </w:r>
          </w:p>
        </w:tc>
        <w:tc>
          <w:tcPr>
            <w:tcW w:w="568" w:type="pct"/>
            <w:vAlign w:val="center"/>
          </w:tcPr>
          <w:p w:rsidR="00BE71FB" w:rsidRPr="00F728B2" w:rsidP="00BE71FB" w14:paraId="22AEC28A" w14:textId="74E068D7">
            <w:pPr>
              <w:spacing w:before="40" w:after="40"/>
              <w:jc w:val="center"/>
              <w:rPr>
                <w:rFonts w:cstheme="minorHAnsi"/>
                <w:sz w:val="20"/>
                <w:szCs w:val="20"/>
              </w:rPr>
            </w:pPr>
            <w:r w:rsidRPr="00A93CB0">
              <w:rPr>
                <w:rFonts w:cstheme="minorHAnsi"/>
                <w:sz w:val="20"/>
                <w:szCs w:val="20"/>
              </w:rPr>
              <w:t>538</w:t>
            </w:r>
          </w:p>
        </w:tc>
        <w:tc>
          <w:tcPr>
            <w:tcW w:w="661" w:type="pct"/>
            <w:vAlign w:val="center"/>
          </w:tcPr>
          <w:p w:rsidR="00BE71FB" w:rsidRPr="00F728B2" w:rsidP="00BE71FB" w14:paraId="2569E0B5" w14:textId="5FA0AA74">
            <w:pPr>
              <w:spacing w:before="40" w:after="40"/>
              <w:jc w:val="center"/>
              <w:rPr>
                <w:rFonts w:cstheme="minorHAnsi"/>
                <w:sz w:val="20"/>
                <w:szCs w:val="20"/>
              </w:rPr>
            </w:pPr>
            <w:r w:rsidRPr="00A93CB0">
              <w:rPr>
                <w:rFonts w:cstheme="minorHAnsi"/>
                <w:sz w:val="20"/>
                <w:szCs w:val="20"/>
              </w:rPr>
              <w:t>26.9</w:t>
            </w:r>
          </w:p>
        </w:tc>
        <w:tc>
          <w:tcPr>
            <w:tcW w:w="630" w:type="pct"/>
            <w:vAlign w:val="center"/>
          </w:tcPr>
          <w:p w:rsidR="00BE71FB" w:rsidRPr="00F728B2" w:rsidP="00BE71FB" w14:paraId="69DE388C" w14:textId="31B7FAD5">
            <w:pPr>
              <w:spacing w:before="40" w:after="40"/>
              <w:jc w:val="center"/>
              <w:rPr>
                <w:rFonts w:cstheme="minorHAnsi"/>
                <w:sz w:val="20"/>
                <w:szCs w:val="20"/>
              </w:rPr>
            </w:pPr>
            <w:r w:rsidRPr="00A93CB0">
              <w:rPr>
                <w:rFonts w:cstheme="minorHAnsi"/>
                <w:sz w:val="20"/>
                <w:szCs w:val="20"/>
              </w:rPr>
              <w:t>53.8</w:t>
            </w:r>
          </w:p>
        </w:tc>
        <w:tc>
          <w:tcPr>
            <w:tcW w:w="642" w:type="pct"/>
            <w:vAlign w:val="center"/>
          </w:tcPr>
          <w:p w:rsidR="00BE71FB" w:rsidRPr="00F728B2" w:rsidP="00BE71FB" w14:paraId="0D2C46ED" w14:textId="7EC51E70">
            <w:pPr>
              <w:spacing w:before="40" w:after="40"/>
              <w:jc w:val="center"/>
              <w:rPr>
                <w:rFonts w:cstheme="minorHAnsi"/>
                <w:sz w:val="20"/>
                <w:szCs w:val="20"/>
              </w:rPr>
            </w:pPr>
            <w:r w:rsidRPr="00A93CB0">
              <w:rPr>
                <w:rFonts w:cstheme="minorHAnsi"/>
                <w:sz w:val="20"/>
                <w:szCs w:val="20"/>
              </w:rPr>
              <w:t>$63,0</w:t>
            </w:r>
            <w:r w:rsidRPr="00A93CB0" w:rsidR="006B56E9">
              <w:rPr>
                <w:rFonts w:cstheme="minorHAnsi"/>
                <w:sz w:val="20"/>
                <w:szCs w:val="20"/>
              </w:rPr>
              <w:t>00</w:t>
            </w:r>
          </w:p>
        </w:tc>
      </w:tr>
      <w:tr w14:paraId="050EE9FF" w14:textId="77777777" w:rsidTr="00536E4C">
        <w:tblPrEx>
          <w:tblW w:w="5099" w:type="pct"/>
          <w:tblLayout w:type="fixed"/>
          <w:tblCellMar>
            <w:top w:w="14" w:type="dxa"/>
            <w:left w:w="58" w:type="dxa"/>
            <w:bottom w:w="14" w:type="dxa"/>
            <w:right w:w="58" w:type="dxa"/>
          </w:tblCellMar>
          <w:tblLook w:val="06A0"/>
        </w:tblPrEx>
        <w:trPr>
          <w:cantSplit/>
          <w:trHeight w:val="300"/>
        </w:trPr>
        <w:tc>
          <w:tcPr>
            <w:tcW w:w="1130" w:type="pct"/>
            <w:vAlign w:val="center"/>
          </w:tcPr>
          <w:p w:rsidR="00BE71FB" w:rsidRPr="00F728B2" w:rsidP="00BE71FB" w14:paraId="677C7E60" w14:textId="70AEB381">
            <w:pPr>
              <w:spacing w:before="40" w:after="40"/>
              <w:jc w:val="center"/>
              <w:rPr>
                <w:rFonts w:cstheme="minorHAnsi"/>
                <w:sz w:val="20"/>
                <w:szCs w:val="20"/>
              </w:rPr>
            </w:pPr>
            <w:r w:rsidRPr="00A93CB0">
              <w:rPr>
                <w:rFonts w:cstheme="minorHAnsi"/>
                <w:sz w:val="20"/>
                <w:szCs w:val="20"/>
              </w:rPr>
              <w:t>Drum Washing and Wastewater</w:t>
            </w:r>
          </w:p>
        </w:tc>
        <w:tc>
          <w:tcPr>
            <w:tcW w:w="645" w:type="pct"/>
            <w:vAlign w:val="center"/>
          </w:tcPr>
          <w:p w:rsidR="00BE71FB" w:rsidRPr="00F728B2" w:rsidP="00BE71FB" w14:paraId="2E0918F8" w14:textId="0384E68B">
            <w:pPr>
              <w:spacing w:before="40" w:after="40"/>
              <w:jc w:val="center"/>
              <w:rPr>
                <w:rFonts w:cstheme="minorHAnsi"/>
                <w:sz w:val="20"/>
                <w:szCs w:val="20"/>
              </w:rPr>
            </w:pPr>
            <w:r w:rsidRPr="00A93CB0">
              <w:rPr>
                <w:rFonts w:cstheme="minorHAnsi"/>
                <w:sz w:val="20"/>
                <w:szCs w:val="20"/>
              </w:rPr>
              <w:t>3.85</w:t>
            </w:r>
          </w:p>
        </w:tc>
        <w:tc>
          <w:tcPr>
            <w:tcW w:w="724" w:type="pct"/>
            <w:vAlign w:val="center"/>
          </w:tcPr>
          <w:p w:rsidR="00BE71FB" w:rsidRPr="00F728B2" w:rsidP="00BE71FB" w14:paraId="2E0FB1BE" w14:textId="1C8D2110">
            <w:pPr>
              <w:spacing w:before="40" w:after="40"/>
              <w:jc w:val="center"/>
              <w:rPr>
                <w:rFonts w:cstheme="minorHAnsi"/>
                <w:sz w:val="20"/>
                <w:szCs w:val="20"/>
              </w:rPr>
            </w:pPr>
            <w:r w:rsidRPr="00A93CB0">
              <w:rPr>
                <w:rFonts w:cstheme="minorHAnsi"/>
                <w:sz w:val="20"/>
                <w:szCs w:val="20"/>
              </w:rPr>
              <w:t>216, 108</w:t>
            </w:r>
          </w:p>
        </w:tc>
        <w:tc>
          <w:tcPr>
            <w:tcW w:w="568" w:type="pct"/>
            <w:vAlign w:val="center"/>
          </w:tcPr>
          <w:p w:rsidR="00BE71FB" w:rsidRPr="00F728B2" w:rsidP="00BE71FB" w14:paraId="2B22A316" w14:textId="69DF1FBA">
            <w:pPr>
              <w:spacing w:before="40" w:after="40"/>
              <w:jc w:val="center"/>
              <w:rPr>
                <w:rFonts w:cstheme="minorHAnsi"/>
                <w:sz w:val="20"/>
                <w:szCs w:val="20"/>
              </w:rPr>
            </w:pPr>
            <w:r>
              <w:rPr>
                <w:rFonts w:cstheme="minorHAnsi"/>
                <w:sz w:val="20"/>
                <w:szCs w:val="20"/>
              </w:rPr>
              <w:t>705</w:t>
            </w:r>
          </w:p>
        </w:tc>
        <w:tc>
          <w:tcPr>
            <w:tcW w:w="661" w:type="pct"/>
            <w:vAlign w:val="center"/>
          </w:tcPr>
          <w:p w:rsidR="00BE71FB" w:rsidRPr="00F728B2" w:rsidP="00BE71FB" w14:paraId="6AD74D65" w14:textId="011620A0">
            <w:pPr>
              <w:spacing w:before="40" w:after="40"/>
              <w:jc w:val="center"/>
              <w:rPr>
                <w:rFonts w:cstheme="minorHAnsi"/>
                <w:sz w:val="20"/>
                <w:szCs w:val="20"/>
              </w:rPr>
            </w:pPr>
            <w:r>
              <w:rPr>
                <w:rFonts w:cstheme="minorHAnsi"/>
                <w:sz w:val="20"/>
                <w:szCs w:val="20"/>
              </w:rPr>
              <w:t>35.3</w:t>
            </w:r>
          </w:p>
        </w:tc>
        <w:tc>
          <w:tcPr>
            <w:tcW w:w="630" w:type="pct"/>
            <w:vAlign w:val="center"/>
          </w:tcPr>
          <w:p w:rsidR="00BE71FB" w:rsidRPr="00F728B2" w:rsidP="00BE71FB" w14:paraId="60C103B1" w14:textId="3E5E09A5">
            <w:pPr>
              <w:spacing w:before="40" w:after="40"/>
              <w:jc w:val="center"/>
              <w:rPr>
                <w:rFonts w:cstheme="minorHAnsi"/>
                <w:sz w:val="20"/>
                <w:szCs w:val="20"/>
              </w:rPr>
            </w:pPr>
            <w:r>
              <w:rPr>
                <w:rFonts w:cstheme="minorHAnsi"/>
                <w:sz w:val="20"/>
                <w:szCs w:val="20"/>
              </w:rPr>
              <w:t>70.5</w:t>
            </w:r>
          </w:p>
        </w:tc>
        <w:tc>
          <w:tcPr>
            <w:tcW w:w="642" w:type="pct"/>
            <w:vAlign w:val="center"/>
          </w:tcPr>
          <w:p w:rsidR="00BE71FB" w:rsidRPr="00F728B2" w:rsidP="00BE71FB" w14:paraId="67B77BA2" w14:textId="171697F6">
            <w:pPr>
              <w:spacing w:before="40" w:after="40"/>
              <w:jc w:val="center"/>
              <w:rPr>
                <w:rFonts w:cstheme="minorHAnsi"/>
                <w:sz w:val="20"/>
                <w:szCs w:val="20"/>
              </w:rPr>
            </w:pPr>
            <w:r w:rsidRPr="00A93CB0">
              <w:rPr>
                <w:rFonts w:cstheme="minorHAnsi"/>
                <w:sz w:val="20"/>
                <w:szCs w:val="20"/>
              </w:rPr>
              <w:t>$</w:t>
            </w:r>
            <w:r w:rsidR="00524652">
              <w:rPr>
                <w:rFonts w:cstheme="minorHAnsi"/>
                <w:sz w:val="20"/>
                <w:szCs w:val="20"/>
              </w:rPr>
              <w:t>82,700</w:t>
            </w:r>
          </w:p>
        </w:tc>
      </w:tr>
      <w:tr w14:paraId="3B5DAB02" w14:textId="77777777" w:rsidTr="00536E4C">
        <w:tblPrEx>
          <w:tblW w:w="5099" w:type="pct"/>
          <w:tblLayout w:type="fixed"/>
          <w:tblCellMar>
            <w:top w:w="14" w:type="dxa"/>
            <w:left w:w="58" w:type="dxa"/>
            <w:bottom w:w="14" w:type="dxa"/>
            <w:right w:w="58" w:type="dxa"/>
          </w:tblCellMar>
          <w:tblLook w:val="06A0"/>
        </w:tblPrEx>
        <w:trPr>
          <w:cantSplit/>
          <w:trHeight w:val="300"/>
        </w:trPr>
        <w:tc>
          <w:tcPr>
            <w:tcW w:w="1130" w:type="pct"/>
            <w:vAlign w:val="center"/>
          </w:tcPr>
          <w:p w:rsidR="00BE71FB" w:rsidRPr="00F728B2" w:rsidP="00BE71FB" w14:paraId="64F1CA36" w14:textId="400EC8C2">
            <w:pPr>
              <w:spacing w:before="40" w:after="40"/>
              <w:jc w:val="center"/>
              <w:rPr>
                <w:rFonts w:cstheme="minorHAnsi"/>
                <w:sz w:val="20"/>
                <w:szCs w:val="20"/>
              </w:rPr>
            </w:pPr>
            <w:r w:rsidRPr="00A93CB0">
              <w:rPr>
                <w:rFonts w:cstheme="minorHAnsi"/>
                <w:sz w:val="20"/>
                <w:szCs w:val="20"/>
              </w:rPr>
              <w:t>Solid waste</w:t>
            </w:r>
          </w:p>
        </w:tc>
        <w:tc>
          <w:tcPr>
            <w:tcW w:w="645" w:type="pct"/>
            <w:vAlign w:val="center"/>
          </w:tcPr>
          <w:p w:rsidR="00BE71FB" w:rsidRPr="00F728B2" w:rsidP="00BE71FB" w14:paraId="2AE75F4C" w14:textId="59C22070">
            <w:pPr>
              <w:spacing w:before="40" w:after="40"/>
              <w:jc w:val="center"/>
              <w:rPr>
                <w:rFonts w:cstheme="minorHAnsi"/>
                <w:sz w:val="20"/>
                <w:szCs w:val="20"/>
              </w:rPr>
            </w:pPr>
            <w:r w:rsidRPr="00A93CB0">
              <w:rPr>
                <w:rFonts w:cstheme="minorHAnsi"/>
                <w:sz w:val="20"/>
                <w:szCs w:val="20"/>
              </w:rPr>
              <w:t>1.33</w:t>
            </w:r>
          </w:p>
        </w:tc>
        <w:tc>
          <w:tcPr>
            <w:tcW w:w="724" w:type="pct"/>
            <w:vAlign w:val="center"/>
          </w:tcPr>
          <w:p w:rsidR="00BE71FB" w:rsidRPr="00F728B2" w:rsidP="00BE71FB" w14:paraId="093FACBF" w14:textId="07634E85">
            <w:pPr>
              <w:spacing w:before="40" w:after="40"/>
              <w:jc w:val="center"/>
              <w:rPr>
                <w:rFonts w:cstheme="minorHAnsi"/>
                <w:sz w:val="20"/>
                <w:szCs w:val="20"/>
              </w:rPr>
            </w:pPr>
            <w:r w:rsidRPr="00A93CB0">
              <w:rPr>
                <w:rFonts w:cstheme="minorHAnsi"/>
                <w:sz w:val="20"/>
                <w:szCs w:val="20"/>
              </w:rPr>
              <w:t>216, 108</w:t>
            </w:r>
          </w:p>
        </w:tc>
        <w:tc>
          <w:tcPr>
            <w:tcW w:w="568" w:type="pct"/>
            <w:vAlign w:val="center"/>
          </w:tcPr>
          <w:p w:rsidR="00BE71FB" w:rsidRPr="00F728B2" w:rsidP="00BE71FB" w14:paraId="6AD2CF76" w14:textId="040D05DE">
            <w:pPr>
              <w:spacing w:before="40" w:after="40"/>
              <w:jc w:val="center"/>
              <w:rPr>
                <w:rFonts w:cstheme="minorHAnsi"/>
                <w:sz w:val="20"/>
                <w:szCs w:val="20"/>
              </w:rPr>
            </w:pPr>
            <w:r w:rsidRPr="00A93CB0">
              <w:rPr>
                <w:rFonts w:cstheme="minorHAnsi"/>
                <w:sz w:val="20"/>
                <w:szCs w:val="20"/>
              </w:rPr>
              <w:t>233</w:t>
            </w:r>
          </w:p>
        </w:tc>
        <w:tc>
          <w:tcPr>
            <w:tcW w:w="661" w:type="pct"/>
            <w:vAlign w:val="center"/>
          </w:tcPr>
          <w:p w:rsidR="00BE71FB" w:rsidRPr="00F728B2" w:rsidP="00BE71FB" w14:paraId="346DC4EC" w14:textId="1C9CA261">
            <w:pPr>
              <w:spacing w:before="40" w:after="40"/>
              <w:jc w:val="center"/>
              <w:rPr>
                <w:rFonts w:cstheme="minorHAnsi"/>
                <w:sz w:val="20"/>
                <w:szCs w:val="20"/>
              </w:rPr>
            </w:pPr>
            <w:r w:rsidRPr="00A93CB0">
              <w:rPr>
                <w:rFonts w:cstheme="minorHAnsi"/>
                <w:sz w:val="20"/>
                <w:szCs w:val="20"/>
              </w:rPr>
              <w:t>11.7</w:t>
            </w:r>
          </w:p>
        </w:tc>
        <w:tc>
          <w:tcPr>
            <w:tcW w:w="630" w:type="pct"/>
            <w:vAlign w:val="center"/>
          </w:tcPr>
          <w:p w:rsidR="00BE71FB" w:rsidRPr="00F728B2" w:rsidP="00BE71FB" w14:paraId="722870AA" w14:textId="400E20AE">
            <w:pPr>
              <w:spacing w:before="40" w:after="40"/>
              <w:jc w:val="center"/>
              <w:rPr>
                <w:rFonts w:cstheme="minorHAnsi"/>
                <w:sz w:val="20"/>
                <w:szCs w:val="20"/>
              </w:rPr>
            </w:pPr>
            <w:r w:rsidRPr="00A93CB0">
              <w:rPr>
                <w:rFonts w:cstheme="minorHAnsi"/>
                <w:sz w:val="20"/>
                <w:szCs w:val="20"/>
              </w:rPr>
              <w:t>23.3</w:t>
            </w:r>
          </w:p>
        </w:tc>
        <w:tc>
          <w:tcPr>
            <w:tcW w:w="642" w:type="pct"/>
            <w:vAlign w:val="center"/>
          </w:tcPr>
          <w:p w:rsidR="00BE71FB" w:rsidRPr="00F728B2" w:rsidP="00BE71FB" w14:paraId="14772F48" w14:textId="51039621">
            <w:pPr>
              <w:spacing w:before="40" w:after="40"/>
              <w:jc w:val="center"/>
              <w:rPr>
                <w:rFonts w:cstheme="minorHAnsi"/>
                <w:sz w:val="20"/>
                <w:szCs w:val="20"/>
              </w:rPr>
            </w:pPr>
            <w:r w:rsidRPr="00A93CB0">
              <w:rPr>
                <w:rFonts w:cstheme="minorHAnsi"/>
                <w:sz w:val="20"/>
                <w:szCs w:val="20"/>
              </w:rPr>
              <w:t>$27,</w:t>
            </w:r>
            <w:r w:rsidRPr="00A93CB0" w:rsidR="00875806">
              <w:rPr>
                <w:rFonts w:cstheme="minorHAnsi"/>
                <w:sz w:val="20"/>
                <w:szCs w:val="20"/>
              </w:rPr>
              <w:t>3</w:t>
            </w:r>
            <w:r w:rsidRPr="00A93CB0" w:rsidR="006B56E9">
              <w:rPr>
                <w:rFonts w:cstheme="minorHAnsi"/>
                <w:sz w:val="20"/>
                <w:szCs w:val="20"/>
              </w:rPr>
              <w:t>00</w:t>
            </w:r>
          </w:p>
        </w:tc>
      </w:tr>
      <w:tr w14:paraId="4506E763" w14:textId="77777777" w:rsidTr="00536E4C">
        <w:tblPrEx>
          <w:tblW w:w="5099" w:type="pct"/>
          <w:tblLayout w:type="fixed"/>
          <w:tblCellMar>
            <w:top w:w="14" w:type="dxa"/>
            <w:left w:w="58" w:type="dxa"/>
            <w:bottom w:w="14" w:type="dxa"/>
            <w:right w:w="58" w:type="dxa"/>
          </w:tblCellMar>
          <w:tblLook w:val="06A0"/>
        </w:tblPrEx>
        <w:trPr>
          <w:cantSplit/>
          <w:trHeight w:val="300"/>
        </w:trPr>
        <w:tc>
          <w:tcPr>
            <w:tcW w:w="1130" w:type="pct"/>
            <w:vAlign w:val="center"/>
          </w:tcPr>
          <w:p w:rsidR="00BE71FB" w:rsidRPr="00F728B2" w:rsidP="00BE71FB" w14:paraId="0D8C1D64" w14:textId="7C7FD744">
            <w:pPr>
              <w:spacing w:before="40" w:after="40"/>
              <w:jc w:val="center"/>
              <w:rPr>
                <w:rFonts w:cstheme="minorHAnsi"/>
                <w:sz w:val="20"/>
                <w:szCs w:val="20"/>
              </w:rPr>
            </w:pPr>
            <w:r w:rsidRPr="00A93CB0">
              <w:rPr>
                <w:rFonts w:cstheme="minorHAnsi"/>
                <w:sz w:val="20"/>
                <w:szCs w:val="20"/>
              </w:rPr>
              <w:t xml:space="preserve">Drum </w:t>
            </w:r>
            <w:r w:rsidRPr="00A93CB0" w:rsidR="00217202">
              <w:rPr>
                <w:rFonts w:cstheme="minorHAnsi"/>
                <w:sz w:val="20"/>
                <w:szCs w:val="20"/>
              </w:rPr>
              <w:t>F</w:t>
            </w:r>
            <w:r w:rsidRPr="00A93CB0">
              <w:rPr>
                <w:rFonts w:cstheme="minorHAnsi"/>
                <w:sz w:val="20"/>
                <w:szCs w:val="20"/>
              </w:rPr>
              <w:t xml:space="preserve">urnace and </w:t>
            </w:r>
            <w:r w:rsidRPr="00A93CB0" w:rsidR="00217202">
              <w:rPr>
                <w:rFonts w:cstheme="minorHAnsi"/>
                <w:sz w:val="20"/>
                <w:szCs w:val="20"/>
              </w:rPr>
              <w:t>O</w:t>
            </w:r>
            <w:r w:rsidRPr="00A93CB0">
              <w:rPr>
                <w:rFonts w:cstheme="minorHAnsi"/>
                <w:sz w:val="20"/>
                <w:szCs w:val="20"/>
              </w:rPr>
              <w:t xml:space="preserve">ther </w:t>
            </w:r>
            <w:r w:rsidRPr="00A93CB0" w:rsidR="00217202">
              <w:rPr>
                <w:rFonts w:cstheme="minorHAnsi"/>
                <w:sz w:val="20"/>
                <w:szCs w:val="20"/>
              </w:rPr>
              <w:t>A</w:t>
            </w:r>
            <w:r w:rsidRPr="00A93CB0">
              <w:rPr>
                <w:rFonts w:cstheme="minorHAnsi"/>
                <w:sz w:val="20"/>
                <w:szCs w:val="20"/>
              </w:rPr>
              <w:t xml:space="preserve">ir </w:t>
            </w:r>
            <w:r w:rsidRPr="00A93CB0" w:rsidR="00217202">
              <w:rPr>
                <w:rFonts w:cstheme="minorHAnsi"/>
                <w:sz w:val="20"/>
                <w:szCs w:val="20"/>
              </w:rPr>
              <w:t>E</w:t>
            </w:r>
            <w:r w:rsidRPr="00A93CB0">
              <w:rPr>
                <w:rFonts w:cstheme="minorHAnsi"/>
                <w:sz w:val="20"/>
                <w:szCs w:val="20"/>
              </w:rPr>
              <w:t xml:space="preserve">mission </w:t>
            </w:r>
            <w:r w:rsidRPr="00A93CB0" w:rsidR="00217202">
              <w:rPr>
                <w:rFonts w:cstheme="minorHAnsi"/>
                <w:sz w:val="20"/>
                <w:szCs w:val="20"/>
              </w:rPr>
              <w:t>P</w:t>
            </w:r>
            <w:r w:rsidRPr="00A93CB0">
              <w:rPr>
                <w:rFonts w:cstheme="minorHAnsi"/>
                <w:sz w:val="20"/>
                <w:szCs w:val="20"/>
              </w:rPr>
              <w:t>oints</w:t>
            </w:r>
          </w:p>
        </w:tc>
        <w:tc>
          <w:tcPr>
            <w:tcW w:w="645" w:type="pct"/>
            <w:vAlign w:val="center"/>
          </w:tcPr>
          <w:p w:rsidR="00BE71FB" w:rsidRPr="00F728B2" w:rsidP="00BE71FB" w14:paraId="53503282" w14:textId="57C78104">
            <w:pPr>
              <w:spacing w:before="40" w:after="40"/>
              <w:jc w:val="center"/>
              <w:rPr>
                <w:rFonts w:cstheme="minorHAnsi"/>
                <w:sz w:val="20"/>
                <w:szCs w:val="20"/>
              </w:rPr>
            </w:pPr>
            <w:r w:rsidRPr="00A93CB0">
              <w:rPr>
                <w:rFonts w:cstheme="minorHAnsi"/>
                <w:sz w:val="20"/>
                <w:szCs w:val="20"/>
              </w:rPr>
              <w:t>1.24</w:t>
            </w:r>
          </w:p>
        </w:tc>
        <w:tc>
          <w:tcPr>
            <w:tcW w:w="724" w:type="pct"/>
            <w:vAlign w:val="center"/>
          </w:tcPr>
          <w:p w:rsidR="00BE71FB" w:rsidRPr="00F728B2" w:rsidP="00BE71FB" w14:paraId="46AE935F" w14:textId="2014ECD8">
            <w:pPr>
              <w:spacing w:before="40" w:after="40"/>
              <w:jc w:val="center"/>
              <w:rPr>
                <w:rFonts w:cstheme="minorHAnsi"/>
                <w:sz w:val="20"/>
                <w:szCs w:val="20"/>
              </w:rPr>
            </w:pPr>
            <w:r>
              <w:rPr>
                <w:rFonts w:cstheme="minorHAnsi"/>
                <w:sz w:val="20"/>
                <w:szCs w:val="20"/>
              </w:rPr>
              <w:t xml:space="preserve">216, </w:t>
            </w:r>
            <w:r w:rsidRPr="00A93CB0" w:rsidR="00906218">
              <w:rPr>
                <w:rFonts w:cstheme="minorHAnsi"/>
                <w:sz w:val="20"/>
                <w:szCs w:val="20"/>
              </w:rPr>
              <w:t>108</w:t>
            </w:r>
          </w:p>
        </w:tc>
        <w:tc>
          <w:tcPr>
            <w:tcW w:w="568" w:type="pct"/>
            <w:vAlign w:val="center"/>
          </w:tcPr>
          <w:p w:rsidR="00BE71FB" w:rsidRPr="00F728B2" w:rsidP="00BE71FB" w14:paraId="32587DCD" w14:textId="0983C895">
            <w:pPr>
              <w:spacing w:before="40" w:after="40"/>
              <w:jc w:val="center"/>
              <w:rPr>
                <w:rFonts w:cstheme="minorHAnsi"/>
                <w:sz w:val="20"/>
                <w:szCs w:val="20"/>
              </w:rPr>
            </w:pPr>
            <w:r>
              <w:rPr>
                <w:rFonts w:cstheme="minorHAnsi"/>
                <w:sz w:val="20"/>
                <w:szCs w:val="20"/>
              </w:rPr>
              <w:t>190.1</w:t>
            </w:r>
          </w:p>
        </w:tc>
        <w:tc>
          <w:tcPr>
            <w:tcW w:w="661" w:type="pct"/>
            <w:vAlign w:val="center"/>
          </w:tcPr>
          <w:p w:rsidR="00BE71FB" w:rsidRPr="00F728B2" w:rsidP="00BE71FB" w14:paraId="07DEF698" w14:textId="057543AA">
            <w:pPr>
              <w:spacing w:before="40" w:after="40"/>
              <w:jc w:val="center"/>
              <w:rPr>
                <w:rFonts w:cstheme="minorHAnsi"/>
                <w:sz w:val="20"/>
                <w:szCs w:val="20"/>
              </w:rPr>
            </w:pPr>
            <w:r>
              <w:rPr>
                <w:rFonts w:cstheme="minorHAnsi"/>
                <w:sz w:val="20"/>
                <w:szCs w:val="20"/>
              </w:rPr>
              <w:t>9.5</w:t>
            </w:r>
          </w:p>
        </w:tc>
        <w:tc>
          <w:tcPr>
            <w:tcW w:w="630" w:type="pct"/>
            <w:vAlign w:val="center"/>
          </w:tcPr>
          <w:p w:rsidR="00BE71FB" w:rsidRPr="00F728B2" w:rsidP="00BE71FB" w14:paraId="0FA6E5E3" w14:textId="3D59C60D">
            <w:pPr>
              <w:spacing w:before="40" w:after="40"/>
              <w:jc w:val="center"/>
              <w:rPr>
                <w:rFonts w:cstheme="minorHAnsi"/>
                <w:sz w:val="20"/>
                <w:szCs w:val="20"/>
              </w:rPr>
            </w:pPr>
            <w:r>
              <w:rPr>
                <w:rFonts w:cstheme="minorHAnsi"/>
                <w:sz w:val="20"/>
                <w:szCs w:val="20"/>
              </w:rPr>
              <w:t>19.0</w:t>
            </w:r>
          </w:p>
        </w:tc>
        <w:tc>
          <w:tcPr>
            <w:tcW w:w="642" w:type="pct"/>
            <w:vAlign w:val="center"/>
          </w:tcPr>
          <w:p w:rsidR="00BE71FB" w:rsidRPr="00F728B2" w:rsidP="00BE71FB" w14:paraId="10CDDF94" w14:textId="7C03DB7E">
            <w:pPr>
              <w:spacing w:before="40" w:after="40"/>
              <w:jc w:val="center"/>
              <w:rPr>
                <w:rFonts w:cstheme="minorHAnsi"/>
                <w:sz w:val="20"/>
                <w:szCs w:val="20"/>
              </w:rPr>
            </w:pPr>
            <w:r w:rsidRPr="00A93CB0">
              <w:rPr>
                <w:rFonts w:cstheme="minorHAnsi"/>
                <w:sz w:val="20"/>
                <w:szCs w:val="20"/>
              </w:rPr>
              <w:t>$</w:t>
            </w:r>
            <w:r w:rsidR="00524652">
              <w:rPr>
                <w:rFonts w:cstheme="minorHAnsi"/>
                <w:sz w:val="20"/>
                <w:szCs w:val="20"/>
              </w:rPr>
              <w:t>22,300</w:t>
            </w:r>
          </w:p>
        </w:tc>
      </w:tr>
      <w:tr w14:paraId="760F1C76" w14:textId="77777777" w:rsidTr="00536E4C">
        <w:tblPrEx>
          <w:tblW w:w="5099" w:type="pct"/>
          <w:tblLayout w:type="fixed"/>
          <w:tblCellMar>
            <w:top w:w="14" w:type="dxa"/>
            <w:left w:w="58" w:type="dxa"/>
            <w:bottom w:w="14" w:type="dxa"/>
            <w:right w:w="58" w:type="dxa"/>
          </w:tblCellMar>
          <w:tblLook w:val="06A0"/>
        </w:tblPrEx>
        <w:trPr>
          <w:cantSplit/>
          <w:trHeight w:val="300"/>
        </w:trPr>
        <w:tc>
          <w:tcPr>
            <w:tcW w:w="1130" w:type="pct"/>
            <w:vAlign w:val="center"/>
          </w:tcPr>
          <w:p w:rsidR="00906218" w:rsidRPr="00A93CB0" w:rsidP="00906218" w14:paraId="0B83EF5F" w14:textId="5F2605C3">
            <w:pPr>
              <w:spacing w:before="40" w:after="40"/>
              <w:jc w:val="center"/>
              <w:rPr>
                <w:rFonts w:cstheme="minorHAnsi"/>
                <w:sz w:val="20"/>
                <w:szCs w:val="20"/>
              </w:rPr>
            </w:pPr>
            <w:r w:rsidRPr="00A93CB0">
              <w:rPr>
                <w:rFonts w:cstheme="minorHAnsi"/>
                <w:sz w:val="20"/>
                <w:szCs w:val="20"/>
              </w:rPr>
              <w:t>Conclusion</w:t>
            </w:r>
          </w:p>
        </w:tc>
        <w:tc>
          <w:tcPr>
            <w:tcW w:w="645" w:type="pct"/>
            <w:vAlign w:val="center"/>
          </w:tcPr>
          <w:p w:rsidR="00906218" w:rsidRPr="00F728B2" w:rsidP="00906218" w14:paraId="5F82BFD7" w14:textId="4BBB4D53">
            <w:pPr>
              <w:spacing w:before="40" w:after="40"/>
              <w:jc w:val="center"/>
              <w:rPr>
                <w:rFonts w:cstheme="minorHAnsi"/>
                <w:sz w:val="20"/>
                <w:szCs w:val="20"/>
              </w:rPr>
            </w:pPr>
            <w:r w:rsidRPr="00A93CB0">
              <w:rPr>
                <w:rFonts w:cstheme="minorHAnsi"/>
                <w:sz w:val="20"/>
                <w:szCs w:val="20"/>
              </w:rPr>
              <w:t>0.</w:t>
            </w:r>
            <w:r w:rsidR="00563DA7">
              <w:rPr>
                <w:rFonts w:cstheme="minorHAnsi"/>
                <w:sz w:val="20"/>
                <w:szCs w:val="20"/>
              </w:rPr>
              <w:t>08</w:t>
            </w:r>
          </w:p>
        </w:tc>
        <w:tc>
          <w:tcPr>
            <w:tcW w:w="724" w:type="pct"/>
            <w:vAlign w:val="center"/>
          </w:tcPr>
          <w:p w:rsidR="00906218" w:rsidRPr="00F728B2" w:rsidP="00906218" w14:paraId="36067B04" w14:textId="2BF6AF71">
            <w:pPr>
              <w:spacing w:before="40" w:after="40"/>
              <w:jc w:val="center"/>
              <w:rPr>
                <w:rFonts w:cstheme="minorHAnsi"/>
                <w:sz w:val="20"/>
                <w:szCs w:val="20"/>
              </w:rPr>
            </w:pPr>
            <w:r w:rsidRPr="00A93CB0">
              <w:rPr>
                <w:rFonts w:cstheme="minorHAnsi"/>
                <w:sz w:val="20"/>
                <w:szCs w:val="20"/>
              </w:rPr>
              <w:t>216</w:t>
            </w:r>
          </w:p>
        </w:tc>
        <w:tc>
          <w:tcPr>
            <w:tcW w:w="568" w:type="pct"/>
            <w:vAlign w:val="center"/>
          </w:tcPr>
          <w:p w:rsidR="00906218" w:rsidRPr="00F728B2" w:rsidP="00906218" w14:paraId="31AA0F1D" w14:textId="465C8116">
            <w:pPr>
              <w:spacing w:before="40" w:after="40"/>
              <w:jc w:val="center"/>
              <w:rPr>
                <w:rFonts w:cstheme="minorHAnsi"/>
                <w:sz w:val="20"/>
                <w:szCs w:val="20"/>
              </w:rPr>
            </w:pPr>
            <w:r>
              <w:rPr>
                <w:rFonts w:cstheme="minorHAnsi"/>
                <w:sz w:val="20"/>
                <w:szCs w:val="20"/>
              </w:rPr>
              <w:t>17.3</w:t>
            </w:r>
          </w:p>
        </w:tc>
        <w:tc>
          <w:tcPr>
            <w:tcW w:w="661" w:type="pct"/>
            <w:vAlign w:val="center"/>
          </w:tcPr>
          <w:p w:rsidR="00906218" w:rsidRPr="00F728B2" w:rsidP="00906218" w14:paraId="64128A06" w14:textId="4223EE2F">
            <w:pPr>
              <w:spacing w:before="40" w:after="40"/>
              <w:jc w:val="center"/>
              <w:rPr>
                <w:rFonts w:cstheme="minorHAnsi"/>
                <w:sz w:val="20"/>
                <w:szCs w:val="20"/>
              </w:rPr>
            </w:pPr>
            <w:r>
              <w:rPr>
                <w:rFonts w:cstheme="minorHAnsi"/>
                <w:sz w:val="20"/>
                <w:szCs w:val="20"/>
              </w:rPr>
              <w:t>0.9</w:t>
            </w:r>
          </w:p>
        </w:tc>
        <w:tc>
          <w:tcPr>
            <w:tcW w:w="630" w:type="pct"/>
            <w:vAlign w:val="center"/>
          </w:tcPr>
          <w:p w:rsidR="00906218" w:rsidRPr="00F728B2" w:rsidP="00906218" w14:paraId="3645F4C0" w14:textId="19B46753">
            <w:pPr>
              <w:spacing w:before="40" w:after="40"/>
              <w:jc w:val="center"/>
              <w:rPr>
                <w:rFonts w:cstheme="minorHAnsi"/>
                <w:sz w:val="20"/>
                <w:szCs w:val="20"/>
              </w:rPr>
            </w:pPr>
            <w:r>
              <w:rPr>
                <w:rFonts w:cstheme="minorHAnsi"/>
                <w:sz w:val="20"/>
                <w:szCs w:val="20"/>
              </w:rPr>
              <w:t>1.7</w:t>
            </w:r>
          </w:p>
        </w:tc>
        <w:tc>
          <w:tcPr>
            <w:tcW w:w="642" w:type="pct"/>
            <w:vAlign w:val="center"/>
          </w:tcPr>
          <w:p w:rsidR="00906218" w:rsidRPr="00F728B2" w:rsidP="00906218" w14:paraId="34CB4B28" w14:textId="727069E0">
            <w:pPr>
              <w:spacing w:before="40" w:after="40"/>
              <w:jc w:val="center"/>
              <w:rPr>
                <w:rFonts w:cstheme="minorHAnsi"/>
                <w:sz w:val="20"/>
                <w:szCs w:val="20"/>
              </w:rPr>
            </w:pPr>
            <w:r w:rsidRPr="00A93CB0">
              <w:rPr>
                <w:rFonts w:cstheme="minorHAnsi"/>
                <w:sz w:val="20"/>
                <w:szCs w:val="20"/>
              </w:rPr>
              <w:t>$</w:t>
            </w:r>
            <w:r w:rsidR="00563DA7">
              <w:rPr>
                <w:rFonts w:cstheme="minorHAnsi"/>
                <w:sz w:val="20"/>
                <w:szCs w:val="20"/>
              </w:rPr>
              <w:t>2,0</w:t>
            </w:r>
            <w:r w:rsidR="005D1472">
              <w:rPr>
                <w:rFonts w:cstheme="minorHAnsi"/>
                <w:sz w:val="20"/>
                <w:szCs w:val="20"/>
              </w:rPr>
              <w:t>30</w:t>
            </w:r>
          </w:p>
        </w:tc>
      </w:tr>
      <w:tr w14:paraId="632DEE64" w14:textId="77777777" w:rsidTr="00536E4C">
        <w:tblPrEx>
          <w:tblW w:w="5099" w:type="pct"/>
          <w:tblLayout w:type="fixed"/>
          <w:tblCellMar>
            <w:top w:w="14" w:type="dxa"/>
            <w:left w:w="58" w:type="dxa"/>
            <w:bottom w:w="14" w:type="dxa"/>
            <w:right w:w="58" w:type="dxa"/>
          </w:tblCellMar>
          <w:tblLook w:val="06A0"/>
        </w:tblPrEx>
        <w:trPr>
          <w:cantSplit/>
          <w:trHeight w:val="300"/>
        </w:trPr>
        <w:tc>
          <w:tcPr>
            <w:tcW w:w="1130" w:type="pct"/>
            <w:vAlign w:val="center"/>
          </w:tcPr>
          <w:p w:rsidR="00563DA7" w:rsidRPr="00A93CB0" w:rsidP="00906218" w14:paraId="6F9580D4" w14:textId="575BD3C6">
            <w:pPr>
              <w:spacing w:before="40" w:after="40"/>
              <w:jc w:val="center"/>
              <w:rPr>
                <w:rFonts w:cstheme="minorHAnsi"/>
                <w:sz w:val="20"/>
                <w:szCs w:val="20"/>
              </w:rPr>
            </w:pPr>
            <w:r>
              <w:rPr>
                <w:rFonts w:cstheme="minorHAnsi"/>
                <w:sz w:val="20"/>
                <w:szCs w:val="20"/>
              </w:rPr>
              <w:t>Comments</w:t>
            </w:r>
          </w:p>
        </w:tc>
        <w:tc>
          <w:tcPr>
            <w:tcW w:w="645" w:type="pct"/>
            <w:vAlign w:val="center"/>
          </w:tcPr>
          <w:p w:rsidR="00563DA7" w:rsidRPr="00A93CB0" w:rsidP="00906218" w14:paraId="557C34A8" w14:textId="495D8026">
            <w:pPr>
              <w:spacing w:before="40" w:after="40"/>
              <w:jc w:val="center"/>
              <w:rPr>
                <w:rFonts w:cstheme="minorHAnsi"/>
                <w:sz w:val="20"/>
                <w:szCs w:val="20"/>
              </w:rPr>
            </w:pPr>
            <w:r>
              <w:rPr>
                <w:rFonts w:cstheme="minorHAnsi"/>
                <w:sz w:val="20"/>
                <w:szCs w:val="20"/>
              </w:rPr>
              <w:t>0.08</w:t>
            </w:r>
          </w:p>
        </w:tc>
        <w:tc>
          <w:tcPr>
            <w:tcW w:w="724" w:type="pct"/>
            <w:vAlign w:val="center"/>
          </w:tcPr>
          <w:p w:rsidR="00563DA7" w:rsidRPr="00A93CB0" w:rsidP="00906218" w14:paraId="18FD03C0" w14:textId="59B5EECE">
            <w:pPr>
              <w:spacing w:before="40" w:after="40"/>
              <w:jc w:val="center"/>
              <w:rPr>
                <w:rFonts w:cstheme="minorHAnsi"/>
                <w:sz w:val="20"/>
                <w:szCs w:val="20"/>
              </w:rPr>
            </w:pPr>
            <w:r>
              <w:rPr>
                <w:rFonts w:cstheme="minorHAnsi"/>
                <w:sz w:val="20"/>
                <w:szCs w:val="20"/>
              </w:rPr>
              <w:t>216</w:t>
            </w:r>
          </w:p>
        </w:tc>
        <w:tc>
          <w:tcPr>
            <w:tcW w:w="568" w:type="pct"/>
            <w:vAlign w:val="center"/>
          </w:tcPr>
          <w:p w:rsidR="00563DA7" w:rsidRPr="00A93CB0" w:rsidP="00906218" w14:paraId="3D8593BF" w14:textId="2F5B92CD">
            <w:pPr>
              <w:spacing w:before="40" w:after="40"/>
              <w:jc w:val="center"/>
              <w:rPr>
                <w:rFonts w:cstheme="minorHAnsi"/>
                <w:sz w:val="20"/>
                <w:szCs w:val="20"/>
              </w:rPr>
            </w:pPr>
            <w:r>
              <w:rPr>
                <w:rFonts w:cstheme="minorHAnsi"/>
                <w:sz w:val="20"/>
                <w:szCs w:val="20"/>
              </w:rPr>
              <w:t>17.3</w:t>
            </w:r>
          </w:p>
        </w:tc>
        <w:tc>
          <w:tcPr>
            <w:tcW w:w="661" w:type="pct"/>
            <w:vAlign w:val="center"/>
          </w:tcPr>
          <w:p w:rsidR="00563DA7" w:rsidRPr="00A93CB0" w:rsidP="00906218" w14:paraId="4881ECAA" w14:textId="103A7B56">
            <w:pPr>
              <w:spacing w:before="40" w:after="40"/>
              <w:jc w:val="center"/>
              <w:rPr>
                <w:rFonts w:cstheme="minorHAnsi"/>
                <w:sz w:val="20"/>
                <w:szCs w:val="20"/>
              </w:rPr>
            </w:pPr>
            <w:r>
              <w:rPr>
                <w:rFonts w:cstheme="minorHAnsi"/>
                <w:sz w:val="20"/>
                <w:szCs w:val="20"/>
              </w:rPr>
              <w:t>0.9</w:t>
            </w:r>
          </w:p>
        </w:tc>
        <w:tc>
          <w:tcPr>
            <w:tcW w:w="630" w:type="pct"/>
            <w:vAlign w:val="center"/>
          </w:tcPr>
          <w:p w:rsidR="00563DA7" w:rsidRPr="00A93CB0" w:rsidP="00906218" w14:paraId="3B610D46" w14:textId="44ED5FE9">
            <w:pPr>
              <w:spacing w:before="40" w:after="40"/>
              <w:jc w:val="center"/>
              <w:rPr>
                <w:rFonts w:cstheme="minorHAnsi"/>
                <w:sz w:val="20"/>
                <w:szCs w:val="20"/>
              </w:rPr>
            </w:pPr>
            <w:r>
              <w:rPr>
                <w:rFonts w:cstheme="minorHAnsi"/>
                <w:sz w:val="20"/>
                <w:szCs w:val="20"/>
              </w:rPr>
              <w:t>1.7</w:t>
            </w:r>
          </w:p>
        </w:tc>
        <w:tc>
          <w:tcPr>
            <w:tcW w:w="642" w:type="pct"/>
            <w:vAlign w:val="center"/>
          </w:tcPr>
          <w:p w:rsidR="00563DA7" w:rsidRPr="00A93CB0" w:rsidP="00906218" w14:paraId="15471644" w14:textId="21A34F50">
            <w:pPr>
              <w:spacing w:before="40" w:after="40"/>
              <w:jc w:val="center"/>
              <w:rPr>
                <w:rFonts w:cstheme="minorHAnsi"/>
                <w:sz w:val="20"/>
                <w:szCs w:val="20"/>
              </w:rPr>
            </w:pPr>
            <w:r>
              <w:rPr>
                <w:rFonts w:cstheme="minorHAnsi"/>
                <w:sz w:val="20"/>
                <w:szCs w:val="20"/>
              </w:rPr>
              <w:t>$2,0</w:t>
            </w:r>
            <w:r w:rsidR="005D1472">
              <w:rPr>
                <w:rFonts w:cstheme="minorHAnsi"/>
                <w:sz w:val="20"/>
                <w:szCs w:val="20"/>
              </w:rPr>
              <w:t>30</w:t>
            </w:r>
          </w:p>
        </w:tc>
      </w:tr>
      <w:tr w14:paraId="175721E3" w14:textId="77777777" w:rsidTr="002320C1">
        <w:tblPrEx>
          <w:tblW w:w="5099" w:type="pct"/>
          <w:tblLayout w:type="fixed"/>
          <w:tblCellMar>
            <w:top w:w="14" w:type="dxa"/>
            <w:left w:w="58" w:type="dxa"/>
            <w:bottom w:w="14" w:type="dxa"/>
            <w:right w:w="58" w:type="dxa"/>
          </w:tblCellMar>
          <w:tblLook w:val="06A0"/>
        </w:tblPrEx>
        <w:trPr>
          <w:cantSplit/>
          <w:trHeight w:val="300"/>
        </w:trPr>
        <w:tc>
          <w:tcPr>
            <w:tcW w:w="1130" w:type="pct"/>
            <w:vAlign w:val="center"/>
          </w:tcPr>
          <w:p w:rsidR="002320C1" w:rsidRPr="00F728B2" w:rsidP="002320C1" w14:paraId="6B9B5A10" w14:textId="6F6E753A">
            <w:pPr>
              <w:spacing w:before="40" w:after="40"/>
              <w:jc w:val="center"/>
              <w:rPr>
                <w:rFonts w:cstheme="minorHAnsi"/>
                <w:sz w:val="20"/>
                <w:szCs w:val="20"/>
              </w:rPr>
            </w:pPr>
            <w:r w:rsidRPr="00F728B2">
              <w:rPr>
                <w:rFonts w:cstheme="minorHAnsi"/>
                <w:b/>
                <w:bCs/>
                <w:sz w:val="20"/>
                <w:szCs w:val="20"/>
              </w:rPr>
              <w:t>Total (Rounded)</w:t>
            </w:r>
          </w:p>
        </w:tc>
        <w:tc>
          <w:tcPr>
            <w:tcW w:w="3228" w:type="pct"/>
            <w:gridSpan w:val="5"/>
            <w:vAlign w:val="center"/>
          </w:tcPr>
          <w:p w:rsidR="002320C1" w:rsidRPr="00F728B2" w:rsidP="002320C1" w14:paraId="033BA974" w14:textId="3EE3A564">
            <w:pPr>
              <w:spacing w:before="40" w:after="40"/>
              <w:jc w:val="center"/>
              <w:rPr>
                <w:rFonts w:cstheme="minorHAnsi"/>
                <w:sz w:val="20"/>
                <w:szCs w:val="20"/>
              </w:rPr>
            </w:pPr>
            <w:r>
              <w:rPr>
                <w:rFonts w:cstheme="minorHAnsi"/>
                <w:b/>
                <w:bCs/>
                <w:sz w:val="20"/>
                <w:szCs w:val="20"/>
              </w:rPr>
              <w:t>4,000</w:t>
            </w:r>
            <w:r w:rsidRPr="00F728B2">
              <w:rPr>
                <w:rFonts w:cstheme="minorHAnsi"/>
                <w:b/>
                <w:bCs/>
                <w:sz w:val="20"/>
                <w:szCs w:val="20"/>
              </w:rPr>
              <w:t xml:space="preserve"> hours</w:t>
            </w:r>
          </w:p>
        </w:tc>
        <w:tc>
          <w:tcPr>
            <w:tcW w:w="642" w:type="pct"/>
            <w:vAlign w:val="center"/>
          </w:tcPr>
          <w:p w:rsidR="002320C1" w:rsidRPr="00F728B2" w:rsidP="002320C1" w14:paraId="22E070E1" w14:textId="25FF0161">
            <w:pPr>
              <w:spacing w:before="40" w:after="40"/>
              <w:jc w:val="center"/>
              <w:rPr>
                <w:rFonts w:cstheme="minorHAnsi"/>
                <w:sz w:val="20"/>
                <w:szCs w:val="20"/>
              </w:rPr>
            </w:pPr>
            <w:r w:rsidRPr="00F728B2">
              <w:rPr>
                <w:rFonts w:cstheme="minorHAnsi"/>
                <w:b/>
                <w:bCs/>
                <w:sz w:val="20"/>
                <w:szCs w:val="20"/>
              </w:rPr>
              <w:t>$</w:t>
            </w:r>
            <w:r w:rsidRPr="00F728B2" w:rsidR="00972236">
              <w:rPr>
                <w:rFonts w:cstheme="minorHAnsi"/>
                <w:b/>
                <w:bCs/>
                <w:sz w:val="20"/>
                <w:szCs w:val="20"/>
              </w:rPr>
              <w:t>40</w:t>
            </w:r>
            <w:r w:rsidR="00563DA7">
              <w:rPr>
                <w:rFonts w:cstheme="minorHAnsi"/>
                <w:b/>
                <w:bCs/>
                <w:sz w:val="20"/>
                <w:szCs w:val="20"/>
              </w:rPr>
              <w:t>8</w:t>
            </w:r>
            <w:r w:rsidRPr="00F728B2" w:rsidR="00972236">
              <w:rPr>
                <w:rFonts w:cstheme="minorHAnsi"/>
                <w:b/>
                <w:bCs/>
                <w:sz w:val="20"/>
                <w:szCs w:val="20"/>
              </w:rPr>
              <w:t>,</w:t>
            </w:r>
            <w:r w:rsidRPr="00F728B2" w:rsidR="006B56E9">
              <w:rPr>
                <w:rFonts w:cstheme="minorHAnsi"/>
                <w:b/>
                <w:bCs/>
                <w:sz w:val="20"/>
                <w:szCs w:val="20"/>
              </w:rPr>
              <w:t>00</w:t>
            </w:r>
            <w:r w:rsidRPr="00F728B2" w:rsidR="00972236">
              <w:rPr>
                <w:rFonts w:cstheme="minorHAnsi"/>
                <w:b/>
                <w:bCs/>
                <w:sz w:val="20"/>
                <w:szCs w:val="20"/>
              </w:rPr>
              <w:t>0</w:t>
            </w:r>
          </w:p>
        </w:tc>
      </w:tr>
    </w:tbl>
    <w:p w:rsidR="00C65050" w:rsidRPr="00F728B2" w:rsidP="00C65050" w14:paraId="2E1C8066" w14:textId="74706D10">
      <w:pPr>
        <w:rPr>
          <w:rFonts w:eastAsia="Calibri" w:cstheme="minorHAnsi"/>
          <w:sz w:val="20"/>
        </w:rPr>
      </w:pPr>
      <w:r w:rsidRPr="00F728B2">
        <w:rPr>
          <w:rFonts w:eastAsia="Calibri" w:cstheme="minorHAnsi"/>
          <w:sz w:val="20"/>
        </w:rPr>
        <w:t>*</w:t>
      </w:r>
      <w:r w:rsidRPr="00F728B2" w:rsidR="001D6468">
        <w:rPr>
          <w:rFonts w:eastAsia="Calibri" w:cstheme="minorHAnsi"/>
          <w:sz w:val="20"/>
        </w:rPr>
        <w:t xml:space="preserve">The </w:t>
      </w:r>
      <w:r w:rsidRPr="00F728B2">
        <w:rPr>
          <w:rFonts w:eastAsia="Calibri" w:cstheme="minorHAnsi"/>
          <w:sz w:val="20"/>
        </w:rPr>
        <w:t>Drum Washing</w:t>
      </w:r>
      <w:r w:rsidR="00563DA7">
        <w:rPr>
          <w:rFonts w:eastAsia="Calibri" w:cstheme="minorHAnsi"/>
          <w:sz w:val="20"/>
        </w:rPr>
        <w:t>, Solid Waste, and Drum Furnace</w:t>
      </w:r>
      <w:r w:rsidRPr="00F728B2">
        <w:rPr>
          <w:rFonts w:eastAsia="Calibri" w:cstheme="minorHAnsi"/>
          <w:sz w:val="20"/>
        </w:rPr>
        <w:t xml:space="preserve"> section</w:t>
      </w:r>
      <w:r w:rsidRPr="00F728B2" w:rsidR="001D6468">
        <w:rPr>
          <w:rFonts w:eastAsia="Calibri" w:cstheme="minorHAnsi"/>
          <w:sz w:val="20"/>
        </w:rPr>
        <w:t>s each contain question</w:t>
      </w:r>
      <w:r w:rsidR="00563DA7">
        <w:rPr>
          <w:rFonts w:eastAsia="Calibri" w:cstheme="minorHAnsi"/>
          <w:sz w:val="20"/>
        </w:rPr>
        <w:t>s</w:t>
      </w:r>
      <w:r w:rsidRPr="00F728B2" w:rsidR="001D6468">
        <w:rPr>
          <w:rFonts w:eastAsia="Calibri" w:cstheme="minorHAnsi"/>
          <w:sz w:val="20"/>
        </w:rPr>
        <w:t xml:space="preserve"> that</w:t>
      </w:r>
      <w:r w:rsidRPr="00F728B2">
        <w:rPr>
          <w:rFonts w:eastAsia="Calibri" w:cstheme="minorHAnsi"/>
          <w:sz w:val="20"/>
        </w:rPr>
        <w:t xml:space="preserve"> </w:t>
      </w:r>
      <w:r w:rsidR="00563DA7">
        <w:rPr>
          <w:rFonts w:eastAsia="Calibri" w:cstheme="minorHAnsi"/>
          <w:sz w:val="20"/>
        </w:rPr>
        <w:t>are</w:t>
      </w:r>
      <w:r w:rsidRPr="00F728B2" w:rsidR="00563DA7">
        <w:rPr>
          <w:rFonts w:eastAsia="Calibri" w:cstheme="minorHAnsi"/>
          <w:sz w:val="20"/>
        </w:rPr>
        <w:t xml:space="preserve"> </w:t>
      </w:r>
      <w:r w:rsidRPr="00F728B2">
        <w:rPr>
          <w:rFonts w:eastAsia="Calibri" w:cstheme="minorHAnsi"/>
          <w:sz w:val="20"/>
        </w:rPr>
        <w:t xml:space="preserve">assumed to </w:t>
      </w:r>
      <w:r w:rsidR="00563DA7">
        <w:rPr>
          <w:rFonts w:eastAsia="Calibri" w:cstheme="minorHAnsi"/>
          <w:sz w:val="20"/>
        </w:rPr>
        <w:t xml:space="preserve">only </w:t>
      </w:r>
      <w:r w:rsidRPr="00F728B2">
        <w:rPr>
          <w:rFonts w:eastAsia="Calibri" w:cstheme="minorHAnsi"/>
          <w:sz w:val="20"/>
        </w:rPr>
        <w:t xml:space="preserve">apply to 50% of </w:t>
      </w:r>
      <w:r w:rsidR="00563DA7">
        <w:rPr>
          <w:rFonts w:eastAsia="Calibri" w:cstheme="minorHAnsi"/>
          <w:sz w:val="20"/>
        </w:rPr>
        <w:t>respondents</w:t>
      </w:r>
      <w:r w:rsidRPr="00F728B2">
        <w:rPr>
          <w:rFonts w:eastAsia="Calibri" w:cstheme="minorHAnsi"/>
          <w:sz w:val="20"/>
        </w:rPr>
        <w:t xml:space="preserve">. </w:t>
      </w:r>
      <w:r w:rsidRPr="00F728B2" w:rsidR="00536E4C">
        <w:rPr>
          <w:rFonts w:eastAsia="Calibri" w:cstheme="minorHAnsi"/>
          <w:sz w:val="20"/>
        </w:rPr>
        <w:t>The rest of the questions in these sections are expected to apply to all respondents.</w:t>
      </w:r>
      <w:r w:rsidRPr="00F728B2">
        <w:rPr>
          <w:rFonts w:eastAsia="Calibri" w:cstheme="minorHAnsi"/>
          <w:sz w:val="20"/>
        </w:rPr>
        <w:t xml:space="preserve"> </w:t>
      </w:r>
    </w:p>
    <w:p w:rsidR="00F92596" w:rsidRPr="00F728B2" w:rsidP="00396CB7" w14:paraId="0CA20500" w14:textId="29AA8254">
      <w:pPr>
        <w:pStyle w:val="ListParagraph"/>
        <w:numPr>
          <w:ilvl w:val="0"/>
          <w:numId w:val="25"/>
        </w:numPr>
        <w:pBdr>
          <w:bottom w:val="single" w:sz="4" w:space="1" w:color="auto"/>
        </w:pBdr>
        <w:spacing w:before="240" w:after="0" w:line="240" w:lineRule="auto"/>
        <w:rPr>
          <w:rFonts w:cstheme="minorHAnsi"/>
          <w:i/>
          <w:iCs/>
        </w:rPr>
      </w:pPr>
      <w:r w:rsidRPr="00F728B2">
        <w:rPr>
          <w:rFonts w:cstheme="minorHAnsi"/>
          <w:b/>
          <w:bCs/>
          <w:caps/>
        </w:rPr>
        <w:t>RESPONDENT CAPITAL AND O&amp;M COSTS</w:t>
      </w:r>
    </w:p>
    <w:p w:rsidR="006D0743" w:rsidRPr="00F728B2" w:rsidP="00E06946" w14:paraId="7E0A1A5C" w14:textId="77777777">
      <w:pPr>
        <w:pBdr>
          <w:bottom w:val="single" w:sz="4" w:space="1" w:color="auto"/>
        </w:pBdr>
        <w:spacing w:after="0" w:line="240" w:lineRule="auto"/>
        <w:rPr>
          <w:rFonts w:cstheme="minorHAnsi"/>
          <w:i/>
          <w:iCs/>
        </w:rPr>
      </w:pPr>
      <w:r w:rsidRPr="00F728B2">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6D0743" w:rsidRPr="00F728B2" w:rsidP="006D0743" w14:paraId="3E12C3AB" w14:textId="0CB03291">
      <w:pPr>
        <w:pBdr>
          <w:bottom w:val="single" w:sz="4" w:space="1" w:color="auto"/>
        </w:pBdr>
        <w:spacing w:before="240" w:after="0" w:line="240" w:lineRule="auto"/>
        <w:rPr>
          <w:rFonts w:cstheme="minorHAnsi"/>
          <w:i/>
          <w:iCs/>
        </w:rPr>
      </w:pPr>
      <w:r w:rsidRPr="00F728B2">
        <w:rPr>
          <w:rFonts w:cstheme="minorHAnsi"/>
          <w:i/>
          <w:iCs/>
        </w:rPr>
        <w:t>The cost estimate should be split into two components: (a) a total capital and start-up cost</w:t>
      </w:r>
      <w:r w:rsidRPr="00F728B2" w:rsidR="00C41264">
        <w:rPr>
          <w:rFonts w:cstheme="minorHAnsi"/>
          <w:i/>
          <w:iCs/>
        </w:rPr>
        <w:t xml:space="preserve"> </w:t>
      </w:r>
      <w:r w:rsidRPr="00F728B2">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6D0743" w:rsidRPr="00F728B2" w:rsidP="006D0743" w14:paraId="70E93CCD" w14:textId="77777777">
      <w:pPr>
        <w:pBdr>
          <w:bottom w:val="single" w:sz="4" w:space="1" w:color="auto"/>
        </w:pBdr>
        <w:spacing w:before="240" w:after="0" w:line="240" w:lineRule="auto"/>
        <w:rPr>
          <w:rFonts w:cstheme="minorHAnsi"/>
          <w:i/>
          <w:iCs/>
        </w:rPr>
      </w:pPr>
      <w:r w:rsidRPr="00F728B2">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BC1F12" w:rsidRPr="00F728B2" w:rsidP="006D0743" w14:paraId="6A4A6EC9" w14:textId="3ECE81D4">
      <w:pPr>
        <w:pBdr>
          <w:bottom w:val="single" w:sz="4" w:space="1" w:color="auto"/>
        </w:pBdr>
        <w:spacing w:before="240" w:after="0" w:line="240" w:lineRule="auto"/>
        <w:rPr>
          <w:rFonts w:cstheme="minorHAnsi"/>
          <w:i/>
          <w:iCs/>
        </w:rPr>
      </w:pPr>
      <w:r w:rsidRPr="00F728B2">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F728B2" w:rsidP="00854AAE" w14:paraId="3EA690D7" w14:textId="2DDF0E18">
      <w:pPr>
        <w:pBdr>
          <w:top w:val="single" w:sz="6" w:space="0" w:color="FFFFFF"/>
          <w:left w:val="single" w:sz="6" w:space="0" w:color="FFFFFF"/>
          <w:bottom w:val="single" w:sz="6" w:space="0" w:color="FFFFFF"/>
          <w:right w:val="single" w:sz="6" w:space="0" w:color="FFFFFF"/>
        </w:pBdr>
        <w:rPr>
          <w:rFonts w:cstheme="minorHAnsi"/>
          <w:color w:val="000000"/>
        </w:rPr>
      </w:pPr>
      <w:r w:rsidRPr="00F728B2">
        <w:rPr>
          <w:rFonts w:cstheme="minorHAnsi"/>
          <w:color w:val="000000"/>
        </w:rPr>
        <w:t>Total Annual (non-Labor) Cost Burden Estimate: 0</w:t>
      </w:r>
    </w:p>
    <w:p w:rsidR="00C65050" w:rsidRPr="00F728B2" w:rsidP="00854AAE" w14:paraId="00EAB0E1" w14:textId="35480F2D">
      <w:pPr>
        <w:pBdr>
          <w:top w:val="single" w:sz="6" w:space="0" w:color="FFFFFF"/>
          <w:left w:val="single" w:sz="6" w:space="0" w:color="FFFFFF"/>
          <w:bottom w:val="single" w:sz="6" w:space="0" w:color="FFFFFF"/>
          <w:right w:val="single" w:sz="6" w:space="0" w:color="FFFFFF"/>
        </w:pBdr>
        <w:rPr>
          <w:rFonts w:cstheme="minorHAnsi"/>
          <w:color w:val="000000"/>
        </w:rPr>
      </w:pPr>
      <w:r w:rsidRPr="00F728B2">
        <w:rPr>
          <w:rFonts w:cstheme="minorHAnsi"/>
          <w:color w:val="000000"/>
        </w:rPr>
        <w:t>The EPA does not expect there to be significant cost burden beyond the hour burden to respondents or recordkeepers resulting from the collection of information. The information collection request does not require generating additional data or adding monitoring, recordkeeping or reporting equipment or systems not already in place.</w:t>
      </w:r>
    </w:p>
    <w:p w:rsidR="001F0834" w:rsidRPr="00F728B2" w:rsidP="00396CB7" w14:paraId="463AFEE8" w14:textId="71ECF123">
      <w:pPr>
        <w:pStyle w:val="ListParagraph"/>
        <w:numPr>
          <w:ilvl w:val="0"/>
          <w:numId w:val="25"/>
        </w:numPr>
        <w:pBdr>
          <w:bottom w:val="single" w:sz="4" w:space="1" w:color="auto"/>
        </w:pBdr>
        <w:spacing w:before="240" w:after="0"/>
        <w:rPr>
          <w:rFonts w:cstheme="minorHAnsi"/>
          <w:bCs/>
          <w:i/>
          <w:iCs/>
        </w:rPr>
      </w:pPr>
      <w:bookmarkStart w:id="23" w:name="_Toc156593387"/>
      <w:r w:rsidRPr="00F728B2">
        <w:rPr>
          <w:rFonts w:cstheme="minorHAnsi"/>
          <w:b/>
          <w:bCs/>
        </w:rPr>
        <w:t xml:space="preserve">AGENCY </w:t>
      </w:r>
      <w:bookmarkStart w:id="24" w:name="_Toc156593388"/>
      <w:bookmarkEnd w:id="23"/>
      <w:r w:rsidRPr="00F728B2" w:rsidR="00BB2B15">
        <w:rPr>
          <w:rFonts w:cstheme="minorHAnsi"/>
          <w:b/>
          <w:bCs/>
        </w:rPr>
        <w:t>COSTS</w:t>
      </w:r>
    </w:p>
    <w:p w:rsidR="006D0743" w:rsidRPr="00F728B2" w:rsidP="00853F56" w14:paraId="0EBABC84" w14:textId="68C703AC">
      <w:pPr>
        <w:pBdr>
          <w:bottom w:val="single" w:sz="4" w:space="1" w:color="auto"/>
        </w:pBdr>
        <w:rPr>
          <w:rFonts w:cstheme="minorHAnsi"/>
          <w:bCs/>
          <w:i/>
          <w:iCs/>
        </w:rPr>
      </w:pPr>
      <w:r w:rsidRPr="00F728B2">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5050" w:rsidRPr="00F728B2" w:rsidP="00C65050" w14:paraId="02816DC6" w14:textId="5F2B508C">
      <w:pPr>
        <w:spacing w:before="120" w:after="0"/>
        <w:rPr>
          <w:rFonts w:eastAsiaTheme="majorEastAsia" w:cstheme="minorHAnsi"/>
          <w:b/>
          <w:bCs/>
        </w:rPr>
      </w:pPr>
      <w:r w:rsidRPr="00F728B2">
        <w:rPr>
          <w:rFonts w:eastAsiaTheme="majorEastAsia" w:cstheme="minorHAnsi"/>
          <w:b/>
          <w:bCs/>
        </w:rPr>
        <w:t>Total Federal Government Cost Burden Estimate: $</w:t>
      </w:r>
      <w:r w:rsidR="00563DA7">
        <w:rPr>
          <w:rFonts w:eastAsiaTheme="majorEastAsia" w:cstheme="minorHAnsi"/>
          <w:b/>
          <w:bCs/>
        </w:rPr>
        <w:t>74,700</w:t>
      </w:r>
      <w:r w:rsidRPr="00F728B2" w:rsidR="003A4FF1">
        <w:rPr>
          <w:rFonts w:eastAsiaTheme="majorEastAsia" w:cstheme="minorHAnsi"/>
          <w:b/>
          <w:bCs/>
        </w:rPr>
        <w:t xml:space="preserve"> </w:t>
      </w:r>
      <w:r w:rsidRPr="00F728B2">
        <w:rPr>
          <w:rFonts w:eastAsiaTheme="majorEastAsia" w:cstheme="minorHAnsi"/>
          <w:b/>
          <w:bCs/>
        </w:rPr>
        <w:t>($</w:t>
      </w:r>
      <w:r w:rsidRPr="00F728B2" w:rsidR="004A775F">
        <w:rPr>
          <w:rFonts w:eastAsiaTheme="majorEastAsia" w:cstheme="minorHAnsi"/>
          <w:b/>
          <w:bCs/>
        </w:rPr>
        <w:t>3</w:t>
      </w:r>
      <w:r w:rsidR="00563DA7">
        <w:rPr>
          <w:rFonts w:eastAsiaTheme="majorEastAsia" w:cstheme="minorHAnsi"/>
          <w:b/>
          <w:bCs/>
        </w:rPr>
        <w:t>5</w:t>
      </w:r>
      <w:r w:rsidRPr="00F728B2" w:rsidR="004A775F">
        <w:rPr>
          <w:rFonts w:eastAsiaTheme="majorEastAsia" w:cstheme="minorHAnsi"/>
          <w:b/>
          <w:bCs/>
        </w:rPr>
        <w:t xml:space="preserve">0 </w:t>
      </w:r>
      <w:r w:rsidRPr="00F728B2">
        <w:rPr>
          <w:rFonts w:eastAsiaTheme="majorEastAsia" w:cstheme="minorHAnsi"/>
          <w:b/>
          <w:bCs/>
        </w:rPr>
        <w:t>per respondent)</w:t>
      </w:r>
    </w:p>
    <w:p w:rsidR="00C65050" w:rsidRPr="00F728B2" w:rsidP="00C65050" w14:paraId="6D2716AA" w14:textId="12599D61">
      <w:pPr>
        <w:spacing w:before="120" w:after="0"/>
        <w:rPr>
          <w:rFonts w:eastAsiaTheme="majorEastAsia" w:cstheme="minorHAnsi"/>
          <w:b/>
          <w:bCs/>
        </w:rPr>
      </w:pPr>
      <w:r w:rsidRPr="00F728B2">
        <w:rPr>
          <w:rFonts w:eastAsiaTheme="majorEastAsia" w:cstheme="minorHAnsi"/>
          <w:b/>
          <w:bCs/>
        </w:rPr>
        <w:t xml:space="preserve">Total Federal Government Hour Burden Estimate: </w:t>
      </w:r>
      <w:r w:rsidR="00563DA7">
        <w:rPr>
          <w:rFonts w:eastAsiaTheme="majorEastAsia" w:cstheme="minorHAnsi"/>
          <w:b/>
          <w:bCs/>
        </w:rPr>
        <w:t>1,410</w:t>
      </w:r>
      <w:r w:rsidRPr="00F728B2" w:rsidR="004A775F">
        <w:rPr>
          <w:rFonts w:eastAsiaTheme="majorEastAsia" w:cstheme="minorHAnsi"/>
          <w:b/>
          <w:bCs/>
        </w:rPr>
        <w:t xml:space="preserve"> </w:t>
      </w:r>
      <w:r w:rsidRPr="00F728B2">
        <w:rPr>
          <w:rFonts w:eastAsiaTheme="majorEastAsia" w:cstheme="minorHAnsi"/>
          <w:b/>
          <w:bCs/>
        </w:rPr>
        <w:t>hours (</w:t>
      </w:r>
      <w:r w:rsidR="00563DA7">
        <w:rPr>
          <w:rFonts w:eastAsiaTheme="majorEastAsia" w:cstheme="minorHAnsi"/>
          <w:b/>
          <w:bCs/>
        </w:rPr>
        <w:t>7</w:t>
      </w:r>
      <w:r w:rsidRPr="00F728B2">
        <w:rPr>
          <w:rFonts w:eastAsiaTheme="majorEastAsia" w:cstheme="minorHAnsi"/>
          <w:b/>
          <w:bCs/>
        </w:rPr>
        <w:t xml:space="preserve"> hours per respondent)</w:t>
      </w:r>
    </w:p>
    <w:p w:rsidR="00023EFE" w:rsidRPr="00F728B2" w:rsidP="00854AAE" w14:paraId="6051EEAF" w14:textId="55710DB1">
      <w:pPr>
        <w:spacing w:before="120" w:after="0"/>
        <w:rPr>
          <w:rFonts w:cstheme="minorHAnsi"/>
          <w:b/>
          <w:bCs/>
        </w:rPr>
      </w:pPr>
      <w:r w:rsidRPr="00F728B2">
        <w:rPr>
          <w:rFonts w:eastAsiaTheme="majorEastAsia" w:cstheme="minorHAnsi"/>
          <w:b/>
          <w:bCs/>
        </w:rPr>
        <w:t xml:space="preserve">14a. </w:t>
      </w:r>
      <w:r w:rsidRPr="00F728B2" w:rsidR="00BB2B15">
        <w:rPr>
          <w:rFonts w:eastAsiaTheme="majorEastAsia" w:cstheme="minorHAnsi"/>
          <w:b/>
          <w:bCs/>
        </w:rPr>
        <w:t>Agency Activities</w:t>
      </w:r>
    </w:p>
    <w:p w:rsidR="00FA5296" w:rsidRPr="00A93CB0" w:rsidP="00FA5296" w14:paraId="21ECF3A5" w14:textId="77777777">
      <w:pPr>
        <w:pStyle w:val="BodyText"/>
        <w:rPr>
          <w:rFonts w:asciiTheme="minorHAnsi" w:hAnsiTheme="minorHAnsi" w:cstheme="minorHAnsi"/>
          <w:sz w:val="22"/>
          <w:szCs w:val="22"/>
        </w:rPr>
      </w:pPr>
      <w:r w:rsidRPr="00A93CB0">
        <w:rPr>
          <w:rFonts w:eastAsia="Calibri" w:asciiTheme="minorHAnsi" w:hAnsiTheme="minorHAnsi" w:cstheme="minorHAnsi"/>
          <w:sz w:val="22"/>
          <w:szCs w:val="22"/>
        </w:rPr>
        <w:t>The EPA estimated wages based on U.S. Office of Personnel Management Pay &amp; Leave Salaries and Wages 2023 with a 60% increase for Fringe Benefits and overhead. The following table shows the EPA wages:</w:t>
      </w:r>
    </w:p>
    <w:p w:rsidR="00FA5296" w:rsidRPr="00A93CB0" w:rsidP="00FA5296" w14:paraId="1A4BB325" w14:textId="77777777">
      <w:pPr>
        <w:pStyle w:val="TableTitle"/>
        <w:rPr>
          <w:rFonts w:asciiTheme="minorHAnsi" w:hAnsiTheme="minorHAnsi" w:cstheme="minorHAnsi"/>
        </w:rPr>
      </w:pPr>
      <w:bookmarkStart w:id="25" w:name="_Toc152077191"/>
      <w:r w:rsidRPr="00A93CB0">
        <w:rPr>
          <w:rFonts w:asciiTheme="minorHAnsi" w:hAnsiTheme="minorHAnsi" w:cstheme="minorHAnsi"/>
        </w:rPr>
        <w:t xml:space="preserve">Table </w:t>
      </w:r>
      <w:r w:rsidRPr="00A93CB0">
        <w:rPr>
          <w:rFonts w:asciiTheme="minorHAnsi" w:hAnsiTheme="minorHAnsi" w:cstheme="minorHAnsi"/>
        </w:rPr>
        <w:fldChar w:fldCharType="begin"/>
      </w:r>
      <w:r w:rsidRPr="00A93CB0">
        <w:rPr>
          <w:rFonts w:asciiTheme="minorHAnsi" w:hAnsiTheme="minorHAnsi" w:cstheme="minorHAnsi"/>
        </w:rPr>
        <w:instrText>STYLEREF 1 \s</w:instrText>
      </w:r>
      <w:r w:rsidRPr="00A93CB0">
        <w:rPr>
          <w:rFonts w:asciiTheme="minorHAnsi" w:hAnsiTheme="minorHAnsi" w:cstheme="minorHAnsi"/>
        </w:rPr>
        <w:fldChar w:fldCharType="separate"/>
      </w:r>
      <w:r w:rsidRPr="00A93CB0">
        <w:rPr>
          <w:rFonts w:asciiTheme="minorHAnsi" w:hAnsiTheme="minorHAnsi" w:cstheme="minorHAnsi"/>
          <w:noProof/>
        </w:rPr>
        <w:t>14</w:t>
      </w:r>
      <w:r w:rsidRPr="00A93CB0">
        <w:rPr>
          <w:rFonts w:asciiTheme="minorHAnsi" w:hAnsiTheme="minorHAnsi" w:cstheme="minorHAnsi"/>
        </w:rPr>
        <w:fldChar w:fldCharType="end"/>
      </w:r>
      <w:r w:rsidRPr="00A93CB0">
        <w:rPr>
          <w:rFonts w:asciiTheme="minorHAnsi" w:hAnsiTheme="minorHAnsi" w:cstheme="minorHAnsi"/>
        </w:rPr>
        <w:noBreakHyphen/>
      </w:r>
      <w:r w:rsidRPr="00A93CB0">
        <w:rPr>
          <w:rFonts w:asciiTheme="minorHAnsi" w:hAnsiTheme="minorHAnsi" w:cstheme="minorHAnsi"/>
        </w:rPr>
        <w:fldChar w:fldCharType="begin"/>
      </w:r>
      <w:r w:rsidRPr="00A93CB0">
        <w:rPr>
          <w:rFonts w:asciiTheme="minorHAnsi" w:hAnsiTheme="minorHAnsi" w:cstheme="minorHAnsi"/>
        </w:rPr>
        <w:instrText>SEQ Table \* ARABIC \s 1</w:instrText>
      </w:r>
      <w:r w:rsidRPr="00A93CB0">
        <w:rPr>
          <w:rFonts w:asciiTheme="minorHAnsi" w:hAnsiTheme="minorHAnsi" w:cstheme="minorHAnsi"/>
        </w:rPr>
        <w:fldChar w:fldCharType="separate"/>
      </w:r>
      <w:r w:rsidRPr="00A93CB0">
        <w:rPr>
          <w:rFonts w:asciiTheme="minorHAnsi" w:hAnsiTheme="minorHAnsi" w:cstheme="minorHAnsi"/>
          <w:noProof/>
        </w:rPr>
        <w:t>1</w:t>
      </w:r>
      <w:r w:rsidRPr="00A93CB0">
        <w:rPr>
          <w:rFonts w:asciiTheme="minorHAnsi" w:hAnsiTheme="minorHAnsi" w:cstheme="minorHAnsi"/>
        </w:rPr>
        <w:fldChar w:fldCharType="end"/>
      </w:r>
      <w:r w:rsidRPr="00A93CB0">
        <w:rPr>
          <w:rFonts w:asciiTheme="minorHAnsi" w:hAnsiTheme="minorHAnsi" w:cstheme="minorHAnsi"/>
        </w:rPr>
        <w:t>. EPA Wages</w:t>
      </w:r>
      <w:bookmarkEnd w:id="25"/>
    </w:p>
    <w:tbl>
      <w:tblPr>
        <w:tblW w:w="5100" w:type="dxa"/>
        <w:jc w:val="center"/>
        <w:tblLayout w:type="fixed"/>
        <w:tblCellMar>
          <w:top w:w="14" w:type="dxa"/>
          <w:left w:w="58" w:type="dxa"/>
          <w:bottom w:w="14" w:type="dxa"/>
          <w:right w:w="58" w:type="dxa"/>
        </w:tblCellMar>
        <w:tblLook w:val="04A0"/>
      </w:tblPr>
      <w:tblGrid>
        <w:gridCol w:w="2265"/>
        <w:gridCol w:w="1335"/>
        <w:gridCol w:w="1500"/>
      </w:tblGrid>
      <w:tr w14:paraId="67EB59C7" w14:textId="77777777" w:rsidTr="00396CB7">
        <w:tblPrEx>
          <w:tblW w:w="5100" w:type="dxa"/>
          <w:jc w:val="center"/>
          <w:tblLayout w:type="fixed"/>
          <w:tblCellMar>
            <w:top w:w="14" w:type="dxa"/>
            <w:left w:w="58" w:type="dxa"/>
            <w:bottom w:w="14" w:type="dxa"/>
            <w:right w:w="58" w:type="dxa"/>
          </w:tblCellMar>
          <w:tblLook w:val="04A0"/>
        </w:tblPrEx>
        <w:trPr>
          <w:trHeight w:val="510"/>
          <w:tblHeader/>
          <w:jc w:val="center"/>
        </w:trPr>
        <w:tc>
          <w:tcPr>
            <w:tcW w:w="2265" w:type="dxa"/>
            <w:tcBorders>
              <w:top w:val="single" w:sz="8" w:space="0" w:color="auto"/>
              <w:left w:val="single" w:sz="8" w:space="0" w:color="auto"/>
              <w:bottom w:val="single" w:sz="8" w:space="0" w:color="auto"/>
              <w:right w:val="single" w:sz="8" w:space="0" w:color="auto"/>
            </w:tcBorders>
            <w:shd w:val="clear" w:color="auto" w:fill="DDD9C3"/>
            <w:tcMar>
              <w:left w:w="108" w:type="dxa"/>
              <w:right w:w="108" w:type="dxa"/>
            </w:tcMar>
            <w:vAlign w:val="center"/>
          </w:tcPr>
          <w:p w:rsidR="00FA5296" w:rsidRPr="00F728B2" w:rsidP="00396CB7" w14:paraId="652460BD" w14:textId="77777777">
            <w:pPr>
              <w:jc w:val="center"/>
              <w:rPr>
                <w:rFonts w:cstheme="minorHAnsi"/>
                <w:b/>
                <w:bCs/>
                <w:sz w:val="20"/>
              </w:rPr>
            </w:pPr>
            <w:r w:rsidRPr="00F728B2">
              <w:rPr>
                <w:rFonts w:eastAsia="Calibri" w:cstheme="minorHAnsi"/>
                <w:b/>
                <w:bCs/>
                <w:sz w:val="20"/>
              </w:rPr>
              <w:t>Category</w:t>
            </w:r>
          </w:p>
        </w:tc>
        <w:tc>
          <w:tcPr>
            <w:tcW w:w="1335" w:type="dxa"/>
            <w:tcBorders>
              <w:top w:val="single" w:sz="8" w:space="0" w:color="auto"/>
              <w:left w:val="single" w:sz="8" w:space="0" w:color="auto"/>
              <w:bottom w:val="single" w:sz="8" w:space="0" w:color="auto"/>
              <w:right w:val="single" w:sz="8" w:space="0" w:color="auto"/>
            </w:tcBorders>
            <w:shd w:val="clear" w:color="auto" w:fill="DDD9C3"/>
            <w:tcMar>
              <w:left w:w="108" w:type="dxa"/>
              <w:right w:w="108" w:type="dxa"/>
            </w:tcMar>
            <w:vAlign w:val="center"/>
          </w:tcPr>
          <w:p w:rsidR="00FA5296" w:rsidRPr="00F728B2" w:rsidP="00396CB7" w14:paraId="3FA02BBF" w14:textId="77777777">
            <w:pPr>
              <w:jc w:val="center"/>
              <w:rPr>
                <w:rFonts w:cstheme="minorHAnsi"/>
                <w:b/>
                <w:bCs/>
                <w:sz w:val="20"/>
              </w:rPr>
            </w:pPr>
            <w:r w:rsidRPr="00F728B2">
              <w:rPr>
                <w:rFonts w:eastAsia="Calibri" w:cstheme="minorHAnsi"/>
                <w:b/>
                <w:bCs/>
                <w:sz w:val="20"/>
              </w:rPr>
              <w:t>Hourly Mean Wage</w:t>
            </w:r>
          </w:p>
        </w:tc>
        <w:tc>
          <w:tcPr>
            <w:tcW w:w="1500" w:type="dxa"/>
            <w:tcBorders>
              <w:top w:val="single" w:sz="8" w:space="0" w:color="auto"/>
              <w:left w:val="single" w:sz="8" w:space="0" w:color="auto"/>
              <w:bottom w:val="single" w:sz="8" w:space="0" w:color="auto"/>
              <w:right w:val="single" w:sz="8" w:space="0" w:color="auto"/>
            </w:tcBorders>
            <w:shd w:val="clear" w:color="auto" w:fill="DDD9C3"/>
            <w:tcMar>
              <w:left w:w="108" w:type="dxa"/>
              <w:right w:w="108" w:type="dxa"/>
            </w:tcMar>
            <w:vAlign w:val="center"/>
          </w:tcPr>
          <w:p w:rsidR="00FA5296" w:rsidRPr="00F728B2" w:rsidP="00396CB7" w14:paraId="7EBB063D" w14:textId="77777777">
            <w:pPr>
              <w:jc w:val="center"/>
              <w:rPr>
                <w:rFonts w:cstheme="minorHAnsi"/>
                <w:b/>
                <w:bCs/>
                <w:sz w:val="20"/>
              </w:rPr>
            </w:pPr>
            <w:r w:rsidRPr="00F728B2">
              <w:rPr>
                <w:rFonts w:eastAsia="Calibri" w:cstheme="minorHAnsi"/>
                <w:b/>
                <w:bCs/>
                <w:sz w:val="20"/>
              </w:rPr>
              <w:t>With Fringe &amp; Overhead</w:t>
            </w:r>
          </w:p>
        </w:tc>
      </w:tr>
      <w:tr w14:paraId="6E81E18F" w14:textId="77777777" w:rsidTr="00396CB7">
        <w:tblPrEx>
          <w:tblW w:w="5100" w:type="dxa"/>
          <w:jc w:val="center"/>
          <w:tblLayout w:type="fixed"/>
          <w:tblCellMar>
            <w:top w:w="14" w:type="dxa"/>
            <w:left w:w="58" w:type="dxa"/>
            <w:bottom w:w="14" w:type="dxa"/>
            <w:right w:w="58" w:type="dxa"/>
          </w:tblCellMar>
          <w:tblLook w:val="04A0"/>
        </w:tblPrEx>
        <w:trPr>
          <w:trHeight w:val="300"/>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A5296" w:rsidRPr="00F728B2" w:rsidP="00396CB7" w14:paraId="4AE01ECE" w14:textId="77777777">
            <w:pPr>
              <w:rPr>
                <w:rFonts w:cstheme="minorHAnsi"/>
                <w:sz w:val="20"/>
              </w:rPr>
            </w:pPr>
            <w:r w:rsidRPr="00F728B2">
              <w:rPr>
                <w:rFonts w:eastAsia="Calibri" w:cstheme="minorHAnsi"/>
                <w:sz w:val="20"/>
              </w:rPr>
              <w:t>(GS- 12, step 1) - Tech.</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A5296" w:rsidRPr="00F728B2" w:rsidP="00396CB7" w14:paraId="130A93D0" w14:textId="77777777">
            <w:pPr>
              <w:jc w:val="center"/>
              <w:rPr>
                <w:rFonts w:cstheme="minorHAnsi"/>
                <w:sz w:val="20"/>
              </w:rPr>
            </w:pPr>
            <w:r w:rsidRPr="00F728B2">
              <w:rPr>
                <w:rFonts w:eastAsia="Calibri" w:cstheme="minorHAnsi"/>
                <w:sz w:val="20"/>
              </w:rPr>
              <w:t>$34.07</w:t>
            </w:r>
          </w:p>
        </w:tc>
        <w:tc>
          <w:tcPr>
            <w:tcW w:w="15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FA5296" w:rsidRPr="00F728B2" w:rsidP="00396CB7" w14:paraId="17D55746" w14:textId="77777777">
            <w:pPr>
              <w:jc w:val="center"/>
              <w:rPr>
                <w:rFonts w:cstheme="minorHAnsi"/>
                <w:sz w:val="20"/>
              </w:rPr>
            </w:pPr>
            <w:r w:rsidRPr="00F728B2">
              <w:rPr>
                <w:rFonts w:eastAsia="Calibri" w:cstheme="minorHAnsi"/>
                <w:sz w:val="20"/>
              </w:rPr>
              <w:t>$54.51</w:t>
            </w:r>
          </w:p>
        </w:tc>
      </w:tr>
      <w:tr w14:paraId="2C2FAAA3" w14:textId="77777777" w:rsidTr="00396CB7">
        <w:tblPrEx>
          <w:tblW w:w="5100" w:type="dxa"/>
          <w:jc w:val="center"/>
          <w:tblLayout w:type="fixed"/>
          <w:tblCellMar>
            <w:top w:w="14" w:type="dxa"/>
            <w:left w:w="58" w:type="dxa"/>
            <w:bottom w:w="14" w:type="dxa"/>
            <w:right w:w="58" w:type="dxa"/>
          </w:tblCellMar>
          <w:tblLook w:val="04A0"/>
        </w:tblPrEx>
        <w:trPr>
          <w:trHeight w:val="300"/>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A5296" w:rsidRPr="00F728B2" w:rsidP="00396CB7" w14:paraId="07B70F95" w14:textId="77777777">
            <w:pPr>
              <w:rPr>
                <w:rFonts w:cstheme="minorHAnsi"/>
                <w:sz w:val="20"/>
              </w:rPr>
            </w:pPr>
            <w:r w:rsidRPr="00F728B2">
              <w:rPr>
                <w:rFonts w:eastAsia="Calibri" w:cstheme="minorHAnsi"/>
                <w:sz w:val="20"/>
              </w:rPr>
              <w:t>(GS- 13, step 5) - Mgmt.</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A5296" w:rsidRPr="00F728B2" w:rsidP="00396CB7" w14:paraId="14DD7882" w14:textId="77777777">
            <w:pPr>
              <w:jc w:val="center"/>
              <w:rPr>
                <w:rFonts w:cstheme="minorHAnsi"/>
                <w:sz w:val="20"/>
              </w:rPr>
            </w:pPr>
            <w:r w:rsidRPr="00F728B2">
              <w:rPr>
                <w:rFonts w:eastAsia="Calibri" w:cstheme="minorHAnsi"/>
                <w:sz w:val="20"/>
              </w:rPr>
              <w:t>$45.91</w:t>
            </w:r>
          </w:p>
        </w:tc>
        <w:tc>
          <w:tcPr>
            <w:tcW w:w="15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FA5296" w:rsidRPr="00F728B2" w:rsidP="00396CB7" w14:paraId="0F64E19B" w14:textId="77777777">
            <w:pPr>
              <w:jc w:val="center"/>
              <w:rPr>
                <w:rFonts w:cstheme="minorHAnsi"/>
                <w:sz w:val="20"/>
              </w:rPr>
            </w:pPr>
            <w:r w:rsidRPr="00F728B2">
              <w:rPr>
                <w:rFonts w:eastAsia="Calibri" w:cstheme="minorHAnsi"/>
                <w:sz w:val="20"/>
              </w:rPr>
              <w:t>$73.46</w:t>
            </w:r>
          </w:p>
        </w:tc>
      </w:tr>
      <w:tr w14:paraId="6953ED0E" w14:textId="77777777" w:rsidTr="00396CB7">
        <w:tblPrEx>
          <w:tblW w:w="5100" w:type="dxa"/>
          <w:jc w:val="center"/>
          <w:tblLayout w:type="fixed"/>
          <w:tblCellMar>
            <w:top w:w="14" w:type="dxa"/>
            <w:left w:w="58" w:type="dxa"/>
            <w:bottom w:w="14" w:type="dxa"/>
            <w:right w:w="58" w:type="dxa"/>
          </w:tblCellMar>
          <w:tblLook w:val="04A0"/>
        </w:tblPrEx>
        <w:trPr>
          <w:trHeight w:val="31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A5296" w:rsidRPr="00F728B2" w:rsidP="00396CB7" w14:paraId="3BB1F2F3" w14:textId="77777777">
            <w:pPr>
              <w:rPr>
                <w:rFonts w:cstheme="minorHAnsi"/>
                <w:sz w:val="20"/>
              </w:rPr>
            </w:pPr>
            <w:r w:rsidRPr="00F728B2">
              <w:rPr>
                <w:rFonts w:eastAsia="Calibri" w:cstheme="minorHAnsi"/>
                <w:sz w:val="20"/>
              </w:rPr>
              <w:t xml:space="preserve">(GS-6, step 3) - </w:t>
            </w:r>
            <w:r w:rsidRPr="00F728B2">
              <w:rPr>
                <w:rFonts w:eastAsia="Calibri" w:cstheme="minorHAnsi"/>
                <w:sz w:val="20"/>
              </w:rPr>
              <w:t>Cler</w:t>
            </w:r>
            <w:r w:rsidRPr="00F728B2">
              <w:rPr>
                <w:rFonts w:eastAsia="Calibri" w:cstheme="minorHAnsi"/>
                <w:sz w:val="20"/>
              </w:rPr>
              <w:t>.</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A5296" w:rsidRPr="00F728B2" w:rsidP="00396CB7" w14:paraId="34C235E9" w14:textId="77777777">
            <w:pPr>
              <w:jc w:val="center"/>
              <w:rPr>
                <w:rFonts w:cstheme="minorHAnsi"/>
                <w:sz w:val="20"/>
              </w:rPr>
            </w:pPr>
            <w:r w:rsidRPr="00F728B2">
              <w:rPr>
                <w:rFonts w:eastAsia="Calibri" w:cstheme="minorHAnsi"/>
                <w:sz w:val="20"/>
              </w:rPr>
              <w:t>$18.44</w:t>
            </w:r>
          </w:p>
        </w:tc>
        <w:tc>
          <w:tcPr>
            <w:tcW w:w="15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FA5296" w:rsidRPr="00F728B2" w:rsidP="00396CB7" w14:paraId="199AF920" w14:textId="77777777">
            <w:pPr>
              <w:jc w:val="center"/>
              <w:rPr>
                <w:rFonts w:cstheme="minorHAnsi"/>
                <w:sz w:val="20"/>
              </w:rPr>
            </w:pPr>
            <w:r w:rsidRPr="00F728B2">
              <w:rPr>
                <w:rFonts w:eastAsia="Calibri" w:cstheme="minorHAnsi"/>
                <w:sz w:val="20"/>
              </w:rPr>
              <w:t>$29.50</w:t>
            </w:r>
          </w:p>
        </w:tc>
      </w:tr>
    </w:tbl>
    <w:p w:rsidR="00FA5296" w:rsidRPr="00F728B2" w:rsidP="00FA5296" w14:paraId="53BA2746" w14:textId="77777777">
      <w:pPr>
        <w:rPr>
          <w:rFonts w:eastAsia="Calibri" w:cstheme="minorHAnsi"/>
        </w:rPr>
      </w:pPr>
    </w:p>
    <w:p w:rsidR="00FA5296" w:rsidRPr="00A93CB0" w:rsidP="00FA5296" w14:paraId="27818591" w14:textId="77777777">
      <w:pPr>
        <w:pStyle w:val="BodyText"/>
        <w:rPr>
          <w:rFonts w:asciiTheme="minorHAnsi" w:hAnsiTheme="minorHAnsi" w:cstheme="minorHAnsi"/>
          <w:sz w:val="22"/>
          <w:szCs w:val="22"/>
        </w:rPr>
      </w:pPr>
      <w:r w:rsidRPr="00A93CB0">
        <w:rPr>
          <w:rFonts w:eastAsia="Calibri" w:asciiTheme="minorHAnsi" w:hAnsiTheme="minorHAnsi" w:cstheme="minorHAnsi"/>
          <w:sz w:val="22"/>
          <w:szCs w:val="22"/>
        </w:rPr>
        <w:t>The hour burden on the EPA was calculated in a similar fashion to the respondent burden with the following hierarchy:</w:t>
      </w:r>
    </w:p>
    <w:p w:rsidR="00FA5296" w:rsidRPr="00F728B2" w:rsidP="00FA5296" w14:paraId="2EEDDD0D" w14:textId="200F1E29">
      <w:pPr>
        <w:pStyle w:val="ListBullet"/>
        <w:rPr>
          <w:rFonts w:eastAsia="Calibri"/>
          <w:sz w:val="22"/>
          <w:szCs w:val="22"/>
        </w:rPr>
      </w:pPr>
      <w:r w:rsidRPr="00F728B2">
        <w:rPr>
          <w:rFonts w:eastAsia="Calibri"/>
          <w:sz w:val="22"/>
          <w:szCs w:val="22"/>
        </w:rPr>
        <w:t xml:space="preserve">Assume every question takes 1 to 5 minutes minimum (includes help-line support to respondents, development of a </w:t>
      </w:r>
      <w:r w:rsidRPr="00F728B2" w:rsidR="00523258">
        <w:rPr>
          <w:rFonts w:eastAsia="Calibri"/>
          <w:sz w:val="22"/>
          <w:szCs w:val="22"/>
        </w:rPr>
        <w:t>frequently asked</w:t>
      </w:r>
      <w:r w:rsidRPr="00F728B2">
        <w:rPr>
          <w:rFonts w:eastAsia="Calibri"/>
          <w:sz w:val="22"/>
          <w:szCs w:val="22"/>
        </w:rPr>
        <w:t xml:space="preserve"> question support document, review of respondent responses, and follow-up with respondents as needed).</w:t>
      </w:r>
    </w:p>
    <w:p w:rsidR="00F1677D" w:rsidRPr="00F728B2" w:rsidP="00396CB7" w14:paraId="39B5C614" w14:textId="77777777">
      <w:pPr>
        <w:pStyle w:val="ListBullet"/>
        <w:keepNext/>
        <w:keepLines/>
        <w:spacing w:before="60"/>
        <w:rPr>
          <w:sz w:val="22"/>
          <w:szCs w:val="22"/>
        </w:rPr>
      </w:pPr>
      <w:r w:rsidRPr="00F728B2">
        <w:rPr>
          <w:rFonts w:eastAsia="Calibri"/>
          <w:sz w:val="22"/>
          <w:szCs w:val="22"/>
        </w:rPr>
        <w:t xml:space="preserve">10 to 20 minutes to review information provided for items the respondent had to search for but not analyze. </w:t>
      </w:r>
    </w:p>
    <w:p w:rsidR="009F1E00" w:rsidRPr="00F728B2" w:rsidP="00396CB7" w14:paraId="423E98B3" w14:textId="61C7668B">
      <w:pPr>
        <w:pStyle w:val="ListBullet"/>
        <w:keepNext/>
        <w:keepLines/>
        <w:spacing w:before="60"/>
        <w:rPr>
          <w:sz w:val="22"/>
          <w:szCs w:val="22"/>
        </w:rPr>
      </w:pPr>
      <w:r w:rsidRPr="00F728B2">
        <w:rPr>
          <w:rFonts w:eastAsia="Calibri"/>
          <w:sz w:val="22"/>
          <w:szCs w:val="22"/>
        </w:rPr>
        <w:t>Up to 30 minutes to review for anything the respondent must analyze. This will vary substantially depending on the complexity and magnitude of the response and how much verification and analysis is required on the EPA’s part.</w:t>
      </w:r>
    </w:p>
    <w:p w:rsidR="00023EFE" w:rsidRPr="00F728B2" w:rsidP="00854AAE" w14:paraId="7674DECB" w14:textId="77777777">
      <w:pPr>
        <w:spacing w:before="120" w:after="0"/>
        <w:rPr>
          <w:rFonts w:cstheme="minorHAnsi"/>
          <w:b/>
          <w:bCs/>
        </w:rPr>
      </w:pPr>
      <w:r w:rsidRPr="00F728B2">
        <w:rPr>
          <w:rFonts w:eastAsiaTheme="majorEastAsia" w:cstheme="minorHAnsi"/>
          <w:b/>
          <w:bCs/>
        </w:rPr>
        <w:t xml:space="preserve">14b. </w:t>
      </w:r>
      <w:r w:rsidRPr="00F728B2" w:rsidR="00BB2B15">
        <w:rPr>
          <w:rFonts w:eastAsiaTheme="majorEastAsia" w:cstheme="minorHAnsi"/>
          <w:b/>
          <w:bCs/>
        </w:rPr>
        <w:t>Agency Labor Cost</w:t>
      </w:r>
    </w:p>
    <w:p w:rsidR="009627F1" w:rsidRPr="00A93CB0" w:rsidP="009627F1" w14:paraId="23641CD6" w14:textId="77777777">
      <w:pPr>
        <w:pStyle w:val="BodyText"/>
        <w:rPr>
          <w:rFonts w:asciiTheme="minorHAnsi" w:hAnsiTheme="minorHAnsi" w:cstheme="minorHAnsi"/>
          <w:sz w:val="22"/>
          <w:szCs w:val="22"/>
        </w:rPr>
      </w:pPr>
      <w:r w:rsidRPr="00A93CB0">
        <w:rPr>
          <w:rFonts w:asciiTheme="minorHAnsi" w:hAnsiTheme="minorHAnsi" w:cstheme="minorHAnsi"/>
          <w:sz w:val="22"/>
          <w:szCs w:val="22"/>
        </w:rPr>
        <w:t>The following table shows the EPA’s burden per questionnaire estimate.</w:t>
      </w:r>
    </w:p>
    <w:p w:rsidR="009627F1" w:rsidRPr="00A93CB0" w:rsidP="009627F1" w14:paraId="52B2FA82" w14:textId="77777777">
      <w:pPr>
        <w:pStyle w:val="TableTitle"/>
        <w:rPr>
          <w:rFonts w:asciiTheme="minorHAnsi" w:hAnsiTheme="minorHAnsi" w:cstheme="minorHAnsi"/>
          <w:szCs w:val="22"/>
        </w:rPr>
      </w:pPr>
      <w:bookmarkStart w:id="26" w:name="_Toc152077192"/>
      <w:r w:rsidRPr="00A93CB0">
        <w:rPr>
          <w:rFonts w:asciiTheme="minorHAnsi" w:hAnsiTheme="minorHAnsi" w:cstheme="minorHAnsi"/>
          <w:szCs w:val="22"/>
        </w:rPr>
        <w:t xml:space="preserve">Table </w:t>
      </w:r>
      <w:r w:rsidRPr="00A93CB0">
        <w:rPr>
          <w:rFonts w:asciiTheme="minorHAnsi" w:hAnsiTheme="minorHAnsi" w:cstheme="minorHAnsi"/>
          <w:szCs w:val="22"/>
        </w:rPr>
        <w:fldChar w:fldCharType="begin"/>
      </w:r>
      <w:r w:rsidRPr="00A93CB0">
        <w:rPr>
          <w:rFonts w:asciiTheme="minorHAnsi" w:hAnsiTheme="minorHAnsi" w:cstheme="minorHAnsi"/>
          <w:szCs w:val="22"/>
        </w:rPr>
        <w:instrText>STYLEREF 1 \s</w:instrText>
      </w:r>
      <w:r w:rsidRPr="00A93CB0">
        <w:rPr>
          <w:rFonts w:asciiTheme="minorHAnsi" w:hAnsiTheme="minorHAnsi" w:cstheme="minorHAnsi"/>
          <w:szCs w:val="22"/>
        </w:rPr>
        <w:fldChar w:fldCharType="separate"/>
      </w:r>
      <w:r w:rsidRPr="00A93CB0">
        <w:rPr>
          <w:rFonts w:asciiTheme="minorHAnsi" w:hAnsiTheme="minorHAnsi" w:cstheme="minorHAnsi"/>
          <w:noProof/>
          <w:szCs w:val="22"/>
        </w:rPr>
        <w:t>14</w:t>
      </w:r>
      <w:r w:rsidRPr="00A93CB0">
        <w:rPr>
          <w:rFonts w:asciiTheme="minorHAnsi" w:hAnsiTheme="minorHAnsi" w:cstheme="minorHAnsi"/>
          <w:szCs w:val="22"/>
        </w:rPr>
        <w:fldChar w:fldCharType="end"/>
      </w:r>
      <w:r w:rsidRPr="00A93CB0">
        <w:rPr>
          <w:rFonts w:asciiTheme="minorHAnsi" w:hAnsiTheme="minorHAnsi" w:cstheme="minorHAnsi"/>
          <w:szCs w:val="22"/>
        </w:rPr>
        <w:noBreakHyphen/>
      </w:r>
      <w:r w:rsidRPr="00A93CB0">
        <w:rPr>
          <w:rFonts w:asciiTheme="minorHAnsi" w:hAnsiTheme="minorHAnsi" w:cstheme="minorHAnsi"/>
          <w:szCs w:val="22"/>
        </w:rPr>
        <w:fldChar w:fldCharType="begin"/>
      </w:r>
      <w:r w:rsidRPr="00A93CB0">
        <w:rPr>
          <w:rFonts w:asciiTheme="minorHAnsi" w:hAnsiTheme="minorHAnsi" w:cstheme="minorHAnsi"/>
          <w:szCs w:val="22"/>
        </w:rPr>
        <w:instrText>SEQ Table \* ARABIC \s 1</w:instrText>
      </w:r>
      <w:r w:rsidRPr="00A93CB0">
        <w:rPr>
          <w:rFonts w:asciiTheme="minorHAnsi" w:hAnsiTheme="minorHAnsi" w:cstheme="minorHAnsi"/>
          <w:szCs w:val="22"/>
        </w:rPr>
        <w:fldChar w:fldCharType="separate"/>
      </w:r>
      <w:r w:rsidRPr="00A93CB0">
        <w:rPr>
          <w:rFonts w:asciiTheme="minorHAnsi" w:hAnsiTheme="minorHAnsi" w:cstheme="minorHAnsi"/>
          <w:noProof/>
          <w:szCs w:val="22"/>
        </w:rPr>
        <w:t>2</w:t>
      </w:r>
      <w:r w:rsidRPr="00A93CB0">
        <w:rPr>
          <w:rFonts w:asciiTheme="minorHAnsi" w:hAnsiTheme="minorHAnsi" w:cstheme="minorHAnsi"/>
          <w:szCs w:val="22"/>
        </w:rPr>
        <w:fldChar w:fldCharType="end"/>
      </w:r>
      <w:r w:rsidRPr="00A93CB0">
        <w:rPr>
          <w:rFonts w:asciiTheme="minorHAnsi" w:hAnsiTheme="minorHAnsi" w:cstheme="minorHAnsi"/>
          <w:szCs w:val="22"/>
        </w:rPr>
        <w:t>. Burden per Questionnaire Estimate</w:t>
      </w:r>
      <w:bookmarkEnd w:id="26"/>
    </w:p>
    <w:tbl>
      <w:tblPr>
        <w:tblW w:w="5000" w:type="pct"/>
        <w:tblCellMar>
          <w:top w:w="14" w:type="dxa"/>
          <w:left w:w="58" w:type="dxa"/>
          <w:bottom w:w="14" w:type="dxa"/>
          <w:right w:w="58" w:type="dxa"/>
        </w:tblCellMar>
        <w:tblLook w:val="06A0"/>
      </w:tblPr>
      <w:tblGrid>
        <w:gridCol w:w="2103"/>
        <w:gridCol w:w="1272"/>
        <w:gridCol w:w="1296"/>
        <w:gridCol w:w="1004"/>
        <w:gridCol w:w="1255"/>
        <w:gridCol w:w="1169"/>
        <w:gridCol w:w="1251"/>
      </w:tblGrid>
      <w:tr w14:paraId="5D930793" w14:textId="77777777" w:rsidTr="0019314B">
        <w:tblPrEx>
          <w:tblW w:w="5000" w:type="pct"/>
          <w:tblCellMar>
            <w:top w:w="14" w:type="dxa"/>
            <w:left w:w="58" w:type="dxa"/>
            <w:bottom w:w="14" w:type="dxa"/>
            <w:right w:w="58" w:type="dxa"/>
          </w:tblCellMar>
          <w:tblLook w:val="06A0"/>
        </w:tblPrEx>
        <w:trPr>
          <w:trHeight w:val="576"/>
          <w:tblHeader/>
        </w:trPr>
        <w:tc>
          <w:tcPr>
            <w:tcW w:w="1125" w:type="pct"/>
            <w:vMerge w:val="restart"/>
            <w:tcBorders>
              <w:top w:val="single" w:sz="4" w:space="0" w:color="auto"/>
              <w:left w:val="single" w:sz="4" w:space="0" w:color="auto"/>
              <w:right w:val="single" w:sz="4" w:space="0" w:color="auto"/>
            </w:tcBorders>
            <w:shd w:val="clear" w:color="auto" w:fill="DDD9C3"/>
            <w:vAlign w:val="center"/>
          </w:tcPr>
          <w:p w:rsidR="00F1677D" w:rsidRPr="00F728B2" w:rsidP="000C12D5" w14:paraId="374132FB" w14:textId="77777777">
            <w:pPr>
              <w:rPr>
                <w:rFonts w:cstheme="minorHAnsi"/>
                <w:b/>
                <w:bCs/>
                <w:sz w:val="20"/>
              </w:rPr>
            </w:pPr>
            <w:r w:rsidRPr="00F728B2">
              <w:rPr>
                <w:rFonts w:cstheme="minorHAnsi"/>
                <w:b/>
                <w:bCs/>
                <w:sz w:val="20"/>
              </w:rPr>
              <w:t>Burden item</w:t>
            </w:r>
          </w:p>
        </w:tc>
        <w:tc>
          <w:tcPr>
            <w:tcW w:w="680" w:type="pct"/>
            <w:tcBorders>
              <w:top w:val="single" w:sz="4" w:space="0" w:color="auto"/>
              <w:left w:val="single" w:sz="4" w:space="0" w:color="auto"/>
              <w:bottom w:val="single" w:sz="4" w:space="0" w:color="auto"/>
              <w:right w:val="single" w:sz="4" w:space="0" w:color="auto"/>
            </w:tcBorders>
            <w:shd w:val="clear" w:color="auto" w:fill="DDD9C3"/>
            <w:vAlign w:val="center"/>
          </w:tcPr>
          <w:p w:rsidR="00F1677D" w:rsidRPr="00F728B2" w:rsidP="000C12D5" w14:paraId="5B4D9449" w14:textId="77777777">
            <w:pPr>
              <w:jc w:val="center"/>
              <w:rPr>
                <w:rFonts w:cstheme="minorHAnsi"/>
                <w:b/>
                <w:bCs/>
                <w:sz w:val="20"/>
              </w:rPr>
            </w:pPr>
            <w:r w:rsidRPr="00F728B2">
              <w:rPr>
                <w:rFonts w:cstheme="minorHAnsi"/>
                <w:b/>
                <w:bCs/>
                <w:sz w:val="20"/>
              </w:rPr>
              <w:t>(C)</w:t>
            </w:r>
          </w:p>
        </w:tc>
        <w:tc>
          <w:tcPr>
            <w:tcW w:w="693" w:type="pct"/>
            <w:tcBorders>
              <w:top w:val="single" w:sz="4" w:space="0" w:color="auto"/>
              <w:left w:val="single" w:sz="4" w:space="0" w:color="auto"/>
              <w:bottom w:val="single" w:sz="4" w:space="0" w:color="auto"/>
              <w:right w:val="single" w:sz="4" w:space="0" w:color="auto"/>
            </w:tcBorders>
            <w:shd w:val="clear" w:color="auto" w:fill="DDD9C3"/>
            <w:vAlign w:val="center"/>
          </w:tcPr>
          <w:p w:rsidR="00F1677D" w:rsidRPr="00F728B2" w:rsidP="000C12D5" w14:paraId="4A3E8AD6" w14:textId="77777777">
            <w:pPr>
              <w:jc w:val="center"/>
              <w:rPr>
                <w:rFonts w:cstheme="minorHAnsi"/>
                <w:b/>
                <w:bCs/>
                <w:sz w:val="20"/>
              </w:rPr>
            </w:pPr>
            <w:r w:rsidRPr="00F728B2">
              <w:rPr>
                <w:rFonts w:cstheme="minorHAnsi"/>
                <w:b/>
                <w:bCs/>
                <w:sz w:val="20"/>
              </w:rPr>
              <w:t>(D)</w:t>
            </w:r>
          </w:p>
        </w:tc>
        <w:tc>
          <w:tcPr>
            <w:tcW w:w="537" w:type="pct"/>
            <w:tcBorders>
              <w:top w:val="single" w:sz="4" w:space="0" w:color="auto"/>
              <w:left w:val="single" w:sz="4" w:space="0" w:color="auto"/>
              <w:bottom w:val="single" w:sz="4" w:space="0" w:color="auto"/>
              <w:right w:val="single" w:sz="4" w:space="0" w:color="auto"/>
            </w:tcBorders>
            <w:shd w:val="clear" w:color="auto" w:fill="DDD9C3"/>
            <w:vAlign w:val="center"/>
          </w:tcPr>
          <w:p w:rsidR="00F1677D" w:rsidRPr="00F728B2" w:rsidP="000C12D5" w14:paraId="5C61172C" w14:textId="77777777">
            <w:pPr>
              <w:jc w:val="center"/>
              <w:rPr>
                <w:rFonts w:cstheme="minorHAnsi"/>
                <w:b/>
                <w:bCs/>
                <w:sz w:val="20"/>
              </w:rPr>
            </w:pPr>
            <w:r w:rsidRPr="00F728B2">
              <w:rPr>
                <w:rFonts w:cstheme="minorHAnsi"/>
                <w:b/>
                <w:bCs/>
                <w:sz w:val="20"/>
              </w:rPr>
              <w:t>(E)</w:t>
            </w:r>
          </w:p>
        </w:tc>
        <w:tc>
          <w:tcPr>
            <w:tcW w:w="671" w:type="pct"/>
            <w:tcBorders>
              <w:top w:val="single" w:sz="4" w:space="0" w:color="auto"/>
              <w:left w:val="single" w:sz="4" w:space="0" w:color="auto"/>
              <w:bottom w:val="single" w:sz="4" w:space="0" w:color="auto"/>
              <w:right w:val="single" w:sz="4" w:space="0" w:color="auto"/>
            </w:tcBorders>
            <w:shd w:val="clear" w:color="auto" w:fill="DDD9C3"/>
            <w:vAlign w:val="center"/>
          </w:tcPr>
          <w:p w:rsidR="00F1677D" w:rsidRPr="00F728B2" w:rsidP="000C12D5" w14:paraId="13C2CE40" w14:textId="77777777">
            <w:pPr>
              <w:jc w:val="center"/>
              <w:rPr>
                <w:rFonts w:cstheme="minorHAnsi"/>
                <w:b/>
                <w:bCs/>
                <w:sz w:val="20"/>
              </w:rPr>
            </w:pPr>
            <w:r w:rsidRPr="00F728B2">
              <w:rPr>
                <w:rFonts w:cstheme="minorHAnsi"/>
                <w:b/>
                <w:bCs/>
                <w:sz w:val="20"/>
              </w:rPr>
              <w:t>(F)</w:t>
            </w:r>
          </w:p>
        </w:tc>
        <w:tc>
          <w:tcPr>
            <w:tcW w:w="625" w:type="pct"/>
            <w:tcBorders>
              <w:top w:val="single" w:sz="4" w:space="0" w:color="auto"/>
              <w:left w:val="single" w:sz="4" w:space="0" w:color="auto"/>
              <w:bottom w:val="single" w:sz="4" w:space="0" w:color="auto"/>
              <w:right w:val="single" w:sz="4" w:space="0" w:color="auto"/>
            </w:tcBorders>
            <w:shd w:val="clear" w:color="auto" w:fill="DDD9C3"/>
            <w:vAlign w:val="center"/>
          </w:tcPr>
          <w:p w:rsidR="00F1677D" w:rsidRPr="00F728B2" w:rsidP="000C12D5" w14:paraId="336F29DE" w14:textId="77777777">
            <w:pPr>
              <w:jc w:val="center"/>
              <w:rPr>
                <w:rFonts w:cstheme="minorHAnsi"/>
                <w:b/>
                <w:bCs/>
                <w:sz w:val="20"/>
              </w:rPr>
            </w:pPr>
            <w:r w:rsidRPr="00F728B2">
              <w:rPr>
                <w:rFonts w:cstheme="minorHAnsi"/>
                <w:b/>
                <w:bCs/>
                <w:sz w:val="20"/>
              </w:rPr>
              <w:t>(G)</w:t>
            </w:r>
          </w:p>
        </w:tc>
        <w:tc>
          <w:tcPr>
            <w:tcW w:w="669" w:type="pct"/>
            <w:tcBorders>
              <w:top w:val="single" w:sz="4" w:space="0" w:color="auto"/>
              <w:left w:val="single" w:sz="4" w:space="0" w:color="auto"/>
              <w:bottom w:val="single" w:sz="4" w:space="0" w:color="auto"/>
              <w:right w:val="single" w:sz="4" w:space="0" w:color="auto"/>
            </w:tcBorders>
            <w:shd w:val="clear" w:color="auto" w:fill="DDD9C3"/>
            <w:vAlign w:val="center"/>
          </w:tcPr>
          <w:p w:rsidR="00F1677D" w:rsidRPr="00F728B2" w:rsidP="000C12D5" w14:paraId="4AA60177" w14:textId="77777777">
            <w:pPr>
              <w:jc w:val="center"/>
              <w:rPr>
                <w:rFonts w:cstheme="minorHAnsi"/>
                <w:b/>
                <w:bCs/>
                <w:sz w:val="20"/>
              </w:rPr>
            </w:pPr>
            <w:r w:rsidRPr="00F728B2">
              <w:rPr>
                <w:rFonts w:cstheme="minorHAnsi"/>
                <w:b/>
                <w:bCs/>
                <w:sz w:val="20"/>
              </w:rPr>
              <w:t>(H)</w:t>
            </w:r>
          </w:p>
        </w:tc>
      </w:tr>
      <w:tr w14:paraId="4C96F2C8" w14:textId="77777777" w:rsidTr="0019314B">
        <w:tblPrEx>
          <w:tblW w:w="5000" w:type="pct"/>
          <w:tblCellMar>
            <w:top w:w="14" w:type="dxa"/>
            <w:left w:w="58" w:type="dxa"/>
            <w:bottom w:w="14" w:type="dxa"/>
            <w:right w:w="58" w:type="dxa"/>
          </w:tblCellMar>
          <w:tblLook w:val="06A0"/>
        </w:tblPrEx>
        <w:trPr>
          <w:trHeight w:val="864"/>
          <w:tblHeader/>
        </w:trPr>
        <w:tc>
          <w:tcPr>
            <w:tcW w:w="1125" w:type="pct"/>
            <w:vMerge/>
            <w:tcBorders>
              <w:left w:val="single" w:sz="4" w:space="0" w:color="auto"/>
              <w:bottom w:val="single" w:sz="0" w:space="0" w:color="000000" w:themeColor="text1"/>
              <w:right w:val="single" w:sz="4" w:space="0" w:color="auto"/>
            </w:tcBorders>
            <w:shd w:val="clear" w:color="auto" w:fill="DDD9C3"/>
            <w:vAlign w:val="center"/>
          </w:tcPr>
          <w:p w:rsidR="00F1677D" w:rsidRPr="00F728B2" w:rsidP="000C12D5" w14:paraId="6C9667F8" w14:textId="77777777">
            <w:pPr>
              <w:rPr>
                <w:rFonts w:cstheme="minorHAnsi"/>
                <w:b/>
                <w:bCs/>
                <w:sz w:val="20"/>
              </w:rPr>
            </w:pPr>
          </w:p>
        </w:tc>
        <w:tc>
          <w:tcPr>
            <w:tcW w:w="680" w:type="pct"/>
            <w:tcBorders>
              <w:top w:val="single" w:sz="4" w:space="0" w:color="auto"/>
              <w:left w:val="single" w:sz="4" w:space="0" w:color="auto"/>
              <w:bottom w:val="single" w:sz="4" w:space="0" w:color="auto"/>
              <w:right w:val="single" w:sz="4" w:space="0" w:color="auto"/>
            </w:tcBorders>
            <w:shd w:val="clear" w:color="auto" w:fill="DDD9C3"/>
            <w:vAlign w:val="center"/>
          </w:tcPr>
          <w:p w:rsidR="00F1677D" w:rsidRPr="00F728B2" w:rsidP="000C12D5" w14:paraId="611F7F91" w14:textId="77777777">
            <w:pPr>
              <w:jc w:val="center"/>
              <w:rPr>
                <w:rFonts w:cstheme="minorHAnsi"/>
                <w:b/>
                <w:bCs/>
                <w:sz w:val="20"/>
              </w:rPr>
            </w:pPr>
            <w:r w:rsidRPr="00F728B2">
              <w:rPr>
                <w:rFonts w:cstheme="minorHAnsi"/>
                <w:b/>
                <w:bCs/>
                <w:sz w:val="20"/>
              </w:rPr>
              <w:t>Person-hours per respondent</w:t>
            </w:r>
          </w:p>
        </w:tc>
        <w:tc>
          <w:tcPr>
            <w:tcW w:w="693" w:type="pct"/>
            <w:tcBorders>
              <w:top w:val="single" w:sz="4" w:space="0" w:color="auto"/>
              <w:left w:val="single" w:sz="4" w:space="0" w:color="auto"/>
              <w:bottom w:val="single" w:sz="4" w:space="0" w:color="auto"/>
              <w:right w:val="single" w:sz="4" w:space="0" w:color="auto"/>
            </w:tcBorders>
            <w:shd w:val="clear" w:color="auto" w:fill="DDD9C3"/>
            <w:vAlign w:val="center"/>
          </w:tcPr>
          <w:p w:rsidR="00F1677D" w:rsidRPr="00F728B2" w:rsidP="000C12D5" w14:paraId="106DBBDD" w14:textId="5C014BB8">
            <w:pPr>
              <w:jc w:val="center"/>
              <w:rPr>
                <w:rFonts w:cstheme="minorHAnsi"/>
                <w:b/>
                <w:bCs/>
                <w:sz w:val="20"/>
              </w:rPr>
            </w:pPr>
            <w:r w:rsidRPr="00F728B2">
              <w:rPr>
                <w:rFonts w:cstheme="minorHAnsi"/>
                <w:b/>
                <w:bCs/>
                <w:sz w:val="20"/>
              </w:rPr>
              <w:t>Respondents</w:t>
            </w:r>
            <w:r w:rsidRPr="00F728B2" w:rsidR="0019314B">
              <w:rPr>
                <w:rFonts w:cstheme="minorHAnsi"/>
                <w:b/>
                <w:bCs/>
                <w:sz w:val="20"/>
              </w:rPr>
              <w:t>*</w:t>
            </w:r>
          </w:p>
        </w:tc>
        <w:tc>
          <w:tcPr>
            <w:tcW w:w="537" w:type="pct"/>
            <w:tcBorders>
              <w:top w:val="single" w:sz="4" w:space="0" w:color="auto"/>
              <w:left w:val="single" w:sz="4" w:space="0" w:color="auto"/>
              <w:bottom w:val="single" w:sz="4" w:space="0" w:color="auto"/>
              <w:right w:val="single" w:sz="4" w:space="0" w:color="auto"/>
            </w:tcBorders>
            <w:shd w:val="clear" w:color="auto" w:fill="DDD9C3"/>
            <w:vAlign w:val="center"/>
          </w:tcPr>
          <w:p w:rsidR="00F1677D" w:rsidRPr="00F728B2" w:rsidP="000C12D5" w14:paraId="5CCCCD1F" w14:textId="77777777">
            <w:pPr>
              <w:jc w:val="center"/>
              <w:rPr>
                <w:rFonts w:cstheme="minorHAnsi"/>
                <w:b/>
                <w:bCs/>
                <w:sz w:val="20"/>
              </w:rPr>
            </w:pPr>
            <w:r w:rsidRPr="00F728B2">
              <w:rPr>
                <w:rFonts w:cstheme="minorHAnsi"/>
                <w:b/>
                <w:bCs/>
                <w:sz w:val="20"/>
              </w:rPr>
              <w:t xml:space="preserve">Technical hours </w:t>
            </w:r>
            <w:r w:rsidRPr="00F728B2">
              <w:rPr>
                <w:rFonts w:cstheme="minorHAnsi"/>
                <w:b/>
                <w:bCs/>
                <w:sz w:val="20"/>
              </w:rPr>
              <w:br/>
              <w:t>(E=</w:t>
            </w:r>
            <w:r w:rsidRPr="00F728B2">
              <w:rPr>
                <w:rFonts w:cstheme="minorHAnsi"/>
                <w:b/>
                <w:bCs/>
                <w:sz w:val="20"/>
              </w:rPr>
              <w:t>CxD</w:t>
            </w:r>
            <w:r w:rsidRPr="00F728B2">
              <w:rPr>
                <w:rFonts w:cstheme="minorHAnsi"/>
                <w:b/>
                <w:bCs/>
                <w:sz w:val="20"/>
              </w:rPr>
              <w:t>)</w:t>
            </w:r>
          </w:p>
        </w:tc>
        <w:tc>
          <w:tcPr>
            <w:tcW w:w="671" w:type="pct"/>
            <w:tcBorders>
              <w:top w:val="single" w:sz="4" w:space="0" w:color="auto"/>
              <w:left w:val="single" w:sz="4" w:space="0" w:color="auto"/>
              <w:bottom w:val="single" w:sz="4" w:space="0" w:color="auto"/>
              <w:right w:val="single" w:sz="4" w:space="0" w:color="auto"/>
            </w:tcBorders>
            <w:shd w:val="clear" w:color="auto" w:fill="DDD9C3"/>
            <w:vAlign w:val="center"/>
          </w:tcPr>
          <w:p w:rsidR="00F1677D" w:rsidRPr="00F728B2" w:rsidP="000C12D5" w14:paraId="37E6152C" w14:textId="77777777">
            <w:pPr>
              <w:jc w:val="center"/>
              <w:rPr>
                <w:rFonts w:cstheme="minorHAnsi"/>
                <w:b/>
                <w:bCs/>
                <w:sz w:val="20"/>
              </w:rPr>
            </w:pPr>
            <w:r w:rsidRPr="00F728B2">
              <w:rPr>
                <w:rFonts w:cstheme="minorHAnsi"/>
                <w:b/>
                <w:bCs/>
                <w:sz w:val="20"/>
              </w:rPr>
              <w:t xml:space="preserve">Management hours </w:t>
            </w:r>
            <w:r w:rsidRPr="00F728B2">
              <w:rPr>
                <w:rFonts w:cstheme="minorHAnsi"/>
                <w:b/>
                <w:bCs/>
                <w:sz w:val="20"/>
              </w:rPr>
              <w:br/>
              <w:t>(F=Ex0.05)</w:t>
            </w:r>
          </w:p>
        </w:tc>
        <w:tc>
          <w:tcPr>
            <w:tcW w:w="625" w:type="pct"/>
            <w:tcBorders>
              <w:top w:val="single" w:sz="4" w:space="0" w:color="auto"/>
              <w:left w:val="single" w:sz="4" w:space="0" w:color="auto"/>
              <w:bottom w:val="single" w:sz="4" w:space="0" w:color="auto"/>
              <w:right w:val="single" w:sz="4" w:space="0" w:color="auto"/>
            </w:tcBorders>
            <w:shd w:val="clear" w:color="auto" w:fill="DDD9C3"/>
            <w:vAlign w:val="center"/>
          </w:tcPr>
          <w:p w:rsidR="00F1677D" w:rsidRPr="00F728B2" w:rsidP="000C12D5" w14:paraId="10C71CF1" w14:textId="77777777">
            <w:pPr>
              <w:jc w:val="center"/>
              <w:rPr>
                <w:rFonts w:cstheme="minorHAnsi"/>
                <w:b/>
                <w:bCs/>
                <w:sz w:val="20"/>
              </w:rPr>
            </w:pPr>
            <w:r w:rsidRPr="00F728B2">
              <w:rPr>
                <w:rFonts w:cstheme="minorHAnsi"/>
                <w:b/>
                <w:bCs/>
                <w:sz w:val="20"/>
              </w:rPr>
              <w:t xml:space="preserve">Clerical hours </w:t>
            </w:r>
            <w:r w:rsidRPr="00F728B2">
              <w:rPr>
                <w:rFonts w:cstheme="minorHAnsi"/>
                <w:b/>
                <w:bCs/>
                <w:sz w:val="20"/>
              </w:rPr>
              <w:br/>
              <w:t>(G=Ex0.1)</w:t>
            </w:r>
          </w:p>
        </w:tc>
        <w:tc>
          <w:tcPr>
            <w:tcW w:w="669" w:type="pct"/>
            <w:tcBorders>
              <w:top w:val="single" w:sz="4" w:space="0" w:color="auto"/>
              <w:left w:val="single" w:sz="4" w:space="0" w:color="auto"/>
              <w:bottom w:val="single" w:sz="4" w:space="0" w:color="auto"/>
              <w:right w:val="single" w:sz="4" w:space="0" w:color="auto"/>
            </w:tcBorders>
            <w:shd w:val="clear" w:color="auto" w:fill="DDD9C3"/>
            <w:vAlign w:val="center"/>
          </w:tcPr>
          <w:p w:rsidR="00F1677D" w:rsidRPr="00F728B2" w:rsidP="000C12D5" w14:paraId="41AE08DE" w14:textId="77777777">
            <w:pPr>
              <w:jc w:val="center"/>
              <w:rPr>
                <w:rFonts w:cstheme="minorHAnsi"/>
                <w:b/>
                <w:bCs/>
                <w:sz w:val="20"/>
              </w:rPr>
            </w:pPr>
            <w:r w:rsidRPr="00F728B2">
              <w:rPr>
                <w:rFonts w:cstheme="minorHAnsi"/>
                <w:b/>
                <w:bCs/>
                <w:sz w:val="20"/>
              </w:rPr>
              <w:t>Total cost</w:t>
            </w:r>
            <w:r w:rsidRPr="00F728B2">
              <w:rPr>
                <w:rFonts w:cstheme="minorHAnsi"/>
                <w:b/>
                <w:bCs/>
                <w:sz w:val="20"/>
              </w:rPr>
              <w:br/>
              <w:t>($)</w:t>
            </w:r>
          </w:p>
        </w:tc>
      </w:tr>
      <w:tr w14:paraId="6A27F372" w14:textId="77777777" w:rsidTr="0019314B">
        <w:tblPrEx>
          <w:tblW w:w="5000" w:type="pct"/>
          <w:tblCellMar>
            <w:top w:w="14" w:type="dxa"/>
            <w:left w:w="58" w:type="dxa"/>
            <w:bottom w:w="14" w:type="dxa"/>
            <w:right w:w="58" w:type="dxa"/>
          </w:tblCellMar>
          <w:tblLook w:val="06A0"/>
        </w:tblPrEx>
        <w:trPr>
          <w:trHeight w:val="300"/>
        </w:trPr>
        <w:tc>
          <w:tcPr>
            <w:tcW w:w="1125" w:type="pct"/>
            <w:tcBorders>
              <w:top w:val="nil"/>
              <w:left w:val="single" w:sz="4" w:space="0" w:color="auto"/>
              <w:bottom w:val="single" w:sz="4" w:space="0" w:color="auto"/>
              <w:right w:val="single" w:sz="4" w:space="0" w:color="auto"/>
            </w:tcBorders>
            <w:vAlign w:val="center"/>
          </w:tcPr>
          <w:p w:rsidR="000C12D5" w:rsidRPr="00F728B2" w:rsidP="000C12D5" w14:paraId="55ECBD18" w14:textId="153C5BF4">
            <w:pPr>
              <w:spacing w:before="40" w:after="40"/>
              <w:rPr>
                <w:rFonts w:cstheme="minorHAnsi"/>
                <w:sz w:val="20"/>
                <w:szCs w:val="20"/>
              </w:rPr>
            </w:pPr>
            <w:r w:rsidRPr="00A93CB0">
              <w:rPr>
                <w:rFonts w:cstheme="minorHAnsi"/>
                <w:sz w:val="20"/>
                <w:szCs w:val="20"/>
              </w:rPr>
              <w:t>General Information</w:t>
            </w:r>
          </w:p>
        </w:tc>
        <w:tc>
          <w:tcPr>
            <w:tcW w:w="680" w:type="pct"/>
            <w:tcBorders>
              <w:top w:val="single" w:sz="4" w:space="0" w:color="auto"/>
              <w:left w:val="single" w:sz="4" w:space="0" w:color="auto"/>
              <w:bottom w:val="single" w:sz="4" w:space="0" w:color="auto"/>
              <w:right w:val="single" w:sz="4" w:space="0" w:color="auto"/>
            </w:tcBorders>
          </w:tcPr>
          <w:p w:rsidR="000C12D5" w:rsidRPr="00F728B2" w:rsidP="000C12D5" w14:paraId="761F24C5" w14:textId="075387E3">
            <w:pPr>
              <w:spacing w:before="40" w:after="40"/>
              <w:jc w:val="center"/>
              <w:rPr>
                <w:rFonts w:cstheme="minorHAnsi"/>
                <w:sz w:val="20"/>
                <w:szCs w:val="20"/>
              </w:rPr>
            </w:pPr>
            <w:r w:rsidRPr="00A93CB0">
              <w:rPr>
                <w:rFonts w:cstheme="minorHAnsi"/>
                <w:sz w:val="20"/>
                <w:szCs w:val="20"/>
              </w:rPr>
              <w:t>0.52</w:t>
            </w:r>
          </w:p>
        </w:tc>
        <w:tc>
          <w:tcPr>
            <w:tcW w:w="693" w:type="pct"/>
            <w:tcBorders>
              <w:top w:val="single" w:sz="4" w:space="0" w:color="auto"/>
              <w:left w:val="single" w:sz="4" w:space="0" w:color="auto"/>
              <w:bottom w:val="single" w:sz="4" w:space="0" w:color="auto"/>
              <w:right w:val="single" w:sz="4" w:space="0" w:color="auto"/>
            </w:tcBorders>
          </w:tcPr>
          <w:p w:rsidR="000C12D5" w:rsidRPr="00F728B2" w:rsidP="000C12D5" w14:paraId="23D29EB7" w14:textId="2A90B2E8">
            <w:pPr>
              <w:spacing w:before="40" w:after="40"/>
              <w:jc w:val="center"/>
              <w:rPr>
                <w:rFonts w:cstheme="minorHAnsi"/>
                <w:sz w:val="20"/>
                <w:szCs w:val="20"/>
              </w:rPr>
            </w:pPr>
            <w:r w:rsidRPr="00A93CB0">
              <w:rPr>
                <w:rFonts w:cstheme="minorHAnsi"/>
                <w:sz w:val="20"/>
                <w:szCs w:val="20"/>
              </w:rPr>
              <w:t>216</w:t>
            </w:r>
          </w:p>
        </w:tc>
        <w:tc>
          <w:tcPr>
            <w:tcW w:w="537" w:type="pct"/>
            <w:tcBorders>
              <w:top w:val="single" w:sz="4" w:space="0" w:color="auto"/>
              <w:left w:val="single" w:sz="4" w:space="0" w:color="auto"/>
              <w:bottom w:val="single" w:sz="4" w:space="0" w:color="auto"/>
              <w:right w:val="single" w:sz="4" w:space="0" w:color="auto"/>
            </w:tcBorders>
          </w:tcPr>
          <w:p w:rsidR="000C12D5" w:rsidRPr="00F728B2" w:rsidP="000C12D5" w14:paraId="621FA3C7" w14:textId="4DDBC111">
            <w:pPr>
              <w:spacing w:before="40" w:after="40"/>
              <w:jc w:val="center"/>
              <w:rPr>
                <w:rFonts w:cstheme="minorHAnsi"/>
                <w:sz w:val="20"/>
                <w:szCs w:val="20"/>
              </w:rPr>
            </w:pPr>
            <w:r w:rsidRPr="00A93CB0">
              <w:rPr>
                <w:rFonts w:cstheme="minorHAnsi"/>
                <w:sz w:val="20"/>
                <w:szCs w:val="20"/>
              </w:rPr>
              <w:t>112</w:t>
            </w:r>
          </w:p>
        </w:tc>
        <w:tc>
          <w:tcPr>
            <w:tcW w:w="671" w:type="pct"/>
            <w:tcBorders>
              <w:top w:val="single" w:sz="4" w:space="0" w:color="auto"/>
              <w:left w:val="single" w:sz="4" w:space="0" w:color="auto"/>
              <w:bottom w:val="single" w:sz="4" w:space="0" w:color="auto"/>
              <w:right w:val="single" w:sz="4" w:space="0" w:color="auto"/>
            </w:tcBorders>
          </w:tcPr>
          <w:p w:rsidR="000C12D5" w:rsidRPr="00F728B2" w:rsidP="000C12D5" w14:paraId="72DAE634" w14:textId="195C047F">
            <w:pPr>
              <w:spacing w:before="40" w:after="40"/>
              <w:jc w:val="center"/>
              <w:rPr>
                <w:rFonts w:cstheme="minorHAnsi"/>
                <w:sz w:val="20"/>
                <w:szCs w:val="20"/>
              </w:rPr>
            </w:pPr>
            <w:r w:rsidRPr="00A93CB0">
              <w:rPr>
                <w:rFonts w:cstheme="minorHAnsi"/>
                <w:sz w:val="20"/>
                <w:szCs w:val="20"/>
              </w:rPr>
              <w:t>5.6</w:t>
            </w:r>
          </w:p>
        </w:tc>
        <w:tc>
          <w:tcPr>
            <w:tcW w:w="625" w:type="pct"/>
            <w:tcBorders>
              <w:top w:val="single" w:sz="4" w:space="0" w:color="auto"/>
              <w:left w:val="single" w:sz="4" w:space="0" w:color="auto"/>
              <w:bottom w:val="single" w:sz="4" w:space="0" w:color="auto"/>
              <w:right w:val="single" w:sz="4" w:space="0" w:color="auto"/>
            </w:tcBorders>
          </w:tcPr>
          <w:p w:rsidR="000C12D5" w:rsidRPr="00F728B2" w:rsidP="000C12D5" w14:paraId="52BE3BB8" w14:textId="7A2546E9">
            <w:pPr>
              <w:spacing w:before="40" w:after="40"/>
              <w:jc w:val="center"/>
              <w:rPr>
                <w:rFonts w:cstheme="minorHAnsi"/>
                <w:sz w:val="20"/>
                <w:szCs w:val="20"/>
              </w:rPr>
            </w:pPr>
            <w:r w:rsidRPr="00A93CB0">
              <w:rPr>
                <w:rFonts w:cstheme="minorHAnsi"/>
                <w:sz w:val="20"/>
                <w:szCs w:val="20"/>
              </w:rPr>
              <w:t>11.2</w:t>
            </w:r>
          </w:p>
        </w:tc>
        <w:tc>
          <w:tcPr>
            <w:tcW w:w="669" w:type="pct"/>
            <w:tcBorders>
              <w:top w:val="single" w:sz="4" w:space="0" w:color="auto"/>
              <w:left w:val="single" w:sz="4" w:space="0" w:color="auto"/>
              <w:bottom w:val="single" w:sz="4" w:space="0" w:color="auto"/>
              <w:right w:val="single" w:sz="4" w:space="0" w:color="auto"/>
            </w:tcBorders>
          </w:tcPr>
          <w:p w:rsidR="000C12D5" w:rsidRPr="00F728B2" w:rsidP="000C12D5" w14:paraId="6705F229" w14:textId="19858A56">
            <w:pPr>
              <w:spacing w:before="40" w:after="40"/>
              <w:jc w:val="center"/>
              <w:rPr>
                <w:rFonts w:cstheme="minorHAnsi"/>
                <w:sz w:val="20"/>
                <w:szCs w:val="20"/>
              </w:rPr>
            </w:pPr>
            <w:r w:rsidRPr="00A93CB0">
              <w:rPr>
                <w:rFonts w:cstheme="minorHAnsi"/>
                <w:sz w:val="20"/>
                <w:szCs w:val="20"/>
              </w:rPr>
              <w:t xml:space="preserve"> $6,8</w:t>
            </w:r>
            <w:r w:rsidRPr="00A93CB0" w:rsidR="00055776">
              <w:rPr>
                <w:rFonts w:cstheme="minorHAnsi"/>
                <w:sz w:val="20"/>
                <w:szCs w:val="20"/>
              </w:rPr>
              <w:t>70</w:t>
            </w:r>
            <w:r w:rsidRPr="00A93CB0">
              <w:rPr>
                <w:rFonts w:cstheme="minorHAnsi"/>
                <w:sz w:val="20"/>
                <w:szCs w:val="20"/>
              </w:rPr>
              <w:t xml:space="preserve"> </w:t>
            </w:r>
          </w:p>
        </w:tc>
      </w:tr>
      <w:tr w14:paraId="26C31FD3" w14:textId="77777777" w:rsidTr="0019314B">
        <w:tblPrEx>
          <w:tblW w:w="5000" w:type="pct"/>
          <w:tblCellMar>
            <w:top w:w="14" w:type="dxa"/>
            <w:left w:w="58" w:type="dxa"/>
            <w:bottom w:w="14" w:type="dxa"/>
            <w:right w:w="58" w:type="dxa"/>
          </w:tblCellMar>
          <w:tblLook w:val="06A0"/>
        </w:tblPrEx>
        <w:trPr>
          <w:trHeight w:val="300"/>
        </w:trPr>
        <w:tc>
          <w:tcPr>
            <w:tcW w:w="1125" w:type="pct"/>
            <w:tcBorders>
              <w:top w:val="nil"/>
              <w:left w:val="single" w:sz="4" w:space="0" w:color="auto"/>
              <w:bottom w:val="single" w:sz="4" w:space="0" w:color="auto"/>
              <w:right w:val="single" w:sz="4" w:space="0" w:color="auto"/>
            </w:tcBorders>
            <w:vAlign w:val="center"/>
          </w:tcPr>
          <w:p w:rsidR="000C12D5" w:rsidRPr="00F728B2" w:rsidP="000C12D5" w14:paraId="19B3537A" w14:textId="702AEED4">
            <w:pPr>
              <w:spacing w:before="40" w:after="40"/>
              <w:rPr>
                <w:rFonts w:eastAsia="Calibri" w:cstheme="minorHAnsi"/>
                <w:sz w:val="20"/>
                <w:szCs w:val="20"/>
              </w:rPr>
            </w:pPr>
            <w:r w:rsidRPr="00A93CB0">
              <w:rPr>
                <w:rFonts w:cstheme="minorHAnsi"/>
                <w:sz w:val="20"/>
                <w:szCs w:val="20"/>
              </w:rPr>
              <w:t>Technical Information</w:t>
            </w:r>
          </w:p>
        </w:tc>
        <w:tc>
          <w:tcPr>
            <w:tcW w:w="680" w:type="pct"/>
            <w:tcBorders>
              <w:top w:val="single" w:sz="4" w:space="0" w:color="auto"/>
              <w:left w:val="single" w:sz="4" w:space="0" w:color="auto"/>
              <w:bottom w:val="single" w:sz="4" w:space="0" w:color="auto"/>
              <w:right w:val="single" w:sz="4" w:space="0" w:color="auto"/>
            </w:tcBorders>
          </w:tcPr>
          <w:p w:rsidR="000C12D5" w:rsidRPr="00F728B2" w:rsidP="000C12D5" w14:paraId="0F963ADA" w14:textId="3FDB7C37">
            <w:pPr>
              <w:spacing w:before="40" w:after="40"/>
              <w:jc w:val="center"/>
              <w:rPr>
                <w:rFonts w:cstheme="minorHAnsi"/>
                <w:sz w:val="20"/>
                <w:szCs w:val="20"/>
              </w:rPr>
            </w:pPr>
            <w:r w:rsidRPr="00A93CB0">
              <w:rPr>
                <w:rFonts w:cstheme="minorHAnsi"/>
                <w:sz w:val="20"/>
                <w:szCs w:val="20"/>
              </w:rPr>
              <w:t>0.39</w:t>
            </w:r>
          </w:p>
        </w:tc>
        <w:tc>
          <w:tcPr>
            <w:tcW w:w="693" w:type="pct"/>
            <w:tcBorders>
              <w:top w:val="single" w:sz="4" w:space="0" w:color="auto"/>
              <w:left w:val="single" w:sz="4" w:space="0" w:color="auto"/>
              <w:bottom w:val="single" w:sz="4" w:space="0" w:color="auto"/>
              <w:right w:val="single" w:sz="4" w:space="0" w:color="auto"/>
            </w:tcBorders>
          </w:tcPr>
          <w:p w:rsidR="000C12D5" w:rsidRPr="00F728B2" w:rsidP="000C12D5" w14:paraId="115C7445" w14:textId="62392099">
            <w:pPr>
              <w:spacing w:before="40" w:after="40"/>
              <w:jc w:val="center"/>
              <w:rPr>
                <w:rFonts w:cstheme="minorHAnsi"/>
                <w:sz w:val="20"/>
                <w:szCs w:val="20"/>
              </w:rPr>
            </w:pPr>
            <w:r w:rsidRPr="00A93CB0">
              <w:rPr>
                <w:rFonts w:cstheme="minorHAnsi"/>
                <w:sz w:val="20"/>
                <w:szCs w:val="20"/>
              </w:rPr>
              <w:t>216</w:t>
            </w:r>
          </w:p>
        </w:tc>
        <w:tc>
          <w:tcPr>
            <w:tcW w:w="537" w:type="pct"/>
            <w:tcBorders>
              <w:top w:val="single" w:sz="4" w:space="0" w:color="auto"/>
              <w:left w:val="single" w:sz="4" w:space="0" w:color="auto"/>
              <w:bottom w:val="single" w:sz="4" w:space="0" w:color="auto"/>
              <w:right w:val="single" w:sz="4" w:space="0" w:color="auto"/>
            </w:tcBorders>
          </w:tcPr>
          <w:p w:rsidR="000C12D5" w:rsidRPr="00F728B2" w:rsidP="000C12D5" w14:paraId="22E541F3" w14:textId="44A47D86">
            <w:pPr>
              <w:spacing w:before="40" w:after="40"/>
              <w:jc w:val="center"/>
              <w:rPr>
                <w:rFonts w:cstheme="minorHAnsi"/>
                <w:sz w:val="20"/>
                <w:szCs w:val="20"/>
              </w:rPr>
            </w:pPr>
            <w:r w:rsidRPr="00A93CB0">
              <w:rPr>
                <w:rFonts w:cstheme="minorHAnsi"/>
                <w:sz w:val="20"/>
                <w:szCs w:val="20"/>
              </w:rPr>
              <w:t>84.2</w:t>
            </w:r>
          </w:p>
        </w:tc>
        <w:tc>
          <w:tcPr>
            <w:tcW w:w="671" w:type="pct"/>
            <w:tcBorders>
              <w:top w:val="single" w:sz="4" w:space="0" w:color="auto"/>
              <w:left w:val="single" w:sz="4" w:space="0" w:color="auto"/>
              <w:bottom w:val="single" w:sz="4" w:space="0" w:color="auto"/>
              <w:right w:val="single" w:sz="4" w:space="0" w:color="auto"/>
            </w:tcBorders>
          </w:tcPr>
          <w:p w:rsidR="000C12D5" w:rsidRPr="00F728B2" w:rsidP="000C12D5" w14:paraId="501FDAAC" w14:textId="757065C1">
            <w:pPr>
              <w:spacing w:before="40" w:after="40"/>
              <w:jc w:val="center"/>
              <w:rPr>
                <w:rFonts w:cstheme="minorHAnsi"/>
                <w:sz w:val="20"/>
                <w:szCs w:val="20"/>
              </w:rPr>
            </w:pPr>
            <w:r w:rsidRPr="00A93CB0">
              <w:rPr>
                <w:rFonts w:cstheme="minorHAnsi"/>
                <w:sz w:val="20"/>
                <w:szCs w:val="20"/>
              </w:rPr>
              <w:t>4.2</w:t>
            </w:r>
          </w:p>
        </w:tc>
        <w:tc>
          <w:tcPr>
            <w:tcW w:w="625" w:type="pct"/>
            <w:tcBorders>
              <w:top w:val="single" w:sz="4" w:space="0" w:color="auto"/>
              <w:left w:val="single" w:sz="4" w:space="0" w:color="auto"/>
              <w:bottom w:val="single" w:sz="4" w:space="0" w:color="auto"/>
              <w:right w:val="single" w:sz="4" w:space="0" w:color="auto"/>
            </w:tcBorders>
          </w:tcPr>
          <w:p w:rsidR="000C12D5" w:rsidRPr="00F728B2" w:rsidP="000C12D5" w14:paraId="7114D8B1" w14:textId="73FC826A">
            <w:pPr>
              <w:spacing w:before="40" w:after="40"/>
              <w:jc w:val="center"/>
              <w:rPr>
                <w:rFonts w:cstheme="minorHAnsi"/>
                <w:sz w:val="20"/>
                <w:szCs w:val="20"/>
              </w:rPr>
            </w:pPr>
            <w:r w:rsidRPr="00A93CB0">
              <w:rPr>
                <w:rFonts w:cstheme="minorHAnsi"/>
                <w:sz w:val="20"/>
                <w:szCs w:val="20"/>
              </w:rPr>
              <w:t>8.4</w:t>
            </w:r>
          </w:p>
        </w:tc>
        <w:tc>
          <w:tcPr>
            <w:tcW w:w="669" w:type="pct"/>
            <w:tcBorders>
              <w:top w:val="single" w:sz="4" w:space="0" w:color="auto"/>
              <w:left w:val="single" w:sz="4" w:space="0" w:color="auto"/>
              <w:bottom w:val="single" w:sz="4" w:space="0" w:color="auto"/>
              <w:right w:val="single" w:sz="4" w:space="0" w:color="auto"/>
            </w:tcBorders>
          </w:tcPr>
          <w:p w:rsidR="000C12D5" w:rsidRPr="00F728B2" w:rsidP="000C12D5" w14:paraId="47C9E0D5" w14:textId="39240C87">
            <w:pPr>
              <w:spacing w:before="40" w:after="40"/>
              <w:jc w:val="center"/>
              <w:rPr>
                <w:rFonts w:cstheme="minorHAnsi"/>
                <w:sz w:val="20"/>
                <w:szCs w:val="20"/>
              </w:rPr>
            </w:pPr>
            <w:r w:rsidRPr="00A93CB0">
              <w:rPr>
                <w:rFonts w:cstheme="minorHAnsi"/>
                <w:sz w:val="20"/>
                <w:szCs w:val="20"/>
              </w:rPr>
              <w:t xml:space="preserve"> $5,150 </w:t>
            </w:r>
          </w:p>
        </w:tc>
      </w:tr>
      <w:tr w14:paraId="42F803B9" w14:textId="77777777" w:rsidTr="0019314B">
        <w:tblPrEx>
          <w:tblW w:w="5000" w:type="pct"/>
          <w:tblCellMar>
            <w:top w:w="14" w:type="dxa"/>
            <w:left w:w="58" w:type="dxa"/>
            <w:bottom w:w="14" w:type="dxa"/>
            <w:right w:w="58" w:type="dxa"/>
          </w:tblCellMar>
          <w:tblLook w:val="06A0"/>
        </w:tblPrEx>
        <w:trPr>
          <w:trHeight w:val="300"/>
        </w:trPr>
        <w:tc>
          <w:tcPr>
            <w:tcW w:w="1125" w:type="pct"/>
            <w:tcBorders>
              <w:top w:val="single" w:sz="4" w:space="0" w:color="auto"/>
              <w:left w:val="single" w:sz="4" w:space="0" w:color="auto"/>
              <w:bottom w:val="single" w:sz="4" w:space="0" w:color="auto"/>
              <w:right w:val="single" w:sz="4" w:space="0" w:color="auto"/>
            </w:tcBorders>
            <w:vAlign w:val="center"/>
          </w:tcPr>
          <w:p w:rsidR="000C12D5" w:rsidRPr="00F728B2" w:rsidP="000C12D5" w14:paraId="2001C8F4" w14:textId="3A1940FD">
            <w:pPr>
              <w:spacing w:before="40" w:after="40"/>
              <w:rPr>
                <w:rFonts w:cstheme="minorHAnsi"/>
                <w:sz w:val="20"/>
                <w:szCs w:val="20"/>
              </w:rPr>
            </w:pPr>
            <w:r w:rsidRPr="00A93CB0">
              <w:rPr>
                <w:rFonts w:cstheme="minorHAnsi"/>
                <w:sz w:val="20"/>
                <w:szCs w:val="20"/>
              </w:rPr>
              <w:t>Facility Operations</w:t>
            </w:r>
          </w:p>
        </w:tc>
        <w:tc>
          <w:tcPr>
            <w:tcW w:w="680" w:type="pct"/>
            <w:tcBorders>
              <w:top w:val="single" w:sz="4" w:space="0" w:color="auto"/>
              <w:left w:val="single" w:sz="4" w:space="0" w:color="auto"/>
              <w:bottom w:val="single" w:sz="4" w:space="0" w:color="auto"/>
              <w:right w:val="single" w:sz="4" w:space="0" w:color="auto"/>
            </w:tcBorders>
          </w:tcPr>
          <w:p w:rsidR="000C12D5" w:rsidRPr="00F728B2" w:rsidP="000C12D5" w14:paraId="7F86EA77" w14:textId="37015FCD">
            <w:pPr>
              <w:spacing w:before="40" w:after="40"/>
              <w:jc w:val="center"/>
              <w:rPr>
                <w:rFonts w:cstheme="minorHAnsi"/>
                <w:sz w:val="20"/>
                <w:szCs w:val="20"/>
              </w:rPr>
            </w:pPr>
            <w:r w:rsidRPr="00A93CB0">
              <w:rPr>
                <w:rFonts w:cstheme="minorHAnsi"/>
                <w:sz w:val="20"/>
                <w:szCs w:val="20"/>
              </w:rPr>
              <w:t>1.1</w:t>
            </w:r>
          </w:p>
        </w:tc>
        <w:tc>
          <w:tcPr>
            <w:tcW w:w="693" w:type="pct"/>
            <w:tcBorders>
              <w:top w:val="single" w:sz="4" w:space="0" w:color="auto"/>
              <w:left w:val="single" w:sz="4" w:space="0" w:color="auto"/>
              <w:bottom w:val="single" w:sz="4" w:space="0" w:color="auto"/>
              <w:right w:val="single" w:sz="4" w:space="0" w:color="auto"/>
            </w:tcBorders>
          </w:tcPr>
          <w:p w:rsidR="000C12D5" w:rsidRPr="00F728B2" w:rsidP="000C12D5" w14:paraId="75DDCF6A" w14:textId="4AC4FD42">
            <w:pPr>
              <w:spacing w:before="40" w:after="40"/>
              <w:jc w:val="center"/>
              <w:rPr>
                <w:rFonts w:cstheme="minorHAnsi"/>
                <w:sz w:val="20"/>
                <w:szCs w:val="20"/>
              </w:rPr>
            </w:pPr>
            <w:r w:rsidRPr="00A93CB0">
              <w:rPr>
                <w:rFonts w:cstheme="minorHAnsi"/>
                <w:sz w:val="20"/>
                <w:szCs w:val="20"/>
              </w:rPr>
              <w:t>216</w:t>
            </w:r>
          </w:p>
        </w:tc>
        <w:tc>
          <w:tcPr>
            <w:tcW w:w="537" w:type="pct"/>
            <w:tcBorders>
              <w:top w:val="single" w:sz="4" w:space="0" w:color="auto"/>
              <w:left w:val="single" w:sz="4" w:space="0" w:color="auto"/>
              <w:bottom w:val="single" w:sz="4" w:space="0" w:color="auto"/>
              <w:right w:val="single" w:sz="4" w:space="0" w:color="auto"/>
            </w:tcBorders>
          </w:tcPr>
          <w:p w:rsidR="000C12D5" w:rsidRPr="00F728B2" w:rsidP="000C12D5" w14:paraId="596AFCD5" w14:textId="73152C9C">
            <w:pPr>
              <w:spacing w:before="40" w:after="40"/>
              <w:jc w:val="center"/>
              <w:rPr>
                <w:rFonts w:cstheme="minorHAnsi"/>
                <w:sz w:val="20"/>
                <w:szCs w:val="20"/>
              </w:rPr>
            </w:pPr>
            <w:r w:rsidRPr="00A93CB0">
              <w:rPr>
                <w:rFonts w:cstheme="minorHAnsi"/>
                <w:sz w:val="20"/>
                <w:szCs w:val="20"/>
              </w:rPr>
              <w:t>23</w:t>
            </w:r>
            <w:r w:rsidRPr="00A93CB0" w:rsidR="00C5260C">
              <w:rPr>
                <w:rFonts w:cstheme="minorHAnsi"/>
                <w:sz w:val="20"/>
                <w:szCs w:val="20"/>
              </w:rPr>
              <w:t>8</w:t>
            </w:r>
          </w:p>
        </w:tc>
        <w:tc>
          <w:tcPr>
            <w:tcW w:w="671" w:type="pct"/>
            <w:tcBorders>
              <w:top w:val="single" w:sz="4" w:space="0" w:color="auto"/>
              <w:left w:val="single" w:sz="4" w:space="0" w:color="auto"/>
              <w:bottom w:val="single" w:sz="4" w:space="0" w:color="auto"/>
              <w:right w:val="single" w:sz="4" w:space="0" w:color="auto"/>
            </w:tcBorders>
          </w:tcPr>
          <w:p w:rsidR="000C12D5" w:rsidRPr="00F728B2" w:rsidP="000C12D5" w14:paraId="787263CC" w14:textId="3BB391C9">
            <w:pPr>
              <w:spacing w:before="40" w:after="40"/>
              <w:jc w:val="center"/>
              <w:rPr>
                <w:rFonts w:cstheme="minorHAnsi"/>
                <w:sz w:val="20"/>
                <w:szCs w:val="20"/>
              </w:rPr>
            </w:pPr>
            <w:r w:rsidRPr="00A93CB0">
              <w:rPr>
                <w:rFonts w:cstheme="minorHAnsi"/>
                <w:sz w:val="20"/>
                <w:szCs w:val="20"/>
              </w:rPr>
              <w:t>11.9</w:t>
            </w:r>
          </w:p>
        </w:tc>
        <w:tc>
          <w:tcPr>
            <w:tcW w:w="625" w:type="pct"/>
            <w:tcBorders>
              <w:top w:val="single" w:sz="4" w:space="0" w:color="auto"/>
              <w:left w:val="single" w:sz="4" w:space="0" w:color="auto"/>
              <w:bottom w:val="single" w:sz="4" w:space="0" w:color="auto"/>
              <w:right w:val="single" w:sz="4" w:space="0" w:color="auto"/>
            </w:tcBorders>
          </w:tcPr>
          <w:p w:rsidR="000C12D5" w:rsidRPr="00F728B2" w:rsidP="000C12D5" w14:paraId="576B82F1" w14:textId="72EC9513">
            <w:pPr>
              <w:spacing w:before="40" w:after="40"/>
              <w:jc w:val="center"/>
              <w:rPr>
                <w:rFonts w:cstheme="minorHAnsi"/>
                <w:sz w:val="20"/>
                <w:szCs w:val="20"/>
              </w:rPr>
            </w:pPr>
            <w:r w:rsidRPr="00A93CB0">
              <w:rPr>
                <w:rFonts w:cstheme="minorHAnsi"/>
                <w:sz w:val="20"/>
                <w:szCs w:val="20"/>
              </w:rPr>
              <w:t>23.8</w:t>
            </w:r>
          </w:p>
        </w:tc>
        <w:tc>
          <w:tcPr>
            <w:tcW w:w="669" w:type="pct"/>
            <w:tcBorders>
              <w:top w:val="single" w:sz="4" w:space="0" w:color="auto"/>
              <w:left w:val="single" w:sz="4" w:space="0" w:color="auto"/>
              <w:bottom w:val="single" w:sz="4" w:space="0" w:color="auto"/>
              <w:right w:val="single" w:sz="4" w:space="0" w:color="auto"/>
            </w:tcBorders>
          </w:tcPr>
          <w:p w:rsidR="000C12D5" w:rsidRPr="00F728B2" w:rsidP="000C12D5" w14:paraId="528B3EE0" w14:textId="50DB93F3">
            <w:pPr>
              <w:spacing w:before="40" w:after="40"/>
              <w:jc w:val="center"/>
              <w:rPr>
                <w:rFonts w:cstheme="minorHAnsi"/>
                <w:sz w:val="20"/>
                <w:szCs w:val="20"/>
              </w:rPr>
            </w:pPr>
            <w:r w:rsidRPr="00A93CB0">
              <w:rPr>
                <w:rFonts w:cstheme="minorHAnsi"/>
                <w:sz w:val="20"/>
                <w:szCs w:val="20"/>
              </w:rPr>
              <w:t xml:space="preserve"> $14,5</w:t>
            </w:r>
            <w:r w:rsidRPr="00A93CB0" w:rsidR="00055776">
              <w:rPr>
                <w:rFonts w:cstheme="minorHAnsi"/>
                <w:sz w:val="20"/>
                <w:szCs w:val="20"/>
              </w:rPr>
              <w:t>00</w:t>
            </w:r>
            <w:r w:rsidRPr="00A93CB0">
              <w:rPr>
                <w:rFonts w:cstheme="minorHAnsi"/>
                <w:sz w:val="20"/>
                <w:szCs w:val="20"/>
              </w:rPr>
              <w:t xml:space="preserve"> </w:t>
            </w:r>
          </w:p>
        </w:tc>
      </w:tr>
      <w:tr w14:paraId="4616854B" w14:textId="77777777" w:rsidTr="0019314B">
        <w:tblPrEx>
          <w:tblW w:w="5000" w:type="pct"/>
          <w:tblCellMar>
            <w:top w:w="14" w:type="dxa"/>
            <w:left w:w="58" w:type="dxa"/>
            <w:bottom w:w="14" w:type="dxa"/>
            <w:right w:w="58" w:type="dxa"/>
          </w:tblCellMar>
          <w:tblLook w:val="06A0"/>
        </w:tblPrEx>
        <w:trPr>
          <w:trHeight w:val="300"/>
        </w:trPr>
        <w:tc>
          <w:tcPr>
            <w:tcW w:w="1125" w:type="pct"/>
            <w:tcBorders>
              <w:top w:val="single" w:sz="4" w:space="0" w:color="auto"/>
              <w:left w:val="single" w:sz="4" w:space="0" w:color="auto"/>
              <w:bottom w:val="single" w:sz="4" w:space="0" w:color="auto"/>
              <w:right w:val="single" w:sz="4" w:space="0" w:color="auto"/>
            </w:tcBorders>
            <w:vAlign w:val="center"/>
          </w:tcPr>
          <w:p w:rsidR="000C12D5" w:rsidRPr="00F728B2" w:rsidP="000C12D5" w14:paraId="26A8B054" w14:textId="06523D6D">
            <w:pPr>
              <w:spacing w:before="40" w:after="40"/>
              <w:rPr>
                <w:rFonts w:cstheme="minorHAnsi"/>
                <w:sz w:val="20"/>
                <w:szCs w:val="20"/>
              </w:rPr>
            </w:pPr>
            <w:r w:rsidRPr="00A93CB0">
              <w:rPr>
                <w:rFonts w:cstheme="minorHAnsi"/>
                <w:sz w:val="20"/>
                <w:szCs w:val="20"/>
              </w:rPr>
              <w:t>Security</w:t>
            </w:r>
          </w:p>
        </w:tc>
        <w:tc>
          <w:tcPr>
            <w:tcW w:w="680" w:type="pct"/>
            <w:tcBorders>
              <w:top w:val="single" w:sz="4" w:space="0" w:color="auto"/>
              <w:left w:val="single" w:sz="4" w:space="0" w:color="auto"/>
              <w:bottom w:val="single" w:sz="4" w:space="0" w:color="auto"/>
              <w:right w:val="single" w:sz="4" w:space="0" w:color="auto"/>
            </w:tcBorders>
          </w:tcPr>
          <w:p w:rsidR="000C12D5" w:rsidRPr="00F728B2" w:rsidP="000C12D5" w14:paraId="308155B7" w14:textId="59100378">
            <w:pPr>
              <w:spacing w:before="40" w:after="40"/>
              <w:jc w:val="center"/>
              <w:rPr>
                <w:rFonts w:cstheme="minorHAnsi"/>
                <w:sz w:val="20"/>
                <w:szCs w:val="20"/>
              </w:rPr>
            </w:pPr>
            <w:r w:rsidRPr="00A93CB0">
              <w:rPr>
                <w:rFonts w:cstheme="minorHAnsi"/>
                <w:sz w:val="20"/>
                <w:szCs w:val="20"/>
              </w:rPr>
              <w:t>0.18</w:t>
            </w:r>
          </w:p>
        </w:tc>
        <w:tc>
          <w:tcPr>
            <w:tcW w:w="693" w:type="pct"/>
            <w:tcBorders>
              <w:top w:val="single" w:sz="4" w:space="0" w:color="auto"/>
              <w:left w:val="single" w:sz="4" w:space="0" w:color="auto"/>
              <w:bottom w:val="single" w:sz="4" w:space="0" w:color="auto"/>
              <w:right w:val="single" w:sz="4" w:space="0" w:color="auto"/>
            </w:tcBorders>
          </w:tcPr>
          <w:p w:rsidR="000C12D5" w:rsidRPr="00F728B2" w:rsidP="000C12D5" w14:paraId="6CC22718" w14:textId="566207DB">
            <w:pPr>
              <w:spacing w:before="40" w:after="40"/>
              <w:jc w:val="center"/>
              <w:rPr>
                <w:rFonts w:cstheme="minorHAnsi"/>
                <w:sz w:val="20"/>
                <w:szCs w:val="20"/>
              </w:rPr>
            </w:pPr>
            <w:r w:rsidRPr="00A93CB0">
              <w:rPr>
                <w:rFonts w:cstheme="minorHAnsi"/>
                <w:sz w:val="20"/>
                <w:szCs w:val="20"/>
              </w:rPr>
              <w:t>216</w:t>
            </w:r>
          </w:p>
        </w:tc>
        <w:tc>
          <w:tcPr>
            <w:tcW w:w="537" w:type="pct"/>
            <w:tcBorders>
              <w:top w:val="single" w:sz="4" w:space="0" w:color="auto"/>
              <w:left w:val="single" w:sz="4" w:space="0" w:color="auto"/>
              <w:bottom w:val="single" w:sz="4" w:space="0" w:color="auto"/>
              <w:right w:val="single" w:sz="4" w:space="0" w:color="auto"/>
            </w:tcBorders>
          </w:tcPr>
          <w:p w:rsidR="000C12D5" w:rsidRPr="00F728B2" w:rsidP="000C12D5" w14:paraId="6F62A6D9" w14:textId="09D440AB">
            <w:pPr>
              <w:spacing w:before="40" w:after="40"/>
              <w:jc w:val="center"/>
              <w:rPr>
                <w:rFonts w:cstheme="minorHAnsi"/>
                <w:sz w:val="20"/>
                <w:szCs w:val="20"/>
              </w:rPr>
            </w:pPr>
            <w:r w:rsidRPr="00A93CB0">
              <w:rPr>
                <w:rFonts w:cstheme="minorHAnsi"/>
                <w:sz w:val="20"/>
                <w:szCs w:val="20"/>
              </w:rPr>
              <w:t>38.9</w:t>
            </w:r>
          </w:p>
        </w:tc>
        <w:tc>
          <w:tcPr>
            <w:tcW w:w="671" w:type="pct"/>
            <w:tcBorders>
              <w:top w:val="single" w:sz="4" w:space="0" w:color="auto"/>
              <w:left w:val="single" w:sz="4" w:space="0" w:color="auto"/>
              <w:bottom w:val="single" w:sz="4" w:space="0" w:color="auto"/>
              <w:right w:val="single" w:sz="4" w:space="0" w:color="auto"/>
            </w:tcBorders>
          </w:tcPr>
          <w:p w:rsidR="000C12D5" w:rsidRPr="00F728B2" w:rsidP="000C12D5" w14:paraId="36A7B8A9" w14:textId="2EC18703">
            <w:pPr>
              <w:spacing w:before="40" w:after="40"/>
              <w:jc w:val="center"/>
              <w:rPr>
                <w:rFonts w:cstheme="minorHAnsi"/>
                <w:sz w:val="20"/>
                <w:szCs w:val="20"/>
              </w:rPr>
            </w:pPr>
            <w:r w:rsidRPr="00A93CB0">
              <w:rPr>
                <w:rFonts w:cstheme="minorHAnsi"/>
                <w:sz w:val="20"/>
                <w:szCs w:val="20"/>
              </w:rPr>
              <w:t>1.9</w:t>
            </w:r>
          </w:p>
        </w:tc>
        <w:tc>
          <w:tcPr>
            <w:tcW w:w="625" w:type="pct"/>
            <w:tcBorders>
              <w:top w:val="single" w:sz="4" w:space="0" w:color="auto"/>
              <w:left w:val="single" w:sz="4" w:space="0" w:color="auto"/>
              <w:bottom w:val="single" w:sz="4" w:space="0" w:color="auto"/>
              <w:right w:val="single" w:sz="4" w:space="0" w:color="auto"/>
            </w:tcBorders>
          </w:tcPr>
          <w:p w:rsidR="000C12D5" w:rsidRPr="00F728B2" w:rsidP="000C12D5" w14:paraId="5B63FF8A" w14:textId="51653BFB">
            <w:pPr>
              <w:spacing w:before="40" w:after="40"/>
              <w:jc w:val="center"/>
              <w:rPr>
                <w:rFonts w:cstheme="minorHAnsi"/>
                <w:sz w:val="20"/>
                <w:szCs w:val="20"/>
              </w:rPr>
            </w:pPr>
            <w:r w:rsidRPr="00A93CB0">
              <w:rPr>
                <w:rFonts w:cstheme="minorHAnsi"/>
                <w:sz w:val="20"/>
                <w:szCs w:val="20"/>
              </w:rPr>
              <w:t>3.9</w:t>
            </w:r>
          </w:p>
        </w:tc>
        <w:tc>
          <w:tcPr>
            <w:tcW w:w="669" w:type="pct"/>
            <w:tcBorders>
              <w:top w:val="single" w:sz="4" w:space="0" w:color="auto"/>
              <w:left w:val="single" w:sz="4" w:space="0" w:color="auto"/>
              <w:bottom w:val="single" w:sz="4" w:space="0" w:color="auto"/>
              <w:right w:val="single" w:sz="4" w:space="0" w:color="auto"/>
            </w:tcBorders>
          </w:tcPr>
          <w:p w:rsidR="000C12D5" w:rsidRPr="00F728B2" w:rsidP="000C12D5" w14:paraId="264F2A4D" w14:textId="0308FEEB">
            <w:pPr>
              <w:spacing w:before="40" w:after="40"/>
              <w:jc w:val="center"/>
              <w:rPr>
                <w:rFonts w:cstheme="minorHAnsi"/>
                <w:sz w:val="20"/>
                <w:szCs w:val="20"/>
              </w:rPr>
            </w:pPr>
            <w:r w:rsidRPr="00A93CB0">
              <w:rPr>
                <w:rFonts w:cstheme="minorHAnsi"/>
                <w:sz w:val="20"/>
                <w:szCs w:val="20"/>
              </w:rPr>
              <w:t xml:space="preserve"> $2,</w:t>
            </w:r>
            <w:r w:rsidRPr="00A93CB0" w:rsidR="00055776">
              <w:rPr>
                <w:rFonts w:cstheme="minorHAnsi"/>
                <w:sz w:val="20"/>
                <w:szCs w:val="20"/>
              </w:rPr>
              <w:t>400</w:t>
            </w:r>
            <w:r w:rsidRPr="00A93CB0">
              <w:rPr>
                <w:rFonts w:cstheme="minorHAnsi"/>
                <w:sz w:val="20"/>
                <w:szCs w:val="20"/>
              </w:rPr>
              <w:t xml:space="preserve"> </w:t>
            </w:r>
          </w:p>
        </w:tc>
      </w:tr>
      <w:tr w14:paraId="2602F7FB" w14:textId="77777777" w:rsidTr="0019314B">
        <w:tblPrEx>
          <w:tblW w:w="5000" w:type="pct"/>
          <w:tblCellMar>
            <w:top w:w="14" w:type="dxa"/>
            <w:left w:w="58" w:type="dxa"/>
            <w:bottom w:w="14" w:type="dxa"/>
            <w:right w:w="58" w:type="dxa"/>
          </w:tblCellMar>
          <w:tblLook w:val="06A0"/>
        </w:tblPrEx>
        <w:trPr>
          <w:trHeight w:val="300"/>
        </w:trPr>
        <w:tc>
          <w:tcPr>
            <w:tcW w:w="1125" w:type="pct"/>
            <w:tcBorders>
              <w:top w:val="single" w:sz="4" w:space="0" w:color="auto"/>
              <w:left w:val="single" w:sz="4" w:space="0" w:color="auto"/>
              <w:bottom w:val="single" w:sz="4" w:space="0" w:color="auto"/>
              <w:right w:val="single" w:sz="4" w:space="0" w:color="auto"/>
            </w:tcBorders>
            <w:vAlign w:val="center"/>
          </w:tcPr>
          <w:p w:rsidR="000C12D5" w:rsidRPr="00F728B2" w:rsidP="000C12D5" w14:paraId="6904665C" w14:textId="7727B691">
            <w:pPr>
              <w:spacing w:before="40" w:after="40"/>
              <w:rPr>
                <w:rFonts w:cstheme="minorHAnsi"/>
                <w:sz w:val="20"/>
                <w:szCs w:val="20"/>
              </w:rPr>
            </w:pPr>
            <w:r w:rsidRPr="00A93CB0">
              <w:rPr>
                <w:rFonts w:cstheme="minorHAnsi"/>
                <w:sz w:val="20"/>
                <w:szCs w:val="20"/>
              </w:rPr>
              <w:t>Safety</w:t>
            </w:r>
          </w:p>
        </w:tc>
        <w:tc>
          <w:tcPr>
            <w:tcW w:w="680" w:type="pct"/>
            <w:tcBorders>
              <w:top w:val="single" w:sz="4" w:space="0" w:color="auto"/>
              <w:left w:val="single" w:sz="4" w:space="0" w:color="auto"/>
              <w:bottom w:val="single" w:sz="4" w:space="0" w:color="auto"/>
              <w:right w:val="single" w:sz="4" w:space="0" w:color="auto"/>
            </w:tcBorders>
          </w:tcPr>
          <w:p w:rsidR="000C12D5" w:rsidRPr="00F728B2" w:rsidP="000C12D5" w14:paraId="68D7C8A3" w14:textId="244B0387">
            <w:pPr>
              <w:spacing w:before="40" w:after="40"/>
              <w:jc w:val="center"/>
              <w:rPr>
                <w:rFonts w:cstheme="minorHAnsi"/>
                <w:sz w:val="20"/>
                <w:szCs w:val="20"/>
              </w:rPr>
            </w:pPr>
            <w:r w:rsidRPr="00A93CB0">
              <w:rPr>
                <w:rFonts w:cstheme="minorHAnsi"/>
                <w:sz w:val="20"/>
                <w:szCs w:val="20"/>
              </w:rPr>
              <w:t>0.69</w:t>
            </w:r>
          </w:p>
        </w:tc>
        <w:tc>
          <w:tcPr>
            <w:tcW w:w="693" w:type="pct"/>
            <w:tcBorders>
              <w:top w:val="single" w:sz="4" w:space="0" w:color="auto"/>
              <w:left w:val="single" w:sz="4" w:space="0" w:color="auto"/>
              <w:bottom w:val="single" w:sz="4" w:space="0" w:color="auto"/>
              <w:right w:val="single" w:sz="4" w:space="0" w:color="auto"/>
            </w:tcBorders>
          </w:tcPr>
          <w:p w:rsidR="000C12D5" w:rsidRPr="00F728B2" w:rsidP="000C12D5" w14:paraId="393900AA" w14:textId="6CD3079D">
            <w:pPr>
              <w:spacing w:before="40" w:after="40"/>
              <w:jc w:val="center"/>
              <w:rPr>
                <w:rFonts w:cstheme="minorHAnsi"/>
                <w:sz w:val="20"/>
                <w:szCs w:val="20"/>
              </w:rPr>
            </w:pPr>
            <w:r w:rsidRPr="00A93CB0">
              <w:rPr>
                <w:rFonts w:cstheme="minorHAnsi"/>
                <w:sz w:val="20"/>
                <w:szCs w:val="20"/>
              </w:rPr>
              <w:t>216</w:t>
            </w:r>
          </w:p>
        </w:tc>
        <w:tc>
          <w:tcPr>
            <w:tcW w:w="537" w:type="pct"/>
            <w:tcBorders>
              <w:top w:val="single" w:sz="4" w:space="0" w:color="auto"/>
              <w:left w:val="single" w:sz="4" w:space="0" w:color="auto"/>
              <w:bottom w:val="single" w:sz="4" w:space="0" w:color="auto"/>
              <w:right w:val="single" w:sz="4" w:space="0" w:color="auto"/>
            </w:tcBorders>
          </w:tcPr>
          <w:p w:rsidR="000C12D5" w:rsidRPr="00F728B2" w:rsidP="000C12D5" w14:paraId="5ADB3F5D" w14:textId="2CFAA38F">
            <w:pPr>
              <w:spacing w:before="40" w:after="40"/>
              <w:jc w:val="center"/>
              <w:rPr>
                <w:rFonts w:cstheme="minorHAnsi"/>
                <w:sz w:val="20"/>
                <w:szCs w:val="20"/>
              </w:rPr>
            </w:pPr>
            <w:r w:rsidRPr="00A93CB0">
              <w:rPr>
                <w:rFonts w:cstheme="minorHAnsi"/>
                <w:sz w:val="20"/>
                <w:szCs w:val="20"/>
              </w:rPr>
              <w:t>149</w:t>
            </w:r>
          </w:p>
        </w:tc>
        <w:tc>
          <w:tcPr>
            <w:tcW w:w="671" w:type="pct"/>
            <w:tcBorders>
              <w:top w:val="single" w:sz="4" w:space="0" w:color="auto"/>
              <w:left w:val="single" w:sz="4" w:space="0" w:color="auto"/>
              <w:bottom w:val="single" w:sz="4" w:space="0" w:color="auto"/>
              <w:right w:val="single" w:sz="4" w:space="0" w:color="auto"/>
            </w:tcBorders>
          </w:tcPr>
          <w:p w:rsidR="000C12D5" w:rsidRPr="00F728B2" w:rsidP="000C12D5" w14:paraId="281AC92C" w14:textId="5985A863">
            <w:pPr>
              <w:spacing w:before="40" w:after="40"/>
              <w:jc w:val="center"/>
              <w:rPr>
                <w:rFonts w:cstheme="minorHAnsi"/>
                <w:sz w:val="20"/>
                <w:szCs w:val="20"/>
              </w:rPr>
            </w:pPr>
            <w:r w:rsidRPr="00A93CB0">
              <w:rPr>
                <w:rFonts w:cstheme="minorHAnsi"/>
                <w:sz w:val="20"/>
                <w:szCs w:val="20"/>
              </w:rPr>
              <w:t>7.5</w:t>
            </w:r>
          </w:p>
        </w:tc>
        <w:tc>
          <w:tcPr>
            <w:tcW w:w="625" w:type="pct"/>
            <w:tcBorders>
              <w:top w:val="single" w:sz="4" w:space="0" w:color="auto"/>
              <w:left w:val="single" w:sz="4" w:space="0" w:color="auto"/>
              <w:bottom w:val="single" w:sz="4" w:space="0" w:color="auto"/>
              <w:right w:val="single" w:sz="4" w:space="0" w:color="auto"/>
            </w:tcBorders>
          </w:tcPr>
          <w:p w:rsidR="000C12D5" w:rsidRPr="00F728B2" w:rsidP="000C12D5" w14:paraId="26A47687" w14:textId="7799C4B0">
            <w:pPr>
              <w:spacing w:before="40" w:after="40"/>
              <w:jc w:val="center"/>
              <w:rPr>
                <w:rFonts w:cstheme="minorHAnsi"/>
                <w:sz w:val="20"/>
                <w:szCs w:val="20"/>
              </w:rPr>
            </w:pPr>
            <w:r w:rsidRPr="00A93CB0">
              <w:rPr>
                <w:rFonts w:cstheme="minorHAnsi"/>
                <w:sz w:val="20"/>
                <w:szCs w:val="20"/>
              </w:rPr>
              <w:t>14.9</w:t>
            </w:r>
          </w:p>
        </w:tc>
        <w:tc>
          <w:tcPr>
            <w:tcW w:w="669" w:type="pct"/>
            <w:tcBorders>
              <w:top w:val="single" w:sz="4" w:space="0" w:color="auto"/>
              <w:left w:val="single" w:sz="4" w:space="0" w:color="auto"/>
              <w:bottom w:val="single" w:sz="4" w:space="0" w:color="auto"/>
              <w:right w:val="single" w:sz="4" w:space="0" w:color="auto"/>
            </w:tcBorders>
          </w:tcPr>
          <w:p w:rsidR="000C12D5" w:rsidRPr="00F728B2" w:rsidP="000C12D5" w14:paraId="0E63CED8" w14:textId="1E4E98DF">
            <w:pPr>
              <w:spacing w:before="40" w:after="40"/>
              <w:jc w:val="center"/>
              <w:rPr>
                <w:rFonts w:cstheme="minorHAnsi"/>
                <w:sz w:val="20"/>
                <w:szCs w:val="20"/>
              </w:rPr>
            </w:pPr>
            <w:r w:rsidRPr="00A93CB0">
              <w:rPr>
                <w:rFonts w:cstheme="minorHAnsi"/>
                <w:sz w:val="20"/>
                <w:szCs w:val="20"/>
              </w:rPr>
              <w:t xml:space="preserve"> $9,11</w:t>
            </w:r>
            <w:r w:rsidRPr="00A93CB0" w:rsidR="00055776">
              <w:rPr>
                <w:rFonts w:cstheme="minorHAnsi"/>
                <w:sz w:val="20"/>
                <w:szCs w:val="20"/>
              </w:rPr>
              <w:t>0</w:t>
            </w:r>
            <w:r w:rsidRPr="00A93CB0">
              <w:rPr>
                <w:rFonts w:cstheme="minorHAnsi"/>
                <w:sz w:val="20"/>
                <w:szCs w:val="20"/>
              </w:rPr>
              <w:t xml:space="preserve"> </w:t>
            </w:r>
          </w:p>
        </w:tc>
      </w:tr>
      <w:tr w14:paraId="185CEC82" w14:textId="77777777" w:rsidTr="0019314B">
        <w:tblPrEx>
          <w:tblW w:w="5000" w:type="pct"/>
          <w:tblCellMar>
            <w:top w:w="14" w:type="dxa"/>
            <w:left w:w="58" w:type="dxa"/>
            <w:bottom w:w="14" w:type="dxa"/>
            <w:right w:w="58" w:type="dxa"/>
          </w:tblCellMar>
          <w:tblLook w:val="06A0"/>
        </w:tblPrEx>
        <w:trPr>
          <w:trHeight w:val="510"/>
        </w:trPr>
        <w:tc>
          <w:tcPr>
            <w:tcW w:w="1125" w:type="pct"/>
            <w:tcBorders>
              <w:top w:val="single" w:sz="4" w:space="0" w:color="auto"/>
              <w:left w:val="single" w:sz="4" w:space="0" w:color="auto"/>
              <w:bottom w:val="single" w:sz="4" w:space="0" w:color="auto"/>
              <w:right w:val="single" w:sz="4" w:space="0" w:color="auto"/>
            </w:tcBorders>
            <w:vAlign w:val="center"/>
          </w:tcPr>
          <w:p w:rsidR="000C12D5" w:rsidRPr="00F728B2" w:rsidP="000C12D5" w14:paraId="5AF024E9" w14:textId="4855BD16">
            <w:pPr>
              <w:spacing w:before="40" w:after="40"/>
              <w:rPr>
                <w:rFonts w:cstheme="minorHAnsi"/>
                <w:sz w:val="20"/>
                <w:szCs w:val="20"/>
              </w:rPr>
            </w:pPr>
            <w:r w:rsidRPr="00A93CB0">
              <w:rPr>
                <w:rFonts w:cstheme="minorHAnsi"/>
                <w:sz w:val="20"/>
                <w:szCs w:val="20"/>
              </w:rPr>
              <w:t>Drum Washing and Wastewater</w:t>
            </w:r>
          </w:p>
        </w:tc>
        <w:tc>
          <w:tcPr>
            <w:tcW w:w="680" w:type="pct"/>
            <w:tcBorders>
              <w:top w:val="single" w:sz="4" w:space="0" w:color="auto"/>
              <w:left w:val="single" w:sz="4" w:space="0" w:color="auto"/>
              <w:bottom w:val="single" w:sz="4" w:space="0" w:color="auto"/>
              <w:right w:val="single" w:sz="4" w:space="0" w:color="auto"/>
            </w:tcBorders>
          </w:tcPr>
          <w:p w:rsidR="000C12D5" w:rsidRPr="00F728B2" w:rsidP="000C12D5" w14:paraId="49C4D87C" w14:textId="7A3A18F5">
            <w:pPr>
              <w:spacing w:before="40" w:after="40"/>
              <w:jc w:val="center"/>
              <w:rPr>
                <w:rFonts w:eastAsia="Calibri" w:cstheme="minorHAnsi"/>
                <w:sz w:val="20"/>
                <w:szCs w:val="20"/>
              </w:rPr>
            </w:pPr>
            <w:r w:rsidRPr="00A93CB0">
              <w:rPr>
                <w:rFonts w:cstheme="minorHAnsi"/>
                <w:sz w:val="20"/>
                <w:szCs w:val="20"/>
              </w:rPr>
              <w:t>0.98</w:t>
            </w:r>
          </w:p>
        </w:tc>
        <w:tc>
          <w:tcPr>
            <w:tcW w:w="693" w:type="pct"/>
            <w:tcBorders>
              <w:top w:val="single" w:sz="4" w:space="0" w:color="auto"/>
              <w:left w:val="single" w:sz="4" w:space="0" w:color="auto"/>
              <w:bottom w:val="single" w:sz="4" w:space="0" w:color="auto"/>
              <w:right w:val="single" w:sz="4" w:space="0" w:color="auto"/>
            </w:tcBorders>
          </w:tcPr>
          <w:p w:rsidR="000C12D5" w:rsidRPr="00F728B2" w:rsidP="000C12D5" w14:paraId="1FB1DEB9" w14:textId="21DC653E">
            <w:pPr>
              <w:spacing w:before="40" w:after="40"/>
              <w:jc w:val="center"/>
              <w:rPr>
                <w:rFonts w:cstheme="minorHAnsi"/>
                <w:sz w:val="20"/>
                <w:szCs w:val="20"/>
              </w:rPr>
            </w:pPr>
            <w:r w:rsidRPr="00A93CB0">
              <w:rPr>
                <w:rFonts w:cstheme="minorHAnsi"/>
                <w:sz w:val="20"/>
                <w:szCs w:val="20"/>
              </w:rPr>
              <w:t>216, 108</w:t>
            </w:r>
          </w:p>
        </w:tc>
        <w:tc>
          <w:tcPr>
            <w:tcW w:w="537" w:type="pct"/>
            <w:tcBorders>
              <w:top w:val="single" w:sz="4" w:space="0" w:color="auto"/>
              <w:left w:val="single" w:sz="4" w:space="0" w:color="auto"/>
              <w:bottom w:val="single" w:sz="4" w:space="0" w:color="auto"/>
              <w:right w:val="single" w:sz="4" w:space="0" w:color="auto"/>
            </w:tcBorders>
          </w:tcPr>
          <w:p w:rsidR="000C12D5" w:rsidRPr="00F728B2" w:rsidP="000C12D5" w14:paraId="05BA123D" w14:textId="3B2C5930">
            <w:pPr>
              <w:spacing w:before="40" w:after="40"/>
              <w:jc w:val="center"/>
              <w:rPr>
                <w:rFonts w:cstheme="minorHAnsi"/>
                <w:sz w:val="20"/>
                <w:szCs w:val="20"/>
              </w:rPr>
            </w:pPr>
            <w:r w:rsidRPr="00A93CB0">
              <w:rPr>
                <w:rFonts w:cstheme="minorHAnsi"/>
                <w:sz w:val="20"/>
                <w:szCs w:val="20"/>
              </w:rPr>
              <w:t>17</w:t>
            </w:r>
            <w:r w:rsidR="00563DA7">
              <w:rPr>
                <w:rFonts w:cstheme="minorHAnsi"/>
                <w:sz w:val="20"/>
                <w:szCs w:val="20"/>
              </w:rPr>
              <w:t>7</w:t>
            </w:r>
          </w:p>
        </w:tc>
        <w:tc>
          <w:tcPr>
            <w:tcW w:w="671" w:type="pct"/>
            <w:tcBorders>
              <w:top w:val="single" w:sz="4" w:space="0" w:color="auto"/>
              <w:left w:val="single" w:sz="4" w:space="0" w:color="auto"/>
              <w:bottom w:val="single" w:sz="4" w:space="0" w:color="auto"/>
              <w:right w:val="single" w:sz="4" w:space="0" w:color="auto"/>
            </w:tcBorders>
          </w:tcPr>
          <w:p w:rsidR="000C12D5" w:rsidRPr="00F728B2" w:rsidP="000C12D5" w14:paraId="4E5A5605" w14:textId="76BE4325">
            <w:pPr>
              <w:spacing w:before="40" w:after="40"/>
              <w:jc w:val="center"/>
              <w:rPr>
                <w:rFonts w:cstheme="minorHAnsi"/>
                <w:sz w:val="20"/>
                <w:szCs w:val="20"/>
              </w:rPr>
            </w:pPr>
            <w:r>
              <w:rPr>
                <w:rFonts w:cstheme="minorHAnsi"/>
                <w:sz w:val="20"/>
                <w:szCs w:val="20"/>
              </w:rPr>
              <w:t>8.9</w:t>
            </w:r>
          </w:p>
        </w:tc>
        <w:tc>
          <w:tcPr>
            <w:tcW w:w="625" w:type="pct"/>
            <w:tcBorders>
              <w:top w:val="single" w:sz="4" w:space="0" w:color="auto"/>
              <w:left w:val="single" w:sz="4" w:space="0" w:color="auto"/>
              <w:bottom w:val="single" w:sz="4" w:space="0" w:color="auto"/>
              <w:right w:val="single" w:sz="4" w:space="0" w:color="auto"/>
            </w:tcBorders>
          </w:tcPr>
          <w:p w:rsidR="000C12D5" w:rsidRPr="00F728B2" w:rsidP="000C12D5" w14:paraId="7AA2EFEE" w14:textId="01DA7977">
            <w:pPr>
              <w:spacing w:before="40" w:after="40"/>
              <w:jc w:val="center"/>
              <w:rPr>
                <w:rFonts w:cstheme="minorHAnsi"/>
                <w:sz w:val="20"/>
                <w:szCs w:val="20"/>
              </w:rPr>
            </w:pPr>
            <w:r>
              <w:rPr>
                <w:rFonts w:cstheme="minorHAnsi"/>
                <w:sz w:val="20"/>
                <w:szCs w:val="20"/>
              </w:rPr>
              <w:t>17.7</w:t>
            </w:r>
          </w:p>
        </w:tc>
        <w:tc>
          <w:tcPr>
            <w:tcW w:w="669" w:type="pct"/>
            <w:tcBorders>
              <w:top w:val="single" w:sz="4" w:space="0" w:color="auto"/>
              <w:left w:val="single" w:sz="4" w:space="0" w:color="auto"/>
              <w:bottom w:val="single" w:sz="4" w:space="0" w:color="auto"/>
              <w:right w:val="single" w:sz="4" w:space="0" w:color="auto"/>
            </w:tcBorders>
          </w:tcPr>
          <w:p w:rsidR="000C12D5" w:rsidRPr="00F728B2" w:rsidP="000C12D5" w14:paraId="57DB6FCD" w14:textId="49A4E668">
            <w:pPr>
              <w:spacing w:before="40" w:after="40"/>
              <w:jc w:val="center"/>
              <w:rPr>
                <w:rFonts w:cstheme="minorHAnsi"/>
                <w:sz w:val="20"/>
                <w:szCs w:val="20"/>
              </w:rPr>
            </w:pPr>
            <w:r w:rsidRPr="00A93CB0">
              <w:rPr>
                <w:rFonts w:cstheme="minorHAnsi"/>
                <w:sz w:val="20"/>
                <w:szCs w:val="20"/>
              </w:rPr>
              <w:t xml:space="preserve"> $</w:t>
            </w:r>
            <w:r w:rsidR="00563DA7">
              <w:rPr>
                <w:rFonts w:cstheme="minorHAnsi"/>
                <w:sz w:val="20"/>
                <w:szCs w:val="20"/>
              </w:rPr>
              <w:t>10,800</w:t>
            </w:r>
          </w:p>
        </w:tc>
      </w:tr>
      <w:tr w14:paraId="2D9B8833" w14:textId="77777777" w:rsidTr="0019314B">
        <w:tblPrEx>
          <w:tblW w:w="5000" w:type="pct"/>
          <w:tblCellMar>
            <w:top w:w="14" w:type="dxa"/>
            <w:left w:w="58" w:type="dxa"/>
            <w:bottom w:w="14" w:type="dxa"/>
            <w:right w:w="58" w:type="dxa"/>
          </w:tblCellMar>
          <w:tblLook w:val="06A0"/>
        </w:tblPrEx>
        <w:trPr>
          <w:trHeight w:val="300"/>
        </w:trPr>
        <w:tc>
          <w:tcPr>
            <w:tcW w:w="1125" w:type="pct"/>
            <w:tcBorders>
              <w:top w:val="single" w:sz="4" w:space="0" w:color="auto"/>
              <w:left w:val="single" w:sz="4" w:space="0" w:color="auto"/>
              <w:bottom w:val="single" w:sz="4" w:space="0" w:color="auto"/>
              <w:right w:val="single" w:sz="4" w:space="0" w:color="auto"/>
            </w:tcBorders>
            <w:vAlign w:val="center"/>
          </w:tcPr>
          <w:p w:rsidR="000C12D5" w:rsidRPr="00F728B2" w:rsidP="000C12D5" w14:paraId="3FE9F352" w14:textId="735C50C7">
            <w:pPr>
              <w:spacing w:before="40" w:after="40"/>
              <w:rPr>
                <w:rFonts w:cstheme="minorHAnsi"/>
                <w:sz w:val="20"/>
                <w:szCs w:val="20"/>
              </w:rPr>
            </w:pPr>
            <w:r w:rsidRPr="00A93CB0">
              <w:rPr>
                <w:rFonts w:cstheme="minorHAnsi"/>
                <w:sz w:val="20"/>
                <w:szCs w:val="20"/>
              </w:rPr>
              <w:t>Solid waste</w:t>
            </w:r>
          </w:p>
        </w:tc>
        <w:tc>
          <w:tcPr>
            <w:tcW w:w="680" w:type="pct"/>
            <w:tcBorders>
              <w:top w:val="single" w:sz="4" w:space="0" w:color="auto"/>
              <w:left w:val="single" w:sz="4" w:space="0" w:color="auto"/>
              <w:bottom w:val="single" w:sz="4" w:space="0" w:color="auto"/>
              <w:right w:val="single" w:sz="4" w:space="0" w:color="auto"/>
            </w:tcBorders>
          </w:tcPr>
          <w:p w:rsidR="000C12D5" w:rsidRPr="00F728B2" w:rsidP="000C12D5" w14:paraId="0D285E32" w14:textId="1340C142">
            <w:pPr>
              <w:spacing w:before="40" w:after="40"/>
              <w:jc w:val="center"/>
              <w:rPr>
                <w:rFonts w:eastAsia="Calibri" w:cstheme="minorHAnsi"/>
                <w:sz w:val="20"/>
                <w:szCs w:val="20"/>
              </w:rPr>
            </w:pPr>
            <w:r w:rsidRPr="00A93CB0">
              <w:rPr>
                <w:rFonts w:cstheme="minorHAnsi"/>
                <w:sz w:val="20"/>
                <w:szCs w:val="20"/>
              </w:rPr>
              <w:t>0.94</w:t>
            </w:r>
          </w:p>
        </w:tc>
        <w:tc>
          <w:tcPr>
            <w:tcW w:w="693" w:type="pct"/>
            <w:tcBorders>
              <w:top w:val="single" w:sz="4" w:space="0" w:color="auto"/>
              <w:left w:val="single" w:sz="4" w:space="0" w:color="auto"/>
              <w:bottom w:val="single" w:sz="4" w:space="0" w:color="auto"/>
              <w:right w:val="single" w:sz="4" w:space="0" w:color="auto"/>
            </w:tcBorders>
          </w:tcPr>
          <w:p w:rsidR="000C12D5" w:rsidRPr="00F728B2" w:rsidP="000C12D5" w14:paraId="60B249A0" w14:textId="0E8D3336">
            <w:pPr>
              <w:spacing w:before="40" w:after="40"/>
              <w:jc w:val="center"/>
              <w:rPr>
                <w:rFonts w:cstheme="minorHAnsi"/>
                <w:sz w:val="20"/>
                <w:szCs w:val="20"/>
              </w:rPr>
            </w:pPr>
            <w:r w:rsidRPr="00A93CB0">
              <w:rPr>
                <w:rFonts w:cstheme="minorHAnsi"/>
                <w:sz w:val="20"/>
                <w:szCs w:val="20"/>
              </w:rPr>
              <w:t>216</w:t>
            </w:r>
            <w:r w:rsidR="005D1472">
              <w:rPr>
                <w:rFonts w:cstheme="minorHAnsi"/>
                <w:sz w:val="20"/>
                <w:szCs w:val="20"/>
              </w:rPr>
              <w:t>, 108</w:t>
            </w:r>
          </w:p>
        </w:tc>
        <w:tc>
          <w:tcPr>
            <w:tcW w:w="537" w:type="pct"/>
            <w:tcBorders>
              <w:top w:val="single" w:sz="4" w:space="0" w:color="auto"/>
              <w:left w:val="single" w:sz="4" w:space="0" w:color="auto"/>
              <w:bottom w:val="single" w:sz="4" w:space="0" w:color="auto"/>
              <w:right w:val="single" w:sz="4" w:space="0" w:color="auto"/>
            </w:tcBorders>
          </w:tcPr>
          <w:p w:rsidR="000C12D5" w:rsidRPr="00F728B2" w:rsidP="000C12D5" w14:paraId="32BF786F" w14:textId="50D1D941">
            <w:pPr>
              <w:spacing w:before="40" w:after="40"/>
              <w:jc w:val="center"/>
              <w:rPr>
                <w:rFonts w:eastAsia="Calibri" w:cstheme="minorHAnsi"/>
                <w:sz w:val="20"/>
                <w:szCs w:val="20"/>
              </w:rPr>
            </w:pPr>
            <w:r w:rsidRPr="00A93CB0">
              <w:rPr>
                <w:rFonts w:cstheme="minorHAnsi"/>
                <w:sz w:val="20"/>
                <w:szCs w:val="20"/>
              </w:rPr>
              <w:t>17</w:t>
            </w:r>
            <w:r w:rsidRPr="00A93CB0" w:rsidR="00C5260C">
              <w:rPr>
                <w:rFonts w:cstheme="minorHAnsi"/>
                <w:sz w:val="20"/>
                <w:szCs w:val="20"/>
              </w:rPr>
              <w:t>1</w:t>
            </w:r>
          </w:p>
        </w:tc>
        <w:tc>
          <w:tcPr>
            <w:tcW w:w="671" w:type="pct"/>
            <w:tcBorders>
              <w:top w:val="single" w:sz="4" w:space="0" w:color="auto"/>
              <w:left w:val="single" w:sz="4" w:space="0" w:color="auto"/>
              <w:bottom w:val="single" w:sz="4" w:space="0" w:color="auto"/>
              <w:right w:val="single" w:sz="4" w:space="0" w:color="auto"/>
            </w:tcBorders>
          </w:tcPr>
          <w:p w:rsidR="000C12D5" w:rsidRPr="00F728B2" w:rsidP="000C12D5" w14:paraId="767C1715" w14:textId="521EA91A">
            <w:pPr>
              <w:spacing w:before="40" w:after="40"/>
              <w:jc w:val="center"/>
              <w:rPr>
                <w:rFonts w:eastAsia="Calibri" w:cstheme="minorHAnsi"/>
                <w:sz w:val="20"/>
                <w:szCs w:val="20"/>
              </w:rPr>
            </w:pPr>
            <w:r w:rsidRPr="00A93CB0">
              <w:rPr>
                <w:rFonts w:cstheme="minorHAnsi"/>
                <w:sz w:val="20"/>
                <w:szCs w:val="20"/>
              </w:rPr>
              <w:t>8.5</w:t>
            </w:r>
          </w:p>
        </w:tc>
        <w:tc>
          <w:tcPr>
            <w:tcW w:w="625" w:type="pct"/>
            <w:tcBorders>
              <w:top w:val="single" w:sz="4" w:space="0" w:color="auto"/>
              <w:left w:val="single" w:sz="4" w:space="0" w:color="auto"/>
              <w:bottom w:val="single" w:sz="4" w:space="0" w:color="auto"/>
              <w:right w:val="single" w:sz="4" w:space="0" w:color="auto"/>
            </w:tcBorders>
          </w:tcPr>
          <w:p w:rsidR="000C12D5" w:rsidRPr="00F728B2" w:rsidP="000C12D5" w14:paraId="118E7BE4" w14:textId="7D4A1A9D">
            <w:pPr>
              <w:spacing w:before="40" w:after="40"/>
              <w:jc w:val="center"/>
              <w:rPr>
                <w:rFonts w:cstheme="minorHAnsi"/>
                <w:sz w:val="20"/>
                <w:szCs w:val="20"/>
              </w:rPr>
            </w:pPr>
            <w:r w:rsidRPr="00A93CB0">
              <w:rPr>
                <w:rFonts w:cstheme="minorHAnsi"/>
                <w:sz w:val="20"/>
                <w:szCs w:val="20"/>
              </w:rPr>
              <w:t>17.1</w:t>
            </w:r>
          </w:p>
        </w:tc>
        <w:tc>
          <w:tcPr>
            <w:tcW w:w="669" w:type="pct"/>
            <w:tcBorders>
              <w:top w:val="single" w:sz="4" w:space="0" w:color="auto"/>
              <w:left w:val="single" w:sz="4" w:space="0" w:color="auto"/>
              <w:bottom w:val="single" w:sz="4" w:space="0" w:color="auto"/>
              <w:right w:val="single" w:sz="4" w:space="0" w:color="auto"/>
            </w:tcBorders>
          </w:tcPr>
          <w:p w:rsidR="000C12D5" w:rsidRPr="00F728B2" w:rsidP="000C12D5" w14:paraId="223385AA" w14:textId="2503291A">
            <w:pPr>
              <w:spacing w:before="40" w:after="40"/>
              <w:jc w:val="center"/>
              <w:rPr>
                <w:rFonts w:cstheme="minorHAnsi"/>
                <w:sz w:val="20"/>
                <w:szCs w:val="20"/>
              </w:rPr>
            </w:pPr>
            <w:r w:rsidRPr="00A93CB0">
              <w:rPr>
                <w:rFonts w:cstheme="minorHAnsi"/>
                <w:sz w:val="20"/>
                <w:szCs w:val="20"/>
              </w:rPr>
              <w:t xml:space="preserve"> $10,4</w:t>
            </w:r>
            <w:r w:rsidRPr="00A93CB0" w:rsidR="00055776">
              <w:rPr>
                <w:rFonts w:cstheme="minorHAnsi"/>
                <w:sz w:val="20"/>
                <w:szCs w:val="20"/>
              </w:rPr>
              <w:t>00</w:t>
            </w:r>
            <w:r w:rsidRPr="00A93CB0">
              <w:rPr>
                <w:rFonts w:cstheme="minorHAnsi"/>
                <w:sz w:val="20"/>
                <w:szCs w:val="20"/>
              </w:rPr>
              <w:t xml:space="preserve"> </w:t>
            </w:r>
          </w:p>
        </w:tc>
      </w:tr>
      <w:tr w14:paraId="1E7CEB03" w14:textId="77777777" w:rsidTr="0019314B">
        <w:tblPrEx>
          <w:tblW w:w="5000" w:type="pct"/>
          <w:tblCellMar>
            <w:top w:w="14" w:type="dxa"/>
            <w:left w:w="58" w:type="dxa"/>
            <w:bottom w:w="14" w:type="dxa"/>
            <w:right w:w="58" w:type="dxa"/>
          </w:tblCellMar>
          <w:tblLook w:val="06A0"/>
        </w:tblPrEx>
        <w:trPr>
          <w:trHeight w:val="510"/>
        </w:trPr>
        <w:tc>
          <w:tcPr>
            <w:tcW w:w="1125" w:type="pct"/>
            <w:tcBorders>
              <w:top w:val="single" w:sz="4" w:space="0" w:color="auto"/>
              <w:left w:val="single" w:sz="4" w:space="0" w:color="auto"/>
              <w:bottom w:val="single" w:sz="4" w:space="0" w:color="auto"/>
              <w:right w:val="single" w:sz="4" w:space="0" w:color="auto"/>
            </w:tcBorders>
            <w:vAlign w:val="center"/>
          </w:tcPr>
          <w:p w:rsidR="000C12D5" w:rsidRPr="00F728B2" w:rsidP="000C12D5" w14:paraId="42C4E445" w14:textId="3CA4B3A5">
            <w:pPr>
              <w:spacing w:before="40" w:after="40"/>
              <w:rPr>
                <w:rFonts w:cstheme="minorHAnsi"/>
                <w:sz w:val="20"/>
                <w:szCs w:val="20"/>
              </w:rPr>
            </w:pPr>
            <w:r w:rsidRPr="00A93CB0">
              <w:rPr>
                <w:rFonts w:cstheme="minorHAnsi"/>
                <w:sz w:val="20"/>
                <w:szCs w:val="20"/>
              </w:rPr>
              <w:t>Drum furnace and other air emission points</w:t>
            </w:r>
          </w:p>
        </w:tc>
        <w:tc>
          <w:tcPr>
            <w:tcW w:w="680" w:type="pct"/>
            <w:tcBorders>
              <w:top w:val="single" w:sz="4" w:space="0" w:color="auto"/>
              <w:left w:val="single" w:sz="4" w:space="0" w:color="auto"/>
              <w:bottom w:val="single" w:sz="4" w:space="0" w:color="auto"/>
              <w:right w:val="single" w:sz="4" w:space="0" w:color="auto"/>
            </w:tcBorders>
          </w:tcPr>
          <w:p w:rsidR="000C12D5" w:rsidRPr="00F728B2" w:rsidP="000C12D5" w14:paraId="1675F972" w14:textId="5FD0935E">
            <w:pPr>
              <w:spacing w:before="40" w:after="40"/>
              <w:jc w:val="center"/>
              <w:rPr>
                <w:rFonts w:eastAsia="Calibri" w:cstheme="minorHAnsi"/>
                <w:sz w:val="20"/>
                <w:szCs w:val="20"/>
              </w:rPr>
            </w:pPr>
            <w:r w:rsidRPr="00A93CB0">
              <w:rPr>
                <w:rFonts w:cstheme="minorHAnsi"/>
                <w:sz w:val="20"/>
                <w:szCs w:val="20"/>
              </w:rPr>
              <w:t>1.66</w:t>
            </w:r>
          </w:p>
        </w:tc>
        <w:tc>
          <w:tcPr>
            <w:tcW w:w="693" w:type="pct"/>
            <w:tcBorders>
              <w:top w:val="single" w:sz="4" w:space="0" w:color="auto"/>
              <w:left w:val="single" w:sz="4" w:space="0" w:color="auto"/>
              <w:bottom w:val="single" w:sz="4" w:space="0" w:color="auto"/>
              <w:right w:val="single" w:sz="4" w:space="0" w:color="auto"/>
            </w:tcBorders>
          </w:tcPr>
          <w:p w:rsidR="000C12D5" w:rsidRPr="00F728B2" w:rsidP="000C12D5" w14:paraId="46EF3DBD" w14:textId="2C7C235D">
            <w:pPr>
              <w:spacing w:before="40" w:after="40"/>
              <w:jc w:val="center"/>
              <w:rPr>
                <w:rFonts w:cstheme="minorHAnsi"/>
                <w:sz w:val="20"/>
                <w:szCs w:val="20"/>
              </w:rPr>
            </w:pPr>
            <w:r>
              <w:rPr>
                <w:rFonts w:cstheme="minorHAnsi"/>
                <w:sz w:val="20"/>
                <w:szCs w:val="20"/>
              </w:rPr>
              <w:t xml:space="preserve">216, </w:t>
            </w:r>
            <w:r w:rsidRPr="00A93CB0" w:rsidR="0019314B">
              <w:rPr>
                <w:rFonts w:cstheme="minorHAnsi"/>
                <w:sz w:val="20"/>
                <w:szCs w:val="20"/>
              </w:rPr>
              <w:t>108</w:t>
            </w:r>
          </w:p>
        </w:tc>
        <w:tc>
          <w:tcPr>
            <w:tcW w:w="537" w:type="pct"/>
            <w:tcBorders>
              <w:top w:val="single" w:sz="4" w:space="0" w:color="auto"/>
              <w:left w:val="single" w:sz="4" w:space="0" w:color="auto"/>
              <w:bottom w:val="single" w:sz="4" w:space="0" w:color="auto"/>
              <w:right w:val="single" w:sz="4" w:space="0" w:color="auto"/>
            </w:tcBorders>
          </w:tcPr>
          <w:p w:rsidR="000C12D5" w:rsidRPr="00F728B2" w:rsidP="000C12D5" w14:paraId="632065C2" w14:textId="59F25577">
            <w:pPr>
              <w:spacing w:before="40" w:after="40"/>
              <w:jc w:val="center"/>
              <w:rPr>
                <w:rFonts w:eastAsia="Calibri" w:cstheme="minorHAnsi"/>
                <w:sz w:val="20"/>
                <w:szCs w:val="20"/>
              </w:rPr>
            </w:pPr>
            <w:r>
              <w:rPr>
                <w:rFonts w:cstheme="minorHAnsi"/>
                <w:sz w:val="20"/>
                <w:szCs w:val="20"/>
              </w:rPr>
              <w:t>244</w:t>
            </w:r>
          </w:p>
        </w:tc>
        <w:tc>
          <w:tcPr>
            <w:tcW w:w="671" w:type="pct"/>
            <w:tcBorders>
              <w:top w:val="single" w:sz="4" w:space="0" w:color="auto"/>
              <w:left w:val="single" w:sz="4" w:space="0" w:color="auto"/>
              <w:bottom w:val="single" w:sz="4" w:space="0" w:color="auto"/>
              <w:right w:val="single" w:sz="4" w:space="0" w:color="auto"/>
            </w:tcBorders>
          </w:tcPr>
          <w:p w:rsidR="000C12D5" w:rsidRPr="00F728B2" w:rsidP="000C12D5" w14:paraId="6CECA51B" w14:textId="1B34071F">
            <w:pPr>
              <w:spacing w:before="40" w:after="40"/>
              <w:jc w:val="center"/>
              <w:rPr>
                <w:rFonts w:eastAsia="Calibri" w:cstheme="minorHAnsi"/>
                <w:sz w:val="20"/>
                <w:szCs w:val="20"/>
              </w:rPr>
            </w:pPr>
            <w:r>
              <w:rPr>
                <w:rFonts w:cstheme="minorHAnsi"/>
                <w:sz w:val="20"/>
                <w:szCs w:val="20"/>
              </w:rPr>
              <w:t>12.2</w:t>
            </w:r>
          </w:p>
        </w:tc>
        <w:tc>
          <w:tcPr>
            <w:tcW w:w="625" w:type="pct"/>
            <w:tcBorders>
              <w:top w:val="single" w:sz="4" w:space="0" w:color="auto"/>
              <w:left w:val="single" w:sz="4" w:space="0" w:color="auto"/>
              <w:bottom w:val="single" w:sz="4" w:space="0" w:color="auto"/>
              <w:right w:val="single" w:sz="4" w:space="0" w:color="auto"/>
            </w:tcBorders>
          </w:tcPr>
          <w:p w:rsidR="000C12D5" w:rsidRPr="00F728B2" w:rsidP="000C12D5" w14:paraId="4D86F0A6" w14:textId="0759CFDF">
            <w:pPr>
              <w:spacing w:before="40" w:after="40"/>
              <w:jc w:val="center"/>
              <w:rPr>
                <w:rFonts w:cstheme="minorHAnsi"/>
                <w:sz w:val="20"/>
                <w:szCs w:val="20"/>
              </w:rPr>
            </w:pPr>
            <w:r>
              <w:rPr>
                <w:rFonts w:cstheme="minorHAnsi"/>
                <w:sz w:val="20"/>
                <w:szCs w:val="20"/>
              </w:rPr>
              <w:t>24.4</w:t>
            </w:r>
          </w:p>
        </w:tc>
        <w:tc>
          <w:tcPr>
            <w:tcW w:w="669" w:type="pct"/>
            <w:tcBorders>
              <w:top w:val="single" w:sz="4" w:space="0" w:color="auto"/>
              <w:left w:val="single" w:sz="4" w:space="0" w:color="auto"/>
              <w:bottom w:val="single" w:sz="4" w:space="0" w:color="auto"/>
              <w:right w:val="single" w:sz="4" w:space="0" w:color="auto"/>
            </w:tcBorders>
          </w:tcPr>
          <w:p w:rsidR="000C12D5" w:rsidRPr="00F728B2" w:rsidP="000C12D5" w14:paraId="4CCAE340" w14:textId="3A4E31F8">
            <w:pPr>
              <w:spacing w:before="40" w:after="40"/>
              <w:jc w:val="center"/>
              <w:rPr>
                <w:rFonts w:cstheme="minorHAnsi"/>
                <w:sz w:val="20"/>
                <w:szCs w:val="20"/>
              </w:rPr>
            </w:pPr>
            <w:r w:rsidRPr="00A93CB0">
              <w:rPr>
                <w:rFonts w:cstheme="minorHAnsi"/>
                <w:sz w:val="20"/>
                <w:szCs w:val="20"/>
              </w:rPr>
              <w:t xml:space="preserve"> $</w:t>
            </w:r>
            <w:r w:rsidR="00563DA7">
              <w:rPr>
                <w:rFonts w:cstheme="minorHAnsi"/>
                <w:sz w:val="20"/>
                <w:szCs w:val="20"/>
              </w:rPr>
              <w:t>14,900</w:t>
            </w:r>
            <w:r w:rsidRPr="00A93CB0">
              <w:rPr>
                <w:rFonts w:cstheme="minorHAnsi"/>
                <w:sz w:val="20"/>
                <w:szCs w:val="20"/>
              </w:rPr>
              <w:t xml:space="preserve"> </w:t>
            </w:r>
          </w:p>
        </w:tc>
      </w:tr>
      <w:tr w14:paraId="64645A48" w14:textId="77777777" w:rsidTr="0019314B">
        <w:tblPrEx>
          <w:tblW w:w="5000" w:type="pct"/>
          <w:tblCellMar>
            <w:top w:w="14" w:type="dxa"/>
            <w:left w:w="58" w:type="dxa"/>
            <w:bottom w:w="14" w:type="dxa"/>
            <w:right w:w="58" w:type="dxa"/>
          </w:tblCellMar>
          <w:tblLook w:val="06A0"/>
        </w:tblPrEx>
        <w:trPr>
          <w:trHeight w:val="510"/>
        </w:trPr>
        <w:tc>
          <w:tcPr>
            <w:tcW w:w="1125" w:type="pct"/>
            <w:tcBorders>
              <w:top w:val="single" w:sz="4" w:space="0" w:color="auto"/>
              <w:left w:val="single" w:sz="4" w:space="0" w:color="auto"/>
              <w:bottom w:val="single" w:sz="4" w:space="0" w:color="auto"/>
              <w:right w:val="single" w:sz="4" w:space="0" w:color="auto"/>
            </w:tcBorders>
            <w:vAlign w:val="center"/>
          </w:tcPr>
          <w:p w:rsidR="00045D92" w:rsidRPr="00A93CB0" w:rsidP="000C12D5" w14:paraId="37648417" w14:textId="6BD00BD0">
            <w:pPr>
              <w:spacing w:before="40" w:after="40"/>
              <w:rPr>
                <w:rFonts w:cstheme="minorHAnsi"/>
                <w:sz w:val="20"/>
                <w:szCs w:val="20"/>
              </w:rPr>
            </w:pPr>
            <w:r w:rsidRPr="00A93CB0">
              <w:rPr>
                <w:rFonts w:cstheme="minorHAnsi"/>
                <w:sz w:val="20"/>
                <w:szCs w:val="20"/>
              </w:rPr>
              <w:t>Conclusion</w:t>
            </w:r>
          </w:p>
        </w:tc>
        <w:tc>
          <w:tcPr>
            <w:tcW w:w="680" w:type="pct"/>
            <w:tcBorders>
              <w:top w:val="single" w:sz="4" w:space="0" w:color="auto"/>
              <w:left w:val="single" w:sz="4" w:space="0" w:color="auto"/>
              <w:bottom w:val="single" w:sz="4" w:space="0" w:color="auto"/>
              <w:right w:val="single" w:sz="4" w:space="0" w:color="auto"/>
            </w:tcBorders>
          </w:tcPr>
          <w:p w:rsidR="00045D92" w:rsidRPr="00A93CB0" w:rsidP="000C12D5" w14:paraId="262C370E" w14:textId="29EDF16D">
            <w:pPr>
              <w:spacing w:before="40" w:after="40"/>
              <w:jc w:val="center"/>
              <w:rPr>
                <w:rFonts w:cstheme="minorHAnsi"/>
                <w:sz w:val="20"/>
                <w:szCs w:val="20"/>
              </w:rPr>
            </w:pPr>
            <w:r>
              <w:rPr>
                <w:rFonts w:cstheme="minorHAnsi"/>
                <w:sz w:val="20"/>
                <w:szCs w:val="20"/>
              </w:rPr>
              <w:t>0.02</w:t>
            </w:r>
          </w:p>
        </w:tc>
        <w:tc>
          <w:tcPr>
            <w:tcW w:w="693" w:type="pct"/>
            <w:tcBorders>
              <w:top w:val="single" w:sz="4" w:space="0" w:color="auto"/>
              <w:left w:val="single" w:sz="4" w:space="0" w:color="auto"/>
              <w:bottom w:val="single" w:sz="4" w:space="0" w:color="auto"/>
              <w:right w:val="single" w:sz="4" w:space="0" w:color="auto"/>
            </w:tcBorders>
          </w:tcPr>
          <w:p w:rsidR="00045D92" w:rsidRPr="00A93CB0" w:rsidP="000C12D5" w14:paraId="0948DF9E" w14:textId="210E07EB">
            <w:pPr>
              <w:spacing w:before="40" w:after="40"/>
              <w:jc w:val="center"/>
              <w:rPr>
                <w:rFonts w:cstheme="minorHAnsi"/>
                <w:sz w:val="20"/>
                <w:szCs w:val="20"/>
              </w:rPr>
            </w:pPr>
            <w:r w:rsidRPr="00A93CB0">
              <w:rPr>
                <w:rFonts w:cstheme="minorHAnsi"/>
                <w:sz w:val="20"/>
                <w:szCs w:val="20"/>
              </w:rPr>
              <w:t>216</w:t>
            </w:r>
          </w:p>
        </w:tc>
        <w:tc>
          <w:tcPr>
            <w:tcW w:w="537" w:type="pct"/>
            <w:tcBorders>
              <w:top w:val="single" w:sz="4" w:space="0" w:color="auto"/>
              <w:left w:val="single" w:sz="4" w:space="0" w:color="auto"/>
              <w:bottom w:val="single" w:sz="4" w:space="0" w:color="auto"/>
              <w:right w:val="single" w:sz="4" w:space="0" w:color="auto"/>
            </w:tcBorders>
          </w:tcPr>
          <w:p w:rsidR="00045D92" w:rsidRPr="00A93CB0" w:rsidP="000C12D5" w14:paraId="4BB76778" w14:textId="1392F4A6">
            <w:pPr>
              <w:spacing w:before="40" w:after="40"/>
              <w:jc w:val="center"/>
              <w:rPr>
                <w:rFonts w:cstheme="minorHAnsi"/>
                <w:sz w:val="20"/>
                <w:szCs w:val="20"/>
              </w:rPr>
            </w:pPr>
            <w:r>
              <w:rPr>
                <w:rFonts w:cstheme="minorHAnsi"/>
                <w:sz w:val="20"/>
                <w:szCs w:val="20"/>
              </w:rPr>
              <w:t>4.3</w:t>
            </w:r>
          </w:p>
        </w:tc>
        <w:tc>
          <w:tcPr>
            <w:tcW w:w="671" w:type="pct"/>
            <w:tcBorders>
              <w:top w:val="single" w:sz="4" w:space="0" w:color="auto"/>
              <w:left w:val="single" w:sz="4" w:space="0" w:color="auto"/>
              <w:bottom w:val="single" w:sz="4" w:space="0" w:color="auto"/>
              <w:right w:val="single" w:sz="4" w:space="0" w:color="auto"/>
            </w:tcBorders>
          </w:tcPr>
          <w:p w:rsidR="00045D92" w:rsidRPr="00A93CB0" w:rsidP="000C12D5" w14:paraId="560953D7" w14:textId="4780BC89">
            <w:pPr>
              <w:spacing w:before="40" w:after="40"/>
              <w:jc w:val="center"/>
              <w:rPr>
                <w:rFonts w:cstheme="minorHAnsi"/>
                <w:sz w:val="20"/>
                <w:szCs w:val="20"/>
              </w:rPr>
            </w:pPr>
            <w:r>
              <w:rPr>
                <w:rFonts w:cstheme="minorHAnsi"/>
                <w:sz w:val="20"/>
                <w:szCs w:val="20"/>
              </w:rPr>
              <w:t>0.2</w:t>
            </w:r>
          </w:p>
        </w:tc>
        <w:tc>
          <w:tcPr>
            <w:tcW w:w="625" w:type="pct"/>
            <w:tcBorders>
              <w:top w:val="single" w:sz="4" w:space="0" w:color="auto"/>
              <w:left w:val="single" w:sz="4" w:space="0" w:color="auto"/>
              <w:bottom w:val="single" w:sz="4" w:space="0" w:color="auto"/>
              <w:right w:val="single" w:sz="4" w:space="0" w:color="auto"/>
            </w:tcBorders>
          </w:tcPr>
          <w:p w:rsidR="00045D92" w:rsidRPr="00A93CB0" w:rsidP="000C12D5" w14:paraId="3EE23280" w14:textId="1DFC9B0E">
            <w:pPr>
              <w:spacing w:before="40" w:after="40"/>
              <w:jc w:val="center"/>
              <w:rPr>
                <w:rFonts w:cstheme="minorHAnsi"/>
                <w:sz w:val="20"/>
                <w:szCs w:val="20"/>
              </w:rPr>
            </w:pPr>
            <w:r>
              <w:rPr>
                <w:rFonts w:cstheme="minorHAnsi"/>
                <w:sz w:val="20"/>
                <w:szCs w:val="20"/>
              </w:rPr>
              <w:t>0.4</w:t>
            </w:r>
          </w:p>
        </w:tc>
        <w:tc>
          <w:tcPr>
            <w:tcW w:w="669" w:type="pct"/>
            <w:tcBorders>
              <w:top w:val="single" w:sz="4" w:space="0" w:color="auto"/>
              <w:left w:val="single" w:sz="4" w:space="0" w:color="auto"/>
              <w:bottom w:val="single" w:sz="4" w:space="0" w:color="auto"/>
              <w:right w:val="single" w:sz="4" w:space="0" w:color="auto"/>
            </w:tcBorders>
          </w:tcPr>
          <w:p w:rsidR="00045D92" w:rsidRPr="00A93CB0" w:rsidP="000C12D5" w14:paraId="06B838B6" w14:textId="7A105B55">
            <w:pPr>
              <w:spacing w:before="40" w:after="40"/>
              <w:jc w:val="center"/>
              <w:rPr>
                <w:rFonts w:cstheme="minorHAnsi"/>
                <w:sz w:val="20"/>
                <w:szCs w:val="20"/>
              </w:rPr>
            </w:pPr>
            <w:r w:rsidRPr="00A93CB0">
              <w:rPr>
                <w:rFonts w:cstheme="minorHAnsi"/>
                <w:sz w:val="20"/>
                <w:szCs w:val="20"/>
              </w:rPr>
              <w:t xml:space="preserve"> $</w:t>
            </w:r>
            <w:r w:rsidR="00563DA7">
              <w:rPr>
                <w:rFonts w:cstheme="minorHAnsi"/>
                <w:sz w:val="20"/>
                <w:szCs w:val="20"/>
              </w:rPr>
              <w:t>264</w:t>
            </w:r>
            <w:r w:rsidRPr="00A93CB0" w:rsidR="00563DA7">
              <w:rPr>
                <w:rFonts w:cstheme="minorHAnsi"/>
                <w:sz w:val="20"/>
                <w:szCs w:val="20"/>
              </w:rPr>
              <w:t xml:space="preserve"> </w:t>
            </w:r>
          </w:p>
        </w:tc>
      </w:tr>
      <w:tr w14:paraId="537838DF" w14:textId="77777777" w:rsidTr="0019314B">
        <w:tblPrEx>
          <w:tblW w:w="5000" w:type="pct"/>
          <w:tblCellMar>
            <w:top w:w="14" w:type="dxa"/>
            <w:left w:w="58" w:type="dxa"/>
            <w:bottom w:w="14" w:type="dxa"/>
            <w:right w:w="58" w:type="dxa"/>
          </w:tblCellMar>
          <w:tblLook w:val="06A0"/>
        </w:tblPrEx>
        <w:trPr>
          <w:trHeight w:val="510"/>
        </w:trPr>
        <w:tc>
          <w:tcPr>
            <w:tcW w:w="1125" w:type="pct"/>
            <w:tcBorders>
              <w:top w:val="single" w:sz="4" w:space="0" w:color="auto"/>
              <w:left w:val="single" w:sz="4" w:space="0" w:color="auto"/>
              <w:bottom w:val="single" w:sz="4" w:space="0" w:color="auto"/>
              <w:right w:val="single" w:sz="4" w:space="0" w:color="auto"/>
            </w:tcBorders>
            <w:vAlign w:val="center"/>
          </w:tcPr>
          <w:p w:rsidR="00563DA7" w:rsidRPr="00A93CB0" w:rsidP="000C12D5" w14:paraId="300A8988" w14:textId="6F9CEF3F">
            <w:pPr>
              <w:spacing w:before="40" w:after="40"/>
              <w:rPr>
                <w:rFonts w:cstheme="minorHAnsi"/>
                <w:sz w:val="20"/>
                <w:szCs w:val="20"/>
              </w:rPr>
            </w:pPr>
            <w:r>
              <w:rPr>
                <w:rFonts w:cstheme="minorHAnsi"/>
                <w:sz w:val="20"/>
                <w:szCs w:val="20"/>
              </w:rPr>
              <w:t>Comments</w:t>
            </w:r>
          </w:p>
        </w:tc>
        <w:tc>
          <w:tcPr>
            <w:tcW w:w="680" w:type="pct"/>
            <w:tcBorders>
              <w:top w:val="single" w:sz="4" w:space="0" w:color="auto"/>
              <w:left w:val="single" w:sz="4" w:space="0" w:color="auto"/>
              <w:bottom w:val="single" w:sz="4" w:space="0" w:color="auto"/>
              <w:right w:val="single" w:sz="4" w:space="0" w:color="auto"/>
            </w:tcBorders>
          </w:tcPr>
          <w:p w:rsidR="00563DA7" w:rsidRPr="00A93CB0" w:rsidP="000C12D5" w14:paraId="1F4AE93F" w14:textId="1B9006BB">
            <w:pPr>
              <w:spacing w:before="40" w:after="40"/>
              <w:jc w:val="center"/>
              <w:rPr>
                <w:rFonts w:cstheme="minorHAnsi"/>
                <w:sz w:val="20"/>
                <w:szCs w:val="20"/>
              </w:rPr>
            </w:pPr>
            <w:r>
              <w:rPr>
                <w:rFonts w:cstheme="minorHAnsi"/>
                <w:sz w:val="20"/>
                <w:szCs w:val="20"/>
              </w:rPr>
              <w:t>0.02</w:t>
            </w:r>
          </w:p>
        </w:tc>
        <w:tc>
          <w:tcPr>
            <w:tcW w:w="693" w:type="pct"/>
            <w:tcBorders>
              <w:top w:val="single" w:sz="4" w:space="0" w:color="auto"/>
              <w:left w:val="single" w:sz="4" w:space="0" w:color="auto"/>
              <w:bottom w:val="single" w:sz="4" w:space="0" w:color="auto"/>
              <w:right w:val="single" w:sz="4" w:space="0" w:color="auto"/>
            </w:tcBorders>
          </w:tcPr>
          <w:p w:rsidR="00563DA7" w:rsidRPr="00A93CB0" w:rsidP="000C12D5" w14:paraId="17E2CA44" w14:textId="6BF1E08E">
            <w:pPr>
              <w:spacing w:before="40" w:after="40"/>
              <w:jc w:val="center"/>
              <w:rPr>
                <w:rFonts w:cstheme="minorHAnsi"/>
                <w:sz w:val="20"/>
                <w:szCs w:val="20"/>
              </w:rPr>
            </w:pPr>
            <w:r>
              <w:rPr>
                <w:rFonts w:cstheme="minorHAnsi"/>
                <w:sz w:val="20"/>
                <w:szCs w:val="20"/>
              </w:rPr>
              <w:t>216</w:t>
            </w:r>
          </w:p>
        </w:tc>
        <w:tc>
          <w:tcPr>
            <w:tcW w:w="537" w:type="pct"/>
            <w:tcBorders>
              <w:top w:val="single" w:sz="4" w:space="0" w:color="auto"/>
              <w:left w:val="single" w:sz="4" w:space="0" w:color="auto"/>
              <w:bottom w:val="single" w:sz="4" w:space="0" w:color="auto"/>
              <w:right w:val="single" w:sz="4" w:space="0" w:color="auto"/>
            </w:tcBorders>
          </w:tcPr>
          <w:p w:rsidR="00563DA7" w:rsidRPr="00A93CB0" w:rsidP="000C12D5" w14:paraId="727644E7" w14:textId="10E7E41D">
            <w:pPr>
              <w:spacing w:before="40" w:after="40"/>
              <w:jc w:val="center"/>
              <w:rPr>
                <w:rFonts w:cstheme="minorHAnsi"/>
                <w:sz w:val="20"/>
                <w:szCs w:val="20"/>
              </w:rPr>
            </w:pPr>
            <w:r>
              <w:rPr>
                <w:rFonts w:cstheme="minorHAnsi"/>
                <w:sz w:val="20"/>
                <w:szCs w:val="20"/>
              </w:rPr>
              <w:t>4.3</w:t>
            </w:r>
          </w:p>
        </w:tc>
        <w:tc>
          <w:tcPr>
            <w:tcW w:w="671" w:type="pct"/>
            <w:tcBorders>
              <w:top w:val="single" w:sz="4" w:space="0" w:color="auto"/>
              <w:left w:val="single" w:sz="4" w:space="0" w:color="auto"/>
              <w:bottom w:val="single" w:sz="4" w:space="0" w:color="auto"/>
              <w:right w:val="single" w:sz="4" w:space="0" w:color="auto"/>
            </w:tcBorders>
          </w:tcPr>
          <w:p w:rsidR="00563DA7" w:rsidRPr="00A93CB0" w:rsidP="000C12D5" w14:paraId="3E3E4695" w14:textId="73CF3C29">
            <w:pPr>
              <w:spacing w:before="40" w:after="40"/>
              <w:jc w:val="center"/>
              <w:rPr>
                <w:rFonts w:cstheme="minorHAnsi"/>
                <w:sz w:val="20"/>
                <w:szCs w:val="20"/>
              </w:rPr>
            </w:pPr>
            <w:r>
              <w:rPr>
                <w:rFonts w:cstheme="minorHAnsi"/>
                <w:sz w:val="20"/>
                <w:szCs w:val="20"/>
              </w:rPr>
              <w:t>0.2</w:t>
            </w:r>
          </w:p>
        </w:tc>
        <w:tc>
          <w:tcPr>
            <w:tcW w:w="625" w:type="pct"/>
            <w:tcBorders>
              <w:top w:val="single" w:sz="4" w:space="0" w:color="auto"/>
              <w:left w:val="single" w:sz="4" w:space="0" w:color="auto"/>
              <w:bottom w:val="single" w:sz="4" w:space="0" w:color="auto"/>
              <w:right w:val="single" w:sz="4" w:space="0" w:color="auto"/>
            </w:tcBorders>
          </w:tcPr>
          <w:p w:rsidR="00563DA7" w:rsidRPr="00A93CB0" w:rsidP="000C12D5" w14:paraId="762694EC" w14:textId="4D91B72E">
            <w:pPr>
              <w:spacing w:before="40" w:after="40"/>
              <w:jc w:val="center"/>
              <w:rPr>
                <w:rFonts w:cstheme="minorHAnsi"/>
                <w:sz w:val="20"/>
                <w:szCs w:val="20"/>
              </w:rPr>
            </w:pPr>
            <w:r>
              <w:rPr>
                <w:rFonts w:cstheme="minorHAnsi"/>
                <w:sz w:val="20"/>
                <w:szCs w:val="20"/>
              </w:rPr>
              <w:t>0.4</w:t>
            </w:r>
          </w:p>
        </w:tc>
        <w:tc>
          <w:tcPr>
            <w:tcW w:w="669" w:type="pct"/>
            <w:tcBorders>
              <w:top w:val="single" w:sz="4" w:space="0" w:color="auto"/>
              <w:left w:val="single" w:sz="4" w:space="0" w:color="auto"/>
              <w:bottom w:val="single" w:sz="4" w:space="0" w:color="auto"/>
              <w:right w:val="single" w:sz="4" w:space="0" w:color="auto"/>
            </w:tcBorders>
          </w:tcPr>
          <w:p w:rsidR="00563DA7" w:rsidRPr="00A93CB0" w:rsidP="000C12D5" w14:paraId="412C16EC" w14:textId="51914692">
            <w:pPr>
              <w:spacing w:before="40" w:after="40"/>
              <w:jc w:val="center"/>
              <w:rPr>
                <w:rFonts w:cstheme="minorHAnsi"/>
                <w:sz w:val="20"/>
                <w:szCs w:val="20"/>
              </w:rPr>
            </w:pPr>
            <w:r>
              <w:rPr>
                <w:rFonts w:cstheme="minorHAnsi"/>
                <w:sz w:val="20"/>
                <w:szCs w:val="20"/>
              </w:rPr>
              <w:t>$264</w:t>
            </w:r>
          </w:p>
        </w:tc>
      </w:tr>
      <w:tr w14:paraId="4AB4A897" w14:textId="77777777" w:rsidTr="0019314B">
        <w:tblPrEx>
          <w:tblW w:w="5000" w:type="pct"/>
          <w:tblCellMar>
            <w:top w:w="14" w:type="dxa"/>
            <w:left w:w="58" w:type="dxa"/>
            <w:bottom w:w="14" w:type="dxa"/>
            <w:right w:w="58" w:type="dxa"/>
          </w:tblCellMar>
          <w:tblLook w:val="06A0"/>
        </w:tblPrEx>
        <w:trPr>
          <w:trHeight w:val="300"/>
        </w:trPr>
        <w:tc>
          <w:tcPr>
            <w:tcW w:w="1125" w:type="pct"/>
            <w:tcBorders>
              <w:top w:val="single" w:sz="4" w:space="0" w:color="auto"/>
              <w:left w:val="single" w:sz="4" w:space="0" w:color="auto"/>
              <w:bottom w:val="single" w:sz="4" w:space="0" w:color="auto"/>
              <w:right w:val="single" w:sz="4" w:space="0" w:color="auto"/>
            </w:tcBorders>
            <w:vAlign w:val="center"/>
          </w:tcPr>
          <w:p w:rsidR="009627F1" w:rsidRPr="00F728B2" w:rsidP="000C12D5" w14:paraId="3950A6FC" w14:textId="77777777">
            <w:pPr>
              <w:rPr>
                <w:rFonts w:cstheme="minorHAnsi"/>
                <w:b/>
                <w:bCs/>
                <w:sz w:val="20"/>
                <w:szCs w:val="20"/>
              </w:rPr>
            </w:pPr>
            <w:r w:rsidRPr="00F728B2">
              <w:rPr>
                <w:rFonts w:cstheme="minorHAnsi"/>
                <w:b/>
                <w:bCs/>
                <w:sz w:val="20"/>
                <w:szCs w:val="20"/>
              </w:rPr>
              <w:t>Total (Rounded)</w:t>
            </w:r>
          </w:p>
        </w:tc>
        <w:tc>
          <w:tcPr>
            <w:tcW w:w="680" w:type="pct"/>
            <w:tcBorders>
              <w:top w:val="single" w:sz="4" w:space="0" w:color="auto"/>
              <w:left w:val="single" w:sz="4" w:space="0" w:color="auto"/>
              <w:bottom w:val="single" w:sz="4" w:space="0" w:color="auto"/>
            </w:tcBorders>
            <w:vAlign w:val="center"/>
          </w:tcPr>
          <w:p w:rsidR="009627F1" w:rsidRPr="00F728B2" w:rsidP="000C12D5" w14:paraId="6622E3AB" w14:textId="77777777">
            <w:pPr>
              <w:jc w:val="center"/>
              <w:rPr>
                <w:rFonts w:cstheme="minorHAnsi"/>
                <w:b/>
                <w:bCs/>
                <w:sz w:val="20"/>
                <w:szCs w:val="20"/>
              </w:rPr>
            </w:pPr>
          </w:p>
        </w:tc>
        <w:tc>
          <w:tcPr>
            <w:tcW w:w="693" w:type="pct"/>
            <w:tcBorders>
              <w:top w:val="single" w:sz="4" w:space="0" w:color="auto"/>
              <w:bottom w:val="single" w:sz="4" w:space="0" w:color="auto"/>
            </w:tcBorders>
            <w:vAlign w:val="center"/>
          </w:tcPr>
          <w:p w:rsidR="009627F1" w:rsidRPr="00F728B2" w:rsidP="000C12D5" w14:paraId="6384F3F5" w14:textId="77777777">
            <w:pPr>
              <w:jc w:val="center"/>
              <w:rPr>
                <w:rFonts w:cstheme="minorHAnsi"/>
                <w:b/>
                <w:bCs/>
                <w:sz w:val="20"/>
                <w:szCs w:val="20"/>
              </w:rPr>
            </w:pPr>
          </w:p>
        </w:tc>
        <w:tc>
          <w:tcPr>
            <w:tcW w:w="1833" w:type="pct"/>
            <w:gridSpan w:val="3"/>
            <w:tcBorders>
              <w:top w:val="single" w:sz="4" w:space="0" w:color="auto"/>
              <w:bottom w:val="single" w:sz="4" w:space="0" w:color="000000" w:themeColor="text1"/>
              <w:right w:val="single" w:sz="4" w:space="0" w:color="000000" w:themeColor="text1"/>
            </w:tcBorders>
            <w:vAlign w:val="center"/>
          </w:tcPr>
          <w:p w:rsidR="009627F1" w:rsidRPr="00F728B2" w:rsidP="000C12D5" w14:paraId="7E8FD9DD" w14:textId="2EFA4D43">
            <w:pPr>
              <w:jc w:val="center"/>
              <w:rPr>
                <w:rFonts w:cstheme="minorHAnsi"/>
                <w:b/>
                <w:bCs/>
                <w:sz w:val="20"/>
                <w:szCs w:val="20"/>
              </w:rPr>
            </w:pPr>
            <w:r>
              <w:rPr>
                <w:rFonts w:cstheme="minorHAnsi"/>
                <w:b/>
                <w:bCs/>
                <w:sz w:val="20"/>
                <w:szCs w:val="20"/>
              </w:rPr>
              <w:t xml:space="preserve">1,410 </w:t>
            </w:r>
            <w:r w:rsidRPr="00F728B2" w:rsidR="0019314B">
              <w:rPr>
                <w:rFonts w:cstheme="minorHAnsi"/>
                <w:b/>
                <w:bCs/>
                <w:sz w:val="20"/>
                <w:szCs w:val="20"/>
              </w:rPr>
              <w:t>hours</w:t>
            </w:r>
          </w:p>
        </w:tc>
        <w:tc>
          <w:tcPr>
            <w:tcW w:w="669" w:type="pct"/>
            <w:tcBorders>
              <w:top w:val="single" w:sz="4" w:space="0" w:color="auto"/>
              <w:left w:val="single" w:sz="4" w:space="0" w:color="000000" w:themeColor="text1"/>
              <w:bottom w:val="single" w:sz="4" w:space="0" w:color="auto"/>
              <w:right w:val="single" w:sz="4" w:space="0" w:color="auto"/>
            </w:tcBorders>
            <w:vAlign w:val="center"/>
          </w:tcPr>
          <w:p w:rsidR="009627F1" w:rsidRPr="00F728B2" w:rsidP="000C12D5" w14:paraId="6FA5E7A5" w14:textId="5984BE4D">
            <w:pPr>
              <w:jc w:val="center"/>
              <w:rPr>
                <w:rFonts w:cstheme="minorHAnsi"/>
                <w:b/>
                <w:bCs/>
                <w:sz w:val="20"/>
                <w:szCs w:val="20"/>
              </w:rPr>
            </w:pPr>
            <w:r w:rsidRPr="00F728B2">
              <w:rPr>
                <w:rFonts w:cstheme="minorHAnsi"/>
                <w:b/>
                <w:bCs/>
                <w:sz w:val="20"/>
                <w:szCs w:val="20"/>
              </w:rPr>
              <w:t>$</w:t>
            </w:r>
            <w:r w:rsidR="00563DA7">
              <w:rPr>
                <w:rFonts w:cstheme="minorHAnsi"/>
                <w:b/>
                <w:bCs/>
                <w:sz w:val="20"/>
                <w:szCs w:val="20"/>
              </w:rPr>
              <w:t>74,700</w:t>
            </w:r>
          </w:p>
        </w:tc>
      </w:tr>
    </w:tbl>
    <w:p w:rsidR="00BB3410" w:rsidRPr="00F728B2" w:rsidP="00854AAE" w14:paraId="7C9414CB" w14:textId="346EF2C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728B2">
        <w:rPr>
          <w:rFonts w:eastAsia="Calibri" w:cstheme="minorHAnsi"/>
          <w:sz w:val="20"/>
        </w:rPr>
        <w:t>*</w:t>
      </w:r>
      <w:r w:rsidRPr="00F728B2" w:rsidR="0019314B">
        <w:rPr>
          <w:rFonts w:eastAsia="Calibri" w:cstheme="minorHAnsi"/>
          <w:sz w:val="20"/>
        </w:rPr>
        <w:t xml:space="preserve">The </w:t>
      </w:r>
      <w:r w:rsidRPr="00F728B2">
        <w:rPr>
          <w:rFonts w:eastAsia="Calibri" w:cstheme="minorHAnsi"/>
          <w:sz w:val="20"/>
        </w:rPr>
        <w:t>Drum Washing</w:t>
      </w:r>
      <w:r w:rsidR="00563DA7">
        <w:rPr>
          <w:rFonts w:eastAsia="Calibri" w:cstheme="minorHAnsi"/>
          <w:sz w:val="20"/>
        </w:rPr>
        <w:t>, Solid Waste, and Drum Furnace sections</w:t>
      </w:r>
      <w:r w:rsidRPr="00F728B2">
        <w:rPr>
          <w:rFonts w:eastAsia="Calibri" w:cstheme="minorHAnsi"/>
          <w:sz w:val="20"/>
        </w:rPr>
        <w:t xml:space="preserve"> </w:t>
      </w:r>
      <w:r w:rsidRPr="00F728B2" w:rsidR="0019314B">
        <w:rPr>
          <w:rFonts w:eastAsia="Calibri" w:cstheme="minorHAnsi"/>
          <w:sz w:val="20"/>
        </w:rPr>
        <w:t>each contain question</w:t>
      </w:r>
      <w:r w:rsidR="00563DA7">
        <w:rPr>
          <w:rFonts w:eastAsia="Calibri" w:cstheme="minorHAnsi"/>
          <w:sz w:val="20"/>
        </w:rPr>
        <w:t>s</w:t>
      </w:r>
      <w:r w:rsidRPr="00F728B2" w:rsidR="0019314B">
        <w:rPr>
          <w:rFonts w:eastAsia="Calibri" w:cstheme="minorHAnsi"/>
          <w:sz w:val="20"/>
        </w:rPr>
        <w:t xml:space="preserve"> that</w:t>
      </w:r>
      <w:r w:rsidRPr="00F728B2">
        <w:rPr>
          <w:rFonts w:eastAsia="Calibri" w:cstheme="minorHAnsi"/>
          <w:sz w:val="20"/>
        </w:rPr>
        <w:t xml:space="preserve"> </w:t>
      </w:r>
      <w:r w:rsidR="00563DA7">
        <w:rPr>
          <w:rFonts w:eastAsia="Calibri" w:cstheme="minorHAnsi"/>
          <w:sz w:val="20"/>
        </w:rPr>
        <w:t>are</w:t>
      </w:r>
      <w:r w:rsidRPr="00F728B2" w:rsidR="00563DA7">
        <w:rPr>
          <w:rFonts w:eastAsia="Calibri" w:cstheme="minorHAnsi"/>
          <w:sz w:val="20"/>
        </w:rPr>
        <w:t xml:space="preserve"> </w:t>
      </w:r>
      <w:r w:rsidRPr="00F728B2">
        <w:rPr>
          <w:rFonts w:eastAsia="Calibri" w:cstheme="minorHAnsi"/>
          <w:sz w:val="20"/>
        </w:rPr>
        <w:t xml:space="preserve">assumed to </w:t>
      </w:r>
      <w:r w:rsidR="00563DA7">
        <w:rPr>
          <w:rFonts w:eastAsia="Calibri" w:cstheme="minorHAnsi"/>
          <w:sz w:val="20"/>
        </w:rPr>
        <w:t xml:space="preserve">only </w:t>
      </w:r>
      <w:r w:rsidRPr="00F728B2">
        <w:rPr>
          <w:rFonts w:eastAsia="Calibri" w:cstheme="minorHAnsi"/>
          <w:sz w:val="20"/>
        </w:rPr>
        <w:t xml:space="preserve">apply to 50% of </w:t>
      </w:r>
      <w:r w:rsidR="00563DA7">
        <w:rPr>
          <w:rFonts w:eastAsia="Calibri" w:cstheme="minorHAnsi"/>
          <w:sz w:val="20"/>
        </w:rPr>
        <w:t>respondents</w:t>
      </w:r>
      <w:r w:rsidRPr="00F728B2">
        <w:rPr>
          <w:rFonts w:eastAsia="Calibri" w:cstheme="minorHAnsi"/>
          <w:sz w:val="20"/>
        </w:rPr>
        <w:t xml:space="preserve">. </w:t>
      </w:r>
      <w:r w:rsidRPr="00F728B2" w:rsidR="0019314B">
        <w:rPr>
          <w:rFonts w:eastAsia="Calibri" w:cstheme="minorHAnsi"/>
          <w:sz w:val="20"/>
        </w:rPr>
        <w:t>The rest of the questions in these sections are expected to apply to all respondents.</w:t>
      </w:r>
    </w:p>
    <w:p w:rsidR="00D17BB9" w:rsidRPr="00F728B2" w:rsidP="00854AAE" w14:paraId="57EEA41C" w14:textId="77777777">
      <w:pPr>
        <w:spacing w:before="120" w:after="0"/>
        <w:rPr>
          <w:rFonts w:cstheme="minorHAnsi"/>
          <w:b/>
          <w:bCs/>
        </w:rPr>
      </w:pPr>
      <w:r w:rsidRPr="00F728B2">
        <w:rPr>
          <w:rFonts w:eastAsiaTheme="majorEastAsia" w:cstheme="minorHAnsi"/>
          <w:b/>
          <w:bCs/>
        </w:rPr>
        <w:t xml:space="preserve">14c. </w:t>
      </w:r>
      <w:r w:rsidRPr="00F728B2">
        <w:rPr>
          <w:rFonts w:eastAsiaTheme="majorEastAsia" w:cstheme="minorHAnsi"/>
          <w:b/>
          <w:bCs/>
        </w:rPr>
        <w:t>Agency Non-Labor Costs</w:t>
      </w:r>
    </w:p>
    <w:p w:rsidR="00BB3410" w:rsidRPr="00F728B2" w:rsidP="00854AAE" w14:paraId="791AA374" w14:textId="1B40C769">
      <w:pPr>
        <w:spacing w:before="60"/>
        <w:rPr>
          <w:rFonts w:cstheme="minorHAnsi"/>
        </w:rPr>
      </w:pPr>
      <w:r w:rsidRPr="00F728B2">
        <w:rPr>
          <w:rFonts w:cstheme="minorHAnsi"/>
        </w:rPr>
        <w:t xml:space="preserve">The agency does not expect any non-labor </w:t>
      </w:r>
      <w:r w:rsidRPr="00F728B2">
        <w:rPr>
          <w:rFonts w:cstheme="minorHAnsi"/>
        </w:rPr>
        <w:t>costs</w:t>
      </w:r>
    </w:p>
    <w:p w:rsidR="001F0834" w:rsidRPr="00F728B2" w:rsidP="00396CB7" w14:paraId="55C26D33" w14:textId="65AB7EEE">
      <w:pPr>
        <w:pStyle w:val="ListParagraph"/>
        <w:numPr>
          <w:ilvl w:val="0"/>
          <w:numId w:val="25"/>
        </w:numPr>
        <w:pBdr>
          <w:bottom w:val="single" w:sz="12" w:space="1" w:color="auto"/>
        </w:pBdr>
        <w:spacing w:before="60" w:after="0"/>
        <w:rPr>
          <w:rFonts w:cstheme="minorHAnsi"/>
          <w:bCs/>
          <w:i/>
          <w:iCs/>
        </w:rPr>
      </w:pPr>
      <w:r w:rsidRPr="00F728B2">
        <w:rPr>
          <w:rFonts w:cstheme="minorHAnsi"/>
          <w:b/>
          <w:bCs/>
        </w:rPr>
        <w:t>REASONS FOR CHANGE IN BURDEN</w:t>
      </w:r>
      <w:bookmarkEnd w:id="24"/>
    </w:p>
    <w:p w:rsidR="00A24B87" w:rsidRPr="00F728B2" w:rsidP="00A24B87" w14:paraId="11378B73" w14:textId="511E54F6">
      <w:pPr>
        <w:pBdr>
          <w:bottom w:val="single" w:sz="12" w:space="1" w:color="auto"/>
        </w:pBdr>
        <w:spacing w:before="60"/>
        <w:rPr>
          <w:rFonts w:cstheme="minorHAnsi"/>
          <w:bCs/>
          <w:i/>
          <w:iCs/>
        </w:rPr>
      </w:pPr>
      <w:r w:rsidRPr="00F728B2">
        <w:rPr>
          <w:rFonts w:cstheme="minorHAnsi"/>
          <w:bCs/>
          <w:i/>
          <w:iCs/>
        </w:rPr>
        <w:t>Explain the reasons for any program changes or adjustments reported in the burden or capital/O&amp;M cost estimates.</w:t>
      </w:r>
    </w:p>
    <w:p w:rsidR="00ED57A4" w:rsidRPr="00F728B2" w:rsidP="00854AAE" w14:paraId="1EE41CFD" w14:textId="472DBA65">
      <w:pPr>
        <w:pBdr>
          <w:top w:val="single" w:sz="6" w:space="0" w:color="FFFFFF"/>
          <w:left w:val="single" w:sz="6" w:space="0" w:color="FFFFFF"/>
          <w:bottom w:val="single" w:sz="6" w:space="0" w:color="FFFFFF"/>
          <w:right w:val="single" w:sz="6" w:space="0" w:color="FFFFFF"/>
        </w:pBdr>
        <w:rPr>
          <w:rFonts w:cstheme="minorHAnsi"/>
          <w:color w:val="FF0000"/>
        </w:rPr>
      </w:pPr>
      <w:r w:rsidRPr="00F728B2">
        <w:rPr>
          <w:rFonts w:cstheme="minorHAnsi"/>
        </w:rPr>
        <w:t>This is a new information collection request, therefore there is no change in burden.</w:t>
      </w:r>
    </w:p>
    <w:p w:rsidR="001F0834" w:rsidRPr="00F728B2" w:rsidP="00396CB7" w14:paraId="0FEE517B" w14:textId="604AB2CA">
      <w:pPr>
        <w:pStyle w:val="ListParagraph"/>
        <w:numPr>
          <w:ilvl w:val="0"/>
          <w:numId w:val="25"/>
        </w:numPr>
        <w:pBdr>
          <w:bottom w:val="single" w:sz="12" w:space="1" w:color="auto"/>
        </w:pBdr>
        <w:spacing w:before="60" w:after="0"/>
        <w:rPr>
          <w:rFonts w:cstheme="minorHAnsi"/>
          <w:bCs/>
          <w:i/>
          <w:iCs/>
        </w:rPr>
      </w:pPr>
      <w:bookmarkStart w:id="27" w:name="_Toc156593390"/>
      <w:r w:rsidRPr="00F728B2">
        <w:rPr>
          <w:rFonts w:cstheme="minorHAnsi"/>
          <w:b/>
          <w:bCs/>
        </w:rPr>
        <w:t>PUBLICATION OF DATA</w:t>
      </w:r>
    </w:p>
    <w:p w:rsidR="00EF07F1" w:rsidRPr="00F728B2" w:rsidP="00EF07F1" w14:paraId="65E05C91" w14:textId="64882612">
      <w:pPr>
        <w:pBdr>
          <w:bottom w:val="single" w:sz="12" w:space="1" w:color="auto"/>
        </w:pBdr>
        <w:spacing w:before="60"/>
        <w:rPr>
          <w:rFonts w:cstheme="minorHAnsi"/>
          <w:bCs/>
          <w:i/>
          <w:iCs/>
        </w:rPr>
      </w:pPr>
      <w:r w:rsidRPr="00F728B2">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F728B2" w:rsidP="00854AAE" w14:paraId="44B89FA5" w14:textId="68E4CBEF">
      <w:pPr>
        <w:pBdr>
          <w:top w:val="single" w:sz="6" w:space="0" w:color="FFFFFF"/>
          <w:left w:val="single" w:sz="6" w:space="0" w:color="FFFFFF"/>
          <w:bottom w:val="single" w:sz="6" w:space="0" w:color="FFFFFF"/>
          <w:right w:val="single" w:sz="6" w:space="0" w:color="FFFFFF"/>
        </w:pBdr>
        <w:rPr>
          <w:rFonts w:cstheme="minorHAnsi"/>
        </w:rPr>
      </w:pPr>
      <w:r w:rsidRPr="00F728B2">
        <w:rPr>
          <w:rFonts w:cstheme="minorHAnsi"/>
        </w:rPr>
        <w:t xml:space="preserve">EPA does not plan to publish the information gathered under the auspices of this </w:t>
      </w:r>
      <w:r w:rsidRPr="00F728B2" w:rsidR="00AA56E0">
        <w:rPr>
          <w:rFonts w:cstheme="minorHAnsi"/>
        </w:rPr>
        <w:t>collection but</w:t>
      </w:r>
      <w:r w:rsidRPr="00F728B2">
        <w:rPr>
          <w:rFonts w:cstheme="minorHAnsi"/>
        </w:rPr>
        <w:t xml:space="preserve"> may do so in the future if appropriate.</w:t>
      </w:r>
    </w:p>
    <w:p w:rsidR="009627F1" w:rsidRPr="00A93CB0" w:rsidP="009627F1" w14:paraId="304C9950" w14:textId="77777777">
      <w:pPr>
        <w:pStyle w:val="BodyText"/>
        <w:rPr>
          <w:rFonts w:asciiTheme="minorHAnsi" w:hAnsiTheme="minorHAnsi" w:cstheme="minorHAnsi"/>
        </w:rPr>
      </w:pPr>
      <w:r w:rsidRPr="00A93CB0">
        <w:rPr>
          <w:rFonts w:asciiTheme="minorHAnsi" w:hAnsiTheme="minorHAnsi" w:cstheme="minorHAnsi"/>
          <w:sz w:val="22"/>
          <w:szCs w:val="22"/>
        </w:rPr>
        <w:t>The specific dates for distribution, response receipt, and data collection activities for the questionnaire have not yet been established but will include the activities in Table 16-1. EPA’s intention is to ensure that facilities have at least 60 days to prepare and submit their response to the questionnaire.</w:t>
      </w:r>
      <w:r w:rsidRPr="00A93CB0">
        <w:rPr>
          <w:rFonts w:asciiTheme="minorHAnsi" w:hAnsiTheme="minorHAnsi" w:cstheme="minorHAnsi"/>
        </w:rPr>
        <w:t> </w:t>
      </w:r>
    </w:p>
    <w:p w:rsidR="009627F1" w:rsidRPr="00A93CB0" w:rsidP="009627F1" w14:paraId="05A2549A" w14:textId="77777777">
      <w:pPr>
        <w:pStyle w:val="TableTitle"/>
        <w:rPr>
          <w:rFonts w:asciiTheme="minorHAnsi" w:hAnsiTheme="minorHAnsi" w:cstheme="minorHAnsi"/>
        </w:rPr>
      </w:pPr>
      <w:bookmarkStart w:id="28" w:name="_Toc152077193"/>
      <w:r w:rsidRPr="00A93CB0">
        <w:rPr>
          <w:rFonts w:asciiTheme="minorHAnsi" w:hAnsiTheme="minorHAnsi" w:cstheme="minorHAnsi"/>
        </w:rPr>
        <w:t xml:space="preserve">Table </w:t>
      </w:r>
      <w:r w:rsidRPr="00A93CB0">
        <w:rPr>
          <w:rFonts w:asciiTheme="minorHAnsi" w:hAnsiTheme="minorHAnsi" w:cstheme="minorHAnsi"/>
        </w:rPr>
        <w:fldChar w:fldCharType="begin"/>
      </w:r>
      <w:r w:rsidRPr="00A93CB0">
        <w:rPr>
          <w:rFonts w:asciiTheme="minorHAnsi" w:hAnsiTheme="minorHAnsi" w:cstheme="minorHAnsi"/>
        </w:rPr>
        <w:instrText>STYLEREF 1 \s</w:instrText>
      </w:r>
      <w:r w:rsidRPr="00A93CB0">
        <w:rPr>
          <w:rFonts w:asciiTheme="minorHAnsi" w:hAnsiTheme="minorHAnsi" w:cstheme="minorHAnsi"/>
        </w:rPr>
        <w:fldChar w:fldCharType="separate"/>
      </w:r>
      <w:r w:rsidRPr="00A93CB0">
        <w:rPr>
          <w:rFonts w:asciiTheme="minorHAnsi" w:hAnsiTheme="minorHAnsi" w:cstheme="minorHAnsi"/>
          <w:noProof/>
        </w:rPr>
        <w:t>16</w:t>
      </w:r>
      <w:r w:rsidRPr="00A93CB0">
        <w:rPr>
          <w:rFonts w:asciiTheme="minorHAnsi" w:hAnsiTheme="minorHAnsi" w:cstheme="minorHAnsi"/>
        </w:rPr>
        <w:fldChar w:fldCharType="end"/>
      </w:r>
      <w:r w:rsidRPr="00A93CB0">
        <w:rPr>
          <w:rFonts w:asciiTheme="minorHAnsi" w:hAnsiTheme="minorHAnsi" w:cstheme="minorHAnsi"/>
        </w:rPr>
        <w:noBreakHyphen/>
      </w:r>
      <w:r w:rsidRPr="00A93CB0">
        <w:rPr>
          <w:rFonts w:asciiTheme="minorHAnsi" w:hAnsiTheme="minorHAnsi" w:cstheme="minorHAnsi"/>
        </w:rPr>
        <w:fldChar w:fldCharType="begin"/>
      </w:r>
      <w:r w:rsidRPr="00A93CB0">
        <w:rPr>
          <w:rFonts w:asciiTheme="minorHAnsi" w:hAnsiTheme="minorHAnsi" w:cstheme="minorHAnsi"/>
        </w:rPr>
        <w:instrText>SEQ Table \* ARABIC \s 1</w:instrText>
      </w:r>
      <w:r w:rsidRPr="00A93CB0">
        <w:rPr>
          <w:rFonts w:asciiTheme="minorHAnsi" w:hAnsiTheme="minorHAnsi" w:cstheme="minorHAnsi"/>
        </w:rPr>
        <w:fldChar w:fldCharType="separate"/>
      </w:r>
      <w:r w:rsidRPr="00A93CB0">
        <w:rPr>
          <w:rFonts w:asciiTheme="minorHAnsi" w:hAnsiTheme="minorHAnsi" w:cstheme="minorHAnsi"/>
          <w:noProof/>
        </w:rPr>
        <w:t>1</w:t>
      </w:r>
      <w:r w:rsidRPr="00A93CB0">
        <w:rPr>
          <w:rFonts w:asciiTheme="minorHAnsi" w:hAnsiTheme="minorHAnsi" w:cstheme="minorHAnsi"/>
        </w:rPr>
        <w:fldChar w:fldCharType="end"/>
      </w:r>
      <w:r w:rsidRPr="00A93CB0">
        <w:rPr>
          <w:rFonts w:asciiTheme="minorHAnsi" w:hAnsiTheme="minorHAnsi" w:cstheme="minorHAnsi"/>
        </w:rPr>
        <w:t>. Collection Schedule</w:t>
      </w:r>
      <w:bookmarkEnd w:id="28"/>
    </w:p>
    <w:tbl>
      <w:tblPr>
        <w:tblW w:w="3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bottom w:w="14" w:type="dxa"/>
          <w:right w:w="58" w:type="dxa"/>
        </w:tblCellMar>
        <w:tblLook w:val="04A0"/>
      </w:tblPr>
      <w:tblGrid>
        <w:gridCol w:w="3598"/>
        <w:gridCol w:w="3598"/>
      </w:tblGrid>
      <w:tr w14:paraId="1855600E" w14:textId="77777777" w:rsidTr="009627F1">
        <w:tblPrEx>
          <w:tblW w:w="3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bottom w:w="14" w:type="dxa"/>
            <w:right w:w="58" w:type="dxa"/>
          </w:tblCellMar>
          <w:tblLook w:val="04A0"/>
        </w:tblPrEx>
        <w:trPr>
          <w:trHeight w:val="360"/>
          <w:tblHeader/>
          <w:jc w:val="center"/>
        </w:trPr>
        <w:tc>
          <w:tcPr>
            <w:tcW w:w="2500" w:type="pct"/>
            <w:shd w:val="clear" w:color="auto" w:fill="DDD9C3"/>
            <w:vAlign w:val="center"/>
            <w:hideMark/>
          </w:tcPr>
          <w:p w:rsidR="009627F1" w:rsidRPr="00F728B2" w:rsidP="009627F1" w14:paraId="3F9456CF" w14:textId="77777777">
            <w:pPr>
              <w:spacing w:before="40" w:after="40"/>
              <w:rPr>
                <w:rFonts w:cstheme="minorHAnsi"/>
                <w:b/>
                <w:bCs/>
                <w:sz w:val="20"/>
              </w:rPr>
            </w:pPr>
            <w:r w:rsidRPr="00F728B2">
              <w:rPr>
                <w:rFonts w:cstheme="minorHAnsi"/>
                <w:b/>
                <w:bCs/>
                <w:sz w:val="20"/>
              </w:rPr>
              <w:t>Activity</w:t>
            </w:r>
          </w:p>
        </w:tc>
        <w:tc>
          <w:tcPr>
            <w:tcW w:w="2500" w:type="pct"/>
            <w:shd w:val="clear" w:color="auto" w:fill="DDD9C3"/>
            <w:vAlign w:val="center"/>
            <w:hideMark/>
          </w:tcPr>
          <w:p w:rsidR="009627F1" w:rsidRPr="00F728B2" w:rsidP="009627F1" w14:paraId="38D32C40" w14:textId="77777777">
            <w:pPr>
              <w:spacing w:before="40" w:after="40"/>
              <w:rPr>
                <w:rFonts w:cstheme="minorHAnsi"/>
                <w:b/>
                <w:bCs/>
                <w:sz w:val="20"/>
              </w:rPr>
            </w:pPr>
            <w:r w:rsidRPr="00F728B2">
              <w:rPr>
                <w:rFonts w:cstheme="minorHAnsi"/>
                <w:b/>
                <w:bCs/>
                <w:sz w:val="20"/>
              </w:rPr>
              <w:t>Estimate of Schedule</w:t>
            </w:r>
          </w:p>
        </w:tc>
      </w:tr>
      <w:tr w14:paraId="4D28D1C4" w14:textId="77777777" w:rsidTr="009627F1">
        <w:tblPrEx>
          <w:tblW w:w="3848" w:type="pct"/>
          <w:jc w:val="center"/>
          <w:tblLayout w:type="fixed"/>
          <w:tblCellMar>
            <w:top w:w="14" w:type="dxa"/>
            <w:left w:w="58" w:type="dxa"/>
            <w:bottom w:w="14" w:type="dxa"/>
            <w:right w:w="58" w:type="dxa"/>
          </w:tblCellMar>
          <w:tblLook w:val="04A0"/>
        </w:tblPrEx>
        <w:trPr>
          <w:trHeight w:val="300"/>
          <w:jc w:val="center"/>
        </w:trPr>
        <w:tc>
          <w:tcPr>
            <w:tcW w:w="2500" w:type="pct"/>
            <w:shd w:val="clear" w:color="auto" w:fill="auto"/>
            <w:vAlign w:val="center"/>
            <w:hideMark/>
          </w:tcPr>
          <w:p w:rsidR="009627F1" w:rsidRPr="00F728B2" w:rsidP="009627F1" w14:paraId="1E52B388" w14:textId="079FFAA8">
            <w:pPr>
              <w:spacing w:before="40" w:after="40"/>
              <w:textAlignment w:val="baseline"/>
              <w:rPr>
                <w:rFonts w:cstheme="minorHAnsi"/>
                <w:sz w:val="20"/>
              </w:rPr>
            </w:pPr>
            <w:r w:rsidRPr="00F728B2">
              <w:rPr>
                <w:rFonts w:cstheme="minorHAnsi"/>
                <w:sz w:val="20"/>
              </w:rPr>
              <w:t>EPA notification to questionnaire recipients</w:t>
            </w:r>
          </w:p>
        </w:tc>
        <w:tc>
          <w:tcPr>
            <w:tcW w:w="2500" w:type="pct"/>
            <w:shd w:val="clear" w:color="auto" w:fill="auto"/>
            <w:vAlign w:val="center"/>
            <w:hideMark/>
          </w:tcPr>
          <w:p w:rsidR="009627F1" w:rsidRPr="00F728B2" w:rsidP="009627F1" w14:paraId="65BE35F4" w14:textId="77777777">
            <w:pPr>
              <w:spacing w:before="40" w:after="40"/>
              <w:textAlignment w:val="baseline"/>
              <w:rPr>
                <w:rFonts w:cstheme="minorHAnsi"/>
                <w:sz w:val="20"/>
              </w:rPr>
            </w:pPr>
            <w:r w:rsidRPr="00F728B2">
              <w:rPr>
                <w:rFonts w:cstheme="minorHAnsi"/>
                <w:sz w:val="20"/>
              </w:rPr>
              <w:t>Within 30 days after OMB Approval</w:t>
            </w:r>
          </w:p>
        </w:tc>
      </w:tr>
      <w:tr w14:paraId="4DA5C49E" w14:textId="77777777" w:rsidTr="009627F1">
        <w:tblPrEx>
          <w:tblW w:w="3848" w:type="pct"/>
          <w:jc w:val="center"/>
          <w:tblLayout w:type="fixed"/>
          <w:tblCellMar>
            <w:top w:w="14" w:type="dxa"/>
            <w:left w:w="58" w:type="dxa"/>
            <w:bottom w:w="14" w:type="dxa"/>
            <w:right w:w="58" w:type="dxa"/>
          </w:tblCellMar>
          <w:tblLook w:val="04A0"/>
        </w:tblPrEx>
        <w:trPr>
          <w:trHeight w:val="300"/>
          <w:jc w:val="center"/>
        </w:trPr>
        <w:tc>
          <w:tcPr>
            <w:tcW w:w="2500" w:type="pct"/>
            <w:shd w:val="clear" w:color="auto" w:fill="auto"/>
            <w:vAlign w:val="center"/>
            <w:hideMark/>
          </w:tcPr>
          <w:p w:rsidR="009627F1" w:rsidRPr="00F728B2" w:rsidP="009627F1" w14:paraId="32043D45" w14:textId="1F5FB2CF">
            <w:pPr>
              <w:spacing w:before="40" w:after="40"/>
              <w:textAlignment w:val="baseline"/>
              <w:rPr>
                <w:rFonts w:cstheme="minorHAnsi"/>
                <w:sz w:val="20"/>
              </w:rPr>
            </w:pPr>
            <w:r w:rsidRPr="00F728B2">
              <w:rPr>
                <w:rFonts w:cstheme="minorHAnsi"/>
                <w:sz w:val="20"/>
              </w:rPr>
              <w:t>Facilities submit responses</w:t>
            </w:r>
          </w:p>
        </w:tc>
        <w:tc>
          <w:tcPr>
            <w:tcW w:w="2500" w:type="pct"/>
            <w:shd w:val="clear" w:color="auto" w:fill="auto"/>
            <w:vAlign w:val="center"/>
            <w:hideMark/>
          </w:tcPr>
          <w:p w:rsidR="009627F1" w:rsidRPr="00F728B2" w:rsidP="009627F1" w14:paraId="67AF5D93" w14:textId="77777777">
            <w:pPr>
              <w:spacing w:before="40" w:after="40"/>
              <w:textAlignment w:val="baseline"/>
              <w:rPr>
                <w:rFonts w:cstheme="minorHAnsi"/>
                <w:sz w:val="20"/>
              </w:rPr>
            </w:pPr>
            <w:r w:rsidRPr="00F728B2">
              <w:rPr>
                <w:rFonts w:cstheme="minorHAnsi"/>
                <w:sz w:val="20"/>
              </w:rPr>
              <w:t>At least 60 days following notification</w:t>
            </w:r>
          </w:p>
        </w:tc>
      </w:tr>
      <w:tr w14:paraId="09724643" w14:textId="77777777" w:rsidTr="009627F1">
        <w:tblPrEx>
          <w:tblW w:w="3848" w:type="pct"/>
          <w:jc w:val="center"/>
          <w:tblLayout w:type="fixed"/>
          <w:tblCellMar>
            <w:top w:w="14" w:type="dxa"/>
            <w:left w:w="58" w:type="dxa"/>
            <w:bottom w:w="14" w:type="dxa"/>
            <w:right w:w="58" w:type="dxa"/>
          </w:tblCellMar>
          <w:tblLook w:val="04A0"/>
        </w:tblPrEx>
        <w:trPr>
          <w:trHeight w:val="300"/>
          <w:jc w:val="center"/>
        </w:trPr>
        <w:tc>
          <w:tcPr>
            <w:tcW w:w="2500" w:type="pct"/>
            <w:shd w:val="clear" w:color="auto" w:fill="auto"/>
            <w:vAlign w:val="center"/>
            <w:hideMark/>
          </w:tcPr>
          <w:p w:rsidR="009627F1" w:rsidRPr="00F728B2" w:rsidP="009627F1" w14:paraId="6B74B0AC" w14:textId="355B7662">
            <w:pPr>
              <w:spacing w:before="40" w:after="40"/>
              <w:textAlignment w:val="baseline"/>
              <w:rPr>
                <w:rFonts w:cstheme="minorHAnsi"/>
                <w:sz w:val="20"/>
              </w:rPr>
            </w:pPr>
            <w:r w:rsidRPr="00F728B2">
              <w:rPr>
                <w:rFonts w:cstheme="minorHAnsi"/>
                <w:sz w:val="20"/>
              </w:rPr>
              <w:t>EPA reviews responses and evaluates need for follow-up</w:t>
            </w:r>
          </w:p>
        </w:tc>
        <w:tc>
          <w:tcPr>
            <w:tcW w:w="2500" w:type="pct"/>
            <w:shd w:val="clear" w:color="auto" w:fill="auto"/>
            <w:vAlign w:val="center"/>
            <w:hideMark/>
          </w:tcPr>
          <w:p w:rsidR="009627F1" w:rsidRPr="00F728B2" w:rsidP="009627F1" w14:paraId="76AA9710" w14:textId="77777777">
            <w:pPr>
              <w:spacing w:before="40" w:after="40"/>
              <w:textAlignment w:val="baseline"/>
              <w:rPr>
                <w:rFonts w:cstheme="minorHAnsi"/>
                <w:sz w:val="20"/>
              </w:rPr>
            </w:pPr>
            <w:r w:rsidRPr="00F728B2">
              <w:rPr>
                <w:rFonts w:cstheme="minorHAnsi"/>
                <w:sz w:val="20"/>
              </w:rPr>
              <w:t>3 months following questionnaire completion</w:t>
            </w:r>
          </w:p>
        </w:tc>
      </w:tr>
      <w:tr w14:paraId="63A3F8C3" w14:textId="77777777" w:rsidTr="009627F1">
        <w:tblPrEx>
          <w:tblW w:w="3848" w:type="pct"/>
          <w:jc w:val="center"/>
          <w:tblLayout w:type="fixed"/>
          <w:tblCellMar>
            <w:top w:w="14" w:type="dxa"/>
            <w:left w:w="58" w:type="dxa"/>
            <w:bottom w:w="14" w:type="dxa"/>
            <w:right w:w="58" w:type="dxa"/>
          </w:tblCellMar>
          <w:tblLook w:val="04A0"/>
        </w:tblPrEx>
        <w:trPr>
          <w:trHeight w:val="300"/>
          <w:jc w:val="center"/>
        </w:trPr>
        <w:tc>
          <w:tcPr>
            <w:tcW w:w="2500" w:type="pct"/>
            <w:shd w:val="clear" w:color="auto" w:fill="auto"/>
            <w:vAlign w:val="center"/>
            <w:hideMark/>
          </w:tcPr>
          <w:p w:rsidR="009627F1" w:rsidRPr="00F728B2" w:rsidP="009627F1" w14:paraId="7FFE3F25" w14:textId="10D95683">
            <w:pPr>
              <w:spacing w:before="40" w:after="40"/>
              <w:textAlignment w:val="baseline"/>
              <w:rPr>
                <w:rFonts w:cstheme="minorHAnsi"/>
                <w:sz w:val="20"/>
              </w:rPr>
            </w:pPr>
            <w:r w:rsidRPr="00F728B2">
              <w:rPr>
                <w:rFonts w:cstheme="minorHAnsi"/>
                <w:sz w:val="20"/>
              </w:rPr>
              <w:t>EPA conducts follow-up to collect all missing or incomplete information</w:t>
            </w:r>
          </w:p>
        </w:tc>
        <w:tc>
          <w:tcPr>
            <w:tcW w:w="2500" w:type="pct"/>
            <w:shd w:val="clear" w:color="auto" w:fill="auto"/>
            <w:vAlign w:val="center"/>
            <w:hideMark/>
          </w:tcPr>
          <w:p w:rsidR="009627F1" w:rsidRPr="00F728B2" w:rsidP="009627F1" w14:paraId="57C9613B" w14:textId="77777777">
            <w:pPr>
              <w:spacing w:before="40" w:after="40"/>
              <w:textAlignment w:val="baseline"/>
              <w:rPr>
                <w:rFonts w:cstheme="minorHAnsi"/>
                <w:sz w:val="20"/>
              </w:rPr>
            </w:pPr>
            <w:r w:rsidRPr="00F728B2">
              <w:rPr>
                <w:rFonts w:cstheme="minorHAnsi"/>
                <w:sz w:val="20"/>
              </w:rPr>
              <w:t>2 months</w:t>
            </w:r>
          </w:p>
        </w:tc>
      </w:tr>
      <w:tr w14:paraId="53F56F5B" w14:textId="77777777" w:rsidTr="009627F1">
        <w:tblPrEx>
          <w:tblW w:w="3848" w:type="pct"/>
          <w:jc w:val="center"/>
          <w:tblLayout w:type="fixed"/>
          <w:tblCellMar>
            <w:top w:w="14" w:type="dxa"/>
            <w:left w:w="58" w:type="dxa"/>
            <w:bottom w:w="14" w:type="dxa"/>
            <w:right w:w="58" w:type="dxa"/>
          </w:tblCellMar>
          <w:tblLook w:val="04A0"/>
        </w:tblPrEx>
        <w:trPr>
          <w:trHeight w:val="300"/>
          <w:jc w:val="center"/>
        </w:trPr>
        <w:tc>
          <w:tcPr>
            <w:tcW w:w="2500" w:type="pct"/>
            <w:shd w:val="clear" w:color="auto" w:fill="auto"/>
            <w:vAlign w:val="center"/>
            <w:hideMark/>
          </w:tcPr>
          <w:p w:rsidR="009627F1" w:rsidRPr="00F728B2" w:rsidP="009627F1" w14:paraId="248B32FF" w14:textId="7CD888F2">
            <w:pPr>
              <w:spacing w:before="40" w:after="40"/>
              <w:textAlignment w:val="baseline"/>
              <w:rPr>
                <w:rFonts w:cstheme="minorHAnsi"/>
                <w:sz w:val="20"/>
              </w:rPr>
            </w:pPr>
            <w:r w:rsidRPr="00F728B2">
              <w:rPr>
                <w:rFonts w:cstheme="minorHAnsi"/>
                <w:sz w:val="20"/>
              </w:rPr>
              <w:t>EPA completes questionnaire database</w:t>
            </w:r>
          </w:p>
        </w:tc>
        <w:tc>
          <w:tcPr>
            <w:tcW w:w="2500" w:type="pct"/>
            <w:shd w:val="clear" w:color="auto" w:fill="auto"/>
            <w:vAlign w:val="center"/>
            <w:hideMark/>
          </w:tcPr>
          <w:p w:rsidR="009627F1" w:rsidRPr="00F728B2" w:rsidP="009627F1" w14:paraId="0B303888" w14:textId="77777777">
            <w:pPr>
              <w:spacing w:before="40" w:after="40"/>
              <w:rPr>
                <w:rFonts w:cstheme="minorHAnsi"/>
                <w:sz w:val="20"/>
              </w:rPr>
            </w:pPr>
            <w:r w:rsidRPr="00F728B2">
              <w:rPr>
                <w:rFonts w:cstheme="minorHAnsi"/>
                <w:sz w:val="20"/>
              </w:rPr>
              <w:t>4 weeks</w:t>
            </w:r>
          </w:p>
        </w:tc>
      </w:tr>
    </w:tbl>
    <w:p w:rsidR="009627F1" w:rsidRPr="00F728B2" w:rsidP="00854AAE" w14:paraId="33B92412" w14:textId="77777777">
      <w:pPr>
        <w:pBdr>
          <w:top w:val="single" w:sz="6" w:space="0" w:color="FFFFFF"/>
          <w:left w:val="single" w:sz="6" w:space="0" w:color="FFFFFF"/>
          <w:bottom w:val="single" w:sz="6" w:space="0" w:color="FFFFFF"/>
          <w:right w:val="single" w:sz="6" w:space="0" w:color="FFFFFF"/>
        </w:pBdr>
        <w:rPr>
          <w:rFonts w:cstheme="minorHAnsi"/>
        </w:rPr>
      </w:pPr>
    </w:p>
    <w:p w:rsidR="008A2D01" w:rsidRPr="00F728B2" w:rsidP="00854AAE" w14:paraId="4E50F031" w14:textId="4219822E">
      <w:pPr>
        <w:pBdr>
          <w:top w:val="single" w:sz="6" w:space="0" w:color="FFFFFF"/>
          <w:left w:val="single" w:sz="6" w:space="0" w:color="FFFFFF"/>
          <w:bottom w:val="single" w:sz="6" w:space="0" w:color="FFFFFF"/>
          <w:right w:val="single" w:sz="6" w:space="0" w:color="FFFFFF"/>
        </w:pBdr>
        <w:rPr>
          <w:rFonts w:cstheme="minorHAnsi"/>
        </w:rPr>
      </w:pPr>
      <w:r w:rsidRPr="00F728B2">
        <w:rPr>
          <w:rFonts w:cstheme="minorHAnsi"/>
        </w:rPr>
        <w:t>Information that has not been claimed as Confidential Business Information (CBI) may be shared with any interested parties. Nonexempt information is not protected from disclosure under the Freedom of Information Act (FOIA). Results of EPA's analyses become publicly available most often in three ways: (1) within materials placed in the public docket supporting the rulemaking, (2) within development and supporting documents otherwise published in support of the rulemaking, and (3) within any proposed and final rules published in the Federal Register if the data is to be used in any rulemaking effort. These documents are available through EPA’s website and on regulations.gov.</w:t>
      </w:r>
    </w:p>
    <w:bookmarkEnd w:id="27"/>
    <w:p w:rsidR="001F0834" w:rsidRPr="00F728B2" w:rsidP="00396CB7" w14:paraId="6D883902" w14:textId="61243C16">
      <w:pPr>
        <w:pStyle w:val="ListParagraph"/>
        <w:numPr>
          <w:ilvl w:val="0"/>
          <w:numId w:val="25"/>
        </w:numPr>
        <w:pBdr>
          <w:bottom w:val="single" w:sz="12" w:space="1" w:color="auto"/>
        </w:pBdr>
        <w:spacing w:before="60" w:after="0"/>
        <w:rPr>
          <w:rFonts w:cstheme="minorHAnsi"/>
          <w:i/>
          <w:iCs/>
        </w:rPr>
      </w:pPr>
      <w:r w:rsidRPr="00F728B2">
        <w:rPr>
          <w:rFonts w:cstheme="minorHAnsi"/>
          <w:b/>
          <w:bCs/>
        </w:rPr>
        <w:t>DISPLAY OF EXPIRATION DATE</w:t>
      </w:r>
    </w:p>
    <w:p w:rsidR="0068409C" w:rsidRPr="00F728B2" w:rsidP="0068409C" w14:paraId="09A0CBFF" w14:textId="54E84B96">
      <w:pPr>
        <w:pBdr>
          <w:bottom w:val="single" w:sz="12" w:space="1" w:color="auto"/>
        </w:pBdr>
        <w:spacing w:before="60"/>
        <w:rPr>
          <w:rFonts w:cstheme="minorHAnsi"/>
          <w:i/>
          <w:iCs/>
        </w:rPr>
      </w:pPr>
      <w:r w:rsidRPr="00F728B2">
        <w:rPr>
          <w:rFonts w:cstheme="minorHAnsi"/>
          <w:i/>
          <w:iCs/>
        </w:rPr>
        <w:t>If seeking approval to not display the expiration date for OMB approval of the information collection, explain the reasons that display would be inappropriate.</w:t>
      </w:r>
    </w:p>
    <w:p w:rsidR="00ED57A4" w:rsidRPr="00F728B2" w:rsidP="00854AAE" w14:paraId="1DFFFC16" w14:textId="1DC31473">
      <w:pPr>
        <w:pBdr>
          <w:top w:val="single" w:sz="6" w:space="0" w:color="FFFFFF"/>
          <w:left w:val="single" w:sz="6" w:space="0" w:color="FFFFFF"/>
          <w:bottom w:val="single" w:sz="6" w:space="0" w:color="FFFFFF"/>
          <w:right w:val="single" w:sz="6" w:space="0" w:color="FFFFFF"/>
        </w:pBdr>
        <w:rPr>
          <w:rFonts w:cstheme="minorHAnsi"/>
        </w:rPr>
      </w:pPr>
      <w:r w:rsidRPr="00F728B2">
        <w:rPr>
          <w:rFonts w:cstheme="minorHAnsi"/>
        </w:rPr>
        <w:t>No exemptions are being sought. The Agency plans to display the expiration date for OMB approval of the information collection on all instruments.</w:t>
      </w:r>
    </w:p>
    <w:p w:rsidR="001F0834" w:rsidRPr="00F728B2" w:rsidP="00396CB7" w14:paraId="62636323" w14:textId="5EC03B03">
      <w:pPr>
        <w:pStyle w:val="ListParagraph"/>
        <w:numPr>
          <w:ilvl w:val="0"/>
          <w:numId w:val="25"/>
        </w:numPr>
        <w:pBdr>
          <w:bottom w:val="single" w:sz="12" w:space="1" w:color="auto"/>
        </w:pBdr>
        <w:spacing w:before="60" w:after="0"/>
        <w:rPr>
          <w:rFonts w:cstheme="minorHAnsi"/>
          <w:i/>
          <w:iCs/>
        </w:rPr>
      </w:pPr>
      <w:bookmarkStart w:id="29" w:name="_Toc156593391"/>
      <w:r w:rsidRPr="00F728B2">
        <w:rPr>
          <w:rFonts w:cstheme="minorHAnsi"/>
          <w:b/>
          <w:bCs/>
        </w:rPr>
        <w:t>CERTIFICATION STATEMENT</w:t>
      </w:r>
      <w:bookmarkEnd w:id="29"/>
    </w:p>
    <w:p w:rsidR="00396CB7" w:rsidRPr="00F728B2" w:rsidP="00396CB7" w14:paraId="42807812" w14:textId="3A967469">
      <w:pPr>
        <w:pBdr>
          <w:bottom w:val="single" w:sz="12" w:space="1" w:color="auto"/>
        </w:pBdr>
        <w:spacing w:before="60"/>
        <w:rPr>
          <w:rFonts w:cstheme="minorHAnsi"/>
          <w:i/>
          <w:iCs/>
        </w:rPr>
      </w:pPr>
      <w:r w:rsidRPr="00F728B2">
        <w:rPr>
          <w:rFonts w:cstheme="minorHAnsi"/>
          <w:i/>
          <w:iCs/>
        </w:rPr>
        <w:t>Explain each exception to the topics of the certification statement identified in “Certification for Paperwork Reduction Act Submissions.”</w:t>
      </w:r>
    </w:p>
    <w:p w:rsidR="00BB3410" w:rsidRPr="00F728B2" w:rsidP="00905CC7" w14:paraId="19DF2F54" w14:textId="29E3449B">
      <w:pPr>
        <w:pBdr>
          <w:top w:val="single" w:sz="6" w:space="0" w:color="FFFFFF"/>
          <w:left w:val="single" w:sz="6" w:space="0" w:color="FFFFFF"/>
          <w:bottom w:val="single" w:sz="6" w:space="0" w:color="FFFFFF"/>
          <w:right w:val="single" w:sz="6" w:space="0" w:color="FFFFFF"/>
        </w:pBdr>
        <w:rPr>
          <w:rFonts w:cstheme="minorHAnsi"/>
        </w:rPr>
      </w:pPr>
      <w:r w:rsidRPr="00F728B2">
        <w:rPr>
          <w:rFonts w:cstheme="minorHAnsi"/>
        </w:rPr>
        <w:t>No exceptions to the certification statement are being sought. EPA can comply with all provisions of the Certification for Paperwork Reduction Act Submissions.</w:t>
      </w:r>
    </w:p>
    <w:sectPr w:rsidSect="00DE7D97">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2505826"/>
      <w:docPartObj>
        <w:docPartGallery w:val="Page Numbers (Bottom of Page)"/>
        <w:docPartUnique/>
      </w:docPartObj>
    </w:sdtPr>
    <w:sdtEndPr>
      <w:rPr>
        <w:noProof/>
      </w:rPr>
    </w:sdtEndPr>
    <w:sdtContent>
      <w:p w:rsidR="003F71E4" w14:paraId="5FF64225" w14:textId="5D5C3EFE">
        <w:pPr>
          <w:pStyle w:val="Footer"/>
        </w:pPr>
        <w:r>
          <w:fldChar w:fldCharType="begin"/>
        </w:r>
        <w:r>
          <w:instrText xml:space="preserve"> PAGE   \* MERGEFORMAT </w:instrText>
        </w:r>
        <w:r>
          <w:fldChar w:fldCharType="separate"/>
        </w:r>
        <w:r>
          <w:rPr>
            <w:noProof/>
          </w:rPr>
          <w:t>2</w:t>
        </w:r>
        <w:r>
          <w:rPr>
            <w:noProof/>
          </w:rPr>
          <w:fldChar w:fldCharType="end"/>
        </w:r>
      </w:p>
    </w:sdtContent>
  </w:sdt>
  <w:p w:rsidR="00BB432F" w14:paraId="0B7494F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9B3479" w14:textId="77777777" w:rsidTr="003E1F67">
      <w:tblPrEx>
        <w:tblW w:w="0" w:type="auto"/>
        <w:tblLayout w:type="fixed"/>
        <w:tblLook w:val="06A0"/>
      </w:tblPrEx>
      <w:trPr>
        <w:trHeight w:val="300"/>
      </w:trPr>
      <w:tc>
        <w:tcPr>
          <w:tcW w:w="3120" w:type="dxa"/>
        </w:tcPr>
        <w:p w:rsidR="7536668D" w:rsidP="003E1F67" w14:paraId="36070D70" w14:textId="0A09B6C8">
          <w:pPr>
            <w:pStyle w:val="Header"/>
            <w:ind w:left="-115"/>
          </w:pPr>
        </w:p>
      </w:tc>
      <w:tc>
        <w:tcPr>
          <w:tcW w:w="3120" w:type="dxa"/>
        </w:tcPr>
        <w:p w:rsidR="7536668D" w:rsidP="003E1F67" w14:paraId="370D4303" w14:textId="575892B8">
          <w:pPr>
            <w:pStyle w:val="Header"/>
            <w:jc w:val="center"/>
          </w:pPr>
        </w:p>
      </w:tc>
      <w:tc>
        <w:tcPr>
          <w:tcW w:w="3120" w:type="dxa"/>
        </w:tcPr>
        <w:p w:rsidR="7536668D" w:rsidP="003E1F67" w14:paraId="07E9AB2E" w14:textId="01A46D81">
          <w:pPr>
            <w:pStyle w:val="Header"/>
            <w:ind w:right="-115"/>
            <w:jc w:val="right"/>
          </w:pPr>
        </w:p>
      </w:tc>
    </w:tr>
  </w:tbl>
  <w:p w:rsidR="00147A0F" w14:paraId="352226F3" w14:textId="28C66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2B4EC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B621F3"/>
    <w:multiLevelType w:val="hybridMultilevel"/>
    <w:tmpl w:val="225A3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59CC7B6C"/>
    <w:lvl w:ilvl="0">
      <w:start w:val="1"/>
      <w:numFmt w:val="decimal"/>
      <w:lvlText w:val="%1."/>
      <w:lvlJc w:val="left"/>
      <w:pPr>
        <w:ind w:left="360" w:hanging="360"/>
      </w:pPr>
      <w:rPr>
        <w:b/>
        <w:bCs/>
        <w:i w:val="0"/>
        <w:iCs w:val="0"/>
      </w:r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FB87A61"/>
    <w:multiLevelType w:val="hybridMultilevel"/>
    <w:tmpl w:val="8A185F4C"/>
    <w:lvl w:ilvl="0">
      <w:start w:val="20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CE4331"/>
    <w:multiLevelType w:val="hybridMultilevel"/>
    <w:tmpl w:val="0B02954C"/>
    <w:lvl w:ilvl="0">
      <w:start w:val="1"/>
      <w:numFmt w:val="bullet"/>
      <w:pStyle w:val="TableListBullet"/>
      <w:lvlText w:val=""/>
      <w:lvlJc w:val="left"/>
      <w:pPr>
        <w:ind w:left="841" w:hanging="360"/>
      </w:pPr>
      <w:rPr>
        <w:rFonts w:ascii="Symbol" w:hAnsi="Symbol" w:hint="default"/>
      </w:rPr>
    </w:lvl>
    <w:lvl w:ilvl="1" w:tentative="1">
      <w:start w:val="1"/>
      <w:numFmt w:val="bullet"/>
      <w:lvlText w:val="o"/>
      <w:lvlJc w:val="left"/>
      <w:pPr>
        <w:ind w:left="1561" w:hanging="360"/>
      </w:pPr>
      <w:rPr>
        <w:rFonts w:ascii="Courier New" w:hAnsi="Courier New" w:cs="Courier New" w:hint="default"/>
      </w:rPr>
    </w:lvl>
    <w:lvl w:ilvl="2" w:tentative="1">
      <w:start w:val="1"/>
      <w:numFmt w:val="bullet"/>
      <w:lvlText w:val=""/>
      <w:lvlJc w:val="left"/>
      <w:pPr>
        <w:ind w:left="2281" w:hanging="360"/>
      </w:pPr>
      <w:rPr>
        <w:rFonts w:ascii="Wingdings" w:hAnsi="Wingdings" w:hint="default"/>
      </w:rPr>
    </w:lvl>
    <w:lvl w:ilvl="3" w:tentative="1">
      <w:start w:val="1"/>
      <w:numFmt w:val="bullet"/>
      <w:lvlText w:val=""/>
      <w:lvlJc w:val="left"/>
      <w:pPr>
        <w:ind w:left="3001" w:hanging="360"/>
      </w:pPr>
      <w:rPr>
        <w:rFonts w:ascii="Symbol" w:hAnsi="Symbol" w:hint="default"/>
      </w:rPr>
    </w:lvl>
    <w:lvl w:ilvl="4" w:tentative="1">
      <w:start w:val="1"/>
      <w:numFmt w:val="bullet"/>
      <w:lvlText w:val="o"/>
      <w:lvlJc w:val="left"/>
      <w:pPr>
        <w:ind w:left="3721" w:hanging="360"/>
      </w:pPr>
      <w:rPr>
        <w:rFonts w:ascii="Courier New" w:hAnsi="Courier New" w:cs="Courier New" w:hint="default"/>
      </w:rPr>
    </w:lvl>
    <w:lvl w:ilvl="5" w:tentative="1">
      <w:start w:val="1"/>
      <w:numFmt w:val="bullet"/>
      <w:lvlText w:val=""/>
      <w:lvlJc w:val="left"/>
      <w:pPr>
        <w:ind w:left="4441" w:hanging="360"/>
      </w:pPr>
      <w:rPr>
        <w:rFonts w:ascii="Wingdings" w:hAnsi="Wingdings" w:hint="default"/>
      </w:rPr>
    </w:lvl>
    <w:lvl w:ilvl="6" w:tentative="1">
      <w:start w:val="1"/>
      <w:numFmt w:val="bullet"/>
      <w:lvlText w:val=""/>
      <w:lvlJc w:val="left"/>
      <w:pPr>
        <w:ind w:left="5161" w:hanging="360"/>
      </w:pPr>
      <w:rPr>
        <w:rFonts w:ascii="Symbol" w:hAnsi="Symbol" w:hint="default"/>
      </w:rPr>
    </w:lvl>
    <w:lvl w:ilvl="7" w:tentative="1">
      <w:start w:val="1"/>
      <w:numFmt w:val="bullet"/>
      <w:lvlText w:val="o"/>
      <w:lvlJc w:val="left"/>
      <w:pPr>
        <w:ind w:left="5881" w:hanging="360"/>
      </w:pPr>
      <w:rPr>
        <w:rFonts w:ascii="Courier New" w:hAnsi="Courier New" w:cs="Courier New" w:hint="default"/>
      </w:rPr>
    </w:lvl>
    <w:lvl w:ilvl="8" w:tentative="1">
      <w:start w:val="1"/>
      <w:numFmt w:val="bullet"/>
      <w:lvlText w:val=""/>
      <w:lvlJc w:val="left"/>
      <w:pPr>
        <w:ind w:left="6601" w:hanging="360"/>
      </w:pPr>
      <w:rPr>
        <w:rFonts w:ascii="Wingdings" w:hAnsi="Wingdings" w:hint="default"/>
      </w:rPr>
    </w:lvl>
  </w:abstractNum>
  <w:abstractNum w:abstractNumId="22">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5">
    <w:nsid w:val="6B4C004D"/>
    <w:multiLevelType w:val="hybridMultilevel"/>
    <w:tmpl w:val="74B49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6"/>
  </w:num>
  <w:num w:numId="3" w16cid:durableId="1158494831">
    <w:abstractNumId w:val="3"/>
  </w:num>
  <w:num w:numId="4" w16cid:durableId="493573829">
    <w:abstractNumId w:val="30"/>
  </w:num>
  <w:num w:numId="5" w16cid:durableId="2055687918">
    <w:abstractNumId w:val="19"/>
  </w:num>
  <w:num w:numId="6" w16cid:durableId="1603025219">
    <w:abstractNumId w:val="28"/>
  </w:num>
  <w:num w:numId="7" w16cid:durableId="423957196">
    <w:abstractNumId w:val="16"/>
  </w:num>
  <w:num w:numId="8" w16cid:durableId="2031829208">
    <w:abstractNumId w:val="23"/>
  </w:num>
  <w:num w:numId="9" w16cid:durableId="218439549">
    <w:abstractNumId w:val="9"/>
  </w:num>
  <w:num w:numId="10" w16cid:durableId="1285231924">
    <w:abstractNumId w:val="5"/>
  </w:num>
  <w:num w:numId="11" w16cid:durableId="327370686">
    <w:abstractNumId w:val="8"/>
  </w:num>
  <w:num w:numId="12" w16cid:durableId="1802993385">
    <w:abstractNumId w:val="11"/>
  </w:num>
  <w:num w:numId="13" w16cid:durableId="1792938267">
    <w:abstractNumId w:val="31"/>
  </w:num>
  <w:num w:numId="14" w16cid:durableId="239490726">
    <w:abstractNumId w:val="7"/>
  </w:num>
  <w:num w:numId="15" w16cid:durableId="1395350314">
    <w:abstractNumId w:val="10"/>
  </w:num>
  <w:num w:numId="16" w16cid:durableId="441535906">
    <w:abstractNumId w:val="14"/>
  </w:num>
  <w:num w:numId="17" w16cid:durableId="2008243381">
    <w:abstractNumId w:val="24"/>
  </w:num>
  <w:num w:numId="18" w16cid:durableId="840463183">
    <w:abstractNumId w:val="22"/>
  </w:num>
  <w:num w:numId="19" w16cid:durableId="469980091">
    <w:abstractNumId w:val="27"/>
  </w:num>
  <w:num w:numId="20" w16cid:durableId="2126730031">
    <w:abstractNumId w:val="12"/>
  </w:num>
  <w:num w:numId="21" w16cid:durableId="106124704">
    <w:abstractNumId w:val="2"/>
  </w:num>
  <w:num w:numId="22" w16cid:durableId="1552418013">
    <w:abstractNumId w:val="15"/>
  </w:num>
  <w:num w:numId="23" w16cid:durableId="1598828334">
    <w:abstractNumId w:val="29"/>
  </w:num>
  <w:num w:numId="24" w16cid:durableId="2051031068">
    <w:abstractNumId w:val="1"/>
  </w:num>
  <w:num w:numId="25" w16cid:durableId="258569098">
    <w:abstractNumId w:val="17"/>
  </w:num>
  <w:num w:numId="26" w16cid:durableId="331181582">
    <w:abstractNumId w:val="20"/>
  </w:num>
  <w:num w:numId="27" w16cid:durableId="1015961391">
    <w:abstractNumId w:val="26"/>
  </w:num>
  <w:num w:numId="28" w16cid:durableId="2088960032">
    <w:abstractNumId w:val="0"/>
  </w:num>
  <w:num w:numId="29" w16cid:durableId="231428166">
    <w:abstractNumId w:val="21"/>
  </w:num>
  <w:num w:numId="30" w16cid:durableId="371925930">
    <w:abstractNumId w:val="25"/>
  </w:num>
  <w:num w:numId="31" w16cid:durableId="566917251">
    <w:abstractNumId w:val="4"/>
  </w:num>
  <w:num w:numId="32" w16cid:durableId="70067098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1B"/>
    <w:rsid w:val="0000050D"/>
    <w:rsid w:val="000023C6"/>
    <w:rsid w:val="0000329D"/>
    <w:rsid w:val="00003D64"/>
    <w:rsid w:val="00004678"/>
    <w:rsid w:val="000069C3"/>
    <w:rsid w:val="00006C95"/>
    <w:rsid w:val="00007FB5"/>
    <w:rsid w:val="00010EEE"/>
    <w:rsid w:val="000129E1"/>
    <w:rsid w:val="00013852"/>
    <w:rsid w:val="00013CE8"/>
    <w:rsid w:val="00014B10"/>
    <w:rsid w:val="00014D20"/>
    <w:rsid w:val="00015FF6"/>
    <w:rsid w:val="0001637F"/>
    <w:rsid w:val="00017B90"/>
    <w:rsid w:val="00020791"/>
    <w:rsid w:val="00023EFE"/>
    <w:rsid w:val="000267E1"/>
    <w:rsid w:val="00030670"/>
    <w:rsid w:val="0003166C"/>
    <w:rsid w:val="000317AB"/>
    <w:rsid w:val="000318D9"/>
    <w:rsid w:val="00032552"/>
    <w:rsid w:val="00033219"/>
    <w:rsid w:val="00034C96"/>
    <w:rsid w:val="00036CF2"/>
    <w:rsid w:val="00037107"/>
    <w:rsid w:val="00042574"/>
    <w:rsid w:val="00042F77"/>
    <w:rsid w:val="0004467E"/>
    <w:rsid w:val="000452DC"/>
    <w:rsid w:val="00045D92"/>
    <w:rsid w:val="00045F28"/>
    <w:rsid w:val="000461BA"/>
    <w:rsid w:val="00047160"/>
    <w:rsid w:val="00050BB4"/>
    <w:rsid w:val="00051045"/>
    <w:rsid w:val="00053570"/>
    <w:rsid w:val="000544D0"/>
    <w:rsid w:val="0005572E"/>
    <w:rsid w:val="00055776"/>
    <w:rsid w:val="0005629D"/>
    <w:rsid w:val="0005783D"/>
    <w:rsid w:val="00060163"/>
    <w:rsid w:val="0006085E"/>
    <w:rsid w:val="0006128A"/>
    <w:rsid w:val="00061A77"/>
    <w:rsid w:val="00061BCE"/>
    <w:rsid w:val="00061EE0"/>
    <w:rsid w:val="00063CA7"/>
    <w:rsid w:val="0006465A"/>
    <w:rsid w:val="00065167"/>
    <w:rsid w:val="00065411"/>
    <w:rsid w:val="00066059"/>
    <w:rsid w:val="00070074"/>
    <w:rsid w:val="00071248"/>
    <w:rsid w:val="00071E30"/>
    <w:rsid w:val="0007244A"/>
    <w:rsid w:val="000728E0"/>
    <w:rsid w:val="00073C3D"/>
    <w:rsid w:val="000742C8"/>
    <w:rsid w:val="00074917"/>
    <w:rsid w:val="00074E51"/>
    <w:rsid w:val="00075AC5"/>
    <w:rsid w:val="00075C7A"/>
    <w:rsid w:val="000762A8"/>
    <w:rsid w:val="00076439"/>
    <w:rsid w:val="00076F0F"/>
    <w:rsid w:val="00077D8A"/>
    <w:rsid w:val="00081758"/>
    <w:rsid w:val="00082346"/>
    <w:rsid w:val="00082A72"/>
    <w:rsid w:val="00083D4A"/>
    <w:rsid w:val="00084BF3"/>
    <w:rsid w:val="00085474"/>
    <w:rsid w:val="00090627"/>
    <w:rsid w:val="00090750"/>
    <w:rsid w:val="000911D6"/>
    <w:rsid w:val="00091EB4"/>
    <w:rsid w:val="0009219E"/>
    <w:rsid w:val="000925BD"/>
    <w:rsid w:val="00093C6D"/>
    <w:rsid w:val="00093DC2"/>
    <w:rsid w:val="00094023"/>
    <w:rsid w:val="0009492C"/>
    <w:rsid w:val="00095F01"/>
    <w:rsid w:val="00097093"/>
    <w:rsid w:val="000978FD"/>
    <w:rsid w:val="000A1198"/>
    <w:rsid w:val="000A11F1"/>
    <w:rsid w:val="000A170A"/>
    <w:rsid w:val="000A2D4D"/>
    <w:rsid w:val="000A36B2"/>
    <w:rsid w:val="000A397C"/>
    <w:rsid w:val="000A4527"/>
    <w:rsid w:val="000A528D"/>
    <w:rsid w:val="000B290E"/>
    <w:rsid w:val="000B3576"/>
    <w:rsid w:val="000B381D"/>
    <w:rsid w:val="000B461B"/>
    <w:rsid w:val="000B592C"/>
    <w:rsid w:val="000B6F44"/>
    <w:rsid w:val="000B7BBA"/>
    <w:rsid w:val="000C12D5"/>
    <w:rsid w:val="000C1CC6"/>
    <w:rsid w:val="000C41A7"/>
    <w:rsid w:val="000C43C8"/>
    <w:rsid w:val="000C608D"/>
    <w:rsid w:val="000D066A"/>
    <w:rsid w:val="000D07C2"/>
    <w:rsid w:val="000D224E"/>
    <w:rsid w:val="000D251E"/>
    <w:rsid w:val="000D2D5D"/>
    <w:rsid w:val="000D334E"/>
    <w:rsid w:val="000D3C22"/>
    <w:rsid w:val="000D45B2"/>
    <w:rsid w:val="000D516A"/>
    <w:rsid w:val="000D5816"/>
    <w:rsid w:val="000D5863"/>
    <w:rsid w:val="000D6371"/>
    <w:rsid w:val="000D6FA4"/>
    <w:rsid w:val="000E1158"/>
    <w:rsid w:val="000E184B"/>
    <w:rsid w:val="000E19CB"/>
    <w:rsid w:val="000E1FDC"/>
    <w:rsid w:val="000E1FE8"/>
    <w:rsid w:val="000E3298"/>
    <w:rsid w:val="000E348B"/>
    <w:rsid w:val="000E34FE"/>
    <w:rsid w:val="000E5609"/>
    <w:rsid w:val="000E7DC1"/>
    <w:rsid w:val="000F0186"/>
    <w:rsid w:val="000F29EE"/>
    <w:rsid w:val="000F338A"/>
    <w:rsid w:val="000F3AC3"/>
    <w:rsid w:val="000F4DBB"/>
    <w:rsid w:val="000F6D04"/>
    <w:rsid w:val="000F7493"/>
    <w:rsid w:val="00100432"/>
    <w:rsid w:val="00100499"/>
    <w:rsid w:val="00100BF7"/>
    <w:rsid w:val="00100FA6"/>
    <w:rsid w:val="00101362"/>
    <w:rsid w:val="0010158E"/>
    <w:rsid w:val="0010258D"/>
    <w:rsid w:val="00102EE5"/>
    <w:rsid w:val="00103DD8"/>
    <w:rsid w:val="00105258"/>
    <w:rsid w:val="00105F52"/>
    <w:rsid w:val="00106C2C"/>
    <w:rsid w:val="00107505"/>
    <w:rsid w:val="00111663"/>
    <w:rsid w:val="00112360"/>
    <w:rsid w:val="00112675"/>
    <w:rsid w:val="0011362E"/>
    <w:rsid w:val="001141DA"/>
    <w:rsid w:val="00116064"/>
    <w:rsid w:val="001172FE"/>
    <w:rsid w:val="00117FE1"/>
    <w:rsid w:val="00122923"/>
    <w:rsid w:val="00123891"/>
    <w:rsid w:val="00126E67"/>
    <w:rsid w:val="001279FC"/>
    <w:rsid w:val="0013006A"/>
    <w:rsid w:val="00130CF9"/>
    <w:rsid w:val="001310E0"/>
    <w:rsid w:val="001319BF"/>
    <w:rsid w:val="00132921"/>
    <w:rsid w:val="001329B3"/>
    <w:rsid w:val="00135EAD"/>
    <w:rsid w:val="00136237"/>
    <w:rsid w:val="00137A30"/>
    <w:rsid w:val="00137EB8"/>
    <w:rsid w:val="00141030"/>
    <w:rsid w:val="00141D7A"/>
    <w:rsid w:val="00145DAE"/>
    <w:rsid w:val="00147A0F"/>
    <w:rsid w:val="00147B68"/>
    <w:rsid w:val="0015084F"/>
    <w:rsid w:val="00152A80"/>
    <w:rsid w:val="00154A3A"/>
    <w:rsid w:val="0015560F"/>
    <w:rsid w:val="00160461"/>
    <w:rsid w:val="00161846"/>
    <w:rsid w:val="0016233B"/>
    <w:rsid w:val="0016247A"/>
    <w:rsid w:val="001624C8"/>
    <w:rsid w:val="001629DC"/>
    <w:rsid w:val="001631D9"/>
    <w:rsid w:val="001636DA"/>
    <w:rsid w:val="00163C69"/>
    <w:rsid w:val="00164169"/>
    <w:rsid w:val="00166B27"/>
    <w:rsid w:val="00170329"/>
    <w:rsid w:val="00170689"/>
    <w:rsid w:val="00170AED"/>
    <w:rsid w:val="00170EB8"/>
    <w:rsid w:val="00171701"/>
    <w:rsid w:val="00171DC0"/>
    <w:rsid w:val="00173422"/>
    <w:rsid w:val="00173A68"/>
    <w:rsid w:val="00173E50"/>
    <w:rsid w:val="00175047"/>
    <w:rsid w:val="00175A15"/>
    <w:rsid w:val="00176BA8"/>
    <w:rsid w:val="001775F3"/>
    <w:rsid w:val="00180511"/>
    <w:rsid w:val="00184011"/>
    <w:rsid w:val="00185251"/>
    <w:rsid w:val="001907BB"/>
    <w:rsid w:val="0019149E"/>
    <w:rsid w:val="0019182F"/>
    <w:rsid w:val="00191C72"/>
    <w:rsid w:val="001925B3"/>
    <w:rsid w:val="0019314B"/>
    <w:rsid w:val="001941FF"/>
    <w:rsid w:val="00194566"/>
    <w:rsid w:val="001953D0"/>
    <w:rsid w:val="0019580A"/>
    <w:rsid w:val="00195BEB"/>
    <w:rsid w:val="00197A23"/>
    <w:rsid w:val="001A20B0"/>
    <w:rsid w:val="001A21A7"/>
    <w:rsid w:val="001A2F15"/>
    <w:rsid w:val="001A3351"/>
    <w:rsid w:val="001A3B42"/>
    <w:rsid w:val="001A48A2"/>
    <w:rsid w:val="001A53A7"/>
    <w:rsid w:val="001A6D73"/>
    <w:rsid w:val="001A76B3"/>
    <w:rsid w:val="001A7DEF"/>
    <w:rsid w:val="001B1773"/>
    <w:rsid w:val="001B1962"/>
    <w:rsid w:val="001B2D25"/>
    <w:rsid w:val="001B4565"/>
    <w:rsid w:val="001B46D7"/>
    <w:rsid w:val="001B4BEC"/>
    <w:rsid w:val="001B561B"/>
    <w:rsid w:val="001B7B47"/>
    <w:rsid w:val="001C0151"/>
    <w:rsid w:val="001C09E0"/>
    <w:rsid w:val="001C260A"/>
    <w:rsid w:val="001C2D48"/>
    <w:rsid w:val="001C3106"/>
    <w:rsid w:val="001C3A01"/>
    <w:rsid w:val="001C3D5A"/>
    <w:rsid w:val="001C4634"/>
    <w:rsid w:val="001C6741"/>
    <w:rsid w:val="001C7470"/>
    <w:rsid w:val="001C7D52"/>
    <w:rsid w:val="001D01BB"/>
    <w:rsid w:val="001D294E"/>
    <w:rsid w:val="001D35C6"/>
    <w:rsid w:val="001D47F8"/>
    <w:rsid w:val="001D4CDC"/>
    <w:rsid w:val="001D4D40"/>
    <w:rsid w:val="001D4F2F"/>
    <w:rsid w:val="001D51D8"/>
    <w:rsid w:val="001D5CED"/>
    <w:rsid w:val="001D6468"/>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265E"/>
    <w:rsid w:val="00202C7A"/>
    <w:rsid w:val="002064A4"/>
    <w:rsid w:val="0021068B"/>
    <w:rsid w:val="00210F2E"/>
    <w:rsid w:val="00211627"/>
    <w:rsid w:val="00211B80"/>
    <w:rsid w:val="00211C79"/>
    <w:rsid w:val="0021345A"/>
    <w:rsid w:val="00213AE6"/>
    <w:rsid w:val="00216C6A"/>
    <w:rsid w:val="00217202"/>
    <w:rsid w:val="00220258"/>
    <w:rsid w:val="002211FA"/>
    <w:rsid w:val="002222AF"/>
    <w:rsid w:val="00222530"/>
    <w:rsid w:val="0022259D"/>
    <w:rsid w:val="0022416D"/>
    <w:rsid w:val="00224BB3"/>
    <w:rsid w:val="00224D61"/>
    <w:rsid w:val="00224F14"/>
    <w:rsid w:val="00226D49"/>
    <w:rsid w:val="0022710C"/>
    <w:rsid w:val="002272EE"/>
    <w:rsid w:val="00227759"/>
    <w:rsid w:val="00230F45"/>
    <w:rsid w:val="002320C1"/>
    <w:rsid w:val="00233342"/>
    <w:rsid w:val="002335AB"/>
    <w:rsid w:val="00234B8D"/>
    <w:rsid w:val="00235E79"/>
    <w:rsid w:val="002360BC"/>
    <w:rsid w:val="00240F23"/>
    <w:rsid w:val="0024175E"/>
    <w:rsid w:val="00241836"/>
    <w:rsid w:val="002420F2"/>
    <w:rsid w:val="002448AF"/>
    <w:rsid w:val="002455F0"/>
    <w:rsid w:val="0024599B"/>
    <w:rsid w:val="00246A7E"/>
    <w:rsid w:val="00246C94"/>
    <w:rsid w:val="00247198"/>
    <w:rsid w:val="002478BA"/>
    <w:rsid w:val="0025051F"/>
    <w:rsid w:val="00251151"/>
    <w:rsid w:val="00252A4E"/>
    <w:rsid w:val="0025319A"/>
    <w:rsid w:val="0025617C"/>
    <w:rsid w:val="00256E02"/>
    <w:rsid w:val="0026050F"/>
    <w:rsid w:val="00260FB7"/>
    <w:rsid w:val="00261F14"/>
    <w:rsid w:val="002648CF"/>
    <w:rsid w:val="0026594B"/>
    <w:rsid w:val="00265FE7"/>
    <w:rsid w:val="00270940"/>
    <w:rsid w:val="0027210C"/>
    <w:rsid w:val="00277A03"/>
    <w:rsid w:val="00281F01"/>
    <w:rsid w:val="0028340E"/>
    <w:rsid w:val="00283764"/>
    <w:rsid w:val="00283AE9"/>
    <w:rsid w:val="00283C66"/>
    <w:rsid w:val="002847BB"/>
    <w:rsid w:val="00284A54"/>
    <w:rsid w:val="00285782"/>
    <w:rsid w:val="00285A68"/>
    <w:rsid w:val="00286FA0"/>
    <w:rsid w:val="00287F94"/>
    <w:rsid w:val="00290BEB"/>
    <w:rsid w:val="00291334"/>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3DDF"/>
    <w:rsid w:val="002C4713"/>
    <w:rsid w:val="002C6298"/>
    <w:rsid w:val="002C7DDE"/>
    <w:rsid w:val="002D3E1A"/>
    <w:rsid w:val="002D6232"/>
    <w:rsid w:val="002E0316"/>
    <w:rsid w:val="002E0930"/>
    <w:rsid w:val="002E0999"/>
    <w:rsid w:val="002E2569"/>
    <w:rsid w:val="002E5BAD"/>
    <w:rsid w:val="002E6047"/>
    <w:rsid w:val="002E6D1D"/>
    <w:rsid w:val="002E6EF3"/>
    <w:rsid w:val="002F0614"/>
    <w:rsid w:val="002F077A"/>
    <w:rsid w:val="002F10BE"/>
    <w:rsid w:val="002F13DA"/>
    <w:rsid w:val="002F15EB"/>
    <w:rsid w:val="002F235B"/>
    <w:rsid w:val="002F341A"/>
    <w:rsid w:val="002F3CE0"/>
    <w:rsid w:val="002F6A76"/>
    <w:rsid w:val="003005BB"/>
    <w:rsid w:val="00301206"/>
    <w:rsid w:val="00303970"/>
    <w:rsid w:val="00303DE5"/>
    <w:rsid w:val="00304842"/>
    <w:rsid w:val="003049A0"/>
    <w:rsid w:val="0030582B"/>
    <w:rsid w:val="00307411"/>
    <w:rsid w:val="00310FDB"/>
    <w:rsid w:val="00312370"/>
    <w:rsid w:val="00312F28"/>
    <w:rsid w:val="003132A5"/>
    <w:rsid w:val="00313941"/>
    <w:rsid w:val="003158FA"/>
    <w:rsid w:val="00316194"/>
    <w:rsid w:val="003169B4"/>
    <w:rsid w:val="00316BE6"/>
    <w:rsid w:val="00317844"/>
    <w:rsid w:val="00317A6C"/>
    <w:rsid w:val="00317D89"/>
    <w:rsid w:val="00320741"/>
    <w:rsid w:val="003224B7"/>
    <w:rsid w:val="00322A16"/>
    <w:rsid w:val="0032350D"/>
    <w:rsid w:val="00323E74"/>
    <w:rsid w:val="00324F21"/>
    <w:rsid w:val="003256A4"/>
    <w:rsid w:val="00326756"/>
    <w:rsid w:val="00330B87"/>
    <w:rsid w:val="00331168"/>
    <w:rsid w:val="0033211D"/>
    <w:rsid w:val="00333489"/>
    <w:rsid w:val="00335063"/>
    <w:rsid w:val="00341EDD"/>
    <w:rsid w:val="00342380"/>
    <w:rsid w:val="00342DB5"/>
    <w:rsid w:val="00343B69"/>
    <w:rsid w:val="00343CEF"/>
    <w:rsid w:val="003442BD"/>
    <w:rsid w:val="00344CB0"/>
    <w:rsid w:val="003467C8"/>
    <w:rsid w:val="00347C3C"/>
    <w:rsid w:val="0035079F"/>
    <w:rsid w:val="003514A6"/>
    <w:rsid w:val="003515A1"/>
    <w:rsid w:val="003527C1"/>
    <w:rsid w:val="00352C25"/>
    <w:rsid w:val="003565B6"/>
    <w:rsid w:val="00356A66"/>
    <w:rsid w:val="00357418"/>
    <w:rsid w:val="00360B75"/>
    <w:rsid w:val="00361737"/>
    <w:rsid w:val="00363F41"/>
    <w:rsid w:val="00366D56"/>
    <w:rsid w:val="00366DFA"/>
    <w:rsid w:val="00367871"/>
    <w:rsid w:val="00367DAD"/>
    <w:rsid w:val="0037342A"/>
    <w:rsid w:val="00373CC8"/>
    <w:rsid w:val="00374E24"/>
    <w:rsid w:val="00375E2A"/>
    <w:rsid w:val="00376609"/>
    <w:rsid w:val="00377FD2"/>
    <w:rsid w:val="00380E4C"/>
    <w:rsid w:val="00380F39"/>
    <w:rsid w:val="0038330C"/>
    <w:rsid w:val="003856DC"/>
    <w:rsid w:val="00385C97"/>
    <w:rsid w:val="003901B8"/>
    <w:rsid w:val="003909E1"/>
    <w:rsid w:val="00396CB7"/>
    <w:rsid w:val="003A1B16"/>
    <w:rsid w:val="003A1D0D"/>
    <w:rsid w:val="003A36B2"/>
    <w:rsid w:val="003A38FB"/>
    <w:rsid w:val="003A3A84"/>
    <w:rsid w:val="003A41A0"/>
    <w:rsid w:val="003A4FF1"/>
    <w:rsid w:val="003A6BEF"/>
    <w:rsid w:val="003B04B9"/>
    <w:rsid w:val="003B0A8F"/>
    <w:rsid w:val="003B153D"/>
    <w:rsid w:val="003B4D4F"/>
    <w:rsid w:val="003C0DBC"/>
    <w:rsid w:val="003C2A6B"/>
    <w:rsid w:val="003C2B04"/>
    <w:rsid w:val="003C321D"/>
    <w:rsid w:val="003C5284"/>
    <w:rsid w:val="003C5631"/>
    <w:rsid w:val="003C68C2"/>
    <w:rsid w:val="003C6CE9"/>
    <w:rsid w:val="003C6F2E"/>
    <w:rsid w:val="003D06CD"/>
    <w:rsid w:val="003D0C03"/>
    <w:rsid w:val="003D1457"/>
    <w:rsid w:val="003D23D5"/>
    <w:rsid w:val="003D29E8"/>
    <w:rsid w:val="003D2F77"/>
    <w:rsid w:val="003D3498"/>
    <w:rsid w:val="003D598C"/>
    <w:rsid w:val="003D7167"/>
    <w:rsid w:val="003D7919"/>
    <w:rsid w:val="003D7B2A"/>
    <w:rsid w:val="003E133B"/>
    <w:rsid w:val="003E1F67"/>
    <w:rsid w:val="003E4B7A"/>
    <w:rsid w:val="003E4D2D"/>
    <w:rsid w:val="003E5AAE"/>
    <w:rsid w:val="003E5CCC"/>
    <w:rsid w:val="003E5D61"/>
    <w:rsid w:val="003E6C99"/>
    <w:rsid w:val="003E7E56"/>
    <w:rsid w:val="003F0A11"/>
    <w:rsid w:val="003F36DC"/>
    <w:rsid w:val="003F411E"/>
    <w:rsid w:val="003F5429"/>
    <w:rsid w:val="003F639F"/>
    <w:rsid w:val="003F6664"/>
    <w:rsid w:val="003F71E4"/>
    <w:rsid w:val="003F72BB"/>
    <w:rsid w:val="00401C79"/>
    <w:rsid w:val="00402C51"/>
    <w:rsid w:val="00403FAB"/>
    <w:rsid w:val="00404886"/>
    <w:rsid w:val="0040643E"/>
    <w:rsid w:val="004064AA"/>
    <w:rsid w:val="00406CAC"/>
    <w:rsid w:val="004113CD"/>
    <w:rsid w:val="00412B2A"/>
    <w:rsid w:val="004132AD"/>
    <w:rsid w:val="00414BB8"/>
    <w:rsid w:val="00415248"/>
    <w:rsid w:val="00415988"/>
    <w:rsid w:val="00415D01"/>
    <w:rsid w:val="00417612"/>
    <w:rsid w:val="00417957"/>
    <w:rsid w:val="004207EE"/>
    <w:rsid w:val="0042365B"/>
    <w:rsid w:val="0042383B"/>
    <w:rsid w:val="0042409F"/>
    <w:rsid w:val="00424DDE"/>
    <w:rsid w:val="00424F93"/>
    <w:rsid w:val="004252C1"/>
    <w:rsid w:val="0042541E"/>
    <w:rsid w:val="00426CD4"/>
    <w:rsid w:val="00427079"/>
    <w:rsid w:val="00427271"/>
    <w:rsid w:val="004306A8"/>
    <w:rsid w:val="004308EF"/>
    <w:rsid w:val="00430EDC"/>
    <w:rsid w:val="00431037"/>
    <w:rsid w:val="00431D3F"/>
    <w:rsid w:val="00432AC2"/>
    <w:rsid w:val="00435028"/>
    <w:rsid w:val="0043515D"/>
    <w:rsid w:val="00436FD0"/>
    <w:rsid w:val="004371BD"/>
    <w:rsid w:val="004402A7"/>
    <w:rsid w:val="00441783"/>
    <w:rsid w:val="004420DA"/>
    <w:rsid w:val="0044301E"/>
    <w:rsid w:val="00444404"/>
    <w:rsid w:val="00444707"/>
    <w:rsid w:val="004455F6"/>
    <w:rsid w:val="00445751"/>
    <w:rsid w:val="00445CF2"/>
    <w:rsid w:val="004468C2"/>
    <w:rsid w:val="00446B8D"/>
    <w:rsid w:val="00450C44"/>
    <w:rsid w:val="00456E33"/>
    <w:rsid w:val="004600ED"/>
    <w:rsid w:val="004620CA"/>
    <w:rsid w:val="00463285"/>
    <w:rsid w:val="00465846"/>
    <w:rsid w:val="00466349"/>
    <w:rsid w:val="00466B43"/>
    <w:rsid w:val="00470E22"/>
    <w:rsid w:val="00471E69"/>
    <w:rsid w:val="00472D33"/>
    <w:rsid w:val="0047416D"/>
    <w:rsid w:val="00475BA6"/>
    <w:rsid w:val="00477D70"/>
    <w:rsid w:val="004831CC"/>
    <w:rsid w:val="00485567"/>
    <w:rsid w:val="004855BE"/>
    <w:rsid w:val="00486860"/>
    <w:rsid w:val="004868C9"/>
    <w:rsid w:val="00487E00"/>
    <w:rsid w:val="00491CC3"/>
    <w:rsid w:val="00491ED9"/>
    <w:rsid w:val="004929D3"/>
    <w:rsid w:val="00493061"/>
    <w:rsid w:val="00495623"/>
    <w:rsid w:val="00495ACE"/>
    <w:rsid w:val="00496F19"/>
    <w:rsid w:val="0049718B"/>
    <w:rsid w:val="004A0966"/>
    <w:rsid w:val="004A0C7A"/>
    <w:rsid w:val="004A2646"/>
    <w:rsid w:val="004A284B"/>
    <w:rsid w:val="004A2961"/>
    <w:rsid w:val="004A2CDE"/>
    <w:rsid w:val="004A3051"/>
    <w:rsid w:val="004A3ABF"/>
    <w:rsid w:val="004A4B8D"/>
    <w:rsid w:val="004A5B46"/>
    <w:rsid w:val="004A6B13"/>
    <w:rsid w:val="004A775F"/>
    <w:rsid w:val="004B0167"/>
    <w:rsid w:val="004B3B55"/>
    <w:rsid w:val="004B4532"/>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D69EC"/>
    <w:rsid w:val="004D6A4B"/>
    <w:rsid w:val="004E1414"/>
    <w:rsid w:val="004E2666"/>
    <w:rsid w:val="004E336F"/>
    <w:rsid w:val="004E3CB0"/>
    <w:rsid w:val="004E5457"/>
    <w:rsid w:val="004E5A83"/>
    <w:rsid w:val="004E6D3D"/>
    <w:rsid w:val="004E7F0A"/>
    <w:rsid w:val="004F0390"/>
    <w:rsid w:val="004F05F2"/>
    <w:rsid w:val="004F106A"/>
    <w:rsid w:val="004F1136"/>
    <w:rsid w:val="004F1426"/>
    <w:rsid w:val="004F3C8A"/>
    <w:rsid w:val="004F47FA"/>
    <w:rsid w:val="004F4CDB"/>
    <w:rsid w:val="004F4FDD"/>
    <w:rsid w:val="004F5467"/>
    <w:rsid w:val="004F5488"/>
    <w:rsid w:val="004F64EF"/>
    <w:rsid w:val="004F6CF4"/>
    <w:rsid w:val="004F6E6E"/>
    <w:rsid w:val="004F74D9"/>
    <w:rsid w:val="0050085E"/>
    <w:rsid w:val="005016D0"/>
    <w:rsid w:val="00501DE1"/>
    <w:rsid w:val="005024CE"/>
    <w:rsid w:val="00502BAA"/>
    <w:rsid w:val="00504949"/>
    <w:rsid w:val="00506171"/>
    <w:rsid w:val="005062F5"/>
    <w:rsid w:val="00510C48"/>
    <w:rsid w:val="005119F4"/>
    <w:rsid w:val="00511DDD"/>
    <w:rsid w:val="00512F2D"/>
    <w:rsid w:val="00513479"/>
    <w:rsid w:val="00515306"/>
    <w:rsid w:val="00515993"/>
    <w:rsid w:val="0051646E"/>
    <w:rsid w:val="00517F46"/>
    <w:rsid w:val="0052007E"/>
    <w:rsid w:val="00520209"/>
    <w:rsid w:val="0052076B"/>
    <w:rsid w:val="00523258"/>
    <w:rsid w:val="00524059"/>
    <w:rsid w:val="00524652"/>
    <w:rsid w:val="005263C9"/>
    <w:rsid w:val="005263EC"/>
    <w:rsid w:val="00526DFC"/>
    <w:rsid w:val="00527444"/>
    <w:rsid w:val="00527EB0"/>
    <w:rsid w:val="005303CA"/>
    <w:rsid w:val="00530CB9"/>
    <w:rsid w:val="00530DF8"/>
    <w:rsid w:val="00531CA7"/>
    <w:rsid w:val="00531DEE"/>
    <w:rsid w:val="005324A6"/>
    <w:rsid w:val="00533F09"/>
    <w:rsid w:val="005346D7"/>
    <w:rsid w:val="00535D3D"/>
    <w:rsid w:val="00536631"/>
    <w:rsid w:val="00536768"/>
    <w:rsid w:val="00536E4C"/>
    <w:rsid w:val="005372F7"/>
    <w:rsid w:val="00537322"/>
    <w:rsid w:val="00540E22"/>
    <w:rsid w:val="00542227"/>
    <w:rsid w:val="005424B5"/>
    <w:rsid w:val="00542CEE"/>
    <w:rsid w:val="00546097"/>
    <w:rsid w:val="00546B65"/>
    <w:rsid w:val="00546FB4"/>
    <w:rsid w:val="00547B83"/>
    <w:rsid w:val="005519F6"/>
    <w:rsid w:val="00552A7B"/>
    <w:rsid w:val="00552BE0"/>
    <w:rsid w:val="005544CE"/>
    <w:rsid w:val="00554865"/>
    <w:rsid w:val="0055616B"/>
    <w:rsid w:val="00556D62"/>
    <w:rsid w:val="00557E8F"/>
    <w:rsid w:val="0056094A"/>
    <w:rsid w:val="005609B4"/>
    <w:rsid w:val="00560A26"/>
    <w:rsid w:val="00561552"/>
    <w:rsid w:val="005636FA"/>
    <w:rsid w:val="0056373A"/>
    <w:rsid w:val="00563DA7"/>
    <w:rsid w:val="00563E86"/>
    <w:rsid w:val="00564A1B"/>
    <w:rsid w:val="00564BF4"/>
    <w:rsid w:val="00565A5E"/>
    <w:rsid w:val="00566F71"/>
    <w:rsid w:val="00571C92"/>
    <w:rsid w:val="00571D24"/>
    <w:rsid w:val="005723B9"/>
    <w:rsid w:val="005726BA"/>
    <w:rsid w:val="0057299B"/>
    <w:rsid w:val="005734C6"/>
    <w:rsid w:val="005737A7"/>
    <w:rsid w:val="00574C83"/>
    <w:rsid w:val="005810DF"/>
    <w:rsid w:val="0058134B"/>
    <w:rsid w:val="00583101"/>
    <w:rsid w:val="005836B3"/>
    <w:rsid w:val="00584D72"/>
    <w:rsid w:val="0058662D"/>
    <w:rsid w:val="005900C3"/>
    <w:rsid w:val="005904FF"/>
    <w:rsid w:val="00590A21"/>
    <w:rsid w:val="0059225C"/>
    <w:rsid w:val="005932EC"/>
    <w:rsid w:val="00596632"/>
    <w:rsid w:val="005966D8"/>
    <w:rsid w:val="0059769C"/>
    <w:rsid w:val="005A0F75"/>
    <w:rsid w:val="005A129A"/>
    <w:rsid w:val="005A35B4"/>
    <w:rsid w:val="005A422E"/>
    <w:rsid w:val="005A4317"/>
    <w:rsid w:val="005A7235"/>
    <w:rsid w:val="005A7833"/>
    <w:rsid w:val="005A7BA6"/>
    <w:rsid w:val="005B499E"/>
    <w:rsid w:val="005B64D0"/>
    <w:rsid w:val="005B6A8D"/>
    <w:rsid w:val="005B718C"/>
    <w:rsid w:val="005B7542"/>
    <w:rsid w:val="005C0BBE"/>
    <w:rsid w:val="005C195D"/>
    <w:rsid w:val="005C1E7F"/>
    <w:rsid w:val="005C2031"/>
    <w:rsid w:val="005C7A46"/>
    <w:rsid w:val="005D0ACB"/>
    <w:rsid w:val="005D140B"/>
    <w:rsid w:val="005D1472"/>
    <w:rsid w:val="005D1C36"/>
    <w:rsid w:val="005D1F2E"/>
    <w:rsid w:val="005D2654"/>
    <w:rsid w:val="005D2E6F"/>
    <w:rsid w:val="005D5624"/>
    <w:rsid w:val="005D5865"/>
    <w:rsid w:val="005D5AC1"/>
    <w:rsid w:val="005D5F1D"/>
    <w:rsid w:val="005D72D0"/>
    <w:rsid w:val="005E03A2"/>
    <w:rsid w:val="005E35C4"/>
    <w:rsid w:val="005E4A7B"/>
    <w:rsid w:val="005E54C3"/>
    <w:rsid w:val="005E588F"/>
    <w:rsid w:val="005E5BEC"/>
    <w:rsid w:val="005E5D2D"/>
    <w:rsid w:val="005E6FAB"/>
    <w:rsid w:val="005F1234"/>
    <w:rsid w:val="005F13AA"/>
    <w:rsid w:val="005F329F"/>
    <w:rsid w:val="005F484B"/>
    <w:rsid w:val="005F55E5"/>
    <w:rsid w:val="00601B3B"/>
    <w:rsid w:val="00602636"/>
    <w:rsid w:val="006036CD"/>
    <w:rsid w:val="00603CAA"/>
    <w:rsid w:val="00603CC1"/>
    <w:rsid w:val="0060451D"/>
    <w:rsid w:val="00604681"/>
    <w:rsid w:val="00604D35"/>
    <w:rsid w:val="0060549C"/>
    <w:rsid w:val="006071E2"/>
    <w:rsid w:val="0060750F"/>
    <w:rsid w:val="006079C2"/>
    <w:rsid w:val="00611420"/>
    <w:rsid w:val="00611426"/>
    <w:rsid w:val="00611C3B"/>
    <w:rsid w:val="00613362"/>
    <w:rsid w:val="006150A3"/>
    <w:rsid w:val="006150F2"/>
    <w:rsid w:val="006161DD"/>
    <w:rsid w:val="0061689C"/>
    <w:rsid w:val="006210DF"/>
    <w:rsid w:val="00621147"/>
    <w:rsid w:val="0062163B"/>
    <w:rsid w:val="00622434"/>
    <w:rsid w:val="00622500"/>
    <w:rsid w:val="00622738"/>
    <w:rsid w:val="00623817"/>
    <w:rsid w:val="00624119"/>
    <w:rsid w:val="00624BE7"/>
    <w:rsid w:val="0062570F"/>
    <w:rsid w:val="006262C0"/>
    <w:rsid w:val="00627768"/>
    <w:rsid w:val="0063321E"/>
    <w:rsid w:val="00634284"/>
    <w:rsid w:val="00635E63"/>
    <w:rsid w:val="006364B9"/>
    <w:rsid w:val="00637244"/>
    <w:rsid w:val="00640646"/>
    <w:rsid w:val="006406C5"/>
    <w:rsid w:val="00640DB6"/>
    <w:rsid w:val="0064135F"/>
    <w:rsid w:val="00641EC8"/>
    <w:rsid w:val="00642467"/>
    <w:rsid w:val="00642D76"/>
    <w:rsid w:val="00643FF8"/>
    <w:rsid w:val="00644EBE"/>
    <w:rsid w:val="00645B0D"/>
    <w:rsid w:val="00651606"/>
    <w:rsid w:val="0065161C"/>
    <w:rsid w:val="00652B35"/>
    <w:rsid w:val="00652EE5"/>
    <w:rsid w:val="0065454C"/>
    <w:rsid w:val="00655B2E"/>
    <w:rsid w:val="00660027"/>
    <w:rsid w:val="006600A3"/>
    <w:rsid w:val="006607E1"/>
    <w:rsid w:val="00660B98"/>
    <w:rsid w:val="006644F4"/>
    <w:rsid w:val="00665EAF"/>
    <w:rsid w:val="00666566"/>
    <w:rsid w:val="00666D5A"/>
    <w:rsid w:val="00670897"/>
    <w:rsid w:val="00672A20"/>
    <w:rsid w:val="006737EC"/>
    <w:rsid w:val="006739CE"/>
    <w:rsid w:val="0068304A"/>
    <w:rsid w:val="00683207"/>
    <w:rsid w:val="0068409C"/>
    <w:rsid w:val="00686D59"/>
    <w:rsid w:val="00687254"/>
    <w:rsid w:val="00687583"/>
    <w:rsid w:val="00691828"/>
    <w:rsid w:val="00691A07"/>
    <w:rsid w:val="00692B88"/>
    <w:rsid w:val="00693D40"/>
    <w:rsid w:val="006971C6"/>
    <w:rsid w:val="00697598"/>
    <w:rsid w:val="006A01ED"/>
    <w:rsid w:val="006A13D6"/>
    <w:rsid w:val="006A173F"/>
    <w:rsid w:val="006A1AC5"/>
    <w:rsid w:val="006A1BDA"/>
    <w:rsid w:val="006A231D"/>
    <w:rsid w:val="006A29EB"/>
    <w:rsid w:val="006A4203"/>
    <w:rsid w:val="006A5E0E"/>
    <w:rsid w:val="006A6EDB"/>
    <w:rsid w:val="006B102F"/>
    <w:rsid w:val="006B15F9"/>
    <w:rsid w:val="006B18D6"/>
    <w:rsid w:val="006B20E9"/>
    <w:rsid w:val="006B2749"/>
    <w:rsid w:val="006B332C"/>
    <w:rsid w:val="006B42B0"/>
    <w:rsid w:val="006B490F"/>
    <w:rsid w:val="006B56E9"/>
    <w:rsid w:val="006B57A3"/>
    <w:rsid w:val="006B58DB"/>
    <w:rsid w:val="006B5F10"/>
    <w:rsid w:val="006B6448"/>
    <w:rsid w:val="006B6B7D"/>
    <w:rsid w:val="006B738C"/>
    <w:rsid w:val="006B770D"/>
    <w:rsid w:val="006C1677"/>
    <w:rsid w:val="006C4CAA"/>
    <w:rsid w:val="006C68A7"/>
    <w:rsid w:val="006C780F"/>
    <w:rsid w:val="006C79DB"/>
    <w:rsid w:val="006D0743"/>
    <w:rsid w:val="006D09D6"/>
    <w:rsid w:val="006D1400"/>
    <w:rsid w:val="006D3C49"/>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952"/>
    <w:rsid w:val="006F1F1D"/>
    <w:rsid w:val="006F3492"/>
    <w:rsid w:val="006F4946"/>
    <w:rsid w:val="00700983"/>
    <w:rsid w:val="007020F8"/>
    <w:rsid w:val="007029CB"/>
    <w:rsid w:val="00702E91"/>
    <w:rsid w:val="00702F36"/>
    <w:rsid w:val="00703FEF"/>
    <w:rsid w:val="00704459"/>
    <w:rsid w:val="007045C4"/>
    <w:rsid w:val="00704CBA"/>
    <w:rsid w:val="00705A9F"/>
    <w:rsid w:val="00706B15"/>
    <w:rsid w:val="00706F41"/>
    <w:rsid w:val="00707948"/>
    <w:rsid w:val="007104FD"/>
    <w:rsid w:val="00710A21"/>
    <w:rsid w:val="007119CD"/>
    <w:rsid w:val="00712749"/>
    <w:rsid w:val="007128E1"/>
    <w:rsid w:val="00713827"/>
    <w:rsid w:val="007139DB"/>
    <w:rsid w:val="00714D14"/>
    <w:rsid w:val="00714E66"/>
    <w:rsid w:val="007167A3"/>
    <w:rsid w:val="00716971"/>
    <w:rsid w:val="00716CE1"/>
    <w:rsid w:val="00716D1D"/>
    <w:rsid w:val="00724442"/>
    <w:rsid w:val="00724815"/>
    <w:rsid w:val="00726EFA"/>
    <w:rsid w:val="00727421"/>
    <w:rsid w:val="007279D9"/>
    <w:rsid w:val="00731710"/>
    <w:rsid w:val="00732759"/>
    <w:rsid w:val="00732A40"/>
    <w:rsid w:val="00735197"/>
    <w:rsid w:val="00735C37"/>
    <w:rsid w:val="007361FA"/>
    <w:rsid w:val="0073767D"/>
    <w:rsid w:val="0074077E"/>
    <w:rsid w:val="00741CD7"/>
    <w:rsid w:val="00742631"/>
    <w:rsid w:val="00742DE0"/>
    <w:rsid w:val="00743A10"/>
    <w:rsid w:val="00743BAD"/>
    <w:rsid w:val="00745A5F"/>
    <w:rsid w:val="00745FC7"/>
    <w:rsid w:val="00746F8F"/>
    <w:rsid w:val="00747244"/>
    <w:rsid w:val="00747678"/>
    <w:rsid w:val="00750796"/>
    <w:rsid w:val="007534F8"/>
    <w:rsid w:val="0075404F"/>
    <w:rsid w:val="007558ED"/>
    <w:rsid w:val="007560F1"/>
    <w:rsid w:val="00756CB1"/>
    <w:rsid w:val="00756EFC"/>
    <w:rsid w:val="0075710F"/>
    <w:rsid w:val="00760D74"/>
    <w:rsid w:val="0076138D"/>
    <w:rsid w:val="00762228"/>
    <w:rsid w:val="00762E39"/>
    <w:rsid w:val="00763E34"/>
    <w:rsid w:val="00764EF9"/>
    <w:rsid w:val="00770A34"/>
    <w:rsid w:val="00770FC4"/>
    <w:rsid w:val="007711BC"/>
    <w:rsid w:val="007713C7"/>
    <w:rsid w:val="00772C87"/>
    <w:rsid w:val="00772D61"/>
    <w:rsid w:val="00775025"/>
    <w:rsid w:val="007756E8"/>
    <w:rsid w:val="00776C0D"/>
    <w:rsid w:val="007772F0"/>
    <w:rsid w:val="0077747C"/>
    <w:rsid w:val="00780787"/>
    <w:rsid w:val="00781818"/>
    <w:rsid w:val="007837C6"/>
    <w:rsid w:val="007838DA"/>
    <w:rsid w:val="0078463B"/>
    <w:rsid w:val="007853D4"/>
    <w:rsid w:val="007860F8"/>
    <w:rsid w:val="00786880"/>
    <w:rsid w:val="00791344"/>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A6DA5"/>
    <w:rsid w:val="007A6FDF"/>
    <w:rsid w:val="007B00E3"/>
    <w:rsid w:val="007B13F6"/>
    <w:rsid w:val="007B14AA"/>
    <w:rsid w:val="007B20E6"/>
    <w:rsid w:val="007B22C1"/>
    <w:rsid w:val="007B2A30"/>
    <w:rsid w:val="007B41DD"/>
    <w:rsid w:val="007B5199"/>
    <w:rsid w:val="007B5AAD"/>
    <w:rsid w:val="007B6AF5"/>
    <w:rsid w:val="007B74AA"/>
    <w:rsid w:val="007B7A3E"/>
    <w:rsid w:val="007C285F"/>
    <w:rsid w:val="007C3A41"/>
    <w:rsid w:val="007C7164"/>
    <w:rsid w:val="007C7191"/>
    <w:rsid w:val="007C7392"/>
    <w:rsid w:val="007D07B8"/>
    <w:rsid w:val="007D1451"/>
    <w:rsid w:val="007D1B8B"/>
    <w:rsid w:val="007D2824"/>
    <w:rsid w:val="007D3BC2"/>
    <w:rsid w:val="007D3C4B"/>
    <w:rsid w:val="007D4381"/>
    <w:rsid w:val="007D47D8"/>
    <w:rsid w:val="007D58A8"/>
    <w:rsid w:val="007D59E5"/>
    <w:rsid w:val="007E0597"/>
    <w:rsid w:val="007E0985"/>
    <w:rsid w:val="007E0C1B"/>
    <w:rsid w:val="007E1BD7"/>
    <w:rsid w:val="007E1CBA"/>
    <w:rsid w:val="007E1DEB"/>
    <w:rsid w:val="007E2E4D"/>
    <w:rsid w:val="007E403E"/>
    <w:rsid w:val="007E4B86"/>
    <w:rsid w:val="007E52E2"/>
    <w:rsid w:val="007E6E0D"/>
    <w:rsid w:val="007E6F17"/>
    <w:rsid w:val="007F1FD4"/>
    <w:rsid w:val="007F246C"/>
    <w:rsid w:val="007F2A90"/>
    <w:rsid w:val="007F5265"/>
    <w:rsid w:val="007F60B7"/>
    <w:rsid w:val="007F7757"/>
    <w:rsid w:val="008014D2"/>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6BA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4768E"/>
    <w:rsid w:val="00850DF4"/>
    <w:rsid w:val="008510C7"/>
    <w:rsid w:val="0085150A"/>
    <w:rsid w:val="0085160F"/>
    <w:rsid w:val="00851EDA"/>
    <w:rsid w:val="0085327B"/>
    <w:rsid w:val="00853B1E"/>
    <w:rsid w:val="00853F56"/>
    <w:rsid w:val="00854AAE"/>
    <w:rsid w:val="00856CDB"/>
    <w:rsid w:val="00856FD8"/>
    <w:rsid w:val="008577BB"/>
    <w:rsid w:val="00860243"/>
    <w:rsid w:val="00861D32"/>
    <w:rsid w:val="00862ACA"/>
    <w:rsid w:val="00863B5C"/>
    <w:rsid w:val="00863E35"/>
    <w:rsid w:val="0086480C"/>
    <w:rsid w:val="0086544D"/>
    <w:rsid w:val="0086680C"/>
    <w:rsid w:val="00866A4F"/>
    <w:rsid w:val="00866F44"/>
    <w:rsid w:val="00870F86"/>
    <w:rsid w:val="00873EFF"/>
    <w:rsid w:val="008749E8"/>
    <w:rsid w:val="00875806"/>
    <w:rsid w:val="00876774"/>
    <w:rsid w:val="00876C6F"/>
    <w:rsid w:val="008803DA"/>
    <w:rsid w:val="00881322"/>
    <w:rsid w:val="00881794"/>
    <w:rsid w:val="00881CAD"/>
    <w:rsid w:val="00883A58"/>
    <w:rsid w:val="00885BC8"/>
    <w:rsid w:val="00885C75"/>
    <w:rsid w:val="008877BB"/>
    <w:rsid w:val="00892495"/>
    <w:rsid w:val="0089326A"/>
    <w:rsid w:val="0089358E"/>
    <w:rsid w:val="00893F67"/>
    <w:rsid w:val="00895E6F"/>
    <w:rsid w:val="008A0297"/>
    <w:rsid w:val="008A034D"/>
    <w:rsid w:val="008A1004"/>
    <w:rsid w:val="008A15C2"/>
    <w:rsid w:val="008A2D01"/>
    <w:rsid w:val="008A2F96"/>
    <w:rsid w:val="008A34CB"/>
    <w:rsid w:val="008A411A"/>
    <w:rsid w:val="008A474D"/>
    <w:rsid w:val="008A6835"/>
    <w:rsid w:val="008A76A3"/>
    <w:rsid w:val="008B0300"/>
    <w:rsid w:val="008B170E"/>
    <w:rsid w:val="008B37A1"/>
    <w:rsid w:val="008B4625"/>
    <w:rsid w:val="008B467F"/>
    <w:rsid w:val="008B57B0"/>
    <w:rsid w:val="008B63D0"/>
    <w:rsid w:val="008C06CB"/>
    <w:rsid w:val="008C0C83"/>
    <w:rsid w:val="008C1D38"/>
    <w:rsid w:val="008C2C49"/>
    <w:rsid w:val="008C582D"/>
    <w:rsid w:val="008C6A5F"/>
    <w:rsid w:val="008C7B5D"/>
    <w:rsid w:val="008C7F35"/>
    <w:rsid w:val="008D2A1E"/>
    <w:rsid w:val="008D2CA0"/>
    <w:rsid w:val="008D3B33"/>
    <w:rsid w:val="008D4703"/>
    <w:rsid w:val="008D659E"/>
    <w:rsid w:val="008D6656"/>
    <w:rsid w:val="008D689C"/>
    <w:rsid w:val="008E2B3A"/>
    <w:rsid w:val="008E3EF5"/>
    <w:rsid w:val="008E4517"/>
    <w:rsid w:val="008E4DC6"/>
    <w:rsid w:val="008E4DFB"/>
    <w:rsid w:val="008E5DFF"/>
    <w:rsid w:val="008E6B14"/>
    <w:rsid w:val="008E6FC3"/>
    <w:rsid w:val="008F0A00"/>
    <w:rsid w:val="008F0EEB"/>
    <w:rsid w:val="008F14CB"/>
    <w:rsid w:val="008F1F04"/>
    <w:rsid w:val="008F20AD"/>
    <w:rsid w:val="008F2C24"/>
    <w:rsid w:val="008F48A5"/>
    <w:rsid w:val="008F4B28"/>
    <w:rsid w:val="008F5FAF"/>
    <w:rsid w:val="008F74C2"/>
    <w:rsid w:val="008F7CEE"/>
    <w:rsid w:val="00900E6F"/>
    <w:rsid w:val="00901C53"/>
    <w:rsid w:val="00902767"/>
    <w:rsid w:val="00902BB7"/>
    <w:rsid w:val="009048BF"/>
    <w:rsid w:val="00905CC7"/>
    <w:rsid w:val="00906218"/>
    <w:rsid w:val="00911E06"/>
    <w:rsid w:val="009124E7"/>
    <w:rsid w:val="00912F15"/>
    <w:rsid w:val="00913304"/>
    <w:rsid w:val="009144D6"/>
    <w:rsid w:val="00916658"/>
    <w:rsid w:val="00916674"/>
    <w:rsid w:val="00916D23"/>
    <w:rsid w:val="0091768B"/>
    <w:rsid w:val="0091792D"/>
    <w:rsid w:val="009209CD"/>
    <w:rsid w:val="00922AA7"/>
    <w:rsid w:val="00922C6F"/>
    <w:rsid w:val="00922D6B"/>
    <w:rsid w:val="00923155"/>
    <w:rsid w:val="009232E8"/>
    <w:rsid w:val="00923BB0"/>
    <w:rsid w:val="00925391"/>
    <w:rsid w:val="009254E0"/>
    <w:rsid w:val="00925BDF"/>
    <w:rsid w:val="00925CEA"/>
    <w:rsid w:val="00927A0F"/>
    <w:rsid w:val="00927A30"/>
    <w:rsid w:val="00927DC6"/>
    <w:rsid w:val="00931E9D"/>
    <w:rsid w:val="009328B3"/>
    <w:rsid w:val="00934988"/>
    <w:rsid w:val="00936A54"/>
    <w:rsid w:val="00937543"/>
    <w:rsid w:val="00937AC9"/>
    <w:rsid w:val="00940B0E"/>
    <w:rsid w:val="00940F81"/>
    <w:rsid w:val="00941552"/>
    <w:rsid w:val="00942B82"/>
    <w:rsid w:val="00943A0E"/>
    <w:rsid w:val="00943C5A"/>
    <w:rsid w:val="0094415E"/>
    <w:rsid w:val="00944273"/>
    <w:rsid w:val="00944C1D"/>
    <w:rsid w:val="00945D12"/>
    <w:rsid w:val="00946A82"/>
    <w:rsid w:val="00950742"/>
    <w:rsid w:val="009510BF"/>
    <w:rsid w:val="0095227C"/>
    <w:rsid w:val="009523A7"/>
    <w:rsid w:val="009523F2"/>
    <w:rsid w:val="00953EFB"/>
    <w:rsid w:val="00953FB7"/>
    <w:rsid w:val="009551C5"/>
    <w:rsid w:val="00956636"/>
    <w:rsid w:val="009611C0"/>
    <w:rsid w:val="00961FE9"/>
    <w:rsid w:val="009620C0"/>
    <w:rsid w:val="009627F1"/>
    <w:rsid w:val="009628DB"/>
    <w:rsid w:val="00962B45"/>
    <w:rsid w:val="00963312"/>
    <w:rsid w:val="0096386A"/>
    <w:rsid w:val="0096508A"/>
    <w:rsid w:val="00965ABF"/>
    <w:rsid w:val="00966DBD"/>
    <w:rsid w:val="00971A41"/>
    <w:rsid w:val="00972236"/>
    <w:rsid w:val="00975BE8"/>
    <w:rsid w:val="00976A58"/>
    <w:rsid w:val="00977AA1"/>
    <w:rsid w:val="00980058"/>
    <w:rsid w:val="0098168B"/>
    <w:rsid w:val="00982445"/>
    <w:rsid w:val="00982777"/>
    <w:rsid w:val="00982C40"/>
    <w:rsid w:val="0098375D"/>
    <w:rsid w:val="00986137"/>
    <w:rsid w:val="00986389"/>
    <w:rsid w:val="009872CD"/>
    <w:rsid w:val="00987A8B"/>
    <w:rsid w:val="00990A46"/>
    <w:rsid w:val="00990AB9"/>
    <w:rsid w:val="009912BB"/>
    <w:rsid w:val="009920E2"/>
    <w:rsid w:val="00992288"/>
    <w:rsid w:val="00993344"/>
    <w:rsid w:val="00994217"/>
    <w:rsid w:val="00994618"/>
    <w:rsid w:val="00995400"/>
    <w:rsid w:val="00996CD5"/>
    <w:rsid w:val="00997E71"/>
    <w:rsid w:val="009A0976"/>
    <w:rsid w:val="009A09EC"/>
    <w:rsid w:val="009A0E02"/>
    <w:rsid w:val="009A12D8"/>
    <w:rsid w:val="009A151F"/>
    <w:rsid w:val="009A175C"/>
    <w:rsid w:val="009A24BC"/>
    <w:rsid w:val="009A442C"/>
    <w:rsid w:val="009A53F9"/>
    <w:rsid w:val="009A56B2"/>
    <w:rsid w:val="009A5C07"/>
    <w:rsid w:val="009A6AF8"/>
    <w:rsid w:val="009A73FC"/>
    <w:rsid w:val="009A7EF0"/>
    <w:rsid w:val="009B2A92"/>
    <w:rsid w:val="009B3C05"/>
    <w:rsid w:val="009B46F6"/>
    <w:rsid w:val="009B5CB4"/>
    <w:rsid w:val="009B5E96"/>
    <w:rsid w:val="009B66C5"/>
    <w:rsid w:val="009B76F3"/>
    <w:rsid w:val="009B7753"/>
    <w:rsid w:val="009C00CD"/>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2D3"/>
    <w:rsid w:val="009E1340"/>
    <w:rsid w:val="009E1EB9"/>
    <w:rsid w:val="009E25DF"/>
    <w:rsid w:val="009E33E8"/>
    <w:rsid w:val="009E3400"/>
    <w:rsid w:val="009E39DB"/>
    <w:rsid w:val="009E3F6A"/>
    <w:rsid w:val="009E40F8"/>
    <w:rsid w:val="009E581B"/>
    <w:rsid w:val="009E5EDB"/>
    <w:rsid w:val="009F0223"/>
    <w:rsid w:val="009F06DE"/>
    <w:rsid w:val="009F1184"/>
    <w:rsid w:val="009F143C"/>
    <w:rsid w:val="009F1D24"/>
    <w:rsid w:val="009F1E00"/>
    <w:rsid w:val="009F3011"/>
    <w:rsid w:val="009F4444"/>
    <w:rsid w:val="009F45ED"/>
    <w:rsid w:val="00A02206"/>
    <w:rsid w:val="00A02A13"/>
    <w:rsid w:val="00A02D1A"/>
    <w:rsid w:val="00A03078"/>
    <w:rsid w:val="00A0627A"/>
    <w:rsid w:val="00A10781"/>
    <w:rsid w:val="00A10C30"/>
    <w:rsid w:val="00A11FB5"/>
    <w:rsid w:val="00A12BD8"/>
    <w:rsid w:val="00A15F64"/>
    <w:rsid w:val="00A17059"/>
    <w:rsid w:val="00A233E0"/>
    <w:rsid w:val="00A24B87"/>
    <w:rsid w:val="00A24F5B"/>
    <w:rsid w:val="00A26353"/>
    <w:rsid w:val="00A26E89"/>
    <w:rsid w:val="00A274B4"/>
    <w:rsid w:val="00A27E5C"/>
    <w:rsid w:val="00A306EB"/>
    <w:rsid w:val="00A31484"/>
    <w:rsid w:val="00A34802"/>
    <w:rsid w:val="00A34D9D"/>
    <w:rsid w:val="00A352DB"/>
    <w:rsid w:val="00A358CC"/>
    <w:rsid w:val="00A35BC3"/>
    <w:rsid w:val="00A35F5B"/>
    <w:rsid w:val="00A361CE"/>
    <w:rsid w:val="00A37D70"/>
    <w:rsid w:val="00A4156D"/>
    <w:rsid w:val="00A41B81"/>
    <w:rsid w:val="00A45770"/>
    <w:rsid w:val="00A45865"/>
    <w:rsid w:val="00A512A2"/>
    <w:rsid w:val="00A5226D"/>
    <w:rsid w:val="00A53BD4"/>
    <w:rsid w:val="00A53C9A"/>
    <w:rsid w:val="00A55764"/>
    <w:rsid w:val="00A55836"/>
    <w:rsid w:val="00A56C84"/>
    <w:rsid w:val="00A60384"/>
    <w:rsid w:val="00A6282F"/>
    <w:rsid w:val="00A62AFA"/>
    <w:rsid w:val="00A64B54"/>
    <w:rsid w:val="00A64D9F"/>
    <w:rsid w:val="00A6596F"/>
    <w:rsid w:val="00A67FC6"/>
    <w:rsid w:val="00A68791"/>
    <w:rsid w:val="00A71397"/>
    <w:rsid w:val="00A71F84"/>
    <w:rsid w:val="00A72623"/>
    <w:rsid w:val="00A768D2"/>
    <w:rsid w:val="00A76A8A"/>
    <w:rsid w:val="00A80A27"/>
    <w:rsid w:val="00A816BC"/>
    <w:rsid w:val="00A82647"/>
    <w:rsid w:val="00A82ADD"/>
    <w:rsid w:val="00A82FF8"/>
    <w:rsid w:val="00A834F6"/>
    <w:rsid w:val="00A842CD"/>
    <w:rsid w:val="00A8542E"/>
    <w:rsid w:val="00A8550A"/>
    <w:rsid w:val="00A8593A"/>
    <w:rsid w:val="00A90714"/>
    <w:rsid w:val="00A9188B"/>
    <w:rsid w:val="00A91EFC"/>
    <w:rsid w:val="00A92B2A"/>
    <w:rsid w:val="00A93CB0"/>
    <w:rsid w:val="00A955EC"/>
    <w:rsid w:val="00A9653D"/>
    <w:rsid w:val="00A9734E"/>
    <w:rsid w:val="00A975AC"/>
    <w:rsid w:val="00A97EE9"/>
    <w:rsid w:val="00AA26C8"/>
    <w:rsid w:val="00AA2AE3"/>
    <w:rsid w:val="00AA359A"/>
    <w:rsid w:val="00AA3857"/>
    <w:rsid w:val="00AA4A5E"/>
    <w:rsid w:val="00AA4F24"/>
    <w:rsid w:val="00AA5549"/>
    <w:rsid w:val="00AA56E0"/>
    <w:rsid w:val="00AA5BD7"/>
    <w:rsid w:val="00AA67A0"/>
    <w:rsid w:val="00AA74E9"/>
    <w:rsid w:val="00AB28CF"/>
    <w:rsid w:val="00AB58D2"/>
    <w:rsid w:val="00AC0F67"/>
    <w:rsid w:val="00AC105E"/>
    <w:rsid w:val="00AC1131"/>
    <w:rsid w:val="00AC1AC4"/>
    <w:rsid w:val="00AC4F8C"/>
    <w:rsid w:val="00AC5472"/>
    <w:rsid w:val="00AD076E"/>
    <w:rsid w:val="00AD15AC"/>
    <w:rsid w:val="00AD1B66"/>
    <w:rsid w:val="00AD1CFF"/>
    <w:rsid w:val="00AD2447"/>
    <w:rsid w:val="00AD3F78"/>
    <w:rsid w:val="00AD4609"/>
    <w:rsid w:val="00AD46F7"/>
    <w:rsid w:val="00AE026A"/>
    <w:rsid w:val="00AE1346"/>
    <w:rsid w:val="00AE1D38"/>
    <w:rsid w:val="00AE2594"/>
    <w:rsid w:val="00AE274D"/>
    <w:rsid w:val="00AE3624"/>
    <w:rsid w:val="00AE3760"/>
    <w:rsid w:val="00AE3F7E"/>
    <w:rsid w:val="00AE4E8A"/>
    <w:rsid w:val="00AE63B1"/>
    <w:rsid w:val="00AE7BE7"/>
    <w:rsid w:val="00AE7FC5"/>
    <w:rsid w:val="00AF2486"/>
    <w:rsid w:val="00AF26F3"/>
    <w:rsid w:val="00AF3D20"/>
    <w:rsid w:val="00AF3E73"/>
    <w:rsid w:val="00AF4218"/>
    <w:rsid w:val="00AF68DA"/>
    <w:rsid w:val="00AF6F5C"/>
    <w:rsid w:val="00B01D9D"/>
    <w:rsid w:val="00B027C5"/>
    <w:rsid w:val="00B02874"/>
    <w:rsid w:val="00B04655"/>
    <w:rsid w:val="00B05212"/>
    <w:rsid w:val="00B06750"/>
    <w:rsid w:val="00B07337"/>
    <w:rsid w:val="00B07C38"/>
    <w:rsid w:val="00B1130F"/>
    <w:rsid w:val="00B11B2A"/>
    <w:rsid w:val="00B13545"/>
    <w:rsid w:val="00B13DEC"/>
    <w:rsid w:val="00B15AEE"/>
    <w:rsid w:val="00B15B9E"/>
    <w:rsid w:val="00B177D3"/>
    <w:rsid w:val="00B20B03"/>
    <w:rsid w:val="00B222EC"/>
    <w:rsid w:val="00B22810"/>
    <w:rsid w:val="00B22F84"/>
    <w:rsid w:val="00B2326A"/>
    <w:rsid w:val="00B23E0D"/>
    <w:rsid w:val="00B24852"/>
    <w:rsid w:val="00B26757"/>
    <w:rsid w:val="00B31C31"/>
    <w:rsid w:val="00B3734A"/>
    <w:rsid w:val="00B37C28"/>
    <w:rsid w:val="00B400AE"/>
    <w:rsid w:val="00B434D7"/>
    <w:rsid w:val="00B4404D"/>
    <w:rsid w:val="00B45BEF"/>
    <w:rsid w:val="00B46CBB"/>
    <w:rsid w:val="00B47058"/>
    <w:rsid w:val="00B5068E"/>
    <w:rsid w:val="00B51024"/>
    <w:rsid w:val="00B518E1"/>
    <w:rsid w:val="00B524A9"/>
    <w:rsid w:val="00B52DF0"/>
    <w:rsid w:val="00B56872"/>
    <w:rsid w:val="00B603E4"/>
    <w:rsid w:val="00B62988"/>
    <w:rsid w:val="00B63B97"/>
    <w:rsid w:val="00B65237"/>
    <w:rsid w:val="00B666CD"/>
    <w:rsid w:val="00B67894"/>
    <w:rsid w:val="00B67E1B"/>
    <w:rsid w:val="00B72371"/>
    <w:rsid w:val="00B737EF"/>
    <w:rsid w:val="00B74D25"/>
    <w:rsid w:val="00B7519D"/>
    <w:rsid w:val="00B76F17"/>
    <w:rsid w:val="00B77C81"/>
    <w:rsid w:val="00B77F6B"/>
    <w:rsid w:val="00B80F76"/>
    <w:rsid w:val="00B81065"/>
    <w:rsid w:val="00B818B8"/>
    <w:rsid w:val="00B81A2E"/>
    <w:rsid w:val="00B83587"/>
    <w:rsid w:val="00B8407F"/>
    <w:rsid w:val="00B8491D"/>
    <w:rsid w:val="00B858E4"/>
    <w:rsid w:val="00B85B34"/>
    <w:rsid w:val="00B8742C"/>
    <w:rsid w:val="00B90437"/>
    <w:rsid w:val="00B92284"/>
    <w:rsid w:val="00B9379D"/>
    <w:rsid w:val="00B938D3"/>
    <w:rsid w:val="00B93F50"/>
    <w:rsid w:val="00B9424F"/>
    <w:rsid w:val="00B9504D"/>
    <w:rsid w:val="00B957FA"/>
    <w:rsid w:val="00B95BD0"/>
    <w:rsid w:val="00B9602F"/>
    <w:rsid w:val="00B97E22"/>
    <w:rsid w:val="00BA1A18"/>
    <w:rsid w:val="00BA45E6"/>
    <w:rsid w:val="00BA496E"/>
    <w:rsid w:val="00BA5507"/>
    <w:rsid w:val="00BA5E6F"/>
    <w:rsid w:val="00BB014C"/>
    <w:rsid w:val="00BB0D04"/>
    <w:rsid w:val="00BB29FA"/>
    <w:rsid w:val="00BB2B15"/>
    <w:rsid w:val="00BB3171"/>
    <w:rsid w:val="00BB3410"/>
    <w:rsid w:val="00BB432F"/>
    <w:rsid w:val="00BB49A7"/>
    <w:rsid w:val="00BB49C0"/>
    <w:rsid w:val="00BB64B5"/>
    <w:rsid w:val="00BB6F4C"/>
    <w:rsid w:val="00BB6FB5"/>
    <w:rsid w:val="00BB750A"/>
    <w:rsid w:val="00BB753F"/>
    <w:rsid w:val="00BB7DA0"/>
    <w:rsid w:val="00BB7FF2"/>
    <w:rsid w:val="00BC0B1A"/>
    <w:rsid w:val="00BC1522"/>
    <w:rsid w:val="00BC1BF0"/>
    <w:rsid w:val="00BC1F12"/>
    <w:rsid w:val="00BC3541"/>
    <w:rsid w:val="00BC3DD2"/>
    <w:rsid w:val="00BC5919"/>
    <w:rsid w:val="00BD05BA"/>
    <w:rsid w:val="00BD12E4"/>
    <w:rsid w:val="00BD6B16"/>
    <w:rsid w:val="00BE12E1"/>
    <w:rsid w:val="00BE1B26"/>
    <w:rsid w:val="00BE1F44"/>
    <w:rsid w:val="00BE3D6F"/>
    <w:rsid w:val="00BE3F0A"/>
    <w:rsid w:val="00BE4548"/>
    <w:rsid w:val="00BE53BF"/>
    <w:rsid w:val="00BE58ED"/>
    <w:rsid w:val="00BE5D7B"/>
    <w:rsid w:val="00BE63D7"/>
    <w:rsid w:val="00BE71FB"/>
    <w:rsid w:val="00BF0CAD"/>
    <w:rsid w:val="00BF2700"/>
    <w:rsid w:val="00BF2A34"/>
    <w:rsid w:val="00BF2DF6"/>
    <w:rsid w:val="00BF44F0"/>
    <w:rsid w:val="00BF5699"/>
    <w:rsid w:val="00BF6721"/>
    <w:rsid w:val="00C02D9A"/>
    <w:rsid w:val="00C033E9"/>
    <w:rsid w:val="00C0389F"/>
    <w:rsid w:val="00C04326"/>
    <w:rsid w:val="00C046AD"/>
    <w:rsid w:val="00C054E3"/>
    <w:rsid w:val="00C066B7"/>
    <w:rsid w:val="00C07AAE"/>
    <w:rsid w:val="00C07D74"/>
    <w:rsid w:val="00C107A5"/>
    <w:rsid w:val="00C11ED5"/>
    <w:rsid w:val="00C13B84"/>
    <w:rsid w:val="00C14149"/>
    <w:rsid w:val="00C14B7B"/>
    <w:rsid w:val="00C14D9D"/>
    <w:rsid w:val="00C1628D"/>
    <w:rsid w:val="00C20372"/>
    <w:rsid w:val="00C215F1"/>
    <w:rsid w:val="00C2356F"/>
    <w:rsid w:val="00C24C6C"/>
    <w:rsid w:val="00C25A7A"/>
    <w:rsid w:val="00C27150"/>
    <w:rsid w:val="00C30469"/>
    <w:rsid w:val="00C30ED0"/>
    <w:rsid w:val="00C313D6"/>
    <w:rsid w:val="00C3183C"/>
    <w:rsid w:val="00C32359"/>
    <w:rsid w:val="00C32D5B"/>
    <w:rsid w:val="00C33E98"/>
    <w:rsid w:val="00C347F1"/>
    <w:rsid w:val="00C34842"/>
    <w:rsid w:val="00C36AEE"/>
    <w:rsid w:val="00C36E61"/>
    <w:rsid w:val="00C375CA"/>
    <w:rsid w:val="00C41264"/>
    <w:rsid w:val="00C42444"/>
    <w:rsid w:val="00C4298A"/>
    <w:rsid w:val="00C42F7B"/>
    <w:rsid w:val="00C441E0"/>
    <w:rsid w:val="00C44A9E"/>
    <w:rsid w:val="00C457F1"/>
    <w:rsid w:val="00C45979"/>
    <w:rsid w:val="00C51D4B"/>
    <w:rsid w:val="00C5260C"/>
    <w:rsid w:val="00C538F7"/>
    <w:rsid w:val="00C541C4"/>
    <w:rsid w:val="00C54E17"/>
    <w:rsid w:val="00C54FDB"/>
    <w:rsid w:val="00C573BC"/>
    <w:rsid w:val="00C60DDA"/>
    <w:rsid w:val="00C61271"/>
    <w:rsid w:val="00C6228D"/>
    <w:rsid w:val="00C63846"/>
    <w:rsid w:val="00C65050"/>
    <w:rsid w:val="00C67D9C"/>
    <w:rsid w:val="00C706D7"/>
    <w:rsid w:val="00C72590"/>
    <w:rsid w:val="00C72CCD"/>
    <w:rsid w:val="00C733F7"/>
    <w:rsid w:val="00C754FD"/>
    <w:rsid w:val="00C75F25"/>
    <w:rsid w:val="00C76FDB"/>
    <w:rsid w:val="00C80081"/>
    <w:rsid w:val="00C80E50"/>
    <w:rsid w:val="00C81982"/>
    <w:rsid w:val="00C81E8A"/>
    <w:rsid w:val="00C83ECD"/>
    <w:rsid w:val="00C8408B"/>
    <w:rsid w:val="00C852ED"/>
    <w:rsid w:val="00C86A20"/>
    <w:rsid w:val="00C86ABE"/>
    <w:rsid w:val="00C8720B"/>
    <w:rsid w:val="00C87C08"/>
    <w:rsid w:val="00C87E71"/>
    <w:rsid w:val="00C91115"/>
    <w:rsid w:val="00C91270"/>
    <w:rsid w:val="00C9141A"/>
    <w:rsid w:val="00C916DE"/>
    <w:rsid w:val="00C93634"/>
    <w:rsid w:val="00C943C6"/>
    <w:rsid w:val="00C94D70"/>
    <w:rsid w:val="00C9517E"/>
    <w:rsid w:val="00C96032"/>
    <w:rsid w:val="00C96BDE"/>
    <w:rsid w:val="00CA0709"/>
    <w:rsid w:val="00CA27B9"/>
    <w:rsid w:val="00CA32FE"/>
    <w:rsid w:val="00CA337A"/>
    <w:rsid w:val="00CA4137"/>
    <w:rsid w:val="00CA5AE4"/>
    <w:rsid w:val="00CA6D14"/>
    <w:rsid w:val="00CA7D74"/>
    <w:rsid w:val="00CB02A1"/>
    <w:rsid w:val="00CB038B"/>
    <w:rsid w:val="00CB16B6"/>
    <w:rsid w:val="00CB1797"/>
    <w:rsid w:val="00CB2B4A"/>
    <w:rsid w:val="00CB4B04"/>
    <w:rsid w:val="00CB6AD7"/>
    <w:rsid w:val="00CB7D2B"/>
    <w:rsid w:val="00CC03C4"/>
    <w:rsid w:val="00CC2643"/>
    <w:rsid w:val="00CC2E3C"/>
    <w:rsid w:val="00CC338D"/>
    <w:rsid w:val="00CC3C26"/>
    <w:rsid w:val="00CC43C3"/>
    <w:rsid w:val="00CC43C5"/>
    <w:rsid w:val="00CC43CD"/>
    <w:rsid w:val="00CC4618"/>
    <w:rsid w:val="00CC4B0A"/>
    <w:rsid w:val="00CD1614"/>
    <w:rsid w:val="00CD1836"/>
    <w:rsid w:val="00CD275E"/>
    <w:rsid w:val="00CD2EF7"/>
    <w:rsid w:val="00CD38AB"/>
    <w:rsid w:val="00CD4100"/>
    <w:rsid w:val="00CD4338"/>
    <w:rsid w:val="00CD4809"/>
    <w:rsid w:val="00CD5A92"/>
    <w:rsid w:val="00CD6DD7"/>
    <w:rsid w:val="00CD7F74"/>
    <w:rsid w:val="00CE0942"/>
    <w:rsid w:val="00CE1338"/>
    <w:rsid w:val="00CE1EF9"/>
    <w:rsid w:val="00CE2CB1"/>
    <w:rsid w:val="00CE3ACF"/>
    <w:rsid w:val="00CE4292"/>
    <w:rsid w:val="00CE4DEB"/>
    <w:rsid w:val="00CE4F47"/>
    <w:rsid w:val="00CE5554"/>
    <w:rsid w:val="00CE5752"/>
    <w:rsid w:val="00CE63B8"/>
    <w:rsid w:val="00CE6DBA"/>
    <w:rsid w:val="00CE6F2D"/>
    <w:rsid w:val="00CF23B4"/>
    <w:rsid w:val="00CF242E"/>
    <w:rsid w:val="00CF37E9"/>
    <w:rsid w:val="00CF413A"/>
    <w:rsid w:val="00CF4631"/>
    <w:rsid w:val="00CF492A"/>
    <w:rsid w:val="00CF5A3C"/>
    <w:rsid w:val="00CF5EFF"/>
    <w:rsid w:val="00D00106"/>
    <w:rsid w:val="00D00D33"/>
    <w:rsid w:val="00D01A8F"/>
    <w:rsid w:val="00D030A6"/>
    <w:rsid w:val="00D04072"/>
    <w:rsid w:val="00D040A1"/>
    <w:rsid w:val="00D043F3"/>
    <w:rsid w:val="00D05FEE"/>
    <w:rsid w:val="00D07DE0"/>
    <w:rsid w:val="00D10B82"/>
    <w:rsid w:val="00D12D20"/>
    <w:rsid w:val="00D14A68"/>
    <w:rsid w:val="00D163B0"/>
    <w:rsid w:val="00D17BB9"/>
    <w:rsid w:val="00D17D2A"/>
    <w:rsid w:val="00D210DB"/>
    <w:rsid w:val="00D2164F"/>
    <w:rsid w:val="00D21CDA"/>
    <w:rsid w:val="00D225E2"/>
    <w:rsid w:val="00D2289B"/>
    <w:rsid w:val="00D234AD"/>
    <w:rsid w:val="00D24AC0"/>
    <w:rsid w:val="00D26124"/>
    <w:rsid w:val="00D30478"/>
    <w:rsid w:val="00D31DCE"/>
    <w:rsid w:val="00D32B36"/>
    <w:rsid w:val="00D33817"/>
    <w:rsid w:val="00D36464"/>
    <w:rsid w:val="00D37D03"/>
    <w:rsid w:val="00D37D3F"/>
    <w:rsid w:val="00D414EB"/>
    <w:rsid w:val="00D4260C"/>
    <w:rsid w:val="00D426EF"/>
    <w:rsid w:val="00D43278"/>
    <w:rsid w:val="00D432B7"/>
    <w:rsid w:val="00D437E5"/>
    <w:rsid w:val="00D44482"/>
    <w:rsid w:val="00D4483E"/>
    <w:rsid w:val="00D4591C"/>
    <w:rsid w:val="00D45C8A"/>
    <w:rsid w:val="00D45E8F"/>
    <w:rsid w:val="00D46250"/>
    <w:rsid w:val="00D47040"/>
    <w:rsid w:val="00D47C16"/>
    <w:rsid w:val="00D47C2B"/>
    <w:rsid w:val="00D47CB3"/>
    <w:rsid w:val="00D50C3C"/>
    <w:rsid w:val="00D51356"/>
    <w:rsid w:val="00D517F0"/>
    <w:rsid w:val="00D5260D"/>
    <w:rsid w:val="00D53B9B"/>
    <w:rsid w:val="00D54334"/>
    <w:rsid w:val="00D543F4"/>
    <w:rsid w:val="00D544EC"/>
    <w:rsid w:val="00D55926"/>
    <w:rsid w:val="00D55EB1"/>
    <w:rsid w:val="00D57716"/>
    <w:rsid w:val="00D61550"/>
    <w:rsid w:val="00D61EDC"/>
    <w:rsid w:val="00D64254"/>
    <w:rsid w:val="00D711ED"/>
    <w:rsid w:val="00D71404"/>
    <w:rsid w:val="00D73509"/>
    <w:rsid w:val="00D73DBE"/>
    <w:rsid w:val="00D73E09"/>
    <w:rsid w:val="00D74290"/>
    <w:rsid w:val="00D7563E"/>
    <w:rsid w:val="00D76DB3"/>
    <w:rsid w:val="00D77C8D"/>
    <w:rsid w:val="00D77C8E"/>
    <w:rsid w:val="00D81063"/>
    <w:rsid w:val="00D85444"/>
    <w:rsid w:val="00D87764"/>
    <w:rsid w:val="00D90653"/>
    <w:rsid w:val="00D92ED6"/>
    <w:rsid w:val="00D9347C"/>
    <w:rsid w:val="00D9599C"/>
    <w:rsid w:val="00D9733E"/>
    <w:rsid w:val="00DA3DEE"/>
    <w:rsid w:val="00DA4019"/>
    <w:rsid w:val="00DA4E0C"/>
    <w:rsid w:val="00DA53F8"/>
    <w:rsid w:val="00DA7843"/>
    <w:rsid w:val="00DA7E80"/>
    <w:rsid w:val="00DB0745"/>
    <w:rsid w:val="00DB0E66"/>
    <w:rsid w:val="00DB13CB"/>
    <w:rsid w:val="00DB3C27"/>
    <w:rsid w:val="00DB523F"/>
    <w:rsid w:val="00DB52E0"/>
    <w:rsid w:val="00DB5406"/>
    <w:rsid w:val="00DB5CF5"/>
    <w:rsid w:val="00DB5E95"/>
    <w:rsid w:val="00DB6062"/>
    <w:rsid w:val="00DB6FB0"/>
    <w:rsid w:val="00DB7121"/>
    <w:rsid w:val="00DB7775"/>
    <w:rsid w:val="00DB799B"/>
    <w:rsid w:val="00DC1889"/>
    <w:rsid w:val="00DC1EEC"/>
    <w:rsid w:val="00DC2D99"/>
    <w:rsid w:val="00DC567C"/>
    <w:rsid w:val="00DC57CD"/>
    <w:rsid w:val="00DC6593"/>
    <w:rsid w:val="00DC6A93"/>
    <w:rsid w:val="00DD08FB"/>
    <w:rsid w:val="00DD2682"/>
    <w:rsid w:val="00DD35B0"/>
    <w:rsid w:val="00DD4E7A"/>
    <w:rsid w:val="00DD551A"/>
    <w:rsid w:val="00DD5B81"/>
    <w:rsid w:val="00DD6533"/>
    <w:rsid w:val="00DD718B"/>
    <w:rsid w:val="00DE15D8"/>
    <w:rsid w:val="00DE26D9"/>
    <w:rsid w:val="00DE3DF8"/>
    <w:rsid w:val="00DE4E0C"/>
    <w:rsid w:val="00DE50FF"/>
    <w:rsid w:val="00DE60DC"/>
    <w:rsid w:val="00DE68CB"/>
    <w:rsid w:val="00DE7D97"/>
    <w:rsid w:val="00DF0955"/>
    <w:rsid w:val="00DF1827"/>
    <w:rsid w:val="00DF2302"/>
    <w:rsid w:val="00DF3AA1"/>
    <w:rsid w:val="00DF3F02"/>
    <w:rsid w:val="00DF4973"/>
    <w:rsid w:val="00DF6030"/>
    <w:rsid w:val="00DF7E5D"/>
    <w:rsid w:val="00E00589"/>
    <w:rsid w:val="00E0220E"/>
    <w:rsid w:val="00E034D9"/>
    <w:rsid w:val="00E03FC8"/>
    <w:rsid w:val="00E04947"/>
    <w:rsid w:val="00E06946"/>
    <w:rsid w:val="00E076DF"/>
    <w:rsid w:val="00E10927"/>
    <w:rsid w:val="00E10CE9"/>
    <w:rsid w:val="00E128B1"/>
    <w:rsid w:val="00E14467"/>
    <w:rsid w:val="00E14BF3"/>
    <w:rsid w:val="00E152D9"/>
    <w:rsid w:val="00E16410"/>
    <w:rsid w:val="00E17BBA"/>
    <w:rsid w:val="00E205A3"/>
    <w:rsid w:val="00E21AAF"/>
    <w:rsid w:val="00E22C29"/>
    <w:rsid w:val="00E22C94"/>
    <w:rsid w:val="00E2389F"/>
    <w:rsid w:val="00E25157"/>
    <w:rsid w:val="00E27F78"/>
    <w:rsid w:val="00E30F8E"/>
    <w:rsid w:val="00E3122D"/>
    <w:rsid w:val="00E33FC1"/>
    <w:rsid w:val="00E34EC8"/>
    <w:rsid w:val="00E3518D"/>
    <w:rsid w:val="00E35606"/>
    <w:rsid w:val="00E35BF8"/>
    <w:rsid w:val="00E37A2B"/>
    <w:rsid w:val="00E40D81"/>
    <w:rsid w:val="00E411D3"/>
    <w:rsid w:val="00E42084"/>
    <w:rsid w:val="00E42EA6"/>
    <w:rsid w:val="00E439D8"/>
    <w:rsid w:val="00E45FFE"/>
    <w:rsid w:val="00E463E4"/>
    <w:rsid w:val="00E46443"/>
    <w:rsid w:val="00E47562"/>
    <w:rsid w:val="00E50CD6"/>
    <w:rsid w:val="00E5311D"/>
    <w:rsid w:val="00E54B97"/>
    <w:rsid w:val="00E55F68"/>
    <w:rsid w:val="00E604E8"/>
    <w:rsid w:val="00E62748"/>
    <w:rsid w:val="00E63258"/>
    <w:rsid w:val="00E63B7C"/>
    <w:rsid w:val="00E64357"/>
    <w:rsid w:val="00E64468"/>
    <w:rsid w:val="00E64935"/>
    <w:rsid w:val="00E64F9E"/>
    <w:rsid w:val="00E663AF"/>
    <w:rsid w:val="00E66F43"/>
    <w:rsid w:val="00E6714A"/>
    <w:rsid w:val="00E671A5"/>
    <w:rsid w:val="00E67AA0"/>
    <w:rsid w:val="00E7001C"/>
    <w:rsid w:val="00E70167"/>
    <w:rsid w:val="00E705EC"/>
    <w:rsid w:val="00E71E8B"/>
    <w:rsid w:val="00E7297E"/>
    <w:rsid w:val="00E72DB0"/>
    <w:rsid w:val="00E73765"/>
    <w:rsid w:val="00E73E81"/>
    <w:rsid w:val="00E74511"/>
    <w:rsid w:val="00E75438"/>
    <w:rsid w:val="00E75DBD"/>
    <w:rsid w:val="00E777B0"/>
    <w:rsid w:val="00E77E40"/>
    <w:rsid w:val="00E815E1"/>
    <w:rsid w:val="00E833F8"/>
    <w:rsid w:val="00E83D5C"/>
    <w:rsid w:val="00E85229"/>
    <w:rsid w:val="00E85622"/>
    <w:rsid w:val="00E87A89"/>
    <w:rsid w:val="00E87F99"/>
    <w:rsid w:val="00E87FCD"/>
    <w:rsid w:val="00E90426"/>
    <w:rsid w:val="00E91C6A"/>
    <w:rsid w:val="00E91CD3"/>
    <w:rsid w:val="00E9264C"/>
    <w:rsid w:val="00E92F42"/>
    <w:rsid w:val="00E94E34"/>
    <w:rsid w:val="00E957A4"/>
    <w:rsid w:val="00E9695E"/>
    <w:rsid w:val="00E97093"/>
    <w:rsid w:val="00E9720C"/>
    <w:rsid w:val="00EA0CF2"/>
    <w:rsid w:val="00EA0D20"/>
    <w:rsid w:val="00EA3AE4"/>
    <w:rsid w:val="00EA4A33"/>
    <w:rsid w:val="00EA58E6"/>
    <w:rsid w:val="00EA5D83"/>
    <w:rsid w:val="00EA6184"/>
    <w:rsid w:val="00EA6BDC"/>
    <w:rsid w:val="00EB0AFA"/>
    <w:rsid w:val="00EB0C83"/>
    <w:rsid w:val="00EB1912"/>
    <w:rsid w:val="00EB1C08"/>
    <w:rsid w:val="00EB2A3A"/>
    <w:rsid w:val="00EB34A6"/>
    <w:rsid w:val="00EB4C2F"/>
    <w:rsid w:val="00EC04E3"/>
    <w:rsid w:val="00EC0D68"/>
    <w:rsid w:val="00EC1141"/>
    <w:rsid w:val="00EC11F9"/>
    <w:rsid w:val="00EC122D"/>
    <w:rsid w:val="00EC171A"/>
    <w:rsid w:val="00EC1979"/>
    <w:rsid w:val="00EC230D"/>
    <w:rsid w:val="00EC29C0"/>
    <w:rsid w:val="00EC6B27"/>
    <w:rsid w:val="00EC700B"/>
    <w:rsid w:val="00EC7AEE"/>
    <w:rsid w:val="00ED0082"/>
    <w:rsid w:val="00ED1195"/>
    <w:rsid w:val="00ED1489"/>
    <w:rsid w:val="00ED1842"/>
    <w:rsid w:val="00ED1C59"/>
    <w:rsid w:val="00ED26F6"/>
    <w:rsid w:val="00ED2C2E"/>
    <w:rsid w:val="00ED31BD"/>
    <w:rsid w:val="00ED3C90"/>
    <w:rsid w:val="00ED4385"/>
    <w:rsid w:val="00ED44A3"/>
    <w:rsid w:val="00ED4671"/>
    <w:rsid w:val="00ED4E89"/>
    <w:rsid w:val="00ED57A4"/>
    <w:rsid w:val="00ED6496"/>
    <w:rsid w:val="00ED7882"/>
    <w:rsid w:val="00EE038B"/>
    <w:rsid w:val="00EE2072"/>
    <w:rsid w:val="00EE23F2"/>
    <w:rsid w:val="00EE2403"/>
    <w:rsid w:val="00EE2B2F"/>
    <w:rsid w:val="00EE5AC9"/>
    <w:rsid w:val="00EE6155"/>
    <w:rsid w:val="00EE68B7"/>
    <w:rsid w:val="00EE6F26"/>
    <w:rsid w:val="00EE7609"/>
    <w:rsid w:val="00EE782C"/>
    <w:rsid w:val="00EF07F1"/>
    <w:rsid w:val="00EF2E9D"/>
    <w:rsid w:val="00EF393F"/>
    <w:rsid w:val="00EF3B34"/>
    <w:rsid w:val="00EF3E9D"/>
    <w:rsid w:val="00EF71E8"/>
    <w:rsid w:val="00EF7A31"/>
    <w:rsid w:val="00EF7B2E"/>
    <w:rsid w:val="00F0015C"/>
    <w:rsid w:val="00F02003"/>
    <w:rsid w:val="00F04158"/>
    <w:rsid w:val="00F0534C"/>
    <w:rsid w:val="00F0705E"/>
    <w:rsid w:val="00F071BE"/>
    <w:rsid w:val="00F10CF0"/>
    <w:rsid w:val="00F127B1"/>
    <w:rsid w:val="00F12ACC"/>
    <w:rsid w:val="00F13918"/>
    <w:rsid w:val="00F1401B"/>
    <w:rsid w:val="00F15CFE"/>
    <w:rsid w:val="00F1677D"/>
    <w:rsid w:val="00F16795"/>
    <w:rsid w:val="00F171C6"/>
    <w:rsid w:val="00F1773A"/>
    <w:rsid w:val="00F17E88"/>
    <w:rsid w:val="00F17F8C"/>
    <w:rsid w:val="00F2217C"/>
    <w:rsid w:val="00F229AC"/>
    <w:rsid w:val="00F252CD"/>
    <w:rsid w:val="00F2554C"/>
    <w:rsid w:val="00F26490"/>
    <w:rsid w:val="00F26EAC"/>
    <w:rsid w:val="00F27BD2"/>
    <w:rsid w:val="00F3030A"/>
    <w:rsid w:val="00F31DEE"/>
    <w:rsid w:val="00F32BF6"/>
    <w:rsid w:val="00F33388"/>
    <w:rsid w:val="00F33E4D"/>
    <w:rsid w:val="00F34178"/>
    <w:rsid w:val="00F341EA"/>
    <w:rsid w:val="00F34968"/>
    <w:rsid w:val="00F34BCA"/>
    <w:rsid w:val="00F36723"/>
    <w:rsid w:val="00F37D13"/>
    <w:rsid w:val="00F405E9"/>
    <w:rsid w:val="00F40636"/>
    <w:rsid w:val="00F41AAA"/>
    <w:rsid w:val="00F43533"/>
    <w:rsid w:val="00F440BC"/>
    <w:rsid w:val="00F462DB"/>
    <w:rsid w:val="00F47EAC"/>
    <w:rsid w:val="00F5019F"/>
    <w:rsid w:val="00F50921"/>
    <w:rsid w:val="00F50C29"/>
    <w:rsid w:val="00F51F05"/>
    <w:rsid w:val="00F52732"/>
    <w:rsid w:val="00F5502E"/>
    <w:rsid w:val="00F56114"/>
    <w:rsid w:val="00F573CC"/>
    <w:rsid w:val="00F57EAD"/>
    <w:rsid w:val="00F601B4"/>
    <w:rsid w:val="00F62C65"/>
    <w:rsid w:val="00F63290"/>
    <w:rsid w:val="00F63F56"/>
    <w:rsid w:val="00F652A6"/>
    <w:rsid w:val="00F66728"/>
    <w:rsid w:val="00F67336"/>
    <w:rsid w:val="00F67649"/>
    <w:rsid w:val="00F67C9A"/>
    <w:rsid w:val="00F7072E"/>
    <w:rsid w:val="00F71C27"/>
    <w:rsid w:val="00F7283C"/>
    <w:rsid w:val="00F728B2"/>
    <w:rsid w:val="00F73255"/>
    <w:rsid w:val="00F741CB"/>
    <w:rsid w:val="00F74FF8"/>
    <w:rsid w:val="00F7776D"/>
    <w:rsid w:val="00F80C7E"/>
    <w:rsid w:val="00F81BCF"/>
    <w:rsid w:val="00F823FF"/>
    <w:rsid w:val="00F84AF9"/>
    <w:rsid w:val="00F85BB1"/>
    <w:rsid w:val="00F8697C"/>
    <w:rsid w:val="00F904F9"/>
    <w:rsid w:val="00F90ACE"/>
    <w:rsid w:val="00F91380"/>
    <w:rsid w:val="00F9157A"/>
    <w:rsid w:val="00F916E8"/>
    <w:rsid w:val="00F91707"/>
    <w:rsid w:val="00F919C9"/>
    <w:rsid w:val="00F91EF0"/>
    <w:rsid w:val="00F92596"/>
    <w:rsid w:val="00F95346"/>
    <w:rsid w:val="00F95973"/>
    <w:rsid w:val="00FA0F0D"/>
    <w:rsid w:val="00FA243A"/>
    <w:rsid w:val="00FA27F1"/>
    <w:rsid w:val="00FA4C93"/>
    <w:rsid w:val="00FA5296"/>
    <w:rsid w:val="00FA5378"/>
    <w:rsid w:val="00FA5FC1"/>
    <w:rsid w:val="00FA731B"/>
    <w:rsid w:val="00FA7931"/>
    <w:rsid w:val="00FB012C"/>
    <w:rsid w:val="00FB2200"/>
    <w:rsid w:val="00FB37E2"/>
    <w:rsid w:val="00FB38ED"/>
    <w:rsid w:val="00FB6E02"/>
    <w:rsid w:val="00FB72D9"/>
    <w:rsid w:val="00FB7E9F"/>
    <w:rsid w:val="00FC02BD"/>
    <w:rsid w:val="00FC0F42"/>
    <w:rsid w:val="00FC2365"/>
    <w:rsid w:val="00FC4CC6"/>
    <w:rsid w:val="00FC4D34"/>
    <w:rsid w:val="00FC4FBB"/>
    <w:rsid w:val="00FC53C7"/>
    <w:rsid w:val="00FC588B"/>
    <w:rsid w:val="00FC601F"/>
    <w:rsid w:val="00FC6545"/>
    <w:rsid w:val="00FC6C43"/>
    <w:rsid w:val="00FC7E37"/>
    <w:rsid w:val="00FD0324"/>
    <w:rsid w:val="00FD071A"/>
    <w:rsid w:val="00FD0AF0"/>
    <w:rsid w:val="00FD0CF7"/>
    <w:rsid w:val="00FD2FDF"/>
    <w:rsid w:val="00FD3EF8"/>
    <w:rsid w:val="00FD54EB"/>
    <w:rsid w:val="00FD5A71"/>
    <w:rsid w:val="00FD6D7D"/>
    <w:rsid w:val="00FD7196"/>
    <w:rsid w:val="00FE0BEA"/>
    <w:rsid w:val="00FE0D6A"/>
    <w:rsid w:val="00FE1C12"/>
    <w:rsid w:val="00FE2C1F"/>
    <w:rsid w:val="00FE4665"/>
    <w:rsid w:val="00FE539F"/>
    <w:rsid w:val="00FE65A8"/>
    <w:rsid w:val="00FF017D"/>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15AE1"/>
    <w:rsid w:val="198CBA07"/>
    <w:rsid w:val="19D0DF69"/>
    <w:rsid w:val="1A4C914E"/>
    <w:rsid w:val="1A889B5B"/>
    <w:rsid w:val="1A9C409B"/>
    <w:rsid w:val="1AC73956"/>
    <w:rsid w:val="1ACFC339"/>
    <w:rsid w:val="1BB220F3"/>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1FE3DA"/>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231FE2"/>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36668D"/>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FEDFBB"/>
  <w15:docId w15:val="{2E628BB5-4F23-4EB6-9DDF-EE84D708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rsid w:val="00D44482"/>
    <w:pPr>
      <w:ind w:left="720"/>
      <w:contextualSpacing/>
      <w:outlineLvl w:val="0"/>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ListBullet">
    <w:name w:val="List Bullet"/>
    <w:rsid w:val="00D9733E"/>
    <w:pPr>
      <w:numPr>
        <w:numId w:val="28"/>
      </w:numPr>
      <w:spacing w:after="120" w:line="240" w:lineRule="auto"/>
    </w:pPr>
    <w:rPr>
      <w:rFonts w:eastAsia="Times New Roman" w:cstheme="minorHAnsi"/>
      <w:sz w:val="24"/>
      <w:szCs w:val="20"/>
    </w:rPr>
  </w:style>
  <w:style w:type="paragraph" w:customStyle="1" w:styleId="ListBulletLast">
    <w:name w:val="List Bullet_Last"/>
    <w:basedOn w:val="ListBullet"/>
    <w:qFormat/>
    <w:rsid w:val="00D9733E"/>
    <w:pPr>
      <w:spacing w:after="240"/>
    </w:pPr>
  </w:style>
  <w:style w:type="paragraph" w:styleId="BodyText">
    <w:name w:val="Body Text"/>
    <w:link w:val="BodyTextChar"/>
    <w:rsid w:val="00D9733E"/>
    <w:pPr>
      <w:tabs>
        <w:tab w:val="left" w:pos="720"/>
      </w:tabs>
      <w:spacing w:after="240" w:line="240" w:lineRule="auto"/>
    </w:pPr>
    <w:rPr>
      <w:rFonts w:ascii="Calibri" w:eastAsia="Times New Roman" w:hAnsi="Calibri" w:cs="Times New Roman"/>
      <w:sz w:val="24"/>
      <w:szCs w:val="20"/>
    </w:rPr>
  </w:style>
  <w:style w:type="character" w:customStyle="1" w:styleId="BodyTextChar">
    <w:name w:val="Body Text Char"/>
    <w:basedOn w:val="DefaultParagraphFont"/>
    <w:link w:val="BodyText"/>
    <w:rsid w:val="00D9733E"/>
    <w:rPr>
      <w:rFonts w:ascii="Calibri" w:eastAsia="Times New Roman" w:hAnsi="Calibri" w:cs="Times New Roman"/>
      <w:sz w:val="24"/>
      <w:szCs w:val="20"/>
    </w:rPr>
  </w:style>
  <w:style w:type="paragraph" w:customStyle="1" w:styleId="TableListBullet">
    <w:name w:val="Table_List Bullet"/>
    <w:qFormat/>
    <w:rsid w:val="00D9733E"/>
    <w:pPr>
      <w:numPr>
        <w:numId w:val="29"/>
      </w:numPr>
      <w:spacing w:after="40" w:line="240" w:lineRule="auto"/>
      <w:ind w:left="303" w:hanging="274"/>
    </w:pPr>
    <w:rPr>
      <w:rFonts w:eastAsia="Calibri" w:cstheme="minorHAnsi"/>
    </w:rPr>
  </w:style>
  <w:style w:type="paragraph" w:customStyle="1" w:styleId="TableTitle">
    <w:name w:val="Table Title"/>
    <w:qFormat/>
    <w:rsid w:val="00D9733E"/>
    <w:pPr>
      <w:keepNext/>
      <w:spacing w:before="120" w:after="120" w:line="240" w:lineRule="auto"/>
      <w:jc w:val="center"/>
    </w:pPr>
    <w:rPr>
      <w:rFonts w:ascii="Calibri" w:eastAsia="Times New Roman" w:hAnsi="Calibri" w:cs="Times New Roman"/>
      <w:b/>
      <w:szCs w:val="24"/>
    </w:rPr>
  </w:style>
  <w:style w:type="character" w:styleId="Mention">
    <w:name w:val="Mention"/>
    <w:basedOn w:val="DefaultParagraphFont"/>
    <w:uiPriority w:val="99"/>
    <w:unhideWhenUsed/>
    <w:rsid w:val="00FC4D34"/>
    <w:rPr>
      <w:color w:val="2B579A"/>
      <w:shd w:val="clear" w:color="auto" w:fill="E1DFDD"/>
    </w:rPr>
  </w:style>
  <w:style w:type="paragraph" w:customStyle="1" w:styleId="Heading2NoNumber">
    <w:name w:val="Heading 2_No Number"/>
    <w:qFormat/>
    <w:rsid w:val="00FC4D34"/>
    <w:pPr>
      <w:keepNext/>
      <w:spacing w:after="120" w:line="240" w:lineRule="auto"/>
    </w:pPr>
    <w:rPr>
      <w:rFonts w:ascii="Calibri" w:eastAsia="Times New Roman" w:hAnsi="Calibri" w:cs="Times New Roman"/>
      <w:b/>
      <w:sz w:val="24"/>
      <w:szCs w:val="20"/>
      <w:u w:val="single"/>
    </w:rPr>
  </w:style>
  <w:style w:type="character" w:customStyle="1" w:styleId="cf01">
    <w:name w:val="cf01"/>
    <w:basedOn w:val="DefaultParagraphFont"/>
    <w:rsid w:val="00A92B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4/04/24/2024-07972/agency-information-collection-activities-proposed-information-collection-request-comment-request"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STATUTE-90/pdf/STATUTE-90-Pg2795.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WISE\OneDrive%20-%20Environmental%20Protection%20Agency%20(EPA)\Drums%20Team%20SP\ICR\2nd%20FRN%20copies\ICR%20Supporting%20Statement%20A%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2024-08-13T20:40:26+00:00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db5b5a2c-8b7d-4166-a0e8-7c2004df0175">
      <UserInfo>
        <DisplayName/>
        <AccountId xsi:nil="true"/>
        <AccountType/>
      </UserInfo>
    </SharedWithUsers>
    <e3f09c3df709400db2417a7161762d62 xmlns="b2653501-ac67-48fc-8306-1dc26326c664">
      <Terms xmlns="http://schemas.microsoft.com/office/infopath/2007/PartnerControls"/>
    </e3f09c3df709400db2417a7161762d62>
    <lcf76f155ced4ddcb4097134ff3c332f xmlns="b8244a21-80b8-46d8-b154-dab7a9f01ddc">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29f62856-1543-49d4-a736-4569d363f533" ContentTypeId="0x0101" PreviousValue="false" LastSyncTimeStamp="2016-08-25T00:16:07.24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96EDA6CD6573647A1C71A9118DC330E" ma:contentTypeVersion="15" ma:contentTypeDescription="Create a new document." ma:contentTypeScope="" ma:versionID="c87a0a61a99df3fd6b69acc71e14095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2653501-ac67-48fc-8306-1dc26326c664" xmlns:ns6="b8244a21-80b8-46d8-b154-dab7a9f01ddc" xmlns:ns7="db5b5a2c-8b7d-4166-a0e8-7c2004df0175" targetNamespace="http://schemas.microsoft.com/office/2006/metadata/properties" ma:root="true" ma:fieldsID="552268647ff095e0afb7ef53faff7fe7" ns1:_="" ns2:_="" ns3:_="" ns4:_="" ns5:_="" ns6:_="" ns7:_="">
    <xsd:import namespace="http://schemas.microsoft.com/sharepoint/v3"/>
    <xsd:import namespace="4ffa91fb-a0ff-4ac5-b2db-65c790d184a4"/>
    <xsd:import namespace="http://schemas.microsoft.com/sharepoint.v3"/>
    <xsd:import namespace="http://schemas.microsoft.com/sharepoint/v3/fields"/>
    <xsd:import namespace="b2653501-ac67-48fc-8306-1dc26326c664"/>
    <xsd:import namespace="b8244a21-80b8-46d8-b154-dab7a9f01ddc"/>
    <xsd:import namespace="db5b5a2c-8b7d-4166-a0e8-7c2004df017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7:SharedWithUsers" minOccurs="0"/>
                <xsd:element ref="ns7:SharedWithDetails" minOccurs="0"/>
                <xsd:element ref="ns6:lcf76f155ced4ddcb4097134ff3c332f" minOccurs="0"/>
                <xsd:element ref="ns6:MediaServiceGenerationTime" minOccurs="0"/>
                <xsd:element ref="ns6:MediaServiceEventHashCode" minOccurs="0"/>
                <xsd:element ref="ns6:MediaServiceOCR"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will be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c0fba5b9-dd49-4073-a7da-25b05df9ea4d}" ma:internalName="TaxCatchAllLabel" ma:readOnly="true" ma:showField="CatchAllDataLabel" ma:web="b2653501-ac67-48fc-8306-1dc26326c66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c0fba5b9-dd49-4073-a7da-25b05df9ea4d}" ma:internalName="TaxCatchAll" ma:showField="CatchAllData" ma:web="b2653501-ac67-48fc-8306-1dc26326c6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653501-ac67-48fc-8306-1dc26326c664"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244a21-80b8-46d8-b154-dab7a9f01ddc"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b5a2c-8b7d-4166-a0e8-7c2004df017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33098-BF7F-4D78-8529-0AFBF5D8899C}">
  <ds:schemaRefs>
    <ds:schemaRef ds:uri="http://schemas.microsoft.com/office/infopath/2007/PartnerControls"/>
    <ds:schemaRef ds:uri="http://schemas.microsoft.com/sharepoint.v3"/>
    <ds:schemaRef ds:uri="http://schemas.microsoft.com/sharepoint/v3"/>
    <ds:schemaRef ds:uri="http://purl.org/dc/dcmitype/"/>
    <ds:schemaRef ds:uri="http://purl.org/dc/terms/"/>
    <ds:schemaRef ds:uri="http://schemas.openxmlformats.org/package/2006/metadata/core-properties"/>
    <ds:schemaRef ds:uri="db5b5a2c-8b7d-4166-a0e8-7c2004df0175"/>
    <ds:schemaRef ds:uri="http://purl.org/dc/elements/1.1/"/>
    <ds:schemaRef ds:uri="http://www.w3.org/XML/1998/namespace"/>
    <ds:schemaRef ds:uri="http://schemas.microsoft.com/office/2006/metadata/properties"/>
    <ds:schemaRef ds:uri="http://schemas.microsoft.com/office/2006/documentManagement/types"/>
    <ds:schemaRef ds:uri="http://schemas.microsoft.com/sharepoint/v3/fields"/>
    <ds:schemaRef ds:uri="b8244a21-80b8-46d8-b154-dab7a9f01ddc"/>
    <ds:schemaRef ds:uri="b2653501-ac67-48fc-8306-1dc26326c664"/>
    <ds:schemaRef ds:uri="4ffa91fb-a0ff-4ac5-b2db-65c790d184a4"/>
  </ds:schemaRefs>
</ds:datastoreItem>
</file>

<file path=customXml/itemProps2.xml><?xml version="1.0" encoding="utf-8"?>
<ds:datastoreItem xmlns:ds="http://schemas.openxmlformats.org/officeDocument/2006/customXml" ds:itemID="{4439C229-05B9-4F42-8554-CE942C26AB7E}">
  <ds:schemaRefs>
    <ds:schemaRef ds:uri="Microsoft.SharePoint.Taxonomy.ContentTypeSync"/>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0084E0A7-E973-4DF8-AB35-8F755E7F4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2653501-ac67-48fc-8306-1dc26326c664"/>
    <ds:schemaRef ds:uri="b8244a21-80b8-46d8-b154-dab7a9f01ddc"/>
    <ds:schemaRef ds:uri="db5b5a2c-8b7d-4166-a0e8-7c2004df0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ICR Supporting Statement A Template.dotx</Template>
  <TotalTime>11</TotalTime>
  <Pages>18</Pages>
  <Words>7875</Words>
  <Characters>46782</Characters>
  <Application>Microsoft Office Word</Application>
  <DocSecurity>0</DocSecurity>
  <Lines>389</Lines>
  <Paragraphs>109</Paragraphs>
  <ScaleCrop>false</ScaleCrop>
  <Company/>
  <LinksUpToDate>false</LinksUpToDate>
  <CharactersWithSpaces>54548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William Barr</dc:creator>
  <cp:lastModifiedBy>Kerwin, Courtney</cp:lastModifiedBy>
  <cp:revision>17</cp:revision>
  <dcterms:created xsi:type="dcterms:W3CDTF">2024-09-26T18:06:00Z</dcterms:created>
  <dcterms:modified xsi:type="dcterms:W3CDTF">2024-11-16T02:43:00Z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0x010100A96EDA6CD6573647A1C71A9118DC330E</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ExtendedDescription">
    <vt:lpwstr/>
  </property>
</Properties>
</file>