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5B103508">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5D0593" w:rsidR="00B02557">
        <w:t>Revisions and Confidentiality Determinations for Data Elements for the Greenhouse Gas Reporting Rule; Notice of Final Rule (</w:t>
      </w:r>
      <w:r w:rsidR="00982BC5">
        <w:t>March 2024</w:t>
      </w:r>
      <w:r w:rsidRPr="005D0593" w:rsidR="00B02557">
        <w:t>)</w:t>
      </w:r>
    </w:p>
    <w:p w:rsidR="00EE2403" w:rsidRPr="00BB3410" w:rsidP="00BB432F" w14:paraId="71D5121E" w14:textId="297189E9">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B02557">
        <w:rPr>
          <w:rFonts w:cstheme="minorHAnsi"/>
        </w:rPr>
        <w:t>2060-0748</w:t>
      </w:r>
    </w:p>
    <w:p w:rsidR="00EE2403" w:rsidRPr="00BB3410" w:rsidP="00ED57A4" w14:paraId="4FB77BCA" w14:textId="0E0142D6">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B02557">
        <w:rPr>
          <w:rFonts w:cstheme="minorHAnsi"/>
        </w:rPr>
        <w:t>2773.02</w:t>
      </w:r>
    </w:p>
    <w:p w:rsidR="00EE08E4" w:rsidRPr="005D0593" w:rsidP="006F45FA" w14:paraId="0E970E81" w14:textId="77777777">
      <w:r w:rsidRPr="4BDBF0A0">
        <w:rPr>
          <w:b/>
          <w:bCs/>
        </w:rPr>
        <w:t>Abstract:</w:t>
      </w:r>
      <w:r w:rsidRPr="4BDBF0A0" w:rsidR="00BB432F">
        <w:t xml:space="preserve"> </w:t>
      </w:r>
      <w:r w:rsidRPr="005D0593">
        <w:t xml:space="preserve">In response to the FY2008 Consolidated Appropriations Act (H.R. 2764; Public Law 110-161) and under authority of the Clean Air Act (CAA), the EPA finalized a greenhouse gas reporting rule in October of 2009 (henceforth referred to as the Greenhouse Gas Reporting Program or GHGRP) (74 FR 56260; October 30, 2009). The rule, which became effective on December 29, 2009, requires reporting of greenhouse gases (GHGs) from certain large facilities and suppliers. </w:t>
      </w:r>
    </w:p>
    <w:p w:rsidR="00EE08E4" w:rsidRPr="005D0593" w:rsidP="00EE08E4" w14:paraId="23C596CE" w14:textId="77777777">
      <w:pPr>
        <w:ind w:firstLine="720"/>
      </w:pPr>
      <w:r w:rsidRPr="005D0593">
        <w:t>The GHGRP requires that sources emitting GHGs, supplying certain products that contain GHGs, or injecting carbon dioxide (CO</w:t>
      </w:r>
      <w:r w:rsidRPr="005D0593">
        <w:rPr>
          <w:vertAlign w:val="subscript"/>
        </w:rPr>
        <w:t>2</w:t>
      </w:r>
      <w:r w:rsidRPr="005D0593">
        <w:t>) underground in quantities above certain threshold levels of CO</w:t>
      </w:r>
      <w:r w:rsidRPr="005D0593">
        <w:rPr>
          <w:vertAlign w:val="subscript"/>
        </w:rPr>
        <w:t>2</w:t>
      </w:r>
      <w:r w:rsidRPr="005D0593">
        <w:t xml:space="preserve"> equivalent (CO</w:t>
      </w:r>
      <w:r w:rsidRPr="005D0593">
        <w:rPr>
          <w:vertAlign w:val="subscript"/>
        </w:rPr>
        <w:t>2</w:t>
      </w:r>
      <w:r w:rsidRPr="005D0593">
        <w:t xml:space="preserve">e) monitor and report GHG data and other relevant information. Subsequent rules have promulgated requirements for additional facilities, and suppliers; provided clarification and corrections to existing requirements; and finalized confidential business information (CBI) determinations, amended recordkeeping requirements, and implemented an alternative verification approach. </w:t>
      </w:r>
    </w:p>
    <w:p w:rsidR="00EE08E4" w:rsidRPr="005D0593" w:rsidP="00EE08E4" w14:paraId="53202BB9" w14:textId="77777777">
      <w:pPr>
        <w:ind w:firstLine="720"/>
      </w:pPr>
      <w:r w:rsidRPr="005D0593">
        <w:t>This supporting statement addresses information collection activities that would be imposed by the final rule “Revisions and Confidentiality Determinations for Data Elements Under the Greenhouse Gas Reporting Rule” (hereafter referred to as the “final revisions”). The EPA previously evaluated the requirements of the Greenhouse Gas Reporting Rule to identify areas of improvement, including updates to the existing calculation, recordkeeping, and reporting requirements, and requested information</w:t>
      </w:r>
      <w:r w:rsidRPr="005D0593">
        <w:t xml:space="preserve"> for collection of additional data to understand</w:t>
      </w:r>
      <w:r w:rsidRPr="005D0593">
        <w:t xml:space="preserve"> new source categories in a proposed rule (87 FR 36920, June 21, 2022, hereafter “2022 Data Quality Improvements Proposal”). Following publication, the EPA identified subsequent amendments to the Greenhouse Gas Reporting Rule that would complement, expand on, or refine the amendments proposed in the June 21, 2022 proposal, </w:t>
      </w:r>
      <w:r w:rsidRPr="005D0593">
        <w:rPr>
          <w:iCs/>
        </w:rPr>
        <w:t>or that would further enhance the quality of part 98 and implementation of the GHGRP.</w:t>
      </w:r>
      <w:r w:rsidRPr="005D0593">
        <w:t xml:space="preserve"> The EPA subsequently proposed supplemental revisions (88 FR 32852, May 22, 2023, hereafter “2023 Supplemental Proposal”) which included additional amendments to improve the Greenhouse Gas Reporting Rule, including updates to the General Provisions (Table A-1 to subpart A of part 98) to reflect revised global warming potentials (GWPs), new requirements for reporting of GHG data from additional sectors, and additional revisions such as updates to emissions calculation methodologies; revisions to reporting requirements to improve verification of reported data and the accuracy of the data collected; and other minor technical amendments, corrections, or clarifications. </w:t>
      </w:r>
    </w:p>
    <w:p w:rsidR="00EE08E4" w:rsidRPr="005D0593" w:rsidP="00EE08E4" w14:paraId="18C3FAD8" w14:textId="05CA2AF2">
      <w:pPr>
        <w:ind w:firstLine="720"/>
      </w:pPr>
      <w:r w:rsidRPr="005D0593">
        <w:t xml:space="preserve">The final revisions consolidate amendments from the 2022 Data Quality Improvements Proposal and the 2023 Supplemental Proposal to amend specific provisions in the Greenhouse Gas Reporting Rule </w:t>
      </w:r>
      <w:r w:rsidRPr="005D0593">
        <w:t xml:space="preserve">for the purposes of enhancing the quality of the data collected and clarifying elements of the rule. Specifically, the final revisions will more accurately reflect industry emissions through collection of additional data to understand new source categories or new emission sources for specific sectors, improving emissions calculation methodologies, and improving the accuracy of reported emissions by improving verification and eliminating data gaps. These final revisions are expected to result in an increase in respondent burden. See </w:t>
      </w:r>
      <w:r w:rsidR="00BB0164">
        <w:t>sectio</w:t>
      </w:r>
      <w:r w:rsidR="00493564">
        <w:t>n 12b</w:t>
      </w:r>
      <w:r w:rsidRPr="005D0593">
        <w:t xml:space="preserve"> and Table 1 of Attachment 1 for a complete list of final revisions to the reporting requirements. </w:t>
      </w:r>
    </w:p>
    <w:p w:rsidR="00EE08E4" w:rsidRPr="005D0593" w:rsidP="00EE08E4" w14:paraId="52B58A84" w14:textId="77777777">
      <w:pPr>
        <w:ind w:firstLine="720"/>
      </w:pPr>
      <w:r w:rsidRPr="005D0593">
        <w:t xml:space="preserve">The EPA previously submitted ICRs on the proposed rules under OMB 2060-0629, ICR No. 2300.19 and OMB 2060-0748, ICR No. 2773.01. The EPA received a number of comments on the proposed revisions in both the 2022 Data Quality Improvements Proposal and the 2023 Supplemental Proposal. Following consideration of comments, the EPA has, in some cases, revised the final rule requirements, and in other cases, has decided to not take final action on proposed revisions. This ICR reflects the requirements of the final revisions. In addition to the estimated respondent burden identified in the information collection for the GHGRP currently approved by Office of Management and Budget (OMB), this information collection will affect approximately 2,701 respondents and result in an average annual burden of 25,647 hours and $5,410,052 ($2021) over the three years covered by this information collection, which includes an annual average of $2,733,937 operation and maintenance costs. The annual average burden to the EPA for this period is </w:t>
      </w:r>
      <w:r w:rsidRPr="005D0593">
        <w:rPr>
          <w:bCs/>
        </w:rPr>
        <w:t xml:space="preserve">anticipated at </w:t>
      </w:r>
      <w:r w:rsidRPr="005D0593">
        <w:t>410</w:t>
      </w:r>
      <w:r w:rsidRPr="005D0593">
        <w:t xml:space="preserve"> </w:t>
      </w:r>
      <w:r w:rsidRPr="005D0593">
        <w:rPr>
          <w:bCs/>
        </w:rPr>
        <w:t>hours and $</w:t>
      </w:r>
      <w:r w:rsidRPr="005D0593">
        <w:t>24,960</w:t>
      </w:r>
      <w:r w:rsidRPr="005D0593">
        <w:rPr>
          <w:bCs/>
        </w:rPr>
        <w:t xml:space="preserve"> ($2021) over the three years covered by this information collection.</w:t>
      </w:r>
      <w:r w:rsidRPr="005D0593">
        <w:t xml:space="preserve"> </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565AEA" w14:paraId="73FF37C3" w14:textId="77C3FA07">
      <w:pPr>
        <w:pStyle w:val="ListParagraph"/>
        <w:numPr>
          <w:ilvl w:val="0"/>
          <w:numId w:val="2"/>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EE08E4" w:rsidRPr="005D0593" w:rsidP="00EE08E4" w14:paraId="22E44E38" w14:textId="626EF331">
      <w:pPr>
        <w:ind w:firstLine="720"/>
      </w:pPr>
      <w:r w:rsidRPr="005D0593">
        <w:t xml:space="preserve">The EPA is finalizing this information collection under its existing Clean Air Act (CAA) authority provided in CAA section 114. As stated in the October 30, 2009 preamble to part 98 (74 FR 56260), CAA section 114(a)(1) provides the EPA broad authority to require the information to be gathered by part 98 because such data would inform and are relevant to the EPA’s carrying out a wide variety of CAA provisions. Additionally, the FY2008 Consolidated Appropriations Act directed the EPA to “develop and publish a draft rule not later than 9 months after the date of enactment of this Act, and a final rule not later than 18 months after the date of enactment of this Act, </w:t>
      </w:r>
      <w:bookmarkStart w:id="2" w:name="OLE_LINK4"/>
      <w:bookmarkStart w:id="3" w:name="OLE_LINK5"/>
      <w:r w:rsidRPr="005D0593">
        <w:t>to require mandatory reporting of greenhouse gas emissions above appropriate thresholds in all sectors of the economy of the United States.</w:t>
      </w:r>
      <w:bookmarkEnd w:id="2"/>
      <w:bookmarkEnd w:id="3"/>
      <w:r w:rsidRPr="005D0593">
        <w:t xml:space="preserve">” </w:t>
      </w:r>
    </w:p>
    <w:p w:rsidR="00EE08E4" w:rsidRPr="005D0593" w:rsidP="00EE08E4" w14:paraId="39A950DB" w14:textId="77777777">
      <w:pPr>
        <w:autoSpaceDE w:val="0"/>
        <w:autoSpaceDN w:val="0"/>
        <w:adjustRightInd w:val="0"/>
        <w:ind w:firstLine="720"/>
      </w:pPr>
      <w:r w:rsidRPr="005D0593">
        <w:t xml:space="preserve">The accompanying explanatory statement further directed the EPA to “use its existing authority under the Clean Air Act” to develop a GHG reporting rule. “The Agency is further directed to include in its rule reporting of emissions resulting </w:t>
      </w:r>
      <w:r w:rsidRPr="005D0593">
        <w:t>from upstream production and downstream sources,</w:t>
      </w:r>
      <w:r w:rsidRPr="005D0593">
        <w:t xml:space="preserve"> to the extent that the Administrator deems it appropriate. The Administrator shall determine appropriate thresholds of emissions above which reporting is required, and how frequently reports shall be submitted to EPA. The Administrator shall have discretion to use existing reporting requirements for electric generating units under Section 821” of the 1990 CAA amendments.</w:t>
      </w:r>
    </w:p>
    <w:p w:rsidR="00EE08E4" w:rsidRPr="005D0593" w:rsidP="00EE08E4" w14:paraId="37CA4D17" w14:textId="77777777">
      <w:pPr>
        <w:autoSpaceDE w:val="0"/>
        <w:autoSpaceDN w:val="0"/>
        <w:adjustRightInd w:val="0"/>
        <w:ind w:firstLine="720"/>
      </w:pPr>
      <w:r w:rsidRPr="005D0593">
        <w:t>Section 114 of the CAA provides the EPA authority to require the information mandated by the GHGRP because such data will inform and are relevant to future policy decisions. CAA section 114(a)(1) authorizes the Administrator to require emissions sources, persons subject to the CAA, or persons whom the Administrator believes may have necessary information to monitor and report emissions and provide such other information the Administrator requests for the purposes of carrying out any provision of the CAA.</w:t>
      </w:r>
      <w:r w:rsidRPr="005D0593">
        <w:t xml:space="preserve"> </w:t>
      </w:r>
      <w:r w:rsidRPr="005D0593">
        <w:t>For these reasons, the Administrator may request that a person, on a one-time, periodic, or continuous basis establish and maintain records, make reports, install and operate monitoring equipment and, among other things, provide such information the Administrator may reasonably require.</w:t>
      </w:r>
    </w:p>
    <w:p w:rsidR="00EE08E4" w:rsidRPr="005D0593" w:rsidP="00EE08E4" w14:paraId="75B56F51" w14:textId="77777777">
      <w:pPr>
        <w:ind w:firstLine="720"/>
      </w:pPr>
      <w:r w:rsidRPr="005D0593">
        <w:t>These final revisions include improvements to amendments to update the General Provisions to reflect revised GWPs, new requirements for reporting of GHG data from additional sectors (coke calcining; ceramics manufacturing; calcium carbide production; and caprolactam, glyoxal, and glyoxylic acid production), and additional revisions such as updates to emissions calculation methodologies; revisions to reporting requirements to improve analysis and verification of reported data and the accuracy of the data collected; and other minor technical amendments, corrections, or clarifications. The final revisions maintain the quality of the data collected under part 98 where continued collection of information assists in evaluation and support of EPA programs and policies. In some cases, the final revisions will improve the EPA’s ability to assess compliance (by revising or adding recordkeeping or reporting elements that allow the EPA to more thoroughly verify GHG data and understand trends in emissions) and advance the ability of the GHGRP to provide access to quality data on GHG emissions (by adding new source categories to address potential gaps in reporting of emissions data for specific sectors, updating or emission factors, adding or revising calculation methodologies to reflect an improved understanding of emissions sources and end uses, or adding key data elements to improve the usefulness of the data). The final revisions also address commenter concerns, clarify requirements, improve applicability estimation methods, provide flexibility and simplification of monitoring and calculations, and remove redundant or unnecessary reporting or recordkeeping requirements. In conjunction with this action, the EPA is finalizing confidentiality determinations for the new and substantially revised data elements contained in these final amendments; the EPA is also finalizing confidentiality determinations for certain existing data elements for which a confidentiality determination has not previously been proposed or finalized.</w:t>
      </w:r>
    </w:p>
    <w:p w:rsidR="00D47CB3" w:rsidRPr="00E3122D" w:rsidP="00565AEA" w14:paraId="24F38A28" w14:textId="345BCCC4">
      <w:pPr>
        <w:pStyle w:val="ListParagraph"/>
        <w:numPr>
          <w:ilvl w:val="0"/>
          <w:numId w:val="2"/>
        </w:numPr>
        <w:pBdr>
          <w:bottom w:val="single" w:sz="4" w:space="1" w:color="auto"/>
        </w:pBdr>
        <w:spacing w:before="240" w:after="0"/>
        <w:rPr>
          <w:rFonts w:cstheme="minorHAnsi"/>
          <w:b/>
          <w:bCs/>
        </w:rPr>
      </w:pPr>
      <w:bookmarkStart w:id="4" w:name="_Toc156593369"/>
      <w:r w:rsidRPr="00E3122D">
        <w:rPr>
          <w:rFonts w:cstheme="minorHAnsi"/>
          <w:b/>
          <w:bCs/>
        </w:rPr>
        <w:t>PRACTICAL UTILITY/USERS OF THE DATA</w:t>
      </w:r>
      <w:bookmarkEnd w:id="4"/>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EE08E4" w:rsidRPr="005D0593" w:rsidP="00EE08E4" w14:paraId="7B150763" w14:textId="1132344E">
      <w:pPr>
        <w:ind w:firstLine="720"/>
      </w:pPr>
      <w:r w:rsidRPr="005D0593">
        <w:t xml:space="preserve">The improvements to the GHGRP will benefit the EPA, other policymakers, and the public by increasing the completeness and accuracy of facility emissions data. Public data on emissions allows for accountability of emitters to the public. Improved facility-specific emissions data will aid local, state, and national policymakers as they evaluate and consider future climate change policy decisions and other policy decisions for criteria pollutants, ambient air quality standards, and toxic air emissions. </w:t>
      </w:r>
    </w:p>
    <w:p w:rsidR="00EE08E4" w:rsidRPr="005D0593" w:rsidP="00EE08E4" w14:paraId="75E41FEC" w14:textId="77777777">
      <w:pPr>
        <w:ind w:firstLine="720"/>
      </w:pPr>
      <w:r w:rsidRPr="005D0593">
        <w:t>The GHGRP collects information from facilities that directly emit GHGs or inject CO</w:t>
      </w:r>
      <w:r w:rsidRPr="005D0593">
        <w:rPr>
          <w:vertAlign w:val="subscript"/>
        </w:rPr>
        <w:t>2</w:t>
      </w:r>
      <w:r w:rsidRPr="005D0593">
        <w:t xml:space="preserve"> underground and from suppliers of certain products that contain GHGs. Reporting entities use uniform </w:t>
      </w:r>
      <w:r w:rsidRPr="005D0593">
        <w:t xml:space="preserve">methods for calculating emissions, which enables data to be compared and analyzed. The comprehensive GHG data reported directly from large facilities and suppliers across the country are easily accessible to the public via the EPA’s online data publication tool, also known as FLIGHT (Facility Level Information on Greenhouse gases Tool) at: </w:t>
      </w:r>
      <w:hyperlink r:id="rId10" w:history="1">
        <w:r w:rsidRPr="005D0593">
          <w:rPr>
            <w:rStyle w:val="Hyperlink"/>
            <w:i/>
            <w:iCs/>
          </w:rPr>
          <w:t>https://ghgdata.epa.gov/ghgp/main.do</w:t>
        </w:r>
      </w:hyperlink>
      <w:r w:rsidRPr="005D0593">
        <w:t>. FLIGHT is designed for the general public and allows users to view and sort GHG data for every reporting year starting with 2010 from over 8,000 entities in a variety of ways including by location, industrial sector, and type of GHG emitted. To support the needs of data users, all non-confidential data collected through the GHGRP are made available for download through Envirofacts (</w:t>
      </w:r>
      <w:hyperlink r:id="rId11" w:history="1">
        <w:r w:rsidRPr="005D0593">
          <w:rPr>
            <w:rStyle w:val="Hyperlink"/>
            <w:i/>
            <w:iCs/>
          </w:rPr>
          <w:t>https://www.epa.gov/enviro/</w:t>
        </w:r>
      </w:hyperlink>
      <w:r w:rsidRPr="005D0593">
        <w:t>), a cross-EPA data publication website.</w:t>
      </w:r>
    </w:p>
    <w:p w:rsidR="00EE08E4" w:rsidRPr="005D0593" w:rsidP="00EE08E4" w14:paraId="420391CD" w14:textId="77777777">
      <w:pPr>
        <w:ind w:firstLine="720"/>
        <w:rPr>
          <w:shd w:val="clear" w:color="auto" w:fill="FFFFFF"/>
        </w:rPr>
      </w:pPr>
      <w:bookmarkStart w:id="5" w:name="_Hlk525567322"/>
      <w:r w:rsidRPr="005D0593">
        <w:t xml:space="preserve">GHGRP data are also used to improve estimates of GHG emissions internationally. </w:t>
      </w:r>
      <w:r w:rsidRPr="005D0593">
        <w:rPr>
          <w:shd w:val="clear" w:color="auto" w:fill="FFFFFF"/>
        </w:rPr>
        <w:t>Data collected through the GHGRP complement the Inventory of U.S. Greenhouse Gas Emissions and Sinks (Inventory) and are used to significantly improve our understanding of key emissions sources</w:t>
      </w:r>
      <w:r w:rsidRPr="005D0593">
        <w:t xml:space="preserve"> by allowing the EPA to better reflect changing technologies and emissions from a wide range of industrial facilities.</w:t>
      </w:r>
      <w:r w:rsidRPr="005D0593">
        <w:rPr>
          <w:shd w:val="clear" w:color="auto" w:fill="FFFFFF"/>
        </w:rPr>
        <w:t> </w:t>
      </w:r>
    </w:p>
    <w:p w:rsidR="00EE08E4" w:rsidRPr="005D0593" w:rsidP="00EE08E4" w14:paraId="181C4A1B" w14:textId="77777777">
      <w:pPr>
        <w:ind w:firstLine="720"/>
      </w:pPr>
      <w:r w:rsidRPr="005D0593">
        <w:t>The GHGRP data have also been used to support CAA policy in numerous ways. For example, GHGRP data on Petroleum and Natural Gas Systems (subpart W) were analyzed to inform targeted improvements to the 2016 New Source Performance Standards (NSPS) for the oil and gas industry and to update emission factor and activity data used for that proposal and the 2016 NSPS, as updated in the US GHG Inventory (83 FR 52056; October 15, 2018). Similarly, GHGRP data on municipal solid waste landfills (subpart HH of part 98) were previously used to inform the development of the 2016 NSPS and EG for landfills; the EPA was able to update its internal landfills data set and consider the technical attributes of over 1,200 landfills based on data reported under subpart HH.</w:t>
      </w:r>
    </w:p>
    <w:bookmarkEnd w:id="5"/>
    <w:p w:rsidR="00EE08E4" w:rsidRPr="005D0593" w:rsidP="00EE08E4" w14:paraId="771C741F" w14:textId="77777777">
      <w:pPr>
        <w:ind w:firstLine="720"/>
      </w:pPr>
      <w:r w:rsidRPr="005D0593">
        <w:t xml:space="preserve">In addition, GHGRP data have been used to support voluntary programs. For example, GHGRP data are used by the Landfill Methane Outreach Program (LMOP) to supplement the LMOP Landfill and Landfill Gas Energy Project Database which includes data collected from LMOP Partners about landfill gas energy projects or potential for project development. </w:t>
      </w:r>
    </w:p>
    <w:p w:rsidR="00EE08E4" w:rsidRPr="005D0593" w:rsidP="00EE08E4" w14:paraId="233FBDB3" w14:textId="77777777">
      <w:pPr>
        <w:ind w:firstLine="720"/>
      </w:pPr>
      <w:r w:rsidRPr="005D0593">
        <w:t xml:space="preserve">Several states also use GHGRP data to inform their own policymaking. For example, the state of Hawaii is using GHGRP data to establish an emissions baseline for each facility subject to their GHG Reduction Plan and to assess whether facilities meet their targets in future years. </w:t>
      </w:r>
    </w:p>
    <w:p w:rsidR="00EE08E4" w:rsidRPr="005D0593" w:rsidP="00EE08E4" w14:paraId="1769BD37" w14:textId="77777777">
      <w:pPr>
        <w:ind w:firstLine="720"/>
      </w:pPr>
      <w:r w:rsidRPr="005D0593">
        <w:t xml:space="preserve">GHGRP data are also being used to improve estimates of GHG emissions internationally. Data collected through the GHGRP complements the Inventory and are used to significantly improve our understanding of key emissions sources by allowing the EPA to better reflect changing technologies and emissions from a wide range of industrial facilities. Specifically, GHGRP data have been used to inform several of the updates to emission estimation methods included in the 2019 Refinement of the 2006 Intergovernmental Panel on Climate Change (IPCC) Guidelines for National GHG Inventories (the Refinement). </w:t>
      </w:r>
    </w:p>
    <w:p w:rsidR="00EE08E4" w:rsidRPr="005D0593" w:rsidP="00EE08E4" w14:paraId="05B78D88" w14:textId="77777777">
      <w:pPr>
        <w:ind w:firstLine="720"/>
      </w:pPr>
      <w:r w:rsidRPr="005D0593">
        <w:t xml:space="preserve">Benefits to industry of improved GHG emissions monitoring and reporting from the amendments include the value of having standardized emissions data to present to the public to demonstrate appropriate environmental stewardship, and a better understanding of their emission </w:t>
      </w:r>
      <w:r w:rsidRPr="005D0593">
        <w:t xml:space="preserve">levels and sources to identify opportunities to reduce emissions. For example, the final rule updates the global warming potential values used under the GHGRP to reflect values from the IPCC AR5 and AR6, which are consistent with the values used under several voluntary standards and frameworks such as the GHG Protocol and Sustainability Accounting Standards Board (SASB), and will provide consistency for company reporting. Businesses and other innovators can use the data to determine and track their GHG footprints, find cost- and fuel-saving efficiencies that reduce GHG emissions and save product, foster technologies to protect public health and the environment, and to reduce costs associated with fugitive emissions. The final rule will continue to allow for facilities to benchmark themselves against similar facilities to understand better their relative standing within their industry and achieve and disseminate information about their environmental performance. </w:t>
      </w:r>
    </w:p>
    <w:p w:rsidR="00EE08E4" w:rsidRPr="005D0593" w:rsidP="00EE08E4" w14:paraId="0FACE7F2" w14:textId="77777777">
      <w:pPr>
        <w:ind w:firstLine="720"/>
      </w:pPr>
      <w:r w:rsidRPr="005D0593">
        <w:t>In addition, transparent, public data on emissions allow for accountability of polluters to the public who bear the cost of the pollution. The GHGRP serves as a powerful data resource and provides a critical tool for communities to identify nearby sources of GHGs and provide information to state and local governments. GHGRP data are easily accessible to the public via the EPA’s FLIGHT, which allows users to view and sort GHG data by location, industrial sector, and type of GHG emitted, and includes demographic data. Although the emissions reported to the EPA by reporting facilities are global pollutants, many of these facilities also release pollutants that have a more direct and local impact in the surrounding communities. Citizens, community groups, and labor unions have made use of public pollutant release data to negotiate directly with emitters to lower emissions, avoiding the need for additional regulatory action. The final rule would improve the quality and transparency of this reported data to affected communities, for example, by providing improved data on large releases from landfills.</w:t>
      </w:r>
    </w:p>
    <w:p w:rsidR="00EE08E4" w:rsidRPr="005D0593" w:rsidP="00EE08E4" w14:paraId="0E29B006" w14:textId="77777777">
      <w:pPr>
        <w:ind w:firstLine="720"/>
        <w:rPr>
          <w:shd w:val="clear" w:color="auto" w:fill="FFFFFF"/>
        </w:rPr>
      </w:pPr>
      <w:r w:rsidRPr="005D0593">
        <w:t xml:space="preserve">The final revisions to part 98 include requirements for reporting of GHG data from additional sources (such as non-merchant hydrogen facilities) or sectors (coke calcining; ceramics manufacturing; calcium carbide production; caprolactam, glyoxal, and glyoxylic acid production; and facilities conducting geologic sequestration of carbon dioxide with enhanced oil recovery), </w:t>
      </w:r>
      <w:r w:rsidRPr="005D0593">
        <w:rPr>
          <w:shd w:val="clear" w:color="auto" w:fill="FFFFFF"/>
        </w:rPr>
        <w:t>updates to global warming potentials,</w:t>
      </w:r>
      <w:r w:rsidRPr="005D0593">
        <w:t xml:space="preserve"> improvements to emissions factors or other default factors, improvements to emissions estimation methodologies, and collection of data to support verification of GHG emissions and supply and for comparison to other national and international inventories. The final revisions will </w:t>
      </w:r>
      <w:r w:rsidRPr="005D0593">
        <w:rPr>
          <w:shd w:val="clear" w:color="auto" w:fill="FFFFFF"/>
        </w:rPr>
        <w:t>significantly improve the EPA’s understanding of national emissions sources</w:t>
      </w:r>
      <w:r w:rsidRPr="005D0593">
        <w:t xml:space="preserve"> and trends and will better reflect changes across U.S. GHG emissions and supply,</w:t>
      </w:r>
      <w:r w:rsidRPr="005D0593">
        <w:rPr>
          <w:shd w:val="clear" w:color="auto" w:fill="FFFFFF"/>
        </w:rPr>
        <w:t xml:space="preserve"> based on a more current scientific understanding of GHGs.</w:t>
      </w:r>
    </w:p>
    <w:p w:rsidR="00074917" w:rsidRPr="00E3122D" w:rsidP="00565AEA" w14:paraId="1522D565" w14:textId="553E3A2D">
      <w:pPr>
        <w:pStyle w:val="ListParagraph"/>
        <w:numPr>
          <w:ilvl w:val="0"/>
          <w:numId w:val="2"/>
        </w:numPr>
        <w:pBdr>
          <w:bottom w:val="single" w:sz="4" w:space="1" w:color="auto"/>
        </w:pBdr>
        <w:spacing w:before="240" w:after="0"/>
        <w:rPr>
          <w:rFonts w:cstheme="minorHAnsi"/>
          <w:b/>
          <w:bCs/>
        </w:rPr>
      </w:pPr>
      <w:bookmarkStart w:id="6" w:name="_Toc156593370"/>
      <w:r w:rsidRPr="00E3122D">
        <w:rPr>
          <w:rFonts w:cstheme="minorHAnsi"/>
          <w:b/>
          <w:bCs/>
        </w:rPr>
        <w:t>USE OF TECHNOLOGY</w:t>
      </w:r>
      <w:bookmarkEnd w:id="6"/>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E08E4" w:rsidRPr="005D0593" w:rsidP="00EE08E4" w14:paraId="280EFD23" w14:textId="0658C411">
      <w:pPr>
        <w:ind w:firstLine="720"/>
        <w:rPr>
          <w:rFonts w:eastAsia="Calibri"/>
          <w:bCs/>
        </w:rPr>
      </w:pPr>
      <w:r w:rsidRPr="005D0593">
        <w:rPr>
          <w:rFonts w:eastAsia="Calibri"/>
        </w:rPr>
        <w:t xml:space="preserve">The EPA has established a central repository of data for all respondents, the web-based Electronic Greenhouse Gas Reporting Tool (e-GGRT). Respondents report data electronically, and the EPA stores the data in the database. Facilities and suppliers subject to the GHGRP register online </w:t>
      </w:r>
      <w:r w:rsidRPr="005D0593">
        <w:rPr>
          <w:rFonts w:eastAsia="Calibri"/>
        </w:rPr>
        <w:t xml:space="preserve">through the e-GGRT system. </w:t>
      </w:r>
      <w:r w:rsidRPr="005D0593">
        <w:rPr>
          <w:rFonts w:eastAsia="Calibri"/>
          <w:bCs/>
        </w:rPr>
        <w:t xml:space="preserve">The e-GGRT system has an XML reporting schema that allows facilities to upload GHG data directly in lieu of using the guided web forms provided through e-GGRT. </w:t>
      </w:r>
      <w:r w:rsidRPr="005D0593">
        <w:rPr>
          <w:rFonts w:eastAsia="Calibri"/>
        </w:rPr>
        <w:t>The XML reporting schema contains all data elements needed to comply with the GHGRP. The electronic reports submitted under the GHGRP are subject to the provisions of 40 CFR Part 3, specifying EPA systems to which electronic submissions must be made and the requirements for valid electronic signatures. Additionally, e-GGRT is designed to collect and store CBI.</w:t>
      </w:r>
    </w:p>
    <w:p w:rsidR="00EE08E4" w:rsidRPr="005D0593" w:rsidP="00EE08E4" w14:paraId="6323CC2F" w14:textId="77777777">
      <w:pPr>
        <w:ind w:firstLine="720"/>
        <w:rPr>
          <w:rFonts w:eastAsia="Calibri"/>
        </w:rPr>
      </w:pPr>
      <w:r w:rsidRPr="005D0593">
        <w:rPr>
          <w:rFonts w:eastAsia="Calibri"/>
        </w:rPr>
        <w:t xml:space="preserve">The system follows Agency standards for design, security, data element and reporting format conformance, and accessibility. The EPA designed the database to minimize respondents’ burden by integrating with existing data collection and data management systems, when feasible. </w:t>
      </w:r>
    </w:p>
    <w:p w:rsidR="00EE08E4" w:rsidRPr="005D0593" w:rsidP="00EE08E4" w14:paraId="62798ED1" w14:textId="4E8A0CB8">
      <w:pPr>
        <w:ind w:firstLine="720"/>
        <w:rPr>
          <w:rFonts w:eastAsia="Calibri"/>
        </w:rPr>
      </w:pPr>
      <w:r w:rsidRPr="005D0593">
        <w:rPr>
          <w:rFonts w:eastAsia="Calibri"/>
        </w:rPr>
        <w:t xml:space="preserve">The EPA ensures data quality by conducting robust verification checks using both electronic software and manual review. The EPA contacts facilities when annual reports contain potential errors, and the statute requires that the facilities either resolve the error or explain that it is not an error in a timely manner. The EPA makes all data accessible to the public on a web-based, user-friendly publication tool called FLIGHT, as detailed in </w:t>
      </w:r>
      <w:r w:rsidR="00BB0164">
        <w:rPr>
          <w:rFonts w:eastAsia="Calibri"/>
        </w:rPr>
        <w:t>sect</w:t>
      </w:r>
      <w:r w:rsidR="00A0039C">
        <w:rPr>
          <w:rFonts w:eastAsia="Calibri"/>
        </w:rPr>
        <w:t>ion 2</w:t>
      </w:r>
      <w:r w:rsidRPr="005D0593">
        <w:rPr>
          <w:rFonts w:eastAsia="Calibri"/>
        </w:rPr>
        <w:t xml:space="preserve"> of this document.</w:t>
      </w:r>
    </w:p>
    <w:p w:rsidR="00EE08E4" w:rsidRPr="005D0593" w:rsidP="00EE08E4" w14:paraId="0F1F915B" w14:textId="54FB92AF">
      <w:pPr>
        <w:ind w:firstLine="720"/>
        <w:rPr>
          <w:rFonts w:eastAsia="Calibri"/>
          <w:bCs/>
        </w:rPr>
      </w:pPr>
      <w:r w:rsidRPr="005D0593">
        <w:rPr>
          <w:rFonts w:eastAsia="Calibri"/>
          <w:bCs/>
        </w:rPr>
        <w:t xml:space="preserve">Under the final revisions to part 98, the facilities listed in </w:t>
      </w:r>
      <w:r w:rsidR="00BB0164">
        <w:rPr>
          <w:rFonts w:eastAsia="Calibri"/>
          <w:bCs/>
        </w:rPr>
        <w:t>secti</w:t>
      </w:r>
      <w:r w:rsidR="00A0039C">
        <w:rPr>
          <w:rFonts w:eastAsia="Calibri"/>
          <w:bCs/>
        </w:rPr>
        <w:t>on 12b</w:t>
      </w:r>
      <w:r w:rsidRPr="005D0593">
        <w:rPr>
          <w:rFonts w:eastAsia="Calibri"/>
          <w:bCs/>
        </w:rPr>
        <w:t xml:space="preserve"> will report the new data elements and revised data elements via e-GGRT. Additionally, for verification purposes, 54 reporters under subpart Y, </w:t>
      </w:r>
      <w:r w:rsidRPr="005D0593">
        <w:t>15 reporters under subpart WW, one reporter in subpart XX, six reporters in subpart YY, and 25 reporters in subpart ZZ will enter data (</w:t>
      </w:r>
      <w:r>
        <w:t xml:space="preserve">three new data elements in subpart Y, </w:t>
      </w:r>
      <w:r w:rsidRPr="005D0593">
        <w:t>five new data elements in subpart WW, eight new data elements for subpart XX, three new data elements for subpart YY, and three new data elements for subpart ZZ) into IVT</w:t>
      </w:r>
      <w:r w:rsidRPr="005D0593">
        <w:rPr>
          <w:rFonts w:eastAsia="Calibri"/>
          <w:bCs/>
        </w:rPr>
        <w:t xml:space="preserve">. IVT </w:t>
      </w:r>
      <w:r w:rsidR="0061099C">
        <w:rPr>
          <w:rFonts w:eastAsia="Calibri"/>
          <w:bCs/>
        </w:rPr>
        <w:t xml:space="preserve">does not collect data but </w:t>
      </w:r>
      <w:r w:rsidRPr="005D0593">
        <w:rPr>
          <w:rFonts w:eastAsia="Calibri"/>
          <w:bCs/>
        </w:rPr>
        <w:t xml:space="preserve">is deployed within e-GGRT </w:t>
      </w:r>
      <w:r w:rsidR="0061099C">
        <w:rPr>
          <w:rFonts w:eastAsia="Calibri"/>
          <w:bCs/>
        </w:rPr>
        <w:t xml:space="preserve">for verification purposes, </w:t>
      </w:r>
      <w:r w:rsidRPr="005D0593">
        <w:rPr>
          <w:rFonts w:eastAsia="Calibri"/>
          <w:bCs/>
        </w:rPr>
        <w:t xml:space="preserve">and is integrated without interrupting the current electronic reporting process. Additional details regarding the EPA’s IVT can be found in 79 FR 63750, October 24, 2014; OMB Control No. 2060-0629, ICR No. 2300.12). </w:t>
      </w:r>
    </w:p>
    <w:p w:rsidR="005263EC" w:rsidRPr="00E3122D" w:rsidP="00565AEA" w14:paraId="2CB3B868" w14:textId="58CBB947">
      <w:pPr>
        <w:pStyle w:val="ListParagraph"/>
        <w:numPr>
          <w:ilvl w:val="0"/>
          <w:numId w:val="2"/>
        </w:numPr>
        <w:pBdr>
          <w:bottom w:val="single" w:sz="4" w:space="1" w:color="auto"/>
        </w:pBdr>
        <w:spacing w:before="240" w:after="0"/>
        <w:rPr>
          <w:rFonts w:cstheme="minorHAnsi"/>
          <w:b/>
          <w:bCs/>
        </w:rPr>
      </w:pPr>
      <w:bookmarkStart w:id="7" w:name="_Toc156593371"/>
      <w:r w:rsidRPr="00E3122D">
        <w:rPr>
          <w:rFonts w:cstheme="minorHAnsi"/>
          <w:b/>
          <w:bCs/>
        </w:rPr>
        <w:t>EFFORTS TO IDENTIFY DUPLICATION</w:t>
      </w:r>
      <w:bookmarkEnd w:id="7"/>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336B35" w:rsidRPr="005D0593" w:rsidP="00336B35" w14:paraId="615FCDAD" w14:textId="66A5D7E1">
      <w:pPr>
        <w:ind w:firstLine="720"/>
      </w:pPr>
      <w:bookmarkStart w:id="8" w:name="OLE_LINK1"/>
      <w:bookmarkStart w:id="9" w:name="OLE_LINK2"/>
      <w:r w:rsidRPr="005D0593">
        <w:t xml:space="preserve">The new information to be collected under the final revisions include 122 new or substantially revised reported data elements and two removed data elements from industrial sectors currently covered by the GHGRP, and 75 new reporting data elements and associated recordkeeping for five new sectors to be added to the GHGRP (refer to </w:t>
      </w:r>
      <w:r w:rsidR="00BB0164">
        <w:t>sec</w:t>
      </w:r>
      <w:r w:rsidR="00A0039C">
        <w:t>tion 12b</w:t>
      </w:r>
      <w:r w:rsidRPr="005D0593">
        <w:t xml:space="preserve"> and Table 1 of Attachment 1 for a list of these data elements). The new and substantially revised data reporting elements consist primarily of quantities that provide information on the activity level at the facility, emissions data and emission factors used, and other process information that would provide key information for verification, including confirming that emissions are appropriate for a given activity-level and for estimating expected emissions based on data provided. The new and substantially revised reporting elements for both existing and new sectors, described above, are the same types of industry data currently collected under the GHGRP. The EPA previously evaluated these types of industry data currently collected under </w:t>
      </w:r>
      <w:r w:rsidRPr="005D0593">
        <w:t>part</w:t>
      </w:r>
      <w:r w:rsidRPr="005D0593">
        <w:t xml:space="preserve"> 98 and concluded that they do not duplicate other information collections. This conclusion, as described below, applies to the new and substantially revised data elements as well. </w:t>
      </w:r>
    </w:p>
    <w:p w:rsidR="00336B35" w:rsidRPr="005D0593" w:rsidP="00336B35" w14:paraId="5B7431A2" w14:textId="77777777">
      <w:pPr>
        <w:ind w:firstLine="720"/>
      </w:pPr>
      <w:r w:rsidRPr="005D0593">
        <w:t xml:space="preserve">To determine whether this request duplicates other information collections, the EPA evaluated existing GHG programs and the GHG data currently available </w:t>
      </w:r>
      <w:r w:rsidRPr="005D0593">
        <w:t>including:</w:t>
      </w:r>
      <w:r w:rsidRPr="005D0593">
        <w:t xml:space="preserve"> Federal programs within the United States, such as the Inventory; State and regional GHG reporting programs, Reporting protocols developed by nongovernmental organizations; and Programs from industrial trade organizations. </w:t>
      </w:r>
    </w:p>
    <w:p w:rsidR="00336B35" w:rsidRPr="005D0593" w:rsidP="00336B35" w14:paraId="22C52EB4" w14:textId="34CFD872">
      <w:pPr>
        <w:autoSpaceDE w:val="0"/>
        <w:autoSpaceDN w:val="0"/>
        <w:adjustRightInd w:val="0"/>
      </w:pPr>
      <w:r w:rsidRPr="005D0593">
        <w:tab/>
        <w:t xml:space="preserve"> Documentation of the EPA’s review of GHG monitoring protocols used by federal and state voluntary and mandatory GHG programs as well as GHG reporting rules can be found in the docket at EPA-HQ-OAR-2008-0508-0056. For further discussion on the relationship of the GHGRP to other programs, please refer to the preambles of each of the GHGRP rulemakings, the June 6, 2008 memorandum entitled “Review of Existing Programs” (which can be found in the docket at EPA-HQ-OAR-2008-0508-0052), and the January 27, 2009 memorandum entitled “Review of Existing State Greenhouse Gas Reporting Rules” (which can be found in the docket at EPA-HQ-OAR-2008-0508-0054). </w:t>
      </w:r>
    </w:p>
    <w:p w:rsidR="00336B35" w:rsidRPr="005D0593" w:rsidP="00336B35" w14:paraId="10E62DCB" w14:textId="77777777">
      <w:pPr>
        <w:ind w:firstLine="720"/>
      </w:pPr>
      <w:r w:rsidRPr="005D0593">
        <w:t>The final revisions include improvements to the calculation, monitoring, and reporting requirements that would incorporate new data or updated scientific knowledge; reflect new emissions sources for which data has not previously been collected; improve analysis and verification of collected data; provide additional data to complement or inform other EPA programs; or streamline calculation, monitoring, or reporting to provide flexibility or increase the efficiency of data collection. Based on this evaluation, this information collection request does not duplicate other information collections.</w:t>
      </w:r>
      <w:bookmarkEnd w:id="8"/>
      <w:bookmarkEnd w:id="9"/>
    </w:p>
    <w:p w:rsidR="00251151" w:rsidRPr="00E3122D" w:rsidP="00565AEA" w14:paraId="79D36B3F" w14:textId="440DD77F">
      <w:pPr>
        <w:pStyle w:val="ListParagraph"/>
        <w:numPr>
          <w:ilvl w:val="0"/>
          <w:numId w:val="2"/>
        </w:numPr>
        <w:pBdr>
          <w:bottom w:val="single" w:sz="4" w:space="1" w:color="auto"/>
        </w:pBdr>
        <w:spacing w:before="240" w:after="0"/>
        <w:rPr>
          <w:b/>
          <w:bCs/>
        </w:rPr>
      </w:pPr>
      <w:bookmarkStart w:id="10" w:name="_Toc156593372"/>
      <w:r w:rsidRPr="4BDBF0A0">
        <w:rPr>
          <w:b/>
          <w:bCs/>
        </w:rPr>
        <w:t xml:space="preserve">MINIMIZING BURDEN ON SMALL </w:t>
      </w:r>
      <w:r w:rsidRPr="4BDBF0A0" w:rsidR="0F43C128">
        <w:rPr>
          <w:b/>
          <w:bCs/>
        </w:rPr>
        <w:t xml:space="preserve">BUSINESSES AND SMALL </w:t>
      </w:r>
      <w:r w:rsidRPr="4BDBF0A0">
        <w:rPr>
          <w:b/>
          <w:bCs/>
        </w:rPr>
        <w:t>ENTITIES</w:t>
      </w:r>
      <w:bookmarkEnd w:id="10"/>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336B35" w:rsidRPr="0061099C" w:rsidP="00336B35" w14:paraId="070D857B" w14:textId="7F19B0A1">
      <w:pPr>
        <w:pStyle w:val="BodyText"/>
        <w:ind w:firstLine="720"/>
        <w:rPr>
          <w:rFonts w:asciiTheme="minorHAnsi" w:eastAsiaTheme="minorEastAsia" w:hAnsiTheme="minorHAnsi" w:cstheme="minorBidi"/>
          <w:sz w:val="22"/>
          <w:szCs w:val="22"/>
        </w:rPr>
      </w:pPr>
      <w:r w:rsidRPr="0061099C">
        <w:rPr>
          <w:rFonts w:asciiTheme="minorHAnsi" w:eastAsiaTheme="minorEastAsia" w:hAnsiTheme="minorHAnsi" w:cstheme="minorBidi"/>
          <w:sz w:val="22"/>
          <w:szCs w:val="22"/>
        </w:rPr>
        <w:t xml:space="preserve">This information collection will not have a significant economic impact on a substantial number of small entities. The small entities directly regulated by these final rule revisions include small businesses across all sectors of the economy encompassed by part 98, small governmental jurisdictions, and small non-profits. The impacts to small entities due to the final revisions was evaluated for each source category. </w:t>
      </w:r>
    </w:p>
    <w:p w:rsidR="006F45FA" w:rsidP="0061099C" w14:paraId="720EAA3D" w14:textId="77777777">
      <w:pPr>
        <w:pStyle w:val="BodyText"/>
        <w:ind w:firstLine="720"/>
        <w:rPr>
          <w:rFonts w:asciiTheme="minorHAnsi" w:eastAsiaTheme="minorEastAsia" w:hAnsiTheme="minorHAnsi" w:cstheme="minorBidi"/>
          <w:sz w:val="22"/>
          <w:szCs w:val="22"/>
        </w:rPr>
      </w:pPr>
      <w:r w:rsidRPr="0061099C">
        <w:rPr>
          <w:rFonts w:asciiTheme="minorHAnsi" w:eastAsiaTheme="minorEastAsia" w:hAnsiTheme="minorHAnsi" w:cstheme="minorBidi"/>
          <w:sz w:val="22"/>
          <w:szCs w:val="22"/>
        </w:rPr>
        <w:t xml:space="preserve">The EPA previously evaluated the impacts of the revisions from the 2022 Data Quality Improvements Proposal and the 2023 Supplemental Proposal where it identified small entities could potentially be affected and considered whether additional measures to minimize impacts were needed. Entities affected by the final revisions to applicability could experience a burden increase, but there are no significant small entity impacts for facilities affected by the final revisions. The costs and impacts to small entities from the revisions were assessed in three areas, including (1) amendments that revise the number or types of facilities required to report (i.e., updates of the GHGRP’s applicability to certain sources), (2) changes to refine existing monitoring or calculation methodologies, and (3) revisions to reporting and recordkeeping requirements for data provided to the program. The analyses provided the subparts affected, the number of small entities affected, and the estimated impact to these entities based on the total annualized reporting costs of the proposed rules. Details of these analyses are presented in the memoranda, </w:t>
      </w:r>
      <w:r w:rsidRPr="00632E30">
        <w:rPr>
          <w:rFonts w:asciiTheme="minorHAnsi" w:eastAsiaTheme="minorEastAsia" w:hAnsiTheme="minorHAnsi" w:cstheme="minorBidi"/>
          <w:i/>
          <w:iCs/>
          <w:sz w:val="22"/>
          <w:szCs w:val="22"/>
        </w:rPr>
        <w:t>Assessment of Burden Impacts for Proposed Revisions for the Greenhouse Gas Reporting Rule</w:t>
      </w:r>
      <w:r w:rsidRPr="0061099C">
        <w:rPr>
          <w:rFonts w:asciiTheme="minorHAnsi" w:eastAsiaTheme="minorEastAsia" w:hAnsiTheme="minorHAnsi" w:cstheme="minorBidi"/>
          <w:sz w:val="22"/>
          <w:szCs w:val="22"/>
        </w:rPr>
        <w:t xml:space="preserve"> (May 2022) and </w:t>
      </w:r>
      <w:r w:rsidRPr="00632E30">
        <w:rPr>
          <w:rFonts w:asciiTheme="minorHAnsi" w:eastAsiaTheme="minorEastAsia" w:hAnsiTheme="minorHAnsi" w:cstheme="minorBidi"/>
          <w:i/>
          <w:iCs/>
          <w:sz w:val="22"/>
          <w:szCs w:val="22"/>
        </w:rPr>
        <w:t>Assessment of Burden Impacts for Proposed Supplemental Revisions for the Greenhouse Gas Reporting Rule</w:t>
      </w:r>
      <w:r w:rsidRPr="0061099C">
        <w:rPr>
          <w:rFonts w:asciiTheme="minorHAnsi" w:eastAsiaTheme="minorEastAsia" w:hAnsiTheme="minorHAnsi" w:cstheme="minorBidi"/>
          <w:sz w:val="22"/>
          <w:szCs w:val="22"/>
        </w:rPr>
        <w:t xml:space="preserve"> (April 2023), available in the docket for the rulemaking (Docket Id. No. EPA–HQ–OAR–2019–0424). Based on the results of these analyses, we concluded that the 2022 Data Quality Improvements Proposal and 2023 Supplemental Proposal will have no significant regulatory </w:t>
      </w:r>
      <w:r w:rsidRPr="0061099C">
        <w:rPr>
          <w:rFonts w:asciiTheme="minorHAnsi" w:eastAsiaTheme="minorEastAsia" w:hAnsiTheme="minorHAnsi" w:cstheme="minorBidi"/>
          <w:sz w:val="22"/>
          <w:szCs w:val="22"/>
        </w:rPr>
        <w:t>burden for any directly regulated small entities and thus would not have a significant economic impact on a substantial number of small entities.</w:t>
      </w:r>
      <w:bookmarkStart w:id="11" w:name="_4.2_Methodology"/>
      <w:bookmarkStart w:id="12" w:name="_4.3.1_Results_from"/>
      <w:bookmarkStart w:id="13" w:name="_4.3.2_Results_from"/>
      <w:bookmarkStart w:id="14" w:name="_4.3.2_Additional_Small"/>
      <w:bookmarkEnd w:id="11"/>
      <w:bookmarkEnd w:id="12"/>
      <w:bookmarkEnd w:id="13"/>
      <w:bookmarkEnd w:id="14"/>
      <w:r w:rsidRPr="0061099C">
        <w:rPr>
          <w:rFonts w:asciiTheme="minorHAnsi" w:eastAsiaTheme="minorEastAsia" w:hAnsiTheme="minorHAnsi" w:cstheme="minorBidi"/>
          <w:sz w:val="22"/>
          <w:szCs w:val="22"/>
        </w:rPr>
        <w:t xml:space="preserve"> In many cases, the EPA is finalizing revisions to part 98 as proposed, or with minor revisions, and revised the cost impacts to reflect the final rule requirements. The updates to the costs impacts includes updates to the estimated number of affected reporters subject to the final requirements, based on a review of RY2022 data. These updates also predominantly include removing or adjusting costs where the EPA is not taking final action on specific proposed revisions to add subpart B (Energy Consumption), certain costs associated with proposed revisions to subpart W (Petroleum and Natural Gas Systems) included in the 2022 Data Quality Improvements Proposal, and costs associated with certain revisions to calculations, monitoring, or reporting requirements for subparts A (General Provisions), C (General Stationary Fuel Combustion), F (Aluminum Production), G (Ammonia Production), H (Cement Production), S (Lime Production), HH (Municipal Waste Landfills), OO (Suppliers of Industrial Greenhouse Gases), and QQ (Importers and Exporters of Fluorinated Greenhouse Gases Contained in Pre-Charged Equipment and Closed-Cell Foams). </w:t>
      </w:r>
    </w:p>
    <w:p w:rsidR="00ED57A4" w:rsidRPr="0061099C" w:rsidP="0061099C" w14:paraId="518B46AB" w14:textId="39C913F0">
      <w:pPr>
        <w:pStyle w:val="BodyText"/>
        <w:ind w:firstLine="720"/>
        <w:rPr>
          <w:rFonts w:asciiTheme="minorHAnsi" w:eastAsiaTheme="minorEastAsia" w:hAnsiTheme="minorHAnsi" w:cstheme="minorBidi"/>
          <w:sz w:val="22"/>
          <w:szCs w:val="22"/>
        </w:rPr>
      </w:pPr>
      <w:r w:rsidRPr="0061099C">
        <w:rPr>
          <w:rFonts w:asciiTheme="minorHAnsi" w:eastAsiaTheme="minorEastAsia" w:hAnsiTheme="minorHAnsi" w:cstheme="minorBidi"/>
          <w:sz w:val="22"/>
          <w:szCs w:val="22"/>
        </w:rPr>
        <w:t xml:space="preserve">Accordingly, the burden of the final rule is reduced for most facilities. The EPA also adjusted the burden of the final rule to account for additional costs. Specifically, we adjusted the reporting and recordkeeping requirements for subparts I (Electronics Manufacturing), P (Hydrogen Production), DD (Electrical Transmission and Distribution Equipment Use), and ZZ (Ceramics Manufacturing) to add 8 new data elements for annual reporting. The final reporting costs to these subparts are minimal (less than $100 annually), and do not result in costs </w:t>
      </w:r>
      <w:r w:rsidRPr="0061099C">
        <w:rPr>
          <w:rFonts w:asciiTheme="minorHAnsi" w:eastAsiaTheme="minorEastAsia" w:hAnsiTheme="minorHAnsi" w:cstheme="minorBidi"/>
          <w:sz w:val="22"/>
          <w:szCs w:val="22"/>
        </w:rPr>
        <w:t>exceeding</w:t>
      </w:r>
      <w:r w:rsidRPr="0061099C">
        <w:rPr>
          <w:rFonts w:asciiTheme="minorHAnsi" w:eastAsiaTheme="minorEastAsia" w:hAnsiTheme="minorHAnsi" w:cstheme="minorBidi"/>
          <w:sz w:val="22"/>
          <w:szCs w:val="22"/>
        </w:rPr>
        <w:t xml:space="preserve"> more than one percent of sales in any firm size category. The remaining revisions to the final rule include minor clarifications or adjustments to the proposed requirements that are not anticipated to increase burden. For these reasons, we determined that the final revisions are consistent with our prior small entity analyses, and will not have a significant economic impact on a substantial number of small entities. Details of this analysis are presented in the memorandum, Assessment of Burden Impacts for Final Revisions for the Greenhouse Gas Reporting Rule (March 2024), available in the docket for the rulemaking (Docket Id. No. EPA–HQ–OAR–2019–0424).</w:t>
      </w:r>
    </w:p>
    <w:p w:rsidR="004252C1" w:rsidRPr="00E3122D" w:rsidP="00565AEA" w14:paraId="1FF5A778" w14:textId="02F91DFF">
      <w:pPr>
        <w:pStyle w:val="ListParagraph"/>
        <w:numPr>
          <w:ilvl w:val="0"/>
          <w:numId w:val="2"/>
        </w:numPr>
        <w:pBdr>
          <w:bottom w:val="single" w:sz="4" w:space="1" w:color="auto"/>
        </w:pBdr>
        <w:spacing w:before="240" w:after="0"/>
        <w:rPr>
          <w:b/>
          <w:bCs/>
        </w:rPr>
      </w:pPr>
      <w:bookmarkStart w:id="15" w:name="_Toc156593373"/>
      <w:r w:rsidRPr="4BDBF0A0">
        <w:rPr>
          <w:b/>
          <w:bCs/>
        </w:rPr>
        <w:t>CONSEQUENCES</w:t>
      </w:r>
      <w:r w:rsidRPr="4BDBF0A0" w:rsidR="00061A77">
        <w:rPr>
          <w:b/>
          <w:bCs/>
        </w:rPr>
        <w:t xml:space="preserve"> OF LESS FREQUENT COLLECTION</w:t>
      </w:r>
      <w:bookmarkEnd w:id="15"/>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336B35" w:rsidRPr="005D0593" w:rsidP="00336B35" w14:paraId="3E951F03" w14:textId="599ECADE">
      <w:pPr>
        <w:ind w:firstLine="720"/>
        <w:rPr>
          <w:shd w:val="clear" w:color="auto" w:fill="FFFFFF"/>
        </w:rPr>
      </w:pPr>
      <w:r w:rsidRPr="005D0593">
        <w:t>Annual reporting of the data is necessary to ensure that the Agency’s objectives for the GHGRP are met. Annual reporting is critical for assessing year-to-year variations in emissions both at the facility and sector level. With less frequent reporting, the EPA would be unable to discern multi-year trends. As the Agency evaluates potential GHG emission reduction opportunities, it is critical to be able to analyze up-to-date, multi-year data for all sectors covered by the program. For example, the GHGRP collects critical information necessary to evaluate potential GHG reduction approaches, such as number of facilities in a sector, production or capacity of each facility, abatement technologies used across a sector, number of facilities using continuous emission monitoring systems, and chemical-specific GHG emission information. These data are essential for understanding the sources that would be impacted by potential regulations, emissions monitoring approaches and abatement technologies currently employed within a sector, and the general emissions profile of the industry.</w:t>
      </w:r>
    </w:p>
    <w:p w:rsidR="00632E30" w:rsidP="00632E30" w14:paraId="0FF703FB" w14:textId="77777777">
      <w:pPr>
        <w:ind w:firstLine="720"/>
      </w:pPr>
      <w:r w:rsidRPr="005D0593">
        <w:t xml:space="preserve">With annual data, stakeholders can monitor changes in facility emissions over time with respect to comparable facilities in the industry. Annual reporting also lines up with the reporting frequency of all existing State GHG reporting programs as well as other Agency and State programs that require </w:t>
      </w:r>
      <w:r w:rsidRPr="005D0593">
        <w:t>reporting of environmental data. This reporting frequency remains the same in these final revisions to part 98.</w:t>
      </w:r>
    </w:p>
    <w:p w:rsidR="00336B35" w:rsidRPr="005D0593" w:rsidP="00632E30" w14:paraId="1D0E0A83" w14:textId="03BD4B1B">
      <w:pPr>
        <w:ind w:firstLine="720"/>
      </w:pPr>
      <w:r w:rsidRPr="005D0593">
        <w:t>The frequency with which facilities and suppliers subject to the GHGRP monitor, sample, or measure data varies across the 41 subparts, from weekly to annually. The EPA is finalizing five new subparts (subparts VV, WW, XX, YY, and ZZ) for certain direct emitting facilities, who would be required to monitor and report annually. In some cases, the EPA is reduc</w:t>
      </w:r>
      <w:r>
        <w:t>ing</w:t>
      </w:r>
      <w:r w:rsidRPr="005D0593">
        <w:t xml:space="preserve"> the frequency of existing monitoring or sampling, where less frequent collection of this data will continue to provide sufficient information and not impact the overall quality of reported emissions. We have maintained collection frequencies that are necessary to ensure adequate data quality and are designed to match the variability of activities conducted by the source category. </w:t>
      </w:r>
    </w:p>
    <w:p w:rsidR="00A233E0" w:rsidRPr="00E3122D" w:rsidP="00565AEA" w14:paraId="27596CC0" w14:textId="77777777">
      <w:pPr>
        <w:pStyle w:val="ListParagraph"/>
        <w:numPr>
          <w:ilvl w:val="0"/>
          <w:numId w:val="2"/>
        </w:numPr>
        <w:pBdr>
          <w:bottom w:val="single" w:sz="4" w:space="1" w:color="auto"/>
        </w:pBdr>
        <w:spacing w:before="240" w:after="0"/>
        <w:rPr>
          <w:rFonts w:cstheme="minorHAnsi"/>
          <w:b/>
          <w:bCs/>
        </w:rPr>
      </w:pPr>
      <w:bookmarkStart w:id="16" w:name="_Toc156593374"/>
      <w:r w:rsidRPr="00E3122D">
        <w:rPr>
          <w:rFonts w:cstheme="minorHAnsi"/>
          <w:b/>
          <w:bCs/>
        </w:rPr>
        <w:t>GENERAL GUIDELINES</w:t>
      </w:r>
      <w:bookmarkEnd w:id="16"/>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336B35" w:rsidRPr="005D0593" w:rsidP="00336B35" w14:paraId="478B2E86" w14:textId="47C0D599">
      <w:pPr>
        <w:ind w:firstLine="720"/>
      </w:pPr>
      <w:r w:rsidRPr="005D0593">
        <w:t>This collection of information is consistent with all other OMB guidelines under 5 CFR 1320.5, with the exception of requiring certain records to be maintained for more than three years.</w:t>
      </w:r>
    </w:p>
    <w:p w:rsidR="00336B35" w:rsidRPr="005D0593" w:rsidP="00336B35" w14:paraId="17DC3D2C" w14:textId="038193DE">
      <w:pPr>
        <w:ind w:firstLine="720"/>
      </w:pPr>
      <w:r w:rsidRPr="005D0593">
        <w:t xml:space="preserve">Generally, the GHGRP has a three-year requirement for record retention consistent with the retention period specified in the general information collection guidelines in 5 CFR 1320.5(f) of the OMB regulations implementing the Paperwork Reduction Act. However, for 23 subparts, some data used to calculate GHG emissions, such as process or production data specific to each facility’s operation, are not reported to the EPA because of disclosure concerns (79 FR 63750, October 24, 2014). Reporters instead enter those data into a web-based verification tool called Inputs Verification Tool (IVT) housed within e-GGRT. IVT does not retain the entered inputs; instead it calculates emissions using “inputs to equations” and conducts verification checks at the time of data entry. Facilities using IVT for any subpart are required to retain all records for five years. The final revisions would require certain facilities subject to subpart Y and new subparts WW (Coke Calciners), XX (Calcium Carbide Production), YY (Caprolactam, Glyoxal, and Glyoxylic Acid Production), and ZZ (Ceramics Manufacturing) to retain the file generated by IVT for five years. Refer to the “Reporting and Recordkeeping Requirements” section in </w:t>
      </w:r>
      <w:r w:rsidR="00BB0164">
        <w:t>sec</w:t>
      </w:r>
      <w:r w:rsidR="00A0039C">
        <w:t>tion 12b</w:t>
      </w:r>
      <w:r w:rsidRPr="005D0593">
        <w:t xml:space="preserve"> and Tables 1 and 2 of Attachment 1 for a description of these reporters and the data elements required to be retained.</w:t>
      </w:r>
    </w:p>
    <w:p w:rsidR="00336B35" w:rsidRPr="005D0593" w:rsidP="00336B35" w14:paraId="29C11BCE" w14:textId="77777777">
      <w:pPr>
        <w:ind w:firstLine="720"/>
      </w:pPr>
      <w:r w:rsidRPr="005D0593">
        <w:t xml:space="preserve">The EPA has previously determined that five years is a reasonable time period given the large number of reporters and the likely increase in follow-up activities due to IVT. It is important that relevant records are available to the EPA for follow-up activities with facilities, including onsite audits if necessary, regarding potential errors, discrepancies, or questions. Should an EPA inspector visit a facility, it is important to be able to examine not only the current year’s records but those from previous years as well. Employing year-to-year comparisons are useful for verifying the current year’s data. A 5-year record retention period ensures the availability of relevant records for the follow-up activities described above. </w:t>
      </w:r>
    </w:p>
    <w:p w:rsidR="006036CD" w:rsidRPr="00E3122D" w:rsidP="00565AEA" w14:paraId="02EE9B8D" w14:textId="77777777">
      <w:pPr>
        <w:pStyle w:val="ListParagraph"/>
        <w:numPr>
          <w:ilvl w:val="0"/>
          <w:numId w:val="2"/>
        </w:numPr>
        <w:pBdr>
          <w:bottom w:val="single" w:sz="4" w:space="1" w:color="auto"/>
        </w:pBdr>
        <w:spacing w:before="240" w:after="0"/>
        <w:rPr>
          <w:rFonts w:cstheme="minorHAnsi"/>
          <w:b/>
          <w:bCs/>
        </w:rPr>
      </w:pPr>
      <w:bookmarkStart w:id="17" w:name="_Toc156593375"/>
      <w:r w:rsidRPr="00E3122D">
        <w:rPr>
          <w:rFonts w:cstheme="minorHAnsi"/>
          <w:b/>
          <w:bCs/>
        </w:rPr>
        <w:t>PUBLIC COMMENT AND CONSULTATIONS</w:t>
      </w:r>
      <w:bookmarkStart w:id="18" w:name="_Toc156593376"/>
      <w:bookmarkEnd w:id="17"/>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9" w:name="_Toc156593377"/>
      <w:bookmarkEnd w:id="18"/>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F506B" w:rsidP="00854AAE" w14:paraId="523B98ED" w14:textId="53668C58">
      <w:pPr>
        <w:spacing w:before="120" w:after="0"/>
      </w:pPr>
      <w:r w:rsidRPr="005D0593">
        <w:t xml:space="preserve">The EPA previously submitted ICRs on the proposed rules under OMB 2060-0629, ICR No. 2300.19 and OMB 2060-0748, ICR No. 2773.01. The EPA received </w:t>
      </w:r>
      <w:r w:rsidRPr="005D0593">
        <w:t>a number of</w:t>
      </w:r>
      <w:r w:rsidRPr="005D0593">
        <w:t xml:space="preserve"> comments on the proposed revisions in both the 2022 Data Quality Improvements Proposal and the 2023 Supplemental Proposal. Following consideration of comments, the EPA has, in some cases, revised the final rule requirements, and in other cases, has decided to not take final action on proposed revisions. This ICR reflects the requirements of the final revisions</w:t>
      </w:r>
      <w:r>
        <w:t>.</w:t>
      </w:r>
    </w:p>
    <w:p w:rsidR="00DB7775" w:rsidRPr="00E3122D" w:rsidP="00854AAE" w14:paraId="71A9B3CC" w14:textId="7FC20B62">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9"/>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F5B6A" w:rsidRPr="005D0593" w:rsidP="00DF5B6A" w14:paraId="6F15FC21" w14:textId="1635F8C4">
      <w:pPr>
        <w:ind w:firstLine="720"/>
      </w:pPr>
      <w:r w:rsidRPr="005D0593">
        <w:t xml:space="preserve">To learn of ways to minimize burden on reporters, the EPA engages in consultations with reporters on a regular basis. </w:t>
      </w:r>
      <w:bookmarkStart w:id="20" w:name="_Hlk529459200"/>
      <w:r w:rsidRPr="005D0593">
        <w:t xml:space="preserve">Since the GHGRP’s inception, the EPA has conducted over 140 training webinars reaching over 17,000 people and has responded to approximately 40,000 questions received by our help desk. </w:t>
      </w:r>
      <w:bookmarkEnd w:id="20"/>
      <w:r w:rsidRPr="005D0593">
        <w:t xml:space="preserve">The EPA also communicates with GHGRP reporters directly after every data submission deadline during our annual verification period. The program maintains an open-door policy and has consulted on numerous occasions with trade associations as well as individual companies with issues or concerns. As a result of these consultations, the EPA has identified specific sections of the rule language that could be clarified or did not have the intended effect. </w:t>
      </w:r>
    </w:p>
    <w:p w:rsidR="00DF5B6A" w:rsidRPr="005D0593" w:rsidP="00DF5B6A" w14:paraId="1194B265" w14:textId="77777777">
      <w:pPr>
        <w:ind w:firstLine="720"/>
      </w:pPr>
      <w:r w:rsidRPr="005D0593">
        <w:t>The EPA has previously promulgated amendments to the rule to resolve these issues and to correct technical and editorial errors that have been identified. Some of these amendments affected burden, but most amendments reduced burden or did not affect it. In addition to correcting and clarifying existing requirements, the EPA has amended the GHGRP in other ways based on public comments and stakeholder feedback, (</w:t>
      </w:r>
      <w:r w:rsidRPr="005D0593">
        <w:rPr>
          <w:i/>
        </w:rPr>
        <w:t>e.g.,</w:t>
      </w:r>
      <w:r w:rsidRPr="005D0593">
        <w:t xml:space="preserve"> promulgated rulemakings that re-propose certain subparts, added requirements for new facilities and suppliers, and added reporting requirements that provide information about parent companies).</w:t>
      </w:r>
    </w:p>
    <w:p w:rsidR="00DF5B6A" w:rsidRPr="005D0593" w:rsidP="00DF5B6A" w14:paraId="7C2E7FFC" w14:textId="77777777">
      <w:pPr>
        <w:ind w:firstLine="720"/>
      </w:pPr>
      <w:r w:rsidRPr="005D0593">
        <w:t>To monitor the usefulness of this data collection, the GHGRP staff are in regular communication with other EPA programs that use the data, such as voluntary and mandatory GHG reduction programs within the Office of Air and Radiation. The EPA also consults regularly with state, local, and tribal environmental control agencies, environmental groups, research entities, and other nongovernmental organizations.</w:t>
      </w:r>
    </w:p>
    <w:p w:rsidR="00DF5B6A" w:rsidRPr="00DF5B6A" w:rsidP="00DF5B6A" w14:paraId="18DFDBF3" w14:textId="77777777">
      <w:pPr>
        <w:pStyle w:val="BodyText"/>
        <w:ind w:firstLine="720"/>
        <w:rPr>
          <w:rFonts w:asciiTheme="minorHAnsi" w:eastAsiaTheme="minorEastAsia" w:hAnsiTheme="minorHAnsi" w:cstheme="minorBidi"/>
          <w:sz w:val="22"/>
          <w:szCs w:val="22"/>
        </w:rPr>
      </w:pPr>
      <w:r w:rsidRPr="00DF5B6A">
        <w:rPr>
          <w:rFonts w:asciiTheme="minorHAnsi" w:eastAsiaTheme="minorEastAsia" w:hAnsiTheme="minorHAnsi" w:cstheme="minorBidi"/>
          <w:sz w:val="22"/>
          <w:szCs w:val="22"/>
        </w:rPr>
        <w:t>In the current action, the EPA is primarily finalizing amendments that would improve the quality of data collected through the GHGRP. Specifically, the EPA is finalizing amendments to: (1) update the General Provisions to reflect revised GWPs; (2)</w:t>
      </w:r>
      <w:r w:rsidRPr="00DF5B6A">
        <w:rPr>
          <w:rFonts w:asciiTheme="minorHAnsi" w:eastAsiaTheme="minorEastAsia" w:hAnsiTheme="minorHAnsi" w:cstheme="minorBidi"/>
          <w:sz w:val="22"/>
          <w:szCs w:val="22"/>
        </w:rPr>
        <w:t xml:space="preserve"> </w:t>
      </w:r>
      <w:r w:rsidRPr="00DF5B6A">
        <w:rPr>
          <w:rFonts w:asciiTheme="minorHAnsi" w:eastAsiaTheme="minorEastAsia" w:hAnsiTheme="minorHAnsi" w:cstheme="minorBidi"/>
          <w:sz w:val="22"/>
          <w:szCs w:val="22"/>
        </w:rPr>
        <w:t>improve the accuracy of the GHGRP through adding new requirements for reporting of GHG data from additional sectors (coke calcining; ceramics manufacturing; calcium carbide production; caprolactam, glyoxal, and glyoxylic acid production; and facilities conducting geologic sequestration of carbon dioxide with enhanced oil recovery); (3)</w:t>
      </w:r>
      <w:r w:rsidRPr="00DF5B6A">
        <w:rPr>
          <w:rFonts w:asciiTheme="minorHAnsi" w:eastAsiaTheme="minorEastAsia" w:hAnsiTheme="minorHAnsi" w:cstheme="minorBidi"/>
          <w:sz w:val="22"/>
          <w:szCs w:val="22"/>
        </w:rPr>
        <w:t xml:space="preserve"> </w:t>
      </w:r>
      <w:r w:rsidRPr="00DF5B6A">
        <w:rPr>
          <w:rFonts w:asciiTheme="minorHAnsi" w:eastAsiaTheme="minorEastAsia" w:hAnsiTheme="minorHAnsi" w:cstheme="minorBidi"/>
          <w:sz w:val="22"/>
          <w:szCs w:val="22"/>
        </w:rPr>
        <w:t xml:space="preserve">update emissions calculation methodologies to more accurately reflect industry emissions; (4) eliminate data gaps and improve data accuracy through modified or added reporting requirements; (5) address commenter concerns and make edits that improve understanding of the rule; (6) revise applicability estimation methods to account for changes in usage of certain GHGs and improve accuracy; (7) simplify or provide flexibility in calculation methodologies and monitoring requirements; and (8) remove redundant or currently un-useful data elements or recordkeeping requirements. These revisions were identified by the EPA and affected entities during implementation (e.g., through the verification of annual reports, from questions or concerns raised by reporting entities, or through stakeholder workshops) and following publication of the 2022 Data Quality Improvements Proposal and 2023 Supplemental Proposal (e.g., through review of new data or more recent scientific assessments and issues raised by affected entities in public comments). </w:t>
      </w:r>
    </w:p>
    <w:p w:rsidR="00111663" w:rsidRPr="00E61F2F" w:rsidP="00E61F2F" w14:paraId="5E198479" w14:textId="02F06DF8">
      <w:pPr>
        <w:pStyle w:val="BodyText"/>
        <w:ind w:firstLine="720"/>
        <w:rPr>
          <w:rFonts w:asciiTheme="minorHAnsi" w:eastAsiaTheme="minorEastAsia" w:hAnsiTheme="minorHAnsi" w:cstheme="minorBidi"/>
          <w:sz w:val="22"/>
          <w:szCs w:val="22"/>
        </w:rPr>
      </w:pPr>
      <w:r w:rsidRPr="00DF5B6A">
        <w:rPr>
          <w:rFonts w:asciiTheme="minorHAnsi" w:eastAsiaTheme="minorEastAsia" w:hAnsiTheme="minorHAnsi" w:cstheme="minorBidi"/>
          <w:sz w:val="22"/>
          <w:szCs w:val="22"/>
        </w:rPr>
        <w:t>The EPA received a number of comments on various provisions of the proposed rules. Following consideration of public comments, the final costs have been adjusted from those proposed to remove costs where the EPA is not taking final action on specific proposed revisions to add subpart B (Energy Consumption), certain costs associated with proposed revisions to subpart W (Petroleum and Natural Gas Systems) included in the 2022 Data Quality Improvements Proposal, and costs associated with certain revisions to calculations, monitoring, or reporting requirements for subparts A (General Provisions), C (General Stationary Fuel Combustion), F (Aluminum Production), G (Ammonia Production), H (Cement Production), S (Lime Production), HH (Municipal Waste Landfills), OO (Suppliers of Industrial Greenhouse Gases), and QQ (Importers and Exporters of Fluorinated Greenhouse Gases Contained in Pre-Charged Equipment and Closed-Cell Foams). The burden of the final rule has also been adjusted to account for additional final reporting and recordkeeping requirements for subparts I (Electronics Manufacturing), P (Hydrogen Production), DD (Electrical Transmission and Distribution Equipment Use), and ZZ (Ceramics Manufacturing).</w:t>
      </w:r>
    </w:p>
    <w:p w:rsidR="00A233E0" w:rsidRPr="00E3122D" w:rsidP="00565AEA" w14:paraId="191560B2" w14:textId="77777777">
      <w:pPr>
        <w:pStyle w:val="ListParagraph"/>
        <w:numPr>
          <w:ilvl w:val="0"/>
          <w:numId w:val="2"/>
        </w:numPr>
        <w:pBdr>
          <w:bottom w:val="single" w:sz="4" w:space="1" w:color="auto"/>
        </w:pBdr>
        <w:spacing w:before="240" w:after="0"/>
        <w:rPr>
          <w:rFonts w:cstheme="minorHAnsi"/>
          <w:b/>
          <w:bCs/>
        </w:rPr>
      </w:pPr>
      <w:bookmarkStart w:id="21" w:name="_Toc156593378"/>
      <w:r w:rsidRPr="00E3122D">
        <w:rPr>
          <w:rFonts w:cstheme="minorHAnsi"/>
          <w:b/>
          <w:bCs/>
        </w:rPr>
        <w:t>PAYMENTS OR GIFTS TO RESPONDENTS</w:t>
      </w:r>
      <w:bookmarkEnd w:id="21"/>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74FA76D">
      <w:pPr>
        <w:rPr>
          <w:rFonts w:cstheme="minorHAnsi"/>
        </w:rPr>
      </w:pPr>
      <w:r w:rsidRPr="00F573CC">
        <w:t>No payments or gifts are provided to respondents.</w:t>
      </w:r>
    </w:p>
    <w:p w:rsidR="4C04BBF2" w:rsidP="00565AEA" w14:paraId="333FE36D" w14:textId="45DEA41F">
      <w:pPr>
        <w:pStyle w:val="ListParagraph"/>
        <w:numPr>
          <w:ilvl w:val="0"/>
          <w:numId w:val="2"/>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DF5B6A" w:rsidRPr="00DF5B6A" w:rsidP="00DF5B6A" w14:paraId="3AEFCFA4" w14:textId="2E69D97A">
      <w:pPr>
        <w:pStyle w:val="BodyText"/>
        <w:ind w:firstLine="720"/>
        <w:rPr>
          <w:rFonts w:asciiTheme="minorHAnsi" w:eastAsiaTheme="minorEastAsia" w:hAnsiTheme="minorHAnsi" w:cstheme="minorBidi"/>
          <w:sz w:val="22"/>
          <w:szCs w:val="22"/>
        </w:rPr>
      </w:pPr>
      <w:r w:rsidRPr="00DF5B6A">
        <w:rPr>
          <w:rFonts w:asciiTheme="minorHAnsi" w:eastAsiaTheme="minorEastAsia" w:hAnsiTheme="minorHAnsi" w:cstheme="minorBidi"/>
          <w:sz w:val="22"/>
          <w:szCs w:val="22"/>
        </w:rPr>
        <w:t xml:space="preserve">Data collected under the GHGRP must be made available to the public unless the data qualify for CBI treatment under the CAA and EPA regulations. The EPA typically makes confidentiality determinations under the CAA on a case-by-case basis under 40 CFR 2.301. Due to the large numbers of </w:t>
      </w:r>
      <w:r w:rsidRPr="00DF5B6A">
        <w:rPr>
          <w:rFonts w:asciiTheme="minorHAnsi" w:eastAsiaTheme="minorEastAsia" w:hAnsiTheme="minorHAnsi" w:cstheme="minorBidi"/>
          <w:sz w:val="22"/>
          <w:szCs w:val="22"/>
        </w:rPr>
        <w:t>entities reporting under the GHGRP and the large number of data reporting elements, the EPA concluded that case-by-case determinations would not result in a timely release of emissions data and other non-CBI data (75 FR 39094; July 7, 2010). Therefore, the EPA has published confidentiality determinations for most information reported under the GHGRP (76 FR 30782; May 26, 2011, 77 FR 48072; August 13, 2012, 77 FR 51477; August 24, 2012, 78 FR 68162; November 13, 2013, 78 FR 71904; November 29, 2013, 79 FR 3507; January 22, 2014, 79 FR 63750; October 24, 2014, 79 FR 70352; November 25, 2014, 79 FR 73750; December 11, 2014, 80 FR 64262; October 22, 2015, 81 FR 86490; November 30, 2016, and 81 FR 89188; December 9, 2016). These confidentiality determinations specify which data reporting elements in part 98: (1) are CBI, (2) are non-CBI, and (3) are emissions data (i.e., ineligible for CBI protection). All data determined by the EPA to be CBI are safeguarded in accordance with regulations in 40 CFR Chapter 1, Part 2, Subpart B.</w:t>
      </w:r>
    </w:p>
    <w:p w:rsidR="00DF5B6A" w:rsidRPr="00DF5B6A" w:rsidP="00DF5B6A" w14:paraId="49AF52A7" w14:textId="2C2BC5BF">
      <w:pPr>
        <w:pStyle w:val="BodyText"/>
        <w:ind w:firstLine="720"/>
        <w:rPr>
          <w:rFonts w:asciiTheme="minorHAnsi" w:eastAsiaTheme="minorEastAsia" w:hAnsiTheme="minorHAnsi" w:cstheme="minorBidi"/>
          <w:sz w:val="22"/>
          <w:szCs w:val="22"/>
        </w:rPr>
      </w:pPr>
      <w:r w:rsidRPr="00DF5B6A">
        <w:rPr>
          <w:rFonts w:asciiTheme="minorHAnsi" w:eastAsiaTheme="minorEastAsia" w:hAnsiTheme="minorHAnsi" w:cstheme="minorBidi"/>
          <w:sz w:val="22"/>
          <w:szCs w:val="22"/>
        </w:rPr>
        <w:t>In this action, the EPA is finalizing confidentiality determinations for the new and substantially revised data elements contained in the final amendments; the EPA is also finalizing confidentiality determinations for certain existing data elements for which a confidentiality determination has not previously been proposed or finalized. By proposing confidentiality determinations prior to data reporting, the EPA provided potential reporters an opportunity to submit comments, particularly comments identifying data they consider sensitive and their rationales and supporting documentation. This opportunity to submit comments is the same opportunity that is afforded to submitters of information in case-by-case confidentiality determinations and provides an opportunity to rebut the agency’s proposed determinations prior to finalization. The EPA has evaluated the comments on the proposed determinations, including claims of confidentiality and information substantiating such claims, and finalized the confidentiality determinations with revisions following consideration of each claim.</w:t>
      </w:r>
      <w:r w:rsidR="00E61F2F">
        <w:rPr>
          <w:rFonts w:asciiTheme="minorHAnsi" w:eastAsiaTheme="minorEastAsia" w:hAnsiTheme="minorHAnsi" w:cstheme="minorBidi"/>
          <w:sz w:val="22"/>
          <w:szCs w:val="22"/>
        </w:rPr>
        <w:t xml:space="preserve"> </w:t>
      </w:r>
      <w:r w:rsidRPr="0061099C" w:rsidR="00E61F2F">
        <w:rPr>
          <w:rFonts w:asciiTheme="minorHAnsi" w:eastAsiaTheme="minorEastAsia" w:hAnsiTheme="minorHAnsi" w:cstheme="minorBidi"/>
          <w:sz w:val="22"/>
          <w:szCs w:val="22"/>
        </w:rPr>
        <w:t xml:space="preserve">Details of </w:t>
      </w:r>
      <w:r w:rsidR="00E61F2F">
        <w:rPr>
          <w:rFonts w:asciiTheme="minorHAnsi" w:eastAsiaTheme="minorEastAsia" w:hAnsiTheme="minorHAnsi" w:cstheme="minorBidi"/>
          <w:sz w:val="22"/>
          <w:szCs w:val="22"/>
        </w:rPr>
        <w:t>the EPA’s final confidentiality determinations</w:t>
      </w:r>
      <w:r w:rsidRPr="0061099C" w:rsidR="00E61F2F">
        <w:rPr>
          <w:rFonts w:asciiTheme="minorHAnsi" w:eastAsiaTheme="minorEastAsia" w:hAnsiTheme="minorHAnsi" w:cstheme="minorBidi"/>
          <w:sz w:val="22"/>
          <w:szCs w:val="22"/>
        </w:rPr>
        <w:t xml:space="preserve"> are presented in the memoranda, </w:t>
      </w:r>
      <w:r w:rsidRPr="00E61F2F" w:rsidR="00E61F2F">
        <w:rPr>
          <w:rFonts w:asciiTheme="minorHAnsi" w:eastAsiaTheme="minorEastAsia" w:hAnsiTheme="minorHAnsi" w:cstheme="minorBidi"/>
          <w:i/>
          <w:iCs/>
          <w:sz w:val="22"/>
          <w:szCs w:val="22"/>
        </w:rPr>
        <w:t xml:space="preserve">Confidentiality Determinations and Emission Data Designations for Data Elements in the 2024 Final Revisions to the Greenhouse Gas Reporting Rule </w:t>
      </w:r>
      <w:r w:rsidRPr="0061099C" w:rsidR="00E61F2F">
        <w:rPr>
          <w:rFonts w:asciiTheme="minorHAnsi" w:eastAsiaTheme="minorEastAsia" w:hAnsiTheme="minorHAnsi" w:cstheme="minorBidi"/>
          <w:sz w:val="22"/>
          <w:szCs w:val="22"/>
        </w:rPr>
        <w:t>(</w:t>
      </w:r>
      <w:r w:rsidR="00E61F2F">
        <w:rPr>
          <w:rFonts w:asciiTheme="minorHAnsi" w:eastAsiaTheme="minorEastAsia" w:hAnsiTheme="minorHAnsi" w:cstheme="minorBidi"/>
          <w:sz w:val="22"/>
          <w:szCs w:val="22"/>
        </w:rPr>
        <w:t>February 2024</w:t>
      </w:r>
      <w:r w:rsidRPr="0061099C" w:rsidR="00E61F2F">
        <w:rPr>
          <w:rFonts w:asciiTheme="minorHAnsi" w:eastAsiaTheme="minorEastAsia" w:hAnsiTheme="minorHAnsi" w:cstheme="minorBidi"/>
          <w:sz w:val="22"/>
          <w:szCs w:val="22"/>
        </w:rPr>
        <w:t>).</w:t>
      </w:r>
    </w:p>
    <w:p w:rsidR="00A233E0" w:rsidRPr="00E3122D" w:rsidP="00565AEA" w14:paraId="36FBAEFB" w14:textId="77777777">
      <w:pPr>
        <w:pStyle w:val="ListParagraph"/>
        <w:numPr>
          <w:ilvl w:val="0"/>
          <w:numId w:val="2"/>
        </w:numPr>
        <w:pBdr>
          <w:bottom w:val="single" w:sz="4" w:space="1" w:color="auto"/>
        </w:pBdr>
        <w:spacing w:before="240" w:after="0"/>
        <w:rPr>
          <w:rFonts w:cstheme="minorHAnsi"/>
          <w:b/>
          <w:bCs/>
        </w:rPr>
      </w:pPr>
      <w:bookmarkStart w:id="22" w:name="_Toc156593380"/>
      <w:r w:rsidRPr="4BDBF0A0">
        <w:rPr>
          <w:b/>
          <w:bCs/>
        </w:rPr>
        <w:t>JUSTIFICATION FOR SENSITIVE QUESTIONS</w:t>
      </w:r>
      <w:bookmarkEnd w:id="22"/>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E61F2F" w:rsidP="00E61F2F" w14:paraId="77467D05" w14:textId="407C1B75">
      <w:pPr>
        <w:pStyle w:val="Default"/>
        <w:ind w:firstLine="720"/>
        <w:rPr>
          <w:rFonts w:asciiTheme="minorHAnsi" w:eastAsiaTheme="minorEastAsia" w:hAnsiTheme="minorHAnsi" w:cstheme="minorBidi"/>
          <w:color w:val="auto"/>
          <w:sz w:val="22"/>
          <w:szCs w:val="22"/>
        </w:rPr>
      </w:pPr>
      <w:r w:rsidRPr="00DF5B6A">
        <w:rPr>
          <w:rFonts w:asciiTheme="minorHAnsi" w:eastAsiaTheme="minorEastAsia" w:hAnsiTheme="minorHAnsi" w:cstheme="minorBidi"/>
          <w:color w:val="auto"/>
          <w:sz w:val="22"/>
          <w:szCs w:val="22"/>
        </w:rPr>
        <w:t>The revisions to calculation, monitoring, reporting and recordkeeping requirements in these final revisions to part 98 do not include sensitive questions.</w:t>
      </w:r>
    </w:p>
    <w:p w:rsidR="001172FE" w:rsidRPr="00E3122D" w:rsidP="00565AEA" w14:paraId="637A8E82" w14:textId="77777777">
      <w:pPr>
        <w:pStyle w:val="ListParagraph"/>
        <w:numPr>
          <w:ilvl w:val="0"/>
          <w:numId w:val="2"/>
        </w:numPr>
        <w:spacing w:before="240" w:after="0"/>
        <w:rPr>
          <w:rFonts w:cstheme="minorHAnsi"/>
          <w:b/>
          <w:bCs/>
        </w:rPr>
      </w:pPr>
      <w:bookmarkStart w:id="23" w:name="_Toc156593381"/>
      <w:r w:rsidRPr="4BDBF0A0">
        <w:rPr>
          <w:b/>
          <w:bCs/>
        </w:rPr>
        <w:t>RESPONDENT BURDEN HOURS</w:t>
      </w:r>
      <w:r w:rsidRPr="4BDBF0A0" w:rsidR="00DB799B">
        <w:rPr>
          <w:b/>
          <w:bCs/>
        </w:rPr>
        <w:t xml:space="preserve"> &amp; LABOR COSTS</w:t>
      </w:r>
      <w:bookmarkStart w:id="24" w:name="_Toc156593382"/>
      <w:bookmarkEnd w:id="23"/>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565AEA" w14:paraId="11BD2D70" w14:textId="77777777">
      <w:pPr>
        <w:pStyle w:val="ListParagraph"/>
        <w:numPr>
          <w:ilvl w:val="0"/>
          <w:numId w:val="1"/>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565AEA" w14:paraId="2184CE92" w14:textId="77777777">
      <w:pPr>
        <w:pStyle w:val="ListParagraph"/>
        <w:numPr>
          <w:ilvl w:val="0"/>
          <w:numId w:val="1"/>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565AEA" w14:paraId="7EF5894F" w14:textId="5EEBA470">
      <w:pPr>
        <w:pStyle w:val="ListParagraph"/>
        <w:numPr>
          <w:ilvl w:val="0"/>
          <w:numId w:val="1"/>
        </w:numPr>
        <w:pBdr>
          <w:bottom w:val="single" w:sz="4" w:space="1" w:color="auto"/>
        </w:pBdr>
        <w:ind w:left="446"/>
        <w:rPr>
          <w:rFonts w:cstheme="minorHAnsi"/>
          <w:i/>
          <w:iCs/>
        </w:rPr>
      </w:pPr>
      <w:r w:rsidRPr="00F532D6">
        <w:rPr>
          <w:rFonts w:cstheme="minorHAnsi"/>
          <w:i/>
          <w:iCs/>
        </w:rPr>
        <w:t xml:space="preserve">Provide estimates of annualized cost to respondents for the hour burdens for collections of information, identifying and using appropriate wage rate categories. The cost of contracting out or </w:t>
      </w:r>
      <w:r w:rsidRPr="00F532D6">
        <w:rPr>
          <w:rFonts w:cstheme="minorHAnsi"/>
          <w:i/>
          <w:iCs/>
        </w:rPr>
        <w:t>paying outside parties for information collection activities should not be included here. Instead, this cost should be included as O&amp;M costs under non-labor costs covered under question 13</w:t>
      </w:r>
      <w:r w:rsidR="001F0834">
        <w:rPr>
          <w:rFonts w:cstheme="minorHAnsi"/>
          <w:i/>
          <w:iCs/>
        </w:rPr>
        <w:t>.</w:t>
      </w:r>
    </w:p>
    <w:p w:rsidR="00DF5B6A" w:rsidRPr="005D0593" w:rsidP="00DF5B6A" w14:paraId="097E7676" w14:textId="3B067BBE">
      <w:pPr>
        <w:keepNext/>
        <w:autoSpaceDE w:val="0"/>
        <w:autoSpaceDN w:val="0"/>
        <w:adjustRightInd w:val="0"/>
      </w:pPr>
      <w:r w:rsidRPr="005D0593">
        <w:t xml:space="preserve">The respondents in this information collection include owners and operators of facilities that must report their GHG emissions to the EPA to comply with the GHGRP rule. To facilitate the analysis, the EPA has divided respondents into groups that align with the source categories identified in the rule. </w:t>
      </w:r>
    </w:p>
    <w:p w:rsidR="00DF5B6A" w:rsidRPr="00DF5B6A" w:rsidP="00DF5B6A" w14:paraId="2920CD33" w14:textId="3A1D176E">
      <w:pPr>
        <w:autoSpaceDE w:val="0"/>
        <w:autoSpaceDN w:val="0"/>
        <w:adjustRightInd w:val="0"/>
      </w:pPr>
      <w:r w:rsidRPr="005D0593">
        <w:t xml:space="preserve">This section lists the </w:t>
      </w:r>
      <w:bookmarkStart w:id="25" w:name="OLE_LINK9"/>
      <w:bookmarkStart w:id="26" w:name="OLE_LINK10"/>
      <w:r w:rsidRPr="005D0593">
        <w:t xml:space="preserve">industry sectors </w:t>
      </w:r>
      <w:bookmarkEnd w:id="25"/>
      <w:bookmarkEnd w:id="26"/>
      <w:r w:rsidRPr="005D0593">
        <w:t>(</w:t>
      </w:r>
      <w:r w:rsidRPr="00DF5B6A">
        <w:rPr>
          <w:i/>
        </w:rPr>
        <w:t>i.e.,</w:t>
      </w:r>
      <w:r w:rsidRPr="005D0593">
        <w:t xml:space="preserve"> GHG source categories) that must report to the GHGRP, the data items required of program participants, and the activities in which participants must engage to collect, assess, and in some cases submit the required data items. </w:t>
      </w:r>
    </w:p>
    <w:p w:rsidR="001172FE" w:rsidRPr="00E3122D" w:rsidP="00854AAE" w14:paraId="571186E5" w14:textId="2EEBDA41">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27" w:name="_Toc156593383"/>
      <w:bookmarkEnd w:id="24"/>
    </w:p>
    <w:p w:rsidR="00DF5B6A" w:rsidRPr="005D0593" w:rsidP="00DF5B6A" w14:paraId="7254B5FC" w14:textId="78952E0A">
      <w:pPr>
        <w:keepNext/>
        <w:keepLines/>
        <w:ind w:firstLine="540"/>
      </w:pPr>
      <w:r w:rsidRPr="005D0593">
        <w:t>Reporting facilities include</w:t>
      </w:r>
      <w:r w:rsidRPr="005D0593">
        <w:rPr>
          <w:rStyle w:val="CommentReference"/>
          <w:sz w:val="24"/>
          <w:szCs w:val="24"/>
        </w:rPr>
        <w:t>, but are not limited to, t</w:t>
      </w:r>
      <w:r w:rsidRPr="005D0593">
        <w:t>hose operating one or more units that exceed the CO</w:t>
      </w:r>
      <w:r w:rsidRPr="005D0593">
        <w:rPr>
          <w:vertAlign w:val="subscript"/>
        </w:rPr>
        <w:t>2</w:t>
      </w:r>
      <w:r w:rsidRPr="005D0593">
        <w:t>e threshold for the industry sectors listed below or those in the categories in which all must report, such as petroleum refining facilities and all other large emitters listed in Table A-3 of 40 CFR 98.2(a)(1). The final revisions include amendments that apply to existing reporting facilities, as well as amendments that revise the applicability of part 98 to certain facilities and expand the number of reporters in certain industrial sectors. These revisions include:</w:t>
      </w:r>
    </w:p>
    <w:p w:rsidR="00DF5B6A" w:rsidRPr="000238A7" w:rsidP="00565AEA" w14:paraId="5BFACABD" w14:textId="77777777">
      <w:pPr>
        <w:pStyle w:val="BodyText"/>
        <w:numPr>
          <w:ilvl w:val="0"/>
          <w:numId w:val="4"/>
        </w:numPr>
        <w:rPr>
          <w:rFonts w:eastAsia="Calibri" w:asciiTheme="minorHAnsi" w:hAnsiTheme="minorHAnsi" w:cstheme="minorHAnsi"/>
          <w:bCs/>
          <w:sz w:val="22"/>
          <w:szCs w:val="22"/>
        </w:rPr>
      </w:pPr>
      <w:r w:rsidRPr="000238A7">
        <w:rPr>
          <w:rFonts w:eastAsia="Calibri" w:asciiTheme="minorHAnsi" w:hAnsiTheme="minorHAnsi" w:cstheme="minorHAnsi"/>
          <w:bCs/>
          <w:sz w:val="22"/>
          <w:szCs w:val="22"/>
        </w:rPr>
        <w:t>Reporters who are affected by the revisions to Table A-1 to part 98, where a change to GWPs would affect reporters that are currently at or close to the 25,000 mtCO2e reporting threshold, or that will affect a reporter’s ability to offramp from part 98 reporting as determined under 40 CFR 98.2(</w:t>
      </w:r>
      <w:r w:rsidRPr="000238A7">
        <w:rPr>
          <w:rFonts w:eastAsia="Calibri" w:asciiTheme="minorHAnsi" w:hAnsiTheme="minorHAnsi" w:cstheme="minorHAnsi"/>
          <w:bCs/>
          <w:sz w:val="22"/>
          <w:szCs w:val="22"/>
        </w:rPr>
        <w:t>i</w:t>
      </w:r>
      <w:r w:rsidRPr="000238A7">
        <w:rPr>
          <w:rFonts w:eastAsia="Calibri" w:asciiTheme="minorHAnsi" w:hAnsiTheme="minorHAnsi" w:cstheme="minorHAnsi"/>
          <w:bCs/>
          <w:sz w:val="22"/>
          <w:szCs w:val="22"/>
        </w:rPr>
        <w:t xml:space="preserve">) (includes facilities that may report under subparts W (Petroleum and Natural Gas Systems), DD (Electrical Transmission and Distribution Equipment Use), HH (Municipal Solid Waste Landfills), II (Industrial Wastewater Treatment), OO (Suppliers of Industrial Greenhouse Gases), and TT (Industrial Waste Landfills). </w:t>
      </w:r>
    </w:p>
    <w:p w:rsidR="00DF5B6A" w:rsidRPr="000238A7" w:rsidP="00565AEA" w14:paraId="3F4097B7" w14:textId="77777777">
      <w:pPr>
        <w:pStyle w:val="BodyText"/>
        <w:numPr>
          <w:ilvl w:val="0"/>
          <w:numId w:val="4"/>
        </w:numPr>
        <w:rPr>
          <w:rFonts w:eastAsia="Calibri" w:asciiTheme="minorHAnsi" w:hAnsiTheme="minorHAnsi" w:cstheme="minorHAnsi"/>
          <w:bCs/>
          <w:sz w:val="22"/>
          <w:szCs w:val="22"/>
        </w:rPr>
      </w:pPr>
      <w:r w:rsidRPr="000238A7">
        <w:rPr>
          <w:rFonts w:eastAsia="Calibri" w:asciiTheme="minorHAnsi" w:hAnsiTheme="minorHAnsi" w:cstheme="minorHAnsi"/>
          <w:bCs/>
          <w:sz w:val="22"/>
          <w:szCs w:val="22"/>
        </w:rPr>
        <w:t>Revisions to include or exclude certain types of facilities under subparts P (Hydrogen Production) and Y (Petroleum Refineries).</w:t>
      </w:r>
    </w:p>
    <w:p w:rsidR="00DF5B6A" w:rsidRPr="000238A7" w:rsidP="00565AEA" w14:paraId="2C092644" w14:textId="77777777">
      <w:pPr>
        <w:pStyle w:val="BodyText"/>
        <w:numPr>
          <w:ilvl w:val="0"/>
          <w:numId w:val="4"/>
        </w:numPr>
        <w:rPr>
          <w:rFonts w:eastAsia="Calibri" w:asciiTheme="minorHAnsi" w:hAnsiTheme="minorHAnsi" w:cstheme="minorHAnsi"/>
          <w:bCs/>
          <w:sz w:val="22"/>
          <w:szCs w:val="22"/>
        </w:rPr>
      </w:pPr>
      <w:r w:rsidRPr="000238A7">
        <w:rPr>
          <w:rFonts w:eastAsia="Calibri" w:asciiTheme="minorHAnsi" w:hAnsiTheme="minorHAnsi" w:cstheme="minorHAnsi"/>
          <w:bCs/>
          <w:sz w:val="22"/>
          <w:szCs w:val="22"/>
        </w:rPr>
        <w:t>Revisions to the applicability estimation methods of subpart I (Electronics Manufacturing) that will include one additional facility not currently reporting.</w:t>
      </w:r>
    </w:p>
    <w:p w:rsidR="00DF5B6A" w:rsidRPr="00F56CF7" w:rsidP="00565AEA" w14:paraId="0AEE8D0B" w14:textId="48BE048A">
      <w:pPr>
        <w:pStyle w:val="BodyText"/>
        <w:numPr>
          <w:ilvl w:val="0"/>
          <w:numId w:val="4"/>
        </w:numPr>
        <w:rPr>
          <w:rFonts w:eastAsia="Calibri" w:asciiTheme="minorHAnsi" w:hAnsiTheme="minorHAnsi" w:cstheme="minorHAnsi"/>
          <w:bCs/>
          <w:sz w:val="22"/>
          <w:szCs w:val="22"/>
        </w:rPr>
      </w:pPr>
      <w:r w:rsidRPr="000238A7">
        <w:rPr>
          <w:rFonts w:eastAsia="Calibri" w:asciiTheme="minorHAnsi" w:hAnsiTheme="minorHAnsi" w:cstheme="minorHAnsi"/>
          <w:bCs/>
          <w:sz w:val="22"/>
          <w:szCs w:val="22"/>
        </w:rPr>
        <w:t>The addition of new source categories in subparts VV (</w:t>
      </w:r>
      <w:r w:rsidRPr="000238A7">
        <w:rPr>
          <w:rFonts w:asciiTheme="minorHAnsi" w:hAnsiTheme="minorHAnsi" w:cstheme="minorHAnsi"/>
          <w:sz w:val="22"/>
          <w:szCs w:val="22"/>
        </w:rPr>
        <w:t xml:space="preserve"> </w:t>
      </w:r>
      <w:r w:rsidRPr="000238A7">
        <w:rPr>
          <w:rFonts w:eastAsia="Calibri" w:asciiTheme="minorHAnsi" w:hAnsiTheme="minorHAnsi" w:cstheme="minorHAnsi"/>
          <w:bCs/>
          <w:sz w:val="22"/>
          <w:szCs w:val="22"/>
        </w:rPr>
        <w:t xml:space="preserve">Geologic Sequestration of Carbon Dioxide With Enhanced Oil Recovery Using ISO 27916); WW (Coke Calciners); XX (Calcium Carbide Production); YY (Caprolactam, Glyoxal, and Glyoxylic Acid Production); and ZZ (Ceramics Manufacturing). Subparts VV, WW, XX, and YY are added to </w:t>
      </w:r>
      <w:r w:rsidRPr="000238A7">
        <w:rPr>
          <w:rFonts w:asciiTheme="minorHAnsi" w:hAnsiTheme="minorHAnsi" w:cstheme="minorHAnsi"/>
          <w:sz w:val="22"/>
          <w:szCs w:val="22"/>
        </w:rPr>
        <w:t xml:space="preserve">Table A-3 of 40 CFR 98.2(a)(1) and will </w:t>
      </w:r>
      <w:r w:rsidRPr="000238A7">
        <w:rPr>
          <w:rFonts w:eastAsia="Calibri" w:asciiTheme="minorHAnsi" w:hAnsiTheme="minorHAnsi" w:cstheme="minorHAnsi"/>
          <w:bCs/>
          <w:sz w:val="22"/>
          <w:szCs w:val="22"/>
        </w:rPr>
        <w:t xml:space="preserve">apply to all </w:t>
      </w:r>
      <w:r w:rsidRPr="000238A7">
        <w:rPr>
          <w:rFonts w:asciiTheme="minorHAnsi" w:hAnsiTheme="minorHAnsi" w:cstheme="minorHAnsi"/>
          <w:sz w:val="22"/>
          <w:szCs w:val="22"/>
        </w:rPr>
        <w:t>facilities conducting geologic sequestration of carbon dioxide with enhanced oil recovery and all</w:t>
      </w:r>
      <w:r w:rsidRPr="000238A7">
        <w:rPr>
          <w:rFonts w:eastAsia="Calibri" w:asciiTheme="minorHAnsi" w:hAnsiTheme="minorHAnsi" w:cstheme="minorHAnsi"/>
          <w:bCs/>
          <w:sz w:val="22"/>
          <w:szCs w:val="22"/>
        </w:rPr>
        <w:t xml:space="preserve"> coke calcining, calcium carbide production, and caprolactam, glyoxal, or glyoxylic acid production facilities</w:t>
      </w:r>
      <w:r w:rsidRPr="000238A7">
        <w:rPr>
          <w:rFonts w:asciiTheme="minorHAnsi" w:hAnsiTheme="minorHAnsi" w:cstheme="minorHAnsi"/>
          <w:sz w:val="22"/>
          <w:szCs w:val="22"/>
        </w:rPr>
        <w:t>. Subpart ZZ, added to Table A-4 of 40 CFR 98.2(a)(2), will apply to ceramics manufacturing facilities that annually consume at least 2,000 tons of carbonates, either as raw materials or as a constituent in clay, and exceed a CO</w:t>
      </w:r>
      <w:r w:rsidRPr="000238A7">
        <w:rPr>
          <w:rFonts w:asciiTheme="minorHAnsi" w:hAnsiTheme="minorHAnsi" w:cstheme="minorHAnsi"/>
          <w:sz w:val="22"/>
          <w:szCs w:val="22"/>
          <w:vertAlign w:val="subscript"/>
        </w:rPr>
        <w:t>2</w:t>
      </w:r>
      <w:r w:rsidRPr="000238A7">
        <w:rPr>
          <w:rFonts w:asciiTheme="minorHAnsi" w:hAnsiTheme="minorHAnsi" w:cstheme="minorHAnsi"/>
          <w:sz w:val="22"/>
          <w:szCs w:val="22"/>
        </w:rPr>
        <w:t>e threshold of 25,000 mtCO</w:t>
      </w:r>
      <w:r w:rsidRPr="000238A7">
        <w:rPr>
          <w:rFonts w:asciiTheme="minorHAnsi" w:hAnsiTheme="minorHAnsi" w:cstheme="minorHAnsi"/>
          <w:sz w:val="22"/>
          <w:szCs w:val="22"/>
          <w:vertAlign w:val="subscript"/>
        </w:rPr>
        <w:t>2</w:t>
      </w:r>
      <w:r w:rsidRPr="000238A7">
        <w:rPr>
          <w:rFonts w:asciiTheme="minorHAnsi" w:hAnsiTheme="minorHAnsi" w:cstheme="minorHAnsi"/>
          <w:sz w:val="22"/>
          <w:szCs w:val="22"/>
        </w:rPr>
        <w:t>e per year.</w:t>
      </w:r>
    </w:p>
    <w:p w:rsidR="00DF5B6A" w:rsidRPr="005D0593" w:rsidP="00F56CF7" w14:paraId="78EAE6DD" w14:textId="4C1E11A9">
      <w:pPr>
        <w:keepNext/>
        <w:keepLines/>
        <w:ind w:firstLine="540"/>
      </w:pPr>
      <w:r w:rsidRPr="005D0593">
        <w:t>Industry sectors are listed below by their corresponding subpart of the rule and their NAICS code for reference. The NAICS codes are not exhaustive, but rather provide a list of facilities likely to be affected by the final revisions and confidentiality determinations. Not all reporting facilities will have a change in burden from the final revisions.</w:t>
      </w:r>
    </w:p>
    <w:p w:rsidR="00DF5B6A" w:rsidRPr="000238A7" w:rsidP="00DF5B6A" w14:paraId="66A7AFC8" w14:textId="77777777">
      <w:pPr>
        <w:pStyle w:val="GHGPARAGRAPH"/>
        <w:rPr>
          <w:rFonts w:asciiTheme="minorHAnsi" w:hAnsiTheme="minorHAnsi" w:cstheme="minorHAnsi"/>
          <w:b/>
          <w:sz w:val="22"/>
          <w:szCs w:val="22"/>
        </w:rPr>
      </w:pPr>
      <w:r w:rsidRPr="000238A7">
        <w:rPr>
          <w:rFonts w:asciiTheme="minorHAnsi" w:hAnsiTheme="minorHAnsi" w:cstheme="minorHAnsi"/>
          <w:b/>
          <w:sz w:val="22"/>
          <w:szCs w:val="22"/>
        </w:rPr>
        <w:t>Table 1. Examples of Affected Entities by Category</w:t>
      </w:r>
    </w:p>
    <w:tbl>
      <w:tblPr>
        <w:tblW w:w="5000" w:type="pct"/>
        <w:tblInd w:w="11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CellMar>
          <w:left w:w="110" w:type="dxa"/>
          <w:right w:w="110" w:type="dxa"/>
        </w:tblCellMar>
        <w:tblLook w:val="0000"/>
      </w:tblPr>
      <w:tblGrid>
        <w:gridCol w:w="3753"/>
        <w:gridCol w:w="1661"/>
        <w:gridCol w:w="3936"/>
      </w:tblGrid>
      <w:tr w14:paraId="12AFC031" w14:textId="77777777" w:rsidTr="003E7F81">
        <w:tblPrEx>
          <w:tblW w:w="5000" w:type="pct"/>
          <w:tblInd w:w="11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CellMar>
            <w:left w:w="110" w:type="dxa"/>
            <w:right w:w="110" w:type="dxa"/>
          </w:tblCellMar>
          <w:tblLook w:val="0000"/>
        </w:tblPrEx>
        <w:trPr>
          <w:cantSplit/>
          <w:tblHeader/>
        </w:trPr>
        <w:tc>
          <w:tcPr>
            <w:tcW w:w="2007" w:type="pct"/>
            <w:tcBorders>
              <w:top w:val="double" w:sz="4" w:space="0" w:color="auto"/>
              <w:bottom w:val="single" w:sz="4" w:space="0" w:color="auto"/>
            </w:tcBorders>
            <w:vAlign w:val="bottom"/>
          </w:tcPr>
          <w:p w:rsidR="00DF5B6A" w:rsidRPr="005D0593" w:rsidP="003E7F81" w14:paraId="4A0F8377" w14:textId="77777777">
            <w:pPr>
              <w:widowControl w:val="0"/>
              <w:jc w:val="center"/>
              <w:rPr>
                <w:b/>
                <w:bCs/>
              </w:rPr>
            </w:pPr>
            <w:r w:rsidRPr="005D0593">
              <w:rPr>
                <w:b/>
                <w:bCs/>
              </w:rPr>
              <w:t>Subpart</w:t>
            </w:r>
          </w:p>
        </w:tc>
        <w:tc>
          <w:tcPr>
            <w:tcW w:w="888" w:type="pct"/>
            <w:tcBorders>
              <w:top w:val="double" w:sz="4" w:space="0" w:color="auto"/>
              <w:bottom w:val="single" w:sz="4" w:space="0" w:color="auto"/>
              <w:right w:val="nil"/>
            </w:tcBorders>
            <w:vAlign w:val="bottom"/>
          </w:tcPr>
          <w:p w:rsidR="00DF5B6A" w:rsidRPr="005D0593" w:rsidP="003E7F81" w14:paraId="50335714" w14:textId="77777777">
            <w:pPr>
              <w:widowControl w:val="0"/>
              <w:jc w:val="center"/>
              <w:rPr>
                <w:b/>
                <w:bCs/>
              </w:rPr>
            </w:pPr>
            <w:r w:rsidRPr="005D0593">
              <w:rPr>
                <w:b/>
                <w:bCs/>
              </w:rPr>
              <w:t>NAICS Codes</w:t>
            </w:r>
          </w:p>
        </w:tc>
        <w:tc>
          <w:tcPr>
            <w:tcW w:w="2105" w:type="pct"/>
            <w:tcBorders>
              <w:top w:val="double" w:sz="4" w:space="0" w:color="auto"/>
              <w:left w:val="nil"/>
              <w:bottom w:val="single" w:sz="4" w:space="0" w:color="auto"/>
            </w:tcBorders>
            <w:vAlign w:val="bottom"/>
          </w:tcPr>
          <w:p w:rsidR="00DF5B6A" w:rsidRPr="005D0593" w:rsidP="003E7F81" w14:paraId="5CA074DA" w14:textId="77777777">
            <w:pPr>
              <w:widowControl w:val="0"/>
              <w:jc w:val="center"/>
              <w:rPr>
                <w:b/>
                <w:bCs/>
              </w:rPr>
            </w:pPr>
          </w:p>
        </w:tc>
      </w:tr>
      <w:tr w14:paraId="0C89A2CF" w14:textId="77777777" w:rsidTr="003E7F81">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DF5B6A" w:rsidRPr="00F56CF7" w:rsidP="003E7F81" w14:paraId="7B6CC7FA" w14:textId="77777777">
            <w:pPr>
              <w:widowControl w:val="0"/>
              <w:rPr>
                <w:rFonts w:cstheme="minorHAnsi"/>
              </w:rPr>
            </w:pPr>
            <w:r w:rsidRPr="00F56CF7">
              <w:rPr>
                <w:rFonts w:cstheme="minorHAnsi"/>
              </w:rPr>
              <w:t>C. General Stationary Fuel Combustion Sources</w:t>
            </w:r>
          </w:p>
        </w:tc>
        <w:tc>
          <w:tcPr>
            <w:tcW w:w="888" w:type="pct"/>
            <w:tcBorders>
              <w:top w:val="single" w:sz="4" w:space="0" w:color="auto"/>
              <w:bottom w:val="single" w:sz="4" w:space="0" w:color="auto"/>
              <w:right w:val="nil"/>
            </w:tcBorders>
          </w:tcPr>
          <w:p w:rsidR="00DF5B6A" w:rsidRPr="00F56CF7" w:rsidP="003E7F81" w14:paraId="1740BA28" w14:textId="77777777">
            <w:pPr>
              <w:widowControl w:val="0"/>
              <w:rPr>
                <w:rFonts w:cstheme="minorHAnsi"/>
                <w:bCs/>
              </w:rPr>
            </w:pPr>
            <w:r w:rsidRPr="00F56CF7">
              <w:rPr>
                <w:rFonts w:cstheme="minorHAnsi"/>
                <w:bCs/>
              </w:rPr>
              <w:t>.........</w:t>
            </w:r>
          </w:p>
        </w:tc>
        <w:tc>
          <w:tcPr>
            <w:tcW w:w="2105" w:type="pct"/>
            <w:tcBorders>
              <w:top w:val="single" w:sz="4" w:space="0" w:color="auto"/>
              <w:left w:val="nil"/>
              <w:bottom w:val="single" w:sz="4" w:space="0" w:color="auto"/>
            </w:tcBorders>
          </w:tcPr>
          <w:p w:rsidR="00DF5B6A" w:rsidRPr="000238A7" w:rsidP="003E7F81" w14:paraId="29325F95" w14:textId="77777777">
            <w:pPr>
              <w:pStyle w:val="Default"/>
              <w:widowControl w:val="0"/>
              <w:rPr>
                <w:rFonts w:asciiTheme="minorHAnsi" w:hAnsiTheme="minorHAnsi" w:cstheme="minorHAnsi"/>
                <w:bCs/>
                <w:color w:val="auto"/>
                <w:sz w:val="22"/>
                <w:szCs w:val="22"/>
              </w:rPr>
            </w:pPr>
            <w:r w:rsidRPr="000238A7">
              <w:rPr>
                <w:rFonts w:asciiTheme="minorHAnsi" w:hAnsiTheme="minorHAnsi" w:cstheme="minorHAnsi"/>
                <w:color w:val="auto"/>
                <w:sz w:val="22"/>
                <w:szCs w:val="22"/>
              </w:rPr>
              <w:t>Facilities operating boilers, process heaters, incinerators, turbines, and internal combustion engines.</w:t>
            </w:r>
          </w:p>
        </w:tc>
      </w:tr>
      <w:tr w14:paraId="3932906D"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3E7F81" w14:paraId="1737A436" w14:textId="77777777">
            <w:pPr>
              <w:widowControl w:val="0"/>
              <w:rPr>
                <w:rFonts w:cstheme="minorHAnsi"/>
              </w:rPr>
            </w:pPr>
          </w:p>
        </w:tc>
        <w:tc>
          <w:tcPr>
            <w:tcW w:w="888" w:type="pct"/>
            <w:tcBorders>
              <w:top w:val="single" w:sz="4" w:space="0" w:color="auto"/>
              <w:bottom w:val="single" w:sz="4" w:space="0" w:color="auto"/>
              <w:right w:val="nil"/>
            </w:tcBorders>
          </w:tcPr>
          <w:p w:rsidR="00DF5B6A" w:rsidRPr="000238A7" w:rsidP="003E7F81" w14:paraId="4CA36A42" w14:textId="77777777">
            <w:pPr>
              <w:pStyle w:val="Default"/>
              <w:widowControl w:val="0"/>
              <w:rPr>
                <w:rFonts w:asciiTheme="minorHAnsi" w:hAnsiTheme="minorHAnsi" w:cstheme="minorHAnsi"/>
                <w:bCs/>
                <w:color w:val="auto"/>
                <w:sz w:val="22"/>
                <w:szCs w:val="22"/>
              </w:rPr>
            </w:pPr>
            <w:r w:rsidRPr="000238A7">
              <w:rPr>
                <w:rFonts w:asciiTheme="minorHAnsi" w:hAnsiTheme="minorHAnsi" w:cstheme="minorHAnsi"/>
                <w:bCs/>
                <w:color w:val="auto"/>
                <w:sz w:val="22"/>
                <w:szCs w:val="22"/>
              </w:rPr>
              <w:t>211</w:t>
            </w:r>
          </w:p>
        </w:tc>
        <w:tc>
          <w:tcPr>
            <w:tcW w:w="2105" w:type="pct"/>
            <w:tcBorders>
              <w:top w:val="single" w:sz="4" w:space="0" w:color="auto"/>
              <w:left w:val="nil"/>
              <w:bottom w:val="single" w:sz="4" w:space="0" w:color="auto"/>
            </w:tcBorders>
          </w:tcPr>
          <w:p w:rsidR="00DF5B6A" w:rsidRPr="00F56CF7" w:rsidP="003E7F81" w14:paraId="34303A1F" w14:textId="77777777">
            <w:pPr>
              <w:widowControl w:val="0"/>
              <w:rPr>
                <w:rFonts w:cstheme="minorHAnsi"/>
                <w:bCs/>
              </w:rPr>
            </w:pPr>
            <w:r w:rsidRPr="00F56CF7">
              <w:rPr>
                <w:rFonts w:cstheme="minorHAnsi"/>
              </w:rPr>
              <w:t>Extractors of crude petroleum and natural gas.</w:t>
            </w:r>
          </w:p>
        </w:tc>
      </w:tr>
      <w:tr w14:paraId="21D1E7CA"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3E7F81" w14:paraId="63DB8547" w14:textId="77777777">
            <w:pPr>
              <w:widowControl w:val="0"/>
              <w:rPr>
                <w:rFonts w:cstheme="minorHAnsi"/>
              </w:rPr>
            </w:pPr>
          </w:p>
        </w:tc>
        <w:tc>
          <w:tcPr>
            <w:tcW w:w="888" w:type="pct"/>
            <w:tcBorders>
              <w:top w:val="single" w:sz="4" w:space="0" w:color="auto"/>
              <w:bottom w:val="single" w:sz="4" w:space="0" w:color="auto"/>
              <w:right w:val="nil"/>
            </w:tcBorders>
          </w:tcPr>
          <w:p w:rsidR="00DF5B6A" w:rsidRPr="000238A7" w:rsidP="003E7F81" w14:paraId="7794F345"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 xml:space="preserve">321 </w:t>
            </w:r>
          </w:p>
          <w:p w:rsidR="00DF5B6A" w:rsidRPr="00F56CF7" w:rsidP="003E7F81" w14:paraId="28458F49" w14:textId="77777777">
            <w:pPr>
              <w:widowControl w:val="0"/>
              <w:rPr>
                <w:rFonts w:cstheme="minorHAnsi"/>
                <w:bCs/>
              </w:rPr>
            </w:pPr>
          </w:p>
        </w:tc>
        <w:tc>
          <w:tcPr>
            <w:tcW w:w="2105" w:type="pct"/>
            <w:tcBorders>
              <w:top w:val="single" w:sz="4" w:space="0" w:color="auto"/>
              <w:left w:val="nil"/>
              <w:bottom w:val="single" w:sz="4" w:space="0" w:color="auto"/>
            </w:tcBorders>
          </w:tcPr>
          <w:p w:rsidR="00DF5B6A" w:rsidRPr="00F56CF7" w:rsidP="003E7F81" w14:paraId="0F96A8AE" w14:textId="77777777">
            <w:pPr>
              <w:widowControl w:val="0"/>
              <w:rPr>
                <w:rFonts w:cstheme="minorHAnsi"/>
                <w:bCs/>
              </w:rPr>
            </w:pPr>
            <w:r w:rsidRPr="00F56CF7">
              <w:rPr>
                <w:rFonts w:cstheme="minorHAnsi"/>
              </w:rPr>
              <w:t>Manufacturers of lumber and wood products.</w:t>
            </w:r>
          </w:p>
        </w:tc>
      </w:tr>
      <w:tr w14:paraId="0140B101"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3E7F81" w14:paraId="0CB5FC4A" w14:textId="77777777">
            <w:pPr>
              <w:widowControl w:val="0"/>
              <w:rPr>
                <w:rFonts w:cstheme="minorHAnsi"/>
              </w:rPr>
            </w:pPr>
          </w:p>
        </w:tc>
        <w:tc>
          <w:tcPr>
            <w:tcW w:w="888" w:type="pct"/>
            <w:tcBorders>
              <w:top w:val="single" w:sz="4" w:space="0" w:color="auto"/>
              <w:bottom w:val="single" w:sz="4" w:space="0" w:color="auto"/>
              <w:right w:val="nil"/>
            </w:tcBorders>
          </w:tcPr>
          <w:p w:rsidR="00DF5B6A" w:rsidRPr="00F56CF7" w:rsidP="003E7F81" w14:paraId="3C9C566F" w14:textId="77777777">
            <w:pPr>
              <w:widowControl w:val="0"/>
              <w:rPr>
                <w:rFonts w:cstheme="minorHAnsi"/>
                <w:bCs/>
              </w:rPr>
            </w:pPr>
            <w:r w:rsidRPr="00F56CF7">
              <w:rPr>
                <w:rFonts w:cstheme="minorHAnsi"/>
              </w:rPr>
              <w:t>322</w:t>
            </w:r>
          </w:p>
        </w:tc>
        <w:tc>
          <w:tcPr>
            <w:tcW w:w="2105" w:type="pct"/>
            <w:tcBorders>
              <w:top w:val="single" w:sz="4" w:space="0" w:color="auto"/>
              <w:left w:val="nil"/>
              <w:bottom w:val="single" w:sz="4" w:space="0" w:color="auto"/>
            </w:tcBorders>
          </w:tcPr>
          <w:p w:rsidR="00DF5B6A" w:rsidRPr="00F56CF7" w:rsidP="003E7F81" w14:paraId="54ACB8F7" w14:textId="77777777">
            <w:pPr>
              <w:widowControl w:val="0"/>
              <w:rPr>
                <w:rFonts w:cstheme="minorHAnsi"/>
                <w:bCs/>
              </w:rPr>
            </w:pPr>
            <w:r w:rsidRPr="00F56CF7">
              <w:rPr>
                <w:rFonts w:cstheme="minorHAnsi"/>
              </w:rPr>
              <w:t>Pulp and paper mills.</w:t>
            </w:r>
          </w:p>
        </w:tc>
      </w:tr>
      <w:tr w14:paraId="47DC3388"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3E7F81" w14:paraId="29D31B9A" w14:textId="77777777">
            <w:pPr>
              <w:widowControl w:val="0"/>
              <w:rPr>
                <w:rFonts w:cstheme="minorHAnsi"/>
              </w:rPr>
            </w:pPr>
          </w:p>
        </w:tc>
        <w:tc>
          <w:tcPr>
            <w:tcW w:w="888" w:type="pct"/>
            <w:tcBorders>
              <w:top w:val="single" w:sz="4" w:space="0" w:color="auto"/>
              <w:bottom w:val="single" w:sz="4" w:space="0" w:color="auto"/>
              <w:right w:val="nil"/>
            </w:tcBorders>
          </w:tcPr>
          <w:p w:rsidR="00DF5B6A" w:rsidRPr="00F56CF7" w:rsidP="003E7F81" w14:paraId="22D6AB2E" w14:textId="77777777">
            <w:pPr>
              <w:widowControl w:val="0"/>
              <w:rPr>
                <w:rFonts w:cstheme="minorHAnsi"/>
                <w:bCs/>
              </w:rPr>
            </w:pPr>
            <w:r w:rsidRPr="00F56CF7">
              <w:rPr>
                <w:rFonts w:cstheme="minorHAnsi"/>
              </w:rPr>
              <w:t>325</w:t>
            </w:r>
          </w:p>
        </w:tc>
        <w:tc>
          <w:tcPr>
            <w:tcW w:w="2105" w:type="pct"/>
            <w:tcBorders>
              <w:top w:val="single" w:sz="4" w:space="0" w:color="auto"/>
              <w:left w:val="nil"/>
              <w:bottom w:val="single" w:sz="4" w:space="0" w:color="auto"/>
            </w:tcBorders>
          </w:tcPr>
          <w:p w:rsidR="00DF5B6A" w:rsidRPr="00F56CF7" w:rsidP="003E7F81" w14:paraId="2071C696" w14:textId="77777777">
            <w:pPr>
              <w:widowControl w:val="0"/>
              <w:rPr>
                <w:rFonts w:cstheme="minorHAnsi"/>
                <w:bCs/>
              </w:rPr>
            </w:pPr>
            <w:r w:rsidRPr="00F56CF7">
              <w:rPr>
                <w:rFonts w:cstheme="minorHAnsi"/>
              </w:rPr>
              <w:t>Chemical manufacturers.</w:t>
            </w:r>
          </w:p>
        </w:tc>
      </w:tr>
      <w:tr w14:paraId="7103B6BC"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3E7F81" w14:paraId="65B1D217" w14:textId="77777777">
            <w:pPr>
              <w:widowControl w:val="0"/>
              <w:rPr>
                <w:rFonts w:cstheme="minorHAnsi"/>
              </w:rPr>
            </w:pPr>
          </w:p>
        </w:tc>
        <w:tc>
          <w:tcPr>
            <w:tcW w:w="888" w:type="pct"/>
            <w:tcBorders>
              <w:top w:val="single" w:sz="4" w:space="0" w:color="auto"/>
              <w:bottom w:val="single" w:sz="4" w:space="0" w:color="auto"/>
              <w:right w:val="nil"/>
            </w:tcBorders>
          </w:tcPr>
          <w:p w:rsidR="00DF5B6A" w:rsidRPr="00F56CF7" w:rsidP="003E7F81" w14:paraId="71D5B13E" w14:textId="77777777">
            <w:pPr>
              <w:widowControl w:val="0"/>
              <w:rPr>
                <w:rFonts w:cstheme="minorHAnsi"/>
                <w:bCs/>
              </w:rPr>
            </w:pPr>
            <w:r w:rsidRPr="00F56CF7">
              <w:rPr>
                <w:rFonts w:cstheme="minorHAnsi"/>
              </w:rPr>
              <w:t>324</w:t>
            </w:r>
          </w:p>
        </w:tc>
        <w:tc>
          <w:tcPr>
            <w:tcW w:w="2105" w:type="pct"/>
            <w:tcBorders>
              <w:top w:val="single" w:sz="4" w:space="0" w:color="auto"/>
              <w:left w:val="nil"/>
              <w:bottom w:val="single" w:sz="4" w:space="0" w:color="auto"/>
            </w:tcBorders>
          </w:tcPr>
          <w:p w:rsidR="00DF5B6A" w:rsidRPr="00F56CF7" w:rsidP="003E7F81" w14:paraId="2DFD7F27" w14:textId="77777777">
            <w:pPr>
              <w:widowControl w:val="0"/>
              <w:rPr>
                <w:rFonts w:cstheme="minorHAnsi"/>
                <w:bCs/>
              </w:rPr>
            </w:pPr>
            <w:r w:rsidRPr="00F56CF7">
              <w:rPr>
                <w:rFonts w:cstheme="minorHAnsi"/>
              </w:rPr>
              <w:t>Petroleum refineries, and manufacturers of coal products.</w:t>
            </w:r>
          </w:p>
        </w:tc>
      </w:tr>
      <w:tr w14:paraId="2721F60A"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3E7F81" w14:paraId="368633A6" w14:textId="77777777">
            <w:pPr>
              <w:widowControl w:val="0"/>
              <w:rPr>
                <w:rFonts w:cstheme="minorHAnsi"/>
              </w:rPr>
            </w:pPr>
          </w:p>
        </w:tc>
        <w:tc>
          <w:tcPr>
            <w:tcW w:w="888" w:type="pct"/>
            <w:tcBorders>
              <w:top w:val="single" w:sz="4" w:space="0" w:color="auto"/>
              <w:bottom w:val="single" w:sz="4" w:space="0" w:color="auto"/>
              <w:right w:val="nil"/>
            </w:tcBorders>
          </w:tcPr>
          <w:p w:rsidR="00DF5B6A" w:rsidRPr="00F56CF7" w:rsidP="003E7F81" w14:paraId="557829C4" w14:textId="77777777">
            <w:pPr>
              <w:widowControl w:val="0"/>
              <w:rPr>
                <w:rFonts w:cstheme="minorHAnsi"/>
                <w:bCs/>
              </w:rPr>
            </w:pPr>
            <w:r w:rsidRPr="00F56CF7">
              <w:rPr>
                <w:rFonts w:cstheme="minorHAnsi"/>
              </w:rPr>
              <w:t>316, 326, 339</w:t>
            </w:r>
          </w:p>
        </w:tc>
        <w:tc>
          <w:tcPr>
            <w:tcW w:w="2105" w:type="pct"/>
            <w:tcBorders>
              <w:top w:val="single" w:sz="4" w:space="0" w:color="auto"/>
              <w:left w:val="nil"/>
              <w:bottom w:val="single" w:sz="4" w:space="0" w:color="auto"/>
            </w:tcBorders>
          </w:tcPr>
          <w:p w:rsidR="00DF5B6A" w:rsidRPr="00F56CF7" w:rsidP="003E7F81" w14:paraId="7DE72276" w14:textId="77777777">
            <w:pPr>
              <w:widowControl w:val="0"/>
              <w:rPr>
                <w:rFonts w:cstheme="minorHAnsi"/>
                <w:bCs/>
              </w:rPr>
            </w:pPr>
            <w:r w:rsidRPr="00F56CF7">
              <w:rPr>
                <w:rFonts w:cstheme="minorHAnsi"/>
              </w:rPr>
              <w:t>Manufacturers of rubber and miscellaneous plastic products.</w:t>
            </w:r>
          </w:p>
        </w:tc>
      </w:tr>
      <w:tr w14:paraId="0FBA94E0"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3E7F81" w14:paraId="5CE8AA22" w14:textId="77777777">
            <w:pPr>
              <w:widowControl w:val="0"/>
              <w:rPr>
                <w:rFonts w:cstheme="minorHAnsi"/>
              </w:rPr>
            </w:pPr>
          </w:p>
        </w:tc>
        <w:tc>
          <w:tcPr>
            <w:tcW w:w="888" w:type="pct"/>
            <w:tcBorders>
              <w:top w:val="single" w:sz="4" w:space="0" w:color="auto"/>
              <w:bottom w:val="single" w:sz="4" w:space="0" w:color="auto"/>
              <w:right w:val="nil"/>
            </w:tcBorders>
          </w:tcPr>
          <w:p w:rsidR="00DF5B6A" w:rsidRPr="00F56CF7" w:rsidP="003E7F81" w14:paraId="64D3C5A6" w14:textId="77777777">
            <w:pPr>
              <w:widowControl w:val="0"/>
              <w:rPr>
                <w:rFonts w:cstheme="minorHAnsi"/>
                <w:bCs/>
              </w:rPr>
            </w:pPr>
            <w:r w:rsidRPr="00F56CF7">
              <w:rPr>
                <w:rFonts w:cstheme="minorHAnsi"/>
              </w:rPr>
              <w:t>331</w:t>
            </w:r>
          </w:p>
        </w:tc>
        <w:tc>
          <w:tcPr>
            <w:tcW w:w="2105" w:type="pct"/>
            <w:tcBorders>
              <w:top w:val="single" w:sz="4" w:space="0" w:color="auto"/>
              <w:left w:val="nil"/>
              <w:bottom w:val="single" w:sz="4" w:space="0" w:color="auto"/>
            </w:tcBorders>
          </w:tcPr>
          <w:p w:rsidR="00DF5B6A" w:rsidRPr="00F56CF7" w:rsidP="003E7F81" w14:paraId="2B524F57" w14:textId="77777777">
            <w:pPr>
              <w:widowControl w:val="0"/>
              <w:rPr>
                <w:rFonts w:cstheme="minorHAnsi"/>
                <w:bCs/>
              </w:rPr>
            </w:pPr>
            <w:r w:rsidRPr="00F56CF7">
              <w:rPr>
                <w:rFonts w:cstheme="minorHAnsi"/>
              </w:rPr>
              <w:t>Steel works, blast furnaces.</w:t>
            </w:r>
          </w:p>
        </w:tc>
      </w:tr>
      <w:tr w14:paraId="363F5505"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3E7F81" w14:paraId="03EE07CE" w14:textId="77777777">
            <w:pPr>
              <w:widowControl w:val="0"/>
              <w:rPr>
                <w:rFonts w:cstheme="minorHAnsi"/>
              </w:rPr>
            </w:pPr>
          </w:p>
        </w:tc>
        <w:tc>
          <w:tcPr>
            <w:tcW w:w="888" w:type="pct"/>
            <w:tcBorders>
              <w:top w:val="single" w:sz="4" w:space="0" w:color="auto"/>
              <w:bottom w:val="single" w:sz="4" w:space="0" w:color="auto"/>
              <w:right w:val="nil"/>
            </w:tcBorders>
          </w:tcPr>
          <w:p w:rsidR="00DF5B6A" w:rsidRPr="00F56CF7" w:rsidP="003E7F81" w14:paraId="5DAE26AD" w14:textId="77777777">
            <w:pPr>
              <w:widowControl w:val="0"/>
              <w:rPr>
                <w:rFonts w:cstheme="minorHAnsi"/>
                <w:bCs/>
              </w:rPr>
            </w:pPr>
            <w:r w:rsidRPr="00F56CF7">
              <w:rPr>
                <w:rFonts w:cstheme="minorHAnsi"/>
              </w:rPr>
              <w:t>332</w:t>
            </w:r>
          </w:p>
        </w:tc>
        <w:tc>
          <w:tcPr>
            <w:tcW w:w="2105" w:type="pct"/>
            <w:tcBorders>
              <w:top w:val="single" w:sz="4" w:space="0" w:color="auto"/>
              <w:left w:val="nil"/>
              <w:bottom w:val="single" w:sz="4" w:space="0" w:color="auto"/>
            </w:tcBorders>
          </w:tcPr>
          <w:p w:rsidR="00DF5B6A" w:rsidRPr="00F56CF7" w:rsidP="003E7F81" w14:paraId="7D0EA791" w14:textId="77777777">
            <w:pPr>
              <w:widowControl w:val="0"/>
              <w:rPr>
                <w:rFonts w:cstheme="minorHAnsi"/>
                <w:bCs/>
              </w:rPr>
            </w:pPr>
            <w:r w:rsidRPr="00F56CF7">
              <w:rPr>
                <w:rFonts w:cstheme="minorHAnsi"/>
              </w:rPr>
              <w:t>Electroplating, plating, polishing, anodizing, and coloring.</w:t>
            </w:r>
          </w:p>
        </w:tc>
      </w:tr>
      <w:tr w14:paraId="63EF58C5"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3E7F81" w14:paraId="36AD77A9" w14:textId="77777777">
            <w:pPr>
              <w:widowControl w:val="0"/>
              <w:rPr>
                <w:rFonts w:cstheme="minorHAnsi"/>
              </w:rPr>
            </w:pPr>
          </w:p>
        </w:tc>
        <w:tc>
          <w:tcPr>
            <w:tcW w:w="888" w:type="pct"/>
            <w:tcBorders>
              <w:top w:val="single" w:sz="4" w:space="0" w:color="auto"/>
              <w:bottom w:val="single" w:sz="4" w:space="0" w:color="auto"/>
              <w:right w:val="nil"/>
            </w:tcBorders>
          </w:tcPr>
          <w:p w:rsidR="00DF5B6A" w:rsidRPr="00F56CF7" w:rsidP="003E7F81" w14:paraId="37D455E0" w14:textId="77777777">
            <w:pPr>
              <w:widowControl w:val="0"/>
              <w:rPr>
                <w:rFonts w:cstheme="minorHAnsi"/>
                <w:bCs/>
              </w:rPr>
            </w:pPr>
            <w:r w:rsidRPr="00F56CF7">
              <w:rPr>
                <w:rFonts w:cstheme="minorHAnsi"/>
              </w:rPr>
              <w:t>336</w:t>
            </w:r>
          </w:p>
        </w:tc>
        <w:tc>
          <w:tcPr>
            <w:tcW w:w="2105" w:type="pct"/>
            <w:tcBorders>
              <w:top w:val="single" w:sz="4" w:space="0" w:color="auto"/>
              <w:left w:val="nil"/>
              <w:bottom w:val="single" w:sz="4" w:space="0" w:color="auto"/>
            </w:tcBorders>
          </w:tcPr>
          <w:p w:rsidR="00DF5B6A" w:rsidRPr="000238A7" w:rsidP="003E7F81" w14:paraId="67EF5727"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 xml:space="preserve">Manufacturers of motor vehicle parts and accessories. </w:t>
            </w:r>
          </w:p>
        </w:tc>
      </w:tr>
      <w:tr w14:paraId="6097D001"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3E7F81" w14:paraId="702D6317" w14:textId="77777777">
            <w:pPr>
              <w:widowControl w:val="0"/>
              <w:rPr>
                <w:rFonts w:cstheme="minorHAnsi"/>
              </w:rPr>
            </w:pPr>
          </w:p>
        </w:tc>
        <w:tc>
          <w:tcPr>
            <w:tcW w:w="888" w:type="pct"/>
            <w:tcBorders>
              <w:top w:val="single" w:sz="4" w:space="0" w:color="auto"/>
              <w:bottom w:val="single" w:sz="4" w:space="0" w:color="auto"/>
              <w:right w:val="nil"/>
            </w:tcBorders>
          </w:tcPr>
          <w:p w:rsidR="00DF5B6A" w:rsidRPr="00F56CF7" w:rsidP="003E7F81" w14:paraId="183F6E48" w14:textId="77777777">
            <w:pPr>
              <w:widowControl w:val="0"/>
              <w:rPr>
                <w:rFonts w:cstheme="minorHAnsi"/>
                <w:bCs/>
              </w:rPr>
            </w:pPr>
            <w:r w:rsidRPr="00F56CF7">
              <w:rPr>
                <w:rFonts w:cstheme="minorHAnsi"/>
              </w:rPr>
              <w:t>221</w:t>
            </w:r>
          </w:p>
        </w:tc>
        <w:tc>
          <w:tcPr>
            <w:tcW w:w="2105" w:type="pct"/>
            <w:tcBorders>
              <w:top w:val="single" w:sz="4" w:space="0" w:color="auto"/>
              <w:left w:val="nil"/>
              <w:bottom w:val="single" w:sz="4" w:space="0" w:color="auto"/>
            </w:tcBorders>
          </w:tcPr>
          <w:p w:rsidR="00DF5B6A" w:rsidRPr="00F56CF7" w:rsidP="003E7F81" w14:paraId="54767C9F" w14:textId="77777777">
            <w:pPr>
              <w:widowControl w:val="0"/>
              <w:rPr>
                <w:rFonts w:cstheme="minorHAnsi"/>
                <w:bCs/>
              </w:rPr>
            </w:pPr>
            <w:r w:rsidRPr="00F56CF7">
              <w:rPr>
                <w:rFonts w:cstheme="minorHAnsi"/>
              </w:rPr>
              <w:t>Electric, gas, and sanitary services.</w:t>
            </w:r>
          </w:p>
        </w:tc>
      </w:tr>
      <w:tr w14:paraId="35FB56D4"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3E7F81" w14:paraId="3B1393F3" w14:textId="77777777">
            <w:pPr>
              <w:widowControl w:val="0"/>
              <w:rPr>
                <w:rFonts w:cstheme="minorHAnsi"/>
              </w:rPr>
            </w:pPr>
          </w:p>
        </w:tc>
        <w:tc>
          <w:tcPr>
            <w:tcW w:w="888" w:type="pct"/>
            <w:tcBorders>
              <w:top w:val="single" w:sz="4" w:space="0" w:color="auto"/>
              <w:bottom w:val="single" w:sz="4" w:space="0" w:color="auto"/>
              <w:right w:val="nil"/>
            </w:tcBorders>
          </w:tcPr>
          <w:p w:rsidR="00DF5B6A" w:rsidRPr="00F56CF7" w:rsidP="003E7F81" w14:paraId="791FA618" w14:textId="77777777">
            <w:pPr>
              <w:widowControl w:val="0"/>
              <w:rPr>
                <w:rFonts w:cstheme="minorHAnsi"/>
                <w:bCs/>
              </w:rPr>
            </w:pPr>
            <w:r w:rsidRPr="00F56CF7">
              <w:rPr>
                <w:rFonts w:cstheme="minorHAnsi"/>
              </w:rPr>
              <w:t>622</w:t>
            </w:r>
          </w:p>
        </w:tc>
        <w:tc>
          <w:tcPr>
            <w:tcW w:w="2105" w:type="pct"/>
            <w:tcBorders>
              <w:top w:val="single" w:sz="4" w:space="0" w:color="auto"/>
              <w:left w:val="nil"/>
              <w:bottom w:val="single" w:sz="4" w:space="0" w:color="auto"/>
            </w:tcBorders>
          </w:tcPr>
          <w:p w:rsidR="00DF5B6A" w:rsidRPr="00F56CF7" w:rsidP="003E7F81" w14:paraId="4E33D83C" w14:textId="77777777">
            <w:pPr>
              <w:widowControl w:val="0"/>
              <w:rPr>
                <w:rFonts w:cstheme="minorHAnsi"/>
                <w:bCs/>
              </w:rPr>
            </w:pPr>
            <w:r w:rsidRPr="00F56CF7">
              <w:rPr>
                <w:rFonts w:cstheme="minorHAnsi"/>
              </w:rPr>
              <w:t>Health services.</w:t>
            </w:r>
          </w:p>
        </w:tc>
      </w:tr>
      <w:tr w14:paraId="59BBAB32"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3E7F81" w14:paraId="063EE57A" w14:textId="77777777">
            <w:pPr>
              <w:widowControl w:val="0"/>
              <w:rPr>
                <w:rFonts w:cstheme="minorHAnsi"/>
              </w:rPr>
            </w:pPr>
          </w:p>
        </w:tc>
        <w:tc>
          <w:tcPr>
            <w:tcW w:w="888" w:type="pct"/>
            <w:tcBorders>
              <w:top w:val="single" w:sz="4" w:space="0" w:color="auto"/>
              <w:bottom w:val="single" w:sz="4" w:space="0" w:color="auto"/>
              <w:right w:val="nil"/>
            </w:tcBorders>
          </w:tcPr>
          <w:p w:rsidR="00DF5B6A" w:rsidRPr="00F56CF7" w:rsidP="003E7F81" w14:paraId="35F6205C" w14:textId="77777777">
            <w:pPr>
              <w:widowControl w:val="0"/>
              <w:rPr>
                <w:rFonts w:cstheme="minorHAnsi"/>
                <w:bCs/>
              </w:rPr>
            </w:pPr>
            <w:r w:rsidRPr="00F56CF7">
              <w:rPr>
                <w:rFonts w:cstheme="minorHAnsi"/>
              </w:rPr>
              <w:t>611</w:t>
            </w:r>
          </w:p>
        </w:tc>
        <w:tc>
          <w:tcPr>
            <w:tcW w:w="2105" w:type="pct"/>
            <w:tcBorders>
              <w:top w:val="single" w:sz="4" w:space="0" w:color="auto"/>
              <w:left w:val="nil"/>
              <w:bottom w:val="single" w:sz="4" w:space="0" w:color="auto"/>
            </w:tcBorders>
          </w:tcPr>
          <w:p w:rsidR="00DF5B6A" w:rsidRPr="00F56CF7" w:rsidP="003E7F81" w14:paraId="3E443540" w14:textId="77777777">
            <w:pPr>
              <w:widowControl w:val="0"/>
              <w:rPr>
                <w:rFonts w:cstheme="minorHAnsi"/>
                <w:bCs/>
              </w:rPr>
            </w:pPr>
            <w:r w:rsidRPr="00F56CF7">
              <w:rPr>
                <w:rFonts w:cstheme="minorHAnsi"/>
              </w:rPr>
              <w:t>Educational services.</w:t>
            </w:r>
          </w:p>
        </w:tc>
      </w:tr>
      <w:tr w14:paraId="7BCA8E86"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3E7F81" w14:paraId="0FA379EE"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D. Electricity generation units that report through 40 CFR part 75</w:t>
            </w:r>
          </w:p>
        </w:tc>
        <w:tc>
          <w:tcPr>
            <w:tcW w:w="888" w:type="pct"/>
            <w:tcBorders>
              <w:top w:val="single" w:sz="4" w:space="0" w:color="auto"/>
              <w:bottom w:val="single" w:sz="4" w:space="0" w:color="auto"/>
              <w:right w:val="nil"/>
            </w:tcBorders>
          </w:tcPr>
          <w:p w:rsidR="00DF5B6A" w:rsidRPr="000238A7" w:rsidP="003E7F81" w14:paraId="0D894DFF"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221112</w:t>
            </w:r>
          </w:p>
        </w:tc>
        <w:tc>
          <w:tcPr>
            <w:tcW w:w="2105" w:type="pct"/>
            <w:tcBorders>
              <w:top w:val="single" w:sz="4" w:space="0" w:color="auto"/>
              <w:left w:val="nil"/>
              <w:bottom w:val="single" w:sz="4" w:space="0" w:color="auto"/>
            </w:tcBorders>
          </w:tcPr>
          <w:p w:rsidR="00DF5B6A" w:rsidRPr="00F56CF7" w:rsidP="003E7F81" w14:paraId="6781DB65" w14:textId="77777777">
            <w:pPr>
              <w:widowControl w:val="0"/>
              <w:rPr>
                <w:rFonts w:cstheme="minorHAnsi"/>
              </w:rPr>
            </w:pPr>
            <w:r w:rsidRPr="00F56CF7">
              <w:rPr>
                <w:rFonts w:cstheme="minorHAnsi"/>
              </w:rPr>
              <w:t>Electric power generation, fossil fuel (</w:t>
            </w:r>
            <w:r w:rsidRPr="00F56CF7">
              <w:rPr>
                <w:rFonts w:cstheme="minorHAnsi"/>
                <w:i/>
                <w:iCs/>
              </w:rPr>
              <w:t>e.g.</w:t>
            </w:r>
            <w:r w:rsidRPr="00F56CF7">
              <w:rPr>
                <w:rFonts w:cstheme="minorHAnsi"/>
              </w:rPr>
              <w:t>, coal, oil, gas).</w:t>
            </w:r>
          </w:p>
        </w:tc>
      </w:tr>
      <w:tr w14:paraId="09826B46"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3E7F81" w14:paraId="24CAACE8"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E. Adipic Acid Production</w:t>
            </w:r>
          </w:p>
        </w:tc>
        <w:tc>
          <w:tcPr>
            <w:tcW w:w="888" w:type="pct"/>
            <w:tcBorders>
              <w:top w:val="single" w:sz="4" w:space="0" w:color="auto"/>
              <w:bottom w:val="single" w:sz="4" w:space="0" w:color="auto"/>
              <w:right w:val="nil"/>
            </w:tcBorders>
          </w:tcPr>
          <w:p w:rsidR="00DF5B6A" w:rsidRPr="000238A7" w:rsidP="003E7F81" w14:paraId="0E580E6F" w14:textId="77777777">
            <w:pPr>
              <w:pStyle w:val="Default"/>
              <w:widowControl w:val="0"/>
              <w:rPr>
                <w:rFonts w:asciiTheme="minorHAnsi" w:hAnsiTheme="minorHAnsi" w:cstheme="minorHAnsi"/>
                <w:color w:val="auto"/>
                <w:sz w:val="22"/>
                <w:szCs w:val="22"/>
              </w:rPr>
            </w:pPr>
            <w:r w:rsidRPr="000238A7">
              <w:rPr>
                <w:rFonts w:eastAsia="Calibri" w:asciiTheme="minorHAnsi" w:hAnsiTheme="minorHAnsi" w:cstheme="minorHAnsi"/>
                <w:color w:val="auto"/>
                <w:sz w:val="22"/>
                <w:szCs w:val="22"/>
              </w:rPr>
              <w:t>325199</w:t>
            </w:r>
          </w:p>
        </w:tc>
        <w:tc>
          <w:tcPr>
            <w:tcW w:w="2105" w:type="pct"/>
            <w:tcBorders>
              <w:top w:val="single" w:sz="4" w:space="0" w:color="auto"/>
              <w:left w:val="nil"/>
              <w:bottom w:val="single" w:sz="4" w:space="0" w:color="auto"/>
            </w:tcBorders>
          </w:tcPr>
          <w:p w:rsidR="00DF5B6A" w:rsidRPr="00F56CF7" w:rsidP="003E7F81" w14:paraId="632E7D1B" w14:textId="77777777">
            <w:pPr>
              <w:widowControl w:val="0"/>
              <w:rPr>
                <w:rFonts w:cstheme="minorHAnsi"/>
              </w:rPr>
            </w:pPr>
            <w:r w:rsidRPr="00F56CF7">
              <w:rPr>
                <w:rFonts w:eastAsia="Calibri" w:cstheme="minorHAnsi"/>
              </w:rPr>
              <w:t>All other basic organic chemical manufacturing: Adipic acid manufacturing.</w:t>
            </w:r>
          </w:p>
        </w:tc>
      </w:tr>
      <w:tr w14:paraId="6D1F8D1F"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3E7F81" w14:paraId="6B5A1692"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F. Aluminum Production</w:t>
            </w:r>
          </w:p>
        </w:tc>
        <w:tc>
          <w:tcPr>
            <w:tcW w:w="888" w:type="pct"/>
            <w:tcBorders>
              <w:top w:val="single" w:sz="4" w:space="0" w:color="auto"/>
              <w:bottom w:val="single" w:sz="4" w:space="0" w:color="auto"/>
              <w:right w:val="nil"/>
            </w:tcBorders>
          </w:tcPr>
          <w:p w:rsidR="00DF5B6A" w:rsidRPr="000238A7" w:rsidP="003E7F81" w14:paraId="7A20DD71"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331313</w:t>
            </w:r>
          </w:p>
        </w:tc>
        <w:tc>
          <w:tcPr>
            <w:tcW w:w="2105" w:type="pct"/>
            <w:tcBorders>
              <w:top w:val="single" w:sz="4" w:space="0" w:color="auto"/>
              <w:left w:val="nil"/>
              <w:bottom w:val="single" w:sz="4" w:space="0" w:color="auto"/>
            </w:tcBorders>
          </w:tcPr>
          <w:p w:rsidR="00DF5B6A" w:rsidRPr="00F56CF7" w:rsidP="003E7F81" w14:paraId="59DC225F" w14:textId="77777777">
            <w:pPr>
              <w:widowControl w:val="0"/>
              <w:rPr>
                <w:rFonts w:cstheme="minorHAnsi"/>
              </w:rPr>
            </w:pPr>
            <w:r w:rsidRPr="00F56CF7">
              <w:rPr>
                <w:rFonts w:cstheme="minorHAnsi"/>
              </w:rPr>
              <w:t>Primary aluminum production facilities.</w:t>
            </w:r>
          </w:p>
        </w:tc>
      </w:tr>
      <w:tr w14:paraId="5345FF85"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3E7F81" w14:paraId="6E75CCB4"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G. Ammonia Manufacturing</w:t>
            </w:r>
          </w:p>
        </w:tc>
        <w:tc>
          <w:tcPr>
            <w:tcW w:w="888" w:type="pct"/>
            <w:tcBorders>
              <w:top w:val="single" w:sz="4" w:space="0" w:color="auto"/>
              <w:bottom w:val="single" w:sz="4" w:space="0" w:color="auto"/>
              <w:right w:val="nil"/>
            </w:tcBorders>
          </w:tcPr>
          <w:p w:rsidR="00DF5B6A" w:rsidRPr="000238A7" w:rsidP="003E7F81" w14:paraId="383B0BB4"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325311</w:t>
            </w:r>
          </w:p>
        </w:tc>
        <w:tc>
          <w:tcPr>
            <w:tcW w:w="2105" w:type="pct"/>
            <w:tcBorders>
              <w:top w:val="single" w:sz="4" w:space="0" w:color="auto"/>
              <w:left w:val="nil"/>
              <w:bottom w:val="single" w:sz="4" w:space="0" w:color="auto"/>
            </w:tcBorders>
          </w:tcPr>
          <w:p w:rsidR="00DF5B6A" w:rsidRPr="00F56CF7" w:rsidP="003E7F81" w14:paraId="4C3CCB09" w14:textId="77777777">
            <w:pPr>
              <w:widowControl w:val="0"/>
              <w:rPr>
                <w:rFonts w:cstheme="minorHAnsi"/>
              </w:rPr>
            </w:pPr>
            <w:r w:rsidRPr="00F56CF7">
              <w:rPr>
                <w:rFonts w:cstheme="minorHAnsi"/>
              </w:rPr>
              <w:t>Anhydrous and aqueous ammonia manufacturing facilities.</w:t>
            </w:r>
          </w:p>
        </w:tc>
      </w:tr>
      <w:tr w14:paraId="54CED29B"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3E7F81" w14:paraId="3F6876B2"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 xml:space="preserve">H. Cement Production  </w:t>
            </w:r>
          </w:p>
        </w:tc>
        <w:tc>
          <w:tcPr>
            <w:tcW w:w="888" w:type="pct"/>
            <w:tcBorders>
              <w:top w:val="single" w:sz="4" w:space="0" w:color="auto"/>
              <w:bottom w:val="single" w:sz="4" w:space="0" w:color="auto"/>
              <w:right w:val="nil"/>
            </w:tcBorders>
          </w:tcPr>
          <w:p w:rsidR="00DF5B6A" w:rsidRPr="000238A7" w:rsidP="003E7F81" w14:paraId="259E5B4A"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327310</w:t>
            </w:r>
          </w:p>
        </w:tc>
        <w:tc>
          <w:tcPr>
            <w:tcW w:w="2105" w:type="pct"/>
            <w:tcBorders>
              <w:top w:val="single" w:sz="4" w:space="0" w:color="auto"/>
              <w:left w:val="nil"/>
              <w:bottom w:val="single" w:sz="4" w:space="0" w:color="auto"/>
            </w:tcBorders>
          </w:tcPr>
          <w:p w:rsidR="00DF5B6A" w:rsidRPr="00F56CF7" w:rsidP="003E7F81" w14:paraId="4720EA71" w14:textId="77777777">
            <w:pPr>
              <w:widowControl w:val="0"/>
              <w:rPr>
                <w:rFonts w:cstheme="minorHAnsi"/>
                <w:bCs/>
              </w:rPr>
            </w:pPr>
            <w:r w:rsidRPr="00F56CF7">
              <w:rPr>
                <w:rFonts w:cstheme="minorHAnsi"/>
              </w:rPr>
              <w:t>Portland cement manufacturing plants.</w:t>
            </w:r>
          </w:p>
        </w:tc>
      </w:tr>
      <w:tr w14:paraId="29EA2573" w14:textId="77777777" w:rsidTr="003E7F81">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DF5B6A" w:rsidRPr="00F56CF7" w:rsidP="003E7F81" w14:paraId="1D72712F" w14:textId="77777777">
            <w:pPr>
              <w:widowControl w:val="0"/>
              <w:rPr>
                <w:rFonts w:cstheme="minorHAnsi"/>
              </w:rPr>
            </w:pPr>
            <w:r w:rsidRPr="00F56CF7">
              <w:rPr>
                <w:rFonts w:cstheme="minorHAnsi"/>
              </w:rPr>
              <w:t xml:space="preserve">I. Electronics Manufacturing  </w:t>
            </w:r>
          </w:p>
          <w:p w:rsidR="00DF5B6A" w:rsidRPr="00F56CF7" w:rsidP="003E7F81" w14:paraId="4A6CC8A1" w14:textId="77777777">
            <w:pPr>
              <w:widowControl w:val="0"/>
              <w:rPr>
                <w:rFonts w:cstheme="minorHAnsi"/>
              </w:rPr>
            </w:pPr>
          </w:p>
        </w:tc>
        <w:tc>
          <w:tcPr>
            <w:tcW w:w="888" w:type="pct"/>
            <w:tcBorders>
              <w:top w:val="single" w:sz="4" w:space="0" w:color="auto"/>
              <w:bottom w:val="single" w:sz="4" w:space="0" w:color="auto"/>
              <w:right w:val="nil"/>
            </w:tcBorders>
          </w:tcPr>
          <w:p w:rsidR="00DF5B6A" w:rsidRPr="00F56CF7" w:rsidP="003E7F81" w14:paraId="4A5996F0" w14:textId="77777777">
            <w:pPr>
              <w:widowControl w:val="0"/>
              <w:rPr>
                <w:rFonts w:cstheme="minorHAnsi"/>
                <w:bCs/>
              </w:rPr>
            </w:pPr>
            <w:r w:rsidRPr="00F56CF7">
              <w:rPr>
                <w:rFonts w:cstheme="minorHAnsi"/>
              </w:rPr>
              <w:t>334111</w:t>
            </w:r>
          </w:p>
        </w:tc>
        <w:tc>
          <w:tcPr>
            <w:tcW w:w="2105" w:type="pct"/>
            <w:tcBorders>
              <w:top w:val="single" w:sz="4" w:space="0" w:color="auto"/>
              <w:left w:val="nil"/>
              <w:bottom w:val="single" w:sz="4" w:space="0" w:color="auto"/>
            </w:tcBorders>
          </w:tcPr>
          <w:p w:rsidR="00DF5B6A" w:rsidRPr="00F56CF7" w:rsidP="003E7F81" w14:paraId="6A0055D8" w14:textId="77777777">
            <w:pPr>
              <w:widowControl w:val="0"/>
              <w:rPr>
                <w:rFonts w:cstheme="minorHAnsi"/>
                <w:bCs/>
              </w:rPr>
            </w:pPr>
            <w:r w:rsidRPr="00F56CF7">
              <w:rPr>
                <w:rFonts w:cstheme="minorHAnsi"/>
              </w:rPr>
              <w:t>Microcomputers manufacturing facilities.</w:t>
            </w:r>
          </w:p>
        </w:tc>
      </w:tr>
      <w:tr w14:paraId="73CA0AF8" w14:textId="77777777" w:rsidTr="003E7F81">
        <w:tblPrEx>
          <w:tblW w:w="5000" w:type="pct"/>
          <w:tblInd w:w="110" w:type="dxa"/>
          <w:tblCellMar>
            <w:left w:w="110" w:type="dxa"/>
            <w:right w:w="110" w:type="dxa"/>
          </w:tblCellMar>
          <w:tblLook w:val="0000"/>
        </w:tblPrEx>
        <w:trPr>
          <w:cantSplit/>
          <w:trHeight w:val="854"/>
        </w:trPr>
        <w:tc>
          <w:tcPr>
            <w:tcW w:w="2007" w:type="pct"/>
            <w:vMerge/>
            <w:tcBorders>
              <w:top w:val="single" w:sz="4" w:space="0" w:color="auto"/>
              <w:bottom w:val="single" w:sz="4" w:space="0" w:color="auto"/>
            </w:tcBorders>
          </w:tcPr>
          <w:p w:rsidR="00DF5B6A" w:rsidRPr="000238A7" w:rsidP="003E7F81" w14:paraId="16AB686C" w14:textId="77777777">
            <w:pPr>
              <w:pStyle w:val="Default"/>
              <w:widowControl w:val="0"/>
              <w:rPr>
                <w:rFonts w:asciiTheme="minorHAnsi" w:hAnsiTheme="minorHAnsi" w:cstheme="minorHAnsi"/>
                <w:color w:val="auto"/>
                <w:sz w:val="22"/>
                <w:szCs w:val="22"/>
              </w:rPr>
            </w:pPr>
          </w:p>
        </w:tc>
        <w:tc>
          <w:tcPr>
            <w:tcW w:w="888" w:type="pct"/>
            <w:tcBorders>
              <w:top w:val="single" w:sz="4" w:space="0" w:color="auto"/>
              <w:bottom w:val="single" w:sz="4" w:space="0" w:color="auto"/>
              <w:right w:val="nil"/>
            </w:tcBorders>
          </w:tcPr>
          <w:p w:rsidR="00DF5B6A" w:rsidRPr="000238A7" w:rsidP="003E7F81" w14:paraId="48D1C130"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334413</w:t>
            </w:r>
          </w:p>
        </w:tc>
        <w:tc>
          <w:tcPr>
            <w:tcW w:w="2105" w:type="pct"/>
            <w:tcBorders>
              <w:top w:val="single" w:sz="4" w:space="0" w:color="auto"/>
              <w:left w:val="nil"/>
              <w:bottom w:val="single" w:sz="4" w:space="0" w:color="auto"/>
            </w:tcBorders>
          </w:tcPr>
          <w:p w:rsidR="00DF5B6A" w:rsidRPr="00F56CF7" w:rsidP="003E7F81" w14:paraId="31ED32FE" w14:textId="77777777">
            <w:pPr>
              <w:widowControl w:val="0"/>
              <w:rPr>
                <w:rFonts w:cstheme="minorHAnsi"/>
                <w:bCs/>
              </w:rPr>
            </w:pPr>
            <w:r w:rsidRPr="00F56CF7">
              <w:rPr>
                <w:rFonts w:cstheme="minorHAnsi"/>
              </w:rPr>
              <w:t>Semiconductor, photovoltaic (PV) (solid-state) device manufacturing facilities.</w:t>
            </w:r>
          </w:p>
        </w:tc>
      </w:tr>
      <w:tr w14:paraId="17DFC282"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0238A7" w:rsidP="003E7F81" w14:paraId="2913BDFD" w14:textId="77777777">
            <w:pPr>
              <w:pStyle w:val="Default"/>
              <w:widowControl w:val="0"/>
              <w:rPr>
                <w:rFonts w:asciiTheme="minorHAnsi" w:hAnsiTheme="minorHAnsi" w:cstheme="minorHAnsi"/>
                <w:color w:val="auto"/>
                <w:sz w:val="22"/>
                <w:szCs w:val="22"/>
              </w:rPr>
            </w:pPr>
          </w:p>
        </w:tc>
        <w:tc>
          <w:tcPr>
            <w:tcW w:w="888" w:type="pct"/>
            <w:tcBorders>
              <w:top w:val="single" w:sz="4" w:space="0" w:color="auto"/>
              <w:bottom w:val="single" w:sz="4" w:space="0" w:color="auto"/>
              <w:right w:val="nil"/>
            </w:tcBorders>
          </w:tcPr>
          <w:p w:rsidR="00DF5B6A" w:rsidRPr="000238A7" w:rsidP="003E7F81" w14:paraId="756C49FB"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334419</w:t>
            </w:r>
          </w:p>
        </w:tc>
        <w:tc>
          <w:tcPr>
            <w:tcW w:w="2105" w:type="pct"/>
            <w:tcBorders>
              <w:top w:val="single" w:sz="4" w:space="0" w:color="auto"/>
              <w:left w:val="nil"/>
              <w:bottom w:val="single" w:sz="4" w:space="0" w:color="auto"/>
            </w:tcBorders>
          </w:tcPr>
          <w:p w:rsidR="00DF5B6A" w:rsidRPr="00F56CF7" w:rsidP="003E7F81" w14:paraId="565F0F6E" w14:textId="77777777">
            <w:pPr>
              <w:widowControl w:val="0"/>
              <w:rPr>
                <w:rFonts w:cstheme="minorHAnsi"/>
                <w:bCs/>
              </w:rPr>
            </w:pPr>
            <w:r w:rsidRPr="00F56CF7">
              <w:rPr>
                <w:rFonts w:cstheme="minorHAnsi"/>
              </w:rPr>
              <w:t>Liquid crystal display (LCD) unit screens manufacturing facilities; Microelectromechanical (MEMS) manufacturing facilities.</w:t>
            </w:r>
          </w:p>
        </w:tc>
      </w:tr>
      <w:tr w14:paraId="332DEE03"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3E7F81" w14:paraId="7E35BD01"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K. Ferroalloy Production</w:t>
            </w:r>
          </w:p>
        </w:tc>
        <w:tc>
          <w:tcPr>
            <w:tcW w:w="888" w:type="pct"/>
            <w:tcBorders>
              <w:top w:val="single" w:sz="4" w:space="0" w:color="auto"/>
              <w:bottom w:val="single" w:sz="4" w:space="0" w:color="auto"/>
              <w:right w:val="nil"/>
            </w:tcBorders>
          </w:tcPr>
          <w:p w:rsidR="00DF5B6A" w:rsidRPr="00F56CF7" w:rsidP="003E7F81" w14:paraId="6EA0D003" w14:textId="77777777">
            <w:pPr>
              <w:widowControl w:val="0"/>
              <w:rPr>
                <w:rFonts w:cstheme="minorHAnsi"/>
              </w:rPr>
            </w:pPr>
            <w:r w:rsidRPr="00F56CF7">
              <w:rPr>
                <w:rFonts w:cstheme="minorHAnsi"/>
              </w:rPr>
              <w:t>331110</w:t>
            </w:r>
          </w:p>
        </w:tc>
        <w:tc>
          <w:tcPr>
            <w:tcW w:w="2105" w:type="pct"/>
            <w:tcBorders>
              <w:top w:val="single" w:sz="4" w:space="0" w:color="auto"/>
              <w:left w:val="nil"/>
              <w:bottom w:val="single" w:sz="4" w:space="0" w:color="auto"/>
            </w:tcBorders>
          </w:tcPr>
          <w:p w:rsidR="00DF5B6A" w:rsidRPr="00F56CF7" w:rsidP="003E7F81" w14:paraId="2A58FEA6" w14:textId="77777777">
            <w:pPr>
              <w:widowControl w:val="0"/>
              <w:rPr>
                <w:rFonts w:cstheme="minorHAnsi"/>
              </w:rPr>
            </w:pPr>
            <w:r w:rsidRPr="00F56CF7">
              <w:rPr>
                <w:rFonts w:cstheme="minorHAnsi"/>
              </w:rPr>
              <w:t>Ferroalloys manufacturing facilities.</w:t>
            </w:r>
          </w:p>
        </w:tc>
      </w:tr>
      <w:tr w14:paraId="3605B89C"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3E7F81" w14:paraId="0410BC6A"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L. Fluorinated GHG Production</w:t>
            </w:r>
          </w:p>
        </w:tc>
        <w:tc>
          <w:tcPr>
            <w:tcW w:w="888" w:type="pct"/>
            <w:tcBorders>
              <w:top w:val="single" w:sz="4" w:space="0" w:color="auto"/>
              <w:bottom w:val="single" w:sz="4" w:space="0" w:color="auto"/>
              <w:right w:val="nil"/>
            </w:tcBorders>
          </w:tcPr>
          <w:p w:rsidR="00DF5B6A" w:rsidRPr="00F56CF7" w:rsidP="003E7F81" w14:paraId="1118E163" w14:textId="77777777">
            <w:pPr>
              <w:widowControl w:val="0"/>
              <w:rPr>
                <w:rFonts w:cstheme="minorHAnsi"/>
              </w:rPr>
            </w:pPr>
            <w:r w:rsidRPr="00F56CF7">
              <w:rPr>
                <w:rFonts w:cstheme="minorHAnsi"/>
              </w:rPr>
              <w:t>325120</w:t>
            </w:r>
          </w:p>
        </w:tc>
        <w:tc>
          <w:tcPr>
            <w:tcW w:w="2105" w:type="pct"/>
            <w:tcBorders>
              <w:top w:val="single" w:sz="4" w:space="0" w:color="auto"/>
              <w:left w:val="nil"/>
              <w:bottom w:val="single" w:sz="4" w:space="0" w:color="auto"/>
            </w:tcBorders>
          </w:tcPr>
          <w:p w:rsidR="00DF5B6A" w:rsidRPr="00F56CF7" w:rsidP="003E7F81" w14:paraId="028B5342" w14:textId="77777777">
            <w:pPr>
              <w:widowControl w:val="0"/>
              <w:rPr>
                <w:rFonts w:cstheme="minorHAnsi"/>
              </w:rPr>
            </w:pPr>
            <w:r w:rsidRPr="00F56CF7">
              <w:rPr>
                <w:rFonts w:cstheme="minorHAnsi"/>
              </w:rPr>
              <w:t>Industrial gases manufacturing facilities.</w:t>
            </w:r>
          </w:p>
        </w:tc>
      </w:tr>
      <w:tr w14:paraId="2C94D50E" w14:textId="77777777" w:rsidTr="003E7F81">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DF5B6A" w:rsidRPr="000238A7" w:rsidP="003E7F81" w14:paraId="148803E8"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N. Glass Production</w:t>
            </w:r>
          </w:p>
        </w:tc>
        <w:tc>
          <w:tcPr>
            <w:tcW w:w="888" w:type="pct"/>
            <w:tcBorders>
              <w:top w:val="single" w:sz="4" w:space="0" w:color="auto"/>
              <w:bottom w:val="single" w:sz="4" w:space="0" w:color="auto"/>
              <w:right w:val="nil"/>
            </w:tcBorders>
          </w:tcPr>
          <w:p w:rsidR="00DF5B6A" w:rsidRPr="00F56CF7" w:rsidP="003E7F81" w14:paraId="410A8D7C" w14:textId="77777777">
            <w:pPr>
              <w:widowControl w:val="0"/>
              <w:rPr>
                <w:rFonts w:cstheme="minorHAnsi"/>
              </w:rPr>
            </w:pPr>
            <w:r w:rsidRPr="00F56CF7">
              <w:rPr>
                <w:rFonts w:cstheme="minorHAnsi"/>
              </w:rPr>
              <w:t>327211</w:t>
            </w:r>
          </w:p>
        </w:tc>
        <w:tc>
          <w:tcPr>
            <w:tcW w:w="2105" w:type="pct"/>
            <w:tcBorders>
              <w:top w:val="single" w:sz="4" w:space="0" w:color="auto"/>
              <w:left w:val="nil"/>
              <w:bottom w:val="single" w:sz="4" w:space="0" w:color="auto"/>
            </w:tcBorders>
          </w:tcPr>
          <w:p w:rsidR="00DF5B6A" w:rsidRPr="00F56CF7" w:rsidP="003E7F81" w14:paraId="4CE29C59" w14:textId="77777777">
            <w:pPr>
              <w:widowControl w:val="0"/>
              <w:rPr>
                <w:rFonts w:cstheme="minorHAnsi"/>
              </w:rPr>
            </w:pPr>
            <w:r w:rsidRPr="00F56CF7">
              <w:rPr>
                <w:rFonts w:cstheme="minorHAnsi"/>
              </w:rPr>
              <w:t>Flat glass manufacturing facilities.</w:t>
            </w:r>
          </w:p>
        </w:tc>
      </w:tr>
      <w:tr w14:paraId="3041D6A4"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0238A7" w:rsidP="003E7F81" w14:paraId="64BE41F1" w14:textId="77777777">
            <w:pPr>
              <w:pStyle w:val="Default"/>
              <w:widowControl w:val="0"/>
              <w:rPr>
                <w:rFonts w:asciiTheme="minorHAnsi" w:hAnsiTheme="minorHAnsi" w:cstheme="minorHAnsi"/>
                <w:color w:val="auto"/>
                <w:sz w:val="22"/>
                <w:szCs w:val="22"/>
              </w:rPr>
            </w:pPr>
          </w:p>
        </w:tc>
        <w:tc>
          <w:tcPr>
            <w:tcW w:w="888" w:type="pct"/>
            <w:tcBorders>
              <w:top w:val="single" w:sz="4" w:space="0" w:color="auto"/>
              <w:bottom w:val="single" w:sz="4" w:space="0" w:color="auto"/>
              <w:right w:val="nil"/>
            </w:tcBorders>
          </w:tcPr>
          <w:p w:rsidR="00DF5B6A" w:rsidRPr="00F56CF7" w:rsidP="003E7F81" w14:paraId="71F49BCE" w14:textId="77777777">
            <w:pPr>
              <w:widowControl w:val="0"/>
              <w:rPr>
                <w:rFonts w:cstheme="minorHAnsi"/>
              </w:rPr>
            </w:pPr>
            <w:r w:rsidRPr="00F56CF7">
              <w:rPr>
                <w:rFonts w:cstheme="minorHAnsi"/>
              </w:rPr>
              <w:t>327213</w:t>
            </w:r>
          </w:p>
        </w:tc>
        <w:tc>
          <w:tcPr>
            <w:tcW w:w="2105" w:type="pct"/>
            <w:tcBorders>
              <w:top w:val="single" w:sz="4" w:space="0" w:color="auto"/>
              <w:left w:val="nil"/>
              <w:bottom w:val="single" w:sz="4" w:space="0" w:color="auto"/>
            </w:tcBorders>
          </w:tcPr>
          <w:p w:rsidR="00DF5B6A" w:rsidRPr="00F56CF7" w:rsidP="003E7F81" w14:paraId="500A2532" w14:textId="77777777">
            <w:pPr>
              <w:widowControl w:val="0"/>
              <w:rPr>
                <w:rFonts w:cstheme="minorHAnsi"/>
              </w:rPr>
            </w:pPr>
            <w:r w:rsidRPr="00F56CF7">
              <w:rPr>
                <w:rFonts w:cstheme="minorHAnsi"/>
              </w:rPr>
              <w:t>Glass container manufacturing facilities.</w:t>
            </w:r>
          </w:p>
        </w:tc>
      </w:tr>
      <w:tr w14:paraId="6CE1ECAB"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0238A7" w:rsidP="003E7F81" w14:paraId="68D4257F" w14:textId="77777777">
            <w:pPr>
              <w:pStyle w:val="Default"/>
              <w:widowControl w:val="0"/>
              <w:rPr>
                <w:rFonts w:asciiTheme="minorHAnsi" w:hAnsiTheme="minorHAnsi" w:cstheme="minorHAnsi"/>
                <w:color w:val="auto"/>
                <w:sz w:val="22"/>
                <w:szCs w:val="22"/>
              </w:rPr>
            </w:pPr>
          </w:p>
        </w:tc>
        <w:tc>
          <w:tcPr>
            <w:tcW w:w="888" w:type="pct"/>
            <w:tcBorders>
              <w:top w:val="single" w:sz="4" w:space="0" w:color="auto"/>
              <w:bottom w:val="single" w:sz="4" w:space="0" w:color="auto"/>
              <w:right w:val="nil"/>
            </w:tcBorders>
          </w:tcPr>
          <w:p w:rsidR="00DF5B6A" w:rsidRPr="00F56CF7" w:rsidP="003E7F81" w14:paraId="2DAF63C3" w14:textId="77777777">
            <w:pPr>
              <w:widowControl w:val="0"/>
              <w:rPr>
                <w:rFonts w:cstheme="minorHAnsi"/>
              </w:rPr>
            </w:pPr>
            <w:r w:rsidRPr="00F56CF7">
              <w:rPr>
                <w:rFonts w:cstheme="minorHAnsi"/>
              </w:rPr>
              <w:t>327212</w:t>
            </w:r>
          </w:p>
        </w:tc>
        <w:tc>
          <w:tcPr>
            <w:tcW w:w="2105" w:type="pct"/>
            <w:tcBorders>
              <w:top w:val="single" w:sz="4" w:space="0" w:color="auto"/>
              <w:left w:val="nil"/>
              <w:bottom w:val="single" w:sz="4" w:space="0" w:color="auto"/>
            </w:tcBorders>
          </w:tcPr>
          <w:p w:rsidR="00DF5B6A" w:rsidRPr="00F56CF7" w:rsidP="003E7F81" w14:paraId="3C92F586" w14:textId="77777777">
            <w:pPr>
              <w:widowControl w:val="0"/>
              <w:rPr>
                <w:rFonts w:cstheme="minorHAnsi"/>
              </w:rPr>
            </w:pPr>
            <w:r w:rsidRPr="00F56CF7">
              <w:rPr>
                <w:rFonts w:cstheme="minorHAnsi"/>
              </w:rPr>
              <w:t>Other pressed and blown glass and glassware manufacturing facilities.</w:t>
            </w:r>
          </w:p>
        </w:tc>
      </w:tr>
      <w:tr w14:paraId="1B676543"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3E7F81" w14:paraId="324157E7"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O. HCFC-22 Production and HFC-23 destruction processes that are not collocated with a HCFC-22 production facility and that destroy more than 2.14 metric tons of HFC-23 per year</w:t>
            </w:r>
          </w:p>
        </w:tc>
        <w:tc>
          <w:tcPr>
            <w:tcW w:w="888" w:type="pct"/>
            <w:tcBorders>
              <w:top w:val="single" w:sz="4" w:space="0" w:color="auto"/>
              <w:bottom w:val="single" w:sz="4" w:space="0" w:color="auto"/>
              <w:right w:val="nil"/>
            </w:tcBorders>
          </w:tcPr>
          <w:p w:rsidR="00DF5B6A" w:rsidRPr="00F56CF7" w:rsidP="003E7F81" w14:paraId="0FD61575" w14:textId="77777777">
            <w:pPr>
              <w:widowControl w:val="0"/>
              <w:rPr>
                <w:rFonts w:cstheme="minorHAnsi"/>
              </w:rPr>
            </w:pPr>
            <w:r w:rsidRPr="00F56CF7">
              <w:rPr>
                <w:rFonts w:cstheme="minorHAnsi"/>
              </w:rPr>
              <w:t>325120</w:t>
            </w:r>
          </w:p>
        </w:tc>
        <w:tc>
          <w:tcPr>
            <w:tcW w:w="2105" w:type="pct"/>
            <w:tcBorders>
              <w:top w:val="single" w:sz="4" w:space="0" w:color="auto"/>
              <w:left w:val="nil"/>
              <w:bottom w:val="single" w:sz="4" w:space="0" w:color="auto"/>
            </w:tcBorders>
          </w:tcPr>
          <w:p w:rsidR="00DF5B6A" w:rsidRPr="00F56CF7" w:rsidP="003E7F81" w14:paraId="2301E97F" w14:textId="77777777">
            <w:pPr>
              <w:widowControl w:val="0"/>
              <w:rPr>
                <w:rFonts w:cstheme="minorHAnsi"/>
              </w:rPr>
            </w:pPr>
            <w:r w:rsidRPr="00F56CF7">
              <w:rPr>
                <w:rFonts w:cstheme="minorHAnsi"/>
              </w:rPr>
              <w:t>Industrial gas manufacturing: Hydrochlorofluorocarbon (HCFC) gases manufacturing.</w:t>
            </w:r>
          </w:p>
        </w:tc>
      </w:tr>
      <w:tr w14:paraId="377DE6A1"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3E7F81" w14:paraId="68A470B0"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 xml:space="preserve">P. Hydrogen Production  </w:t>
            </w:r>
          </w:p>
          <w:p w:rsidR="00DF5B6A" w:rsidRPr="000238A7" w:rsidP="003E7F81" w14:paraId="0783F65E" w14:textId="77777777">
            <w:pPr>
              <w:pStyle w:val="Default"/>
              <w:widowControl w:val="0"/>
              <w:rPr>
                <w:rFonts w:asciiTheme="minorHAnsi" w:hAnsiTheme="minorHAnsi" w:cstheme="minorHAnsi"/>
                <w:color w:val="auto"/>
                <w:sz w:val="22"/>
                <w:szCs w:val="22"/>
              </w:rPr>
            </w:pPr>
          </w:p>
        </w:tc>
        <w:tc>
          <w:tcPr>
            <w:tcW w:w="888" w:type="pct"/>
            <w:tcBorders>
              <w:top w:val="single" w:sz="4" w:space="0" w:color="auto"/>
              <w:bottom w:val="single" w:sz="4" w:space="0" w:color="auto"/>
              <w:right w:val="nil"/>
            </w:tcBorders>
          </w:tcPr>
          <w:p w:rsidR="00DF5B6A" w:rsidRPr="00F56CF7" w:rsidP="003E7F81" w14:paraId="6C8F333C" w14:textId="77777777">
            <w:pPr>
              <w:widowControl w:val="0"/>
              <w:rPr>
                <w:rFonts w:cstheme="minorHAnsi"/>
                <w:bCs/>
              </w:rPr>
            </w:pPr>
            <w:r w:rsidRPr="00F56CF7">
              <w:rPr>
                <w:rFonts w:cstheme="minorHAnsi"/>
              </w:rPr>
              <w:t>325120</w:t>
            </w:r>
          </w:p>
        </w:tc>
        <w:tc>
          <w:tcPr>
            <w:tcW w:w="2105" w:type="pct"/>
            <w:tcBorders>
              <w:top w:val="single" w:sz="4" w:space="0" w:color="auto"/>
              <w:left w:val="nil"/>
              <w:bottom w:val="single" w:sz="4" w:space="0" w:color="auto"/>
            </w:tcBorders>
          </w:tcPr>
          <w:p w:rsidR="00DF5B6A" w:rsidRPr="00F56CF7" w:rsidP="003E7F81" w14:paraId="4CAD82C0" w14:textId="77777777">
            <w:pPr>
              <w:widowControl w:val="0"/>
              <w:rPr>
                <w:rFonts w:cstheme="minorHAnsi"/>
              </w:rPr>
            </w:pPr>
            <w:r w:rsidRPr="00F56CF7">
              <w:rPr>
                <w:rFonts w:cstheme="minorHAnsi"/>
              </w:rPr>
              <w:t>Hydrogen manufacturing facilities.</w:t>
            </w:r>
          </w:p>
        </w:tc>
      </w:tr>
      <w:tr w14:paraId="3853F60D"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3E7F81" w14:paraId="74057106"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Q. Iron and Steel Production</w:t>
            </w:r>
          </w:p>
        </w:tc>
        <w:tc>
          <w:tcPr>
            <w:tcW w:w="888" w:type="pct"/>
            <w:tcBorders>
              <w:top w:val="single" w:sz="4" w:space="0" w:color="auto"/>
              <w:bottom w:val="single" w:sz="4" w:space="0" w:color="auto"/>
              <w:right w:val="nil"/>
            </w:tcBorders>
          </w:tcPr>
          <w:p w:rsidR="00DF5B6A" w:rsidRPr="00F56CF7" w:rsidP="003E7F81" w14:paraId="0FCDD869" w14:textId="77777777">
            <w:pPr>
              <w:widowControl w:val="0"/>
              <w:rPr>
                <w:rFonts w:cstheme="minorHAnsi"/>
                <w:bCs/>
              </w:rPr>
            </w:pPr>
            <w:r w:rsidRPr="00F56CF7">
              <w:rPr>
                <w:rFonts w:cstheme="minorHAnsi"/>
                <w:bCs/>
              </w:rPr>
              <w:t>333110</w:t>
            </w:r>
          </w:p>
        </w:tc>
        <w:tc>
          <w:tcPr>
            <w:tcW w:w="2105" w:type="pct"/>
            <w:tcBorders>
              <w:top w:val="single" w:sz="4" w:space="0" w:color="auto"/>
              <w:left w:val="nil"/>
              <w:bottom w:val="single" w:sz="4" w:space="0" w:color="auto"/>
            </w:tcBorders>
          </w:tcPr>
          <w:p w:rsidR="00DF5B6A" w:rsidRPr="00F56CF7" w:rsidP="003E7F81" w14:paraId="66F3F6E7" w14:textId="77777777">
            <w:pPr>
              <w:widowControl w:val="0"/>
              <w:rPr>
                <w:rFonts w:cstheme="minorHAnsi"/>
              </w:rPr>
            </w:pPr>
            <w:r w:rsidRPr="00F56CF7">
              <w:rPr>
                <w:rFonts w:cstheme="minorHAnsi"/>
              </w:rPr>
              <w:t>Integrated iron and steel mills, steel companies, sinter plants, blast furnaces, basic oxygen process furnace (BOPF) shops.</w:t>
            </w:r>
          </w:p>
        </w:tc>
      </w:tr>
      <w:tr w14:paraId="49D1781E"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3E7F81" w14:paraId="08132D6A" w14:textId="77777777">
            <w:pPr>
              <w:pStyle w:val="Default"/>
              <w:rPr>
                <w:rFonts w:asciiTheme="minorHAnsi" w:hAnsiTheme="minorHAnsi" w:cstheme="minorHAnsi"/>
                <w:color w:val="auto"/>
                <w:sz w:val="22"/>
                <w:szCs w:val="22"/>
              </w:rPr>
            </w:pPr>
            <w:r w:rsidRPr="000238A7">
              <w:rPr>
                <w:rFonts w:asciiTheme="minorHAnsi" w:hAnsiTheme="minorHAnsi" w:cstheme="minorHAnsi"/>
                <w:color w:val="auto"/>
                <w:sz w:val="22"/>
                <w:szCs w:val="22"/>
              </w:rPr>
              <w:t>R. Lead Production</w:t>
            </w:r>
          </w:p>
        </w:tc>
        <w:tc>
          <w:tcPr>
            <w:tcW w:w="888" w:type="pct"/>
            <w:tcBorders>
              <w:top w:val="single" w:sz="4" w:space="0" w:color="auto"/>
              <w:bottom w:val="single" w:sz="4" w:space="0" w:color="auto"/>
              <w:right w:val="nil"/>
            </w:tcBorders>
          </w:tcPr>
          <w:p w:rsidR="00DF5B6A" w:rsidRPr="00F56CF7" w:rsidP="003E7F81" w14:paraId="62C1E311" w14:textId="77777777">
            <w:pPr>
              <w:rPr>
                <w:rFonts w:cstheme="minorHAnsi"/>
                <w:bCs/>
              </w:rPr>
            </w:pPr>
            <w:r w:rsidRPr="00F56CF7">
              <w:rPr>
                <w:rFonts w:cstheme="minorHAnsi"/>
                <w:bCs/>
              </w:rPr>
              <w:t>331</w:t>
            </w:r>
          </w:p>
        </w:tc>
        <w:tc>
          <w:tcPr>
            <w:tcW w:w="2105" w:type="pct"/>
            <w:tcBorders>
              <w:top w:val="single" w:sz="4" w:space="0" w:color="auto"/>
              <w:left w:val="nil"/>
              <w:bottom w:val="single" w:sz="4" w:space="0" w:color="auto"/>
            </w:tcBorders>
          </w:tcPr>
          <w:p w:rsidR="00DF5B6A" w:rsidRPr="00F56CF7" w:rsidP="003E7F81" w14:paraId="4330FFC8" w14:textId="77777777">
            <w:pPr>
              <w:rPr>
                <w:rFonts w:cstheme="minorHAnsi"/>
                <w:bCs/>
              </w:rPr>
            </w:pPr>
            <w:r w:rsidRPr="00F56CF7">
              <w:rPr>
                <w:rFonts w:cstheme="minorHAnsi"/>
                <w:bCs/>
              </w:rPr>
              <w:t>Primary metal manufacturing.</w:t>
            </w:r>
          </w:p>
        </w:tc>
      </w:tr>
      <w:tr w14:paraId="69F8C64B"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3E7F81" w14:paraId="03F9F649" w14:textId="77777777">
            <w:pPr>
              <w:pStyle w:val="Default"/>
              <w:rPr>
                <w:rFonts w:asciiTheme="minorHAnsi" w:hAnsiTheme="minorHAnsi" w:cstheme="minorHAnsi"/>
                <w:color w:val="auto"/>
                <w:sz w:val="22"/>
                <w:szCs w:val="22"/>
              </w:rPr>
            </w:pPr>
            <w:r w:rsidRPr="000238A7">
              <w:rPr>
                <w:rFonts w:asciiTheme="minorHAnsi" w:hAnsiTheme="minorHAnsi" w:cstheme="minorHAnsi"/>
                <w:color w:val="auto"/>
                <w:sz w:val="22"/>
                <w:szCs w:val="22"/>
              </w:rPr>
              <w:t>S. Lime Manufacturing</w:t>
            </w:r>
          </w:p>
        </w:tc>
        <w:tc>
          <w:tcPr>
            <w:tcW w:w="888" w:type="pct"/>
            <w:tcBorders>
              <w:top w:val="single" w:sz="4" w:space="0" w:color="auto"/>
              <w:bottom w:val="single" w:sz="4" w:space="0" w:color="auto"/>
              <w:right w:val="nil"/>
            </w:tcBorders>
          </w:tcPr>
          <w:p w:rsidR="00DF5B6A" w:rsidRPr="00F56CF7" w:rsidP="003E7F81" w14:paraId="276A0AC4" w14:textId="77777777">
            <w:pPr>
              <w:rPr>
                <w:rFonts w:cstheme="minorHAnsi"/>
                <w:bCs/>
              </w:rPr>
            </w:pPr>
            <w:r w:rsidRPr="00F56CF7">
              <w:rPr>
                <w:rFonts w:cstheme="minorHAnsi"/>
                <w:bCs/>
              </w:rPr>
              <w:t>327410</w:t>
            </w:r>
          </w:p>
        </w:tc>
        <w:tc>
          <w:tcPr>
            <w:tcW w:w="2105" w:type="pct"/>
            <w:tcBorders>
              <w:top w:val="single" w:sz="4" w:space="0" w:color="auto"/>
              <w:left w:val="nil"/>
              <w:bottom w:val="single" w:sz="4" w:space="0" w:color="auto"/>
            </w:tcBorders>
          </w:tcPr>
          <w:p w:rsidR="00DF5B6A" w:rsidRPr="00F56CF7" w:rsidP="003E7F81" w14:paraId="2A2BB62E" w14:textId="77777777">
            <w:pPr>
              <w:rPr>
                <w:rFonts w:cstheme="minorHAnsi"/>
                <w:bCs/>
              </w:rPr>
            </w:pPr>
            <w:r w:rsidRPr="00F56CF7">
              <w:rPr>
                <w:rFonts w:cstheme="minorHAnsi"/>
                <w:bCs/>
              </w:rPr>
              <w:t>Calcium oxide, calcium hydroxide, dolomitic hydrates manufacturing facilities.</w:t>
            </w:r>
          </w:p>
        </w:tc>
      </w:tr>
      <w:tr w14:paraId="24C33C39"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3E7F81" w14:paraId="07DC254F" w14:textId="77777777">
            <w:pPr>
              <w:pStyle w:val="Default"/>
              <w:rPr>
                <w:rFonts w:asciiTheme="minorHAnsi" w:hAnsiTheme="minorHAnsi" w:cstheme="minorHAnsi"/>
                <w:color w:val="auto"/>
                <w:sz w:val="22"/>
                <w:szCs w:val="22"/>
              </w:rPr>
            </w:pPr>
            <w:r w:rsidRPr="000238A7">
              <w:rPr>
                <w:rFonts w:asciiTheme="minorHAnsi" w:hAnsiTheme="minorHAnsi" w:cstheme="minorHAnsi"/>
                <w:color w:val="auto"/>
                <w:sz w:val="22"/>
                <w:szCs w:val="22"/>
              </w:rPr>
              <w:t>T. Magnesium Production</w:t>
            </w:r>
          </w:p>
        </w:tc>
        <w:tc>
          <w:tcPr>
            <w:tcW w:w="888" w:type="pct"/>
            <w:tcBorders>
              <w:top w:val="single" w:sz="4" w:space="0" w:color="auto"/>
              <w:bottom w:val="single" w:sz="4" w:space="0" w:color="auto"/>
              <w:right w:val="nil"/>
            </w:tcBorders>
          </w:tcPr>
          <w:p w:rsidR="00DF5B6A" w:rsidRPr="00F56CF7" w:rsidP="003E7F81" w14:paraId="238FF70E" w14:textId="77777777">
            <w:pPr>
              <w:rPr>
                <w:rFonts w:cstheme="minorHAnsi"/>
                <w:bCs/>
              </w:rPr>
            </w:pPr>
            <w:r w:rsidRPr="00F56CF7">
              <w:rPr>
                <w:rFonts w:cstheme="minorHAnsi"/>
                <w:bCs/>
              </w:rPr>
              <w:t>331410</w:t>
            </w:r>
          </w:p>
        </w:tc>
        <w:tc>
          <w:tcPr>
            <w:tcW w:w="2105" w:type="pct"/>
            <w:tcBorders>
              <w:top w:val="single" w:sz="4" w:space="0" w:color="auto"/>
              <w:left w:val="nil"/>
              <w:bottom w:val="single" w:sz="4" w:space="0" w:color="auto"/>
            </w:tcBorders>
          </w:tcPr>
          <w:p w:rsidR="00DF5B6A" w:rsidRPr="00F56CF7" w:rsidP="003E7F81" w14:paraId="6505A621" w14:textId="77777777">
            <w:pPr>
              <w:rPr>
                <w:rFonts w:cstheme="minorHAnsi"/>
                <w:bCs/>
              </w:rPr>
            </w:pPr>
            <w:r w:rsidRPr="00F56CF7">
              <w:rPr>
                <w:rFonts w:cstheme="minorHAnsi"/>
                <w:bCs/>
              </w:rPr>
              <w:t>Nonferrous metal (except aluminum) smelting and refining: Magnesium refining, primary.</w:t>
            </w:r>
          </w:p>
        </w:tc>
      </w:tr>
      <w:tr w14:paraId="1DBA29D0"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3E7F81" w14:paraId="70EA1053" w14:textId="77777777">
            <w:pPr>
              <w:pStyle w:val="Default"/>
              <w:rPr>
                <w:rFonts w:asciiTheme="minorHAnsi" w:hAnsiTheme="minorHAnsi" w:cstheme="minorHAnsi"/>
                <w:color w:val="auto"/>
                <w:sz w:val="22"/>
                <w:szCs w:val="22"/>
              </w:rPr>
            </w:pPr>
            <w:r w:rsidRPr="000238A7">
              <w:rPr>
                <w:rFonts w:asciiTheme="minorHAnsi" w:hAnsiTheme="minorHAnsi" w:cstheme="minorHAnsi"/>
                <w:color w:val="auto"/>
                <w:sz w:val="22"/>
                <w:szCs w:val="22"/>
              </w:rPr>
              <w:t>U. Miscellaneous Uses of Carbonate</w:t>
            </w:r>
          </w:p>
        </w:tc>
        <w:tc>
          <w:tcPr>
            <w:tcW w:w="2993" w:type="pct"/>
            <w:gridSpan w:val="2"/>
            <w:tcBorders>
              <w:top w:val="single" w:sz="4" w:space="0" w:color="auto"/>
              <w:bottom w:val="single" w:sz="4" w:space="0" w:color="auto"/>
            </w:tcBorders>
          </w:tcPr>
          <w:p w:rsidR="00DF5B6A" w:rsidRPr="00F56CF7" w:rsidP="003E7F81" w14:paraId="5E813424" w14:textId="77777777">
            <w:pPr>
              <w:rPr>
                <w:rFonts w:cstheme="minorHAnsi"/>
                <w:bCs/>
              </w:rPr>
            </w:pPr>
            <w:r w:rsidRPr="00F56CF7">
              <w:rPr>
                <w:rFonts w:cstheme="minorHAnsi"/>
                <w:bCs/>
              </w:rPr>
              <w:t>Facilities included elsewhere</w:t>
            </w:r>
          </w:p>
        </w:tc>
      </w:tr>
      <w:tr w14:paraId="0604C381"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3E7F81" w14:paraId="09E2D726" w14:textId="77777777">
            <w:pPr>
              <w:pStyle w:val="Default"/>
              <w:rPr>
                <w:rFonts w:asciiTheme="minorHAnsi" w:hAnsiTheme="minorHAnsi" w:cstheme="minorHAnsi"/>
                <w:color w:val="auto"/>
                <w:sz w:val="22"/>
                <w:szCs w:val="22"/>
              </w:rPr>
            </w:pPr>
            <w:r w:rsidRPr="000238A7">
              <w:rPr>
                <w:rFonts w:asciiTheme="minorHAnsi" w:hAnsiTheme="minorHAnsi" w:cstheme="minorHAnsi"/>
                <w:color w:val="auto"/>
                <w:sz w:val="22"/>
                <w:szCs w:val="22"/>
              </w:rPr>
              <w:t>V. Nitric Acid Production</w:t>
            </w:r>
          </w:p>
        </w:tc>
        <w:tc>
          <w:tcPr>
            <w:tcW w:w="888" w:type="pct"/>
            <w:tcBorders>
              <w:top w:val="single" w:sz="4" w:space="0" w:color="auto"/>
              <w:bottom w:val="single" w:sz="4" w:space="0" w:color="auto"/>
              <w:right w:val="nil"/>
            </w:tcBorders>
          </w:tcPr>
          <w:p w:rsidR="00DF5B6A" w:rsidRPr="00F56CF7" w:rsidP="003E7F81" w14:paraId="5E648453" w14:textId="77777777">
            <w:pPr>
              <w:rPr>
                <w:rFonts w:cstheme="minorHAnsi"/>
                <w:bCs/>
              </w:rPr>
            </w:pPr>
            <w:r w:rsidRPr="00F56CF7">
              <w:rPr>
                <w:rFonts w:cstheme="minorHAnsi"/>
                <w:bCs/>
              </w:rPr>
              <w:t>325311</w:t>
            </w:r>
          </w:p>
        </w:tc>
        <w:tc>
          <w:tcPr>
            <w:tcW w:w="2105" w:type="pct"/>
            <w:tcBorders>
              <w:top w:val="single" w:sz="4" w:space="0" w:color="auto"/>
              <w:left w:val="nil"/>
              <w:bottom w:val="single" w:sz="4" w:space="0" w:color="auto"/>
            </w:tcBorders>
          </w:tcPr>
          <w:p w:rsidR="00DF5B6A" w:rsidRPr="00F56CF7" w:rsidP="003E7F81" w14:paraId="513554D8" w14:textId="77777777">
            <w:pPr>
              <w:rPr>
                <w:rFonts w:cstheme="minorHAnsi"/>
                <w:bCs/>
              </w:rPr>
            </w:pPr>
            <w:r w:rsidRPr="00F56CF7">
              <w:rPr>
                <w:rFonts w:cstheme="minorHAnsi"/>
                <w:bCs/>
              </w:rPr>
              <w:t>Nitrogenous fertilizer manufacturing: Nitric acid manufacturing.</w:t>
            </w:r>
          </w:p>
        </w:tc>
      </w:tr>
      <w:tr w14:paraId="0B5CAEED" w14:textId="77777777" w:rsidTr="003E7F81">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DF5B6A" w:rsidRPr="000238A7" w:rsidP="003E7F81" w14:paraId="7FCCE7F4" w14:textId="77777777">
            <w:pPr>
              <w:pStyle w:val="Default"/>
              <w:rPr>
                <w:rFonts w:asciiTheme="minorHAnsi" w:hAnsiTheme="minorHAnsi" w:cstheme="minorHAnsi"/>
                <w:color w:val="auto"/>
                <w:sz w:val="22"/>
                <w:szCs w:val="22"/>
              </w:rPr>
            </w:pPr>
            <w:r w:rsidRPr="000238A7">
              <w:rPr>
                <w:rFonts w:asciiTheme="minorHAnsi" w:hAnsiTheme="minorHAnsi" w:cstheme="minorHAnsi"/>
                <w:color w:val="auto"/>
                <w:sz w:val="22"/>
                <w:szCs w:val="22"/>
              </w:rPr>
              <w:t>W. Petroleum and Natural Gas Systems</w:t>
            </w:r>
          </w:p>
        </w:tc>
        <w:tc>
          <w:tcPr>
            <w:tcW w:w="888" w:type="pct"/>
            <w:tcBorders>
              <w:top w:val="single" w:sz="4" w:space="0" w:color="auto"/>
              <w:bottom w:val="single" w:sz="4" w:space="0" w:color="auto"/>
              <w:right w:val="nil"/>
            </w:tcBorders>
          </w:tcPr>
          <w:p w:rsidR="00DF5B6A" w:rsidRPr="00F56CF7" w:rsidP="003E7F81" w14:paraId="72EB6F67" w14:textId="77777777">
            <w:pPr>
              <w:rPr>
                <w:rFonts w:cstheme="minorHAnsi"/>
                <w:bCs/>
              </w:rPr>
            </w:pPr>
            <w:r w:rsidRPr="00F56CF7">
              <w:rPr>
                <w:rFonts w:cstheme="minorHAnsi"/>
                <w:bCs/>
              </w:rPr>
              <w:t xml:space="preserve">486210 </w:t>
            </w:r>
          </w:p>
          <w:p w:rsidR="00DF5B6A" w:rsidRPr="00F56CF7" w:rsidP="003E7F81" w14:paraId="4D1DB4AF" w14:textId="77777777">
            <w:pPr>
              <w:rPr>
                <w:rFonts w:cstheme="minorHAnsi"/>
                <w:bCs/>
              </w:rPr>
            </w:pPr>
          </w:p>
        </w:tc>
        <w:tc>
          <w:tcPr>
            <w:tcW w:w="2105" w:type="pct"/>
            <w:tcBorders>
              <w:top w:val="single" w:sz="4" w:space="0" w:color="auto"/>
              <w:left w:val="nil"/>
              <w:bottom w:val="single" w:sz="4" w:space="0" w:color="auto"/>
            </w:tcBorders>
          </w:tcPr>
          <w:p w:rsidR="00DF5B6A" w:rsidRPr="00F56CF7" w:rsidP="003E7F81" w14:paraId="07A97791" w14:textId="77777777">
            <w:pPr>
              <w:rPr>
                <w:rFonts w:cstheme="minorHAnsi"/>
                <w:bCs/>
              </w:rPr>
            </w:pPr>
            <w:r w:rsidRPr="00F56CF7">
              <w:rPr>
                <w:rFonts w:cstheme="minorHAnsi"/>
                <w:bCs/>
              </w:rPr>
              <w:t>Pipeline transportation of natural gas.</w:t>
            </w:r>
          </w:p>
        </w:tc>
      </w:tr>
      <w:tr w14:paraId="0DCF9FB2"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0238A7" w:rsidP="003E7F81" w14:paraId="7DAF64E1" w14:textId="77777777">
            <w:pPr>
              <w:pStyle w:val="Default"/>
              <w:rPr>
                <w:rFonts w:asciiTheme="minorHAnsi" w:hAnsiTheme="minorHAnsi" w:cstheme="minorHAnsi"/>
                <w:color w:val="auto"/>
                <w:sz w:val="22"/>
                <w:szCs w:val="22"/>
              </w:rPr>
            </w:pPr>
          </w:p>
        </w:tc>
        <w:tc>
          <w:tcPr>
            <w:tcW w:w="888" w:type="pct"/>
            <w:tcBorders>
              <w:top w:val="single" w:sz="4" w:space="0" w:color="auto"/>
              <w:bottom w:val="single" w:sz="4" w:space="0" w:color="auto"/>
              <w:right w:val="nil"/>
            </w:tcBorders>
          </w:tcPr>
          <w:p w:rsidR="00DF5B6A" w:rsidRPr="00F56CF7" w:rsidP="003E7F81" w14:paraId="4CBE0113" w14:textId="77777777">
            <w:pPr>
              <w:rPr>
                <w:rFonts w:cstheme="minorHAnsi"/>
                <w:bCs/>
              </w:rPr>
            </w:pPr>
            <w:r w:rsidRPr="00F56CF7">
              <w:rPr>
                <w:rFonts w:cstheme="minorHAnsi"/>
                <w:bCs/>
              </w:rPr>
              <w:t>221210</w:t>
            </w:r>
          </w:p>
        </w:tc>
        <w:tc>
          <w:tcPr>
            <w:tcW w:w="2105" w:type="pct"/>
            <w:tcBorders>
              <w:top w:val="single" w:sz="4" w:space="0" w:color="auto"/>
              <w:left w:val="nil"/>
              <w:bottom w:val="single" w:sz="4" w:space="0" w:color="auto"/>
            </w:tcBorders>
          </w:tcPr>
          <w:p w:rsidR="00DF5B6A" w:rsidRPr="00F56CF7" w:rsidP="003E7F81" w14:paraId="303C2120" w14:textId="77777777">
            <w:pPr>
              <w:rPr>
                <w:rFonts w:cstheme="minorHAnsi"/>
                <w:bCs/>
              </w:rPr>
            </w:pPr>
            <w:r w:rsidRPr="00F56CF7">
              <w:rPr>
                <w:rFonts w:cstheme="minorHAnsi"/>
                <w:bCs/>
              </w:rPr>
              <w:t>Natural gas distribution facilities.</w:t>
            </w:r>
          </w:p>
        </w:tc>
      </w:tr>
      <w:tr w14:paraId="2E56B233"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0238A7" w:rsidP="003E7F81" w14:paraId="712E25AF" w14:textId="77777777">
            <w:pPr>
              <w:pStyle w:val="Default"/>
              <w:rPr>
                <w:rFonts w:asciiTheme="minorHAnsi" w:hAnsiTheme="minorHAnsi" w:cstheme="minorHAnsi"/>
                <w:color w:val="auto"/>
                <w:sz w:val="22"/>
                <w:szCs w:val="22"/>
              </w:rPr>
            </w:pPr>
          </w:p>
        </w:tc>
        <w:tc>
          <w:tcPr>
            <w:tcW w:w="888" w:type="pct"/>
            <w:tcBorders>
              <w:top w:val="single" w:sz="4" w:space="0" w:color="auto"/>
              <w:bottom w:val="single" w:sz="4" w:space="0" w:color="auto"/>
              <w:right w:val="nil"/>
            </w:tcBorders>
          </w:tcPr>
          <w:p w:rsidR="00DF5B6A" w:rsidRPr="00F56CF7" w:rsidP="003E7F81" w14:paraId="1268A95B" w14:textId="77777777">
            <w:pPr>
              <w:rPr>
                <w:rFonts w:cstheme="minorHAnsi"/>
                <w:bCs/>
              </w:rPr>
            </w:pPr>
            <w:r w:rsidRPr="00F56CF7">
              <w:rPr>
                <w:rFonts w:cstheme="minorHAnsi"/>
                <w:bCs/>
              </w:rPr>
              <w:t xml:space="preserve">211120 </w:t>
            </w:r>
          </w:p>
        </w:tc>
        <w:tc>
          <w:tcPr>
            <w:tcW w:w="2105" w:type="pct"/>
            <w:tcBorders>
              <w:top w:val="single" w:sz="4" w:space="0" w:color="auto"/>
              <w:left w:val="nil"/>
              <w:bottom w:val="single" w:sz="4" w:space="0" w:color="auto"/>
            </w:tcBorders>
          </w:tcPr>
          <w:p w:rsidR="00DF5B6A" w:rsidRPr="00F56CF7" w:rsidP="003E7F81" w14:paraId="5435C86C" w14:textId="77777777">
            <w:pPr>
              <w:rPr>
                <w:rFonts w:cstheme="minorHAnsi"/>
                <w:bCs/>
              </w:rPr>
            </w:pPr>
            <w:r w:rsidRPr="00F56CF7">
              <w:rPr>
                <w:rFonts w:cstheme="minorHAnsi"/>
                <w:bCs/>
              </w:rPr>
              <w:t>Crude petroleum extraction.</w:t>
            </w:r>
          </w:p>
        </w:tc>
      </w:tr>
      <w:tr w14:paraId="2DA622BF"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0238A7" w:rsidP="003E7F81" w14:paraId="4EFF15A2" w14:textId="77777777">
            <w:pPr>
              <w:pStyle w:val="Default"/>
              <w:rPr>
                <w:rFonts w:asciiTheme="minorHAnsi" w:hAnsiTheme="minorHAnsi" w:cstheme="minorHAnsi"/>
                <w:color w:val="auto"/>
                <w:sz w:val="22"/>
                <w:szCs w:val="22"/>
              </w:rPr>
            </w:pPr>
          </w:p>
        </w:tc>
        <w:tc>
          <w:tcPr>
            <w:tcW w:w="888" w:type="pct"/>
            <w:tcBorders>
              <w:top w:val="single" w:sz="4" w:space="0" w:color="auto"/>
              <w:bottom w:val="single" w:sz="4" w:space="0" w:color="auto"/>
              <w:right w:val="nil"/>
            </w:tcBorders>
          </w:tcPr>
          <w:p w:rsidR="00DF5B6A" w:rsidRPr="00F56CF7" w:rsidP="003E7F81" w14:paraId="2AEDD027" w14:textId="77777777">
            <w:pPr>
              <w:rPr>
                <w:rFonts w:cstheme="minorHAnsi"/>
                <w:bCs/>
              </w:rPr>
            </w:pPr>
            <w:r w:rsidRPr="00F56CF7">
              <w:rPr>
                <w:rFonts w:cstheme="minorHAnsi"/>
                <w:bCs/>
              </w:rPr>
              <w:t>211130</w:t>
            </w:r>
          </w:p>
        </w:tc>
        <w:tc>
          <w:tcPr>
            <w:tcW w:w="2105" w:type="pct"/>
            <w:tcBorders>
              <w:top w:val="single" w:sz="4" w:space="0" w:color="auto"/>
              <w:left w:val="nil"/>
              <w:bottom w:val="single" w:sz="4" w:space="0" w:color="auto"/>
            </w:tcBorders>
          </w:tcPr>
          <w:p w:rsidR="00DF5B6A" w:rsidRPr="00F56CF7" w:rsidP="003E7F81" w14:paraId="00573C04" w14:textId="77777777">
            <w:pPr>
              <w:rPr>
                <w:rFonts w:cstheme="minorHAnsi"/>
                <w:bCs/>
              </w:rPr>
            </w:pPr>
            <w:r w:rsidRPr="00F56CF7">
              <w:rPr>
                <w:rFonts w:cstheme="minorHAnsi"/>
                <w:bCs/>
              </w:rPr>
              <w:t>Natural gas extraction.</w:t>
            </w:r>
          </w:p>
        </w:tc>
      </w:tr>
      <w:tr w14:paraId="2845A62C" w14:textId="77777777" w:rsidTr="003E7F81">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DF5B6A" w:rsidRPr="000238A7" w:rsidP="003E7F81" w14:paraId="598FC331" w14:textId="77777777">
            <w:pPr>
              <w:pStyle w:val="Default"/>
              <w:rPr>
                <w:rFonts w:asciiTheme="minorHAnsi" w:hAnsiTheme="minorHAnsi" w:cstheme="minorHAnsi"/>
                <w:color w:val="auto"/>
                <w:sz w:val="22"/>
                <w:szCs w:val="22"/>
              </w:rPr>
            </w:pPr>
            <w:r w:rsidRPr="000238A7">
              <w:rPr>
                <w:rFonts w:asciiTheme="minorHAnsi" w:hAnsiTheme="minorHAnsi" w:cstheme="minorHAnsi"/>
                <w:color w:val="auto"/>
                <w:sz w:val="22"/>
                <w:szCs w:val="22"/>
              </w:rPr>
              <w:t xml:space="preserve">X. Petrochemical Production </w:t>
            </w:r>
          </w:p>
          <w:p w:rsidR="00DF5B6A" w:rsidRPr="00F56CF7" w:rsidP="003E7F81" w14:paraId="7B4013CD" w14:textId="77777777">
            <w:pPr>
              <w:rPr>
                <w:rFonts w:cstheme="minorHAnsi"/>
              </w:rPr>
            </w:pPr>
          </w:p>
        </w:tc>
        <w:tc>
          <w:tcPr>
            <w:tcW w:w="888" w:type="pct"/>
            <w:tcBorders>
              <w:top w:val="single" w:sz="4" w:space="0" w:color="auto"/>
              <w:bottom w:val="single" w:sz="4" w:space="0" w:color="auto"/>
              <w:right w:val="nil"/>
            </w:tcBorders>
          </w:tcPr>
          <w:p w:rsidR="00DF5B6A" w:rsidRPr="00F56CF7" w:rsidP="003E7F81" w14:paraId="644499FB" w14:textId="77777777">
            <w:pPr>
              <w:rPr>
                <w:rFonts w:cstheme="minorHAnsi"/>
                <w:bCs/>
              </w:rPr>
            </w:pPr>
          </w:p>
          <w:p w:rsidR="00DF5B6A" w:rsidRPr="000238A7" w:rsidP="003E7F81" w14:paraId="36D40B6D" w14:textId="77777777">
            <w:pPr>
              <w:pStyle w:val="Default"/>
              <w:rPr>
                <w:rFonts w:asciiTheme="minorHAnsi" w:hAnsiTheme="minorHAnsi" w:cstheme="minorHAnsi"/>
                <w:color w:val="auto"/>
                <w:sz w:val="22"/>
                <w:szCs w:val="22"/>
              </w:rPr>
            </w:pPr>
            <w:r w:rsidRPr="000238A7">
              <w:rPr>
                <w:rFonts w:asciiTheme="minorHAnsi" w:hAnsiTheme="minorHAnsi" w:cstheme="minorHAnsi"/>
                <w:color w:val="auto"/>
                <w:sz w:val="22"/>
                <w:szCs w:val="22"/>
              </w:rPr>
              <w:t xml:space="preserve">32511 </w:t>
            </w:r>
          </w:p>
          <w:p w:rsidR="00DF5B6A" w:rsidRPr="00F56CF7" w:rsidP="003E7F81" w14:paraId="7FC714E2" w14:textId="77777777">
            <w:pPr>
              <w:rPr>
                <w:rFonts w:cstheme="minorHAnsi"/>
                <w:bCs/>
              </w:rPr>
            </w:pPr>
          </w:p>
        </w:tc>
        <w:tc>
          <w:tcPr>
            <w:tcW w:w="2105" w:type="pct"/>
            <w:tcBorders>
              <w:top w:val="single" w:sz="4" w:space="0" w:color="auto"/>
              <w:left w:val="nil"/>
              <w:bottom w:val="single" w:sz="4" w:space="0" w:color="auto"/>
            </w:tcBorders>
          </w:tcPr>
          <w:p w:rsidR="00DF5B6A" w:rsidRPr="00F56CF7" w:rsidP="003E7F81" w14:paraId="13791C76" w14:textId="77777777">
            <w:pPr>
              <w:rPr>
                <w:rFonts w:cstheme="minorHAnsi"/>
                <w:bCs/>
              </w:rPr>
            </w:pPr>
            <w:r w:rsidRPr="00F56CF7">
              <w:rPr>
                <w:rFonts w:cstheme="minorHAnsi"/>
              </w:rPr>
              <w:t>Ethylene dichloride manufacturing facilities.</w:t>
            </w:r>
          </w:p>
        </w:tc>
      </w:tr>
      <w:tr w14:paraId="702E73E1"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3E7F81" w14:paraId="1304AE85" w14:textId="77777777">
            <w:pPr>
              <w:rPr>
                <w:rFonts w:cstheme="minorHAnsi"/>
              </w:rPr>
            </w:pPr>
          </w:p>
        </w:tc>
        <w:tc>
          <w:tcPr>
            <w:tcW w:w="888" w:type="pct"/>
            <w:tcBorders>
              <w:top w:val="single" w:sz="4" w:space="0" w:color="auto"/>
              <w:bottom w:val="single" w:sz="4" w:space="0" w:color="auto"/>
              <w:right w:val="nil"/>
            </w:tcBorders>
          </w:tcPr>
          <w:p w:rsidR="00DF5B6A" w:rsidRPr="00F56CF7" w:rsidP="003E7F81" w14:paraId="35A7D133" w14:textId="77777777">
            <w:pPr>
              <w:rPr>
                <w:rFonts w:cstheme="minorHAnsi"/>
                <w:bCs/>
              </w:rPr>
            </w:pPr>
            <w:r w:rsidRPr="00F56CF7">
              <w:rPr>
                <w:rFonts w:cstheme="minorHAnsi"/>
              </w:rPr>
              <w:t>325199</w:t>
            </w:r>
          </w:p>
        </w:tc>
        <w:tc>
          <w:tcPr>
            <w:tcW w:w="2105" w:type="pct"/>
            <w:tcBorders>
              <w:top w:val="single" w:sz="4" w:space="0" w:color="auto"/>
              <w:left w:val="nil"/>
              <w:bottom w:val="single" w:sz="4" w:space="0" w:color="auto"/>
            </w:tcBorders>
          </w:tcPr>
          <w:p w:rsidR="00DF5B6A" w:rsidRPr="00F56CF7" w:rsidP="003E7F81" w14:paraId="021163CD" w14:textId="77777777">
            <w:pPr>
              <w:rPr>
                <w:rFonts w:cstheme="minorHAnsi"/>
                <w:bCs/>
              </w:rPr>
            </w:pPr>
            <w:r w:rsidRPr="00F56CF7">
              <w:rPr>
                <w:rFonts w:cstheme="minorHAnsi"/>
              </w:rPr>
              <w:t>Acrylonitrile, ethylene oxide, methanol manufacturing facilities.</w:t>
            </w:r>
          </w:p>
        </w:tc>
      </w:tr>
      <w:tr w14:paraId="069863CE"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3E7F81" w14:paraId="412078B9" w14:textId="77777777">
            <w:pPr>
              <w:rPr>
                <w:rFonts w:cstheme="minorHAnsi"/>
              </w:rPr>
            </w:pPr>
          </w:p>
        </w:tc>
        <w:tc>
          <w:tcPr>
            <w:tcW w:w="888" w:type="pct"/>
            <w:tcBorders>
              <w:top w:val="single" w:sz="4" w:space="0" w:color="auto"/>
              <w:bottom w:val="single" w:sz="4" w:space="0" w:color="auto"/>
              <w:right w:val="nil"/>
            </w:tcBorders>
          </w:tcPr>
          <w:p w:rsidR="00DF5B6A" w:rsidRPr="00F56CF7" w:rsidP="003E7F81" w14:paraId="15C4370A" w14:textId="77777777">
            <w:pPr>
              <w:rPr>
                <w:rFonts w:cstheme="minorHAnsi"/>
                <w:bCs/>
              </w:rPr>
            </w:pPr>
            <w:r w:rsidRPr="00F56CF7">
              <w:rPr>
                <w:rFonts w:cstheme="minorHAnsi"/>
              </w:rPr>
              <w:t>325110</w:t>
            </w:r>
          </w:p>
        </w:tc>
        <w:tc>
          <w:tcPr>
            <w:tcW w:w="2105" w:type="pct"/>
            <w:tcBorders>
              <w:top w:val="single" w:sz="4" w:space="0" w:color="auto"/>
              <w:left w:val="nil"/>
              <w:bottom w:val="single" w:sz="4" w:space="0" w:color="auto"/>
            </w:tcBorders>
          </w:tcPr>
          <w:p w:rsidR="00DF5B6A" w:rsidRPr="000238A7" w:rsidP="003E7F81" w14:paraId="23802857" w14:textId="77777777">
            <w:pPr>
              <w:pStyle w:val="Default"/>
              <w:rPr>
                <w:rFonts w:asciiTheme="minorHAnsi" w:hAnsiTheme="minorHAnsi" w:cstheme="minorHAnsi"/>
                <w:color w:val="auto"/>
                <w:sz w:val="22"/>
                <w:szCs w:val="22"/>
              </w:rPr>
            </w:pPr>
            <w:r w:rsidRPr="000238A7">
              <w:rPr>
                <w:rFonts w:asciiTheme="minorHAnsi" w:hAnsiTheme="minorHAnsi" w:cstheme="minorHAnsi"/>
                <w:color w:val="auto"/>
                <w:sz w:val="22"/>
                <w:szCs w:val="22"/>
              </w:rPr>
              <w:t xml:space="preserve">Ethylene manufacturing facilities. </w:t>
            </w:r>
          </w:p>
        </w:tc>
      </w:tr>
      <w:tr w14:paraId="09291549"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3E7F81" w14:paraId="1F399348" w14:textId="77777777">
            <w:pPr>
              <w:rPr>
                <w:rFonts w:cstheme="minorHAnsi"/>
              </w:rPr>
            </w:pPr>
          </w:p>
        </w:tc>
        <w:tc>
          <w:tcPr>
            <w:tcW w:w="888" w:type="pct"/>
            <w:tcBorders>
              <w:top w:val="single" w:sz="4" w:space="0" w:color="auto"/>
              <w:bottom w:val="single" w:sz="4" w:space="0" w:color="auto"/>
              <w:right w:val="nil"/>
            </w:tcBorders>
          </w:tcPr>
          <w:p w:rsidR="00DF5B6A" w:rsidRPr="00F56CF7" w:rsidP="003E7F81" w14:paraId="7ED3E288" w14:textId="77777777">
            <w:pPr>
              <w:rPr>
                <w:rFonts w:cstheme="minorHAnsi"/>
                <w:bCs/>
              </w:rPr>
            </w:pPr>
            <w:r w:rsidRPr="00F56CF7">
              <w:rPr>
                <w:rFonts w:cstheme="minorHAnsi"/>
              </w:rPr>
              <w:t>325180</w:t>
            </w:r>
          </w:p>
        </w:tc>
        <w:tc>
          <w:tcPr>
            <w:tcW w:w="2105" w:type="pct"/>
            <w:tcBorders>
              <w:top w:val="single" w:sz="4" w:space="0" w:color="auto"/>
              <w:left w:val="nil"/>
              <w:bottom w:val="single" w:sz="4" w:space="0" w:color="auto"/>
            </w:tcBorders>
          </w:tcPr>
          <w:p w:rsidR="00DF5B6A" w:rsidRPr="00F56CF7" w:rsidP="003E7F81" w14:paraId="21A67026" w14:textId="77777777">
            <w:pPr>
              <w:rPr>
                <w:rFonts w:cstheme="minorHAnsi"/>
                <w:bCs/>
              </w:rPr>
            </w:pPr>
            <w:r w:rsidRPr="00F56CF7">
              <w:rPr>
                <w:rFonts w:cstheme="minorHAnsi"/>
              </w:rPr>
              <w:t>Carbon black manufacturing facilities.</w:t>
            </w:r>
          </w:p>
        </w:tc>
      </w:tr>
      <w:tr w14:paraId="2F6EA67B"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3E7F81" w14:paraId="08223CD5" w14:textId="77777777">
            <w:pPr>
              <w:rPr>
                <w:rFonts w:cstheme="minorHAnsi"/>
              </w:rPr>
            </w:pPr>
            <w:r w:rsidRPr="00F56CF7">
              <w:rPr>
                <w:rFonts w:cstheme="minorHAnsi"/>
              </w:rPr>
              <w:t xml:space="preserve">Y. Petroleum Refineries </w:t>
            </w:r>
          </w:p>
        </w:tc>
        <w:tc>
          <w:tcPr>
            <w:tcW w:w="888" w:type="pct"/>
            <w:tcBorders>
              <w:top w:val="single" w:sz="4" w:space="0" w:color="auto"/>
              <w:bottom w:val="single" w:sz="4" w:space="0" w:color="auto"/>
              <w:right w:val="nil"/>
            </w:tcBorders>
          </w:tcPr>
          <w:p w:rsidR="00DF5B6A" w:rsidRPr="00F56CF7" w:rsidP="003E7F81" w14:paraId="24846A68" w14:textId="77777777">
            <w:pPr>
              <w:rPr>
                <w:rFonts w:cstheme="minorHAnsi"/>
              </w:rPr>
            </w:pPr>
            <w:r w:rsidRPr="00F56CF7">
              <w:rPr>
                <w:rFonts w:cstheme="minorHAnsi"/>
              </w:rPr>
              <w:t>324110</w:t>
            </w:r>
          </w:p>
        </w:tc>
        <w:tc>
          <w:tcPr>
            <w:tcW w:w="2105" w:type="pct"/>
            <w:tcBorders>
              <w:top w:val="single" w:sz="4" w:space="0" w:color="auto"/>
              <w:left w:val="nil"/>
              <w:bottom w:val="single" w:sz="4" w:space="0" w:color="auto"/>
            </w:tcBorders>
          </w:tcPr>
          <w:p w:rsidR="00DF5B6A" w:rsidRPr="00F56CF7" w:rsidP="003E7F81" w14:paraId="06F2E603" w14:textId="77777777">
            <w:pPr>
              <w:rPr>
                <w:rFonts w:cstheme="minorHAnsi"/>
              </w:rPr>
            </w:pPr>
            <w:r w:rsidRPr="00F56CF7">
              <w:rPr>
                <w:rFonts w:cstheme="minorHAnsi"/>
              </w:rPr>
              <w:t>Petroleum refineries.</w:t>
            </w:r>
          </w:p>
        </w:tc>
      </w:tr>
      <w:tr w14:paraId="78DDE6B4" w14:textId="77777777" w:rsidTr="003E7F81">
        <w:tblPrEx>
          <w:tblW w:w="5000" w:type="pct"/>
          <w:tblInd w:w="110" w:type="dxa"/>
          <w:tblCellMar>
            <w:left w:w="110" w:type="dxa"/>
            <w:right w:w="110" w:type="dxa"/>
          </w:tblCellMar>
          <w:tblLook w:val="0000"/>
        </w:tblPrEx>
        <w:trPr>
          <w:cantSplit/>
          <w:trHeight w:val="341"/>
        </w:trPr>
        <w:tc>
          <w:tcPr>
            <w:tcW w:w="2007" w:type="pct"/>
            <w:tcBorders>
              <w:top w:val="single" w:sz="4" w:space="0" w:color="auto"/>
              <w:bottom w:val="single" w:sz="4" w:space="0" w:color="auto"/>
            </w:tcBorders>
          </w:tcPr>
          <w:p w:rsidR="00DF5B6A" w:rsidRPr="00F56CF7" w:rsidP="003E7F81" w14:paraId="42F588A9" w14:textId="77777777">
            <w:pPr>
              <w:rPr>
                <w:rFonts w:cstheme="minorHAnsi"/>
              </w:rPr>
            </w:pPr>
            <w:r w:rsidRPr="00F56CF7">
              <w:rPr>
                <w:rFonts w:cstheme="minorHAnsi"/>
              </w:rPr>
              <w:t>Z. Phosphoric Acid Production</w:t>
            </w:r>
          </w:p>
        </w:tc>
        <w:tc>
          <w:tcPr>
            <w:tcW w:w="888" w:type="pct"/>
            <w:tcBorders>
              <w:top w:val="single" w:sz="4" w:space="0" w:color="auto"/>
              <w:bottom w:val="single" w:sz="4" w:space="0" w:color="auto"/>
              <w:right w:val="nil"/>
            </w:tcBorders>
          </w:tcPr>
          <w:p w:rsidR="00DF5B6A" w:rsidRPr="00F56CF7" w:rsidP="003E7F81" w14:paraId="60889C46" w14:textId="77777777">
            <w:pPr>
              <w:rPr>
                <w:rFonts w:cstheme="minorHAnsi"/>
              </w:rPr>
            </w:pPr>
            <w:r w:rsidRPr="00F56CF7">
              <w:rPr>
                <w:rFonts w:cstheme="minorHAnsi"/>
              </w:rPr>
              <w:t>325312</w:t>
            </w:r>
          </w:p>
        </w:tc>
        <w:tc>
          <w:tcPr>
            <w:tcW w:w="2105" w:type="pct"/>
            <w:tcBorders>
              <w:top w:val="single" w:sz="4" w:space="0" w:color="auto"/>
              <w:left w:val="nil"/>
              <w:bottom w:val="single" w:sz="4" w:space="0" w:color="auto"/>
            </w:tcBorders>
          </w:tcPr>
          <w:p w:rsidR="00DF5B6A" w:rsidRPr="00F56CF7" w:rsidP="003E7F81" w14:paraId="73E0244F" w14:textId="77777777">
            <w:pPr>
              <w:rPr>
                <w:rFonts w:cstheme="minorHAnsi"/>
              </w:rPr>
            </w:pPr>
            <w:r w:rsidRPr="00F56CF7">
              <w:rPr>
                <w:rFonts w:cstheme="minorHAnsi"/>
              </w:rPr>
              <w:t>Phosphatic fertilizer manufacturing.</w:t>
            </w:r>
          </w:p>
        </w:tc>
      </w:tr>
      <w:tr w14:paraId="0DCA8397" w14:textId="77777777" w:rsidTr="003E7F81">
        <w:tblPrEx>
          <w:tblW w:w="5000" w:type="pct"/>
          <w:tblInd w:w="110" w:type="dxa"/>
          <w:tblCellMar>
            <w:left w:w="110" w:type="dxa"/>
            <w:right w:w="110" w:type="dxa"/>
          </w:tblCellMar>
          <w:tblLook w:val="0000"/>
        </w:tblPrEx>
        <w:trPr>
          <w:cantSplit/>
          <w:trHeight w:val="350"/>
        </w:trPr>
        <w:tc>
          <w:tcPr>
            <w:tcW w:w="2007" w:type="pct"/>
            <w:vMerge w:val="restart"/>
            <w:tcBorders>
              <w:top w:val="single" w:sz="4" w:space="0" w:color="auto"/>
            </w:tcBorders>
          </w:tcPr>
          <w:p w:rsidR="00DF5B6A" w:rsidRPr="00F56CF7" w:rsidP="003E7F81" w14:paraId="73E878E7" w14:textId="77777777">
            <w:pPr>
              <w:rPr>
                <w:rFonts w:cstheme="minorHAnsi"/>
              </w:rPr>
            </w:pPr>
            <w:r w:rsidRPr="00F56CF7">
              <w:rPr>
                <w:rFonts w:cstheme="minorHAnsi"/>
              </w:rPr>
              <w:t>AA. Pulp and Paper Manufacturing</w:t>
            </w:r>
          </w:p>
        </w:tc>
        <w:tc>
          <w:tcPr>
            <w:tcW w:w="888" w:type="pct"/>
            <w:tcBorders>
              <w:top w:val="single" w:sz="4" w:space="0" w:color="auto"/>
              <w:bottom w:val="single" w:sz="4" w:space="0" w:color="auto"/>
              <w:right w:val="nil"/>
            </w:tcBorders>
          </w:tcPr>
          <w:p w:rsidR="00DF5B6A" w:rsidRPr="00F56CF7" w:rsidP="003E7F81" w14:paraId="38733D50" w14:textId="77777777">
            <w:pPr>
              <w:rPr>
                <w:rFonts w:cstheme="minorHAnsi"/>
              </w:rPr>
            </w:pPr>
            <w:r w:rsidRPr="00F56CF7">
              <w:rPr>
                <w:rFonts w:cstheme="minorHAnsi"/>
              </w:rPr>
              <w:t>322110</w:t>
            </w:r>
          </w:p>
        </w:tc>
        <w:tc>
          <w:tcPr>
            <w:tcW w:w="2105" w:type="pct"/>
            <w:tcBorders>
              <w:top w:val="single" w:sz="4" w:space="0" w:color="auto"/>
              <w:left w:val="nil"/>
              <w:bottom w:val="single" w:sz="4" w:space="0" w:color="auto"/>
            </w:tcBorders>
          </w:tcPr>
          <w:p w:rsidR="00DF5B6A" w:rsidRPr="00F56CF7" w:rsidP="003E7F81" w14:paraId="38040898" w14:textId="77777777">
            <w:pPr>
              <w:rPr>
                <w:rFonts w:cstheme="minorHAnsi"/>
              </w:rPr>
            </w:pPr>
            <w:r w:rsidRPr="00F56CF7">
              <w:rPr>
                <w:rFonts w:cstheme="minorHAnsi"/>
              </w:rPr>
              <w:t>Pulp mills.</w:t>
            </w:r>
          </w:p>
        </w:tc>
      </w:tr>
      <w:tr w14:paraId="0D55D303" w14:textId="77777777" w:rsidTr="003E7F81">
        <w:tblPrEx>
          <w:tblW w:w="5000" w:type="pct"/>
          <w:tblInd w:w="110" w:type="dxa"/>
          <w:tblCellMar>
            <w:left w:w="110" w:type="dxa"/>
            <w:right w:w="110" w:type="dxa"/>
          </w:tblCellMar>
          <w:tblLook w:val="0000"/>
        </w:tblPrEx>
        <w:trPr>
          <w:cantSplit/>
          <w:trHeight w:val="83"/>
        </w:trPr>
        <w:tc>
          <w:tcPr>
            <w:tcW w:w="2007" w:type="pct"/>
            <w:vMerge/>
          </w:tcPr>
          <w:p w:rsidR="00DF5B6A" w:rsidRPr="00F56CF7" w:rsidP="003E7F81" w14:paraId="2D26FF90" w14:textId="77777777">
            <w:pPr>
              <w:rPr>
                <w:rFonts w:cstheme="minorHAnsi"/>
              </w:rPr>
            </w:pPr>
          </w:p>
        </w:tc>
        <w:tc>
          <w:tcPr>
            <w:tcW w:w="888" w:type="pct"/>
            <w:tcBorders>
              <w:top w:val="single" w:sz="4" w:space="0" w:color="auto"/>
              <w:bottom w:val="single" w:sz="4" w:space="0" w:color="auto"/>
              <w:right w:val="nil"/>
            </w:tcBorders>
          </w:tcPr>
          <w:p w:rsidR="00DF5B6A" w:rsidRPr="00F56CF7" w:rsidP="003E7F81" w14:paraId="4C270AA2" w14:textId="77777777">
            <w:pPr>
              <w:rPr>
                <w:rFonts w:cstheme="minorHAnsi"/>
              </w:rPr>
            </w:pPr>
            <w:r w:rsidRPr="00F56CF7">
              <w:rPr>
                <w:rFonts w:cstheme="minorHAnsi"/>
              </w:rPr>
              <w:t>322120</w:t>
            </w:r>
          </w:p>
        </w:tc>
        <w:tc>
          <w:tcPr>
            <w:tcW w:w="2105" w:type="pct"/>
            <w:tcBorders>
              <w:top w:val="single" w:sz="4" w:space="0" w:color="auto"/>
              <w:left w:val="nil"/>
              <w:bottom w:val="single" w:sz="4" w:space="0" w:color="auto"/>
            </w:tcBorders>
          </w:tcPr>
          <w:p w:rsidR="00DF5B6A" w:rsidRPr="00F56CF7" w:rsidP="003E7F81" w14:paraId="10CFC218" w14:textId="77777777">
            <w:pPr>
              <w:rPr>
                <w:rFonts w:cstheme="minorHAnsi"/>
              </w:rPr>
            </w:pPr>
            <w:r w:rsidRPr="00F56CF7">
              <w:rPr>
                <w:rFonts w:cstheme="minorHAnsi"/>
              </w:rPr>
              <w:t>Paper mills.</w:t>
            </w:r>
          </w:p>
        </w:tc>
      </w:tr>
      <w:tr w14:paraId="02C9179F" w14:textId="77777777" w:rsidTr="003E7F81">
        <w:tblPrEx>
          <w:tblW w:w="5000" w:type="pct"/>
          <w:tblInd w:w="110" w:type="dxa"/>
          <w:tblCellMar>
            <w:left w:w="110" w:type="dxa"/>
            <w:right w:w="110" w:type="dxa"/>
          </w:tblCellMar>
          <w:tblLook w:val="0000"/>
        </w:tblPrEx>
        <w:trPr>
          <w:cantSplit/>
          <w:trHeight w:val="314"/>
        </w:trPr>
        <w:tc>
          <w:tcPr>
            <w:tcW w:w="2007" w:type="pct"/>
            <w:vMerge/>
            <w:tcBorders>
              <w:bottom w:val="single" w:sz="4" w:space="0" w:color="auto"/>
            </w:tcBorders>
          </w:tcPr>
          <w:p w:rsidR="00DF5B6A" w:rsidRPr="00F56CF7" w:rsidP="003E7F81" w14:paraId="308CC7B9" w14:textId="77777777">
            <w:pPr>
              <w:rPr>
                <w:rFonts w:cstheme="minorHAnsi"/>
              </w:rPr>
            </w:pPr>
          </w:p>
        </w:tc>
        <w:tc>
          <w:tcPr>
            <w:tcW w:w="888" w:type="pct"/>
            <w:tcBorders>
              <w:top w:val="single" w:sz="4" w:space="0" w:color="auto"/>
              <w:bottom w:val="single" w:sz="4" w:space="0" w:color="auto"/>
              <w:right w:val="nil"/>
            </w:tcBorders>
          </w:tcPr>
          <w:p w:rsidR="00DF5B6A" w:rsidRPr="00F56CF7" w:rsidP="003E7F81" w14:paraId="23D6CF70" w14:textId="77777777">
            <w:pPr>
              <w:rPr>
                <w:rFonts w:cstheme="minorHAnsi"/>
              </w:rPr>
            </w:pPr>
            <w:r w:rsidRPr="00F56CF7">
              <w:rPr>
                <w:rFonts w:cstheme="minorHAnsi"/>
              </w:rPr>
              <w:t>322130</w:t>
            </w:r>
          </w:p>
        </w:tc>
        <w:tc>
          <w:tcPr>
            <w:tcW w:w="2105" w:type="pct"/>
            <w:tcBorders>
              <w:top w:val="single" w:sz="4" w:space="0" w:color="auto"/>
              <w:left w:val="nil"/>
              <w:bottom w:val="single" w:sz="4" w:space="0" w:color="auto"/>
            </w:tcBorders>
          </w:tcPr>
          <w:p w:rsidR="00DF5B6A" w:rsidRPr="00F56CF7" w:rsidP="003E7F81" w14:paraId="02E0BD41" w14:textId="77777777">
            <w:pPr>
              <w:rPr>
                <w:rFonts w:cstheme="minorHAnsi"/>
              </w:rPr>
            </w:pPr>
            <w:r w:rsidRPr="00F56CF7">
              <w:rPr>
                <w:rFonts w:cstheme="minorHAnsi"/>
              </w:rPr>
              <w:t>Paperboard mills.</w:t>
            </w:r>
          </w:p>
        </w:tc>
      </w:tr>
      <w:tr w14:paraId="6815B961" w14:textId="77777777" w:rsidTr="003E7F81">
        <w:tblPrEx>
          <w:tblW w:w="5000" w:type="pct"/>
          <w:tblInd w:w="110" w:type="dxa"/>
          <w:tblCellMar>
            <w:left w:w="110" w:type="dxa"/>
            <w:right w:w="110" w:type="dxa"/>
          </w:tblCellMar>
          <w:tblLook w:val="0000"/>
        </w:tblPrEx>
        <w:trPr>
          <w:cantSplit/>
          <w:trHeight w:val="674"/>
        </w:trPr>
        <w:tc>
          <w:tcPr>
            <w:tcW w:w="2007" w:type="pct"/>
            <w:tcBorders>
              <w:top w:val="single" w:sz="4" w:space="0" w:color="auto"/>
              <w:bottom w:val="single" w:sz="4" w:space="0" w:color="auto"/>
            </w:tcBorders>
          </w:tcPr>
          <w:p w:rsidR="00DF5B6A" w:rsidRPr="00F56CF7" w:rsidP="003E7F81" w14:paraId="779BDA4B" w14:textId="77777777">
            <w:pPr>
              <w:rPr>
                <w:rFonts w:cstheme="minorHAnsi"/>
              </w:rPr>
            </w:pPr>
            <w:r w:rsidRPr="00F56CF7">
              <w:rPr>
                <w:rFonts w:cstheme="minorHAnsi"/>
              </w:rPr>
              <w:t>BB. Silicon Carbide Production</w:t>
            </w:r>
          </w:p>
        </w:tc>
        <w:tc>
          <w:tcPr>
            <w:tcW w:w="888" w:type="pct"/>
            <w:tcBorders>
              <w:top w:val="single" w:sz="4" w:space="0" w:color="auto"/>
              <w:bottom w:val="single" w:sz="4" w:space="0" w:color="auto"/>
              <w:right w:val="nil"/>
            </w:tcBorders>
          </w:tcPr>
          <w:p w:rsidR="00DF5B6A" w:rsidRPr="00F56CF7" w:rsidP="003E7F81" w14:paraId="3112748A" w14:textId="77777777">
            <w:pPr>
              <w:rPr>
                <w:rFonts w:cstheme="minorHAnsi"/>
                <w:bCs/>
              </w:rPr>
            </w:pPr>
            <w:r w:rsidRPr="00F56CF7">
              <w:rPr>
                <w:rFonts w:cstheme="minorHAnsi"/>
              </w:rPr>
              <w:t>327910</w:t>
            </w:r>
          </w:p>
          <w:p w:rsidR="00DF5B6A" w:rsidRPr="00F56CF7" w:rsidP="003E7F81" w14:paraId="2C0DA9BA" w14:textId="77777777">
            <w:pPr>
              <w:rPr>
                <w:rFonts w:cstheme="minorHAnsi"/>
                <w:bCs/>
              </w:rPr>
            </w:pPr>
          </w:p>
          <w:p w:rsidR="00DF5B6A" w:rsidRPr="00F56CF7" w:rsidP="003E7F81" w14:paraId="23350503" w14:textId="77777777">
            <w:pPr>
              <w:rPr>
                <w:rFonts w:cstheme="minorHAnsi"/>
                <w:bCs/>
              </w:rPr>
            </w:pPr>
          </w:p>
        </w:tc>
        <w:tc>
          <w:tcPr>
            <w:tcW w:w="2105" w:type="pct"/>
            <w:tcBorders>
              <w:top w:val="single" w:sz="4" w:space="0" w:color="auto"/>
              <w:left w:val="nil"/>
              <w:bottom w:val="single" w:sz="4" w:space="0" w:color="auto"/>
            </w:tcBorders>
          </w:tcPr>
          <w:p w:rsidR="00DF5B6A" w:rsidRPr="00F56CF7" w:rsidP="003E7F81" w14:paraId="440DFFA8" w14:textId="77777777">
            <w:pPr>
              <w:rPr>
                <w:rFonts w:cstheme="minorHAnsi"/>
                <w:bCs/>
              </w:rPr>
            </w:pPr>
            <w:r w:rsidRPr="00F56CF7">
              <w:rPr>
                <w:rFonts w:cstheme="minorHAnsi"/>
              </w:rPr>
              <w:t>Silicon carbide abrasives manufacturing facilities.</w:t>
            </w:r>
          </w:p>
        </w:tc>
      </w:tr>
      <w:tr w14:paraId="40CADC24"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3E7F81" w14:paraId="2475A6EA" w14:textId="77777777">
            <w:pPr>
              <w:rPr>
                <w:rFonts w:cstheme="minorHAnsi"/>
              </w:rPr>
            </w:pPr>
            <w:r w:rsidRPr="00F56CF7">
              <w:rPr>
                <w:rFonts w:cstheme="minorHAnsi"/>
              </w:rPr>
              <w:t>CC. Soda Ash Manufacturing</w:t>
            </w:r>
          </w:p>
        </w:tc>
        <w:tc>
          <w:tcPr>
            <w:tcW w:w="888" w:type="pct"/>
            <w:tcBorders>
              <w:top w:val="single" w:sz="4" w:space="0" w:color="auto"/>
              <w:bottom w:val="single" w:sz="4" w:space="0" w:color="auto"/>
              <w:right w:val="nil"/>
            </w:tcBorders>
          </w:tcPr>
          <w:p w:rsidR="00DF5B6A" w:rsidRPr="00F56CF7" w:rsidP="003E7F81" w14:paraId="50912F55" w14:textId="77777777">
            <w:pPr>
              <w:rPr>
                <w:rFonts w:cstheme="minorHAnsi"/>
              </w:rPr>
            </w:pPr>
            <w:r w:rsidRPr="00F56CF7">
              <w:rPr>
                <w:rFonts w:cstheme="minorHAnsi"/>
              </w:rPr>
              <w:t>325180</w:t>
            </w:r>
          </w:p>
        </w:tc>
        <w:tc>
          <w:tcPr>
            <w:tcW w:w="2105" w:type="pct"/>
            <w:tcBorders>
              <w:top w:val="single" w:sz="4" w:space="0" w:color="auto"/>
              <w:left w:val="nil"/>
              <w:bottom w:val="single" w:sz="4" w:space="0" w:color="auto"/>
            </w:tcBorders>
          </w:tcPr>
          <w:p w:rsidR="00DF5B6A" w:rsidRPr="00F56CF7" w:rsidP="003E7F81" w14:paraId="6CD19EED" w14:textId="77777777">
            <w:pPr>
              <w:rPr>
                <w:rFonts w:cstheme="minorHAnsi"/>
              </w:rPr>
            </w:pPr>
            <w:r w:rsidRPr="00F56CF7">
              <w:rPr>
                <w:rFonts w:cstheme="minorHAnsi"/>
              </w:rPr>
              <w:t>Other basic inorganic chemical manufacturing: Soda ash manufacturing.</w:t>
            </w:r>
          </w:p>
        </w:tc>
      </w:tr>
      <w:tr w14:paraId="743C3239"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3E7F81" w14:paraId="416C163D" w14:textId="77777777">
            <w:pPr>
              <w:rPr>
                <w:rFonts w:cstheme="minorHAnsi"/>
              </w:rPr>
            </w:pPr>
            <w:r w:rsidRPr="00F56CF7">
              <w:rPr>
                <w:rFonts w:cstheme="minorHAnsi"/>
              </w:rPr>
              <w:t>DD. Electrical Equipment Use</w:t>
            </w:r>
          </w:p>
        </w:tc>
        <w:tc>
          <w:tcPr>
            <w:tcW w:w="888" w:type="pct"/>
            <w:tcBorders>
              <w:top w:val="single" w:sz="4" w:space="0" w:color="auto"/>
              <w:bottom w:val="single" w:sz="4" w:space="0" w:color="auto"/>
              <w:right w:val="nil"/>
            </w:tcBorders>
          </w:tcPr>
          <w:p w:rsidR="00DF5B6A" w:rsidRPr="00F56CF7" w:rsidP="003E7F81" w14:paraId="6A9DEEBC" w14:textId="77777777">
            <w:pPr>
              <w:rPr>
                <w:rFonts w:cstheme="minorHAnsi"/>
                <w:bCs/>
              </w:rPr>
            </w:pPr>
            <w:r w:rsidRPr="00F56CF7">
              <w:rPr>
                <w:rFonts w:cstheme="minorHAnsi"/>
              </w:rPr>
              <w:t>221121</w:t>
            </w:r>
          </w:p>
        </w:tc>
        <w:tc>
          <w:tcPr>
            <w:tcW w:w="2105" w:type="pct"/>
            <w:tcBorders>
              <w:top w:val="single" w:sz="4" w:space="0" w:color="auto"/>
              <w:left w:val="nil"/>
              <w:bottom w:val="single" w:sz="4" w:space="0" w:color="auto"/>
            </w:tcBorders>
          </w:tcPr>
          <w:p w:rsidR="00DF5B6A" w:rsidRPr="00F56CF7" w:rsidP="003E7F81" w14:paraId="47DC9490" w14:textId="77777777">
            <w:pPr>
              <w:rPr>
                <w:rFonts w:cstheme="minorHAnsi"/>
                <w:bCs/>
              </w:rPr>
            </w:pPr>
            <w:r w:rsidRPr="00F56CF7">
              <w:rPr>
                <w:rFonts w:cstheme="minorHAnsi"/>
              </w:rPr>
              <w:t>Electric bulk power transmission and control facilities.</w:t>
            </w:r>
          </w:p>
        </w:tc>
      </w:tr>
      <w:tr w14:paraId="32EE32CC"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3E7F81" w14:paraId="445FB3B6" w14:textId="77777777">
            <w:pPr>
              <w:rPr>
                <w:rFonts w:cstheme="minorHAnsi"/>
              </w:rPr>
            </w:pPr>
            <w:r w:rsidRPr="00F56CF7">
              <w:rPr>
                <w:rFonts w:cstheme="minorHAnsi"/>
                <w:bCs/>
              </w:rPr>
              <w:t>EE. Titanium Dioxide Production</w:t>
            </w:r>
          </w:p>
        </w:tc>
        <w:tc>
          <w:tcPr>
            <w:tcW w:w="888" w:type="pct"/>
            <w:tcBorders>
              <w:top w:val="single" w:sz="4" w:space="0" w:color="auto"/>
              <w:bottom w:val="single" w:sz="4" w:space="0" w:color="auto"/>
              <w:right w:val="nil"/>
            </w:tcBorders>
          </w:tcPr>
          <w:p w:rsidR="00DF5B6A" w:rsidRPr="00F56CF7" w:rsidP="003E7F81" w14:paraId="267E2276" w14:textId="77777777">
            <w:pPr>
              <w:rPr>
                <w:rFonts w:cstheme="minorHAnsi"/>
              </w:rPr>
            </w:pPr>
            <w:r w:rsidRPr="00F56CF7">
              <w:rPr>
                <w:rFonts w:cstheme="minorHAnsi"/>
              </w:rPr>
              <w:t>325180</w:t>
            </w:r>
          </w:p>
        </w:tc>
        <w:tc>
          <w:tcPr>
            <w:tcW w:w="2105" w:type="pct"/>
            <w:tcBorders>
              <w:top w:val="single" w:sz="4" w:space="0" w:color="auto"/>
              <w:left w:val="nil"/>
              <w:bottom w:val="single" w:sz="4" w:space="0" w:color="auto"/>
            </w:tcBorders>
          </w:tcPr>
          <w:p w:rsidR="00DF5B6A" w:rsidRPr="00F56CF7" w:rsidP="003E7F81" w14:paraId="4FFCDE6F" w14:textId="77777777">
            <w:pPr>
              <w:rPr>
                <w:rFonts w:cstheme="minorHAnsi"/>
              </w:rPr>
            </w:pPr>
            <w:r w:rsidRPr="00F56CF7">
              <w:rPr>
                <w:rFonts w:cstheme="minorHAnsi"/>
              </w:rPr>
              <w:t>Other basic inorganic chemical manufacturing: Titanium dioxide manufacturing.</w:t>
            </w:r>
          </w:p>
        </w:tc>
      </w:tr>
      <w:tr w14:paraId="7E68DD01" w14:textId="77777777" w:rsidTr="003E7F81">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DF5B6A" w:rsidRPr="00F56CF7" w:rsidP="003E7F81" w14:paraId="771F9A37" w14:textId="77777777">
            <w:pPr>
              <w:rPr>
                <w:rFonts w:cstheme="minorHAnsi"/>
              </w:rPr>
            </w:pPr>
            <w:r w:rsidRPr="00F56CF7">
              <w:rPr>
                <w:rFonts w:cstheme="minorHAnsi"/>
              </w:rPr>
              <w:t xml:space="preserve">FF. Underground Coal Mines  </w:t>
            </w:r>
          </w:p>
          <w:p w:rsidR="00DF5B6A" w:rsidRPr="00F56CF7" w:rsidP="003E7F81" w14:paraId="126C3595" w14:textId="77777777">
            <w:pPr>
              <w:rPr>
                <w:rFonts w:cstheme="minorHAnsi"/>
              </w:rPr>
            </w:pPr>
          </w:p>
        </w:tc>
        <w:tc>
          <w:tcPr>
            <w:tcW w:w="888" w:type="pct"/>
            <w:tcBorders>
              <w:top w:val="single" w:sz="4" w:space="0" w:color="auto"/>
              <w:bottom w:val="single" w:sz="4" w:space="0" w:color="auto"/>
              <w:right w:val="nil"/>
            </w:tcBorders>
          </w:tcPr>
          <w:p w:rsidR="00DF5B6A" w:rsidRPr="00F56CF7" w:rsidP="003E7F81" w14:paraId="5C504382" w14:textId="77777777">
            <w:pPr>
              <w:rPr>
                <w:rFonts w:cstheme="minorHAnsi"/>
                <w:bCs/>
              </w:rPr>
            </w:pPr>
            <w:r w:rsidRPr="00F56CF7">
              <w:rPr>
                <w:rFonts w:cstheme="minorHAnsi"/>
              </w:rPr>
              <w:t>212113</w:t>
            </w:r>
          </w:p>
        </w:tc>
        <w:tc>
          <w:tcPr>
            <w:tcW w:w="2105" w:type="pct"/>
            <w:tcBorders>
              <w:top w:val="single" w:sz="4" w:space="0" w:color="auto"/>
              <w:left w:val="nil"/>
              <w:bottom w:val="single" w:sz="4" w:space="0" w:color="auto"/>
            </w:tcBorders>
          </w:tcPr>
          <w:p w:rsidR="00DF5B6A" w:rsidRPr="00F56CF7" w:rsidP="003E7F81" w14:paraId="0E3ABCC7" w14:textId="77777777">
            <w:pPr>
              <w:rPr>
                <w:rFonts w:cstheme="minorHAnsi"/>
                <w:bCs/>
              </w:rPr>
            </w:pPr>
            <w:r w:rsidRPr="00F56CF7">
              <w:rPr>
                <w:rFonts w:cstheme="minorHAnsi"/>
              </w:rPr>
              <w:t>Underground anthracite coal mining operations.</w:t>
            </w:r>
          </w:p>
        </w:tc>
      </w:tr>
      <w:tr w14:paraId="75AC0507"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3E7F81" w14:paraId="17F370D8" w14:textId="77777777">
            <w:pPr>
              <w:rPr>
                <w:rFonts w:cstheme="minorHAnsi"/>
              </w:rPr>
            </w:pPr>
          </w:p>
        </w:tc>
        <w:tc>
          <w:tcPr>
            <w:tcW w:w="888" w:type="pct"/>
            <w:tcBorders>
              <w:top w:val="single" w:sz="4" w:space="0" w:color="auto"/>
              <w:bottom w:val="single" w:sz="4" w:space="0" w:color="auto"/>
              <w:right w:val="nil"/>
            </w:tcBorders>
          </w:tcPr>
          <w:p w:rsidR="00DF5B6A" w:rsidRPr="00F56CF7" w:rsidP="003E7F81" w14:paraId="713CBD25" w14:textId="77777777">
            <w:pPr>
              <w:rPr>
                <w:rFonts w:cstheme="minorHAnsi"/>
                <w:bCs/>
              </w:rPr>
            </w:pPr>
            <w:r w:rsidRPr="00F56CF7">
              <w:rPr>
                <w:rFonts w:cstheme="minorHAnsi"/>
              </w:rPr>
              <w:t>212112</w:t>
            </w:r>
          </w:p>
        </w:tc>
        <w:tc>
          <w:tcPr>
            <w:tcW w:w="2105" w:type="pct"/>
            <w:tcBorders>
              <w:top w:val="single" w:sz="4" w:space="0" w:color="auto"/>
              <w:left w:val="nil"/>
              <w:bottom w:val="single" w:sz="4" w:space="0" w:color="auto"/>
            </w:tcBorders>
          </w:tcPr>
          <w:p w:rsidR="00DF5B6A" w:rsidRPr="00F56CF7" w:rsidP="003E7F81" w14:paraId="42313ADD" w14:textId="77777777">
            <w:pPr>
              <w:rPr>
                <w:rFonts w:cstheme="minorHAnsi"/>
                <w:bCs/>
              </w:rPr>
            </w:pPr>
            <w:r w:rsidRPr="00F56CF7">
              <w:rPr>
                <w:rFonts w:cstheme="minorHAnsi"/>
              </w:rPr>
              <w:t>Underground bituminous coal mining operations.</w:t>
            </w:r>
          </w:p>
        </w:tc>
      </w:tr>
      <w:tr w14:paraId="57AF1183" w14:textId="77777777" w:rsidTr="003E7F81">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DF5B6A" w:rsidRPr="00F56CF7" w:rsidP="003E7F81" w14:paraId="6349C817" w14:textId="77777777">
            <w:pPr>
              <w:rPr>
                <w:rFonts w:cstheme="minorHAnsi"/>
              </w:rPr>
            </w:pPr>
            <w:r w:rsidRPr="00F56CF7">
              <w:rPr>
                <w:rFonts w:cstheme="minorHAnsi"/>
              </w:rPr>
              <w:t>GG. Zinc Production</w:t>
            </w:r>
          </w:p>
        </w:tc>
        <w:tc>
          <w:tcPr>
            <w:tcW w:w="888" w:type="pct"/>
            <w:tcBorders>
              <w:top w:val="single" w:sz="4" w:space="0" w:color="auto"/>
              <w:bottom w:val="single" w:sz="4" w:space="0" w:color="auto"/>
              <w:right w:val="nil"/>
            </w:tcBorders>
          </w:tcPr>
          <w:p w:rsidR="00DF5B6A" w:rsidRPr="00F56CF7" w:rsidP="003E7F81" w14:paraId="208DFF96" w14:textId="77777777">
            <w:pPr>
              <w:rPr>
                <w:rFonts w:cstheme="minorHAnsi"/>
                <w:bCs/>
              </w:rPr>
            </w:pPr>
            <w:r w:rsidRPr="00F56CF7">
              <w:rPr>
                <w:rFonts w:cstheme="minorHAnsi"/>
              </w:rPr>
              <w:t>331419</w:t>
            </w:r>
          </w:p>
        </w:tc>
        <w:tc>
          <w:tcPr>
            <w:tcW w:w="2105" w:type="pct"/>
            <w:tcBorders>
              <w:top w:val="single" w:sz="4" w:space="0" w:color="auto"/>
              <w:left w:val="nil"/>
              <w:bottom w:val="single" w:sz="4" w:space="0" w:color="auto"/>
            </w:tcBorders>
          </w:tcPr>
          <w:p w:rsidR="00DF5B6A" w:rsidRPr="00F56CF7" w:rsidP="003E7F81" w14:paraId="0292E02F" w14:textId="77777777">
            <w:pPr>
              <w:rPr>
                <w:rFonts w:cstheme="minorHAnsi"/>
                <w:bCs/>
              </w:rPr>
            </w:pPr>
            <w:r w:rsidRPr="00F56CF7">
              <w:rPr>
                <w:rFonts w:cstheme="minorHAnsi"/>
              </w:rPr>
              <w:t>Primary zinc refining facilities</w:t>
            </w:r>
          </w:p>
        </w:tc>
      </w:tr>
      <w:tr w14:paraId="38DB54C8"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3E7F81" w14:paraId="723FAF66" w14:textId="77777777">
            <w:pPr>
              <w:rPr>
                <w:rFonts w:cstheme="minorHAnsi"/>
              </w:rPr>
            </w:pPr>
          </w:p>
        </w:tc>
        <w:tc>
          <w:tcPr>
            <w:tcW w:w="888" w:type="pct"/>
            <w:tcBorders>
              <w:top w:val="single" w:sz="4" w:space="0" w:color="auto"/>
              <w:bottom w:val="single" w:sz="4" w:space="0" w:color="auto"/>
              <w:right w:val="nil"/>
            </w:tcBorders>
          </w:tcPr>
          <w:p w:rsidR="00DF5B6A" w:rsidRPr="00F56CF7" w:rsidP="003E7F81" w14:paraId="1038C09D" w14:textId="77777777">
            <w:pPr>
              <w:rPr>
                <w:rFonts w:cstheme="minorHAnsi"/>
                <w:bCs/>
              </w:rPr>
            </w:pPr>
            <w:r w:rsidRPr="00F56CF7">
              <w:rPr>
                <w:rFonts w:cstheme="minorHAnsi"/>
              </w:rPr>
              <w:t>331492</w:t>
            </w:r>
          </w:p>
        </w:tc>
        <w:tc>
          <w:tcPr>
            <w:tcW w:w="2105" w:type="pct"/>
            <w:tcBorders>
              <w:top w:val="single" w:sz="4" w:space="0" w:color="auto"/>
              <w:left w:val="nil"/>
              <w:bottom w:val="single" w:sz="4" w:space="0" w:color="auto"/>
            </w:tcBorders>
          </w:tcPr>
          <w:p w:rsidR="00DF5B6A" w:rsidRPr="00F56CF7" w:rsidP="003E7F81" w14:paraId="6C41F184" w14:textId="77777777">
            <w:pPr>
              <w:rPr>
                <w:rFonts w:cstheme="minorHAnsi"/>
                <w:bCs/>
              </w:rPr>
            </w:pPr>
            <w:r w:rsidRPr="00F56CF7">
              <w:rPr>
                <w:rFonts w:cstheme="minorHAnsi"/>
              </w:rPr>
              <w:t>Zinc dust reclaiming facilities, recovering from scrap and/or alloying purchased metals.</w:t>
            </w:r>
          </w:p>
        </w:tc>
      </w:tr>
      <w:tr w14:paraId="291C57EB"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3E7F81" w14:paraId="51505200" w14:textId="77777777">
            <w:pPr>
              <w:rPr>
                <w:rFonts w:cstheme="minorHAnsi"/>
              </w:rPr>
            </w:pPr>
          </w:p>
        </w:tc>
        <w:tc>
          <w:tcPr>
            <w:tcW w:w="888" w:type="pct"/>
            <w:tcBorders>
              <w:top w:val="single" w:sz="4" w:space="0" w:color="auto"/>
              <w:bottom w:val="single" w:sz="4" w:space="0" w:color="auto"/>
              <w:right w:val="nil"/>
            </w:tcBorders>
          </w:tcPr>
          <w:p w:rsidR="00DF5B6A" w:rsidRPr="00F56CF7" w:rsidP="003E7F81" w14:paraId="11669F92" w14:textId="77777777">
            <w:pPr>
              <w:rPr>
                <w:rFonts w:cstheme="minorHAnsi"/>
                <w:bCs/>
              </w:rPr>
            </w:pPr>
            <w:r w:rsidRPr="00F56CF7">
              <w:rPr>
                <w:rFonts w:cstheme="minorHAnsi"/>
              </w:rPr>
              <w:t>311411</w:t>
            </w:r>
          </w:p>
        </w:tc>
        <w:tc>
          <w:tcPr>
            <w:tcW w:w="2105" w:type="pct"/>
            <w:tcBorders>
              <w:top w:val="single" w:sz="4" w:space="0" w:color="auto"/>
              <w:left w:val="nil"/>
              <w:bottom w:val="single" w:sz="4" w:space="0" w:color="auto"/>
            </w:tcBorders>
          </w:tcPr>
          <w:p w:rsidR="00DF5B6A" w:rsidRPr="00F56CF7" w:rsidP="003E7F81" w14:paraId="29046827" w14:textId="77777777">
            <w:pPr>
              <w:rPr>
                <w:rFonts w:cstheme="minorHAnsi"/>
                <w:bCs/>
              </w:rPr>
            </w:pPr>
            <w:r w:rsidRPr="00F56CF7">
              <w:rPr>
                <w:rFonts w:cstheme="minorHAnsi"/>
              </w:rPr>
              <w:t>Frozen fruit, juice, and vegetable manufacturing facilities.</w:t>
            </w:r>
          </w:p>
        </w:tc>
      </w:tr>
      <w:tr w14:paraId="4F0BEF70"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3E7F81" w14:paraId="3F658B3E" w14:textId="77777777">
            <w:pPr>
              <w:rPr>
                <w:rFonts w:cstheme="minorHAnsi"/>
              </w:rPr>
            </w:pPr>
          </w:p>
        </w:tc>
        <w:tc>
          <w:tcPr>
            <w:tcW w:w="888" w:type="pct"/>
            <w:tcBorders>
              <w:top w:val="single" w:sz="4" w:space="0" w:color="auto"/>
              <w:bottom w:val="single" w:sz="4" w:space="0" w:color="auto"/>
              <w:right w:val="nil"/>
            </w:tcBorders>
          </w:tcPr>
          <w:p w:rsidR="00DF5B6A" w:rsidRPr="00F56CF7" w:rsidP="003E7F81" w14:paraId="359B9E32" w14:textId="77777777">
            <w:pPr>
              <w:rPr>
                <w:rFonts w:cstheme="minorHAnsi"/>
                <w:bCs/>
              </w:rPr>
            </w:pPr>
            <w:r w:rsidRPr="00F56CF7">
              <w:rPr>
                <w:rFonts w:cstheme="minorHAnsi"/>
              </w:rPr>
              <w:t>311421</w:t>
            </w:r>
          </w:p>
        </w:tc>
        <w:tc>
          <w:tcPr>
            <w:tcW w:w="2105" w:type="pct"/>
            <w:tcBorders>
              <w:top w:val="single" w:sz="4" w:space="0" w:color="auto"/>
              <w:left w:val="nil"/>
              <w:bottom w:val="single" w:sz="4" w:space="0" w:color="auto"/>
            </w:tcBorders>
          </w:tcPr>
          <w:p w:rsidR="00DF5B6A" w:rsidRPr="00F56CF7" w:rsidP="003E7F81" w14:paraId="2E10A162" w14:textId="77777777">
            <w:pPr>
              <w:rPr>
                <w:rFonts w:cstheme="minorHAnsi"/>
                <w:bCs/>
              </w:rPr>
            </w:pPr>
            <w:r w:rsidRPr="00F56CF7">
              <w:rPr>
                <w:rFonts w:cstheme="minorHAnsi"/>
              </w:rPr>
              <w:t>Fruit and vegetable canning facilities.</w:t>
            </w:r>
          </w:p>
        </w:tc>
      </w:tr>
      <w:tr w14:paraId="2B7AC1AC" w14:textId="77777777" w:rsidTr="003E7F81">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DF5B6A" w:rsidRPr="00F56CF7" w:rsidP="003E7F81" w14:paraId="17ED766E" w14:textId="77777777">
            <w:pPr>
              <w:rPr>
                <w:rFonts w:cstheme="minorHAnsi"/>
              </w:rPr>
            </w:pPr>
            <w:r w:rsidRPr="00F56CF7">
              <w:rPr>
                <w:rFonts w:cstheme="minorHAnsi"/>
              </w:rPr>
              <w:t>HH. Municipal Solid Waste Landfills</w:t>
            </w:r>
          </w:p>
        </w:tc>
        <w:tc>
          <w:tcPr>
            <w:tcW w:w="888" w:type="pct"/>
            <w:tcBorders>
              <w:top w:val="single" w:sz="4" w:space="0" w:color="auto"/>
              <w:bottom w:val="single" w:sz="4" w:space="0" w:color="auto"/>
              <w:right w:val="nil"/>
            </w:tcBorders>
          </w:tcPr>
          <w:p w:rsidR="00DF5B6A" w:rsidRPr="00F56CF7" w:rsidP="003E7F81" w14:paraId="0BE50C2B" w14:textId="77777777">
            <w:pPr>
              <w:rPr>
                <w:rFonts w:cstheme="minorHAnsi"/>
              </w:rPr>
            </w:pPr>
            <w:r w:rsidRPr="00F56CF7">
              <w:rPr>
                <w:rFonts w:cstheme="minorHAnsi"/>
                <w:bCs/>
              </w:rPr>
              <w:t>562212</w:t>
            </w:r>
          </w:p>
        </w:tc>
        <w:tc>
          <w:tcPr>
            <w:tcW w:w="2105" w:type="pct"/>
            <w:tcBorders>
              <w:top w:val="single" w:sz="4" w:space="0" w:color="auto"/>
              <w:left w:val="nil"/>
              <w:bottom w:val="single" w:sz="4" w:space="0" w:color="auto"/>
            </w:tcBorders>
          </w:tcPr>
          <w:p w:rsidR="00DF5B6A" w:rsidRPr="00F56CF7" w:rsidP="003E7F81" w14:paraId="6D10758E" w14:textId="77777777">
            <w:pPr>
              <w:rPr>
                <w:rFonts w:cstheme="minorHAnsi"/>
              </w:rPr>
            </w:pPr>
            <w:r w:rsidRPr="00F56CF7">
              <w:rPr>
                <w:rFonts w:cstheme="minorHAnsi"/>
                <w:bCs/>
              </w:rPr>
              <w:t>Solid waste landfills.</w:t>
            </w:r>
          </w:p>
        </w:tc>
      </w:tr>
      <w:tr w14:paraId="7EEB95A1"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3E7F81" w14:paraId="1F64AB58" w14:textId="77777777">
            <w:pPr>
              <w:rPr>
                <w:rFonts w:cstheme="minorHAnsi"/>
              </w:rPr>
            </w:pPr>
          </w:p>
        </w:tc>
        <w:tc>
          <w:tcPr>
            <w:tcW w:w="888" w:type="pct"/>
            <w:tcBorders>
              <w:top w:val="single" w:sz="4" w:space="0" w:color="auto"/>
              <w:bottom w:val="single" w:sz="4" w:space="0" w:color="auto"/>
              <w:right w:val="nil"/>
            </w:tcBorders>
          </w:tcPr>
          <w:p w:rsidR="00DF5B6A" w:rsidRPr="00F56CF7" w:rsidP="003E7F81" w14:paraId="740E09DC" w14:textId="77777777">
            <w:pPr>
              <w:rPr>
                <w:rFonts w:cstheme="minorHAnsi"/>
              </w:rPr>
            </w:pPr>
            <w:r w:rsidRPr="00F56CF7">
              <w:rPr>
                <w:rFonts w:cstheme="minorHAnsi"/>
              </w:rPr>
              <w:t>221320</w:t>
            </w:r>
          </w:p>
        </w:tc>
        <w:tc>
          <w:tcPr>
            <w:tcW w:w="2105" w:type="pct"/>
            <w:tcBorders>
              <w:top w:val="single" w:sz="4" w:space="0" w:color="auto"/>
              <w:left w:val="nil"/>
              <w:bottom w:val="single" w:sz="4" w:space="0" w:color="auto"/>
            </w:tcBorders>
          </w:tcPr>
          <w:p w:rsidR="00DF5B6A" w:rsidRPr="00F56CF7" w:rsidP="003E7F81" w14:paraId="599D3448" w14:textId="77777777">
            <w:pPr>
              <w:rPr>
                <w:rFonts w:cstheme="minorHAnsi"/>
              </w:rPr>
            </w:pPr>
            <w:r w:rsidRPr="00F56CF7">
              <w:rPr>
                <w:rFonts w:cstheme="minorHAnsi"/>
                <w:bCs/>
              </w:rPr>
              <w:t>Sewage treatment facilities.</w:t>
            </w:r>
          </w:p>
        </w:tc>
      </w:tr>
      <w:tr w14:paraId="200F0C0A"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3E7F81" w14:paraId="2ED83BC6" w14:textId="77777777">
            <w:pPr>
              <w:rPr>
                <w:rFonts w:cstheme="minorHAnsi"/>
              </w:rPr>
            </w:pPr>
            <w:r w:rsidRPr="00F56CF7">
              <w:rPr>
                <w:rFonts w:cstheme="minorHAnsi"/>
              </w:rPr>
              <w:t>II. Industrial Wastewater Treatment</w:t>
            </w:r>
          </w:p>
        </w:tc>
        <w:tc>
          <w:tcPr>
            <w:tcW w:w="888" w:type="pct"/>
            <w:tcBorders>
              <w:top w:val="single" w:sz="4" w:space="0" w:color="auto"/>
              <w:bottom w:val="single" w:sz="4" w:space="0" w:color="auto"/>
              <w:right w:val="nil"/>
            </w:tcBorders>
          </w:tcPr>
          <w:p w:rsidR="00DF5B6A" w:rsidRPr="00F56CF7" w:rsidP="003E7F81" w14:paraId="3879DF31" w14:textId="77777777">
            <w:pPr>
              <w:rPr>
                <w:rFonts w:cstheme="minorHAnsi"/>
              </w:rPr>
            </w:pPr>
            <w:r w:rsidRPr="00F56CF7">
              <w:rPr>
                <w:rFonts w:cstheme="minorHAnsi"/>
                <w:bCs/>
              </w:rPr>
              <w:t>221310</w:t>
            </w:r>
          </w:p>
        </w:tc>
        <w:tc>
          <w:tcPr>
            <w:tcW w:w="2105" w:type="pct"/>
            <w:tcBorders>
              <w:top w:val="single" w:sz="4" w:space="0" w:color="auto"/>
              <w:left w:val="nil"/>
              <w:bottom w:val="single" w:sz="4" w:space="0" w:color="auto"/>
            </w:tcBorders>
          </w:tcPr>
          <w:p w:rsidR="00DF5B6A" w:rsidRPr="00F56CF7" w:rsidP="003E7F81" w14:paraId="3674207C" w14:textId="77777777">
            <w:pPr>
              <w:rPr>
                <w:rFonts w:cstheme="minorHAnsi"/>
              </w:rPr>
            </w:pPr>
            <w:r w:rsidRPr="00F56CF7">
              <w:rPr>
                <w:rFonts w:cstheme="minorHAnsi"/>
              </w:rPr>
              <w:t>Water treatment plants.</w:t>
            </w:r>
          </w:p>
        </w:tc>
      </w:tr>
      <w:tr w14:paraId="759FB2DE"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3E7F81" w14:paraId="7C4DB10C" w14:textId="77777777">
            <w:pPr>
              <w:rPr>
                <w:rFonts w:cstheme="minorHAnsi"/>
              </w:rPr>
            </w:pPr>
            <w:r w:rsidRPr="00F56CF7">
              <w:rPr>
                <w:rFonts w:cstheme="minorHAnsi"/>
              </w:rPr>
              <w:t>LL. Suppliers of Coal-based Liquid Fuels</w:t>
            </w:r>
          </w:p>
        </w:tc>
        <w:tc>
          <w:tcPr>
            <w:tcW w:w="888" w:type="pct"/>
            <w:tcBorders>
              <w:top w:val="single" w:sz="4" w:space="0" w:color="auto"/>
              <w:bottom w:val="single" w:sz="4" w:space="0" w:color="auto"/>
              <w:right w:val="nil"/>
            </w:tcBorders>
          </w:tcPr>
          <w:p w:rsidR="00DF5B6A" w:rsidRPr="00F56CF7" w:rsidP="003E7F81" w14:paraId="4B8E1C42" w14:textId="77777777">
            <w:pPr>
              <w:rPr>
                <w:rFonts w:cstheme="minorHAnsi"/>
              </w:rPr>
            </w:pPr>
            <w:r w:rsidRPr="00F56CF7">
              <w:rPr>
                <w:rFonts w:cstheme="minorHAnsi"/>
              </w:rPr>
              <w:t>211130</w:t>
            </w:r>
          </w:p>
        </w:tc>
        <w:tc>
          <w:tcPr>
            <w:tcW w:w="2105" w:type="pct"/>
            <w:tcBorders>
              <w:top w:val="single" w:sz="4" w:space="0" w:color="auto"/>
              <w:left w:val="nil"/>
              <w:bottom w:val="single" w:sz="4" w:space="0" w:color="auto"/>
            </w:tcBorders>
          </w:tcPr>
          <w:p w:rsidR="00DF5B6A" w:rsidRPr="00F56CF7" w:rsidP="003E7F81" w14:paraId="25DEF668" w14:textId="77777777">
            <w:pPr>
              <w:rPr>
                <w:rFonts w:cstheme="minorHAnsi"/>
              </w:rPr>
            </w:pPr>
            <w:r w:rsidRPr="00F56CF7">
              <w:rPr>
                <w:rFonts w:cstheme="minorHAnsi"/>
              </w:rPr>
              <w:t>Coal liquefaction at mine sites</w:t>
            </w:r>
          </w:p>
        </w:tc>
      </w:tr>
      <w:tr w14:paraId="0EE039AB"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3E7F81" w14:paraId="0A9DEC9B" w14:textId="77777777">
            <w:pPr>
              <w:rPr>
                <w:rFonts w:cstheme="minorHAnsi"/>
              </w:rPr>
            </w:pPr>
            <w:r w:rsidRPr="00F56CF7">
              <w:rPr>
                <w:rFonts w:cstheme="minorHAnsi"/>
              </w:rPr>
              <w:t>MM. Suppliers of Petroleum Products</w:t>
            </w:r>
          </w:p>
        </w:tc>
        <w:tc>
          <w:tcPr>
            <w:tcW w:w="888" w:type="pct"/>
            <w:tcBorders>
              <w:top w:val="single" w:sz="4" w:space="0" w:color="auto"/>
              <w:bottom w:val="single" w:sz="4" w:space="0" w:color="auto"/>
              <w:right w:val="nil"/>
            </w:tcBorders>
          </w:tcPr>
          <w:p w:rsidR="00DF5B6A" w:rsidRPr="00F56CF7" w:rsidP="003E7F81" w14:paraId="678AB6D2" w14:textId="77777777">
            <w:pPr>
              <w:rPr>
                <w:rFonts w:cstheme="minorHAnsi"/>
              </w:rPr>
            </w:pPr>
            <w:r w:rsidRPr="00F56CF7">
              <w:rPr>
                <w:rFonts w:cstheme="minorHAnsi"/>
              </w:rPr>
              <w:t>324110</w:t>
            </w:r>
          </w:p>
        </w:tc>
        <w:tc>
          <w:tcPr>
            <w:tcW w:w="2105" w:type="pct"/>
            <w:tcBorders>
              <w:top w:val="single" w:sz="4" w:space="0" w:color="auto"/>
              <w:left w:val="nil"/>
              <w:bottom w:val="single" w:sz="4" w:space="0" w:color="auto"/>
            </w:tcBorders>
          </w:tcPr>
          <w:p w:rsidR="00DF5B6A" w:rsidRPr="00F56CF7" w:rsidP="003E7F81" w14:paraId="4F947F30" w14:textId="77777777">
            <w:pPr>
              <w:rPr>
                <w:rFonts w:cstheme="minorHAnsi"/>
              </w:rPr>
            </w:pPr>
            <w:r w:rsidRPr="00F56CF7">
              <w:rPr>
                <w:rFonts w:cstheme="minorHAnsi"/>
              </w:rPr>
              <w:t>Petroleum refineries.</w:t>
            </w:r>
          </w:p>
        </w:tc>
      </w:tr>
      <w:tr w14:paraId="7BD887BF" w14:textId="77777777" w:rsidTr="003E7F81">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DF5B6A" w:rsidRPr="00F56CF7" w:rsidP="003E7F81" w14:paraId="4B1117CF" w14:textId="77777777">
            <w:pPr>
              <w:rPr>
                <w:rFonts w:cstheme="minorHAnsi"/>
              </w:rPr>
            </w:pPr>
            <w:r w:rsidRPr="00F56CF7">
              <w:rPr>
                <w:rFonts w:cstheme="minorHAnsi"/>
              </w:rPr>
              <w:t>NN. Suppliers of Natural Gas and Natural Gas Liquids</w:t>
            </w:r>
          </w:p>
        </w:tc>
        <w:tc>
          <w:tcPr>
            <w:tcW w:w="888" w:type="pct"/>
            <w:tcBorders>
              <w:top w:val="single" w:sz="4" w:space="0" w:color="auto"/>
              <w:bottom w:val="single" w:sz="4" w:space="0" w:color="auto"/>
              <w:right w:val="nil"/>
            </w:tcBorders>
          </w:tcPr>
          <w:p w:rsidR="00DF5B6A" w:rsidRPr="00F56CF7" w:rsidP="003E7F81" w14:paraId="69CB2D00" w14:textId="77777777">
            <w:pPr>
              <w:rPr>
                <w:rFonts w:cstheme="minorHAnsi"/>
              </w:rPr>
            </w:pPr>
            <w:r w:rsidRPr="00F56CF7">
              <w:rPr>
                <w:rFonts w:cstheme="minorHAnsi"/>
              </w:rPr>
              <w:t xml:space="preserve">221210 </w:t>
            </w:r>
          </w:p>
        </w:tc>
        <w:tc>
          <w:tcPr>
            <w:tcW w:w="2105" w:type="pct"/>
            <w:tcBorders>
              <w:top w:val="single" w:sz="4" w:space="0" w:color="auto"/>
              <w:left w:val="nil"/>
              <w:bottom w:val="single" w:sz="4" w:space="0" w:color="auto"/>
            </w:tcBorders>
          </w:tcPr>
          <w:p w:rsidR="00DF5B6A" w:rsidRPr="00F56CF7" w:rsidP="003E7F81" w14:paraId="328A39CF" w14:textId="77777777">
            <w:pPr>
              <w:rPr>
                <w:rFonts w:cstheme="minorHAnsi"/>
              </w:rPr>
            </w:pPr>
            <w:r w:rsidRPr="00F56CF7">
              <w:rPr>
                <w:rFonts w:cstheme="minorHAnsi"/>
              </w:rPr>
              <w:t xml:space="preserve">Natural gas distribution facilities. </w:t>
            </w:r>
          </w:p>
        </w:tc>
      </w:tr>
      <w:tr w14:paraId="73780C46" w14:textId="77777777" w:rsidTr="003E7F81">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3E7F81" w14:paraId="3CDCAA84" w14:textId="77777777">
            <w:pPr>
              <w:rPr>
                <w:rFonts w:cstheme="minorHAnsi"/>
              </w:rPr>
            </w:pPr>
          </w:p>
        </w:tc>
        <w:tc>
          <w:tcPr>
            <w:tcW w:w="888" w:type="pct"/>
            <w:tcBorders>
              <w:top w:val="single" w:sz="4" w:space="0" w:color="auto"/>
              <w:bottom w:val="single" w:sz="4" w:space="0" w:color="auto"/>
              <w:right w:val="nil"/>
            </w:tcBorders>
          </w:tcPr>
          <w:p w:rsidR="00DF5B6A" w:rsidRPr="00F56CF7" w:rsidP="003E7F81" w14:paraId="788654CE" w14:textId="77777777">
            <w:pPr>
              <w:rPr>
                <w:rFonts w:cstheme="minorHAnsi"/>
              </w:rPr>
            </w:pPr>
            <w:r w:rsidRPr="00F56CF7">
              <w:rPr>
                <w:rFonts w:cstheme="minorHAnsi"/>
              </w:rPr>
              <w:t xml:space="preserve">211112 </w:t>
            </w:r>
          </w:p>
        </w:tc>
        <w:tc>
          <w:tcPr>
            <w:tcW w:w="2105" w:type="pct"/>
            <w:tcBorders>
              <w:top w:val="single" w:sz="4" w:space="0" w:color="auto"/>
              <w:left w:val="nil"/>
              <w:bottom w:val="single" w:sz="4" w:space="0" w:color="auto"/>
            </w:tcBorders>
          </w:tcPr>
          <w:p w:rsidR="00DF5B6A" w:rsidRPr="00F56CF7" w:rsidP="003E7F81" w14:paraId="54704E48" w14:textId="77777777">
            <w:pPr>
              <w:rPr>
                <w:rFonts w:cstheme="minorHAnsi"/>
              </w:rPr>
            </w:pPr>
            <w:r w:rsidRPr="00F56CF7">
              <w:rPr>
                <w:rFonts w:cstheme="minorHAnsi"/>
              </w:rPr>
              <w:t xml:space="preserve">Natural gas liquid extraction facilities. </w:t>
            </w:r>
          </w:p>
        </w:tc>
      </w:tr>
      <w:tr w14:paraId="00171AB4"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3E7F81" w14:paraId="5F7BDDC0" w14:textId="77777777">
            <w:pPr>
              <w:rPr>
                <w:rFonts w:cstheme="minorHAnsi"/>
              </w:rPr>
            </w:pPr>
            <w:r w:rsidRPr="00F56CF7">
              <w:rPr>
                <w:rFonts w:cstheme="minorHAnsi"/>
              </w:rPr>
              <w:t>OO. Suppliers of Industrial Greenhouse Gases</w:t>
            </w:r>
          </w:p>
        </w:tc>
        <w:tc>
          <w:tcPr>
            <w:tcW w:w="888" w:type="pct"/>
            <w:tcBorders>
              <w:top w:val="single" w:sz="4" w:space="0" w:color="auto"/>
              <w:bottom w:val="single" w:sz="4" w:space="0" w:color="auto"/>
              <w:right w:val="nil"/>
            </w:tcBorders>
          </w:tcPr>
          <w:p w:rsidR="00DF5B6A" w:rsidRPr="00F56CF7" w:rsidP="003E7F81" w14:paraId="2DF70690" w14:textId="77777777">
            <w:pPr>
              <w:rPr>
                <w:rFonts w:cstheme="minorHAnsi"/>
              </w:rPr>
            </w:pPr>
            <w:r w:rsidRPr="00F56CF7">
              <w:rPr>
                <w:rFonts w:cstheme="minorHAnsi"/>
              </w:rPr>
              <w:t>325120</w:t>
            </w:r>
          </w:p>
        </w:tc>
        <w:tc>
          <w:tcPr>
            <w:tcW w:w="2105" w:type="pct"/>
            <w:tcBorders>
              <w:top w:val="single" w:sz="4" w:space="0" w:color="auto"/>
              <w:left w:val="nil"/>
              <w:bottom w:val="single" w:sz="4" w:space="0" w:color="auto"/>
            </w:tcBorders>
          </w:tcPr>
          <w:p w:rsidR="00DF5B6A" w:rsidRPr="00F56CF7" w:rsidP="003E7F81" w14:paraId="78C386CB" w14:textId="77777777">
            <w:pPr>
              <w:rPr>
                <w:rFonts w:cstheme="minorHAnsi"/>
              </w:rPr>
            </w:pPr>
            <w:r w:rsidRPr="00F56CF7">
              <w:rPr>
                <w:rFonts w:cstheme="minorHAnsi"/>
              </w:rPr>
              <w:t>Industrial greenhouse gas manufacturing facilities.</w:t>
            </w:r>
          </w:p>
        </w:tc>
      </w:tr>
      <w:tr w14:paraId="4621DD64"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3E7F81" w14:paraId="11680FBC" w14:textId="77777777">
            <w:pPr>
              <w:rPr>
                <w:rFonts w:cstheme="minorHAnsi"/>
              </w:rPr>
            </w:pPr>
            <w:r w:rsidRPr="00F56CF7">
              <w:rPr>
                <w:rFonts w:cstheme="minorHAnsi"/>
              </w:rPr>
              <w:t>PP. Suppliers of Carbon Dioxide</w:t>
            </w:r>
          </w:p>
        </w:tc>
        <w:tc>
          <w:tcPr>
            <w:tcW w:w="888" w:type="pct"/>
            <w:tcBorders>
              <w:top w:val="single" w:sz="4" w:space="0" w:color="auto"/>
              <w:bottom w:val="single" w:sz="4" w:space="0" w:color="auto"/>
              <w:right w:val="nil"/>
            </w:tcBorders>
          </w:tcPr>
          <w:p w:rsidR="00DF5B6A" w:rsidRPr="00F56CF7" w:rsidP="003E7F81" w14:paraId="60305672" w14:textId="77777777">
            <w:pPr>
              <w:rPr>
                <w:rFonts w:cstheme="minorHAnsi"/>
              </w:rPr>
            </w:pPr>
            <w:r w:rsidRPr="00F56CF7">
              <w:rPr>
                <w:rFonts w:cstheme="minorHAnsi"/>
              </w:rPr>
              <w:t>325120</w:t>
            </w:r>
          </w:p>
        </w:tc>
        <w:tc>
          <w:tcPr>
            <w:tcW w:w="2105" w:type="pct"/>
            <w:tcBorders>
              <w:top w:val="single" w:sz="4" w:space="0" w:color="auto"/>
              <w:left w:val="nil"/>
              <w:bottom w:val="single" w:sz="4" w:space="0" w:color="auto"/>
            </w:tcBorders>
          </w:tcPr>
          <w:p w:rsidR="00DF5B6A" w:rsidRPr="00F56CF7" w:rsidP="003E7F81" w14:paraId="39712EEC" w14:textId="77777777">
            <w:pPr>
              <w:rPr>
                <w:rFonts w:cstheme="minorHAnsi"/>
              </w:rPr>
            </w:pPr>
            <w:r w:rsidRPr="00F56CF7">
              <w:rPr>
                <w:rFonts w:cstheme="minorHAnsi"/>
              </w:rPr>
              <w:t>Industrial gas manufacturing facilities.</w:t>
            </w:r>
          </w:p>
        </w:tc>
      </w:tr>
      <w:tr w14:paraId="34C7B102" w14:textId="77777777" w:rsidTr="003E7F81">
        <w:tblPrEx>
          <w:tblW w:w="5000" w:type="pct"/>
          <w:tblInd w:w="110" w:type="dxa"/>
          <w:tblCellMar>
            <w:left w:w="110" w:type="dxa"/>
            <w:right w:w="110" w:type="dxa"/>
          </w:tblCellMar>
          <w:tblLook w:val="0000"/>
        </w:tblPrEx>
        <w:trPr>
          <w:cantSplit/>
        </w:trPr>
        <w:tc>
          <w:tcPr>
            <w:tcW w:w="2007" w:type="pct"/>
            <w:vMerge w:val="restart"/>
            <w:tcBorders>
              <w:top w:val="single" w:sz="4" w:space="0" w:color="auto"/>
            </w:tcBorders>
          </w:tcPr>
          <w:p w:rsidR="00DF5B6A" w:rsidRPr="00F56CF7" w:rsidP="003E7F81" w14:paraId="1C370E03" w14:textId="77777777">
            <w:pPr>
              <w:rPr>
                <w:rFonts w:cstheme="minorHAnsi"/>
              </w:rPr>
            </w:pPr>
            <w:r w:rsidRPr="00F56CF7">
              <w:rPr>
                <w:rFonts w:cstheme="minorHAnsi"/>
                <w:bCs/>
              </w:rPr>
              <w:t>QQ. Importers and Exporters of Pre-charged Equipment and Closed-Cell Foams</w:t>
            </w:r>
          </w:p>
        </w:tc>
        <w:tc>
          <w:tcPr>
            <w:tcW w:w="888" w:type="pct"/>
            <w:tcBorders>
              <w:top w:val="single" w:sz="4" w:space="0" w:color="auto"/>
              <w:bottom w:val="single" w:sz="4" w:space="0" w:color="auto"/>
              <w:right w:val="nil"/>
            </w:tcBorders>
          </w:tcPr>
          <w:p w:rsidR="00DF5B6A" w:rsidRPr="00F56CF7" w:rsidP="003E7F81" w14:paraId="072143EA" w14:textId="77777777">
            <w:pPr>
              <w:rPr>
                <w:rFonts w:cstheme="minorHAnsi"/>
              </w:rPr>
            </w:pPr>
            <w:r w:rsidRPr="00F56CF7">
              <w:rPr>
                <w:rFonts w:cstheme="minorHAnsi"/>
              </w:rPr>
              <w:t>423730</w:t>
            </w:r>
          </w:p>
        </w:tc>
        <w:tc>
          <w:tcPr>
            <w:tcW w:w="2105" w:type="pct"/>
            <w:tcBorders>
              <w:top w:val="single" w:sz="4" w:space="0" w:color="auto"/>
              <w:left w:val="nil"/>
              <w:bottom w:val="single" w:sz="4" w:space="0" w:color="auto"/>
            </w:tcBorders>
          </w:tcPr>
          <w:p w:rsidR="00DF5B6A" w:rsidRPr="00F56CF7" w:rsidP="003E7F81" w14:paraId="22370BAD" w14:textId="77777777">
            <w:pPr>
              <w:rPr>
                <w:rFonts w:cstheme="minorHAnsi"/>
              </w:rPr>
            </w:pPr>
            <w:r w:rsidRPr="00F56CF7">
              <w:rPr>
                <w:rFonts w:cstheme="minorHAnsi"/>
              </w:rPr>
              <w:t>Air-conditioning equipment (except room units) merchant wholesalers.</w:t>
            </w:r>
          </w:p>
        </w:tc>
      </w:tr>
      <w:tr w14:paraId="0091316B" w14:textId="77777777" w:rsidTr="003E7F81">
        <w:tblPrEx>
          <w:tblW w:w="5000" w:type="pct"/>
          <w:tblInd w:w="110" w:type="dxa"/>
          <w:tblCellMar>
            <w:left w:w="110" w:type="dxa"/>
            <w:right w:w="110" w:type="dxa"/>
          </w:tblCellMar>
          <w:tblLook w:val="0000"/>
        </w:tblPrEx>
        <w:trPr>
          <w:cantSplit/>
        </w:trPr>
        <w:tc>
          <w:tcPr>
            <w:tcW w:w="2007" w:type="pct"/>
            <w:vMerge/>
          </w:tcPr>
          <w:p w:rsidR="00DF5B6A" w:rsidRPr="00F56CF7" w:rsidP="003E7F81" w14:paraId="6BDE664D" w14:textId="77777777">
            <w:pPr>
              <w:rPr>
                <w:rFonts w:cstheme="minorHAnsi"/>
              </w:rPr>
            </w:pPr>
          </w:p>
        </w:tc>
        <w:tc>
          <w:tcPr>
            <w:tcW w:w="888" w:type="pct"/>
            <w:tcBorders>
              <w:top w:val="single" w:sz="4" w:space="0" w:color="auto"/>
              <w:bottom w:val="single" w:sz="4" w:space="0" w:color="auto"/>
              <w:right w:val="nil"/>
            </w:tcBorders>
          </w:tcPr>
          <w:p w:rsidR="00DF5B6A" w:rsidRPr="00F56CF7" w:rsidP="003E7F81" w14:paraId="4E078A3D" w14:textId="77777777">
            <w:pPr>
              <w:rPr>
                <w:rFonts w:cstheme="minorHAnsi"/>
              </w:rPr>
            </w:pPr>
            <w:r w:rsidRPr="00F56CF7">
              <w:rPr>
                <w:rFonts w:cstheme="minorHAnsi"/>
              </w:rPr>
              <w:t>333415</w:t>
            </w:r>
          </w:p>
        </w:tc>
        <w:tc>
          <w:tcPr>
            <w:tcW w:w="2105" w:type="pct"/>
            <w:tcBorders>
              <w:top w:val="single" w:sz="4" w:space="0" w:color="auto"/>
              <w:left w:val="nil"/>
              <w:bottom w:val="single" w:sz="4" w:space="0" w:color="auto"/>
            </w:tcBorders>
          </w:tcPr>
          <w:p w:rsidR="00DF5B6A" w:rsidRPr="00F56CF7" w:rsidP="003E7F81" w14:paraId="124F2027" w14:textId="77777777">
            <w:pPr>
              <w:rPr>
                <w:rFonts w:cstheme="minorHAnsi"/>
              </w:rPr>
            </w:pPr>
            <w:r w:rsidRPr="00F56CF7">
              <w:rPr>
                <w:rFonts w:cstheme="minorHAnsi"/>
              </w:rPr>
              <w:t>Air-conditioning equipment (except motor vehicle) manufacturing.</w:t>
            </w:r>
          </w:p>
        </w:tc>
      </w:tr>
      <w:tr w14:paraId="3EA0E708" w14:textId="77777777" w:rsidTr="003E7F81">
        <w:tblPrEx>
          <w:tblW w:w="5000" w:type="pct"/>
          <w:tblInd w:w="110" w:type="dxa"/>
          <w:tblCellMar>
            <w:left w:w="110" w:type="dxa"/>
            <w:right w:w="110" w:type="dxa"/>
          </w:tblCellMar>
          <w:tblLook w:val="0000"/>
        </w:tblPrEx>
        <w:trPr>
          <w:cantSplit/>
        </w:trPr>
        <w:tc>
          <w:tcPr>
            <w:tcW w:w="2007" w:type="pct"/>
            <w:vMerge/>
          </w:tcPr>
          <w:p w:rsidR="00DF5B6A" w:rsidRPr="00F56CF7" w:rsidP="003E7F81" w14:paraId="5D2180A7" w14:textId="77777777">
            <w:pPr>
              <w:rPr>
                <w:rFonts w:cstheme="minorHAnsi"/>
              </w:rPr>
            </w:pPr>
          </w:p>
        </w:tc>
        <w:tc>
          <w:tcPr>
            <w:tcW w:w="888" w:type="pct"/>
            <w:tcBorders>
              <w:top w:val="single" w:sz="4" w:space="0" w:color="auto"/>
              <w:bottom w:val="single" w:sz="4" w:space="0" w:color="auto"/>
              <w:right w:val="nil"/>
            </w:tcBorders>
          </w:tcPr>
          <w:p w:rsidR="00DF5B6A" w:rsidRPr="00F56CF7" w:rsidP="003E7F81" w14:paraId="69517C01" w14:textId="77777777">
            <w:pPr>
              <w:rPr>
                <w:rFonts w:cstheme="minorHAnsi"/>
              </w:rPr>
            </w:pPr>
            <w:r w:rsidRPr="00F56CF7">
              <w:rPr>
                <w:rFonts w:cstheme="minorHAnsi"/>
              </w:rPr>
              <w:t>423620</w:t>
            </w:r>
          </w:p>
        </w:tc>
        <w:tc>
          <w:tcPr>
            <w:tcW w:w="2105" w:type="pct"/>
            <w:tcBorders>
              <w:top w:val="single" w:sz="4" w:space="0" w:color="auto"/>
              <w:left w:val="nil"/>
              <w:bottom w:val="single" w:sz="4" w:space="0" w:color="auto"/>
            </w:tcBorders>
          </w:tcPr>
          <w:p w:rsidR="00DF5B6A" w:rsidRPr="00F56CF7" w:rsidP="003E7F81" w14:paraId="760F28E6" w14:textId="77777777">
            <w:pPr>
              <w:rPr>
                <w:rFonts w:cstheme="minorHAnsi"/>
              </w:rPr>
            </w:pPr>
            <w:r w:rsidRPr="00F56CF7">
              <w:rPr>
                <w:rFonts w:cstheme="minorHAnsi"/>
              </w:rPr>
              <w:t>Air-conditioners, room, merchant wholesalers.</w:t>
            </w:r>
          </w:p>
        </w:tc>
      </w:tr>
      <w:tr w14:paraId="09E2DA85" w14:textId="77777777" w:rsidTr="003E7F81">
        <w:tblPrEx>
          <w:tblW w:w="5000" w:type="pct"/>
          <w:tblInd w:w="110" w:type="dxa"/>
          <w:tblCellMar>
            <w:left w:w="110" w:type="dxa"/>
            <w:right w:w="110" w:type="dxa"/>
          </w:tblCellMar>
          <w:tblLook w:val="0000"/>
        </w:tblPrEx>
        <w:trPr>
          <w:cantSplit/>
        </w:trPr>
        <w:tc>
          <w:tcPr>
            <w:tcW w:w="2007" w:type="pct"/>
            <w:vMerge/>
          </w:tcPr>
          <w:p w:rsidR="00DF5B6A" w:rsidRPr="00F56CF7" w:rsidP="003E7F81" w14:paraId="3DCBF1E7" w14:textId="77777777">
            <w:pPr>
              <w:rPr>
                <w:rFonts w:cstheme="minorHAnsi"/>
              </w:rPr>
            </w:pPr>
          </w:p>
        </w:tc>
        <w:tc>
          <w:tcPr>
            <w:tcW w:w="888" w:type="pct"/>
            <w:tcBorders>
              <w:top w:val="single" w:sz="4" w:space="0" w:color="auto"/>
              <w:bottom w:val="single" w:sz="4" w:space="0" w:color="auto"/>
              <w:right w:val="nil"/>
            </w:tcBorders>
          </w:tcPr>
          <w:p w:rsidR="00DF5B6A" w:rsidRPr="00F56CF7" w:rsidP="003E7F81" w14:paraId="540BF625" w14:textId="77777777">
            <w:pPr>
              <w:rPr>
                <w:rFonts w:cstheme="minorHAnsi"/>
              </w:rPr>
            </w:pPr>
            <w:r w:rsidRPr="00F56CF7">
              <w:rPr>
                <w:rFonts w:cstheme="minorHAnsi"/>
              </w:rPr>
              <w:t>449210</w:t>
            </w:r>
          </w:p>
        </w:tc>
        <w:tc>
          <w:tcPr>
            <w:tcW w:w="2105" w:type="pct"/>
            <w:tcBorders>
              <w:top w:val="single" w:sz="4" w:space="0" w:color="auto"/>
              <w:left w:val="nil"/>
              <w:bottom w:val="single" w:sz="4" w:space="0" w:color="auto"/>
            </w:tcBorders>
          </w:tcPr>
          <w:p w:rsidR="00DF5B6A" w:rsidRPr="00F56CF7" w:rsidP="003E7F81" w14:paraId="69EED15D" w14:textId="77777777">
            <w:pPr>
              <w:rPr>
                <w:rFonts w:cstheme="minorHAnsi"/>
              </w:rPr>
            </w:pPr>
            <w:r w:rsidRPr="00F56CF7">
              <w:rPr>
                <w:rFonts w:cstheme="minorHAnsi"/>
              </w:rPr>
              <w:t>Electronics and Appliance retailers.</w:t>
            </w:r>
          </w:p>
        </w:tc>
      </w:tr>
      <w:tr w14:paraId="74D8C112" w14:textId="77777777" w:rsidTr="003E7F81">
        <w:tblPrEx>
          <w:tblW w:w="5000" w:type="pct"/>
          <w:tblInd w:w="110" w:type="dxa"/>
          <w:tblCellMar>
            <w:left w:w="110" w:type="dxa"/>
            <w:right w:w="110" w:type="dxa"/>
          </w:tblCellMar>
          <w:tblLook w:val="0000"/>
        </w:tblPrEx>
        <w:trPr>
          <w:cantSplit/>
        </w:trPr>
        <w:tc>
          <w:tcPr>
            <w:tcW w:w="2007" w:type="pct"/>
            <w:vMerge/>
          </w:tcPr>
          <w:p w:rsidR="00DF5B6A" w:rsidRPr="00F56CF7" w:rsidP="003E7F81" w14:paraId="5EE5CBD9" w14:textId="77777777">
            <w:pPr>
              <w:rPr>
                <w:rFonts w:cstheme="minorHAnsi"/>
              </w:rPr>
            </w:pPr>
          </w:p>
        </w:tc>
        <w:tc>
          <w:tcPr>
            <w:tcW w:w="888" w:type="pct"/>
            <w:tcBorders>
              <w:top w:val="single" w:sz="4" w:space="0" w:color="auto"/>
              <w:bottom w:val="single" w:sz="4" w:space="0" w:color="auto"/>
              <w:right w:val="nil"/>
            </w:tcBorders>
          </w:tcPr>
          <w:p w:rsidR="00DF5B6A" w:rsidRPr="00F56CF7" w:rsidP="003E7F81" w14:paraId="30CA3221" w14:textId="77777777">
            <w:pPr>
              <w:rPr>
                <w:rFonts w:cstheme="minorHAnsi"/>
              </w:rPr>
            </w:pPr>
            <w:r w:rsidRPr="00F56CF7">
              <w:rPr>
                <w:rFonts w:cstheme="minorHAnsi"/>
              </w:rPr>
              <w:t>326150</w:t>
            </w:r>
          </w:p>
        </w:tc>
        <w:tc>
          <w:tcPr>
            <w:tcW w:w="2105" w:type="pct"/>
            <w:tcBorders>
              <w:top w:val="single" w:sz="4" w:space="0" w:color="auto"/>
              <w:left w:val="nil"/>
              <w:bottom w:val="single" w:sz="4" w:space="0" w:color="auto"/>
            </w:tcBorders>
          </w:tcPr>
          <w:p w:rsidR="00DF5B6A" w:rsidRPr="00F56CF7" w:rsidP="003E7F81" w14:paraId="57F1DDD9" w14:textId="77777777">
            <w:pPr>
              <w:rPr>
                <w:rFonts w:cstheme="minorHAnsi"/>
              </w:rPr>
            </w:pPr>
            <w:r w:rsidRPr="00F56CF7">
              <w:rPr>
                <w:rFonts w:cstheme="minorHAnsi"/>
              </w:rPr>
              <w:t>Polyurethane foam products manufacturing.</w:t>
            </w:r>
          </w:p>
        </w:tc>
      </w:tr>
      <w:tr w14:paraId="516F0219" w14:textId="77777777" w:rsidTr="003E7F81">
        <w:tblPrEx>
          <w:tblW w:w="5000" w:type="pct"/>
          <w:tblInd w:w="110" w:type="dxa"/>
          <w:tblCellMar>
            <w:left w:w="110" w:type="dxa"/>
            <w:right w:w="110" w:type="dxa"/>
          </w:tblCellMar>
          <w:tblLook w:val="0000"/>
        </w:tblPrEx>
        <w:trPr>
          <w:cantSplit/>
        </w:trPr>
        <w:tc>
          <w:tcPr>
            <w:tcW w:w="2007" w:type="pct"/>
            <w:vMerge/>
          </w:tcPr>
          <w:p w:rsidR="00DF5B6A" w:rsidRPr="00F56CF7" w:rsidP="003E7F81" w14:paraId="3A73B751" w14:textId="77777777">
            <w:pPr>
              <w:rPr>
                <w:rFonts w:cstheme="minorHAnsi"/>
              </w:rPr>
            </w:pPr>
          </w:p>
        </w:tc>
        <w:tc>
          <w:tcPr>
            <w:tcW w:w="888" w:type="pct"/>
            <w:tcBorders>
              <w:top w:val="single" w:sz="4" w:space="0" w:color="auto"/>
              <w:bottom w:val="single" w:sz="4" w:space="0" w:color="auto"/>
              <w:right w:val="nil"/>
            </w:tcBorders>
          </w:tcPr>
          <w:p w:rsidR="00DF5B6A" w:rsidRPr="00F56CF7" w:rsidP="003E7F81" w14:paraId="044C67EF" w14:textId="77777777">
            <w:pPr>
              <w:rPr>
                <w:rFonts w:cstheme="minorHAnsi"/>
              </w:rPr>
            </w:pPr>
            <w:r w:rsidRPr="00F56CF7">
              <w:rPr>
                <w:rFonts w:cstheme="minorHAnsi"/>
              </w:rPr>
              <w:t>335313</w:t>
            </w:r>
          </w:p>
        </w:tc>
        <w:tc>
          <w:tcPr>
            <w:tcW w:w="2105" w:type="pct"/>
            <w:tcBorders>
              <w:top w:val="single" w:sz="4" w:space="0" w:color="auto"/>
              <w:left w:val="nil"/>
              <w:bottom w:val="single" w:sz="4" w:space="0" w:color="auto"/>
            </w:tcBorders>
          </w:tcPr>
          <w:p w:rsidR="00DF5B6A" w:rsidRPr="00F56CF7" w:rsidP="003E7F81" w14:paraId="023BF692" w14:textId="77777777">
            <w:pPr>
              <w:rPr>
                <w:rFonts w:cstheme="minorHAnsi"/>
              </w:rPr>
            </w:pPr>
            <w:r w:rsidRPr="00F56CF7">
              <w:rPr>
                <w:rFonts w:cstheme="minorHAnsi"/>
              </w:rPr>
              <w:t>Circuit breakers, power, manufacturing.</w:t>
            </w:r>
          </w:p>
        </w:tc>
      </w:tr>
      <w:tr w14:paraId="531B61A6" w14:textId="77777777" w:rsidTr="003E7F81">
        <w:tblPrEx>
          <w:tblW w:w="5000" w:type="pct"/>
          <w:tblInd w:w="110" w:type="dxa"/>
          <w:tblCellMar>
            <w:left w:w="110" w:type="dxa"/>
            <w:right w:w="110" w:type="dxa"/>
          </w:tblCellMar>
          <w:tblLook w:val="0000"/>
        </w:tblPrEx>
        <w:trPr>
          <w:cantSplit/>
        </w:trPr>
        <w:tc>
          <w:tcPr>
            <w:tcW w:w="2007" w:type="pct"/>
            <w:vMerge/>
            <w:tcBorders>
              <w:bottom w:val="single" w:sz="4" w:space="0" w:color="auto"/>
            </w:tcBorders>
          </w:tcPr>
          <w:p w:rsidR="00DF5B6A" w:rsidRPr="00F56CF7" w:rsidP="003E7F81" w14:paraId="2AB068BB" w14:textId="77777777">
            <w:pPr>
              <w:rPr>
                <w:rFonts w:cstheme="minorHAnsi"/>
              </w:rPr>
            </w:pPr>
          </w:p>
        </w:tc>
        <w:tc>
          <w:tcPr>
            <w:tcW w:w="888" w:type="pct"/>
            <w:tcBorders>
              <w:top w:val="single" w:sz="4" w:space="0" w:color="auto"/>
              <w:bottom w:val="single" w:sz="4" w:space="0" w:color="auto"/>
              <w:right w:val="nil"/>
            </w:tcBorders>
          </w:tcPr>
          <w:p w:rsidR="00DF5B6A" w:rsidRPr="00F56CF7" w:rsidP="003E7F81" w14:paraId="4CAE8AC6" w14:textId="77777777">
            <w:pPr>
              <w:rPr>
                <w:rFonts w:cstheme="minorHAnsi"/>
              </w:rPr>
            </w:pPr>
            <w:r w:rsidRPr="00F56CF7">
              <w:rPr>
                <w:rFonts w:cstheme="minorHAnsi"/>
              </w:rPr>
              <w:t>423610</w:t>
            </w:r>
          </w:p>
        </w:tc>
        <w:tc>
          <w:tcPr>
            <w:tcW w:w="2105" w:type="pct"/>
            <w:tcBorders>
              <w:top w:val="single" w:sz="4" w:space="0" w:color="auto"/>
              <w:left w:val="nil"/>
              <w:bottom w:val="single" w:sz="4" w:space="0" w:color="auto"/>
            </w:tcBorders>
          </w:tcPr>
          <w:p w:rsidR="00DF5B6A" w:rsidRPr="00F56CF7" w:rsidP="003E7F81" w14:paraId="5F0EBAA6" w14:textId="77777777">
            <w:pPr>
              <w:rPr>
                <w:rFonts w:cstheme="minorHAnsi"/>
              </w:rPr>
            </w:pPr>
            <w:r w:rsidRPr="00F56CF7">
              <w:rPr>
                <w:rFonts w:cstheme="minorHAnsi"/>
              </w:rPr>
              <w:t>Circuit breakers and related equipment merchant wholesalers.</w:t>
            </w:r>
          </w:p>
        </w:tc>
      </w:tr>
      <w:tr w14:paraId="72B1CECE" w14:textId="77777777" w:rsidTr="003E7F81">
        <w:tblPrEx>
          <w:tblW w:w="5000" w:type="pct"/>
          <w:tblInd w:w="110" w:type="dxa"/>
          <w:tblCellMar>
            <w:left w:w="110" w:type="dxa"/>
            <w:right w:w="110" w:type="dxa"/>
          </w:tblCellMar>
          <w:tblLook w:val="0000"/>
        </w:tblPrEx>
        <w:trPr>
          <w:cantSplit/>
        </w:trPr>
        <w:tc>
          <w:tcPr>
            <w:tcW w:w="2007" w:type="pct"/>
            <w:vMerge w:val="restart"/>
            <w:tcBorders>
              <w:top w:val="single" w:sz="4" w:space="0" w:color="auto"/>
            </w:tcBorders>
          </w:tcPr>
          <w:p w:rsidR="00DF5B6A" w:rsidRPr="00F56CF7" w:rsidP="003E7F81" w14:paraId="5C7DF3FF" w14:textId="77777777">
            <w:pPr>
              <w:rPr>
                <w:rFonts w:cstheme="minorHAnsi"/>
              </w:rPr>
            </w:pPr>
            <w:r w:rsidRPr="00F56CF7">
              <w:rPr>
                <w:rFonts w:cstheme="minorHAnsi"/>
              </w:rPr>
              <w:t xml:space="preserve">RR. Geologic Sequestration </w:t>
            </w:r>
          </w:p>
        </w:tc>
        <w:tc>
          <w:tcPr>
            <w:tcW w:w="888" w:type="pct"/>
            <w:tcBorders>
              <w:top w:val="single" w:sz="4" w:space="0" w:color="auto"/>
              <w:bottom w:val="single" w:sz="4" w:space="0" w:color="auto"/>
              <w:right w:val="nil"/>
            </w:tcBorders>
          </w:tcPr>
          <w:p w:rsidR="00DF5B6A" w:rsidRPr="00F56CF7" w:rsidP="003E7F81" w14:paraId="67065D8B" w14:textId="77777777">
            <w:pPr>
              <w:rPr>
                <w:rFonts w:cstheme="minorHAnsi"/>
              </w:rPr>
            </w:pPr>
            <w:r w:rsidRPr="00F56CF7">
              <w:rPr>
                <w:rFonts w:cstheme="minorHAnsi"/>
              </w:rPr>
              <w:t>NA</w:t>
            </w:r>
          </w:p>
        </w:tc>
        <w:tc>
          <w:tcPr>
            <w:tcW w:w="2105" w:type="pct"/>
            <w:tcBorders>
              <w:top w:val="single" w:sz="4" w:space="0" w:color="auto"/>
              <w:left w:val="nil"/>
              <w:bottom w:val="single" w:sz="4" w:space="0" w:color="auto"/>
            </w:tcBorders>
          </w:tcPr>
          <w:p w:rsidR="00DF5B6A" w:rsidRPr="00F56CF7" w:rsidP="003E7F81" w14:paraId="7A3F8A83" w14:textId="77777777">
            <w:pPr>
              <w:rPr>
                <w:rFonts w:cstheme="minorHAnsi"/>
              </w:rPr>
            </w:pPr>
            <w:r w:rsidRPr="00F56CF7">
              <w:rPr>
                <w:rFonts w:cstheme="minorHAnsi"/>
              </w:rPr>
              <w:t>CO</w:t>
            </w:r>
            <w:r w:rsidRPr="00F56CF7">
              <w:rPr>
                <w:rFonts w:cstheme="minorHAnsi"/>
                <w:vertAlign w:val="subscript"/>
              </w:rPr>
              <w:t>2</w:t>
            </w:r>
            <w:r w:rsidRPr="00F56CF7">
              <w:rPr>
                <w:rFonts w:cstheme="minorHAnsi"/>
              </w:rPr>
              <w:t xml:space="preserve"> geologic sequestration sites.</w:t>
            </w:r>
          </w:p>
        </w:tc>
      </w:tr>
      <w:tr w14:paraId="73568A1D" w14:textId="77777777" w:rsidTr="003E7F81">
        <w:tblPrEx>
          <w:tblW w:w="5000" w:type="pct"/>
          <w:tblInd w:w="110" w:type="dxa"/>
          <w:tblCellMar>
            <w:left w:w="110" w:type="dxa"/>
            <w:right w:w="110" w:type="dxa"/>
          </w:tblCellMar>
          <w:tblLook w:val="0000"/>
        </w:tblPrEx>
        <w:trPr>
          <w:cantSplit/>
        </w:trPr>
        <w:tc>
          <w:tcPr>
            <w:tcW w:w="2007" w:type="pct"/>
            <w:vMerge/>
            <w:tcBorders>
              <w:bottom w:val="single" w:sz="4" w:space="0" w:color="auto"/>
            </w:tcBorders>
          </w:tcPr>
          <w:p w:rsidR="00DF5B6A" w:rsidRPr="00F56CF7" w:rsidP="003E7F81" w14:paraId="2A57A18F" w14:textId="77777777">
            <w:pPr>
              <w:rPr>
                <w:rFonts w:cstheme="minorHAnsi"/>
              </w:rPr>
            </w:pPr>
          </w:p>
        </w:tc>
        <w:tc>
          <w:tcPr>
            <w:tcW w:w="888" w:type="pct"/>
            <w:tcBorders>
              <w:top w:val="single" w:sz="4" w:space="0" w:color="auto"/>
              <w:bottom w:val="single" w:sz="4" w:space="0" w:color="auto"/>
              <w:right w:val="nil"/>
            </w:tcBorders>
          </w:tcPr>
          <w:p w:rsidR="00DF5B6A" w:rsidRPr="00F56CF7" w:rsidP="003E7F81" w14:paraId="7EDDB400" w14:textId="77777777">
            <w:pPr>
              <w:rPr>
                <w:rFonts w:cstheme="minorHAnsi"/>
              </w:rPr>
            </w:pPr>
            <w:r w:rsidRPr="00F56CF7">
              <w:rPr>
                <w:rFonts w:cstheme="minorHAnsi"/>
                <w:bCs/>
              </w:rPr>
              <w:t>211</w:t>
            </w:r>
          </w:p>
        </w:tc>
        <w:tc>
          <w:tcPr>
            <w:tcW w:w="2105" w:type="pct"/>
            <w:tcBorders>
              <w:top w:val="single" w:sz="4" w:space="0" w:color="auto"/>
              <w:left w:val="nil"/>
              <w:bottom w:val="single" w:sz="4" w:space="0" w:color="auto"/>
            </w:tcBorders>
          </w:tcPr>
          <w:p w:rsidR="00DF5B6A" w:rsidRPr="00F56CF7" w:rsidP="003E7F81" w14:paraId="1A4F6807" w14:textId="77777777">
            <w:pPr>
              <w:rPr>
                <w:rFonts w:cstheme="minorHAnsi"/>
              </w:rPr>
            </w:pPr>
            <w:r w:rsidRPr="00F56CF7">
              <w:rPr>
                <w:rFonts w:cstheme="minorHAnsi"/>
              </w:rPr>
              <w:t>Oil and gas extraction.</w:t>
            </w:r>
          </w:p>
        </w:tc>
      </w:tr>
      <w:tr w14:paraId="2BF7C00B"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3E7F81" w14:paraId="59FD75DE" w14:textId="77777777">
            <w:pPr>
              <w:rPr>
                <w:rFonts w:cstheme="minorHAnsi"/>
              </w:rPr>
            </w:pPr>
            <w:r w:rsidRPr="00F56CF7">
              <w:rPr>
                <w:rFonts w:cstheme="minorHAnsi"/>
              </w:rPr>
              <w:t>SS. Electrical Equipment Manufacture or Refurbishment</w:t>
            </w:r>
          </w:p>
        </w:tc>
        <w:tc>
          <w:tcPr>
            <w:tcW w:w="888" w:type="pct"/>
            <w:tcBorders>
              <w:top w:val="single" w:sz="4" w:space="0" w:color="auto"/>
              <w:bottom w:val="single" w:sz="4" w:space="0" w:color="auto"/>
              <w:right w:val="nil"/>
            </w:tcBorders>
          </w:tcPr>
          <w:p w:rsidR="00DF5B6A" w:rsidRPr="00F56CF7" w:rsidP="003E7F81" w14:paraId="6B9F9EE3" w14:textId="77777777">
            <w:pPr>
              <w:rPr>
                <w:rFonts w:cstheme="minorHAnsi"/>
              </w:rPr>
            </w:pPr>
            <w:r w:rsidRPr="00F56CF7">
              <w:rPr>
                <w:rFonts w:cstheme="minorHAnsi"/>
              </w:rPr>
              <w:t>33531</w:t>
            </w:r>
          </w:p>
        </w:tc>
        <w:tc>
          <w:tcPr>
            <w:tcW w:w="2105" w:type="pct"/>
            <w:tcBorders>
              <w:top w:val="single" w:sz="4" w:space="0" w:color="auto"/>
              <w:left w:val="nil"/>
              <w:bottom w:val="single" w:sz="4" w:space="0" w:color="auto"/>
            </w:tcBorders>
          </w:tcPr>
          <w:p w:rsidR="00DF5B6A" w:rsidRPr="00F56CF7" w:rsidP="003E7F81" w14:paraId="659F511D" w14:textId="77777777">
            <w:pPr>
              <w:rPr>
                <w:rFonts w:cstheme="minorHAnsi"/>
              </w:rPr>
            </w:pPr>
            <w:r w:rsidRPr="00F56CF7">
              <w:rPr>
                <w:rFonts w:cstheme="minorHAnsi"/>
              </w:rPr>
              <w:t>Power transmission and distribution switchgear and specialty transformers manufacturing facilities</w:t>
            </w:r>
          </w:p>
        </w:tc>
      </w:tr>
      <w:tr w14:paraId="0C8BD8F5" w14:textId="77777777" w:rsidTr="003E7F81">
        <w:tblPrEx>
          <w:tblW w:w="5000" w:type="pct"/>
          <w:tblInd w:w="110" w:type="dxa"/>
          <w:tblCellMar>
            <w:left w:w="110" w:type="dxa"/>
            <w:right w:w="110" w:type="dxa"/>
          </w:tblCellMar>
          <w:tblLook w:val="0000"/>
        </w:tblPrEx>
        <w:trPr>
          <w:cantSplit/>
        </w:trPr>
        <w:tc>
          <w:tcPr>
            <w:tcW w:w="2007" w:type="pct"/>
            <w:vMerge w:val="restart"/>
            <w:tcBorders>
              <w:top w:val="single" w:sz="4" w:space="0" w:color="auto"/>
            </w:tcBorders>
          </w:tcPr>
          <w:p w:rsidR="00DF5B6A" w:rsidRPr="00F56CF7" w:rsidP="003E7F81" w14:paraId="5A8F3F29" w14:textId="77777777">
            <w:pPr>
              <w:rPr>
                <w:rFonts w:cstheme="minorHAnsi"/>
              </w:rPr>
            </w:pPr>
            <w:r w:rsidRPr="00F56CF7">
              <w:rPr>
                <w:rFonts w:cstheme="minorHAnsi"/>
              </w:rPr>
              <w:t>UU. Carbon Dioxide Injection</w:t>
            </w:r>
          </w:p>
        </w:tc>
        <w:tc>
          <w:tcPr>
            <w:tcW w:w="888" w:type="pct"/>
            <w:tcBorders>
              <w:top w:val="single" w:sz="4" w:space="0" w:color="auto"/>
              <w:bottom w:val="single" w:sz="4" w:space="0" w:color="auto"/>
              <w:right w:val="nil"/>
            </w:tcBorders>
          </w:tcPr>
          <w:p w:rsidR="00DF5B6A" w:rsidRPr="00F56CF7" w:rsidP="003E7F81" w14:paraId="4476E794" w14:textId="77777777">
            <w:pPr>
              <w:rPr>
                <w:rFonts w:cstheme="minorHAnsi"/>
              </w:rPr>
            </w:pPr>
            <w:r w:rsidRPr="00F56CF7">
              <w:rPr>
                <w:rFonts w:cstheme="minorHAnsi"/>
              </w:rPr>
              <w:t>211</w:t>
            </w:r>
          </w:p>
        </w:tc>
        <w:tc>
          <w:tcPr>
            <w:tcW w:w="2105" w:type="pct"/>
            <w:tcBorders>
              <w:top w:val="single" w:sz="4" w:space="0" w:color="auto"/>
              <w:left w:val="nil"/>
              <w:bottom w:val="single" w:sz="4" w:space="0" w:color="auto"/>
            </w:tcBorders>
          </w:tcPr>
          <w:p w:rsidR="00DF5B6A" w:rsidRPr="00F56CF7" w:rsidP="003E7F81" w14:paraId="209EF0E2" w14:textId="77777777">
            <w:pPr>
              <w:rPr>
                <w:rFonts w:cstheme="minorHAnsi"/>
              </w:rPr>
            </w:pPr>
            <w:r w:rsidRPr="00F56CF7">
              <w:rPr>
                <w:rFonts w:cstheme="minorHAnsi"/>
              </w:rPr>
              <w:t>Oil and gas extraction projects using carbon dioxide enhanced oil recovery.</w:t>
            </w:r>
          </w:p>
        </w:tc>
      </w:tr>
      <w:tr w14:paraId="09D93F87" w14:textId="77777777" w:rsidTr="003E7F81">
        <w:tblPrEx>
          <w:tblW w:w="5000" w:type="pct"/>
          <w:tblInd w:w="110" w:type="dxa"/>
          <w:tblCellMar>
            <w:left w:w="110" w:type="dxa"/>
            <w:right w:w="110" w:type="dxa"/>
          </w:tblCellMar>
          <w:tblLook w:val="0000"/>
        </w:tblPrEx>
        <w:trPr>
          <w:cantSplit/>
        </w:trPr>
        <w:tc>
          <w:tcPr>
            <w:tcW w:w="2007" w:type="pct"/>
            <w:vMerge/>
            <w:tcBorders>
              <w:bottom w:val="single" w:sz="4" w:space="0" w:color="auto"/>
            </w:tcBorders>
          </w:tcPr>
          <w:p w:rsidR="00DF5B6A" w:rsidRPr="00F56CF7" w:rsidP="003E7F81" w14:paraId="6C0EF416" w14:textId="77777777">
            <w:pPr>
              <w:rPr>
                <w:rFonts w:cstheme="minorHAnsi"/>
              </w:rPr>
            </w:pPr>
          </w:p>
        </w:tc>
        <w:tc>
          <w:tcPr>
            <w:tcW w:w="888" w:type="pct"/>
            <w:tcBorders>
              <w:top w:val="single" w:sz="4" w:space="0" w:color="auto"/>
              <w:bottom w:val="single" w:sz="4" w:space="0" w:color="auto"/>
              <w:right w:val="nil"/>
            </w:tcBorders>
          </w:tcPr>
          <w:p w:rsidR="00DF5B6A" w:rsidRPr="00F56CF7" w:rsidP="003E7F81" w14:paraId="14B6DBF8" w14:textId="77777777">
            <w:pPr>
              <w:rPr>
                <w:rFonts w:cstheme="minorHAnsi"/>
              </w:rPr>
            </w:pPr>
            <w:r w:rsidRPr="00F56CF7">
              <w:rPr>
                <w:rFonts w:cstheme="minorHAnsi"/>
              </w:rPr>
              <w:t>211111 or 211112</w:t>
            </w:r>
          </w:p>
        </w:tc>
        <w:tc>
          <w:tcPr>
            <w:tcW w:w="2105" w:type="pct"/>
            <w:tcBorders>
              <w:top w:val="single" w:sz="4" w:space="0" w:color="auto"/>
              <w:left w:val="nil"/>
              <w:bottom w:val="single" w:sz="4" w:space="0" w:color="auto"/>
            </w:tcBorders>
          </w:tcPr>
          <w:p w:rsidR="00DF5B6A" w:rsidRPr="00F56CF7" w:rsidP="003E7F81" w14:paraId="462162D4" w14:textId="77777777">
            <w:pPr>
              <w:rPr>
                <w:rFonts w:cstheme="minorHAnsi"/>
              </w:rPr>
            </w:pPr>
            <w:r w:rsidRPr="00F56CF7">
              <w:rPr>
                <w:rFonts w:cstheme="minorHAnsi"/>
              </w:rPr>
              <w:t>Projects that inject acid gas containing carbon dioxide underground.</w:t>
            </w:r>
          </w:p>
        </w:tc>
      </w:tr>
      <w:tr w14:paraId="6F5C7625"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3E7F81" w14:paraId="6E66CFB8" w14:textId="77777777">
            <w:pPr>
              <w:rPr>
                <w:rFonts w:cstheme="minorHAnsi"/>
              </w:rPr>
            </w:pPr>
            <w:r w:rsidRPr="00F56CF7">
              <w:rPr>
                <w:rFonts w:cstheme="minorHAnsi"/>
              </w:rPr>
              <w:t>VV. Carbon Dioxide Enhanced Oil Recovery Projects</w:t>
            </w:r>
          </w:p>
        </w:tc>
        <w:tc>
          <w:tcPr>
            <w:tcW w:w="888" w:type="pct"/>
            <w:tcBorders>
              <w:top w:val="single" w:sz="4" w:space="0" w:color="auto"/>
              <w:bottom w:val="single" w:sz="4" w:space="0" w:color="auto"/>
              <w:right w:val="nil"/>
            </w:tcBorders>
          </w:tcPr>
          <w:p w:rsidR="00DF5B6A" w:rsidRPr="00F56CF7" w:rsidP="003E7F81" w14:paraId="793BB017" w14:textId="77777777">
            <w:pPr>
              <w:rPr>
                <w:rFonts w:cstheme="minorHAnsi"/>
              </w:rPr>
            </w:pPr>
            <w:r w:rsidRPr="00F56CF7">
              <w:rPr>
                <w:rFonts w:cstheme="minorHAnsi"/>
              </w:rPr>
              <w:t>211</w:t>
            </w:r>
          </w:p>
        </w:tc>
        <w:tc>
          <w:tcPr>
            <w:tcW w:w="2105" w:type="pct"/>
            <w:tcBorders>
              <w:top w:val="single" w:sz="4" w:space="0" w:color="auto"/>
              <w:left w:val="nil"/>
              <w:bottom w:val="single" w:sz="4" w:space="0" w:color="auto"/>
            </w:tcBorders>
          </w:tcPr>
          <w:p w:rsidR="00DF5B6A" w:rsidRPr="00F56CF7" w:rsidP="003E7F81" w14:paraId="01DF5214" w14:textId="77777777">
            <w:pPr>
              <w:rPr>
                <w:rFonts w:cstheme="minorHAnsi"/>
              </w:rPr>
            </w:pPr>
            <w:r w:rsidRPr="00F56CF7">
              <w:rPr>
                <w:rFonts w:cstheme="minorHAnsi"/>
              </w:rPr>
              <w:t>Oil and gas extraction projects using carbon dioxide enhanced oil recovery.</w:t>
            </w:r>
          </w:p>
        </w:tc>
      </w:tr>
      <w:tr w14:paraId="6D33F5AA"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3E7F81" w14:paraId="492D6214" w14:textId="77777777">
            <w:pPr>
              <w:rPr>
                <w:rFonts w:cstheme="minorHAnsi"/>
              </w:rPr>
            </w:pPr>
            <w:r w:rsidRPr="00F56CF7">
              <w:rPr>
                <w:rFonts w:cstheme="minorHAnsi"/>
              </w:rPr>
              <w:t>WW. Coke Calciners</w:t>
            </w:r>
          </w:p>
        </w:tc>
        <w:tc>
          <w:tcPr>
            <w:tcW w:w="888" w:type="pct"/>
            <w:tcBorders>
              <w:top w:val="single" w:sz="4" w:space="0" w:color="auto"/>
              <w:bottom w:val="single" w:sz="4" w:space="0" w:color="auto"/>
              <w:right w:val="nil"/>
            </w:tcBorders>
          </w:tcPr>
          <w:p w:rsidR="00DF5B6A" w:rsidRPr="00F56CF7" w:rsidP="003E7F81" w14:paraId="6D1874C0" w14:textId="77777777">
            <w:pPr>
              <w:rPr>
                <w:rFonts w:cstheme="minorHAnsi"/>
              </w:rPr>
            </w:pPr>
            <w:r w:rsidRPr="00F56CF7">
              <w:rPr>
                <w:rFonts w:cstheme="minorHAnsi"/>
              </w:rPr>
              <w:t>299901</w:t>
            </w:r>
          </w:p>
        </w:tc>
        <w:tc>
          <w:tcPr>
            <w:tcW w:w="2105" w:type="pct"/>
            <w:tcBorders>
              <w:top w:val="single" w:sz="4" w:space="0" w:color="auto"/>
              <w:left w:val="nil"/>
              <w:bottom w:val="single" w:sz="4" w:space="0" w:color="auto"/>
            </w:tcBorders>
          </w:tcPr>
          <w:p w:rsidR="00DF5B6A" w:rsidRPr="00F56CF7" w:rsidP="003E7F81" w14:paraId="5E43E1A2" w14:textId="77777777">
            <w:pPr>
              <w:rPr>
                <w:rFonts w:cstheme="minorHAnsi"/>
              </w:rPr>
            </w:pPr>
            <w:r w:rsidRPr="00F56CF7">
              <w:rPr>
                <w:rFonts w:cstheme="minorHAnsi"/>
              </w:rPr>
              <w:t>Coke; coke, petroleum; coke, calcined petroleum.</w:t>
            </w:r>
          </w:p>
        </w:tc>
      </w:tr>
      <w:tr w14:paraId="721B6CEE" w14:textId="77777777" w:rsidTr="003E7F81">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3E7F81" w14:paraId="7D647796" w14:textId="77777777">
            <w:pPr>
              <w:rPr>
                <w:rFonts w:cstheme="minorHAnsi"/>
              </w:rPr>
            </w:pPr>
            <w:r w:rsidRPr="00F56CF7">
              <w:rPr>
                <w:rFonts w:cstheme="minorHAnsi"/>
              </w:rPr>
              <w:t>XX. Calcium Carbide Production</w:t>
            </w:r>
          </w:p>
        </w:tc>
        <w:tc>
          <w:tcPr>
            <w:tcW w:w="888" w:type="pct"/>
            <w:tcBorders>
              <w:top w:val="single" w:sz="4" w:space="0" w:color="auto"/>
              <w:bottom w:val="single" w:sz="4" w:space="0" w:color="auto"/>
              <w:right w:val="nil"/>
            </w:tcBorders>
          </w:tcPr>
          <w:p w:rsidR="00DF5B6A" w:rsidRPr="00F56CF7" w:rsidP="003E7F81" w14:paraId="124CA703" w14:textId="77777777">
            <w:pPr>
              <w:rPr>
                <w:rFonts w:cstheme="minorHAnsi"/>
              </w:rPr>
            </w:pPr>
            <w:r w:rsidRPr="00F56CF7">
              <w:rPr>
                <w:rFonts w:cstheme="minorHAnsi"/>
              </w:rPr>
              <w:t>325180</w:t>
            </w:r>
          </w:p>
        </w:tc>
        <w:tc>
          <w:tcPr>
            <w:tcW w:w="2105" w:type="pct"/>
            <w:tcBorders>
              <w:top w:val="single" w:sz="4" w:space="0" w:color="auto"/>
              <w:left w:val="nil"/>
              <w:bottom w:val="single" w:sz="4" w:space="0" w:color="auto"/>
            </w:tcBorders>
          </w:tcPr>
          <w:p w:rsidR="00DF5B6A" w:rsidRPr="00F56CF7" w:rsidP="003E7F81" w14:paraId="21AFD8C3" w14:textId="77777777">
            <w:pPr>
              <w:rPr>
                <w:rFonts w:cstheme="minorHAnsi"/>
              </w:rPr>
            </w:pPr>
            <w:r w:rsidRPr="00F56CF7">
              <w:rPr>
                <w:rFonts w:cstheme="minorHAnsi"/>
              </w:rPr>
              <w:t>Other basic inorganic chemical manufacturing: calcium carbide manufacturing.</w:t>
            </w:r>
          </w:p>
        </w:tc>
      </w:tr>
      <w:tr w14:paraId="0134F528" w14:textId="77777777" w:rsidTr="003E7F81">
        <w:tblPrEx>
          <w:tblW w:w="5000" w:type="pct"/>
          <w:tblInd w:w="110" w:type="dxa"/>
          <w:tblCellMar>
            <w:left w:w="110" w:type="dxa"/>
            <w:right w:w="110" w:type="dxa"/>
          </w:tblCellMar>
          <w:tblLook w:val="0000"/>
        </w:tblPrEx>
        <w:trPr>
          <w:cantSplit/>
          <w:trHeight w:val="458"/>
        </w:trPr>
        <w:tc>
          <w:tcPr>
            <w:tcW w:w="2007" w:type="pct"/>
            <w:tcBorders>
              <w:top w:val="single" w:sz="4" w:space="0" w:color="auto"/>
              <w:bottom w:val="single" w:sz="4" w:space="0" w:color="auto"/>
            </w:tcBorders>
          </w:tcPr>
          <w:p w:rsidR="00DF5B6A" w:rsidRPr="00F56CF7" w:rsidP="003E7F81" w14:paraId="212EDA3A" w14:textId="77777777">
            <w:pPr>
              <w:rPr>
                <w:rFonts w:cstheme="minorHAnsi"/>
              </w:rPr>
            </w:pPr>
            <w:r w:rsidRPr="00F56CF7">
              <w:rPr>
                <w:rFonts w:cstheme="minorHAnsi"/>
              </w:rPr>
              <w:t>YY. Caprolactam, Glyoxal, and Glyoxylic Acid Production</w:t>
            </w:r>
          </w:p>
        </w:tc>
        <w:tc>
          <w:tcPr>
            <w:tcW w:w="888" w:type="pct"/>
            <w:tcBorders>
              <w:top w:val="single" w:sz="4" w:space="0" w:color="auto"/>
              <w:bottom w:val="single" w:sz="4" w:space="0" w:color="auto"/>
              <w:right w:val="nil"/>
            </w:tcBorders>
          </w:tcPr>
          <w:p w:rsidR="00DF5B6A" w:rsidRPr="00F56CF7" w:rsidP="003E7F81" w14:paraId="1D76AEFA" w14:textId="77777777">
            <w:pPr>
              <w:rPr>
                <w:rFonts w:cstheme="minorHAnsi"/>
              </w:rPr>
            </w:pPr>
            <w:r w:rsidRPr="00F56CF7">
              <w:rPr>
                <w:rFonts w:cstheme="minorHAnsi"/>
              </w:rPr>
              <w:t>325199</w:t>
            </w:r>
          </w:p>
        </w:tc>
        <w:tc>
          <w:tcPr>
            <w:tcW w:w="2105" w:type="pct"/>
            <w:tcBorders>
              <w:top w:val="single" w:sz="4" w:space="0" w:color="auto"/>
              <w:left w:val="nil"/>
              <w:bottom w:val="single" w:sz="4" w:space="0" w:color="auto"/>
            </w:tcBorders>
          </w:tcPr>
          <w:p w:rsidR="00DF5B6A" w:rsidRPr="00F56CF7" w:rsidP="003E7F81" w14:paraId="6D23605E" w14:textId="77777777">
            <w:pPr>
              <w:rPr>
                <w:rFonts w:cstheme="minorHAnsi"/>
              </w:rPr>
            </w:pPr>
            <w:r w:rsidRPr="00F56CF7">
              <w:rPr>
                <w:rFonts w:cstheme="minorHAnsi"/>
              </w:rPr>
              <w:t>All other basic organic chemical manufacturing.</w:t>
            </w:r>
          </w:p>
        </w:tc>
      </w:tr>
      <w:tr w14:paraId="6EE64AAF" w14:textId="77777777" w:rsidTr="003E7F81">
        <w:tblPrEx>
          <w:tblW w:w="5000" w:type="pct"/>
          <w:tblInd w:w="110" w:type="dxa"/>
          <w:tblCellMar>
            <w:left w:w="110" w:type="dxa"/>
            <w:right w:w="110" w:type="dxa"/>
          </w:tblCellMar>
          <w:tblLook w:val="0000"/>
        </w:tblPrEx>
        <w:trPr>
          <w:cantSplit/>
          <w:trHeight w:val="458"/>
        </w:trPr>
        <w:tc>
          <w:tcPr>
            <w:tcW w:w="2007" w:type="pct"/>
            <w:vMerge w:val="restart"/>
            <w:tcBorders>
              <w:top w:val="single" w:sz="4" w:space="0" w:color="auto"/>
            </w:tcBorders>
          </w:tcPr>
          <w:p w:rsidR="00DF5B6A" w:rsidRPr="00F56CF7" w:rsidP="003E7F81" w14:paraId="67ADAE82" w14:textId="77777777">
            <w:pPr>
              <w:rPr>
                <w:rFonts w:cstheme="minorHAnsi"/>
              </w:rPr>
            </w:pPr>
            <w:r w:rsidRPr="00F56CF7">
              <w:rPr>
                <w:rFonts w:cstheme="minorHAnsi"/>
              </w:rPr>
              <w:t>ZZ. Ceramics Manufacturing</w:t>
            </w:r>
          </w:p>
        </w:tc>
        <w:tc>
          <w:tcPr>
            <w:tcW w:w="888" w:type="pct"/>
            <w:tcBorders>
              <w:top w:val="single" w:sz="4" w:space="0" w:color="auto"/>
              <w:bottom w:val="single" w:sz="4" w:space="0" w:color="auto"/>
              <w:right w:val="nil"/>
            </w:tcBorders>
          </w:tcPr>
          <w:p w:rsidR="00DF5B6A" w:rsidRPr="00F56CF7" w:rsidP="003E7F81" w14:paraId="0D0CAD2A" w14:textId="77777777">
            <w:pPr>
              <w:rPr>
                <w:rFonts w:cstheme="minorHAnsi"/>
              </w:rPr>
            </w:pPr>
            <w:r w:rsidRPr="00F56CF7">
              <w:rPr>
                <w:rFonts w:cstheme="minorHAnsi"/>
              </w:rPr>
              <w:t>327110</w:t>
            </w:r>
          </w:p>
        </w:tc>
        <w:tc>
          <w:tcPr>
            <w:tcW w:w="2105" w:type="pct"/>
            <w:tcBorders>
              <w:top w:val="single" w:sz="4" w:space="0" w:color="auto"/>
              <w:left w:val="nil"/>
              <w:bottom w:val="single" w:sz="4" w:space="0" w:color="auto"/>
            </w:tcBorders>
          </w:tcPr>
          <w:p w:rsidR="00DF5B6A" w:rsidRPr="00F56CF7" w:rsidP="003E7F81" w14:paraId="3A5BCD78" w14:textId="77777777">
            <w:pPr>
              <w:rPr>
                <w:rFonts w:cstheme="minorHAnsi"/>
              </w:rPr>
            </w:pPr>
            <w:r w:rsidRPr="00F56CF7">
              <w:rPr>
                <w:rFonts w:cstheme="minorHAnsi"/>
              </w:rPr>
              <w:t>Pottery, ceramics, and plumbing fixture manufacturing.</w:t>
            </w:r>
          </w:p>
        </w:tc>
      </w:tr>
      <w:tr w14:paraId="75DEEFDE" w14:textId="77777777" w:rsidTr="003E7F81">
        <w:tblPrEx>
          <w:tblW w:w="5000" w:type="pct"/>
          <w:tblInd w:w="110" w:type="dxa"/>
          <w:tblCellMar>
            <w:left w:w="110" w:type="dxa"/>
            <w:right w:w="110" w:type="dxa"/>
          </w:tblCellMar>
          <w:tblLook w:val="0000"/>
        </w:tblPrEx>
        <w:trPr>
          <w:cantSplit/>
        </w:trPr>
        <w:tc>
          <w:tcPr>
            <w:tcW w:w="2007" w:type="pct"/>
            <w:vMerge/>
            <w:tcBorders>
              <w:bottom w:val="double" w:sz="4" w:space="0" w:color="auto"/>
            </w:tcBorders>
          </w:tcPr>
          <w:p w:rsidR="00DF5B6A" w:rsidRPr="00F56CF7" w:rsidP="003E7F81" w14:paraId="13CC1077" w14:textId="77777777">
            <w:pPr>
              <w:rPr>
                <w:rFonts w:cstheme="minorHAnsi"/>
              </w:rPr>
            </w:pPr>
          </w:p>
        </w:tc>
        <w:tc>
          <w:tcPr>
            <w:tcW w:w="888" w:type="pct"/>
            <w:tcBorders>
              <w:top w:val="single" w:sz="4" w:space="0" w:color="auto"/>
              <w:bottom w:val="double" w:sz="4" w:space="0" w:color="auto"/>
              <w:right w:val="nil"/>
            </w:tcBorders>
          </w:tcPr>
          <w:p w:rsidR="00DF5B6A" w:rsidRPr="00F56CF7" w:rsidP="003E7F81" w14:paraId="16A0667F" w14:textId="77777777">
            <w:pPr>
              <w:rPr>
                <w:rFonts w:cstheme="minorHAnsi"/>
              </w:rPr>
            </w:pPr>
            <w:r w:rsidRPr="00F56CF7">
              <w:rPr>
                <w:rFonts w:cstheme="minorHAnsi"/>
              </w:rPr>
              <w:t>327120</w:t>
            </w:r>
          </w:p>
        </w:tc>
        <w:tc>
          <w:tcPr>
            <w:tcW w:w="2105" w:type="pct"/>
            <w:tcBorders>
              <w:top w:val="single" w:sz="4" w:space="0" w:color="auto"/>
              <w:left w:val="nil"/>
              <w:bottom w:val="double" w:sz="4" w:space="0" w:color="auto"/>
            </w:tcBorders>
          </w:tcPr>
          <w:p w:rsidR="00DF5B6A" w:rsidRPr="00F56CF7" w:rsidP="003E7F81" w14:paraId="2288D1A2" w14:textId="77777777">
            <w:pPr>
              <w:rPr>
                <w:rFonts w:cstheme="minorHAnsi"/>
              </w:rPr>
            </w:pPr>
            <w:r w:rsidRPr="00F56CF7">
              <w:rPr>
                <w:rFonts w:cstheme="minorHAnsi"/>
              </w:rPr>
              <w:t xml:space="preserve">Clay building material and refractories manufacturing. </w:t>
            </w:r>
          </w:p>
        </w:tc>
      </w:tr>
    </w:tbl>
    <w:p w:rsidR="00BB3410" w:rsidRPr="00BB3410" w:rsidP="00854AAE" w14:paraId="0DA69975" w14:textId="04A50473">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28" w:name="_Toc156593384"/>
      <w:bookmarkEnd w:id="27"/>
    </w:p>
    <w:p w:rsidR="00A0039C" w:rsidP="00F56CF7" w14:paraId="464EBED4" w14:textId="77777777">
      <w:pPr>
        <w:keepNext/>
        <w:keepLines/>
        <w:spacing w:after="0" w:line="240" w:lineRule="auto"/>
        <w:ind w:firstLine="720"/>
        <w:rPr>
          <w:i/>
          <w:iCs/>
        </w:rPr>
      </w:pPr>
    </w:p>
    <w:p w:rsidR="000D7CFB" w:rsidP="00F56CF7" w14:paraId="2EE5A3C6" w14:textId="1BF5F899">
      <w:pPr>
        <w:keepNext/>
        <w:keepLines/>
        <w:spacing w:after="0" w:line="240" w:lineRule="auto"/>
        <w:ind w:firstLine="720"/>
        <w:rPr>
          <w:i/>
          <w:iCs/>
        </w:rPr>
      </w:pPr>
      <w:r w:rsidRPr="004647B0">
        <w:rPr>
          <w:i/>
          <w:iCs/>
        </w:rPr>
        <w:t>Data Items</w:t>
      </w:r>
    </w:p>
    <w:p w:rsidR="00F56CF7" w:rsidRPr="00F56CF7" w:rsidP="00F56CF7" w14:paraId="5789D005" w14:textId="77777777">
      <w:pPr>
        <w:keepNext/>
        <w:keepLines/>
        <w:spacing w:after="0" w:line="240" w:lineRule="auto"/>
        <w:ind w:firstLine="720"/>
        <w:rPr>
          <w:i/>
          <w:iCs/>
        </w:rPr>
      </w:pPr>
    </w:p>
    <w:p w:rsidR="00F56CF7" w:rsidRPr="005D0593" w:rsidP="00F56CF7" w14:paraId="09430FBF" w14:textId="6E10B622">
      <w:pPr>
        <w:ind w:firstLine="720"/>
      </w:pPr>
      <w:r w:rsidRPr="005D0593">
        <w:t>This section characterizes the information being collected under the final rule, as well as the activities associated with developing, submitting, or filing that information. The majority of the final revisions result in a minimal burden for reporters, based on revisions that would improve data quality where the EPA is collect</w:t>
      </w:r>
      <w:r>
        <w:t>ing</w:t>
      </w:r>
      <w:r w:rsidRPr="005D0593">
        <w:t xml:space="preserve"> data on new emissions or from new emission sources or new source categories, or adding or revising the data entered or reported in e-GGRT. Some of the rule changes reduce burden based on the removal of certain data elements or recordkeeping requirements, or where the revisions streamline or clarify measurement and calculation methodologies. </w:t>
      </w:r>
    </w:p>
    <w:p w:rsidR="000D7CFB" w:rsidRPr="005D0593" w:rsidP="00F56CF7" w14:paraId="12B4B241" w14:textId="720E38A3">
      <w:pPr>
        <w:keepNext/>
        <w:keepLines/>
        <w:ind w:left="720"/>
        <w:rPr>
          <w:i/>
          <w:iCs/>
        </w:rPr>
      </w:pPr>
      <w:r w:rsidRPr="005D0593">
        <w:rPr>
          <w:i/>
          <w:iCs/>
        </w:rPr>
        <w:t>Reporting and Recordkeeping Requirements</w:t>
      </w:r>
    </w:p>
    <w:p w:rsidR="000D7CFB" w:rsidRPr="005D0593" w:rsidP="00F56CF7" w14:paraId="2BE2778E" w14:textId="7F3AB581">
      <w:pPr>
        <w:ind w:firstLine="720"/>
      </w:pPr>
      <w:r w:rsidRPr="005D0593">
        <w:t xml:space="preserve">Respondents must report the data items specified according to the requirements of 40 CFR 98.3 and the sector-specific recordkeeping requirements of each subpart, as provided in the currently approved ICR for the GHGRP (EPA ICR No. 2300.18). In this final rule, the EPA is requiring that 79 new and 43 substantially revised data elements be reported via e-GGRT or entered into IVT in e-GGRT for 19 existing subparts and adding 75 new reporting data elements for five new sectors added to the GHGRP. The new and substantially revised data elements apply to the sector-specific source categories listed in </w:t>
      </w:r>
      <w:r w:rsidR="00BB0164">
        <w:t>sec</w:t>
      </w:r>
      <w:r w:rsidR="00A0039C">
        <w:t>tion 12a</w:t>
      </w:r>
      <w:r w:rsidRPr="005D0593">
        <w:t xml:space="preserve"> and are listed in Table 1 of Attachment 1 (see entries for subparts C, G, H, I, N, P, Y, Q, S, X, Y, AA, BB, DD, GG, HH, OO, PP, QQ, and SS, and new subparts VV, WW, XX, YY, and ZZ). </w:t>
      </w:r>
    </w:p>
    <w:p w:rsidR="000D7CFB" w:rsidRPr="005D0593" w:rsidP="00F56CF7" w14:paraId="75A0C3F3" w14:textId="6CAC6AC8">
      <w:pPr>
        <w:ind w:firstLine="720"/>
      </w:pPr>
      <w:r w:rsidRPr="005D0593">
        <w:t xml:space="preserve">Respondents must maintain records associated with the data items specified according to the requirements of 40 CFR 98.3 and the sector-specific recordkeeping requirements of each subpart. These records are discussed in the ICR Renewal for the Greenhouse Gas Reporting Program (EPA ICR No. 2300.18). In this final rule, the EPA is additionally </w:t>
      </w:r>
      <w:r>
        <w:t>requiring</w:t>
      </w:r>
      <w:r w:rsidRPr="005D0593">
        <w:t xml:space="preserve"> the following records (see Table 2 of Attachment 1 for the detailed revisions to recordkeeping requirements by subpart):</w:t>
      </w:r>
    </w:p>
    <w:p w:rsidR="000D7CFB" w:rsidRPr="005D0593" w:rsidP="00565AEA" w14:paraId="338A3B90" w14:textId="77777777">
      <w:pPr>
        <w:pStyle w:val="ListParagraph"/>
        <w:numPr>
          <w:ilvl w:val="0"/>
          <w:numId w:val="5"/>
        </w:numPr>
        <w:spacing w:after="0" w:line="240" w:lineRule="auto"/>
      </w:pPr>
      <w:r w:rsidRPr="005D0593">
        <w:t>For subpart I (Electronics Manufacturing), EPA is revising one recordkeeping requirement to clarify which records must be kept for certified destruction or removal efficiencies, one new recordkeeping element for the inputs and results for accounting for the fraction of gas exhausted through abatement systems, one new requirement for abatement systems purchased and installed on or after January 1, 2025 to include records of the method used to measure the destruction and removal efficiency values, and two new recordkeeping requirements for certification requirements for reporters that use hydrocarbon-fuel-based emissions control systems to control emissions from tools that use either NF</w:t>
      </w:r>
      <w:r w:rsidRPr="005D0593">
        <w:rPr>
          <w:vertAlign w:val="subscript"/>
        </w:rPr>
        <w:t>3</w:t>
      </w:r>
      <w:r w:rsidRPr="005D0593">
        <w:t xml:space="preserve"> as an input gas in remote plasma cleaning processes or F</w:t>
      </w:r>
      <w:r w:rsidRPr="005D0593">
        <w:rPr>
          <w:vertAlign w:val="subscript"/>
        </w:rPr>
        <w:t>2</w:t>
      </w:r>
      <w:r w:rsidRPr="005D0593">
        <w:t xml:space="preserve"> as an input gas in any process, and that assume that one or more of those systems do not form CF</w:t>
      </w:r>
      <w:r w:rsidRPr="005D0593">
        <w:rPr>
          <w:vertAlign w:val="subscript"/>
        </w:rPr>
        <w:t>4</w:t>
      </w:r>
      <w:r w:rsidRPr="005D0593">
        <w:t xml:space="preserve"> from F</w:t>
      </w:r>
      <w:r w:rsidRPr="005D0593">
        <w:rPr>
          <w:vertAlign w:val="subscript"/>
        </w:rPr>
        <w:t>2</w:t>
      </w:r>
      <w:r w:rsidRPr="005D0593">
        <w:t xml:space="preserve">. (see the entries in Table 2 of Attachment 1). </w:t>
      </w:r>
    </w:p>
    <w:p w:rsidR="000D7CFB" w:rsidRPr="005D0593" w:rsidP="00565AEA" w14:paraId="591BC792" w14:textId="77777777">
      <w:pPr>
        <w:pStyle w:val="ListParagraph"/>
        <w:numPr>
          <w:ilvl w:val="0"/>
          <w:numId w:val="5"/>
        </w:numPr>
        <w:spacing w:after="0" w:line="240" w:lineRule="auto"/>
      </w:pPr>
      <w:r w:rsidRPr="005D0593">
        <w:t>For subpart N (Glass Production), the EPA is requiring</w:t>
      </w:r>
      <w:r w:rsidRPr="005D0593">
        <w:t xml:space="preserve"> </w:t>
      </w:r>
      <w:r w:rsidRPr="005D0593">
        <w:t>monthly recordkeeping of glass production by glass type for each continuous melting furnace and monthly recordkeeping of the amount of recycled scrap glass (cullet) charged to each continuous glass melting furnace, by glass type for existing glass production facilities.</w:t>
      </w:r>
    </w:p>
    <w:p w:rsidR="000D7CFB" w:rsidRPr="005D0593" w:rsidP="00565AEA" w14:paraId="19C41817" w14:textId="77777777">
      <w:pPr>
        <w:pStyle w:val="ListParagraph"/>
        <w:numPr>
          <w:ilvl w:val="0"/>
          <w:numId w:val="5"/>
        </w:numPr>
        <w:spacing w:after="0" w:line="240" w:lineRule="auto"/>
      </w:pPr>
      <w:r w:rsidRPr="005D0593">
        <w:t>For subpart P (Hydrogen Production), the EPA is requiring</w:t>
      </w:r>
      <w:r w:rsidRPr="005D0593">
        <w:t xml:space="preserve"> </w:t>
      </w:r>
      <w:r w:rsidRPr="005D0593">
        <w:rPr>
          <w:lang w:val="en"/>
        </w:rPr>
        <w:t xml:space="preserve">recordkeeping of all analyses and calculations conducted </w:t>
      </w:r>
      <w:r w:rsidRPr="005D0593">
        <w:t xml:space="preserve">to determine the values reported </w:t>
      </w:r>
      <w:r w:rsidRPr="005D0593">
        <w:rPr>
          <w:lang w:val="en"/>
        </w:rPr>
        <w:t xml:space="preserve">in § 98.166(b)for new and </w:t>
      </w:r>
      <w:r w:rsidRPr="005D0593">
        <w:rPr>
          <w:lang w:val="en"/>
        </w:rPr>
        <w:t>existing hydrogen production facilities</w:t>
      </w:r>
      <w:r w:rsidRPr="005D0593">
        <w:t xml:space="preserve">, and, if the CEMS measures emissions from a common stack for multiple hydrogen production units or emissions from a common stack for hydrogen production unit(s) and other source(s), records used to estimate the decimal fraction of the total annual CO2 emissions from the CEMS monitoring location attributable to each hydrogen production unit. </w:t>
      </w:r>
    </w:p>
    <w:p w:rsidR="000D7CFB" w:rsidRPr="005D0593" w:rsidP="00565AEA" w14:paraId="12DCDAFD" w14:textId="77777777">
      <w:pPr>
        <w:pStyle w:val="ListParagraph"/>
        <w:numPr>
          <w:ilvl w:val="0"/>
          <w:numId w:val="5"/>
        </w:numPr>
        <w:spacing w:after="0" w:line="240" w:lineRule="auto"/>
      </w:pPr>
      <w:r w:rsidRPr="005D0593">
        <w:t xml:space="preserve">For subpart Y (Petroleum Refineries), EPA is requiring three new monthly recordkeeping elements as part of the verification software records required in 40 CFR 98.257(b): Mass of water, typical distance from the bottom of the coking unit vessel to the top of the water level, and fraction of the coke-filled bed that is covered by water at the end of the cooling cycle just prior to atmospheric venting or draining for each delayed coking unit.  </w:t>
      </w:r>
    </w:p>
    <w:p w:rsidR="000D7CFB" w:rsidRPr="005D0593" w:rsidP="00565AEA" w14:paraId="3DC9CAF7" w14:textId="77777777">
      <w:pPr>
        <w:pStyle w:val="ListParagraph"/>
        <w:numPr>
          <w:ilvl w:val="0"/>
          <w:numId w:val="5"/>
        </w:numPr>
        <w:spacing w:after="0" w:line="240" w:lineRule="auto"/>
      </w:pPr>
      <w:r w:rsidRPr="005D0593">
        <w:t xml:space="preserve">For subpart BB (Silicon Carbon Production), EPA is requiring that respondents maintain records of information to be newly reported related to their methane abatement devices. </w:t>
      </w:r>
    </w:p>
    <w:p w:rsidR="000D7CFB" w:rsidRPr="005D0593" w:rsidP="00565AEA" w14:paraId="017C4245" w14:textId="77777777">
      <w:pPr>
        <w:pStyle w:val="ListParagraph"/>
        <w:numPr>
          <w:ilvl w:val="0"/>
          <w:numId w:val="5"/>
        </w:numPr>
        <w:spacing w:after="0" w:line="240" w:lineRule="auto"/>
      </w:pPr>
      <w:r w:rsidRPr="005D0593">
        <w:t>For subpart DD (Electrical Transmission and Distribution Equipment Use), EPA is requiring that respondents maintain records for all electrical equipment where the nameplate capacity is measured by the user.</w:t>
      </w:r>
    </w:p>
    <w:p w:rsidR="000D7CFB" w:rsidRPr="005D0593" w:rsidP="00565AEA" w14:paraId="1707110F" w14:textId="77777777">
      <w:pPr>
        <w:pStyle w:val="ListParagraph"/>
        <w:numPr>
          <w:ilvl w:val="0"/>
          <w:numId w:val="5"/>
        </w:numPr>
        <w:spacing w:after="0" w:line="240" w:lineRule="auto"/>
      </w:pPr>
      <w:r w:rsidRPr="005D0593">
        <w:t>For subpart HH (Municipal Solid Waste Landfills), the EPA is requiring that facilities would continue to record the information required by § 98.3(g), including data used to calculate and report the GHG emissions in § 98.346</w:t>
      </w:r>
      <w:r>
        <w:t xml:space="preserve"> </w:t>
      </w:r>
      <w:r w:rsidRPr="005D0593">
        <w:t>for new and existing municipal solid waste landfills.</w:t>
      </w:r>
    </w:p>
    <w:p w:rsidR="000D7CFB" w:rsidRPr="005D0593" w:rsidP="00565AEA" w14:paraId="05262493" w14:textId="77777777">
      <w:pPr>
        <w:pStyle w:val="ListParagraph"/>
        <w:numPr>
          <w:ilvl w:val="0"/>
          <w:numId w:val="5"/>
        </w:numPr>
        <w:spacing w:after="0" w:line="240" w:lineRule="auto"/>
      </w:pPr>
      <w:r w:rsidRPr="005D0593">
        <w:t>For subpart VV (</w:t>
      </w:r>
      <w:r w:rsidRPr="005D0593">
        <w:rPr>
          <w:iCs/>
        </w:rPr>
        <w:t xml:space="preserve">Geologic Sequestration of Carbon Dioxide with Enhanced Oil Recovery Using ISO 27916), EPA is </w:t>
      </w:r>
      <w:r>
        <w:rPr>
          <w:iCs/>
        </w:rPr>
        <w:t>requiring</w:t>
      </w:r>
      <w:r w:rsidRPr="005D0593">
        <w:rPr>
          <w:iCs/>
        </w:rPr>
        <w:t xml:space="preserve"> respondents </w:t>
      </w:r>
      <w:r w:rsidRPr="005D0593">
        <w:t xml:space="preserve">comply with the record retention requirements in the standard designated as CSA/ANSI ISO 27916:2019, </w:t>
      </w:r>
      <w:r w:rsidRPr="005D0593">
        <w:rPr>
          <w:bCs/>
          <w:i/>
          <w:iCs/>
        </w:rPr>
        <w:t>Carbon Dioxide Capture, Transportation and Geological Storage—Carbon Dioxide Storage</w:t>
      </w:r>
      <w:bookmarkStart w:id="29" w:name="_Hlk87882980"/>
      <w:r w:rsidRPr="005D0593">
        <w:rPr>
          <w:vertAlign w:val="superscript"/>
        </w:rPr>
        <w:t xml:space="preserve"> </w:t>
      </w:r>
      <w:bookmarkEnd w:id="29"/>
      <w:r w:rsidRPr="005D0593">
        <w:rPr>
          <w:bCs/>
          <w:i/>
          <w:iCs/>
        </w:rPr>
        <w:t>Using Enhanced Oil Recovery (CO</w:t>
      </w:r>
      <w:r w:rsidRPr="005D0593">
        <w:rPr>
          <w:bCs/>
          <w:i/>
          <w:iCs/>
          <w:vertAlign w:val="subscript"/>
        </w:rPr>
        <w:t>2</w:t>
      </w:r>
      <w:r w:rsidRPr="005D0593">
        <w:rPr>
          <w:bCs/>
          <w:i/>
          <w:iCs/>
        </w:rPr>
        <w:t>-EOR)</w:t>
      </w:r>
      <w:r w:rsidRPr="005D0593">
        <w:rPr>
          <w:bCs/>
        </w:rPr>
        <w:t>.</w:t>
      </w:r>
    </w:p>
    <w:p w:rsidR="000D7CFB" w:rsidRPr="005D0593" w:rsidP="00565AEA" w14:paraId="2355DC41" w14:textId="77777777">
      <w:pPr>
        <w:pStyle w:val="ListParagraph"/>
        <w:numPr>
          <w:ilvl w:val="0"/>
          <w:numId w:val="5"/>
        </w:numPr>
        <w:spacing w:after="0" w:line="240" w:lineRule="auto"/>
      </w:pPr>
      <w:r w:rsidRPr="005D0593">
        <w:t>For subpart WW (Coke Calciners), the EPA is requiring recordkeeping requirements for all parameters monitored under § 98.494 as well as retention of a file generated by the verification software and other data used to support the calculations that determine reported GHG emissions. These requirements apply to new and existing coke calcining operations.</w:t>
      </w:r>
    </w:p>
    <w:p w:rsidR="000D7CFB" w:rsidRPr="005D0593" w:rsidP="00565AEA" w14:paraId="2FEF7854" w14:textId="77777777">
      <w:pPr>
        <w:pStyle w:val="ListParagraph"/>
        <w:numPr>
          <w:ilvl w:val="0"/>
          <w:numId w:val="5"/>
        </w:numPr>
        <w:spacing w:after="0" w:line="240" w:lineRule="auto"/>
      </w:pPr>
      <w:r w:rsidRPr="005D0593">
        <w:t xml:space="preserve">For subpart XX (Calcium Carbide Production), the EPA is requiring facilities record the monthly calcium carbide production from each process unit and the number of monthly and annual operating hours for each process unit. If a CEMS is not used, the EPA is requiring the facility would also retain records of quantities of each material consumed or produced and carbon content determinations. Additionally, the EPA is requiring records of how measurements are made, and retention of a record of the file generated by the verification software and other data used to support the calculations that determine reported GHG emissions. These requirements apply to calcium carbide producers who will be newly required to report under </w:t>
      </w:r>
      <w:r w:rsidRPr="005D0593">
        <w:t>part</w:t>
      </w:r>
      <w:r w:rsidRPr="005D0593">
        <w:t xml:space="preserve"> 98.</w:t>
      </w:r>
    </w:p>
    <w:p w:rsidR="000D7CFB" w:rsidRPr="005D0593" w:rsidP="00565AEA" w14:paraId="10E7EE05" w14:textId="77777777">
      <w:pPr>
        <w:pStyle w:val="ListParagraph"/>
        <w:numPr>
          <w:ilvl w:val="0"/>
          <w:numId w:val="5"/>
        </w:numPr>
        <w:spacing w:after="0" w:line="240" w:lineRule="auto"/>
      </w:pPr>
      <w:r w:rsidRPr="005D0593">
        <w:t xml:space="preserve">For subpart YY (Caprolactam, Glyoxal, and Glyoxylic Acid Production), the EPA is requiring that facilities maintain records documenting the procedures used to ensure the accuracy of the measurements of all reported parameters, records documenting the estimate of production rate and abatement technology destruction efficiency through accounting procedures and process knowledge, and retention of a record of the file generated by the verification software and other data used to support the calculations </w:t>
      </w:r>
      <w:r w:rsidRPr="005D0593">
        <w:t xml:space="preserve">that determine reported GHG emissions. These requirements apply to caprolactam, glyoxal, and glyoxylic acid producers who will be newly required to report under </w:t>
      </w:r>
      <w:r w:rsidRPr="005D0593">
        <w:t>part</w:t>
      </w:r>
      <w:r w:rsidRPr="005D0593">
        <w:t xml:space="preserve"> 98.</w:t>
      </w:r>
    </w:p>
    <w:p w:rsidR="000D7CFB" w:rsidP="00565AEA" w14:paraId="0364E6C2" w14:textId="1947110D">
      <w:pPr>
        <w:pStyle w:val="ListParagraph"/>
        <w:numPr>
          <w:ilvl w:val="0"/>
          <w:numId w:val="5"/>
        </w:numPr>
        <w:spacing w:after="0" w:line="240" w:lineRule="auto"/>
      </w:pPr>
      <w:r w:rsidRPr="005D0593">
        <w:t>For subpart ZZ (Ceramics Manufacturing), the EPA is requiring monthly records of the ceramics production rate and the monthly amount of each carbonate-based raw material charged for each ceramics process unit; records to support the carbonate-based mineral mass fraction for each mineral in each carbonate-based raw material, and annual operating hours for each unit. For facilities using CEMS, the EPA is requiring facilities maintain the CEMS measurement records. The rule requires records of how measurements are made, and retention of a record of the file generated by the verification software and other data used to support the calculations that determine reported GHG emissions. These requirements apply to ceramics producers that annually consume at least 2,000 tons of carbonates, either as raw materials or as a constituent in clay,</w:t>
      </w:r>
      <w:r w:rsidRPr="005D0593">
        <w:t xml:space="preserve"> </w:t>
      </w:r>
      <w:r w:rsidRPr="005D0593">
        <w:t xml:space="preserve">and operate a ceramics manufacturing process unit, who would be newly required to report under </w:t>
      </w:r>
      <w:r w:rsidRPr="005D0593">
        <w:t>part</w:t>
      </w:r>
      <w:r w:rsidRPr="005D0593">
        <w:t xml:space="preserve"> 98.</w:t>
      </w:r>
    </w:p>
    <w:p w:rsidR="00F56CF7" w:rsidRPr="005D0593" w:rsidP="00F56CF7" w14:paraId="36B001CC" w14:textId="77777777">
      <w:pPr>
        <w:pStyle w:val="ListParagraph"/>
        <w:spacing w:after="0" w:line="240" w:lineRule="auto"/>
        <w:ind w:left="1440"/>
      </w:pPr>
    </w:p>
    <w:p w:rsidR="000D7CFB" w:rsidRPr="005D0593" w:rsidP="000238A7" w14:paraId="0E741F9F" w14:textId="1EDFBA6D">
      <w:pPr>
        <w:ind w:firstLine="720"/>
      </w:pPr>
      <w:r w:rsidRPr="005D0593">
        <w:t>Reporters who enter into the IVT new data elements in subparts Y, WW, XX, YY, or ZZ (see the entries in Table 2 of Attachment 1) are required to maintain an electronic or hard copy of a file generated by IVT as a record of certain data elements. This new requirement affects 54 reporters under subpart Y, 15 reporters under subpart WW, one reporter in subpart XX, six reporters in subpart YY, and 25 reporters in subpart ZZ who are required to use IVT. However, note that the reporters under subparts Y, WW, XX, YY, and ZZ maintain a copy of a file generated by the IVT for all entered data, therefore, minimal burden is associated with this activity.</w:t>
      </w:r>
    </w:p>
    <w:p w:rsidR="001172FE"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30" w:name="_Toc156593385"/>
      <w:bookmarkEnd w:id="28"/>
    </w:p>
    <w:p w:rsidR="000238A7" w:rsidP="000238A7" w14:paraId="1726DB5B" w14:textId="77777777">
      <w:pPr>
        <w:spacing w:after="0" w:line="240" w:lineRule="auto"/>
        <w:ind w:firstLine="720"/>
      </w:pPr>
    </w:p>
    <w:p w:rsidR="000D7CFB" w:rsidP="000238A7" w14:paraId="39AD2BAC" w14:textId="58D3B96D">
      <w:pPr>
        <w:spacing w:line="240" w:lineRule="auto"/>
        <w:ind w:firstLine="720"/>
      </w:pPr>
      <w:r w:rsidRPr="005D0593">
        <w:t xml:space="preserve">Respondent activities associated with each data item </w:t>
      </w:r>
      <w:r w:rsidR="00A166B7">
        <w:t xml:space="preserve">specified in </w:t>
      </w:r>
      <w:r w:rsidR="00BB0164">
        <w:t>sec</w:t>
      </w:r>
      <w:r w:rsidR="00A166B7">
        <w:t>tion 12b</w:t>
      </w:r>
      <w:r w:rsidR="000238A7">
        <w:t xml:space="preserve"> </w:t>
      </w:r>
      <w:r w:rsidRPr="005D0593">
        <w:t>are identified below</w:t>
      </w:r>
      <w:r w:rsidR="000238A7">
        <w:t>.</w:t>
      </w:r>
    </w:p>
    <w:p w:rsidR="00A0039C" w:rsidRPr="005D0593" w:rsidP="00A0039C" w14:paraId="7CF67D13" w14:textId="77777777">
      <w:pPr>
        <w:ind w:firstLine="720"/>
      </w:pPr>
      <w:r w:rsidRPr="005D0593">
        <w:rPr>
          <w:u w:val="single"/>
        </w:rPr>
        <w:t>Reporting New or Substantially Revised Data Elements</w:t>
      </w:r>
      <w:r w:rsidRPr="005D0593">
        <w:t>. The final revisions require reporting of 122 new or substantially revised data elements from 19 existing subparts and industry sectors under the GHGRP and 75 data elements from five new subparts under the GHGRP. For each of the 197 new or substantially revised data elements required to be reported (see Table 1 of Attachment 1), all respondents would:</w:t>
      </w:r>
    </w:p>
    <w:p w:rsidR="00A0039C" w:rsidRPr="005D0593" w:rsidP="00A0039C" w14:paraId="1729318C" w14:textId="77777777">
      <w:pPr>
        <w:ind w:firstLine="720"/>
      </w:pPr>
      <w:r w:rsidRPr="005D0593">
        <w:t>1.</w:t>
      </w:r>
      <w:r w:rsidRPr="005D0593">
        <w:tab/>
        <w:t xml:space="preserve">Submit the value via e-GGRT as part of the annual report currently required under part 98 or enter the value into the EPA’s IVT. </w:t>
      </w:r>
    </w:p>
    <w:p w:rsidR="00A0039C" w:rsidRPr="005D0593" w:rsidP="00A0039C" w14:paraId="225E9437" w14:textId="20B8DF3D">
      <w:pPr>
        <w:ind w:firstLine="720"/>
      </w:pPr>
      <w:r w:rsidRPr="005D0593">
        <w:t>2.</w:t>
      </w:r>
      <w:r w:rsidRPr="005D0593">
        <w:tab/>
        <w:t xml:space="preserve">Maintain records of reported data for a minimum of three years; and for data entered into IVT, maintain the file generated by IVT for five years (for the reasons described in </w:t>
      </w:r>
      <w:r w:rsidR="00BB0164">
        <w:t>sec</w:t>
      </w:r>
      <w:r>
        <w:t>tion 6</w:t>
      </w:r>
      <w:r w:rsidRPr="005D0593">
        <w:t>.</w:t>
      </w:r>
    </w:p>
    <w:p w:rsidR="00A0039C" w:rsidRPr="005D0593" w:rsidP="00A0039C" w14:paraId="2168B8FB" w14:textId="77777777">
      <w:pPr>
        <w:ind w:firstLine="720"/>
      </w:pPr>
      <w:r w:rsidRPr="005D0593">
        <w:t>All respondents would be required to calculate the new or substantially revised data elements using readily available data.</w:t>
      </w:r>
    </w:p>
    <w:p w:rsidR="00A0039C" w:rsidRPr="000238A7" w:rsidP="000238A7" w14:paraId="498D3519" w14:textId="77777777">
      <w:pPr>
        <w:pStyle w:val="Heading2"/>
        <w:spacing w:before="200" w:line="360" w:lineRule="auto"/>
        <w:ind w:firstLine="720"/>
        <w:rPr>
          <w:rFonts w:asciiTheme="minorHAnsi" w:eastAsiaTheme="minorEastAsia" w:hAnsiTheme="minorHAnsi" w:cstheme="minorHAnsi"/>
          <w:color w:val="auto"/>
          <w:sz w:val="22"/>
          <w:szCs w:val="22"/>
          <w:u w:val="single"/>
        </w:rPr>
      </w:pPr>
      <w:r w:rsidRPr="000238A7">
        <w:rPr>
          <w:rFonts w:asciiTheme="minorHAnsi" w:eastAsiaTheme="minorEastAsia" w:hAnsiTheme="minorHAnsi" w:cstheme="minorHAnsi"/>
          <w:color w:val="auto"/>
          <w:sz w:val="22"/>
          <w:szCs w:val="22"/>
          <w:u w:val="single"/>
        </w:rPr>
        <w:t>Collection Schedule</w:t>
      </w:r>
    </w:p>
    <w:p w:rsidR="009F1E00" w:rsidRPr="00BB3410" w:rsidP="00A0039C" w14:paraId="3C4B52CA" w14:textId="3814BABC">
      <w:pPr>
        <w:pStyle w:val="BodyText"/>
        <w:ind w:firstLine="720"/>
        <w:rPr>
          <w:rFonts w:cstheme="minorHAnsi"/>
        </w:rPr>
      </w:pPr>
      <w:r w:rsidRPr="00F56CF7">
        <w:rPr>
          <w:rFonts w:asciiTheme="minorHAnsi" w:hAnsiTheme="minorHAnsi" w:cstheme="minorHAnsi"/>
          <w:sz w:val="22"/>
          <w:szCs w:val="22"/>
        </w:rPr>
        <w:t xml:space="preserve">For each reporting year, facilities collect data and calculate emissions at varying frequencies, as described in the GHGRP, and summarized in OMB Control No. 2060-0629, ICR No. 2300.18. All data </w:t>
      </w:r>
      <w:r w:rsidRPr="00F56CF7">
        <w:rPr>
          <w:rFonts w:asciiTheme="minorHAnsi" w:hAnsiTheme="minorHAnsi" w:cstheme="minorHAnsi"/>
          <w:sz w:val="22"/>
          <w:szCs w:val="22"/>
        </w:rPr>
        <w:t xml:space="preserve">elements under this information collection would be submitted no more frequently than an annual basis as part of the respondent’s annual report required under </w:t>
      </w:r>
      <w:r w:rsidRPr="00F56CF7">
        <w:rPr>
          <w:rFonts w:asciiTheme="minorHAnsi" w:hAnsiTheme="minorHAnsi" w:cstheme="minorHAnsi"/>
          <w:sz w:val="22"/>
          <w:szCs w:val="22"/>
        </w:rPr>
        <w:t>part</w:t>
      </w:r>
      <w:r w:rsidRPr="00F56CF7">
        <w:rPr>
          <w:rFonts w:asciiTheme="minorHAnsi" w:hAnsiTheme="minorHAnsi" w:cstheme="minorHAnsi"/>
          <w:sz w:val="22"/>
          <w:szCs w:val="22"/>
        </w:rPr>
        <w:t xml:space="preserve"> 98. </w:t>
      </w: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30"/>
      <w:r w:rsidRPr="00163C69" w:rsidR="00BB2B15">
        <w:rPr>
          <w:rFonts w:cstheme="minorHAnsi"/>
          <w:b/>
          <w:bCs/>
        </w:rPr>
        <w:t>Costs</w:t>
      </w:r>
    </w:p>
    <w:p w:rsidR="004647B0" w:rsidRPr="005D0593" w:rsidP="00700070" w14:paraId="3E7089BC" w14:textId="3CF64B1F">
      <w:pPr>
        <w:ind w:firstLine="720"/>
      </w:pPr>
      <w:r w:rsidRPr="005D0593">
        <w:t xml:space="preserve">This section presents the EPA’s estimates of the burden and costs to respondents associated with the activities described in section </w:t>
      </w:r>
      <w:r w:rsidR="00700070">
        <w:t>12b</w:t>
      </w:r>
      <w:r w:rsidRPr="005D0593">
        <w:t>. The EPA estimates that, over the three years covered by this request, the average total respondent burden associated with this reporting will be 25,647 hours per year and the cost of all respondents of the information collection will increase an average of $5,410,052 per year, which includes $2,733,937 in non-labor costs per year.</w:t>
      </w:r>
    </w:p>
    <w:p w:rsidR="004647B0" w:rsidRPr="005D0593" w:rsidP="004647B0" w14:paraId="7E60D686" w14:textId="72D2DE82">
      <w:pPr>
        <w:ind w:firstLine="720"/>
      </w:pPr>
      <w:r w:rsidRPr="005D0593">
        <w:t xml:space="preserve">Section </w:t>
      </w:r>
      <w:r>
        <w:t>12d</w:t>
      </w:r>
      <w:r w:rsidRPr="005D0593">
        <w:t>(</w:t>
      </w:r>
      <w:r>
        <w:t>i</w:t>
      </w:r>
      <w:r w:rsidRPr="005D0593">
        <w:t xml:space="preserve">) of this ICR provides estimates of burden (hours) for all respondent types. Section </w:t>
      </w:r>
      <w:r>
        <w:t>12</w:t>
      </w:r>
      <w:r w:rsidR="00A945E1">
        <w:t>d</w:t>
      </w:r>
      <w:r w:rsidRPr="005D0593">
        <w:t>(</w:t>
      </w:r>
      <w:r>
        <w:t>ii</w:t>
      </w:r>
      <w:r w:rsidRPr="005D0593">
        <w:t xml:space="preserve">) contains estimates of respondent costs for the information collection. Section 6(c) summarizes federal burden and costs. Section </w:t>
      </w:r>
      <w:r w:rsidR="00A945E1">
        <w:t>12d</w:t>
      </w:r>
      <w:r w:rsidRPr="005D0593">
        <w:t>(</w:t>
      </w:r>
      <w:r w:rsidR="00A945E1">
        <w:t>iv</w:t>
      </w:r>
      <w:r w:rsidRPr="005D0593">
        <w:t xml:space="preserve">) describes the respondent universe and the total burden and cost of this collection to respondents. Section </w:t>
      </w:r>
      <w:r w:rsidR="00A945E1">
        <w:t>12d</w:t>
      </w:r>
      <w:r w:rsidRPr="005D0593">
        <w:t>(</w:t>
      </w:r>
      <w:r w:rsidR="00A945E1">
        <w:t>v</w:t>
      </w:r>
      <w:r w:rsidRPr="005D0593">
        <w:t xml:space="preserve">) presents the bottom-line burden and cost. Section 6(f) provides reasons for any change in burden. </w:t>
      </w:r>
      <w:bookmarkStart w:id="31" w:name="_Toc336985092"/>
    </w:p>
    <w:p w:rsidR="004647B0" w:rsidRPr="005D0593" w:rsidP="004647B0" w14:paraId="6412BBBA" w14:textId="04F8AE44">
      <w:pPr>
        <w:pStyle w:val="Heading2"/>
        <w:spacing w:before="200" w:line="360" w:lineRule="auto"/>
      </w:pPr>
      <w:r w:rsidRPr="00A945E1">
        <w:rPr>
          <w:rFonts w:asciiTheme="minorHAnsi" w:eastAsiaTheme="minorEastAsia" w:hAnsiTheme="minorHAnsi" w:cstheme="minorHAnsi"/>
          <w:color w:val="auto"/>
          <w:sz w:val="22"/>
          <w:szCs w:val="22"/>
        </w:rPr>
        <w:t>12d(</w:t>
      </w:r>
      <w:r w:rsidRPr="00A945E1">
        <w:rPr>
          <w:rFonts w:asciiTheme="minorHAnsi" w:eastAsiaTheme="minorEastAsia" w:hAnsiTheme="minorHAnsi" w:cstheme="minorHAnsi"/>
          <w:color w:val="auto"/>
          <w:sz w:val="22"/>
          <w:szCs w:val="22"/>
        </w:rPr>
        <w:t>i</w:t>
      </w:r>
      <w:r w:rsidRPr="00A945E1">
        <w:rPr>
          <w:rFonts w:asciiTheme="minorHAnsi" w:eastAsiaTheme="minorEastAsia" w:hAnsiTheme="minorHAnsi" w:cstheme="minorHAnsi"/>
          <w:color w:val="auto"/>
          <w:sz w:val="22"/>
          <w:szCs w:val="22"/>
        </w:rPr>
        <w:t>) Estimating Respondent Burden</w:t>
      </w:r>
      <w:bookmarkEnd w:id="31"/>
    </w:p>
    <w:p w:rsidR="004647B0" w:rsidRPr="005D0593" w:rsidP="00A0039C" w14:paraId="73F2E9D8" w14:textId="083275E3">
      <w:pPr>
        <w:ind w:firstLine="720"/>
      </w:pPr>
      <w:r w:rsidRPr="005D0593">
        <w:t xml:space="preserve"> </w:t>
      </w:r>
      <w:bookmarkStart w:id="32" w:name="_Toc336985093"/>
      <w:r w:rsidRPr="005D0593">
        <w:t xml:space="preserve">Respondent burden estimates are presented in Exhibit </w:t>
      </w:r>
      <w:r w:rsidR="00A0039C">
        <w:t>12</w:t>
      </w:r>
      <w:r w:rsidRPr="005D0593">
        <w:t xml:space="preserve">.1. The EPA estimates that the total annual burden to all affected entities will increase by 25,647 hours per year, on average, over the three years covered by this information collection. </w:t>
      </w:r>
    </w:p>
    <w:p w:rsidR="004647B0" w:rsidRPr="005D0593" w:rsidP="00A0039C" w14:paraId="6A4012AA" w14:textId="20209C9F">
      <w:pPr>
        <w:ind w:firstLine="720"/>
      </w:pPr>
      <w:r w:rsidRPr="005D0593">
        <w:t xml:space="preserve">Exhibit </w:t>
      </w:r>
      <w:r w:rsidR="00A0039C">
        <w:t>12</w:t>
      </w:r>
      <w:r w:rsidRPr="005D0593">
        <w:t xml:space="preserve">.1 of this document presents the aggregate and average annual respondent burden. For the annual burden by source category, see Tables 1 through 3 of Attachment 2. Note that the total cost numbers in Exhibit </w:t>
      </w:r>
      <w:r w:rsidR="00A0039C">
        <w:t>12</w:t>
      </w:r>
      <w:r w:rsidRPr="005D0593">
        <w:t xml:space="preserve">.1 may not add up due to rounding. For further details of burden calculations, see the document </w:t>
      </w:r>
      <w:r w:rsidRPr="005D0593">
        <w:rPr>
          <w:i/>
          <w:iCs/>
        </w:rPr>
        <w:t xml:space="preserve">Assessment of Burden Impacts for Final </w:t>
      </w:r>
      <w:r w:rsidRPr="005D0593">
        <w:rPr>
          <w:bCs/>
          <w:i/>
          <w:iCs/>
        </w:rPr>
        <w:t>Revisions for the Greenhouse Gas Reporting Rule</w:t>
      </w:r>
      <w:r w:rsidRPr="005D0593">
        <w:rPr>
          <w:bCs/>
        </w:rPr>
        <w:t xml:space="preserve"> in Docket Id. No. EPA-HQ-OAR-2019-0424 (hereafter referred to as the Impacts Assessment)</w:t>
      </w:r>
      <w:r w:rsidRPr="005D0593">
        <w:t xml:space="preserve">, which contains the subpart-specific costs that are expected to be associated with this information collection. </w:t>
      </w:r>
    </w:p>
    <w:p w:rsidR="004647B0" w:rsidRPr="005D0593" w:rsidP="004647B0" w14:paraId="3718F4C0" w14:textId="5D85E95C">
      <w:pPr>
        <w:keepNext/>
      </w:pPr>
      <w:r w:rsidRPr="005D0593">
        <w:rPr>
          <w:b/>
        </w:rPr>
        <w:t xml:space="preserve">Exhibit </w:t>
      </w:r>
      <w:r w:rsidR="00A0039C">
        <w:rPr>
          <w:b/>
        </w:rPr>
        <w:t>12</w:t>
      </w:r>
      <w:r w:rsidRPr="005D0593">
        <w:rPr>
          <w:b/>
        </w:rPr>
        <w:t>.1. Summary of Annual Respondent Burden and Cost of Final Revisions for the Greenhouse Gas Reporting Rule</w:t>
      </w:r>
    </w:p>
    <w:tbl>
      <w:tblPr>
        <w:tblW w:w="9360" w:type="dxa"/>
        <w:tblLook w:val="04A0"/>
      </w:tblPr>
      <w:tblGrid>
        <w:gridCol w:w="1097"/>
        <w:gridCol w:w="1264"/>
        <w:gridCol w:w="1320"/>
        <w:gridCol w:w="1893"/>
        <w:gridCol w:w="1893"/>
        <w:gridCol w:w="1893"/>
      </w:tblGrid>
      <w:tr w14:paraId="61194F37" w14:textId="77777777" w:rsidTr="003E7F81">
        <w:tblPrEx>
          <w:tblW w:w="9360" w:type="dxa"/>
          <w:tblLook w:val="04A0"/>
        </w:tblPrEx>
        <w:trPr>
          <w:trHeight w:val="300"/>
          <w:tblHeader/>
        </w:trPr>
        <w:tc>
          <w:tcPr>
            <w:tcW w:w="9360" w:type="dxa"/>
            <w:gridSpan w:val="6"/>
            <w:tcBorders>
              <w:top w:val="nil"/>
              <w:left w:val="nil"/>
              <w:bottom w:val="single" w:sz="12" w:space="0" w:color="auto"/>
              <w:right w:val="nil"/>
            </w:tcBorders>
            <w:shd w:val="clear" w:color="auto" w:fill="auto"/>
            <w:vAlign w:val="bottom"/>
            <w:hideMark/>
          </w:tcPr>
          <w:p w:rsidR="004647B0" w:rsidRPr="005D0593" w:rsidP="003E7F81" w14:paraId="5372404B" w14:textId="77777777">
            <w:pPr>
              <w:keepNext/>
              <w:jc w:val="center"/>
              <w:rPr>
                <w:rFonts w:ascii="Arial" w:hAnsi="Arial" w:cs="Arial"/>
                <w:b/>
                <w:bCs/>
              </w:rPr>
            </w:pPr>
          </w:p>
        </w:tc>
      </w:tr>
      <w:tr w14:paraId="5C08E987" w14:textId="77777777" w:rsidTr="003E7F81">
        <w:tblPrEx>
          <w:tblW w:w="9360" w:type="dxa"/>
          <w:tblLook w:val="04A0"/>
        </w:tblPrEx>
        <w:trPr>
          <w:trHeight w:val="530"/>
          <w:tblHeader/>
        </w:trPr>
        <w:tc>
          <w:tcPr>
            <w:tcW w:w="1097" w:type="dxa"/>
            <w:tcBorders>
              <w:top w:val="single" w:sz="12" w:space="0" w:color="auto"/>
              <w:left w:val="single" w:sz="12" w:space="0" w:color="auto"/>
              <w:bottom w:val="double" w:sz="6" w:space="0" w:color="auto"/>
              <w:right w:val="single" w:sz="4" w:space="0" w:color="auto"/>
            </w:tcBorders>
            <w:shd w:val="clear" w:color="auto" w:fill="F2F2F2" w:themeFill="background1" w:themeFillShade="F2"/>
            <w:noWrap/>
            <w:vAlign w:val="center"/>
            <w:hideMark/>
          </w:tcPr>
          <w:p w:rsidR="004647B0" w:rsidRPr="005D0593" w:rsidP="003E7F81" w14:paraId="2300E63F" w14:textId="77777777">
            <w:pPr>
              <w:keepNext/>
              <w:jc w:val="center"/>
              <w:rPr>
                <w:rFonts w:ascii="Arial" w:hAnsi="Arial" w:cs="Arial"/>
                <w:b/>
                <w:sz w:val="16"/>
                <w:szCs w:val="16"/>
              </w:rPr>
            </w:pPr>
            <w:r w:rsidRPr="005D0593">
              <w:rPr>
                <w:rFonts w:ascii="Arial" w:hAnsi="Arial" w:cs="Arial"/>
                <w:b/>
                <w:bCs/>
                <w:sz w:val="16"/>
                <w:szCs w:val="16"/>
              </w:rPr>
              <w:t>Year</w:t>
            </w:r>
          </w:p>
        </w:tc>
        <w:tc>
          <w:tcPr>
            <w:tcW w:w="1264" w:type="dxa"/>
            <w:tcBorders>
              <w:top w:val="single" w:sz="12" w:space="0" w:color="auto"/>
              <w:left w:val="nil"/>
              <w:bottom w:val="double" w:sz="6" w:space="0" w:color="auto"/>
              <w:right w:val="single" w:sz="4" w:space="0" w:color="auto"/>
            </w:tcBorders>
            <w:shd w:val="clear" w:color="auto" w:fill="F2F2F2" w:themeFill="background1" w:themeFillShade="F2"/>
            <w:vAlign w:val="center"/>
            <w:hideMark/>
          </w:tcPr>
          <w:p w:rsidR="004647B0" w:rsidRPr="005D0593" w:rsidP="003E7F81" w14:paraId="748DBCA0" w14:textId="77777777">
            <w:pPr>
              <w:keepNext/>
              <w:jc w:val="center"/>
              <w:rPr>
                <w:rFonts w:ascii="Arial" w:hAnsi="Arial" w:cs="Arial"/>
                <w:b/>
                <w:sz w:val="16"/>
                <w:szCs w:val="16"/>
              </w:rPr>
            </w:pPr>
            <w:r w:rsidRPr="005D0593">
              <w:rPr>
                <w:rFonts w:ascii="Arial" w:hAnsi="Arial" w:cs="Arial"/>
                <w:b/>
                <w:bCs/>
                <w:sz w:val="16"/>
                <w:szCs w:val="16"/>
              </w:rPr>
              <w:t>Number of Respondents</w:t>
            </w:r>
          </w:p>
        </w:tc>
        <w:tc>
          <w:tcPr>
            <w:tcW w:w="1320" w:type="dxa"/>
            <w:tcBorders>
              <w:top w:val="single" w:sz="12" w:space="0" w:color="auto"/>
              <w:left w:val="nil"/>
              <w:bottom w:val="double" w:sz="6" w:space="0" w:color="auto"/>
              <w:right w:val="single" w:sz="4" w:space="0" w:color="auto"/>
            </w:tcBorders>
            <w:shd w:val="clear" w:color="auto" w:fill="F2F2F2" w:themeFill="background1" w:themeFillShade="F2"/>
            <w:vAlign w:val="center"/>
            <w:hideMark/>
          </w:tcPr>
          <w:p w:rsidR="004647B0" w:rsidRPr="005D0593" w:rsidP="003E7F81" w14:paraId="7C8A39BC" w14:textId="77777777">
            <w:pPr>
              <w:keepNext/>
              <w:jc w:val="center"/>
              <w:rPr>
                <w:rFonts w:ascii="Arial" w:hAnsi="Arial" w:cs="Arial"/>
                <w:b/>
                <w:sz w:val="16"/>
                <w:szCs w:val="16"/>
              </w:rPr>
            </w:pPr>
            <w:r w:rsidRPr="005D0593">
              <w:rPr>
                <w:rFonts w:ascii="Arial" w:hAnsi="Arial" w:cs="Arial"/>
                <w:b/>
                <w:bCs/>
                <w:sz w:val="16"/>
                <w:szCs w:val="16"/>
              </w:rPr>
              <w:t>Total Labor Hours</w:t>
            </w:r>
          </w:p>
        </w:tc>
        <w:tc>
          <w:tcPr>
            <w:tcW w:w="1893" w:type="dxa"/>
            <w:tcBorders>
              <w:top w:val="single" w:sz="12" w:space="0" w:color="auto"/>
              <w:left w:val="nil"/>
              <w:bottom w:val="double" w:sz="6" w:space="0" w:color="auto"/>
              <w:right w:val="single" w:sz="4" w:space="0" w:color="auto"/>
            </w:tcBorders>
            <w:shd w:val="clear" w:color="auto" w:fill="F2F2F2" w:themeFill="background1" w:themeFillShade="F2"/>
            <w:vAlign w:val="center"/>
            <w:hideMark/>
          </w:tcPr>
          <w:p w:rsidR="004647B0" w:rsidRPr="005D0593" w:rsidP="003E7F81" w14:paraId="5DD5EBFD" w14:textId="77777777">
            <w:pPr>
              <w:keepNext/>
              <w:jc w:val="center"/>
              <w:rPr>
                <w:rFonts w:ascii="Arial" w:hAnsi="Arial" w:cs="Arial"/>
                <w:b/>
                <w:sz w:val="16"/>
                <w:szCs w:val="16"/>
              </w:rPr>
            </w:pPr>
            <w:r w:rsidRPr="005D0593">
              <w:rPr>
                <w:rFonts w:ascii="Arial" w:hAnsi="Arial" w:cs="Arial"/>
                <w:b/>
                <w:bCs/>
                <w:sz w:val="16"/>
                <w:szCs w:val="16"/>
              </w:rPr>
              <w:t>Labor Costs</w:t>
            </w:r>
          </w:p>
        </w:tc>
        <w:tc>
          <w:tcPr>
            <w:tcW w:w="1893" w:type="dxa"/>
            <w:tcBorders>
              <w:top w:val="single" w:sz="12" w:space="0" w:color="auto"/>
              <w:left w:val="nil"/>
              <w:bottom w:val="double" w:sz="6" w:space="0" w:color="auto"/>
              <w:right w:val="single" w:sz="4" w:space="0" w:color="auto"/>
            </w:tcBorders>
            <w:shd w:val="clear" w:color="auto" w:fill="F2F2F2" w:themeFill="background1" w:themeFillShade="F2"/>
            <w:vAlign w:val="center"/>
            <w:hideMark/>
          </w:tcPr>
          <w:p w:rsidR="004647B0" w:rsidRPr="005D0593" w:rsidP="003E7F81" w14:paraId="72CB2B23" w14:textId="77777777">
            <w:pPr>
              <w:keepNext/>
              <w:jc w:val="center"/>
              <w:rPr>
                <w:rFonts w:ascii="Arial" w:hAnsi="Arial" w:cs="Arial"/>
                <w:b/>
                <w:sz w:val="16"/>
                <w:szCs w:val="16"/>
              </w:rPr>
            </w:pPr>
            <w:r w:rsidRPr="005D0593">
              <w:rPr>
                <w:rFonts w:ascii="Arial" w:hAnsi="Arial" w:cs="Arial"/>
                <w:b/>
                <w:bCs/>
                <w:sz w:val="16"/>
                <w:szCs w:val="16"/>
              </w:rPr>
              <w:t>Non-Labor Costs (Annualized Capital/Startup and O&amp;M)</w:t>
            </w:r>
          </w:p>
        </w:tc>
        <w:tc>
          <w:tcPr>
            <w:tcW w:w="1893" w:type="dxa"/>
            <w:tcBorders>
              <w:top w:val="single" w:sz="12" w:space="0" w:color="auto"/>
              <w:left w:val="nil"/>
              <w:bottom w:val="double" w:sz="6" w:space="0" w:color="auto"/>
              <w:right w:val="single" w:sz="12" w:space="0" w:color="auto"/>
            </w:tcBorders>
            <w:shd w:val="clear" w:color="auto" w:fill="F2F2F2" w:themeFill="background1" w:themeFillShade="F2"/>
            <w:vAlign w:val="center"/>
            <w:hideMark/>
          </w:tcPr>
          <w:p w:rsidR="004647B0" w:rsidRPr="005D0593" w:rsidP="003E7F81" w14:paraId="7742E2EF" w14:textId="77777777">
            <w:pPr>
              <w:keepNext/>
              <w:jc w:val="center"/>
              <w:rPr>
                <w:rFonts w:ascii="Arial" w:hAnsi="Arial" w:cs="Arial"/>
                <w:b/>
                <w:sz w:val="16"/>
                <w:szCs w:val="16"/>
              </w:rPr>
            </w:pPr>
            <w:r w:rsidRPr="005D0593">
              <w:rPr>
                <w:rFonts w:ascii="Arial" w:hAnsi="Arial" w:cs="Arial"/>
                <w:b/>
                <w:bCs/>
                <w:sz w:val="16"/>
                <w:szCs w:val="16"/>
              </w:rPr>
              <w:t>Total Costs</w:t>
            </w:r>
          </w:p>
        </w:tc>
      </w:tr>
      <w:tr w14:paraId="678DDBAC" w14:textId="77777777" w:rsidTr="003E7F81">
        <w:tblPrEx>
          <w:tblW w:w="9360" w:type="dxa"/>
          <w:tblLook w:val="04A0"/>
        </w:tblPrEx>
        <w:trPr>
          <w:trHeight w:val="300"/>
          <w:tblHeader/>
        </w:trPr>
        <w:tc>
          <w:tcPr>
            <w:tcW w:w="1097" w:type="dxa"/>
            <w:tcBorders>
              <w:top w:val="nil"/>
              <w:left w:val="single" w:sz="12" w:space="0" w:color="auto"/>
              <w:bottom w:val="single" w:sz="4" w:space="0" w:color="auto"/>
              <w:right w:val="single" w:sz="4" w:space="0" w:color="auto"/>
            </w:tcBorders>
            <w:shd w:val="clear" w:color="000000" w:fill="FFFFFF"/>
            <w:noWrap/>
            <w:vAlign w:val="bottom"/>
            <w:hideMark/>
          </w:tcPr>
          <w:p w:rsidR="004647B0" w:rsidRPr="005D0593" w:rsidP="003E7F81" w14:paraId="5CF3BFE0" w14:textId="77777777">
            <w:pPr>
              <w:keepNext/>
              <w:rPr>
                <w:rFonts w:ascii="Arial" w:hAnsi="Arial" w:cs="Arial"/>
                <w:sz w:val="16"/>
                <w:szCs w:val="16"/>
              </w:rPr>
            </w:pPr>
            <w:r w:rsidRPr="005D0593">
              <w:rPr>
                <w:rFonts w:ascii="Arial" w:hAnsi="Arial" w:cs="Arial"/>
                <w:sz w:val="16"/>
                <w:szCs w:val="16"/>
              </w:rPr>
              <w:t xml:space="preserve">1 </w:t>
            </w:r>
          </w:p>
        </w:tc>
        <w:tc>
          <w:tcPr>
            <w:tcW w:w="1264" w:type="dxa"/>
            <w:tcBorders>
              <w:top w:val="nil"/>
              <w:left w:val="nil"/>
              <w:bottom w:val="single" w:sz="4" w:space="0" w:color="auto"/>
              <w:right w:val="single" w:sz="4" w:space="0" w:color="auto"/>
            </w:tcBorders>
            <w:shd w:val="clear" w:color="auto" w:fill="auto"/>
            <w:noWrap/>
            <w:vAlign w:val="bottom"/>
          </w:tcPr>
          <w:p w:rsidR="004647B0" w:rsidRPr="005D0593" w:rsidP="003E7F81" w14:paraId="0E14DA6E" w14:textId="77777777">
            <w:pPr>
              <w:keepNext/>
              <w:jc w:val="center"/>
              <w:rPr>
                <w:rFonts w:ascii="Arial" w:hAnsi="Arial" w:cs="Arial"/>
                <w:sz w:val="16"/>
                <w:szCs w:val="16"/>
              </w:rPr>
            </w:pPr>
            <w:r w:rsidRPr="005D0593">
              <w:rPr>
                <w:rFonts w:ascii="Arial" w:hAnsi="Arial" w:cs="Arial"/>
                <w:sz w:val="16"/>
                <w:szCs w:val="16"/>
              </w:rPr>
              <w:t>2,701</w:t>
            </w:r>
          </w:p>
        </w:tc>
        <w:tc>
          <w:tcPr>
            <w:tcW w:w="1320" w:type="dxa"/>
            <w:tcBorders>
              <w:top w:val="nil"/>
              <w:left w:val="nil"/>
              <w:bottom w:val="single" w:sz="4" w:space="0" w:color="auto"/>
              <w:right w:val="single" w:sz="4" w:space="0" w:color="auto"/>
            </w:tcBorders>
            <w:shd w:val="clear" w:color="000000" w:fill="FFFFFF"/>
            <w:noWrap/>
            <w:vAlign w:val="bottom"/>
          </w:tcPr>
          <w:p w:rsidR="004647B0" w:rsidRPr="005D0593" w:rsidP="003E7F81" w14:paraId="510C7092" w14:textId="77777777">
            <w:pPr>
              <w:keepNext/>
              <w:jc w:val="center"/>
              <w:rPr>
                <w:rFonts w:ascii="Arial" w:hAnsi="Arial" w:cs="Arial"/>
                <w:sz w:val="16"/>
                <w:szCs w:val="16"/>
              </w:rPr>
            </w:pPr>
            <w:r w:rsidRPr="005D0593">
              <w:rPr>
                <w:rFonts w:ascii="Arial" w:hAnsi="Arial" w:cs="Arial"/>
                <w:sz w:val="16"/>
                <w:szCs w:val="16"/>
              </w:rPr>
              <w:t xml:space="preserve">25,900 </w:t>
            </w:r>
          </w:p>
        </w:tc>
        <w:tc>
          <w:tcPr>
            <w:tcW w:w="1893" w:type="dxa"/>
            <w:tcBorders>
              <w:top w:val="nil"/>
              <w:left w:val="nil"/>
              <w:bottom w:val="single" w:sz="4" w:space="0" w:color="auto"/>
              <w:right w:val="single" w:sz="4" w:space="0" w:color="auto"/>
            </w:tcBorders>
            <w:shd w:val="clear" w:color="000000" w:fill="FFFFFF"/>
            <w:noWrap/>
            <w:vAlign w:val="bottom"/>
          </w:tcPr>
          <w:p w:rsidR="004647B0" w:rsidRPr="005D0593" w:rsidP="003E7F81" w14:paraId="65477D3C" w14:textId="77777777">
            <w:pPr>
              <w:keepNext/>
              <w:jc w:val="center"/>
              <w:rPr>
                <w:rFonts w:ascii="Arial" w:hAnsi="Arial" w:cs="Arial"/>
                <w:sz w:val="16"/>
                <w:szCs w:val="16"/>
              </w:rPr>
            </w:pPr>
            <w:r w:rsidRPr="005D0593">
              <w:rPr>
                <w:rFonts w:ascii="Arial" w:hAnsi="Arial" w:cs="Arial"/>
                <w:sz w:val="16"/>
                <w:szCs w:val="16"/>
              </w:rPr>
              <w:t xml:space="preserve">$2,684,681 </w:t>
            </w:r>
          </w:p>
        </w:tc>
        <w:tc>
          <w:tcPr>
            <w:tcW w:w="1893" w:type="dxa"/>
            <w:tcBorders>
              <w:top w:val="nil"/>
              <w:left w:val="nil"/>
              <w:bottom w:val="single" w:sz="4" w:space="0" w:color="auto"/>
              <w:right w:val="single" w:sz="4" w:space="0" w:color="auto"/>
            </w:tcBorders>
            <w:shd w:val="clear" w:color="000000" w:fill="FFFFFF"/>
            <w:noWrap/>
            <w:vAlign w:val="bottom"/>
          </w:tcPr>
          <w:p w:rsidR="004647B0" w:rsidRPr="005D0593" w:rsidP="003E7F81" w14:paraId="029C4BBB" w14:textId="77777777">
            <w:pPr>
              <w:keepNext/>
              <w:jc w:val="center"/>
              <w:rPr>
                <w:rFonts w:ascii="Arial" w:hAnsi="Arial" w:cs="Arial"/>
                <w:sz w:val="16"/>
                <w:szCs w:val="16"/>
              </w:rPr>
            </w:pPr>
            <w:r w:rsidRPr="005D0593">
              <w:rPr>
                <w:rFonts w:ascii="Arial" w:hAnsi="Arial" w:cs="Arial"/>
                <w:sz w:val="16"/>
                <w:szCs w:val="16"/>
              </w:rPr>
              <w:t xml:space="preserve">$2,733,813 </w:t>
            </w:r>
          </w:p>
        </w:tc>
        <w:tc>
          <w:tcPr>
            <w:tcW w:w="1893" w:type="dxa"/>
            <w:tcBorders>
              <w:top w:val="nil"/>
              <w:left w:val="nil"/>
              <w:bottom w:val="single" w:sz="4" w:space="0" w:color="auto"/>
              <w:right w:val="single" w:sz="12" w:space="0" w:color="auto"/>
            </w:tcBorders>
            <w:shd w:val="clear" w:color="000000" w:fill="FFFFFF"/>
            <w:noWrap/>
            <w:vAlign w:val="bottom"/>
          </w:tcPr>
          <w:p w:rsidR="004647B0" w:rsidRPr="005D0593" w:rsidP="003E7F81" w14:paraId="4111EBBF" w14:textId="77777777">
            <w:pPr>
              <w:keepNext/>
              <w:jc w:val="center"/>
              <w:rPr>
                <w:rFonts w:ascii="Arial" w:hAnsi="Arial" w:cs="Arial"/>
                <w:sz w:val="16"/>
                <w:szCs w:val="16"/>
              </w:rPr>
            </w:pPr>
            <w:r w:rsidRPr="005D0593">
              <w:rPr>
                <w:rFonts w:ascii="Arial" w:hAnsi="Arial" w:cs="Arial"/>
                <w:sz w:val="16"/>
                <w:szCs w:val="16"/>
              </w:rPr>
              <w:t xml:space="preserve">$5,418,494 </w:t>
            </w:r>
          </w:p>
        </w:tc>
      </w:tr>
      <w:tr w14:paraId="1C0331EB" w14:textId="77777777" w:rsidTr="003E7F81">
        <w:tblPrEx>
          <w:tblW w:w="9360" w:type="dxa"/>
          <w:tblLook w:val="04A0"/>
        </w:tblPrEx>
        <w:trPr>
          <w:trHeight w:val="290"/>
          <w:tblHeader/>
        </w:trPr>
        <w:tc>
          <w:tcPr>
            <w:tcW w:w="1097" w:type="dxa"/>
            <w:tcBorders>
              <w:top w:val="nil"/>
              <w:left w:val="single" w:sz="12" w:space="0" w:color="auto"/>
              <w:bottom w:val="single" w:sz="4" w:space="0" w:color="auto"/>
              <w:right w:val="single" w:sz="4" w:space="0" w:color="auto"/>
            </w:tcBorders>
            <w:shd w:val="clear" w:color="000000" w:fill="FFFFFF"/>
            <w:noWrap/>
            <w:vAlign w:val="bottom"/>
            <w:hideMark/>
          </w:tcPr>
          <w:p w:rsidR="004647B0" w:rsidRPr="005D0593" w:rsidP="003E7F81" w14:paraId="48314BCC" w14:textId="77777777">
            <w:pPr>
              <w:rPr>
                <w:rFonts w:ascii="Arial" w:hAnsi="Arial" w:cs="Arial"/>
                <w:sz w:val="16"/>
                <w:szCs w:val="16"/>
              </w:rPr>
            </w:pPr>
            <w:r w:rsidRPr="005D0593">
              <w:rPr>
                <w:rFonts w:ascii="Arial" w:hAnsi="Arial" w:cs="Arial"/>
                <w:sz w:val="16"/>
                <w:szCs w:val="16"/>
              </w:rPr>
              <w:t xml:space="preserve">2 </w:t>
            </w:r>
          </w:p>
        </w:tc>
        <w:tc>
          <w:tcPr>
            <w:tcW w:w="1264" w:type="dxa"/>
            <w:tcBorders>
              <w:top w:val="nil"/>
              <w:left w:val="nil"/>
              <w:bottom w:val="single" w:sz="4" w:space="0" w:color="auto"/>
              <w:right w:val="single" w:sz="4" w:space="0" w:color="auto"/>
            </w:tcBorders>
            <w:shd w:val="clear" w:color="auto" w:fill="auto"/>
            <w:noWrap/>
            <w:vAlign w:val="bottom"/>
          </w:tcPr>
          <w:p w:rsidR="004647B0" w:rsidRPr="005D0593" w:rsidP="003E7F81" w14:paraId="2635A3AF" w14:textId="77777777">
            <w:pPr>
              <w:keepNext/>
              <w:jc w:val="center"/>
              <w:rPr>
                <w:rFonts w:ascii="Arial" w:hAnsi="Arial" w:cs="Arial"/>
                <w:sz w:val="16"/>
                <w:szCs w:val="16"/>
              </w:rPr>
            </w:pPr>
            <w:r w:rsidRPr="005D0593">
              <w:rPr>
                <w:rFonts w:ascii="Arial" w:hAnsi="Arial" w:cs="Arial"/>
                <w:sz w:val="16"/>
                <w:szCs w:val="16"/>
              </w:rPr>
              <w:t>2,701</w:t>
            </w:r>
          </w:p>
        </w:tc>
        <w:tc>
          <w:tcPr>
            <w:tcW w:w="1320" w:type="dxa"/>
            <w:tcBorders>
              <w:top w:val="nil"/>
              <w:left w:val="nil"/>
              <w:bottom w:val="single" w:sz="4" w:space="0" w:color="auto"/>
              <w:right w:val="single" w:sz="4" w:space="0" w:color="auto"/>
            </w:tcBorders>
            <w:shd w:val="clear" w:color="000000" w:fill="FFFFFF"/>
            <w:noWrap/>
            <w:vAlign w:val="bottom"/>
          </w:tcPr>
          <w:p w:rsidR="004647B0" w:rsidRPr="005D0593" w:rsidP="003E7F81" w14:paraId="72D52A7E" w14:textId="77777777">
            <w:pPr>
              <w:jc w:val="center"/>
              <w:rPr>
                <w:rFonts w:ascii="Arial" w:hAnsi="Arial" w:cs="Arial"/>
                <w:sz w:val="16"/>
                <w:szCs w:val="16"/>
              </w:rPr>
            </w:pPr>
            <w:r w:rsidRPr="005D0593">
              <w:rPr>
                <w:rFonts w:ascii="Arial" w:hAnsi="Arial" w:cs="Arial"/>
                <w:sz w:val="16"/>
                <w:szCs w:val="16"/>
              </w:rPr>
              <w:t xml:space="preserve">25,510 </w:t>
            </w:r>
          </w:p>
        </w:tc>
        <w:tc>
          <w:tcPr>
            <w:tcW w:w="1893" w:type="dxa"/>
            <w:tcBorders>
              <w:top w:val="nil"/>
              <w:left w:val="nil"/>
              <w:bottom w:val="single" w:sz="4" w:space="0" w:color="auto"/>
              <w:right w:val="single" w:sz="4" w:space="0" w:color="auto"/>
            </w:tcBorders>
            <w:shd w:val="clear" w:color="000000" w:fill="FFFFFF"/>
            <w:noWrap/>
            <w:vAlign w:val="bottom"/>
          </w:tcPr>
          <w:p w:rsidR="004647B0" w:rsidRPr="005D0593" w:rsidP="003E7F81" w14:paraId="76CC0D45" w14:textId="77777777">
            <w:pPr>
              <w:jc w:val="center"/>
              <w:rPr>
                <w:rFonts w:ascii="Arial" w:hAnsi="Arial" w:cs="Arial"/>
                <w:sz w:val="16"/>
                <w:szCs w:val="16"/>
              </w:rPr>
            </w:pPr>
            <w:r w:rsidRPr="005D0593">
              <w:rPr>
                <w:rFonts w:ascii="Arial" w:hAnsi="Arial" w:cs="Arial"/>
                <w:sz w:val="16"/>
                <w:szCs w:val="16"/>
              </w:rPr>
              <w:t xml:space="preserve">$2,671,081 </w:t>
            </w:r>
          </w:p>
        </w:tc>
        <w:tc>
          <w:tcPr>
            <w:tcW w:w="1893" w:type="dxa"/>
            <w:tcBorders>
              <w:top w:val="nil"/>
              <w:left w:val="nil"/>
              <w:bottom w:val="single" w:sz="4" w:space="0" w:color="auto"/>
              <w:right w:val="single" w:sz="4" w:space="0" w:color="auto"/>
            </w:tcBorders>
            <w:shd w:val="clear" w:color="000000" w:fill="FFFFFF"/>
            <w:noWrap/>
            <w:vAlign w:val="bottom"/>
          </w:tcPr>
          <w:p w:rsidR="004647B0" w:rsidRPr="005D0593" w:rsidP="003E7F81" w14:paraId="0D2606AE" w14:textId="77777777">
            <w:pPr>
              <w:jc w:val="center"/>
              <w:rPr>
                <w:rFonts w:ascii="Arial" w:hAnsi="Arial" w:cs="Arial"/>
                <w:sz w:val="16"/>
                <w:szCs w:val="16"/>
              </w:rPr>
            </w:pPr>
            <w:r w:rsidRPr="005D0593">
              <w:rPr>
                <w:rFonts w:ascii="Arial" w:hAnsi="Arial" w:cs="Arial"/>
                <w:sz w:val="16"/>
                <w:szCs w:val="16"/>
              </w:rPr>
              <w:t xml:space="preserve">$2,733,937 </w:t>
            </w:r>
          </w:p>
        </w:tc>
        <w:tc>
          <w:tcPr>
            <w:tcW w:w="1893" w:type="dxa"/>
            <w:tcBorders>
              <w:top w:val="nil"/>
              <w:left w:val="nil"/>
              <w:bottom w:val="single" w:sz="4" w:space="0" w:color="auto"/>
              <w:right w:val="single" w:sz="12" w:space="0" w:color="auto"/>
            </w:tcBorders>
            <w:shd w:val="clear" w:color="000000" w:fill="FFFFFF"/>
            <w:noWrap/>
            <w:vAlign w:val="bottom"/>
          </w:tcPr>
          <w:p w:rsidR="004647B0" w:rsidRPr="005D0593" w:rsidP="003E7F81" w14:paraId="06DB095F" w14:textId="77777777">
            <w:pPr>
              <w:jc w:val="center"/>
              <w:rPr>
                <w:rFonts w:ascii="Arial" w:hAnsi="Arial" w:cs="Arial"/>
                <w:sz w:val="16"/>
                <w:szCs w:val="16"/>
              </w:rPr>
            </w:pPr>
            <w:r w:rsidRPr="005D0593">
              <w:rPr>
                <w:rFonts w:ascii="Arial" w:hAnsi="Arial" w:cs="Arial"/>
                <w:sz w:val="16"/>
                <w:szCs w:val="16"/>
              </w:rPr>
              <w:t xml:space="preserve">$5,405,019 </w:t>
            </w:r>
          </w:p>
        </w:tc>
      </w:tr>
      <w:tr w14:paraId="5FFBE3BF" w14:textId="77777777" w:rsidTr="003E7F81">
        <w:tblPrEx>
          <w:tblW w:w="9360" w:type="dxa"/>
          <w:tblLook w:val="04A0"/>
        </w:tblPrEx>
        <w:trPr>
          <w:trHeight w:val="300"/>
          <w:tblHeader/>
        </w:trPr>
        <w:tc>
          <w:tcPr>
            <w:tcW w:w="1097" w:type="dxa"/>
            <w:tcBorders>
              <w:top w:val="nil"/>
              <w:left w:val="single" w:sz="12" w:space="0" w:color="auto"/>
              <w:bottom w:val="double" w:sz="6" w:space="0" w:color="auto"/>
              <w:right w:val="single" w:sz="4" w:space="0" w:color="auto"/>
            </w:tcBorders>
            <w:shd w:val="clear" w:color="000000" w:fill="FFFFFF"/>
            <w:noWrap/>
            <w:vAlign w:val="bottom"/>
            <w:hideMark/>
          </w:tcPr>
          <w:p w:rsidR="004647B0" w:rsidRPr="005D0593" w:rsidP="003E7F81" w14:paraId="419EC4E2" w14:textId="77777777">
            <w:pPr>
              <w:rPr>
                <w:rFonts w:ascii="Arial" w:hAnsi="Arial" w:cs="Arial"/>
                <w:sz w:val="16"/>
                <w:szCs w:val="16"/>
              </w:rPr>
            </w:pPr>
            <w:r w:rsidRPr="005D0593">
              <w:rPr>
                <w:rFonts w:ascii="Arial" w:hAnsi="Arial" w:cs="Arial"/>
                <w:sz w:val="16"/>
                <w:szCs w:val="16"/>
              </w:rPr>
              <w:t xml:space="preserve">3 </w:t>
            </w:r>
          </w:p>
        </w:tc>
        <w:tc>
          <w:tcPr>
            <w:tcW w:w="1264" w:type="dxa"/>
            <w:tcBorders>
              <w:top w:val="nil"/>
              <w:left w:val="nil"/>
              <w:bottom w:val="double" w:sz="6" w:space="0" w:color="auto"/>
              <w:right w:val="single" w:sz="4" w:space="0" w:color="auto"/>
            </w:tcBorders>
            <w:shd w:val="clear" w:color="auto" w:fill="auto"/>
            <w:noWrap/>
            <w:vAlign w:val="bottom"/>
          </w:tcPr>
          <w:p w:rsidR="004647B0" w:rsidRPr="005D0593" w:rsidP="003E7F81" w14:paraId="02F3FB01" w14:textId="77777777">
            <w:pPr>
              <w:keepNext/>
              <w:jc w:val="center"/>
              <w:rPr>
                <w:rFonts w:ascii="Arial" w:hAnsi="Arial" w:cs="Arial"/>
                <w:sz w:val="16"/>
                <w:szCs w:val="16"/>
              </w:rPr>
            </w:pPr>
            <w:r w:rsidRPr="005D0593">
              <w:rPr>
                <w:rFonts w:ascii="Arial" w:hAnsi="Arial" w:cs="Arial"/>
                <w:sz w:val="16"/>
                <w:szCs w:val="16"/>
              </w:rPr>
              <w:t>2,701</w:t>
            </w:r>
          </w:p>
        </w:tc>
        <w:tc>
          <w:tcPr>
            <w:tcW w:w="1320" w:type="dxa"/>
            <w:tcBorders>
              <w:top w:val="nil"/>
              <w:left w:val="nil"/>
              <w:bottom w:val="double" w:sz="6" w:space="0" w:color="auto"/>
              <w:right w:val="single" w:sz="4" w:space="0" w:color="auto"/>
            </w:tcBorders>
            <w:shd w:val="clear" w:color="000000" w:fill="FFFFFF"/>
            <w:noWrap/>
            <w:vAlign w:val="bottom"/>
          </w:tcPr>
          <w:p w:rsidR="004647B0" w:rsidRPr="005D0593" w:rsidP="003E7F81" w14:paraId="64F1143A" w14:textId="77777777">
            <w:pPr>
              <w:jc w:val="center"/>
              <w:rPr>
                <w:rFonts w:ascii="Arial" w:hAnsi="Arial" w:cs="Arial"/>
                <w:sz w:val="16"/>
                <w:szCs w:val="16"/>
              </w:rPr>
            </w:pPr>
            <w:r w:rsidRPr="005D0593">
              <w:rPr>
                <w:rFonts w:ascii="Arial" w:hAnsi="Arial" w:cs="Arial"/>
                <w:sz w:val="16"/>
                <w:szCs w:val="16"/>
              </w:rPr>
              <w:t xml:space="preserve">25,531 </w:t>
            </w:r>
          </w:p>
        </w:tc>
        <w:tc>
          <w:tcPr>
            <w:tcW w:w="1893" w:type="dxa"/>
            <w:tcBorders>
              <w:top w:val="nil"/>
              <w:left w:val="nil"/>
              <w:bottom w:val="double" w:sz="6" w:space="0" w:color="auto"/>
              <w:right w:val="single" w:sz="4" w:space="0" w:color="auto"/>
            </w:tcBorders>
            <w:shd w:val="clear" w:color="000000" w:fill="FFFFFF"/>
            <w:noWrap/>
            <w:vAlign w:val="bottom"/>
          </w:tcPr>
          <w:p w:rsidR="004647B0" w:rsidRPr="005D0593" w:rsidP="003E7F81" w14:paraId="0FA1DE20" w14:textId="77777777">
            <w:pPr>
              <w:jc w:val="center"/>
              <w:rPr>
                <w:rFonts w:ascii="Arial" w:hAnsi="Arial" w:cs="Arial"/>
                <w:sz w:val="16"/>
                <w:szCs w:val="16"/>
              </w:rPr>
            </w:pPr>
            <w:r w:rsidRPr="005D0593">
              <w:rPr>
                <w:rFonts w:ascii="Arial" w:hAnsi="Arial" w:cs="Arial"/>
                <w:sz w:val="16"/>
                <w:szCs w:val="16"/>
              </w:rPr>
              <w:t xml:space="preserve">$2,672,580 </w:t>
            </w:r>
          </w:p>
        </w:tc>
        <w:tc>
          <w:tcPr>
            <w:tcW w:w="1893" w:type="dxa"/>
            <w:tcBorders>
              <w:top w:val="nil"/>
              <w:left w:val="nil"/>
              <w:bottom w:val="double" w:sz="6" w:space="0" w:color="auto"/>
              <w:right w:val="single" w:sz="4" w:space="0" w:color="auto"/>
            </w:tcBorders>
            <w:shd w:val="clear" w:color="000000" w:fill="FFFFFF"/>
            <w:noWrap/>
            <w:vAlign w:val="bottom"/>
          </w:tcPr>
          <w:p w:rsidR="004647B0" w:rsidRPr="005D0593" w:rsidP="003E7F81" w14:paraId="4FD32F11" w14:textId="77777777">
            <w:pPr>
              <w:jc w:val="center"/>
              <w:rPr>
                <w:rFonts w:ascii="Arial" w:hAnsi="Arial" w:cs="Arial"/>
                <w:sz w:val="16"/>
                <w:szCs w:val="16"/>
              </w:rPr>
            </w:pPr>
            <w:r w:rsidRPr="005D0593">
              <w:rPr>
                <w:rFonts w:ascii="Arial" w:hAnsi="Arial" w:cs="Arial"/>
                <w:sz w:val="16"/>
                <w:szCs w:val="16"/>
              </w:rPr>
              <w:t xml:space="preserve">$2,734,062 </w:t>
            </w:r>
          </w:p>
        </w:tc>
        <w:tc>
          <w:tcPr>
            <w:tcW w:w="1893" w:type="dxa"/>
            <w:tcBorders>
              <w:top w:val="nil"/>
              <w:left w:val="nil"/>
              <w:bottom w:val="double" w:sz="6" w:space="0" w:color="auto"/>
              <w:right w:val="single" w:sz="12" w:space="0" w:color="auto"/>
            </w:tcBorders>
            <w:shd w:val="clear" w:color="000000" w:fill="FFFFFF"/>
            <w:noWrap/>
            <w:vAlign w:val="bottom"/>
          </w:tcPr>
          <w:p w:rsidR="004647B0" w:rsidRPr="005D0593" w:rsidP="003E7F81" w14:paraId="73C176EA" w14:textId="77777777">
            <w:pPr>
              <w:jc w:val="center"/>
              <w:rPr>
                <w:rFonts w:ascii="Arial" w:hAnsi="Arial" w:cs="Arial"/>
                <w:sz w:val="16"/>
                <w:szCs w:val="16"/>
              </w:rPr>
            </w:pPr>
            <w:r w:rsidRPr="005D0593">
              <w:rPr>
                <w:rFonts w:ascii="Arial" w:hAnsi="Arial" w:cs="Arial"/>
                <w:sz w:val="16"/>
                <w:szCs w:val="16"/>
              </w:rPr>
              <w:t xml:space="preserve">$5,406,642 </w:t>
            </w:r>
          </w:p>
        </w:tc>
      </w:tr>
      <w:tr w14:paraId="533A7DC8" w14:textId="77777777" w:rsidTr="003E7F81">
        <w:tblPrEx>
          <w:tblW w:w="9360" w:type="dxa"/>
          <w:tblLook w:val="04A0"/>
        </w:tblPrEx>
        <w:trPr>
          <w:trHeight w:val="300"/>
          <w:tblHeader/>
        </w:trPr>
        <w:tc>
          <w:tcPr>
            <w:tcW w:w="1097" w:type="dxa"/>
            <w:tcBorders>
              <w:top w:val="nil"/>
              <w:left w:val="single" w:sz="12" w:space="0" w:color="auto"/>
              <w:bottom w:val="single" w:sz="4" w:space="0" w:color="auto"/>
              <w:right w:val="single" w:sz="4" w:space="0" w:color="auto"/>
            </w:tcBorders>
            <w:shd w:val="clear" w:color="000000" w:fill="FFFFFF"/>
            <w:noWrap/>
            <w:vAlign w:val="bottom"/>
            <w:hideMark/>
          </w:tcPr>
          <w:p w:rsidR="004647B0" w:rsidRPr="005D0593" w:rsidP="003E7F81" w14:paraId="5D5CF039" w14:textId="77777777">
            <w:pPr>
              <w:rPr>
                <w:rFonts w:ascii="Arial" w:hAnsi="Arial" w:cs="Arial"/>
                <w:sz w:val="16"/>
                <w:szCs w:val="16"/>
              </w:rPr>
            </w:pPr>
            <w:r w:rsidRPr="005D0593">
              <w:rPr>
                <w:rFonts w:ascii="Arial" w:hAnsi="Arial" w:cs="Arial"/>
                <w:sz w:val="16"/>
                <w:szCs w:val="16"/>
              </w:rPr>
              <w:t>Total</w:t>
            </w:r>
          </w:p>
        </w:tc>
        <w:tc>
          <w:tcPr>
            <w:tcW w:w="1264" w:type="dxa"/>
            <w:tcBorders>
              <w:top w:val="nil"/>
              <w:left w:val="nil"/>
              <w:bottom w:val="single" w:sz="4" w:space="0" w:color="auto"/>
              <w:right w:val="single" w:sz="4" w:space="0" w:color="auto"/>
            </w:tcBorders>
            <w:shd w:val="clear" w:color="auto" w:fill="auto"/>
            <w:noWrap/>
            <w:vAlign w:val="bottom"/>
          </w:tcPr>
          <w:p w:rsidR="004647B0" w:rsidRPr="005D0593" w:rsidP="003E7F81" w14:paraId="5178B2BE" w14:textId="77777777">
            <w:pPr>
              <w:keepNext/>
              <w:jc w:val="center"/>
              <w:rPr>
                <w:rFonts w:ascii="Arial" w:hAnsi="Arial" w:cs="Arial"/>
                <w:sz w:val="16"/>
                <w:szCs w:val="16"/>
              </w:rPr>
            </w:pPr>
            <w:r w:rsidRPr="005D0593">
              <w:rPr>
                <w:rFonts w:ascii="Arial" w:hAnsi="Arial" w:cs="Arial"/>
                <w:sz w:val="16"/>
                <w:szCs w:val="16"/>
              </w:rPr>
              <w:t xml:space="preserve">8,104 </w:t>
            </w:r>
          </w:p>
        </w:tc>
        <w:tc>
          <w:tcPr>
            <w:tcW w:w="1320" w:type="dxa"/>
            <w:tcBorders>
              <w:top w:val="nil"/>
              <w:left w:val="nil"/>
              <w:bottom w:val="single" w:sz="4" w:space="0" w:color="auto"/>
              <w:right w:val="single" w:sz="4" w:space="0" w:color="auto"/>
            </w:tcBorders>
            <w:shd w:val="clear" w:color="auto" w:fill="auto"/>
            <w:noWrap/>
            <w:vAlign w:val="bottom"/>
          </w:tcPr>
          <w:p w:rsidR="004647B0" w:rsidRPr="005D0593" w:rsidP="003E7F81" w14:paraId="1E6DFC6A" w14:textId="77777777">
            <w:pPr>
              <w:jc w:val="center"/>
              <w:rPr>
                <w:rFonts w:ascii="Arial" w:hAnsi="Arial" w:cs="Arial"/>
                <w:sz w:val="16"/>
                <w:szCs w:val="16"/>
              </w:rPr>
            </w:pPr>
            <w:r w:rsidRPr="005D0593">
              <w:rPr>
                <w:rFonts w:ascii="Arial" w:hAnsi="Arial" w:cs="Arial"/>
                <w:sz w:val="16"/>
                <w:szCs w:val="16"/>
              </w:rPr>
              <w:t xml:space="preserve">76,940 </w:t>
            </w:r>
          </w:p>
        </w:tc>
        <w:tc>
          <w:tcPr>
            <w:tcW w:w="1893" w:type="dxa"/>
            <w:tcBorders>
              <w:top w:val="nil"/>
              <w:left w:val="nil"/>
              <w:bottom w:val="single" w:sz="4" w:space="0" w:color="auto"/>
              <w:right w:val="single" w:sz="4" w:space="0" w:color="auto"/>
            </w:tcBorders>
            <w:shd w:val="clear" w:color="000000" w:fill="FFFFFF"/>
            <w:noWrap/>
            <w:vAlign w:val="bottom"/>
          </w:tcPr>
          <w:p w:rsidR="004647B0" w:rsidRPr="005D0593" w:rsidP="003E7F81" w14:paraId="7C793CBB" w14:textId="77777777">
            <w:pPr>
              <w:jc w:val="center"/>
              <w:rPr>
                <w:rFonts w:ascii="Arial" w:hAnsi="Arial" w:cs="Arial"/>
                <w:sz w:val="16"/>
                <w:szCs w:val="16"/>
              </w:rPr>
            </w:pPr>
            <w:r w:rsidRPr="005D0593">
              <w:rPr>
                <w:rFonts w:ascii="Arial" w:hAnsi="Arial" w:cs="Arial"/>
                <w:sz w:val="16"/>
                <w:szCs w:val="16"/>
              </w:rPr>
              <w:t xml:space="preserve">$8,028,343 </w:t>
            </w:r>
          </w:p>
        </w:tc>
        <w:tc>
          <w:tcPr>
            <w:tcW w:w="1893" w:type="dxa"/>
            <w:tcBorders>
              <w:top w:val="nil"/>
              <w:left w:val="nil"/>
              <w:bottom w:val="single" w:sz="4" w:space="0" w:color="auto"/>
              <w:right w:val="single" w:sz="4" w:space="0" w:color="auto"/>
            </w:tcBorders>
            <w:shd w:val="clear" w:color="000000" w:fill="FFFFFF"/>
            <w:noWrap/>
            <w:vAlign w:val="bottom"/>
          </w:tcPr>
          <w:p w:rsidR="004647B0" w:rsidRPr="005D0593" w:rsidP="003E7F81" w14:paraId="521BC40C" w14:textId="77777777">
            <w:pPr>
              <w:jc w:val="center"/>
              <w:rPr>
                <w:rFonts w:ascii="Arial" w:hAnsi="Arial" w:cs="Arial"/>
                <w:sz w:val="16"/>
                <w:szCs w:val="16"/>
              </w:rPr>
            </w:pPr>
            <w:r w:rsidRPr="005D0593">
              <w:rPr>
                <w:rFonts w:ascii="Arial" w:hAnsi="Arial" w:cs="Arial"/>
                <w:sz w:val="16"/>
                <w:szCs w:val="16"/>
              </w:rPr>
              <w:t xml:space="preserve">$8,201,812 </w:t>
            </w:r>
          </w:p>
        </w:tc>
        <w:tc>
          <w:tcPr>
            <w:tcW w:w="1893" w:type="dxa"/>
            <w:tcBorders>
              <w:top w:val="nil"/>
              <w:left w:val="nil"/>
              <w:bottom w:val="single" w:sz="4" w:space="0" w:color="auto"/>
              <w:right w:val="single" w:sz="12" w:space="0" w:color="auto"/>
            </w:tcBorders>
            <w:shd w:val="clear" w:color="000000" w:fill="FFFFFF"/>
            <w:noWrap/>
            <w:vAlign w:val="bottom"/>
          </w:tcPr>
          <w:p w:rsidR="004647B0" w:rsidRPr="005D0593" w:rsidP="003E7F81" w14:paraId="0E3CF2C7" w14:textId="77777777">
            <w:pPr>
              <w:jc w:val="center"/>
              <w:rPr>
                <w:rFonts w:ascii="Arial" w:hAnsi="Arial" w:cs="Arial"/>
                <w:sz w:val="16"/>
                <w:szCs w:val="16"/>
              </w:rPr>
            </w:pPr>
            <w:r w:rsidRPr="005D0593">
              <w:rPr>
                <w:rFonts w:ascii="Arial" w:hAnsi="Arial" w:cs="Arial"/>
                <w:sz w:val="16"/>
                <w:szCs w:val="16"/>
              </w:rPr>
              <w:t xml:space="preserve">$16,230,155 </w:t>
            </w:r>
          </w:p>
        </w:tc>
      </w:tr>
      <w:tr w14:paraId="7A2C742F" w14:textId="77777777" w:rsidTr="003E7F81">
        <w:tblPrEx>
          <w:tblW w:w="9360" w:type="dxa"/>
          <w:tblLook w:val="04A0"/>
        </w:tblPrEx>
        <w:trPr>
          <w:trHeight w:val="300"/>
          <w:tblHeader/>
        </w:trPr>
        <w:tc>
          <w:tcPr>
            <w:tcW w:w="1097" w:type="dxa"/>
            <w:tcBorders>
              <w:top w:val="nil"/>
              <w:left w:val="single" w:sz="12" w:space="0" w:color="auto"/>
              <w:bottom w:val="single" w:sz="12" w:space="0" w:color="auto"/>
              <w:right w:val="single" w:sz="4" w:space="0" w:color="auto"/>
            </w:tcBorders>
            <w:shd w:val="clear" w:color="auto" w:fill="auto"/>
            <w:noWrap/>
            <w:vAlign w:val="bottom"/>
            <w:hideMark/>
          </w:tcPr>
          <w:p w:rsidR="004647B0" w:rsidRPr="005D0593" w:rsidP="003E7F81" w14:paraId="05F8320F" w14:textId="77777777">
            <w:pPr>
              <w:rPr>
                <w:rFonts w:ascii="Arial" w:hAnsi="Arial" w:cs="Arial"/>
                <w:sz w:val="16"/>
                <w:szCs w:val="16"/>
              </w:rPr>
            </w:pPr>
            <w:r w:rsidRPr="005D0593">
              <w:rPr>
                <w:rFonts w:ascii="Arial" w:hAnsi="Arial" w:cs="Arial"/>
                <w:sz w:val="16"/>
                <w:szCs w:val="16"/>
              </w:rPr>
              <w:t>3-Yr Annual Average</w:t>
            </w:r>
          </w:p>
        </w:tc>
        <w:tc>
          <w:tcPr>
            <w:tcW w:w="1264" w:type="dxa"/>
            <w:tcBorders>
              <w:top w:val="nil"/>
              <w:left w:val="nil"/>
              <w:bottom w:val="single" w:sz="12" w:space="0" w:color="auto"/>
              <w:right w:val="single" w:sz="4" w:space="0" w:color="auto"/>
            </w:tcBorders>
            <w:shd w:val="clear" w:color="auto" w:fill="auto"/>
            <w:noWrap/>
            <w:vAlign w:val="bottom"/>
          </w:tcPr>
          <w:p w:rsidR="004647B0" w:rsidRPr="005D0593" w:rsidP="003E7F81" w14:paraId="1DA5191B" w14:textId="77777777">
            <w:pPr>
              <w:keepNext/>
              <w:jc w:val="center"/>
              <w:rPr>
                <w:rFonts w:ascii="Arial" w:hAnsi="Arial" w:cs="Arial"/>
                <w:sz w:val="16"/>
                <w:szCs w:val="16"/>
              </w:rPr>
            </w:pPr>
            <w:r w:rsidRPr="005D0593">
              <w:rPr>
                <w:rFonts w:ascii="Arial" w:hAnsi="Arial" w:cs="Arial"/>
                <w:sz w:val="16"/>
                <w:szCs w:val="16"/>
              </w:rPr>
              <w:t>2,701</w:t>
            </w:r>
          </w:p>
        </w:tc>
        <w:tc>
          <w:tcPr>
            <w:tcW w:w="1320" w:type="dxa"/>
            <w:tcBorders>
              <w:top w:val="nil"/>
              <w:left w:val="nil"/>
              <w:bottom w:val="single" w:sz="12" w:space="0" w:color="auto"/>
              <w:right w:val="single" w:sz="4" w:space="0" w:color="auto"/>
            </w:tcBorders>
            <w:shd w:val="clear" w:color="auto" w:fill="auto"/>
            <w:noWrap/>
            <w:vAlign w:val="bottom"/>
          </w:tcPr>
          <w:p w:rsidR="004647B0" w:rsidRPr="005D0593" w:rsidP="003E7F81" w14:paraId="61C0E85D" w14:textId="77777777">
            <w:pPr>
              <w:jc w:val="center"/>
              <w:rPr>
                <w:rFonts w:ascii="Arial" w:hAnsi="Arial" w:cs="Arial"/>
                <w:sz w:val="16"/>
                <w:szCs w:val="16"/>
              </w:rPr>
            </w:pPr>
            <w:r w:rsidRPr="005D0593">
              <w:rPr>
                <w:rFonts w:ascii="Arial" w:hAnsi="Arial" w:cs="Arial"/>
                <w:sz w:val="16"/>
                <w:szCs w:val="16"/>
              </w:rPr>
              <w:t xml:space="preserve">25,647 </w:t>
            </w:r>
          </w:p>
        </w:tc>
        <w:tc>
          <w:tcPr>
            <w:tcW w:w="1893" w:type="dxa"/>
            <w:tcBorders>
              <w:top w:val="nil"/>
              <w:left w:val="nil"/>
              <w:bottom w:val="single" w:sz="12" w:space="0" w:color="auto"/>
              <w:right w:val="single" w:sz="4" w:space="0" w:color="auto"/>
            </w:tcBorders>
            <w:shd w:val="clear" w:color="auto" w:fill="auto"/>
            <w:noWrap/>
            <w:vAlign w:val="bottom"/>
          </w:tcPr>
          <w:p w:rsidR="004647B0" w:rsidRPr="005D0593" w:rsidP="003E7F81" w14:paraId="409F2388" w14:textId="77777777">
            <w:pPr>
              <w:jc w:val="center"/>
              <w:rPr>
                <w:rFonts w:ascii="Arial" w:hAnsi="Arial" w:cs="Arial"/>
                <w:sz w:val="16"/>
                <w:szCs w:val="16"/>
              </w:rPr>
            </w:pPr>
            <w:r w:rsidRPr="005D0593">
              <w:rPr>
                <w:rFonts w:ascii="Arial" w:hAnsi="Arial" w:cs="Arial"/>
                <w:sz w:val="16"/>
                <w:szCs w:val="16"/>
              </w:rPr>
              <w:t xml:space="preserve">$2,676,114 </w:t>
            </w:r>
          </w:p>
        </w:tc>
        <w:tc>
          <w:tcPr>
            <w:tcW w:w="1893" w:type="dxa"/>
            <w:tcBorders>
              <w:top w:val="nil"/>
              <w:left w:val="nil"/>
              <w:bottom w:val="single" w:sz="12" w:space="0" w:color="auto"/>
              <w:right w:val="single" w:sz="4" w:space="0" w:color="auto"/>
            </w:tcBorders>
            <w:shd w:val="clear" w:color="auto" w:fill="auto"/>
            <w:noWrap/>
            <w:vAlign w:val="bottom"/>
          </w:tcPr>
          <w:p w:rsidR="004647B0" w:rsidRPr="005D0593" w:rsidP="003E7F81" w14:paraId="3422F9E4" w14:textId="77777777">
            <w:pPr>
              <w:jc w:val="center"/>
              <w:rPr>
                <w:rFonts w:ascii="Arial" w:hAnsi="Arial" w:cs="Arial"/>
                <w:sz w:val="16"/>
                <w:szCs w:val="16"/>
              </w:rPr>
            </w:pPr>
            <w:r w:rsidRPr="005D0593">
              <w:rPr>
                <w:rFonts w:ascii="Arial" w:hAnsi="Arial" w:cs="Arial"/>
                <w:sz w:val="16"/>
                <w:szCs w:val="16"/>
              </w:rPr>
              <w:t xml:space="preserve">$2,733,937 </w:t>
            </w:r>
          </w:p>
        </w:tc>
        <w:tc>
          <w:tcPr>
            <w:tcW w:w="1893" w:type="dxa"/>
            <w:tcBorders>
              <w:top w:val="nil"/>
              <w:left w:val="nil"/>
              <w:bottom w:val="single" w:sz="12" w:space="0" w:color="auto"/>
              <w:right w:val="single" w:sz="12" w:space="0" w:color="auto"/>
            </w:tcBorders>
            <w:shd w:val="clear" w:color="auto" w:fill="auto"/>
            <w:noWrap/>
            <w:vAlign w:val="bottom"/>
          </w:tcPr>
          <w:p w:rsidR="004647B0" w:rsidRPr="005D0593" w:rsidP="003E7F81" w14:paraId="3CD95F5E" w14:textId="77777777">
            <w:pPr>
              <w:jc w:val="center"/>
              <w:rPr>
                <w:rFonts w:ascii="Arial" w:hAnsi="Arial" w:cs="Arial"/>
                <w:sz w:val="16"/>
                <w:szCs w:val="16"/>
              </w:rPr>
            </w:pPr>
            <w:r w:rsidRPr="005D0593">
              <w:rPr>
                <w:rFonts w:ascii="Arial" w:hAnsi="Arial" w:cs="Arial"/>
                <w:sz w:val="16"/>
                <w:szCs w:val="16"/>
              </w:rPr>
              <w:t xml:space="preserve">$5,410,052 </w:t>
            </w:r>
          </w:p>
        </w:tc>
      </w:tr>
    </w:tbl>
    <w:p w:rsidR="004647B0" w:rsidRPr="005D0593" w:rsidP="004647B0" w14:paraId="16722384" w14:textId="77777777">
      <w:pPr>
        <w:ind w:firstLine="720"/>
      </w:pPr>
    </w:p>
    <w:p w:rsidR="004647B0" w:rsidRPr="00A945E1" w:rsidP="004647B0" w14:paraId="33C93CEB" w14:textId="6EAF838E">
      <w:pPr>
        <w:pStyle w:val="Heading2"/>
        <w:spacing w:line="360" w:lineRule="auto"/>
        <w:rPr>
          <w:rFonts w:asciiTheme="minorHAnsi" w:eastAsiaTheme="minorEastAsia" w:hAnsiTheme="minorHAnsi" w:cstheme="minorHAnsi"/>
          <w:color w:val="auto"/>
          <w:sz w:val="22"/>
          <w:szCs w:val="22"/>
        </w:rPr>
      </w:pPr>
      <w:r w:rsidRPr="00A945E1">
        <w:rPr>
          <w:rFonts w:asciiTheme="minorHAnsi" w:eastAsiaTheme="minorEastAsia" w:hAnsiTheme="minorHAnsi" w:cstheme="minorHAnsi"/>
          <w:color w:val="auto"/>
          <w:sz w:val="22"/>
          <w:szCs w:val="22"/>
        </w:rPr>
        <w:t>12</w:t>
      </w:r>
      <w:r w:rsidR="00A166B7">
        <w:rPr>
          <w:rFonts w:asciiTheme="minorHAnsi" w:eastAsiaTheme="minorEastAsia" w:hAnsiTheme="minorHAnsi" w:cstheme="minorHAnsi"/>
          <w:color w:val="auto"/>
          <w:sz w:val="22"/>
          <w:szCs w:val="22"/>
        </w:rPr>
        <w:t>d</w:t>
      </w:r>
      <w:r w:rsidRPr="00A945E1">
        <w:rPr>
          <w:rFonts w:asciiTheme="minorHAnsi" w:eastAsiaTheme="minorEastAsia" w:hAnsiTheme="minorHAnsi" w:cstheme="minorHAnsi"/>
          <w:color w:val="auto"/>
          <w:sz w:val="22"/>
          <w:szCs w:val="22"/>
        </w:rPr>
        <w:t>(ii) Estimating Respondent Costs</w:t>
      </w:r>
      <w:bookmarkEnd w:id="32"/>
    </w:p>
    <w:p w:rsidR="004647B0" w:rsidRPr="005D0593" w:rsidP="00A0039C" w14:paraId="1D9C43F0" w14:textId="61CCF1E2">
      <w:pPr>
        <w:keepNext/>
        <w:keepLines/>
        <w:autoSpaceDE w:val="0"/>
        <w:autoSpaceDN w:val="0"/>
        <w:adjustRightInd w:val="0"/>
        <w:ind w:firstLine="720"/>
      </w:pPr>
      <w:r w:rsidRPr="005D0593">
        <w:t>Costs to respondents associated with this information collection include labor costs (</w:t>
      </w:r>
      <w:r w:rsidRPr="005D0593">
        <w:rPr>
          <w:i/>
        </w:rPr>
        <w:t>i.e.,</w:t>
      </w:r>
      <w:r w:rsidRPr="005D0593">
        <w:t xml:space="preserve"> the cost of labor by facility staff to meet the rule’s information collection requirements) and non-labor costs (</w:t>
      </w:r>
      <w:r w:rsidRPr="005D0593">
        <w:rPr>
          <w:i/>
        </w:rPr>
        <w:t>e.g.,</w:t>
      </w:r>
      <w:r w:rsidRPr="005D0593">
        <w:t xml:space="preserve"> the cost of purchasing and installing monitoring equipment or contractor costs associated with providing the required information). </w:t>
      </w:r>
    </w:p>
    <w:p w:rsidR="004647B0" w:rsidRPr="005D0593" w:rsidP="00A0039C" w14:paraId="4F968429" w14:textId="476882DA">
      <w:pPr>
        <w:autoSpaceDE w:val="0"/>
        <w:autoSpaceDN w:val="0"/>
        <w:ind w:firstLine="720"/>
      </w:pPr>
      <w:r w:rsidRPr="005D0593">
        <w:t xml:space="preserve">To calculate labor costs, the EPA used an approach consistent with the ICR associated with the GHGRP currently approved by OMB, updated to incorporate 2021 BLS labor rates. For all subparts except subpart W, the labor rates are: $73.83 for technical workers, $91.33 for managers, $34.09 for clerical support, and $114.80 for legal support. Sector-specific labor rates are used for the oil and gas industry (subpart W): $132.31 for senior managers, $123.46 for middle managers, $110.17 for engineers, and $77.99 for technicians. These labor rates were applied to the total burden estimates for each labor category to obtain the total costs for each subpart. Labor and non-labor costs (capital and O&amp;M) for all subparts are summarized in Exhibit </w:t>
      </w:r>
      <w:r w:rsidR="00A166B7">
        <w:t>12</w:t>
      </w:r>
      <w:r w:rsidRPr="005D0593">
        <w:t>.1. These labor and non-labor costs, as well as additional detail regarding the calculation methodology for the final revisions are presented in more detail in the Impacts Assessment.</w:t>
      </w:r>
    </w:p>
    <w:p w:rsidR="004647B0" w:rsidRPr="005D0593" w:rsidP="00A0039C" w14:paraId="5DF16A9C" w14:textId="7E3A94C2">
      <w:pPr>
        <w:tabs>
          <w:tab w:val="left" w:pos="720"/>
        </w:tabs>
        <w:ind w:firstLine="720"/>
      </w:pPr>
      <w:r w:rsidRPr="005D0593">
        <w:t>The EPA estimates that the total annual costs to all affected non-federal entities would average $2.7</w:t>
      </w:r>
      <w:r w:rsidRPr="005D0593">
        <w:t xml:space="preserve"> </w:t>
      </w:r>
      <w:r w:rsidRPr="005D0593">
        <w:t xml:space="preserve">million over the three years covered by this information collection. As shown in </w:t>
      </w:r>
      <w:r w:rsidR="00BB0164">
        <w:t>sec</w:t>
      </w:r>
      <w:r w:rsidR="00A166B7">
        <w:t>tion 12b</w:t>
      </w:r>
      <w:r w:rsidRPr="005D0593">
        <w:t xml:space="preserve">, the number of new data items and activities varies by source category. Exhibit </w:t>
      </w:r>
      <w:r w:rsidR="00A166B7">
        <w:t>12</w:t>
      </w:r>
      <w:r w:rsidRPr="005D0593">
        <w:t>.1 presents the aggregate burden by year for all affected source categories combined. This includes costs of $2,684,681 from revisions implemented in the first year, and $2,671,081 and $2,672,580 from revisions implemented in the second and third years, respectively, averaging $2,676,114 per year over the three years.</w:t>
      </w:r>
    </w:p>
    <w:p w:rsidR="004647B0" w:rsidRPr="005D0593" w:rsidP="00A166B7" w14:paraId="6F2BF74C" w14:textId="1FF05CE4">
      <w:pPr>
        <w:tabs>
          <w:tab w:val="left" w:pos="720"/>
        </w:tabs>
        <w:ind w:firstLine="720"/>
      </w:pPr>
      <w:r w:rsidRPr="005D0593">
        <w:t xml:space="preserve">Exhibit </w:t>
      </w:r>
      <w:r w:rsidR="00A166B7">
        <w:t>12</w:t>
      </w:r>
      <w:r w:rsidRPr="005D0593">
        <w:t xml:space="preserve">.2 presents the annual average burden and cost for each source category for which a burden increase or decrease is anticipated over the first three years of the information collection. For a more detailed summary of the annual costs by industry segment, see Tables 1 through 3 of </w:t>
      </w:r>
      <w:r w:rsidR="006C59C8">
        <w:t>Attachment 2</w:t>
      </w:r>
      <w:r w:rsidRPr="005D0593">
        <w:t xml:space="preserve">. For a more detailed summary of the annual average cost per source category over the first three years of the information collection, see Table 4 of </w:t>
      </w:r>
      <w:r w:rsidR="006C59C8">
        <w:t>Attachment 2</w:t>
      </w:r>
      <w:r w:rsidRPr="005D0593">
        <w:t xml:space="preserve">. </w:t>
      </w:r>
    </w:p>
    <w:p w:rsidR="004647B0" w:rsidRPr="005D0593" w:rsidP="004647B0" w14:paraId="04BB16F3" w14:textId="6EF8CF77">
      <w:pPr>
        <w:keepNext/>
        <w:rPr>
          <w:b/>
        </w:rPr>
      </w:pPr>
      <w:r w:rsidRPr="005D0593">
        <w:rPr>
          <w:b/>
        </w:rPr>
        <w:t xml:space="preserve">Exhibit </w:t>
      </w:r>
      <w:r w:rsidR="00A166B7">
        <w:rPr>
          <w:b/>
        </w:rPr>
        <w:t>12</w:t>
      </w:r>
      <w:r w:rsidRPr="005D0593">
        <w:rPr>
          <w:b/>
        </w:rPr>
        <w:t>.2. Annual Average Burden Over the First Three Years of the Information Collection, by Source Category</w:t>
      </w:r>
    </w:p>
    <w:tbl>
      <w:tblPr>
        <w:tblW w:w="9795" w:type="dxa"/>
        <w:tblLayout w:type="fixed"/>
        <w:tblLook w:val="04A0"/>
      </w:tblPr>
      <w:tblGrid>
        <w:gridCol w:w="2595"/>
        <w:gridCol w:w="1260"/>
        <w:gridCol w:w="1260"/>
        <w:gridCol w:w="1170"/>
        <w:gridCol w:w="1170"/>
        <w:gridCol w:w="1170"/>
        <w:gridCol w:w="1170"/>
      </w:tblGrid>
      <w:tr w14:paraId="480DBE50" w14:textId="77777777" w:rsidTr="003E7F81">
        <w:tblPrEx>
          <w:tblW w:w="9795" w:type="dxa"/>
          <w:tblLayout w:type="fixed"/>
          <w:tblLook w:val="04A0"/>
        </w:tblPrEx>
        <w:trPr>
          <w:trHeight w:val="346"/>
          <w:tblHeader/>
        </w:trPr>
        <w:tc>
          <w:tcPr>
            <w:tcW w:w="2595" w:type="dxa"/>
            <w:tcBorders>
              <w:top w:val="single" w:sz="12" w:space="0" w:color="auto"/>
              <w:left w:val="single" w:sz="12" w:space="0" w:color="auto"/>
              <w:bottom w:val="double" w:sz="6" w:space="0" w:color="auto"/>
              <w:right w:val="single" w:sz="4" w:space="0" w:color="auto"/>
            </w:tcBorders>
            <w:shd w:val="clear" w:color="000000" w:fill="F2F2F2"/>
            <w:noWrap/>
            <w:vAlign w:val="center"/>
            <w:hideMark/>
          </w:tcPr>
          <w:p w:rsidR="004647B0" w:rsidRPr="005D0593" w:rsidP="003E7F81" w14:paraId="186C10F7" w14:textId="77777777">
            <w:pPr>
              <w:jc w:val="center"/>
              <w:rPr>
                <w:rFonts w:ascii="Arial" w:hAnsi="Arial" w:cs="Arial"/>
                <w:b/>
                <w:bCs/>
                <w:sz w:val="16"/>
                <w:szCs w:val="16"/>
              </w:rPr>
            </w:pPr>
            <w:bookmarkStart w:id="33" w:name="OLE_LINK3"/>
            <w:r w:rsidRPr="005D0593">
              <w:rPr>
                <w:rFonts w:ascii="Arial" w:hAnsi="Arial" w:cs="Arial"/>
                <w:b/>
                <w:bCs/>
                <w:sz w:val="16"/>
                <w:szCs w:val="16"/>
              </w:rPr>
              <w:t xml:space="preserve">Subpart and Source Category </w:t>
            </w:r>
          </w:p>
        </w:tc>
        <w:tc>
          <w:tcPr>
            <w:tcW w:w="1260" w:type="dxa"/>
            <w:tcBorders>
              <w:top w:val="single" w:sz="12" w:space="0" w:color="auto"/>
              <w:left w:val="nil"/>
              <w:bottom w:val="double" w:sz="6" w:space="0" w:color="auto"/>
              <w:right w:val="single" w:sz="4" w:space="0" w:color="auto"/>
            </w:tcBorders>
            <w:shd w:val="clear" w:color="000000" w:fill="F2F2F2"/>
            <w:vAlign w:val="center"/>
            <w:hideMark/>
          </w:tcPr>
          <w:p w:rsidR="004647B0" w:rsidRPr="005D0593" w:rsidP="003E7F81" w14:paraId="04D39F69" w14:textId="77777777">
            <w:pPr>
              <w:jc w:val="center"/>
              <w:rPr>
                <w:rFonts w:ascii="Arial" w:hAnsi="Arial" w:cs="Arial"/>
                <w:b/>
                <w:bCs/>
                <w:sz w:val="16"/>
                <w:szCs w:val="16"/>
              </w:rPr>
            </w:pPr>
            <w:r w:rsidRPr="005D0593">
              <w:rPr>
                <w:rFonts w:ascii="Arial" w:hAnsi="Arial" w:cs="Arial"/>
                <w:b/>
                <w:bCs/>
                <w:sz w:val="16"/>
                <w:szCs w:val="16"/>
              </w:rPr>
              <w:t xml:space="preserve">Annual Average Number of Respondents </w:t>
            </w:r>
          </w:p>
        </w:tc>
        <w:tc>
          <w:tcPr>
            <w:tcW w:w="1260" w:type="dxa"/>
            <w:tcBorders>
              <w:top w:val="single" w:sz="12" w:space="0" w:color="auto"/>
              <w:left w:val="nil"/>
              <w:bottom w:val="double" w:sz="6" w:space="0" w:color="auto"/>
              <w:right w:val="single" w:sz="4" w:space="0" w:color="auto"/>
            </w:tcBorders>
            <w:shd w:val="clear" w:color="000000" w:fill="F2F2F2"/>
            <w:vAlign w:val="center"/>
            <w:hideMark/>
          </w:tcPr>
          <w:p w:rsidR="004647B0" w:rsidRPr="005D0593" w:rsidP="003E7F81" w14:paraId="45974427" w14:textId="77777777">
            <w:pPr>
              <w:jc w:val="center"/>
              <w:rPr>
                <w:rFonts w:ascii="Arial" w:hAnsi="Arial" w:cs="Arial"/>
                <w:b/>
                <w:bCs/>
                <w:sz w:val="16"/>
                <w:szCs w:val="16"/>
              </w:rPr>
            </w:pPr>
            <w:r w:rsidRPr="005D0593">
              <w:rPr>
                <w:rFonts w:ascii="Arial" w:hAnsi="Arial" w:cs="Arial"/>
                <w:b/>
                <w:bCs/>
                <w:sz w:val="16"/>
                <w:szCs w:val="16"/>
              </w:rPr>
              <w:t>Annual Average Burden (Hours)</w:t>
            </w:r>
          </w:p>
        </w:tc>
        <w:tc>
          <w:tcPr>
            <w:tcW w:w="1170" w:type="dxa"/>
            <w:tcBorders>
              <w:top w:val="single" w:sz="12" w:space="0" w:color="auto"/>
              <w:left w:val="nil"/>
              <w:bottom w:val="double" w:sz="6" w:space="0" w:color="auto"/>
              <w:right w:val="single" w:sz="2" w:space="0" w:color="auto"/>
            </w:tcBorders>
            <w:shd w:val="clear" w:color="000000" w:fill="F2F2F2"/>
            <w:vAlign w:val="center"/>
          </w:tcPr>
          <w:p w:rsidR="004647B0" w:rsidRPr="005D0593" w:rsidP="003E7F81" w14:paraId="571E712C" w14:textId="77777777">
            <w:pPr>
              <w:jc w:val="center"/>
              <w:rPr>
                <w:rFonts w:ascii="Arial" w:hAnsi="Arial" w:cs="Arial"/>
                <w:b/>
                <w:bCs/>
                <w:sz w:val="16"/>
                <w:szCs w:val="16"/>
              </w:rPr>
            </w:pPr>
            <w:r w:rsidRPr="005D0593">
              <w:rPr>
                <w:rFonts w:ascii="Arial" w:hAnsi="Arial" w:cs="Arial"/>
                <w:b/>
                <w:bCs/>
                <w:sz w:val="16"/>
                <w:szCs w:val="16"/>
              </w:rPr>
              <w:t>Annual Average Burden Per</w:t>
            </w:r>
            <w:r w:rsidRPr="005D0593">
              <w:rPr>
                <w:rFonts w:ascii="Arial" w:hAnsi="Arial" w:cs="Arial"/>
                <w:b/>
                <w:bCs/>
                <w:sz w:val="16"/>
                <w:szCs w:val="16"/>
              </w:rPr>
              <w:br/>
              <w:t>Respondent (Hours)</w:t>
            </w:r>
          </w:p>
        </w:tc>
        <w:tc>
          <w:tcPr>
            <w:tcW w:w="1170" w:type="dxa"/>
            <w:tcBorders>
              <w:top w:val="single" w:sz="12" w:space="0" w:color="auto"/>
              <w:left w:val="single" w:sz="2" w:space="0" w:color="auto"/>
              <w:bottom w:val="double" w:sz="6" w:space="0" w:color="auto"/>
              <w:right w:val="single" w:sz="4" w:space="0" w:color="auto"/>
            </w:tcBorders>
            <w:shd w:val="clear" w:color="000000" w:fill="F2F2F2"/>
            <w:vAlign w:val="center"/>
            <w:hideMark/>
          </w:tcPr>
          <w:p w:rsidR="004647B0" w:rsidRPr="005D0593" w:rsidP="003E7F81" w14:paraId="45E87921" w14:textId="77777777">
            <w:pPr>
              <w:jc w:val="center"/>
              <w:rPr>
                <w:rFonts w:ascii="Arial" w:hAnsi="Arial" w:cs="Arial"/>
                <w:b/>
                <w:bCs/>
                <w:sz w:val="16"/>
                <w:szCs w:val="16"/>
              </w:rPr>
            </w:pPr>
            <w:r w:rsidRPr="005D0593">
              <w:rPr>
                <w:rFonts w:ascii="Arial" w:hAnsi="Arial" w:cs="Arial"/>
                <w:b/>
                <w:bCs/>
                <w:sz w:val="16"/>
                <w:szCs w:val="16"/>
              </w:rPr>
              <w:t>Average Annual Labor Costs</w:t>
            </w:r>
            <w:r w:rsidRPr="005D0593">
              <w:rPr>
                <w:rFonts w:ascii="Arial" w:hAnsi="Arial" w:cs="Arial"/>
                <w:b/>
                <w:bCs/>
                <w:sz w:val="16"/>
                <w:szCs w:val="16"/>
              </w:rPr>
              <w:br/>
              <w:t>($)</w:t>
            </w:r>
            <w:r w:rsidRPr="005D0593">
              <w:rPr>
                <w:rFonts w:ascii="Arial" w:hAnsi="Arial" w:cs="Arial"/>
                <w:b/>
                <w:bCs/>
                <w:sz w:val="16"/>
                <w:szCs w:val="16"/>
                <w:vertAlign w:val="superscript"/>
              </w:rPr>
              <w:t>1</w:t>
            </w:r>
          </w:p>
        </w:tc>
        <w:tc>
          <w:tcPr>
            <w:tcW w:w="1170" w:type="dxa"/>
            <w:tcBorders>
              <w:top w:val="single" w:sz="12" w:space="0" w:color="auto"/>
              <w:left w:val="nil"/>
              <w:bottom w:val="double" w:sz="6" w:space="0" w:color="auto"/>
              <w:right w:val="single" w:sz="4" w:space="0" w:color="auto"/>
            </w:tcBorders>
            <w:shd w:val="clear" w:color="000000" w:fill="F2F2F2"/>
            <w:vAlign w:val="center"/>
            <w:hideMark/>
          </w:tcPr>
          <w:p w:rsidR="004647B0" w:rsidRPr="005D0593" w:rsidP="003E7F81" w14:paraId="027BC028" w14:textId="77777777">
            <w:pPr>
              <w:jc w:val="center"/>
              <w:rPr>
                <w:rFonts w:ascii="Arial" w:hAnsi="Arial" w:cs="Arial"/>
                <w:b/>
                <w:bCs/>
                <w:sz w:val="16"/>
                <w:szCs w:val="16"/>
              </w:rPr>
            </w:pPr>
            <w:r w:rsidRPr="005D0593">
              <w:rPr>
                <w:rFonts w:ascii="Arial" w:hAnsi="Arial" w:cs="Arial"/>
                <w:b/>
                <w:bCs/>
                <w:sz w:val="16"/>
                <w:szCs w:val="16"/>
              </w:rPr>
              <w:t>Average Annual Non-Labor Costs</w:t>
            </w:r>
            <w:r w:rsidRPr="005D0593">
              <w:rPr>
                <w:rFonts w:ascii="Arial" w:hAnsi="Arial" w:cs="Arial"/>
                <w:b/>
                <w:bCs/>
                <w:sz w:val="16"/>
                <w:szCs w:val="16"/>
              </w:rPr>
              <w:br/>
              <w:t>($)</w:t>
            </w:r>
            <w:r w:rsidRPr="005D0593">
              <w:rPr>
                <w:rFonts w:ascii="Arial" w:hAnsi="Arial" w:cs="Arial"/>
                <w:b/>
                <w:bCs/>
                <w:sz w:val="16"/>
                <w:szCs w:val="16"/>
                <w:vertAlign w:val="superscript"/>
              </w:rPr>
              <w:t>1</w:t>
            </w:r>
          </w:p>
        </w:tc>
        <w:tc>
          <w:tcPr>
            <w:tcW w:w="1170" w:type="dxa"/>
            <w:tcBorders>
              <w:top w:val="single" w:sz="12" w:space="0" w:color="auto"/>
              <w:left w:val="nil"/>
              <w:bottom w:val="double" w:sz="6" w:space="0" w:color="auto"/>
              <w:right w:val="single" w:sz="12" w:space="0" w:color="auto"/>
            </w:tcBorders>
            <w:shd w:val="clear" w:color="000000" w:fill="F2F2F2"/>
            <w:vAlign w:val="center"/>
            <w:hideMark/>
          </w:tcPr>
          <w:p w:rsidR="004647B0" w:rsidRPr="005D0593" w:rsidP="003E7F81" w14:paraId="608777DA" w14:textId="77777777">
            <w:pPr>
              <w:jc w:val="center"/>
              <w:rPr>
                <w:rFonts w:ascii="Arial" w:hAnsi="Arial" w:cs="Arial"/>
                <w:b/>
                <w:bCs/>
                <w:sz w:val="16"/>
                <w:szCs w:val="16"/>
              </w:rPr>
            </w:pPr>
            <w:r w:rsidRPr="005D0593">
              <w:rPr>
                <w:rFonts w:ascii="Arial" w:hAnsi="Arial" w:cs="Arial"/>
                <w:b/>
                <w:bCs/>
                <w:sz w:val="16"/>
                <w:szCs w:val="16"/>
              </w:rPr>
              <w:t>Annual Average Labor and Non-Labor Costs</w:t>
            </w:r>
            <w:r w:rsidRPr="005D0593">
              <w:rPr>
                <w:rFonts w:ascii="Arial" w:hAnsi="Arial" w:cs="Arial"/>
                <w:b/>
                <w:bCs/>
                <w:sz w:val="16"/>
                <w:szCs w:val="16"/>
              </w:rPr>
              <w:br/>
              <w:t>($)</w:t>
            </w:r>
            <w:r w:rsidRPr="005D0593">
              <w:rPr>
                <w:rFonts w:ascii="Arial" w:hAnsi="Arial" w:cs="Arial"/>
                <w:b/>
                <w:bCs/>
                <w:sz w:val="16"/>
                <w:szCs w:val="16"/>
                <w:vertAlign w:val="superscript"/>
              </w:rPr>
              <w:t>1</w:t>
            </w:r>
          </w:p>
        </w:tc>
      </w:tr>
      <w:tr w14:paraId="064FBC00"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4647B0" w:rsidRPr="005D0593" w:rsidP="003E7F81" w14:paraId="524AE4EB" w14:textId="77777777">
            <w:pPr>
              <w:rPr>
                <w:rFonts w:ascii="Arial" w:hAnsi="Arial" w:cs="Arial"/>
                <w:sz w:val="16"/>
                <w:szCs w:val="16"/>
              </w:rPr>
            </w:pPr>
            <w:r w:rsidRPr="005D0593">
              <w:rPr>
                <w:rFonts w:ascii="Arial" w:hAnsi="Arial" w:cs="Arial"/>
                <w:color w:val="000000"/>
                <w:sz w:val="16"/>
                <w:szCs w:val="16"/>
              </w:rPr>
              <w:t>C. Stationary Combustion (general unspecified)</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1E3CEDC1" w14:textId="77777777">
            <w:pPr>
              <w:jc w:val="center"/>
              <w:rPr>
                <w:rFonts w:ascii="Arial" w:hAnsi="Arial" w:cs="Arial"/>
                <w:sz w:val="16"/>
                <w:szCs w:val="16"/>
              </w:rPr>
            </w:pPr>
            <w:r w:rsidRPr="005D0593">
              <w:rPr>
                <w:rFonts w:ascii="Arial" w:hAnsi="Arial" w:cs="Arial"/>
                <w:sz w:val="16"/>
                <w:szCs w:val="16"/>
              </w:rPr>
              <w:t>310</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2279CB8C" w14:textId="77777777">
            <w:pPr>
              <w:jc w:val="center"/>
              <w:rPr>
                <w:rFonts w:ascii="Arial" w:hAnsi="Arial" w:cs="Arial"/>
                <w:sz w:val="16"/>
                <w:szCs w:val="16"/>
              </w:rPr>
            </w:pPr>
            <w:r w:rsidRPr="005D0593">
              <w:rPr>
                <w:rFonts w:ascii="Arial" w:hAnsi="Arial" w:cs="Arial"/>
                <w:sz w:val="16"/>
                <w:szCs w:val="16"/>
              </w:rPr>
              <w:t>(8)</w:t>
            </w:r>
          </w:p>
        </w:tc>
        <w:tc>
          <w:tcPr>
            <w:tcW w:w="1170" w:type="dxa"/>
            <w:tcBorders>
              <w:top w:val="nil"/>
              <w:left w:val="nil"/>
              <w:bottom w:val="single" w:sz="4" w:space="0" w:color="auto"/>
              <w:right w:val="single" w:sz="4" w:space="0" w:color="auto"/>
            </w:tcBorders>
            <w:vAlign w:val="bottom"/>
          </w:tcPr>
          <w:p w:rsidR="004647B0" w:rsidRPr="005D0593" w:rsidP="003E7F81" w14:paraId="358289CF" w14:textId="77777777">
            <w:pPr>
              <w:jc w:val="center"/>
              <w:rPr>
                <w:rFonts w:ascii="Arial" w:hAnsi="Arial" w:cs="Arial"/>
                <w:sz w:val="16"/>
                <w:szCs w:val="16"/>
              </w:rPr>
            </w:pPr>
            <w:r w:rsidRPr="005D0593">
              <w:rPr>
                <w:rFonts w:ascii="Arial" w:hAnsi="Arial" w:cs="Arial"/>
                <w:sz w:val="16"/>
                <w:szCs w:val="16"/>
              </w:rPr>
              <w:t>(0.0)</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6BED9CC5" w14:textId="77777777">
            <w:pPr>
              <w:jc w:val="center"/>
              <w:rPr>
                <w:rFonts w:ascii="Arial" w:hAnsi="Arial" w:cs="Arial"/>
                <w:sz w:val="16"/>
                <w:szCs w:val="16"/>
              </w:rPr>
            </w:pPr>
            <w:r w:rsidRPr="005D0593">
              <w:rPr>
                <w:rFonts w:ascii="Arial" w:hAnsi="Arial" w:cs="Arial"/>
                <w:sz w:val="16"/>
                <w:szCs w:val="16"/>
              </w:rPr>
              <w:t>($2,425)</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15A411DA"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524D9B68" w14:textId="77777777">
            <w:pPr>
              <w:jc w:val="center"/>
              <w:rPr>
                <w:rFonts w:ascii="Arial" w:hAnsi="Arial" w:cs="Arial"/>
                <w:sz w:val="16"/>
                <w:szCs w:val="16"/>
              </w:rPr>
            </w:pPr>
            <w:r w:rsidRPr="005D0593">
              <w:rPr>
                <w:rFonts w:ascii="Arial" w:hAnsi="Arial" w:cs="Arial"/>
                <w:sz w:val="16"/>
                <w:szCs w:val="16"/>
              </w:rPr>
              <w:t>($2,425)</w:t>
            </w:r>
          </w:p>
        </w:tc>
      </w:tr>
      <w:tr w14:paraId="62532FDC" w14:textId="77777777" w:rsidTr="003E7F81">
        <w:tblPrEx>
          <w:tblW w:w="9795" w:type="dxa"/>
          <w:tblLayout w:type="fixed"/>
          <w:tblLook w:val="04A0"/>
        </w:tblPrEx>
        <w:trPr>
          <w:trHeight w:val="467"/>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4647B0" w:rsidRPr="005D0593" w:rsidP="003E7F81" w14:paraId="3BEC0FF6" w14:textId="77777777">
            <w:pPr>
              <w:rPr>
                <w:rFonts w:ascii="Arial" w:hAnsi="Arial" w:cs="Arial"/>
                <w:sz w:val="16"/>
                <w:szCs w:val="16"/>
              </w:rPr>
            </w:pPr>
            <w:r w:rsidRPr="005D0593">
              <w:rPr>
                <w:rFonts w:ascii="Arial" w:hAnsi="Arial" w:cs="Arial"/>
                <w:color w:val="000000"/>
                <w:sz w:val="16"/>
                <w:szCs w:val="16"/>
              </w:rPr>
              <w:t>G. Ammonia Manufacturing</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6A2D208A" w14:textId="77777777">
            <w:pPr>
              <w:jc w:val="center"/>
              <w:rPr>
                <w:rFonts w:ascii="Arial" w:hAnsi="Arial" w:cs="Arial"/>
                <w:sz w:val="16"/>
                <w:szCs w:val="16"/>
              </w:rPr>
            </w:pPr>
            <w:r w:rsidRPr="005D0593">
              <w:rPr>
                <w:rFonts w:ascii="Arial" w:hAnsi="Arial" w:cs="Arial"/>
                <w:sz w:val="16"/>
                <w:szCs w:val="16"/>
              </w:rPr>
              <w:t>29</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6046359B" w14:textId="77777777">
            <w:pPr>
              <w:jc w:val="center"/>
              <w:rPr>
                <w:rFonts w:ascii="Arial" w:hAnsi="Arial" w:cs="Arial"/>
                <w:sz w:val="16"/>
                <w:szCs w:val="16"/>
              </w:rPr>
            </w:pPr>
            <w:r w:rsidRPr="005D0593">
              <w:rPr>
                <w:rFonts w:ascii="Arial" w:hAnsi="Arial" w:cs="Arial"/>
                <w:sz w:val="16"/>
                <w:szCs w:val="16"/>
              </w:rPr>
              <w:t xml:space="preserve">2 </w:t>
            </w:r>
          </w:p>
        </w:tc>
        <w:tc>
          <w:tcPr>
            <w:tcW w:w="1170" w:type="dxa"/>
            <w:tcBorders>
              <w:top w:val="nil"/>
              <w:left w:val="nil"/>
              <w:bottom w:val="single" w:sz="4" w:space="0" w:color="auto"/>
              <w:right w:val="single" w:sz="4" w:space="0" w:color="auto"/>
            </w:tcBorders>
            <w:vAlign w:val="bottom"/>
          </w:tcPr>
          <w:p w:rsidR="004647B0" w:rsidRPr="005D0593" w:rsidP="003E7F81" w14:paraId="00837599" w14:textId="77777777">
            <w:pPr>
              <w:jc w:val="center"/>
              <w:rPr>
                <w:rFonts w:ascii="Arial" w:hAnsi="Arial" w:cs="Arial"/>
                <w:sz w:val="16"/>
                <w:szCs w:val="16"/>
              </w:rPr>
            </w:pPr>
            <w:r w:rsidRPr="005D0593">
              <w:rPr>
                <w:rFonts w:ascii="Arial" w:hAnsi="Arial" w:cs="Arial"/>
                <w:sz w:val="16"/>
                <w:szCs w:val="16"/>
              </w:rPr>
              <w:t xml:space="preserve">0.1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4E430C7A" w14:textId="77777777">
            <w:pPr>
              <w:jc w:val="center"/>
              <w:rPr>
                <w:rFonts w:ascii="Arial" w:hAnsi="Arial" w:cs="Arial"/>
                <w:sz w:val="16"/>
                <w:szCs w:val="16"/>
              </w:rPr>
            </w:pPr>
            <w:r w:rsidRPr="005D0593">
              <w:rPr>
                <w:rFonts w:ascii="Arial" w:hAnsi="Arial" w:cs="Arial"/>
                <w:sz w:val="16"/>
                <w:szCs w:val="16"/>
              </w:rPr>
              <w:t xml:space="preserve">$119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7D42905D"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7DA9489A" w14:textId="77777777">
            <w:pPr>
              <w:jc w:val="center"/>
              <w:rPr>
                <w:rFonts w:ascii="Arial" w:hAnsi="Arial" w:cs="Arial"/>
                <w:sz w:val="16"/>
                <w:szCs w:val="16"/>
              </w:rPr>
            </w:pPr>
            <w:r w:rsidRPr="005D0593">
              <w:rPr>
                <w:rFonts w:ascii="Arial" w:hAnsi="Arial" w:cs="Arial"/>
                <w:sz w:val="16"/>
                <w:szCs w:val="16"/>
              </w:rPr>
              <w:t xml:space="preserve">$119 </w:t>
            </w:r>
          </w:p>
        </w:tc>
      </w:tr>
      <w:tr w14:paraId="3BD345F9"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4647B0" w:rsidRPr="005D0593" w:rsidP="003E7F81" w14:paraId="2C5FE4C3" w14:textId="77777777">
            <w:pPr>
              <w:rPr>
                <w:rFonts w:ascii="Arial" w:hAnsi="Arial" w:cs="Arial"/>
                <w:sz w:val="16"/>
                <w:szCs w:val="16"/>
              </w:rPr>
            </w:pPr>
            <w:r w:rsidRPr="005D0593">
              <w:rPr>
                <w:rFonts w:ascii="Arial" w:hAnsi="Arial" w:cs="Arial"/>
                <w:color w:val="000000"/>
                <w:sz w:val="16"/>
                <w:szCs w:val="16"/>
              </w:rPr>
              <w:t>H. Cement Production</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75D7DE82" w14:textId="77777777">
            <w:pPr>
              <w:jc w:val="center"/>
              <w:rPr>
                <w:rFonts w:ascii="Arial" w:hAnsi="Arial" w:cs="Arial"/>
                <w:sz w:val="16"/>
                <w:szCs w:val="16"/>
              </w:rPr>
            </w:pPr>
            <w:r w:rsidRPr="005D0593">
              <w:rPr>
                <w:rFonts w:ascii="Arial" w:hAnsi="Arial" w:cs="Arial"/>
                <w:sz w:val="16"/>
                <w:szCs w:val="16"/>
              </w:rPr>
              <w:t>94</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758020FA" w14:textId="77777777">
            <w:pPr>
              <w:jc w:val="center"/>
              <w:rPr>
                <w:rFonts w:ascii="Arial" w:hAnsi="Arial" w:cs="Arial"/>
                <w:sz w:val="16"/>
                <w:szCs w:val="16"/>
              </w:rPr>
            </w:pPr>
            <w:r w:rsidRPr="005D0593">
              <w:rPr>
                <w:rFonts w:ascii="Arial" w:hAnsi="Arial" w:cs="Arial"/>
                <w:sz w:val="16"/>
                <w:szCs w:val="16"/>
              </w:rPr>
              <w:t xml:space="preserve">27 </w:t>
            </w:r>
          </w:p>
        </w:tc>
        <w:tc>
          <w:tcPr>
            <w:tcW w:w="1170" w:type="dxa"/>
            <w:tcBorders>
              <w:top w:val="nil"/>
              <w:left w:val="nil"/>
              <w:bottom w:val="single" w:sz="4" w:space="0" w:color="auto"/>
              <w:right w:val="single" w:sz="4" w:space="0" w:color="auto"/>
            </w:tcBorders>
            <w:vAlign w:val="bottom"/>
          </w:tcPr>
          <w:p w:rsidR="004647B0" w:rsidRPr="005D0593" w:rsidP="003E7F81" w14:paraId="4F7E0B7C" w14:textId="77777777">
            <w:pPr>
              <w:jc w:val="center"/>
              <w:rPr>
                <w:rFonts w:ascii="Arial" w:hAnsi="Arial" w:cs="Arial"/>
                <w:sz w:val="16"/>
                <w:szCs w:val="16"/>
              </w:rPr>
            </w:pPr>
            <w:r w:rsidRPr="005D0593">
              <w:rPr>
                <w:rFonts w:ascii="Arial" w:hAnsi="Arial" w:cs="Arial"/>
                <w:sz w:val="16"/>
                <w:szCs w:val="16"/>
              </w:rPr>
              <w:t xml:space="preserve">0.3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318B66D8" w14:textId="77777777">
            <w:pPr>
              <w:jc w:val="center"/>
              <w:rPr>
                <w:rFonts w:ascii="Arial" w:hAnsi="Arial" w:cs="Arial"/>
                <w:sz w:val="16"/>
                <w:szCs w:val="16"/>
              </w:rPr>
            </w:pPr>
            <w:r w:rsidRPr="005D0593">
              <w:rPr>
                <w:rFonts w:ascii="Arial" w:hAnsi="Arial" w:cs="Arial"/>
                <w:sz w:val="16"/>
                <w:szCs w:val="16"/>
              </w:rPr>
              <w:t xml:space="preserve">$1,999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4BF53B4B"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19F08962" w14:textId="77777777">
            <w:pPr>
              <w:jc w:val="center"/>
              <w:rPr>
                <w:rFonts w:ascii="Arial" w:hAnsi="Arial" w:cs="Arial"/>
                <w:sz w:val="16"/>
                <w:szCs w:val="16"/>
              </w:rPr>
            </w:pPr>
            <w:r w:rsidRPr="005D0593">
              <w:rPr>
                <w:rFonts w:ascii="Arial" w:hAnsi="Arial" w:cs="Arial"/>
                <w:sz w:val="16"/>
                <w:szCs w:val="16"/>
              </w:rPr>
              <w:t xml:space="preserve">$1,999 </w:t>
            </w:r>
          </w:p>
        </w:tc>
      </w:tr>
      <w:tr w14:paraId="0B660257"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4647B0" w:rsidRPr="005D0593" w:rsidP="003E7F81" w14:paraId="33304556" w14:textId="77777777">
            <w:pPr>
              <w:rPr>
                <w:rFonts w:ascii="Arial" w:hAnsi="Arial" w:cs="Arial"/>
                <w:sz w:val="16"/>
                <w:szCs w:val="16"/>
              </w:rPr>
            </w:pPr>
            <w:r w:rsidRPr="005D0593">
              <w:rPr>
                <w:rFonts w:ascii="Arial" w:hAnsi="Arial" w:cs="Arial"/>
                <w:color w:val="000000"/>
                <w:sz w:val="16"/>
                <w:szCs w:val="16"/>
              </w:rPr>
              <w:t>I. Electronics Manufacturing</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5DE0D2F3" w14:textId="77777777">
            <w:pPr>
              <w:jc w:val="center"/>
              <w:rPr>
                <w:rFonts w:ascii="Arial" w:hAnsi="Arial" w:cs="Arial"/>
                <w:sz w:val="16"/>
                <w:szCs w:val="16"/>
              </w:rPr>
            </w:pPr>
            <w:r w:rsidRPr="005D0593">
              <w:rPr>
                <w:rFonts w:ascii="Arial" w:hAnsi="Arial" w:cs="Arial"/>
                <w:sz w:val="16"/>
                <w:szCs w:val="16"/>
              </w:rPr>
              <w:t>48</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1509A4E6" w14:textId="77777777">
            <w:pPr>
              <w:jc w:val="center"/>
              <w:rPr>
                <w:rFonts w:ascii="Arial" w:hAnsi="Arial" w:cs="Arial"/>
                <w:sz w:val="16"/>
                <w:szCs w:val="16"/>
              </w:rPr>
            </w:pPr>
            <w:r w:rsidRPr="005D0593">
              <w:rPr>
                <w:rFonts w:ascii="Arial" w:hAnsi="Arial" w:cs="Arial"/>
                <w:sz w:val="16"/>
                <w:szCs w:val="16"/>
              </w:rPr>
              <w:t xml:space="preserve">253 </w:t>
            </w:r>
          </w:p>
        </w:tc>
        <w:tc>
          <w:tcPr>
            <w:tcW w:w="1170" w:type="dxa"/>
            <w:tcBorders>
              <w:top w:val="nil"/>
              <w:left w:val="nil"/>
              <w:bottom w:val="single" w:sz="4" w:space="0" w:color="auto"/>
              <w:right w:val="single" w:sz="4" w:space="0" w:color="auto"/>
            </w:tcBorders>
            <w:vAlign w:val="bottom"/>
          </w:tcPr>
          <w:p w:rsidR="004647B0" w:rsidRPr="005D0593" w:rsidP="003E7F81" w14:paraId="2E07BF42" w14:textId="77777777">
            <w:pPr>
              <w:jc w:val="center"/>
              <w:rPr>
                <w:rFonts w:ascii="Arial" w:hAnsi="Arial" w:cs="Arial"/>
                <w:sz w:val="16"/>
                <w:szCs w:val="16"/>
              </w:rPr>
            </w:pPr>
            <w:r w:rsidRPr="005D0593">
              <w:rPr>
                <w:rFonts w:ascii="Arial" w:hAnsi="Arial" w:cs="Arial"/>
                <w:sz w:val="16"/>
                <w:szCs w:val="16"/>
              </w:rPr>
              <w:t xml:space="preserve">5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7A410730" w14:textId="77777777">
            <w:pPr>
              <w:jc w:val="center"/>
              <w:rPr>
                <w:rFonts w:ascii="Arial" w:hAnsi="Arial" w:cs="Arial"/>
                <w:sz w:val="16"/>
                <w:szCs w:val="16"/>
              </w:rPr>
            </w:pPr>
            <w:r w:rsidRPr="005D0593">
              <w:rPr>
                <w:rFonts w:ascii="Arial" w:hAnsi="Arial" w:cs="Arial"/>
                <w:sz w:val="16"/>
                <w:szCs w:val="16"/>
              </w:rPr>
              <w:t xml:space="preserve">$18,566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2BBDAFD4" w14:textId="77777777">
            <w:pPr>
              <w:jc w:val="center"/>
              <w:rPr>
                <w:rFonts w:ascii="Arial" w:hAnsi="Arial" w:cs="Arial"/>
                <w:sz w:val="16"/>
                <w:szCs w:val="16"/>
              </w:rPr>
            </w:pPr>
            <w:r w:rsidRPr="005D0593">
              <w:rPr>
                <w:rFonts w:ascii="Arial" w:hAnsi="Arial" w:cs="Arial"/>
                <w:sz w:val="16"/>
                <w:szCs w:val="16"/>
              </w:rPr>
              <w:t xml:space="preserve">$62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270F275E" w14:textId="77777777">
            <w:pPr>
              <w:jc w:val="center"/>
              <w:rPr>
                <w:rFonts w:ascii="Arial" w:hAnsi="Arial" w:cs="Arial"/>
                <w:sz w:val="16"/>
                <w:szCs w:val="16"/>
              </w:rPr>
            </w:pPr>
            <w:r w:rsidRPr="005D0593">
              <w:rPr>
                <w:rFonts w:ascii="Arial" w:hAnsi="Arial" w:cs="Arial"/>
                <w:sz w:val="16"/>
                <w:szCs w:val="16"/>
              </w:rPr>
              <w:t xml:space="preserve">$18,628 </w:t>
            </w:r>
          </w:p>
        </w:tc>
      </w:tr>
      <w:tr w14:paraId="7598E20D"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4647B0" w:rsidRPr="005D0593" w:rsidP="003E7F81" w14:paraId="63747821" w14:textId="77777777">
            <w:pPr>
              <w:rPr>
                <w:rFonts w:ascii="Arial" w:hAnsi="Arial" w:cs="Arial"/>
                <w:sz w:val="16"/>
                <w:szCs w:val="16"/>
              </w:rPr>
            </w:pPr>
            <w:r w:rsidRPr="005D0593">
              <w:rPr>
                <w:rFonts w:ascii="Arial" w:hAnsi="Arial" w:cs="Arial"/>
                <w:color w:val="000000"/>
                <w:sz w:val="16"/>
                <w:szCs w:val="16"/>
              </w:rPr>
              <w:t>N. Glass Production</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0631707E" w14:textId="77777777">
            <w:pPr>
              <w:jc w:val="center"/>
              <w:rPr>
                <w:rFonts w:ascii="Arial" w:hAnsi="Arial" w:cs="Arial"/>
                <w:sz w:val="16"/>
                <w:szCs w:val="16"/>
              </w:rPr>
            </w:pPr>
            <w:r w:rsidRPr="005D0593">
              <w:rPr>
                <w:rFonts w:ascii="Arial" w:hAnsi="Arial" w:cs="Arial"/>
                <w:sz w:val="16"/>
                <w:szCs w:val="16"/>
              </w:rPr>
              <w:t>101</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31B557D5" w14:textId="77777777">
            <w:pPr>
              <w:jc w:val="center"/>
              <w:rPr>
                <w:rFonts w:ascii="Arial" w:hAnsi="Arial" w:cs="Arial"/>
                <w:sz w:val="16"/>
                <w:szCs w:val="16"/>
              </w:rPr>
            </w:pPr>
            <w:r w:rsidRPr="005D0593">
              <w:rPr>
                <w:rFonts w:ascii="Arial" w:hAnsi="Arial" w:cs="Arial"/>
                <w:sz w:val="16"/>
                <w:szCs w:val="16"/>
              </w:rPr>
              <w:t xml:space="preserve">41 </w:t>
            </w:r>
          </w:p>
        </w:tc>
        <w:tc>
          <w:tcPr>
            <w:tcW w:w="1170" w:type="dxa"/>
            <w:tcBorders>
              <w:top w:val="nil"/>
              <w:left w:val="nil"/>
              <w:bottom w:val="single" w:sz="4" w:space="0" w:color="auto"/>
              <w:right w:val="single" w:sz="4" w:space="0" w:color="auto"/>
            </w:tcBorders>
            <w:vAlign w:val="bottom"/>
          </w:tcPr>
          <w:p w:rsidR="004647B0" w:rsidRPr="005D0593" w:rsidP="003E7F81" w14:paraId="14F759DA" w14:textId="77777777">
            <w:pPr>
              <w:jc w:val="center"/>
              <w:rPr>
                <w:rFonts w:ascii="Arial" w:hAnsi="Arial" w:cs="Arial"/>
                <w:sz w:val="16"/>
                <w:szCs w:val="16"/>
              </w:rPr>
            </w:pPr>
            <w:r w:rsidRPr="005D0593">
              <w:rPr>
                <w:rFonts w:ascii="Arial" w:hAnsi="Arial" w:cs="Arial"/>
                <w:sz w:val="16"/>
                <w:szCs w:val="16"/>
              </w:rPr>
              <w:t xml:space="preserve">0.4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703EC101" w14:textId="77777777">
            <w:pPr>
              <w:jc w:val="center"/>
              <w:rPr>
                <w:rFonts w:ascii="Arial" w:hAnsi="Arial" w:cs="Arial"/>
                <w:sz w:val="16"/>
                <w:szCs w:val="16"/>
              </w:rPr>
            </w:pPr>
            <w:r w:rsidRPr="005D0593">
              <w:rPr>
                <w:rFonts w:ascii="Arial" w:hAnsi="Arial" w:cs="Arial"/>
                <w:sz w:val="16"/>
                <w:szCs w:val="16"/>
              </w:rPr>
              <w:t xml:space="preserve">$2,074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327F4823"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57FF3B75" w14:textId="77777777">
            <w:pPr>
              <w:jc w:val="center"/>
              <w:rPr>
                <w:rFonts w:ascii="Arial" w:hAnsi="Arial" w:cs="Arial"/>
                <w:sz w:val="16"/>
                <w:szCs w:val="16"/>
              </w:rPr>
            </w:pPr>
            <w:r w:rsidRPr="005D0593">
              <w:rPr>
                <w:rFonts w:ascii="Arial" w:hAnsi="Arial" w:cs="Arial"/>
                <w:sz w:val="16"/>
                <w:szCs w:val="16"/>
              </w:rPr>
              <w:t xml:space="preserve">$2,074 </w:t>
            </w:r>
          </w:p>
        </w:tc>
      </w:tr>
      <w:tr w14:paraId="776199D6"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4647B0" w:rsidRPr="005D0593" w:rsidP="003E7F81" w14:paraId="0524F1CE" w14:textId="77777777">
            <w:pPr>
              <w:rPr>
                <w:rFonts w:ascii="Arial" w:hAnsi="Arial" w:cs="Arial"/>
                <w:sz w:val="16"/>
                <w:szCs w:val="16"/>
              </w:rPr>
            </w:pPr>
            <w:r w:rsidRPr="005D0593">
              <w:rPr>
                <w:rFonts w:ascii="Arial" w:hAnsi="Arial" w:cs="Arial"/>
                <w:color w:val="000000"/>
                <w:sz w:val="16"/>
                <w:szCs w:val="16"/>
              </w:rPr>
              <w:t>P. Hydrogen Production</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755D20A8" w14:textId="77777777">
            <w:pPr>
              <w:jc w:val="center"/>
              <w:rPr>
                <w:rFonts w:ascii="Arial" w:hAnsi="Arial" w:cs="Arial"/>
                <w:sz w:val="16"/>
                <w:szCs w:val="16"/>
              </w:rPr>
            </w:pPr>
            <w:r w:rsidRPr="005D0593">
              <w:rPr>
                <w:rFonts w:ascii="Arial" w:hAnsi="Arial" w:cs="Arial"/>
                <w:sz w:val="16"/>
                <w:szCs w:val="16"/>
              </w:rPr>
              <w:t>114</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10BACF69" w14:textId="77777777">
            <w:pPr>
              <w:jc w:val="center"/>
              <w:rPr>
                <w:rFonts w:ascii="Arial" w:hAnsi="Arial" w:cs="Arial"/>
                <w:sz w:val="16"/>
                <w:szCs w:val="16"/>
              </w:rPr>
            </w:pPr>
            <w:r w:rsidRPr="005D0593">
              <w:rPr>
                <w:rFonts w:ascii="Arial" w:hAnsi="Arial" w:cs="Arial"/>
                <w:sz w:val="16"/>
                <w:szCs w:val="16"/>
              </w:rPr>
              <w:t xml:space="preserve">124 </w:t>
            </w:r>
          </w:p>
        </w:tc>
        <w:tc>
          <w:tcPr>
            <w:tcW w:w="1170" w:type="dxa"/>
            <w:tcBorders>
              <w:top w:val="nil"/>
              <w:left w:val="nil"/>
              <w:bottom w:val="single" w:sz="4" w:space="0" w:color="auto"/>
              <w:right w:val="single" w:sz="4" w:space="0" w:color="auto"/>
            </w:tcBorders>
            <w:vAlign w:val="bottom"/>
          </w:tcPr>
          <w:p w:rsidR="004647B0" w:rsidRPr="005D0593" w:rsidP="003E7F81" w14:paraId="69B3A4B7" w14:textId="77777777">
            <w:pPr>
              <w:jc w:val="center"/>
              <w:rPr>
                <w:rFonts w:ascii="Arial" w:hAnsi="Arial" w:cs="Arial"/>
                <w:sz w:val="16"/>
                <w:szCs w:val="16"/>
              </w:rPr>
            </w:pPr>
            <w:r w:rsidRPr="005D0593">
              <w:rPr>
                <w:rFonts w:ascii="Arial" w:hAnsi="Arial" w:cs="Arial"/>
                <w:sz w:val="16"/>
                <w:szCs w:val="16"/>
              </w:rPr>
              <w:t xml:space="preserve">1.1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2BC2FBD0" w14:textId="77777777">
            <w:pPr>
              <w:jc w:val="center"/>
              <w:rPr>
                <w:rFonts w:ascii="Arial" w:hAnsi="Arial" w:cs="Arial"/>
                <w:sz w:val="16"/>
                <w:szCs w:val="16"/>
              </w:rPr>
            </w:pPr>
            <w:r w:rsidRPr="005D0593">
              <w:rPr>
                <w:rFonts w:ascii="Arial" w:hAnsi="Arial" w:cs="Arial"/>
                <w:sz w:val="16"/>
                <w:szCs w:val="16"/>
              </w:rPr>
              <w:t xml:space="preserve">$7,497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724333A6" w14:textId="77777777">
            <w:pPr>
              <w:jc w:val="center"/>
              <w:rPr>
                <w:rFonts w:ascii="Arial" w:hAnsi="Arial" w:cs="Arial"/>
                <w:sz w:val="16"/>
                <w:szCs w:val="16"/>
              </w:rPr>
            </w:pPr>
            <w:r w:rsidRPr="005D0593">
              <w:rPr>
                <w:rFonts w:ascii="Arial" w:hAnsi="Arial" w:cs="Arial"/>
                <w:sz w:val="16"/>
                <w:szCs w:val="16"/>
              </w:rPr>
              <w:t xml:space="preserve">$2,561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17216663" w14:textId="77777777">
            <w:pPr>
              <w:jc w:val="center"/>
              <w:rPr>
                <w:rFonts w:ascii="Arial" w:hAnsi="Arial" w:cs="Arial"/>
                <w:sz w:val="16"/>
                <w:szCs w:val="16"/>
              </w:rPr>
            </w:pPr>
            <w:r w:rsidRPr="005D0593">
              <w:rPr>
                <w:rFonts w:ascii="Arial" w:hAnsi="Arial" w:cs="Arial"/>
                <w:sz w:val="16"/>
                <w:szCs w:val="16"/>
              </w:rPr>
              <w:t xml:space="preserve">$10,058 </w:t>
            </w:r>
          </w:p>
        </w:tc>
      </w:tr>
      <w:tr w14:paraId="004077A5"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4647B0" w:rsidRPr="005D0593" w:rsidP="003E7F81" w14:paraId="76579795" w14:textId="77777777">
            <w:pPr>
              <w:rPr>
                <w:rFonts w:ascii="Arial" w:hAnsi="Arial" w:cs="Arial"/>
                <w:sz w:val="16"/>
                <w:szCs w:val="16"/>
              </w:rPr>
            </w:pPr>
            <w:r w:rsidRPr="005D0593">
              <w:rPr>
                <w:rFonts w:ascii="Arial" w:hAnsi="Arial" w:cs="Arial"/>
                <w:color w:val="000000"/>
                <w:sz w:val="16"/>
                <w:szCs w:val="16"/>
              </w:rPr>
              <w:t>Q. Iron and Steel Production</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195F1E40" w14:textId="77777777">
            <w:pPr>
              <w:jc w:val="center"/>
              <w:rPr>
                <w:rFonts w:ascii="Arial" w:hAnsi="Arial" w:cs="Arial"/>
                <w:sz w:val="16"/>
                <w:szCs w:val="16"/>
              </w:rPr>
            </w:pPr>
            <w:r w:rsidRPr="005D0593">
              <w:rPr>
                <w:rFonts w:ascii="Arial" w:hAnsi="Arial" w:cs="Arial"/>
                <w:sz w:val="16"/>
                <w:szCs w:val="16"/>
              </w:rPr>
              <w:t>121</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71183F1C" w14:textId="77777777">
            <w:pPr>
              <w:jc w:val="center"/>
              <w:rPr>
                <w:rFonts w:ascii="Arial" w:hAnsi="Arial" w:cs="Arial"/>
                <w:sz w:val="16"/>
                <w:szCs w:val="16"/>
              </w:rPr>
            </w:pPr>
            <w:r w:rsidRPr="005D0593">
              <w:rPr>
                <w:rFonts w:ascii="Arial" w:hAnsi="Arial" w:cs="Arial"/>
                <w:sz w:val="16"/>
                <w:szCs w:val="16"/>
              </w:rPr>
              <w:t xml:space="preserve">21 </w:t>
            </w:r>
          </w:p>
        </w:tc>
        <w:tc>
          <w:tcPr>
            <w:tcW w:w="1170" w:type="dxa"/>
            <w:tcBorders>
              <w:top w:val="nil"/>
              <w:left w:val="nil"/>
              <w:bottom w:val="single" w:sz="4" w:space="0" w:color="auto"/>
              <w:right w:val="single" w:sz="4" w:space="0" w:color="auto"/>
            </w:tcBorders>
            <w:vAlign w:val="bottom"/>
          </w:tcPr>
          <w:p w:rsidR="004647B0" w:rsidRPr="005D0593" w:rsidP="003E7F81" w14:paraId="4A3A0869" w14:textId="77777777">
            <w:pPr>
              <w:jc w:val="center"/>
              <w:rPr>
                <w:rFonts w:ascii="Arial" w:hAnsi="Arial" w:cs="Arial"/>
                <w:sz w:val="16"/>
                <w:szCs w:val="16"/>
              </w:rPr>
            </w:pPr>
            <w:r w:rsidRPr="005D0593">
              <w:rPr>
                <w:rFonts w:ascii="Arial" w:hAnsi="Arial" w:cs="Arial"/>
                <w:sz w:val="16"/>
                <w:szCs w:val="16"/>
              </w:rPr>
              <w:t xml:space="preserve">0.2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2F618C12" w14:textId="77777777">
            <w:pPr>
              <w:jc w:val="center"/>
              <w:rPr>
                <w:rFonts w:ascii="Arial" w:hAnsi="Arial" w:cs="Arial"/>
                <w:sz w:val="16"/>
                <w:szCs w:val="16"/>
              </w:rPr>
            </w:pPr>
            <w:r w:rsidRPr="005D0593">
              <w:rPr>
                <w:rFonts w:ascii="Arial" w:hAnsi="Arial" w:cs="Arial"/>
                <w:sz w:val="16"/>
                <w:szCs w:val="16"/>
              </w:rPr>
              <w:t xml:space="preserve">$1,485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4C4765E8"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6A1D472D" w14:textId="77777777">
            <w:pPr>
              <w:jc w:val="center"/>
              <w:rPr>
                <w:rFonts w:ascii="Arial" w:hAnsi="Arial" w:cs="Arial"/>
                <w:sz w:val="16"/>
                <w:szCs w:val="16"/>
              </w:rPr>
            </w:pPr>
            <w:r w:rsidRPr="005D0593">
              <w:rPr>
                <w:rFonts w:ascii="Arial" w:hAnsi="Arial" w:cs="Arial"/>
                <w:sz w:val="16"/>
                <w:szCs w:val="16"/>
              </w:rPr>
              <w:t xml:space="preserve">$1,485 </w:t>
            </w:r>
          </w:p>
        </w:tc>
      </w:tr>
      <w:tr w14:paraId="7DACE274" w14:textId="77777777" w:rsidTr="003E7F81">
        <w:tblPrEx>
          <w:tblW w:w="9795" w:type="dxa"/>
          <w:tblLayout w:type="fixed"/>
          <w:tblLook w:val="04A0"/>
        </w:tblPrEx>
        <w:trPr>
          <w:trHeight w:val="377"/>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4647B0" w:rsidRPr="005D0593" w:rsidP="003E7F81" w14:paraId="443AB6CE" w14:textId="77777777">
            <w:pPr>
              <w:rPr>
                <w:rFonts w:ascii="Arial" w:hAnsi="Arial" w:cs="Arial"/>
                <w:sz w:val="16"/>
                <w:szCs w:val="16"/>
              </w:rPr>
            </w:pPr>
            <w:r w:rsidRPr="005D0593">
              <w:rPr>
                <w:rFonts w:ascii="Arial" w:hAnsi="Arial" w:cs="Arial"/>
                <w:color w:val="000000"/>
                <w:sz w:val="16"/>
                <w:szCs w:val="16"/>
              </w:rPr>
              <w:t>S. Lime Manufacturing</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1B83C9B7" w14:textId="77777777">
            <w:pPr>
              <w:jc w:val="center"/>
              <w:rPr>
                <w:rFonts w:ascii="Arial" w:hAnsi="Arial" w:cs="Arial"/>
                <w:sz w:val="16"/>
                <w:szCs w:val="16"/>
              </w:rPr>
            </w:pPr>
            <w:r w:rsidRPr="005D0593">
              <w:rPr>
                <w:rFonts w:ascii="Arial" w:hAnsi="Arial" w:cs="Arial"/>
                <w:sz w:val="16"/>
                <w:szCs w:val="16"/>
              </w:rPr>
              <w:t>71</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29DE4148" w14:textId="77777777">
            <w:pPr>
              <w:jc w:val="center"/>
              <w:rPr>
                <w:rFonts w:ascii="Arial" w:hAnsi="Arial" w:cs="Arial"/>
                <w:sz w:val="16"/>
                <w:szCs w:val="16"/>
              </w:rPr>
            </w:pPr>
            <w:r w:rsidRPr="005D0593">
              <w:rPr>
                <w:rFonts w:ascii="Arial" w:hAnsi="Arial" w:cs="Arial"/>
                <w:sz w:val="16"/>
                <w:szCs w:val="16"/>
              </w:rPr>
              <w:t xml:space="preserve">41 </w:t>
            </w:r>
          </w:p>
        </w:tc>
        <w:tc>
          <w:tcPr>
            <w:tcW w:w="1170" w:type="dxa"/>
            <w:tcBorders>
              <w:top w:val="nil"/>
              <w:left w:val="nil"/>
              <w:bottom w:val="single" w:sz="4" w:space="0" w:color="auto"/>
              <w:right w:val="single" w:sz="4" w:space="0" w:color="auto"/>
            </w:tcBorders>
            <w:vAlign w:val="bottom"/>
          </w:tcPr>
          <w:p w:rsidR="004647B0" w:rsidRPr="005D0593" w:rsidP="003E7F81" w14:paraId="4E7B2BCA" w14:textId="77777777">
            <w:pPr>
              <w:jc w:val="center"/>
              <w:rPr>
                <w:rFonts w:ascii="Arial" w:hAnsi="Arial" w:cs="Arial"/>
                <w:sz w:val="16"/>
                <w:szCs w:val="16"/>
              </w:rPr>
            </w:pPr>
            <w:r w:rsidRPr="005D0593">
              <w:rPr>
                <w:rFonts w:ascii="Arial" w:hAnsi="Arial" w:cs="Arial"/>
                <w:sz w:val="16"/>
                <w:szCs w:val="16"/>
              </w:rPr>
              <w:t xml:space="preserve">0.6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664BCCE8" w14:textId="77777777">
            <w:pPr>
              <w:jc w:val="center"/>
              <w:rPr>
                <w:rFonts w:ascii="Arial" w:hAnsi="Arial" w:cs="Arial"/>
                <w:sz w:val="16"/>
                <w:szCs w:val="16"/>
              </w:rPr>
            </w:pPr>
            <w:r w:rsidRPr="005D0593">
              <w:rPr>
                <w:rFonts w:ascii="Arial" w:hAnsi="Arial" w:cs="Arial"/>
                <w:sz w:val="16"/>
                <w:szCs w:val="16"/>
              </w:rPr>
              <w:t xml:space="preserve">$1,186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0500C909"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0A2D0F34" w14:textId="77777777">
            <w:pPr>
              <w:jc w:val="center"/>
              <w:rPr>
                <w:rFonts w:ascii="Arial" w:hAnsi="Arial" w:cs="Arial"/>
                <w:sz w:val="16"/>
                <w:szCs w:val="16"/>
              </w:rPr>
            </w:pPr>
            <w:r w:rsidRPr="005D0593">
              <w:rPr>
                <w:rFonts w:ascii="Arial" w:hAnsi="Arial" w:cs="Arial"/>
                <w:sz w:val="16"/>
                <w:szCs w:val="16"/>
              </w:rPr>
              <w:t xml:space="preserve">$1,186 </w:t>
            </w:r>
          </w:p>
        </w:tc>
      </w:tr>
      <w:tr w14:paraId="026841D7"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4647B0" w:rsidRPr="005D0593" w:rsidP="003E7F81" w14:paraId="6C786E8E" w14:textId="77777777">
            <w:pPr>
              <w:rPr>
                <w:rFonts w:ascii="Arial" w:hAnsi="Arial" w:cs="Arial"/>
                <w:sz w:val="16"/>
                <w:szCs w:val="16"/>
              </w:rPr>
            </w:pPr>
            <w:r w:rsidRPr="005D0593">
              <w:rPr>
                <w:rFonts w:ascii="Arial" w:hAnsi="Arial" w:cs="Arial"/>
                <w:color w:val="000000"/>
                <w:sz w:val="16"/>
                <w:szCs w:val="16"/>
              </w:rPr>
              <w:t>V. Nitric Acid Production</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63362582" w14:textId="77777777">
            <w:pPr>
              <w:jc w:val="center"/>
              <w:rPr>
                <w:rFonts w:ascii="Arial" w:hAnsi="Arial" w:cs="Arial"/>
                <w:sz w:val="16"/>
                <w:szCs w:val="16"/>
              </w:rPr>
            </w:pPr>
            <w:r w:rsidRPr="005D0593">
              <w:rPr>
                <w:rFonts w:ascii="Arial" w:hAnsi="Arial" w:cs="Arial"/>
                <w:sz w:val="16"/>
                <w:szCs w:val="16"/>
              </w:rPr>
              <w:t>1</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2F49EA08" w14:textId="77777777">
            <w:pPr>
              <w:jc w:val="center"/>
              <w:rPr>
                <w:rFonts w:ascii="Arial" w:hAnsi="Arial" w:cs="Arial"/>
                <w:sz w:val="16"/>
                <w:szCs w:val="16"/>
              </w:rPr>
            </w:pPr>
            <w:r w:rsidRPr="005D0593">
              <w:rPr>
                <w:rFonts w:ascii="Arial" w:hAnsi="Arial" w:cs="Arial"/>
                <w:sz w:val="16"/>
                <w:szCs w:val="16"/>
              </w:rPr>
              <w:t>(95)</w:t>
            </w:r>
          </w:p>
        </w:tc>
        <w:tc>
          <w:tcPr>
            <w:tcW w:w="1170" w:type="dxa"/>
            <w:tcBorders>
              <w:top w:val="nil"/>
              <w:left w:val="nil"/>
              <w:bottom w:val="single" w:sz="4" w:space="0" w:color="auto"/>
              <w:right w:val="single" w:sz="4" w:space="0" w:color="auto"/>
            </w:tcBorders>
            <w:vAlign w:val="bottom"/>
          </w:tcPr>
          <w:p w:rsidR="004647B0" w:rsidRPr="005D0593" w:rsidP="003E7F81" w14:paraId="41A40DC5" w14:textId="77777777">
            <w:pPr>
              <w:jc w:val="center"/>
              <w:rPr>
                <w:rFonts w:ascii="Arial" w:hAnsi="Arial" w:cs="Arial"/>
                <w:sz w:val="16"/>
                <w:szCs w:val="16"/>
              </w:rPr>
            </w:pPr>
            <w:r w:rsidRPr="005D0593">
              <w:rPr>
                <w:rFonts w:ascii="Arial" w:hAnsi="Arial" w:cs="Arial"/>
                <w:sz w:val="16"/>
                <w:szCs w:val="16"/>
              </w:rPr>
              <w:t>(94.8)</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4DB128BD" w14:textId="77777777">
            <w:pPr>
              <w:jc w:val="center"/>
              <w:rPr>
                <w:rFonts w:ascii="Arial" w:hAnsi="Arial" w:cs="Arial"/>
                <w:sz w:val="16"/>
                <w:szCs w:val="16"/>
              </w:rPr>
            </w:pPr>
            <w:r w:rsidRPr="005D0593">
              <w:rPr>
                <w:rFonts w:ascii="Arial" w:hAnsi="Arial" w:cs="Arial"/>
                <w:sz w:val="16"/>
                <w:szCs w:val="16"/>
              </w:rPr>
              <w:t>($2,680)</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2074C343" w14:textId="77777777">
            <w:pPr>
              <w:jc w:val="center"/>
              <w:rPr>
                <w:rFonts w:ascii="Arial" w:hAnsi="Arial" w:cs="Arial"/>
                <w:sz w:val="16"/>
                <w:szCs w:val="16"/>
              </w:rPr>
            </w:pPr>
            <w:r w:rsidRPr="005D0593">
              <w:rPr>
                <w:rFonts w:ascii="Arial" w:hAnsi="Arial" w:cs="Arial"/>
                <w:sz w:val="16"/>
                <w:szCs w:val="16"/>
              </w:rPr>
              <w:t>($11,085)</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3A73AAB2" w14:textId="77777777">
            <w:pPr>
              <w:jc w:val="center"/>
              <w:rPr>
                <w:rFonts w:ascii="Arial" w:hAnsi="Arial" w:cs="Arial"/>
                <w:sz w:val="16"/>
                <w:szCs w:val="16"/>
              </w:rPr>
            </w:pPr>
            <w:r w:rsidRPr="005D0593">
              <w:rPr>
                <w:rFonts w:ascii="Arial" w:hAnsi="Arial" w:cs="Arial"/>
                <w:sz w:val="16"/>
                <w:szCs w:val="16"/>
              </w:rPr>
              <w:t>($13,765)</w:t>
            </w:r>
          </w:p>
        </w:tc>
      </w:tr>
      <w:tr w14:paraId="6C03A819"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4647B0" w:rsidRPr="005D0593" w:rsidP="003E7F81" w14:paraId="74B27A0B" w14:textId="77777777">
            <w:pPr>
              <w:rPr>
                <w:rFonts w:ascii="Arial" w:hAnsi="Arial" w:cs="Arial"/>
                <w:sz w:val="16"/>
                <w:szCs w:val="16"/>
              </w:rPr>
            </w:pPr>
            <w:r w:rsidRPr="005D0593">
              <w:rPr>
                <w:rFonts w:ascii="Arial" w:hAnsi="Arial" w:cs="Arial"/>
                <w:color w:val="000000"/>
                <w:sz w:val="16"/>
                <w:szCs w:val="16"/>
              </w:rPr>
              <w:t>W. Petroleum and Natural Gas Systems</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7E00E6E4" w14:textId="77777777">
            <w:pPr>
              <w:jc w:val="center"/>
              <w:rPr>
                <w:rFonts w:ascii="Arial" w:hAnsi="Arial" w:cs="Arial"/>
                <w:sz w:val="16"/>
                <w:szCs w:val="16"/>
              </w:rPr>
            </w:pPr>
            <w:r w:rsidRPr="005D0593">
              <w:rPr>
                <w:rFonts w:ascii="Arial" w:hAnsi="Arial" w:cs="Arial"/>
                <w:sz w:val="16"/>
                <w:szCs w:val="16"/>
              </w:rPr>
              <w:t>188</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03A6A328" w14:textId="77777777">
            <w:pPr>
              <w:jc w:val="center"/>
              <w:rPr>
                <w:rFonts w:ascii="Arial" w:hAnsi="Arial" w:cs="Arial"/>
                <w:sz w:val="16"/>
                <w:szCs w:val="16"/>
              </w:rPr>
            </w:pPr>
            <w:r w:rsidRPr="005D0593">
              <w:rPr>
                <w:rFonts w:ascii="Arial" w:hAnsi="Arial" w:cs="Arial"/>
                <w:sz w:val="16"/>
                <w:szCs w:val="16"/>
              </w:rPr>
              <w:t xml:space="preserve">22,045 </w:t>
            </w:r>
          </w:p>
        </w:tc>
        <w:tc>
          <w:tcPr>
            <w:tcW w:w="1170" w:type="dxa"/>
            <w:tcBorders>
              <w:top w:val="nil"/>
              <w:left w:val="nil"/>
              <w:bottom w:val="single" w:sz="4" w:space="0" w:color="auto"/>
              <w:right w:val="single" w:sz="4" w:space="0" w:color="auto"/>
            </w:tcBorders>
            <w:vAlign w:val="bottom"/>
          </w:tcPr>
          <w:p w:rsidR="004647B0" w:rsidRPr="005D0593" w:rsidP="003E7F81" w14:paraId="2ACDDF6B" w14:textId="77777777">
            <w:pPr>
              <w:jc w:val="center"/>
              <w:rPr>
                <w:rFonts w:ascii="Arial" w:hAnsi="Arial" w:cs="Arial"/>
                <w:sz w:val="16"/>
                <w:szCs w:val="16"/>
              </w:rPr>
            </w:pPr>
            <w:r w:rsidRPr="005D0593">
              <w:rPr>
                <w:rFonts w:ascii="Arial" w:hAnsi="Arial" w:cs="Arial"/>
                <w:sz w:val="16"/>
                <w:szCs w:val="16"/>
              </w:rPr>
              <w:t xml:space="preserve">117.3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3700D3F4" w14:textId="77777777">
            <w:pPr>
              <w:jc w:val="center"/>
              <w:rPr>
                <w:rFonts w:ascii="Arial" w:hAnsi="Arial" w:cs="Arial"/>
                <w:sz w:val="16"/>
                <w:szCs w:val="16"/>
              </w:rPr>
            </w:pPr>
            <w:r w:rsidRPr="005D0593">
              <w:rPr>
                <w:rFonts w:ascii="Arial" w:hAnsi="Arial" w:cs="Arial"/>
                <w:sz w:val="16"/>
                <w:szCs w:val="16"/>
              </w:rPr>
              <w:t xml:space="preserve">$2,433,058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35D00771" w14:textId="77777777">
            <w:pPr>
              <w:jc w:val="center"/>
              <w:rPr>
                <w:rFonts w:ascii="Arial" w:hAnsi="Arial" w:cs="Arial"/>
                <w:sz w:val="16"/>
                <w:szCs w:val="16"/>
              </w:rPr>
            </w:pPr>
            <w:r w:rsidRPr="005D0593">
              <w:rPr>
                <w:rFonts w:ascii="Arial" w:hAnsi="Arial" w:cs="Arial"/>
                <w:sz w:val="16"/>
                <w:szCs w:val="16"/>
              </w:rPr>
              <w:t xml:space="preserve">$2,717,864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08BA3EB0" w14:textId="77777777">
            <w:pPr>
              <w:jc w:val="center"/>
              <w:rPr>
                <w:rFonts w:ascii="Arial" w:hAnsi="Arial" w:cs="Arial"/>
                <w:sz w:val="16"/>
                <w:szCs w:val="16"/>
              </w:rPr>
            </w:pPr>
            <w:r w:rsidRPr="005D0593">
              <w:rPr>
                <w:rFonts w:ascii="Arial" w:hAnsi="Arial" w:cs="Arial"/>
                <w:sz w:val="16"/>
                <w:szCs w:val="16"/>
              </w:rPr>
              <w:t xml:space="preserve">$5,150,921 </w:t>
            </w:r>
          </w:p>
        </w:tc>
      </w:tr>
      <w:tr w14:paraId="2EE320C6"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4647B0" w:rsidRPr="005D0593" w:rsidP="003E7F81" w14:paraId="6354AFD4" w14:textId="77777777">
            <w:pPr>
              <w:rPr>
                <w:rFonts w:ascii="Arial" w:hAnsi="Arial" w:cs="Arial"/>
                <w:sz w:val="16"/>
                <w:szCs w:val="16"/>
              </w:rPr>
            </w:pPr>
            <w:r w:rsidRPr="005D0593">
              <w:rPr>
                <w:rFonts w:ascii="Arial" w:hAnsi="Arial" w:cs="Arial"/>
                <w:color w:val="000000"/>
                <w:sz w:val="16"/>
                <w:szCs w:val="16"/>
              </w:rPr>
              <w:t>X. Petrochemical Production</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42EA55D2" w14:textId="77777777">
            <w:pPr>
              <w:jc w:val="center"/>
              <w:rPr>
                <w:rFonts w:ascii="Arial" w:hAnsi="Arial" w:cs="Arial"/>
                <w:sz w:val="16"/>
                <w:szCs w:val="16"/>
              </w:rPr>
            </w:pPr>
            <w:r w:rsidRPr="005D0593">
              <w:rPr>
                <w:rFonts w:ascii="Arial" w:hAnsi="Arial" w:cs="Arial"/>
                <w:sz w:val="16"/>
                <w:szCs w:val="16"/>
              </w:rPr>
              <w:t>31</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32EB3228" w14:textId="77777777">
            <w:pPr>
              <w:jc w:val="center"/>
              <w:rPr>
                <w:rFonts w:ascii="Arial" w:hAnsi="Arial" w:cs="Arial"/>
                <w:sz w:val="16"/>
                <w:szCs w:val="16"/>
              </w:rPr>
            </w:pPr>
            <w:r w:rsidRPr="005D0593">
              <w:rPr>
                <w:rFonts w:ascii="Arial" w:hAnsi="Arial" w:cs="Arial"/>
                <w:sz w:val="16"/>
                <w:szCs w:val="16"/>
              </w:rPr>
              <w:t xml:space="preserve">14 </w:t>
            </w:r>
          </w:p>
        </w:tc>
        <w:tc>
          <w:tcPr>
            <w:tcW w:w="1170" w:type="dxa"/>
            <w:tcBorders>
              <w:top w:val="nil"/>
              <w:left w:val="nil"/>
              <w:bottom w:val="single" w:sz="4" w:space="0" w:color="auto"/>
              <w:right w:val="single" w:sz="4" w:space="0" w:color="auto"/>
            </w:tcBorders>
            <w:vAlign w:val="bottom"/>
          </w:tcPr>
          <w:p w:rsidR="004647B0" w:rsidRPr="005D0593" w:rsidP="003E7F81" w14:paraId="03EFEC58" w14:textId="77777777">
            <w:pPr>
              <w:jc w:val="center"/>
              <w:rPr>
                <w:rFonts w:ascii="Arial" w:hAnsi="Arial" w:cs="Arial"/>
                <w:sz w:val="16"/>
                <w:szCs w:val="16"/>
              </w:rPr>
            </w:pPr>
            <w:r w:rsidRPr="005D0593">
              <w:rPr>
                <w:rFonts w:ascii="Arial" w:hAnsi="Arial" w:cs="Arial"/>
                <w:sz w:val="16"/>
                <w:szCs w:val="16"/>
              </w:rPr>
              <w:t xml:space="preserve">0.5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264AAE35" w14:textId="77777777">
            <w:pPr>
              <w:jc w:val="center"/>
              <w:rPr>
                <w:rFonts w:ascii="Arial" w:hAnsi="Arial" w:cs="Arial"/>
                <w:sz w:val="16"/>
                <w:szCs w:val="16"/>
              </w:rPr>
            </w:pPr>
            <w:r w:rsidRPr="005D0593">
              <w:rPr>
                <w:rFonts w:ascii="Arial" w:hAnsi="Arial" w:cs="Arial"/>
                <w:sz w:val="16"/>
                <w:szCs w:val="16"/>
              </w:rPr>
              <w:t xml:space="preserve">$618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1A09F09D"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0A6063D9" w14:textId="77777777">
            <w:pPr>
              <w:jc w:val="center"/>
              <w:rPr>
                <w:rFonts w:ascii="Arial" w:hAnsi="Arial" w:cs="Arial"/>
                <w:sz w:val="16"/>
                <w:szCs w:val="16"/>
              </w:rPr>
            </w:pPr>
            <w:r w:rsidRPr="005D0593">
              <w:rPr>
                <w:rFonts w:ascii="Arial" w:hAnsi="Arial" w:cs="Arial"/>
                <w:sz w:val="16"/>
                <w:szCs w:val="16"/>
              </w:rPr>
              <w:t xml:space="preserve">$618 </w:t>
            </w:r>
          </w:p>
        </w:tc>
      </w:tr>
      <w:tr w14:paraId="2B335889"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4647B0" w:rsidRPr="005D0593" w:rsidP="003E7F81" w14:paraId="5A6D1476" w14:textId="77777777">
            <w:pPr>
              <w:rPr>
                <w:rFonts w:ascii="Arial" w:hAnsi="Arial" w:cs="Arial"/>
                <w:sz w:val="16"/>
                <w:szCs w:val="16"/>
              </w:rPr>
            </w:pPr>
            <w:r w:rsidRPr="005D0593">
              <w:rPr>
                <w:rFonts w:ascii="Arial" w:hAnsi="Arial" w:cs="Arial"/>
                <w:color w:val="000000"/>
                <w:sz w:val="16"/>
                <w:szCs w:val="16"/>
              </w:rPr>
              <w:t>Y. Petroleum Refineries</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25B6C61D" w14:textId="77777777">
            <w:pPr>
              <w:jc w:val="center"/>
              <w:rPr>
                <w:rFonts w:ascii="Arial" w:hAnsi="Arial" w:cs="Arial"/>
                <w:sz w:val="16"/>
                <w:szCs w:val="16"/>
              </w:rPr>
            </w:pPr>
            <w:r w:rsidRPr="005D0593">
              <w:rPr>
                <w:rFonts w:ascii="Arial" w:hAnsi="Arial" w:cs="Arial"/>
                <w:sz w:val="16"/>
                <w:szCs w:val="16"/>
              </w:rPr>
              <w:t>57</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6FDB18CE" w14:textId="77777777">
            <w:pPr>
              <w:jc w:val="center"/>
              <w:rPr>
                <w:rFonts w:ascii="Arial" w:hAnsi="Arial" w:cs="Arial"/>
                <w:sz w:val="16"/>
                <w:szCs w:val="16"/>
              </w:rPr>
            </w:pPr>
            <w:r w:rsidRPr="005D0593">
              <w:rPr>
                <w:rFonts w:ascii="Arial" w:hAnsi="Arial" w:cs="Arial"/>
                <w:sz w:val="16"/>
                <w:szCs w:val="16"/>
              </w:rPr>
              <w:t>(76)</w:t>
            </w:r>
          </w:p>
        </w:tc>
        <w:tc>
          <w:tcPr>
            <w:tcW w:w="1170" w:type="dxa"/>
            <w:tcBorders>
              <w:top w:val="nil"/>
              <w:left w:val="nil"/>
              <w:bottom w:val="single" w:sz="4" w:space="0" w:color="auto"/>
              <w:right w:val="single" w:sz="4" w:space="0" w:color="auto"/>
            </w:tcBorders>
            <w:vAlign w:val="bottom"/>
          </w:tcPr>
          <w:p w:rsidR="004647B0" w:rsidRPr="005D0593" w:rsidP="003E7F81" w14:paraId="4353819C" w14:textId="77777777">
            <w:pPr>
              <w:jc w:val="center"/>
              <w:rPr>
                <w:rFonts w:ascii="Arial" w:hAnsi="Arial" w:cs="Arial"/>
                <w:sz w:val="16"/>
                <w:szCs w:val="16"/>
              </w:rPr>
            </w:pPr>
            <w:r w:rsidRPr="005D0593">
              <w:rPr>
                <w:rFonts w:ascii="Arial" w:hAnsi="Arial" w:cs="Arial"/>
                <w:sz w:val="16"/>
                <w:szCs w:val="16"/>
              </w:rPr>
              <w:t>(1.3)</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75A0115D" w14:textId="77777777">
            <w:pPr>
              <w:jc w:val="center"/>
              <w:rPr>
                <w:rFonts w:ascii="Arial" w:hAnsi="Arial" w:cs="Arial"/>
                <w:sz w:val="16"/>
                <w:szCs w:val="16"/>
              </w:rPr>
            </w:pPr>
            <w:r w:rsidRPr="005D0593">
              <w:rPr>
                <w:rFonts w:ascii="Arial" w:hAnsi="Arial" w:cs="Arial"/>
                <w:sz w:val="16"/>
                <w:szCs w:val="16"/>
              </w:rPr>
              <w:t>($6,133)</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18C718DE" w14:textId="77777777">
            <w:pPr>
              <w:jc w:val="center"/>
              <w:rPr>
                <w:rFonts w:ascii="Arial" w:hAnsi="Arial" w:cs="Arial"/>
                <w:sz w:val="16"/>
                <w:szCs w:val="16"/>
              </w:rPr>
            </w:pPr>
            <w:r w:rsidRPr="005D0593">
              <w:rPr>
                <w:rFonts w:ascii="Arial" w:hAnsi="Arial" w:cs="Arial"/>
                <w:sz w:val="16"/>
                <w:szCs w:val="16"/>
              </w:rPr>
              <w:t>($3,930)</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2911CEB2" w14:textId="77777777">
            <w:pPr>
              <w:jc w:val="center"/>
              <w:rPr>
                <w:rFonts w:ascii="Arial" w:hAnsi="Arial" w:cs="Arial"/>
                <w:sz w:val="16"/>
                <w:szCs w:val="16"/>
              </w:rPr>
            </w:pPr>
            <w:r w:rsidRPr="005D0593">
              <w:rPr>
                <w:rFonts w:ascii="Arial" w:hAnsi="Arial" w:cs="Arial"/>
                <w:sz w:val="16"/>
                <w:szCs w:val="16"/>
              </w:rPr>
              <w:t>($10,063)</w:t>
            </w:r>
          </w:p>
        </w:tc>
      </w:tr>
      <w:tr w14:paraId="2C023658"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4647B0" w:rsidRPr="005D0593" w:rsidP="003E7F81" w14:paraId="6BD83963" w14:textId="77777777">
            <w:pPr>
              <w:rPr>
                <w:rFonts w:ascii="Arial" w:hAnsi="Arial" w:cs="Arial"/>
                <w:sz w:val="16"/>
                <w:szCs w:val="16"/>
              </w:rPr>
            </w:pPr>
            <w:r w:rsidRPr="005D0593">
              <w:rPr>
                <w:rFonts w:ascii="Arial" w:hAnsi="Arial" w:cs="Arial"/>
                <w:color w:val="000000"/>
                <w:sz w:val="16"/>
                <w:szCs w:val="16"/>
              </w:rPr>
              <w:t xml:space="preserve">AA. Pulp &amp; Paper </w:t>
            </w:r>
            <w:r w:rsidRPr="005D0593">
              <w:rPr>
                <w:rFonts w:ascii="Arial" w:hAnsi="Arial" w:cs="Arial"/>
                <w:color w:val="000000"/>
                <w:sz w:val="16"/>
                <w:szCs w:val="16"/>
              </w:rPr>
              <w:t>Mnfctrng</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611E7EF4" w14:textId="77777777">
            <w:pPr>
              <w:jc w:val="center"/>
              <w:rPr>
                <w:rFonts w:ascii="Arial" w:hAnsi="Arial" w:cs="Arial"/>
                <w:sz w:val="16"/>
                <w:szCs w:val="16"/>
              </w:rPr>
            </w:pPr>
            <w:r w:rsidRPr="005D0593">
              <w:rPr>
                <w:rFonts w:ascii="Arial" w:hAnsi="Arial" w:cs="Arial"/>
                <w:sz w:val="16"/>
                <w:szCs w:val="16"/>
              </w:rPr>
              <w:t>1</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69F9375F" w14:textId="77777777">
            <w:pPr>
              <w:jc w:val="center"/>
              <w:rPr>
                <w:rFonts w:ascii="Arial" w:hAnsi="Arial" w:cs="Arial"/>
                <w:sz w:val="16"/>
                <w:szCs w:val="16"/>
              </w:rPr>
            </w:pPr>
            <w:r w:rsidRPr="005D0593">
              <w:rPr>
                <w:rFonts w:ascii="Arial" w:hAnsi="Arial" w:cs="Arial"/>
                <w:sz w:val="16"/>
                <w:szCs w:val="16"/>
              </w:rPr>
              <w:t xml:space="preserve">1 </w:t>
            </w:r>
          </w:p>
        </w:tc>
        <w:tc>
          <w:tcPr>
            <w:tcW w:w="1170" w:type="dxa"/>
            <w:tcBorders>
              <w:top w:val="nil"/>
              <w:left w:val="nil"/>
              <w:bottom w:val="single" w:sz="4" w:space="0" w:color="auto"/>
              <w:right w:val="single" w:sz="4" w:space="0" w:color="auto"/>
            </w:tcBorders>
            <w:vAlign w:val="bottom"/>
          </w:tcPr>
          <w:p w:rsidR="004647B0" w:rsidRPr="005D0593" w:rsidP="003E7F81" w14:paraId="18CE2476" w14:textId="77777777">
            <w:pPr>
              <w:jc w:val="center"/>
              <w:rPr>
                <w:rFonts w:ascii="Arial" w:hAnsi="Arial" w:cs="Arial"/>
                <w:sz w:val="16"/>
                <w:szCs w:val="16"/>
              </w:rPr>
            </w:pPr>
            <w:r w:rsidRPr="005D0593">
              <w:rPr>
                <w:rFonts w:ascii="Arial" w:hAnsi="Arial" w:cs="Arial"/>
                <w:sz w:val="16"/>
                <w:szCs w:val="16"/>
              </w:rPr>
              <w:t xml:space="preserve">1.4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37597A64" w14:textId="77777777">
            <w:pPr>
              <w:jc w:val="center"/>
              <w:rPr>
                <w:rFonts w:ascii="Arial" w:hAnsi="Arial" w:cs="Arial"/>
                <w:sz w:val="16"/>
                <w:szCs w:val="16"/>
              </w:rPr>
            </w:pPr>
            <w:r w:rsidRPr="005D0593">
              <w:rPr>
                <w:rFonts w:ascii="Arial" w:hAnsi="Arial" w:cs="Arial"/>
                <w:sz w:val="16"/>
                <w:szCs w:val="16"/>
              </w:rPr>
              <w:t xml:space="preserve">$104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7EB918A7"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1DF3C611" w14:textId="77777777">
            <w:pPr>
              <w:jc w:val="center"/>
              <w:rPr>
                <w:rFonts w:ascii="Arial" w:hAnsi="Arial" w:cs="Arial"/>
                <w:sz w:val="16"/>
                <w:szCs w:val="16"/>
              </w:rPr>
            </w:pPr>
            <w:r w:rsidRPr="005D0593">
              <w:rPr>
                <w:rFonts w:ascii="Arial" w:hAnsi="Arial" w:cs="Arial"/>
                <w:sz w:val="16"/>
                <w:szCs w:val="16"/>
              </w:rPr>
              <w:t xml:space="preserve">$104 </w:t>
            </w:r>
          </w:p>
        </w:tc>
      </w:tr>
      <w:tr w14:paraId="5C7BC5E8"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4647B0" w:rsidRPr="005D0593" w:rsidP="003E7F81" w14:paraId="6BEBA256" w14:textId="77777777">
            <w:pPr>
              <w:rPr>
                <w:rFonts w:ascii="Arial" w:hAnsi="Arial" w:cs="Arial"/>
                <w:sz w:val="16"/>
                <w:szCs w:val="16"/>
              </w:rPr>
            </w:pPr>
            <w:r w:rsidRPr="005D0593">
              <w:rPr>
                <w:rFonts w:ascii="Arial" w:hAnsi="Arial" w:cs="Arial"/>
                <w:color w:val="000000"/>
                <w:sz w:val="16"/>
                <w:szCs w:val="16"/>
              </w:rPr>
              <w:t>BB. Silicon Carbide Production</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49BFAB50" w14:textId="77777777">
            <w:pPr>
              <w:jc w:val="center"/>
              <w:rPr>
                <w:rFonts w:ascii="Arial" w:hAnsi="Arial" w:cs="Arial"/>
                <w:sz w:val="16"/>
                <w:szCs w:val="16"/>
              </w:rPr>
            </w:pPr>
            <w:r w:rsidRPr="005D0593">
              <w:rPr>
                <w:rFonts w:ascii="Arial" w:hAnsi="Arial" w:cs="Arial"/>
                <w:sz w:val="16"/>
                <w:szCs w:val="16"/>
              </w:rPr>
              <w:t>1</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591BEF75"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nil"/>
              <w:bottom w:val="single" w:sz="4" w:space="0" w:color="auto"/>
              <w:right w:val="single" w:sz="4" w:space="0" w:color="auto"/>
            </w:tcBorders>
            <w:vAlign w:val="bottom"/>
          </w:tcPr>
          <w:p w:rsidR="004647B0" w:rsidRPr="005D0593" w:rsidP="003E7F81" w14:paraId="1FBE3BB7" w14:textId="77777777">
            <w:pPr>
              <w:jc w:val="center"/>
              <w:rPr>
                <w:rFonts w:ascii="Arial" w:hAnsi="Arial" w:cs="Arial"/>
                <w:sz w:val="16"/>
                <w:szCs w:val="16"/>
              </w:rPr>
            </w:pPr>
            <w:r w:rsidRPr="005D0593">
              <w:rPr>
                <w:rFonts w:ascii="Arial" w:hAnsi="Arial" w:cs="Arial"/>
                <w:sz w:val="16"/>
                <w:szCs w:val="16"/>
              </w:rPr>
              <w:t xml:space="preserve">0.3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600597A5" w14:textId="77777777">
            <w:pPr>
              <w:jc w:val="center"/>
              <w:rPr>
                <w:rFonts w:ascii="Arial" w:hAnsi="Arial" w:cs="Arial"/>
                <w:sz w:val="16"/>
                <w:szCs w:val="16"/>
              </w:rPr>
            </w:pPr>
            <w:r w:rsidRPr="005D0593">
              <w:rPr>
                <w:rFonts w:ascii="Arial" w:hAnsi="Arial" w:cs="Arial"/>
                <w:sz w:val="16"/>
                <w:szCs w:val="16"/>
              </w:rPr>
              <w:t xml:space="preserve">$20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51978FAC"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3E6FA78E" w14:textId="77777777">
            <w:pPr>
              <w:jc w:val="center"/>
              <w:rPr>
                <w:rFonts w:ascii="Arial" w:hAnsi="Arial" w:cs="Arial"/>
                <w:sz w:val="16"/>
                <w:szCs w:val="16"/>
              </w:rPr>
            </w:pPr>
            <w:r w:rsidRPr="005D0593">
              <w:rPr>
                <w:rFonts w:ascii="Arial" w:hAnsi="Arial" w:cs="Arial"/>
                <w:sz w:val="16"/>
                <w:szCs w:val="16"/>
              </w:rPr>
              <w:t xml:space="preserve">$20 </w:t>
            </w:r>
          </w:p>
        </w:tc>
      </w:tr>
      <w:tr w14:paraId="09B53491"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4647B0" w:rsidRPr="005D0593" w:rsidP="003E7F81" w14:paraId="13642E86" w14:textId="77777777">
            <w:pPr>
              <w:rPr>
                <w:rFonts w:ascii="Arial" w:hAnsi="Arial" w:cs="Arial"/>
                <w:sz w:val="16"/>
                <w:szCs w:val="16"/>
              </w:rPr>
            </w:pPr>
            <w:r w:rsidRPr="005D0593">
              <w:rPr>
                <w:rFonts w:ascii="Arial" w:hAnsi="Arial" w:cs="Arial"/>
                <w:color w:val="000000"/>
                <w:sz w:val="16"/>
                <w:szCs w:val="16"/>
              </w:rPr>
              <w:t>DD. Sulfur Hexafluoride (SF6) from Electric Power Systems</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05598AF9" w14:textId="77777777">
            <w:pPr>
              <w:jc w:val="center"/>
              <w:rPr>
                <w:rFonts w:ascii="Arial" w:hAnsi="Arial" w:cs="Arial"/>
                <w:sz w:val="16"/>
                <w:szCs w:val="16"/>
              </w:rPr>
            </w:pPr>
            <w:r w:rsidRPr="005D0593">
              <w:rPr>
                <w:rFonts w:ascii="Arial" w:hAnsi="Arial" w:cs="Arial"/>
                <w:sz w:val="16"/>
                <w:szCs w:val="16"/>
              </w:rPr>
              <w:t>95</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57352016" w14:textId="77777777">
            <w:pPr>
              <w:jc w:val="center"/>
              <w:rPr>
                <w:rFonts w:ascii="Arial" w:hAnsi="Arial" w:cs="Arial"/>
                <w:sz w:val="16"/>
                <w:szCs w:val="16"/>
              </w:rPr>
            </w:pPr>
            <w:r w:rsidRPr="005D0593">
              <w:rPr>
                <w:rFonts w:ascii="Arial" w:hAnsi="Arial" w:cs="Arial"/>
                <w:sz w:val="16"/>
                <w:szCs w:val="16"/>
              </w:rPr>
              <w:t xml:space="preserve">228 </w:t>
            </w:r>
          </w:p>
        </w:tc>
        <w:tc>
          <w:tcPr>
            <w:tcW w:w="1170" w:type="dxa"/>
            <w:tcBorders>
              <w:top w:val="nil"/>
              <w:left w:val="nil"/>
              <w:bottom w:val="single" w:sz="4" w:space="0" w:color="auto"/>
              <w:right w:val="single" w:sz="4" w:space="0" w:color="auto"/>
            </w:tcBorders>
            <w:vAlign w:val="bottom"/>
          </w:tcPr>
          <w:p w:rsidR="004647B0" w:rsidRPr="005D0593" w:rsidP="003E7F81" w14:paraId="2C1CDD96" w14:textId="77777777">
            <w:pPr>
              <w:jc w:val="center"/>
              <w:rPr>
                <w:rFonts w:ascii="Arial" w:hAnsi="Arial" w:cs="Arial"/>
                <w:sz w:val="16"/>
                <w:szCs w:val="16"/>
              </w:rPr>
            </w:pPr>
            <w:r w:rsidRPr="005D0593">
              <w:rPr>
                <w:rFonts w:ascii="Arial" w:hAnsi="Arial" w:cs="Arial"/>
                <w:sz w:val="16"/>
                <w:szCs w:val="16"/>
              </w:rPr>
              <w:t xml:space="preserve">2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6A6D850D" w14:textId="77777777">
            <w:pPr>
              <w:jc w:val="center"/>
              <w:rPr>
                <w:rFonts w:ascii="Arial" w:hAnsi="Arial" w:cs="Arial"/>
                <w:sz w:val="16"/>
                <w:szCs w:val="16"/>
              </w:rPr>
            </w:pPr>
            <w:r w:rsidRPr="005D0593">
              <w:rPr>
                <w:rFonts w:ascii="Arial" w:hAnsi="Arial" w:cs="Arial"/>
                <w:sz w:val="16"/>
                <w:szCs w:val="16"/>
              </w:rPr>
              <w:t xml:space="preserve">$15,278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06964175" w14:textId="77777777">
            <w:pPr>
              <w:jc w:val="center"/>
              <w:rPr>
                <w:rFonts w:ascii="Arial" w:hAnsi="Arial" w:cs="Arial"/>
                <w:sz w:val="16"/>
                <w:szCs w:val="16"/>
              </w:rPr>
            </w:pPr>
            <w:r w:rsidRPr="005D0593">
              <w:rPr>
                <w:rFonts w:ascii="Arial" w:hAnsi="Arial" w:cs="Arial"/>
                <w:sz w:val="16"/>
                <w:szCs w:val="16"/>
              </w:rPr>
              <w:t xml:space="preserve">$3,119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4D59D109" w14:textId="77777777">
            <w:pPr>
              <w:jc w:val="center"/>
              <w:rPr>
                <w:rFonts w:ascii="Arial" w:hAnsi="Arial" w:cs="Arial"/>
                <w:sz w:val="16"/>
                <w:szCs w:val="16"/>
              </w:rPr>
            </w:pPr>
            <w:r w:rsidRPr="005D0593">
              <w:rPr>
                <w:rFonts w:ascii="Arial" w:hAnsi="Arial" w:cs="Arial"/>
                <w:sz w:val="16"/>
                <w:szCs w:val="16"/>
              </w:rPr>
              <w:t xml:space="preserve">$18,397 </w:t>
            </w:r>
          </w:p>
        </w:tc>
      </w:tr>
      <w:tr w14:paraId="64D8BBD5"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4647B0" w:rsidRPr="005D0593" w:rsidP="003E7F81" w14:paraId="07AE608B" w14:textId="77777777">
            <w:pPr>
              <w:rPr>
                <w:rFonts w:ascii="Arial" w:hAnsi="Arial" w:cs="Arial"/>
                <w:sz w:val="16"/>
                <w:szCs w:val="16"/>
              </w:rPr>
            </w:pPr>
            <w:r w:rsidRPr="005D0593">
              <w:rPr>
                <w:rFonts w:ascii="Arial" w:hAnsi="Arial" w:cs="Arial"/>
                <w:color w:val="000000"/>
                <w:sz w:val="16"/>
                <w:szCs w:val="16"/>
              </w:rPr>
              <w:t>FF. Underground Coal Mines</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47BA5B02" w14:textId="77777777">
            <w:pPr>
              <w:jc w:val="center"/>
              <w:rPr>
                <w:rFonts w:ascii="Arial" w:hAnsi="Arial" w:cs="Arial"/>
                <w:sz w:val="16"/>
                <w:szCs w:val="16"/>
              </w:rPr>
            </w:pPr>
            <w:r w:rsidRPr="005D0593">
              <w:rPr>
                <w:rFonts w:ascii="Arial" w:hAnsi="Arial" w:cs="Arial"/>
                <w:sz w:val="16"/>
                <w:szCs w:val="16"/>
              </w:rPr>
              <w:t>61</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53424380"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nil"/>
              <w:bottom w:val="single" w:sz="4" w:space="0" w:color="auto"/>
              <w:right w:val="single" w:sz="4" w:space="0" w:color="auto"/>
            </w:tcBorders>
            <w:vAlign w:val="bottom"/>
          </w:tcPr>
          <w:p w:rsidR="004647B0" w:rsidRPr="005D0593" w:rsidP="003E7F81" w14:paraId="3024754B"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01B49864"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0846D527"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206BDBB7" w14:textId="77777777">
            <w:pPr>
              <w:jc w:val="center"/>
              <w:rPr>
                <w:rFonts w:ascii="Arial" w:hAnsi="Arial" w:cs="Arial"/>
                <w:sz w:val="16"/>
                <w:szCs w:val="16"/>
              </w:rPr>
            </w:pPr>
            <w:r w:rsidRPr="005D0593">
              <w:rPr>
                <w:rFonts w:ascii="Arial" w:hAnsi="Arial" w:cs="Arial"/>
                <w:sz w:val="16"/>
                <w:szCs w:val="16"/>
              </w:rPr>
              <w:t xml:space="preserve">$0 </w:t>
            </w:r>
          </w:p>
        </w:tc>
      </w:tr>
      <w:tr w14:paraId="1E67A2B4"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tcPr>
          <w:p w:rsidR="004647B0" w:rsidRPr="005D0593" w:rsidP="003E7F81" w14:paraId="69AACC74" w14:textId="77777777">
            <w:pPr>
              <w:rPr>
                <w:rFonts w:ascii="Arial" w:hAnsi="Arial" w:cs="Arial"/>
                <w:sz w:val="16"/>
                <w:szCs w:val="16"/>
              </w:rPr>
            </w:pPr>
            <w:r w:rsidRPr="005D0593">
              <w:rPr>
                <w:rFonts w:ascii="Arial" w:hAnsi="Arial" w:cs="Arial"/>
                <w:color w:val="000000"/>
                <w:sz w:val="16"/>
                <w:szCs w:val="16"/>
              </w:rPr>
              <w:t>GG. Zinc Production</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58728037" w14:textId="77777777">
            <w:pPr>
              <w:jc w:val="center"/>
              <w:rPr>
                <w:rFonts w:ascii="Arial" w:hAnsi="Arial" w:cs="Arial"/>
                <w:sz w:val="16"/>
                <w:szCs w:val="16"/>
              </w:rPr>
            </w:pPr>
            <w:r w:rsidRPr="005D0593">
              <w:rPr>
                <w:rFonts w:ascii="Arial" w:hAnsi="Arial" w:cs="Arial"/>
                <w:sz w:val="16"/>
                <w:szCs w:val="16"/>
              </w:rPr>
              <w:t>5</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3BADA468" w14:textId="77777777">
            <w:pPr>
              <w:jc w:val="center"/>
              <w:rPr>
                <w:rFonts w:ascii="Arial" w:hAnsi="Arial" w:cs="Arial"/>
                <w:sz w:val="16"/>
                <w:szCs w:val="16"/>
              </w:rPr>
            </w:pPr>
            <w:r w:rsidRPr="005D0593">
              <w:rPr>
                <w:rFonts w:ascii="Arial" w:hAnsi="Arial" w:cs="Arial"/>
                <w:sz w:val="16"/>
                <w:szCs w:val="16"/>
              </w:rPr>
              <w:t xml:space="preserve">1 </w:t>
            </w:r>
          </w:p>
        </w:tc>
        <w:tc>
          <w:tcPr>
            <w:tcW w:w="1170" w:type="dxa"/>
            <w:tcBorders>
              <w:top w:val="nil"/>
              <w:left w:val="nil"/>
              <w:bottom w:val="single" w:sz="4" w:space="0" w:color="auto"/>
              <w:right w:val="single" w:sz="4" w:space="0" w:color="auto"/>
            </w:tcBorders>
            <w:vAlign w:val="bottom"/>
          </w:tcPr>
          <w:p w:rsidR="004647B0" w:rsidRPr="005D0593" w:rsidP="003E7F81" w14:paraId="0F890F3D"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181A4864" w14:textId="77777777">
            <w:pPr>
              <w:jc w:val="center"/>
              <w:rPr>
                <w:rFonts w:ascii="Arial" w:hAnsi="Arial" w:cs="Arial"/>
                <w:sz w:val="16"/>
                <w:szCs w:val="16"/>
              </w:rPr>
            </w:pPr>
            <w:r w:rsidRPr="005D0593">
              <w:rPr>
                <w:rFonts w:ascii="Arial" w:hAnsi="Arial" w:cs="Arial"/>
                <w:sz w:val="16"/>
                <w:szCs w:val="16"/>
              </w:rPr>
              <w:t xml:space="preserve">$20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4357E4C4"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1DF01523" w14:textId="77777777">
            <w:pPr>
              <w:jc w:val="center"/>
              <w:rPr>
                <w:rFonts w:ascii="Arial" w:hAnsi="Arial" w:cs="Arial"/>
                <w:sz w:val="16"/>
                <w:szCs w:val="16"/>
              </w:rPr>
            </w:pPr>
            <w:r w:rsidRPr="005D0593">
              <w:rPr>
                <w:rFonts w:ascii="Arial" w:hAnsi="Arial" w:cs="Arial"/>
                <w:sz w:val="16"/>
                <w:szCs w:val="16"/>
              </w:rPr>
              <w:t xml:space="preserve">$20 </w:t>
            </w:r>
          </w:p>
        </w:tc>
      </w:tr>
      <w:tr w14:paraId="3F867E64"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4647B0" w:rsidRPr="005D0593" w:rsidP="003E7F81" w14:paraId="08D995B5" w14:textId="77777777">
            <w:pPr>
              <w:rPr>
                <w:rFonts w:ascii="Arial" w:hAnsi="Arial" w:cs="Arial"/>
                <w:sz w:val="16"/>
                <w:szCs w:val="16"/>
              </w:rPr>
            </w:pPr>
            <w:r w:rsidRPr="005D0593">
              <w:rPr>
                <w:rFonts w:ascii="Arial" w:hAnsi="Arial" w:cs="Arial"/>
                <w:color w:val="000000"/>
                <w:sz w:val="16"/>
                <w:szCs w:val="16"/>
              </w:rPr>
              <w:t>HH. Landfills</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1E50EAB7" w14:textId="77777777">
            <w:pPr>
              <w:jc w:val="center"/>
              <w:rPr>
                <w:rFonts w:ascii="Arial" w:hAnsi="Arial" w:cs="Arial"/>
                <w:sz w:val="16"/>
                <w:szCs w:val="16"/>
              </w:rPr>
            </w:pPr>
            <w:r w:rsidRPr="005D0593">
              <w:rPr>
                <w:rFonts w:ascii="Arial" w:hAnsi="Arial" w:cs="Arial"/>
                <w:sz w:val="16"/>
                <w:szCs w:val="16"/>
              </w:rPr>
              <w:t>1,129</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21493D88" w14:textId="77777777">
            <w:pPr>
              <w:jc w:val="center"/>
              <w:rPr>
                <w:rFonts w:ascii="Arial" w:hAnsi="Arial" w:cs="Arial"/>
                <w:sz w:val="16"/>
                <w:szCs w:val="16"/>
              </w:rPr>
            </w:pPr>
            <w:r w:rsidRPr="005D0593">
              <w:rPr>
                <w:rFonts w:ascii="Arial" w:hAnsi="Arial" w:cs="Arial"/>
                <w:sz w:val="16"/>
                <w:szCs w:val="16"/>
              </w:rPr>
              <w:t xml:space="preserve">1,397 </w:t>
            </w:r>
          </w:p>
        </w:tc>
        <w:tc>
          <w:tcPr>
            <w:tcW w:w="1170" w:type="dxa"/>
            <w:tcBorders>
              <w:top w:val="nil"/>
              <w:left w:val="nil"/>
              <w:bottom w:val="single" w:sz="4" w:space="0" w:color="auto"/>
              <w:right w:val="single" w:sz="4" w:space="0" w:color="auto"/>
            </w:tcBorders>
            <w:vAlign w:val="bottom"/>
          </w:tcPr>
          <w:p w:rsidR="004647B0" w:rsidRPr="005D0593" w:rsidP="003E7F81" w14:paraId="11CA5616" w14:textId="77777777">
            <w:pPr>
              <w:jc w:val="center"/>
              <w:rPr>
                <w:rFonts w:ascii="Arial" w:hAnsi="Arial" w:cs="Arial"/>
                <w:sz w:val="16"/>
                <w:szCs w:val="16"/>
              </w:rPr>
            </w:pPr>
            <w:r w:rsidRPr="005D0593">
              <w:rPr>
                <w:rFonts w:ascii="Arial" w:hAnsi="Arial" w:cs="Arial"/>
                <w:sz w:val="16"/>
                <w:szCs w:val="16"/>
              </w:rPr>
              <w:t xml:space="preserve">1.2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1A554F01" w14:textId="77777777">
            <w:pPr>
              <w:jc w:val="center"/>
              <w:rPr>
                <w:rFonts w:ascii="Arial" w:hAnsi="Arial" w:cs="Arial"/>
                <w:sz w:val="16"/>
                <w:szCs w:val="16"/>
              </w:rPr>
            </w:pPr>
            <w:r w:rsidRPr="005D0593">
              <w:rPr>
                <w:rFonts w:ascii="Arial" w:hAnsi="Arial" w:cs="Arial"/>
                <w:sz w:val="16"/>
                <w:szCs w:val="16"/>
              </w:rPr>
              <w:t xml:space="preserve">$82,745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55C49801" w14:textId="77777777">
            <w:pPr>
              <w:jc w:val="center"/>
              <w:rPr>
                <w:rFonts w:ascii="Arial" w:hAnsi="Arial" w:cs="Arial"/>
                <w:sz w:val="16"/>
                <w:szCs w:val="16"/>
              </w:rPr>
            </w:pPr>
            <w:r w:rsidRPr="005D0593">
              <w:rPr>
                <w:rFonts w:ascii="Arial" w:hAnsi="Arial" w:cs="Arial"/>
                <w:sz w:val="16"/>
                <w:szCs w:val="16"/>
              </w:rPr>
              <w:t xml:space="preserve">$374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72083281" w14:textId="77777777">
            <w:pPr>
              <w:jc w:val="center"/>
              <w:rPr>
                <w:rFonts w:ascii="Arial" w:hAnsi="Arial" w:cs="Arial"/>
                <w:sz w:val="16"/>
                <w:szCs w:val="16"/>
              </w:rPr>
            </w:pPr>
            <w:r w:rsidRPr="005D0593">
              <w:rPr>
                <w:rFonts w:ascii="Arial" w:hAnsi="Arial" w:cs="Arial"/>
                <w:sz w:val="16"/>
                <w:szCs w:val="16"/>
              </w:rPr>
              <w:t xml:space="preserve">$83,120 </w:t>
            </w:r>
          </w:p>
        </w:tc>
      </w:tr>
      <w:tr w14:paraId="539B4BDB"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4647B0" w:rsidRPr="005D0593" w:rsidP="003E7F81" w14:paraId="25ABA22A" w14:textId="77777777">
            <w:pPr>
              <w:rPr>
                <w:rFonts w:ascii="Arial" w:hAnsi="Arial" w:cs="Arial"/>
                <w:sz w:val="16"/>
                <w:szCs w:val="16"/>
              </w:rPr>
            </w:pPr>
            <w:r w:rsidRPr="005D0593">
              <w:rPr>
                <w:rFonts w:ascii="Arial" w:hAnsi="Arial" w:cs="Arial"/>
                <w:color w:val="000000"/>
                <w:sz w:val="16"/>
                <w:szCs w:val="16"/>
              </w:rPr>
              <w:t>II. Industrial Wastewater Treatment</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4478E4F2" w14:textId="77777777">
            <w:pPr>
              <w:jc w:val="center"/>
              <w:rPr>
                <w:rFonts w:ascii="Arial" w:hAnsi="Arial" w:cs="Arial"/>
                <w:sz w:val="16"/>
                <w:szCs w:val="16"/>
              </w:rPr>
            </w:pPr>
            <w:r w:rsidRPr="005D0593">
              <w:rPr>
                <w:rFonts w:ascii="Arial" w:hAnsi="Arial" w:cs="Arial"/>
                <w:sz w:val="16"/>
                <w:szCs w:val="16"/>
              </w:rPr>
              <w:t>2</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6CF400E3" w14:textId="77777777">
            <w:pPr>
              <w:jc w:val="center"/>
              <w:rPr>
                <w:rFonts w:ascii="Arial" w:hAnsi="Arial" w:cs="Arial"/>
                <w:sz w:val="16"/>
                <w:szCs w:val="16"/>
              </w:rPr>
            </w:pPr>
            <w:r w:rsidRPr="005D0593">
              <w:rPr>
                <w:rFonts w:ascii="Arial" w:hAnsi="Arial" w:cs="Arial"/>
                <w:sz w:val="16"/>
                <w:szCs w:val="16"/>
              </w:rPr>
              <w:t xml:space="preserve">65 </w:t>
            </w:r>
          </w:p>
        </w:tc>
        <w:tc>
          <w:tcPr>
            <w:tcW w:w="1170" w:type="dxa"/>
            <w:tcBorders>
              <w:top w:val="nil"/>
              <w:left w:val="nil"/>
              <w:bottom w:val="single" w:sz="4" w:space="0" w:color="auto"/>
              <w:right w:val="single" w:sz="4" w:space="0" w:color="auto"/>
            </w:tcBorders>
            <w:vAlign w:val="bottom"/>
          </w:tcPr>
          <w:p w:rsidR="004647B0" w:rsidRPr="005D0593" w:rsidP="003E7F81" w14:paraId="67D2F0A9" w14:textId="77777777">
            <w:pPr>
              <w:jc w:val="center"/>
              <w:rPr>
                <w:rFonts w:ascii="Arial" w:hAnsi="Arial" w:cs="Arial"/>
                <w:sz w:val="16"/>
                <w:szCs w:val="16"/>
              </w:rPr>
            </w:pPr>
            <w:r w:rsidRPr="005D0593">
              <w:rPr>
                <w:rFonts w:ascii="Arial" w:hAnsi="Arial" w:cs="Arial"/>
                <w:sz w:val="16"/>
                <w:szCs w:val="16"/>
              </w:rPr>
              <w:t xml:space="preserve">32.5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22676853" w14:textId="77777777">
            <w:pPr>
              <w:jc w:val="center"/>
              <w:rPr>
                <w:rFonts w:ascii="Arial" w:hAnsi="Arial" w:cs="Arial"/>
                <w:sz w:val="16"/>
                <w:szCs w:val="16"/>
              </w:rPr>
            </w:pPr>
            <w:r w:rsidRPr="005D0593">
              <w:rPr>
                <w:rFonts w:ascii="Arial" w:hAnsi="Arial" w:cs="Arial"/>
                <w:sz w:val="16"/>
                <w:szCs w:val="16"/>
              </w:rPr>
              <w:t xml:space="preserve">$4,904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741A0553" w14:textId="77777777">
            <w:pPr>
              <w:jc w:val="center"/>
              <w:rPr>
                <w:rFonts w:ascii="Arial" w:hAnsi="Arial" w:cs="Arial"/>
                <w:sz w:val="16"/>
                <w:szCs w:val="16"/>
              </w:rPr>
            </w:pPr>
            <w:r w:rsidRPr="005D0593">
              <w:rPr>
                <w:rFonts w:ascii="Arial" w:hAnsi="Arial" w:cs="Arial"/>
                <w:sz w:val="16"/>
                <w:szCs w:val="16"/>
              </w:rPr>
              <w:t xml:space="preserve">$3,077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254B44CE" w14:textId="77777777">
            <w:pPr>
              <w:jc w:val="center"/>
              <w:rPr>
                <w:rFonts w:ascii="Arial" w:hAnsi="Arial" w:cs="Arial"/>
                <w:sz w:val="16"/>
                <w:szCs w:val="16"/>
              </w:rPr>
            </w:pPr>
            <w:r w:rsidRPr="005D0593">
              <w:rPr>
                <w:rFonts w:ascii="Arial" w:hAnsi="Arial" w:cs="Arial"/>
                <w:sz w:val="16"/>
                <w:szCs w:val="16"/>
              </w:rPr>
              <w:t xml:space="preserve">$7,981 </w:t>
            </w:r>
          </w:p>
        </w:tc>
      </w:tr>
      <w:tr w14:paraId="35FC39FB" w14:textId="77777777" w:rsidTr="003E7F81">
        <w:tblPrEx>
          <w:tblW w:w="9795" w:type="dxa"/>
          <w:tblLayout w:type="fixed"/>
          <w:tblLook w:val="04A0"/>
        </w:tblPrEx>
        <w:trPr>
          <w:trHeight w:val="38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4647B0" w:rsidRPr="005D0593" w:rsidP="003E7F81" w14:paraId="07B9F32B" w14:textId="77777777">
            <w:pPr>
              <w:rPr>
                <w:rFonts w:ascii="Arial" w:hAnsi="Arial" w:cs="Arial"/>
                <w:sz w:val="16"/>
                <w:szCs w:val="16"/>
              </w:rPr>
            </w:pPr>
            <w:r w:rsidRPr="005D0593">
              <w:rPr>
                <w:rFonts w:ascii="Arial" w:hAnsi="Arial" w:cs="Arial"/>
                <w:color w:val="000000"/>
                <w:sz w:val="16"/>
                <w:szCs w:val="16"/>
              </w:rPr>
              <w:t>OO. Suppliers of Industrial GHG</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03B26D99" w14:textId="77777777">
            <w:pPr>
              <w:jc w:val="center"/>
              <w:rPr>
                <w:rFonts w:ascii="Arial" w:hAnsi="Arial" w:cs="Arial"/>
                <w:sz w:val="16"/>
                <w:szCs w:val="16"/>
              </w:rPr>
            </w:pPr>
            <w:r w:rsidRPr="005D0593">
              <w:rPr>
                <w:rFonts w:ascii="Arial" w:hAnsi="Arial" w:cs="Arial"/>
                <w:sz w:val="16"/>
                <w:szCs w:val="16"/>
              </w:rPr>
              <w:t>121</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6F234A2A" w14:textId="77777777">
            <w:pPr>
              <w:jc w:val="center"/>
              <w:rPr>
                <w:rFonts w:ascii="Arial" w:hAnsi="Arial" w:cs="Arial"/>
                <w:sz w:val="16"/>
                <w:szCs w:val="16"/>
              </w:rPr>
            </w:pPr>
            <w:r w:rsidRPr="005D0593">
              <w:rPr>
                <w:rFonts w:ascii="Arial" w:hAnsi="Arial" w:cs="Arial"/>
                <w:sz w:val="16"/>
                <w:szCs w:val="16"/>
              </w:rPr>
              <w:t xml:space="preserve">93 </w:t>
            </w:r>
          </w:p>
        </w:tc>
        <w:tc>
          <w:tcPr>
            <w:tcW w:w="1170" w:type="dxa"/>
            <w:tcBorders>
              <w:top w:val="nil"/>
              <w:left w:val="nil"/>
              <w:bottom w:val="single" w:sz="4" w:space="0" w:color="auto"/>
              <w:right w:val="single" w:sz="4" w:space="0" w:color="auto"/>
            </w:tcBorders>
            <w:vAlign w:val="bottom"/>
          </w:tcPr>
          <w:p w:rsidR="004647B0" w:rsidRPr="005D0593" w:rsidP="003E7F81" w14:paraId="37E12751" w14:textId="77777777">
            <w:pPr>
              <w:jc w:val="center"/>
              <w:rPr>
                <w:rFonts w:ascii="Arial" w:hAnsi="Arial" w:cs="Arial"/>
                <w:sz w:val="16"/>
                <w:szCs w:val="16"/>
              </w:rPr>
            </w:pPr>
            <w:r w:rsidRPr="005D0593">
              <w:rPr>
                <w:rFonts w:ascii="Arial" w:hAnsi="Arial" w:cs="Arial"/>
                <w:sz w:val="16"/>
                <w:szCs w:val="16"/>
              </w:rPr>
              <w:t xml:space="preserve">0.8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53AE2438" w14:textId="77777777">
            <w:pPr>
              <w:jc w:val="center"/>
              <w:rPr>
                <w:rFonts w:ascii="Arial" w:hAnsi="Arial" w:cs="Arial"/>
                <w:sz w:val="16"/>
                <w:szCs w:val="16"/>
              </w:rPr>
            </w:pPr>
            <w:r w:rsidRPr="005D0593">
              <w:rPr>
                <w:rFonts w:ascii="Arial" w:hAnsi="Arial" w:cs="Arial"/>
                <w:sz w:val="16"/>
                <w:szCs w:val="16"/>
              </w:rPr>
              <w:t xml:space="preserve">$6,884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5AB0515B" w14:textId="77777777">
            <w:pPr>
              <w:jc w:val="center"/>
              <w:rPr>
                <w:rFonts w:ascii="Arial" w:hAnsi="Arial" w:cs="Arial"/>
                <w:sz w:val="16"/>
                <w:szCs w:val="16"/>
              </w:rPr>
            </w:pPr>
            <w:r w:rsidRPr="005D0593">
              <w:rPr>
                <w:rFonts w:ascii="Arial" w:hAnsi="Arial" w:cs="Arial"/>
                <w:sz w:val="16"/>
                <w:szCs w:val="16"/>
              </w:rPr>
              <w:t xml:space="preserve">$62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392E082B" w14:textId="77777777">
            <w:pPr>
              <w:jc w:val="center"/>
              <w:rPr>
                <w:rFonts w:ascii="Arial" w:hAnsi="Arial" w:cs="Arial"/>
                <w:sz w:val="16"/>
                <w:szCs w:val="16"/>
              </w:rPr>
            </w:pPr>
            <w:r w:rsidRPr="005D0593">
              <w:rPr>
                <w:rFonts w:ascii="Arial" w:hAnsi="Arial" w:cs="Arial"/>
                <w:sz w:val="16"/>
                <w:szCs w:val="16"/>
              </w:rPr>
              <w:t xml:space="preserve">$6,946 </w:t>
            </w:r>
          </w:p>
        </w:tc>
      </w:tr>
      <w:tr w14:paraId="29436A87"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tcPr>
          <w:p w:rsidR="004647B0" w:rsidRPr="005D0593" w:rsidP="003E7F81" w14:paraId="28491C4A" w14:textId="77777777">
            <w:pPr>
              <w:rPr>
                <w:rFonts w:ascii="Arial" w:hAnsi="Arial" w:cs="Arial"/>
                <w:sz w:val="16"/>
                <w:szCs w:val="16"/>
              </w:rPr>
            </w:pPr>
            <w:r w:rsidRPr="005D0593">
              <w:rPr>
                <w:rFonts w:ascii="Arial" w:hAnsi="Arial" w:cs="Arial"/>
                <w:color w:val="000000"/>
                <w:sz w:val="16"/>
                <w:szCs w:val="16"/>
              </w:rPr>
              <w:t>PP. Suppliers of Carbon Dioxide</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17CF0F03" w14:textId="77777777">
            <w:pPr>
              <w:jc w:val="center"/>
              <w:rPr>
                <w:rFonts w:ascii="Arial" w:hAnsi="Arial" w:cs="Arial"/>
                <w:sz w:val="16"/>
                <w:szCs w:val="16"/>
              </w:rPr>
            </w:pPr>
            <w:r w:rsidRPr="005D0593">
              <w:rPr>
                <w:rFonts w:ascii="Arial" w:hAnsi="Arial" w:cs="Arial"/>
                <w:sz w:val="16"/>
                <w:szCs w:val="16"/>
              </w:rPr>
              <w:t>22</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7D7FAE8B" w14:textId="77777777">
            <w:pPr>
              <w:jc w:val="center"/>
              <w:rPr>
                <w:rFonts w:ascii="Arial" w:hAnsi="Arial" w:cs="Arial"/>
                <w:sz w:val="16"/>
                <w:szCs w:val="16"/>
              </w:rPr>
            </w:pPr>
            <w:r w:rsidRPr="005D0593">
              <w:rPr>
                <w:rFonts w:ascii="Arial" w:hAnsi="Arial" w:cs="Arial"/>
                <w:sz w:val="16"/>
                <w:szCs w:val="16"/>
              </w:rPr>
              <w:t xml:space="preserve">12 </w:t>
            </w:r>
          </w:p>
        </w:tc>
        <w:tc>
          <w:tcPr>
            <w:tcW w:w="1170" w:type="dxa"/>
            <w:tcBorders>
              <w:top w:val="nil"/>
              <w:left w:val="nil"/>
              <w:bottom w:val="single" w:sz="4" w:space="0" w:color="auto"/>
              <w:right w:val="single" w:sz="4" w:space="0" w:color="auto"/>
            </w:tcBorders>
            <w:vAlign w:val="bottom"/>
          </w:tcPr>
          <w:p w:rsidR="004647B0" w:rsidRPr="005D0593" w:rsidP="003E7F81" w14:paraId="2657FD23" w14:textId="77777777">
            <w:pPr>
              <w:jc w:val="center"/>
              <w:rPr>
                <w:rFonts w:ascii="Arial" w:hAnsi="Arial" w:cs="Arial"/>
                <w:sz w:val="16"/>
                <w:szCs w:val="16"/>
              </w:rPr>
            </w:pPr>
            <w:r w:rsidRPr="005D0593">
              <w:rPr>
                <w:rFonts w:ascii="Arial" w:hAnsi="Arial" w:cs="Arial"/>
                <w:sz w:val="16"/>
                <w:szCs w:val="16"/>
              </w:rPr>
              <w:t xml:space="preserve">0.5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1896FE42" w14:textId="77777777">
            <w:pPr>
              <w:jc w:val="center"/>
              <w:rPr>
                <w:rFonts w:ascii="Arial" w:hAnsi="Arial" w:cs="Arial"/>
                <w:sz w:val="16"/>
                <w:szCs w:val="16"/>
              </w:rPr>
            </w:pPr>
            <w:r w:rsidRPr="005D0593">
              <w:rPr>
                <w:rFonts w:ascii="Arial" w:hAnsi="Arial" w:cs="Arial"/>
                <w:sz w:val="16"/>
                <w:szCs w:val="16"/>
              </w:rPr>
              <w:t xml:space="preserve">$872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73A4FBF2"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1B62682E" w14:textId="77777777">
            <w:pPr>
              <w:jc w:val="center"/>
              <w:rPr>
                <w:rFonts w:ascii="Arial" w:hAnsi="Arial" w:cs="Arial"/>
                <w:sz w:val="16"/>
                <w:szCs w:val="16"/>
              </w:rPr>
            </w:pPr>
            <w:r w:rsidRPr="005D0593">
              <w:rPr>
                <w:rFonts w:ascii="Arial" w:hAnsi="Arial" w:cs="Arial"/>
                <w:sz w:val="16"/>
                <w:szCs w:val="16"/>
              </w:rPr>
              <w:t xml:space="preserve">$872 </w:t>
            </w:r>
          </w:p>
        </w:tc>
      </w:tr>
      <w:tr w14:paraId="1D56A2B7"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tcPr>
          <w:p w:rsidR="004647B0" w:rsidRPr="005D0593" w:rsidP="003E7F81" w14:paraId="1A5A9144" w14:textId="77777777">
            <w:pPr>
              <w:rPr>
                <w:rFonts w:ascii="Arial" w:hAnsi="Arial" w:cs="Arial"/>
                <w:sz w:val="16"/>
                <w:szCs w:val="16"/>
              </w:rPr>
            </w:pPr>
            <w:r w:rsidRPr="005D0593">
              <w:rPr>
                <w:rFonts w:ascii="Arial" w:hAnsi="Arial" w:cs="Arial"/>
                <w:color w:val="000000"/>
                <w:sz w:val="16"/>
                <w:szCs w:val="16"/>
              </w:rPr>
              <w:t xml:space="preserve">QQ. Importers/Exporters of FGHGs in Pre-Charged </w:t>
            </w:r>
            <w:r w:rsidRPr="005D0593">
              <w:rPr>
                <w:rFonts w:ascii="Arial" w:hAnsi="Arial" w:cs="Arial"/>
                <w:color w:val="000000"/>
                <w:sz w:val="16"/>
                <w:szCs w:val="16"/>
              </w:rPr>
              <w:t>Equp</w:t>
            </w:r>
            <w:r w:rsidRPr="005D0593">
              <w:rPr>
                <w:rFonts w:ascii="Arial" w:hAnsi="Arial" w:cs="Arial"/>
                <w:color w:val="000000"/>
                <w:sz w:val="16"/>
                <w:szCs w:val="16"/>
              </w:rPr>
              <w:t>. Or Foams</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1F83977A" w14:textId="77777777">
            <w:pPr>
              <w:jc w:val="center"/>
              <w:rPr>
                <w:rFonts w:ascii="Arial" w:hAnsi="Arial" w:cs="Arial"/>
                <w:sz w:val="16"/>
                <w:szCs w:val="16"/>
              </w:rPr>
            </w:pPr>
            <w:r w:rsidRPr="005D0593">
              <w:rPr>
                <w:rFonts w:ascii="Arial" w:hAnsi="Arial" w:cs="Arial"/>
                <w:sz w:val="16"/>
                <w:szCs w:val="16"/>
              </w:rPr>
              <w:t>33</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1656D886" w14:textId="77777777">
            <w:pPr>
              <w:jc w:val="center"/>
              <w:rPr>
                <w:rFonts w:ascii="Arial" w:hAnsi="Arial" w:cs="Arial"/>
                <w:sz w:val="16"/>
                <w:szCs w:val="16"/>
              </w:rPr>
            </w:pPr>
            <w:r w:rsidRPr="005D0593">
              <w:rPr>
                <w:rFonts w:ascii="Arial" w:hAnsi="Arial" w:cs="Arial"/>
                <w:sz w:val="16"/>
                <w:szCs w:val="16"/>
              </w:rPr>
              <w:t xml:space="preserve">4 </w:t>
            </w:r>
          </w:p>
        </w:tc>
        <w:tc>
          <w:tcPr>
            <w:tcW w:w="1170" w:type="dxa"/>
            <w:tcBorders>
              <w:top w:val="nil"/>
              <w:left w:val="nil"/>
              <w:bottom w:val="single" w:sz="4" w:space="0" w:color="auto"/>
              <w:right w:val="single" w:sz="4" w:space="0" w:color="auto"/>
            </w:tcBorders>
            <w:vAlign w:val="bottom"/>
          </w:tcPr>
          <w:p w:rsidR="004647B0" w:rsidRPr="005D0593" w:rsidP="003E7F81" w14:paraId="1CBD3ECF" w14:textId="77777777">
            <w:pPr>
              <w:jc w:val="center"/>
              <w:rPr>
                <w:rFonts w:ascii="Arial" w:hAnsi="Arial" w:cs="Arial"/>
                <w:sz w:val="16"/>
                <w:szCs w:val="16"/>
              </w:rPr>
            </w:pPr>
            <w:r w:rsidRPr="005D0593">
              <w:rPr>
                <w:rFonts w:ascii="Arial" w:hAnsi="Arial" w:cs="Arial"/>
                <w:sz w:val="16"/>
                <w:szCs w:val="16"/>
              </w:rPr>
              <w:t xml:space="preserve">0.1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231F5288" w14:textId="77777777">
            <w:pPr>
              <w:jc w:val="center"/>
              <w:rPr>
                <w:rFonts w:ascii="Arial" w:hAnsi="Arial" w:cs="Arial"/>
                <w:sz w:val="16"/>
                <w:szCs w:val="16"/>
              </w:rPr>
            </w:pPr>
            <w:r w:rsidRPr="005D0593">
              <w:rPr>
                <w:rFonts w:ascii="Arial" w:hAnsi="Arial" w:cs="Arial"/>
                <w:sz w:val="16"/>
                <w:szCs w:val="16"/>
              </w:rPr>
              <w:t xml:space="preserve">$249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03AE0241"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459918BB" w14:textId="77777777">
            <w:pPr>
              <w:jc w:val="center"/>
              <w:rPr>
                <w:rFonts w:ascii="Arial" w:hAnsi="Arial" w:cs="Arial"/>
                <w:sz w:val="16"/>
                <w:szCs w:val="16"/>
              </w:rPr>
            </w:pPr>
            <w:r w:rsidRPr="005D0593">
              <w:rPr>
                <w:rFonts w:ascii="Arial" w:hAnsi="Arial" w:cs="Arial"/>
                <w:sz w:val="16"/>
                <w:szCs w:val="16"/>
              </w:rPr>
              <w:t xml:space="preserve">$249 </w:t>
            </w:r>
          </w:p>
        </w:tc>
      </w:tr>
      <w:tr w14:paraId="1460566F"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tcPr>
          <w:p w:rsidR="004647B0" w:rsidRPr="005D0593" w:rsidP="003E7F81" w14:paraId="1FAD05B9" w14:textId="77777777">
            <w:pPr>
              <w:rPr>
                <w:rFonts w:ascii="Arial" w:hAnsi="Arial" w:cs="Arial"/>
                <w:sz w:val="16"/>
                <w:szCs w:val="16"/>
              </w:rPr>
            </w:pPr>
            <w:r w:rsidRPr="005D0593">
              <w:rPr>
                <w:rFonts w:ascii="Arial" w:hAnsi="Arial" w:cs="Arial"/>
                <w:color w:val="000000"/>
                <w:sz w:val="16"/>
                <w:szCs w:val="16"/>
              </w:rPr>
              <w:t>RR. Geologic Sequestration of Carbon Dioxide</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4BC1495F" w14:textId="77777777">
            <w:pPr>
              <w:jc w:val="center"/>
              <w:rPr>
                <w:rFonts w:ascii="Arial" w:hAnsi="Arial" w:cs="Arial"/>
                <w:sz w:val="16"/>
                <w:szCs w:val="16"/>
              </w:rPr>
            </w:pPr>
            <w:r w:rsidRPr="005D0593">
              <w:rPr>
                <w:rFonts w:ascii="Arial" w:hAnsi="Arial" w:cs="Arial"/>
                <w:sz w:val="16"/>
                <w:szCs w:val="16"/>
              </w:rPr>
              <w:t>9</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5128A012"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nil"/>
              <w:bottom w:val="single" w:sz="4" w:space="0" w:color="auto"/>
              <w:right w:val="single" w:sz="4" w:space="0" w:color="auto"/>
            </w:tcBorders>
            <w:vAlign w:val="bottom"/>
          </w:tcPr>
          <w:p w:rsidR="004647B0" w:rsidRPr="005D0593" w:rsidP="003E7F81" w14:paraId="1E91B539"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56E207A6"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384C5122"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62D1596B" w14:textId="77777777">
            <w:pPr>
              <w:jc w:val="center"/>
              <w:rPr>
                <w:rFonts w:ascii="Arial" w:hAnsi="Arial" w:cs="Arial"/>
                <w:sz w:val="16"/>
                <w:szCs w:val="16"/>
              </w:rPr>
            </w:pPr>
            <w:r w:rsidRPr="005D0593">
              <w:rPr>
                <w:rFonts w:ascii="Arial" w:hAnsi="Arial" w:cs="Arial"/>
                <w:sz w:val="16"/>
                <w:szCs w:val="16"/>
              </w:rPr>
              <w:t xml:space="preserve">$0 </w:t>
            </w:r>
          </w:p>
        </w:tc>
      </w:tr>
      <w:tr w14:paraId="5AA046F0"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tcPr>
          <w:p w:rsidR="004647B0" w:rsidRPr="005D0593" w:rsidP="003E7F81" w14:paraId="4EE09DC4" w14:textId="1041B5D2">
            <w:pPr>
              <w:rPr>
                <w:rFonts w:ascii="Arial" w:hAnsi="Arial" w:cs="Arial"/>
                <w:sz w:val="16"/>
                <w:szCs w:val="16"/>
              </w:rPr>
            </w:pPr>
            <w:r w:rsidRPr="005D0593">
              <w:rPr>
                <w:rFonts w:ascii="Arial" w:hAnsi="Arial" w:cs="Arial"/>
                <w:color w:val="000000"/>
                <w:sz w:val="16"/>
                <w:szCs w:val="16"/>
              </w:rPr>
              <w:t xml:space="preserve">SS. Electrical Equip. Manufacture and </w:t>
            </w:r>
            <w:r w:rsidRPr="005D0593" w:rsidR="00A166B7">
              <w:rPr>
                <w:rFonts w:ascii="Arial" w:hAnsi="Arial" w:cs="Arial"/>
                <w:color w:val="000000"/>
                <w:sz w:val="16"/>
                <w:szCs w:val="16"/>
              </w:rPr>
              <w:t>Refurbishm</w:t>
            </w:r>
            <w:r w:rsidR="00A166B7">
              <w:rPr>
                <w:rFonts w:ascii="Arial" w:hAnsi="Arial" w:cs="Arial"/>
                <w:color w:val="000000"/>
                <w:sz w:val="16"/>
                <w:szCs w:val="16"/>
              </w:rPr>
              <w:t>en</w:t>
            </w:r>
            <w:r w:rsidRPr="005D0593" w:rsidR="00A166B7">
              <w:rPr>
                <w:rFonts w:ascii="Arial" w:hAnsi="Arial" w:cs="Arial"/>
                <w:color w:val="000000"/>
                <w:sz w:val="16"/>
                <w:szCs w:val="16"/>
              </w:rPr>
              <w:t>t</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1A113FF2" w14:textId="77777777">
            <w:pPr>
              <w:jc w:val="center"/>
              <w:rPr>
                <w:rFonts w:ascii="Arial" w:hAnsi="Arial" w:cs="Arial"/>
                <w:sz w:val="16"/>
                <w:szCs w:val="16"/>
              </w:rPr>
            </w:pPr>
            <w:r w:rsidRPr="005D0593">
              <w:rPr>
                <w:rFonts w:ascii="Arial" w:hAnsi="Arial" w:cs="Arial"/>
                <w:sz w:val="16"/>
                <w:szCs w:val="16"/>
              </w:rPr>
              <w:t>5</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22CEF54B" w14:textId="77777777">
            <w:pPr>
              <w:jc w:val="center"/>
              <w:rPr>
                <w:rFonts w:ascii="Arial" w:hAnsi="Arial" w:cs="Arial"/>
                <w:sz w:val="16"/>
                <w:szCs w:val="16"/>
              </w:rPr>
            </w:pPr>
            <w:r w:rsidRPr="005D0593">
              <w:rPr>
                <w:rFonts w:ascii="Arial" w:hAnsi="Arial" w:cs="Arial"/>
                <w:sz w:val="16"/>
                <w:szCs w:val="16"/>
              </w:rPr>
              <w:t xml:space="preserve">5 </w:t>
            </w:r>
          </w:p>
        </w:tc>
        <w:tc>
          <w:tcPr>
            <w:tcW w:w="1170" w:type="dxa"/>
            <w:tcBorders>
              <w:top w:val="nil"/>
              <w:left w:val="nil"/>
              <w:bottom w:val="single" w:sz="4" w:space="0" w:color="auto"/>
              <w:right w:val="single" w:sz="4" w:space="0" w:color="auto"/>
            </w:tcBorders>
            <w:vAlign w:val="bottom"/>
          </w:tcPr>
          <w:p w:rsidR="004647B0" w:rsidRPr="005D0593" w:rsidP="003E7F81" w14:paraId="78A4F192" w14:textId="77777777">
            <w:pPr>
              <w:jc w:val="center"/>
              <w:rPr>
                <w:rFonts w:ascii="Arial" w:hAnsi="Arial" w:cs="Arial"/>
                <w:sz w:val="16"/>
                <w:szCs w:val="16"/>
              </w:rPr>
            </w:pPr>
            <w:r w:rsidRPr="005D0593">
              <w:rPr>
                <w:rFonts w:ascii="Arial" w:hAnsi="Arial" w:cs="Arial"/>
                <w:sz w:val="16"/>
                <w:szCs w:val="16"/>
              </w:rPr>
              <w:t xml:space="preserve">1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6AD45823" w14:textId="77777777">
            <w:pPr>
              <w:jc w:val="center"/>
              <w:rPr>
                <w:rFonts w:ascii="Arial" w:hAnsi="Arial" w:cs="Arial"/>
                <w:sz w:val="16"/>
                <w:szCs w:val="16"/>
              </w:rPr>
            </w:pPr>
            <w:r w:rsidRPr="005D0593">
              <w:rPr>
                <w:rFonts w:ascii="Arial" w:hAnsi="Arial" w:cs="Arial"/>
                <w:sz w:val="16"/>
                <w:szCs w:val="16"/>
              </w:rPr>
              <w:t xml:space="preserve">$358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6F461858" w14:textId="77777777">
            <w:pPr>
              <w:jc w:val="center"/>
              <w:rPr>
                <w:rFonts w:ascii="Arial" w:hAnsi="Arial" w:cs="Arial"/>
                <w:sz w:val="16"/>
                <w:szCs w:val="16"/>
              </w:rPr>
            </w:pPr>
            <w:r w:rsidRPr="005D0593">
              <w:rPr>
                <w:rFonts w:ascii="Arial" w:hAnsi="Arial" w:cs="Arial"/>
                <w:sz w:val="16"/>
                <w:szCs w:val="16"/>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6F20DBE1" w14:textId="77777777">
            <w:pPr>
              <w:jc w:val="center"/>
              <w:rPr>
                <w:rFonts w:ascii="Arial" w:hAnsi="Arial" w:cs="Arial"/>
                <w:sz w:val="16"/>
                <w:szCs w:val="16"/>
              </w:rPr>
            </w:pPr>
            <w:r w:rsidRPr="005D0593">
              <w:rPr>
                <w:rFonts w:ascii="Arial" w:hAnsi="Arial" w:cs="Arial"/>
                <w:sz w:val="16"/>
                <w:szCs w:val="16"/>
              </w:rPr>
              <w:t xml:space="preserve">$358 </w:t>
            </w:r>
          </w:p>
        </w:tc>
      </w:tr>
      <w:tr w14:paraId="532C3E48"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tcPr>
          <w:p w:rsidR="004647B0" w:rsidRPr="005D0593" w:rsidP="003E7F81" w14:paraId="51CE5D4C" w14:textId="77777777">
            <w:pPr>
              <w:rPr>
                <w:rFonts w:ascii="Arial" w:hAnsi="Arial" w:cs="Arial"/>
                <w:sz w:val="16"/>
                <w:szCs w:val="16"/>
              </w:rPr>
            </w:pPr>
            <w:r w:rsidRPr="005D0593">
              <w:rPr>
                <w:rFonts w:ascii="Arial" w:hAnsi="Arial" w:cs="Arial"/>
                <w:color w:val="000000"/>
                <w:sz w:val="16"/>
                <w:szCs w:val="16"/>
              </w:rPr>
              <w:t>TT. Industrial Waste Landfills</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74DE0CF7" w14:textId="77777777">
            <w:pPr>
              <w:jc w:val="center"/>
              <w:rPr>
                <w:rFonts w:ascii="Arial" w:hAnsi="Arial" w:cs="Arial"/>
                <w:sz w:val="16"/>
                <w:szCs w:val="16"/>
              </w:rPr>
            </w:pPr>
            <w:r w:rsidRPr="005D0593">
              <w:rPr>
                <w:rFonts w:ascii="Arial" w:hAnsi="Arial" w:cs="Arial"/>
                <w:sz w:val="16"/>
                <w:szCs w:val="16"/>
              </w:rPr>
              <w:t>1</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05A45034" w14:textId="77777777">
            <w:pPr>
              <w:jc w:val="center"/>
              <w:rPr>
                <w:rFonts w:ascii="Arial" w:hAnsi="Arial" w:cs="Arial"/>
                <w:sz w:val="16"/>
                <w:szCs w:val="16"/>
              </w:rPr>
            </w:pPr>
            <w:r w:rsidRPr="005D0593">
              <w:rPr>
                <w:rFonts w:ascii="Arial" w:hAnsi="Arial" w:cs="Arial"/>
                <w:sz w:val="16"/>
                <w:szCs w:val="16"/>
              </w:rPr>
              <w:t xml:space="preserve">58 </w:t>
            </w:r>
          </w:p>
        </w:tc>
        <w:tc>
          <w:tcPr>
            <w:tcW w:w="1170" w:type="dxa"/>
            <w:tcBorders>
              <w:top w:val="nil"/>
              <w:left w:val="nil"/>
              <w:bottom w:val="single" w:sz="4" w:space="0" w:color="auto"/>
              <w:right w:val="single" w:sz="4" w:space="0" w:color="auto"/>
            </w:tcBorders>
            <w:vAlign w:val="bottom"/>
          </w:tcPr>
          <w:p w:rsidR="004647B0" w:rsidRPr="005D0593" w:rsidP="003E7F81" w14:paraId="0BA580BC" w14:textId="77777777">
            <w:pPr>
              <w:jc w:val="center"/>
              <w:rPr>
                <w:rFonts w:ascii="Arial" w:hAnsi="Arial" w:cs="Arial"/>
                <w:sz w:val="16"/>
                <w:szCs w:val="16"/>
              </w:rPr>
            </w:pPr>
            <w:r w:rsidRPr="005D0593">
              <w:rPr>
                <w:rFonts w:ascii="Arial" w:hAnsi="Arial" w:cs="Arial"/>
                <w:sz w:val="16"/>
                <w:szCs w:val="16"/>
              </w:rPr>
              <w:t xml:space="preserve">58.0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6748555B" w14:textId="77777777">
            <w:pPr>
              <w:jc w:val="center"/>
              <w:rPr>
                <w:rFonts w:ascii="Arial" w:hAnsi="Arial" w:cs="Arial"/>
                <w:sz w:val="16"/>
                <w:szCs w:val="16"/>
              </w:rPr>
            </w:pPr>
            <w:r w:rsidRPr="005D0593">
              <w:rPr>
                <w:rFonts w:ascii="Arial" w:hAnsi="Arial" w:cs="Arial"/>
                <w:sz w:val="16"/>
                <w:szCs w:val="16"/>
              </w:rPr>
              <w:t xml:space="preserve">$4,240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5CFF7294" w14:textId="77777777">
            <w:pPr>
              <w:jc w:val="center"/>
              <w:rPr>
                <w:rFonts w:ascii="Arial" w:hAnsi="Arial" w:cs="Arial"/>
                <w:sz w:val="16"/>
                <w:szCs w:val="16"/>
              </w:rPr>
            </w:pPr>
            <w:r w:rsidRPr="005D0593">
              <w:rPr>
                <w:rFonts w:ascii="Arial" w:hAnsi="Arial" w:cs="Arial"/>
                <w:sz w:val="16"/>
                <w:szCs w:val="16"/>
              </w:rPr>
              <w:t xml:space="preserve">$62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4EDB6E88" w14:textId="77777777">
            <w:pPr>
              <w:jc w:val="center"/>
              <w:rPr>
                <w:rFonts w:ascii="Arial" w:hAnsi="Arial" w:cs="Arial"/>
                <w:sz w:val="16"/>
                <w:szCs w:val="16"/>
              </w:rPr>
            </w:pPr>
            <w:r w:rsidRPr="005D0593">
              <w:rPr>
                <w:rFonts w:ascii="Arial" w:hAnsi="Arial" w:cs="Arial"/>
                <w:sz w:val="16"/>
                <w:szCs w:val="16"/>
              </w:rPr>
              <w:t xml:space="preserve">$4,303 </w:t>
            </w:r>
          </w:p>
        </w:tc>
      </w:tr>
      <w:tr w14:paraId="5570F5BD"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4647B0" w:rsidRPr="005D0593" w:rsidP="003E7F81" w14:paraId="635E390E" w14:textId="77777777">
            <w:pPr>
              <w:rPr>
                <w:rFonts w:ascii="Arial" w:hAnsi="Arial" w:cs="Arial"/>
                <w:sz w:val="16"/>
                <w:szCs w:val="16"/>
              </w:rPr>
            </w:pPr>
            <w:r w:rsidRPr="005D0593">
              <w:rPr>
                <w:rFonts w:ascii="Arial" w:hAnsi="Arial" w:cs="Arial"/>
                <w:color w:val="000000"/>
                <w:sz w:val="16"/>
                <w:szCs w:val="16"/>
              </w:rPr>
              <w:t>UU. Injection of Carbon Dioxide</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30BFB351" w14:textId="77777777">
            <w:pPr>
              <w:jc w:val="center"/>
              <w:rPr>
                <w:rFonts w:ascii="Arial" w:hAnsi="Arial" w:cs="Arial"/>
                <w:sz w:val="16"/>
                <w:szCs w:val="16"/>
              </w:rPr>
            </w:pPr>
            <w:r w:rsidRPr="005D0593">
              <w:rPr>
                <w:rFonts w:ascii="Arial" w:hAnsi="Arial" w:cs="Arial"/>
                <w:sz w:val="16"/>
                <w:szCs w:val="16"/>
              </w:rPr>
              <w:t>2</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454EED1D" w14:textId="77777777">
            <w:pPr>
              <w:jc w:val="center"/>
              <w:rPr>
                <w:rFonts w:ascii="Arial" w:hAnsi="Arial" w:cs="Arial"/>
                <w:sz w:val="16"/>
                <w:szCs w:val="16"/>
              </w:rPr>
            </w:pPr>
            <w:r w:rsidRPr="005D0593">
              <w:rPr>
                <w:rFonts w:ascii="Arial" w:hAnsi="Arial" w:cs="Arial"/>
                <w:sz w:val="16"/>
                <w:szCs w:val="16"/>
              </w:rPr>
              <w:t>(26)</w:t>
            </w:r>
          </w:p>
        </w:tc>
        <w:tc>
          <w:tcPr>
            <w:tcW w:w="1170" w:type="dxa"/>
            <w:tcBorders>
              <w:top w:val="nil"/>
              <w:left w:val="nil"/>
              <w:bottom w:val="single" w:sz="4" w:space="0" w:color="auto"/>
              <w:right w:val="single" w:sz="4" w:space="0" w:color="auto"/>
            </w:tcBorders>
            <w:vAlign w:val="bottom"/>
          </w:tcPr>
          <w:p w:rsidR="004647B0" w:rsidRPr="005D0593" w:rsidP="003E7F81" w14:paraId="7FEB3E55" w14:textId="77777777">
            <w:pPr>
              <w:jc w:val="center"/>
              <w:rPr>
                <w:rFonts w:ascii="Arial" w:hAnsi="Arial" w:cs="Arial"/>
                <w:sz w:val="16"/>
                <w:szCs w:val="16"/>
              </w:rPr>
            </w:pPr>
            <w:r w:rsidRPr="005D0593">
              <w:rPr>
                <w:rFonts w:ascii="Arial" w:hAnsi="Arial" w:cs="Arial"/>
                <w:sz w:val="16"/>
                <w:szCs w:val="16"/>
              </w:rPr>
              <w:t>(13.0)</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7EC34A0C" w14:textId="77777777">
            <w:pPr>
              <w:jc w:val="center"/>
              <w:rPr>
                <w:rFonts w:ascii="Arial" w:hAnsi="Arial" w:cs="Arial"/>
                <w:sz w:val="16"/>
                <w:szCs w:val="16"/>
              </w:rPr>
            </w:pPr>
            <w:r w:rsidRPr="005D0593">
              <w:rPr>
                <w:rFonts w:ascii="Arial" w:hAnsi="Arial" w:cs="Arial"/>
                <w:sz w:val="16"/>
                <w:szCs w:val="16"/>
              </w:rPr>
              <w:t>($1,886)</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24FCA247" w14:textId="77777777">
            <w:pPr>
              <w:jc w:val="center"/>
              <w:rPr>
                <w:rFonts w:ascii="Arial" w:hAnsi="Arial" w:cs="Arial"/>
                <w:sz w:val="16"/>
                <w:szCs w:val="16"/>
              </w:rPr>
            </w:pPr>
            <w:r w:rsidRPr="005D0593">
              <w:rPr>
                <w:rFonts w:ascii="Arial" w:hAnsi="Arial" w:cs="Arial"/>
                <w:sz w:val="16"/>
                <w:szCs w:val="16"/>
              </w:rPr>
              <w:t>($125)</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0AEA3146" w14:textId="77777777">
            <w:pPr>
              <w:jc w:val="center"/>
              <w:rPr>
                <w:rFonts w:ascii="Arial" w:hAnsi="Arial" w:cs="Arial"/>
                <w:sz w:val="16"/>
                <w:szCs w:val="16"/>
              </w:rPr>
            </w:pPr>
            <w:r w:rsidRPr="005D0593">
              <w:rPr>
                <w:rFonts w:ascii="Arial" w:hAnsi="Arial" w:cs="Arial"/>
                <w:sz w:val="16"/>
                <w:szCs w:val="16"/>
              </w:rPr>
              <w:t>($2,011)</w:t>
            </w:r>
          </w:p>
        </w:tc>
      </w:tr>
      <w:tr w14:paraId="6CB6C541"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tcPr>
          <w:p w:rsidR="004647B0" w:rsidRPr="005D0593" w:rsidP="003E7F81" w14:paraId="69902D0C" w14:textId="77777777">
            <w:pPr>
              <w:rPr>
                <w:rFonts w:ascii="Arial" w:hAnsi="Arial" w:cs="Arial"/>
                <w:sz w:val="16"/>
                <w:szCs w:val="16"/>
              </w:rPr>
            </w:pPr>
            <w:r w:rsidRPr="005D0593">
              <w:rPr>
                <w:rFonts w:ascii="Arial" w:hAnsi="Arial" w:cs="Arial"/>
                <w:color w:val="000000"/>
                <w:sz w:val="16"/>
                <w:szCs w:val="16"/>
              </w:rPr>
              <w:t>VV. Geologic Sequestration of CO2 with EOR</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5B1D19F2" w14:textId="77777777">
            <w:pPr>
              <w:jc w:val="center"/>
              <w:rPr>
                <w:rFonts w:ascii="Arial" w:hAnsi="Arial" w:cs="Arial"/>
                <w:sz w:val="16"/>
                <w:szCs w:val="16"/>
              </w:rPr>
            </w:pPr>
            <w:r w:rsidRPr="005D0593">
              <w:rPr>
                <w:rFonts w:ascii="Arial" w:hAnsi="Arial" w:cs="Arial"/>
                <w:sz w:val="16"/>
                <w:szCs w:val="16"/>
              </w:rPr>
              <w:t>2</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06794B09" w14:textId="77777777">
            <w:pPr>
              <w:jc w:val="center"/>
              <w:rPr>
                <w:rFonts w:ascii="Arial" w:hAnsi="Arial" w:cs="Arial"/>
                <w:sz w:val="16"/>
                <w:szCs w:val="16"/>
              </w:rPr>
            </w:pPr>
            <w:r w:rsidRPr="005D0593">
              <w:rPr>
                <w:rFonts w:ascii="Arial" w:hAnsi="Arial" w:cs="Arial"/>
                <w:sz w:val="16"/>
                <w:szCs w:val="16"/>
              </w:rPr>
              <w:t xml:space="preserve">34 </w:t>
            </w:r>
          </w:p>
        </w:tc>
        <w:tc>
          <w:tcPr>
            <w:tcW w:w="1170" w:type="dxa"/>
            <w:tcBorders>
              <w:top w:val="nil"/>
              <w:left w:val="nil"/>
              <w:bottom w:val="single" w:sz="4" w:space="0" w:color="auto"/>
              <w:right w:val="single" w:sz="4" w:space="0" w:color="auto"/>
            </w:tcBorders>
            <w:vAlign w:val="bottom"/>
          </w:tcPr>
          <w:p w:rsidR="004647B0" w:rsidRPr="005D0593" w:rsidP="003E7F81" w14:paraId="76403DE1" w14:textId="77777777">
            <w:pPr>
              <w:jc w:val="center"/>
              <w:rPr>
                <w:rFonts w:ascii="Arial" w:hAnsi="Arial" w:cs="Arial"/>
                <w:sz w:val="16"/>
                <w:szCs w:val="16"/>
              </w:rPr>
            </w:pPr>
            <w:r w:rsidRPr="005D0593">
              <w:rPr>
                <w:rFonts w:ascii="Arial" w:hAnsi="Arial" w:cs="Arial"/>
                <w:sz w:val="16"/>
                <w:szCs w:val="16"/>
              </w:rPr>
              <w:t xml:space="preserve">17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1992E7FD" w14:textId="77777777">
            <w:pPr>
              <w:jc w:val="center"/>
              <w:rPr>
                <w:rFonts w:ascii="Arial" w:hAnsi="Arial" w:cs="Arial"/>
                <w:sz w:val="16"/>
                <w:szCs w:val="16"/>
              </w:rPr>
            </w:pPr>
            <w:r w:rsidRPr="005D0593">
              <w:rPr>
                <w:rFonts w:ascii="Arial" w:hAnsi="Arial" w:cs="Arial"/>
                <w:sz w:val="16"/>
                <w:szCs w:val="16"/>
              </w:rPr>
              <w:t xml:space="preserve">$2,923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33DA8324" w14:textId="77777777">
            <w:pPr>
              <w:jc w:val="center"/>
              <w:rPr>
                <w:rFonts w:ascii="Arial" w:hAnsi="Arial" w:cs="Arial"/>
                <w:sz w:val="16"/>
                <w:szCs w:val="16"/>
              </w:rPr>
            </w:pPr>
            <w:r w:rsidRPr="005D0593">
              <w:rPr>
                <w:rFonts w:ascii="Arial" w:hAnsi="Arial" w:cs="Arial"/>
                <w:sz w:val="16"/>
                <w:szCs w:val="16"/>
              </w:rPr>
              <w:t xml:space="preserve">$250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60E5D8B0" w14:textId="77777777">
            <w:pPr>
              <w:jc w:val="center"/>
              <w:rPr>
                <w:rFonts w:ascii="Arial" w:hAnsi="Arial" w:cs="Arial"/>
                <w:sz w:val="16"/>
                <w:szCs w:val="16"/>
              </w:rPr>
            </w:pPr>
            <w:r w:rsidRPr="005D0593">
              <w:rPr>
                <w:rFonts w:ascii="Arial" w:hAnsi="Arial" w:cs="Arial"/>
                <w:sz w:val="16"/>
                <w:szCs w:val="16"/>
              </w:rPr>
              <w:t xml:space="preserve">$3,172 </w:t>
            </w:r>
          </w:p>
        </w:tc>
      </w:tr>
      <w:tr w14:paraId="0EA25E53" w14:textId="77777777" w:rsidTr="003E7F8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tcPr>
          <w:p w:rsidR="004647B0" w:rsidRPr="005D0593" w:rsidP="003E7F81" w14:paraId="3ABA4F57" w14:textId="77777777">
            <w:pPr>
              <w:rPr>
                <w:rFonts w:ascii="Arial" w:hAnsi="Arial" w:cs="Arial"/>
                <w:sz w:val="16"/>
                <w:szCs w:val="16"/>
              </w:rPr>
            </w:pPr>
            <w:r w:rsidRPr="005D0593">
              <w:rPr>
                <w:rFonts w:ascii="Arial" w:hAnsi="Arial" w:cs="Arial"/>
                <w:color w:val="000000"/>
                <w:sz w:val="16"/>
                <w:szCs w:val="16"/>
              </w:rPr>
              <w:t>WW. Coke Calcining</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188298D8" w14:textId="77777777">
            <w:pPr>
              <w:jc w:val="center"/>
              <w:rPr>
                <w:rFonts w:ascii="Arial" w:hAnsi="Arial" w:cs="Arial"/>
                <w:sz w:val="16"/>
                <w:szCs w:val="16"/>
              </w:rPr>
            </w:pPr>
            <w:r w:rsidRPr="005D0593">
              <w:rPr>
                <w:rFonts w:ascii="Arial" w:hAnsi="Arial" w:cs="Arial"/>
                <w:sz w:val="16"/>
                <w:szCs w:val="16"/>
              </w:rPr>
              <w:t>15</w:t>
            </w:r>
          </w:p>
        </w:tc>
        <w:tc>
          <w:tcPr>
            <w:tcW w:w="1260" w:type="dxa"/>
            <w:tcBorders>
              <w:top w:val="nil"/>
              <w:left w:val="nil"/>
              <w:bottom w:val="single" w:sz="4" w:space="0" w:color="auto"/>
              <w:right w:val="single" w:sz="4" w:space="0" w:color="auto"/>
            </w:tcBorders>
            <w:shd w:val="clear" w:color="auto" w:fill="auto"/>
            <w:noWrap/>
            <w:vAlign w:val="bottom"/>
          </w:tcPr>
          <w:p w:rsidR="004647B0" w:rsidRPr="005D0593" w:rsidP="003E7F81" w14:paraId="652E60F2" w14:textId="77777777">
            <w:pPr>
              <w:jc w:val="center"/>
              <w:rPr>
                <w:rFonts w:ascii="Arial" w:hAnsi="Arial" w:cs="Arial"/>
                <w:sz w:val="16"/>
                <w:szCs w:val="16"/>
              </w:rPr>
            </w:pPr>
            <w:r w:rsidRPr="005D0593">
              <w:rPr>
                <w:rFonts w:ascii="Arial" w:hAnsi="Arial" w:cs="Arial"/>
                <w:sz w:val="16"/>
                <w:szCs w:val="16"/>
              </w:rPr>
              <w:t xml:space="preserve">474 </w:t>
            </w:r>
          </w:p>
        </w:tc>
        <w:tc>
          <w:tcPr>
            <w:tcW w:w="1170" w:type="dxa"/>
            <w:tcBorders>
              <w:top w:val="nil"/>
              <w:left w:val="nil"/>
              <w:bottom w:val="single" w:sz="4" w:space="0" w:color="auto"/>
              <w:right w:val="single" w:sz="4" w:space="0" w:color="auto"/>
            </w:tcBorders>
            <w:vAlign w:val="bottom"/>
          </w:tcPr>
          <w:p w:rsidR="004647B0" w:rsidRPr="005D0593" w:rsidP="003E7F81" w14:paraId="3F4A12E2" w14:textId="77777777">
            <w:pPr>
              <w:jc w:val="center"/>
              <w:rPr>
                <w:rFonts w:ascii="Arial" w:hAnsi="Arial" w:cs="Arial"/>
                <w:sz w:val="16"/>
                <w:szCs w:val="16"/>
              </w:rPr>
            </w:pPr>
            <w:r w:rsidRPr="005D0593">
              <w:rPr>
                <w:rFonts w:ascii="Arial" w:hAnsi="Arial" w:cs="Arial"/>
                <w:sz w:val="16"/>
                <w:szCs w:val="16"/>
              </w:rPr>
              <w:t xml:space="preserve">31.6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647B0" w:rsidRPr="005D0593" w:rsidP="003E7F81" w14:paraId="17C34251" w14:textId="77777777">
            <w:pPr>
              <w:jc w:val="center"/>
              <w:rPr>
                <w:rFonts w:ascii="Arial" w:hAnsi="Arial" w:cs="Arial"/>
                <w:sz w:val="16"/>
                <w:szCs w:val="16"/>
              </w:rPr>
            </w:pPr>
            <w:r w:rsidRPr="005D0593">
              <w:rPr>
                <w:rFonts w:ascii="Arial" w:hAnsi="Arial" w:cs="Arial"/>
                <w:sz w:val="16"/>
                <w:szCs w:val="16"/>
              </w:rPr>
              <w:t xml:space="preserve">$35,633 </w:t>
            </w:r>
          </w:p>
        </w:tc>
        <w:tc>
          <w:tcPr>
            <w:tcW w:w="1170" w:type="dxa"/>
            <w:tcBorders>
              <w:top w:val="nil"/>
              <w:left w:val="nil"/>
              <w:bottom w:val="single" w:sz="4" w:space="0" w:color="auto"/>
              <w:right w:val="single" w:sz="4" w:space="0" w:color="auto"/>
            </w:tcBorders>
            <w:shd w:val="clear" w:color="auto" w:fill="auto"/>
            <w:noWrap/>
            <w:vAlign w:val="bottom"/>
          </w:tcPr>
          <w:p w:rsidR="004647B0" w:rsidRPr="005D0593" w:rsidP="003E7F81" w14:paraId="38D3EB94" w14:textId="77777777">
            <w:pPr>
              <w:jc w:val="center"/>
              <w:rPr>
                <w:rFonts w:ascii="Arial" w:hAnsi="Arial" w:cs="Arial"/>
                <w:sz w:val="16"/>
                <w:szCs w:val="16"/>
              </w:rPr>
            </w:pPr>
            <w:r w:rsidRPr="005D0593">
              <w:rPr>
                <w:rFonts w:ascii="Arial" w:hAnsi="Arial" w:cs="Arial"/>
                <w:sz w:val="16"/>
                <w:szCs w:val="16"/>
              </w:rPr>
              <w:t xml:space="preserve">$19,649 </w:t>
            </w:r>
          </w:p>
        </w:tc>
        <w:tc>
          <w:tcPr>
            <w:tcW w:w="1170" w:type="dxa"/>
            <w:tcBorders>
              <w:top w:val="nil"/>
              <w:left w:val="nil"/>
              <w:bottom w:val="single" w:sz="4" w:space="0" w:color="auto"/>
              <w:right w:val="single" w:sz="12" w:space="0" w:color="auto"/>
            </w:tcBorders>
            <w:shd w:val="clear" w:color="auto" w:fill="auto"/>
            <w:noWrap/>
            <w:vAlign w:val="bottom"/>
          </w:tcPr>
          <w:p w:rsidR="004647B0" w:rsidRPr="005D0593" w:rsidP="003E7F81" w14:paraId="3501518D" w14:textId="77777777">
            <w:pPr>
              <w:jc w:val="center"/>
              <w:rPr>
                <w:rFonts w:ascii="Arial" w:hAnsi="Arial" w:cs="Arial"/>
                <w:sz w:val="16"/>
                <w:szCs w:val="16"/>
              </w:rPr>
            </w:pPr>
            <w:r w:rsidRPr="005D0593">
              <w:rPr>
                <w:rFonts w:ascii="Arial" w:hAnsi="Arial" w:cs="Arial"/>
                <w:sz w:val="16"/>
                <w:szCs w:val="16"/>
              </w:rPr>
              <w:t xml:space="preserve">$55,282 </w:t>
            </w:r>
          </w:p>
        </w:tc>
      </w:tr>
      <w:tr w14:paraId="685F04C4" w14:textId="77777777" w:rsidTr="003E7F81">
        <w:tblPrEx>
          <w:tblW w:w="9795" w:type="dxa"/>
          <w:tblLayout w:type="fixed"/>
          <w:tblLook w:val="04A0"/>
        </w:tblPrEx>
        <w:trPr>
          <w:trHeight w:val="346"/>
        </w:trPr>
        <w:tc>
          <w:tcPr>
            <w:tcW w:w="2595" w:type="dxa"/>
            <w:tcBorders>
              <w:top w:val="single" w:sz="4" w:space="0" w:color="auto"/>
              <w:left w:val="single" w:sz="12" w:space="0" w:color="auto"/>
              <w:bottom w:val="single" w:sz="4" w:space="0" w:color="auto"/>
              <w:right w:val="nil"/>
            </w:tcBorders>
            <w:shd w:val="clear" w:color="auto" w:fill="auto"/>
            <w:vAlign w:val="bottom"/>
            <w:hideMark/>
          </w:tcPr>
          <w:p w:rsidR="004647B0" w:rsidRPr="005D0593" w:rsidP="003E7F81" w14:paraId="0609504D" w14:textId="77777777">
            <w:pPr>
              <w:rPr>
                <w:rFonts w:ascii="Arial" w:hAnsi="Arial" w:cs="Arial"/>
                <w:b/>
                <w:bCs/>
                <w:sz w:val="16"/>
                <w:szCs w:val="16"/>
              </w:rPr>
            </w:pPr>
            <w:r w:rsidRPr="005D0593">
              <w:rPr>
                <w:rFonts w:ascii="Arial" w:hAnsi="Arial" w:cs="Arial"/>
                <w:color w:val="000000"/>
                <w:sz w:val="16"/>
                <w:szCs w:val="16"/>
              </w:rPr>
              <w:t>XX. Calcium Carbide</w:t>
            </w:r>
          </w:p>
        </w:tc>
        <w:tc>
          <w:tcPr>
            <w:tcW w:w="1260" w:type="dxa"/>
            <w:tcBorders>
              <w:top w:val="single" w:sz="4" w:space="0" w:color="auto"/>
              <w:left w:val="single" w:sz="8" w:space="0" w:color="auto"/>
              <w:bottom w:val="single" w:sz="4" w:space="0" w:color="auto"/>
              <w:right w:val="single" w:sz="8" w:space="0" w:color="auto"/>
            </w:tcBorders>
            <w:shd w:val="clear" w:color="auto" w:fill="auto"/>
            <w:noWrap/>
            <w:vAlign w:val="bottom"/>
          </w:tcPr>
          <w:p w:rsidR="004647B0" w:rsidRPr="005D0593" w:rsidP="003E7F81" w14:paraId="2E5A4BA7" w14:textId="77777777">
            <w:pPr>
              <w:jc w:val="center"/>
              <w:rPr>
                <w:rFonts w:ascii="Arial" w:hAnsi="Arial" w:cs="Arial"/>
                <w:sz w:val="16"/>
                <w:szCs w:val="16"/>
              </w:rPr>
            </w:pPr>
            <w:r w:rsidRPr="005D0593">
              <w:rPr>
                <w:rFonts w:ascii="Arial" w:hAnsi="Arial" w:cs="Arial"/>
                <w:sz w:val="16"/>
                <w:szCs w:val="16"/>
              </w:rPr>
              <w:t>1</w:t>
            </w:r>
          </w:p>
        </w:tc>
        <w:tc>
          <w:tcPr>
            <w:tcW w:w="1260" w:type="dxa"/>
            <w:tcBorders>
              <w:top w:val="single" w:sz="4" w:space="0" w:color="auto"/>
              <w:left w:val="nil"/>
              <w:bottom w:val="single" w:sz="4" w:space="0" w:color="auto"/>
              <w:right w:val="single" w:sz="8" w:space="0" w:color="auto"/>
            </w:tcBorders>
            <w:shd w:val="clear" w:color="auto" w:fill="auto"/>
            <w:noWrap/>
            <w:vAlign w:val="bottom"/>
          </w:tcPr>
          <w:p w:rsidR="004647B0" w:rsidRPr="005D0593" w:rsidP="003E7F81" w14:paraId="5915098D" w14:textId="77777777">
            <w:pPr>
              <w:jc w:val="center"/>
              <w:rPr>
                <w:rFonts w:ascii="Arial" w:hAnsi="Arial" w:cs="Arial"/>
                <w:sz w:val="16"/>
                <w:szCs w:val="16"/>
              </w:rPr>
            </w:pPr>
            <w:r w:rsidRPr="005D0593">
              <w:rPr>
                <w:rFonts w:ascii="Arial" w:hAnsi="Arial" w:cs="Arial"/>
                <w:sz w:val="16"/>
                <w:szCs w:val="16"/>
              </w:rPr>
              <w:t xml:space="preserve">36 </w:t>
            </w:r>
          </w:p>
        </w:tc>
        <w:tc>
          <w:tcPr>
            <w:tcW w:w="1170" w:type="dxa"/>
            <w:tcBorders>
              <w:top w:val="single" w:sz="4" w:space="0" w:color="auto"/>
              <w:left w:val="nil"/>
              <w:bottom w:val="single" w:sz="4" w:space="0" w:color="auto"/>
              <w:right w:val="single" w:sz="4" w:space="0" w:color="auto"/>
            </w:tcBorders>
            <w:vAlign w:val="bottom"/>
          </w:tcPr>
          <w:p w:rsidR="004647B0" w:rsidRPr="005D0593" w:rsidP="003E7F81" w14:paraId="171C55CB" w14:textId="77777777">
            <w:pPr>
              <w:jc w:val="center"/>
              <w:rPr>
                <w:rFonts w:ascii="Arial" w:hAnsi="Arial" w:cs="Arial"/>
                <w:sz w:val="16"/>
                <w:szCs w:val="16"/>
              </w:rPr>
            </w:pPr>
            <w:r w:rsidRPr="005D0593">
              <w:rPr>
                <w:rFonts w:ascii="Arial" w:hAnsi="Arial" w:cs="Arial"/>
                <w:sz w:val="16"/>
                <w:szCs w:val="16"/>
              </w:rPr>
              <w:t xml:space="preserve">36.0 </w:t>
            </w:r>
          </w:p>
        </w:tc>
        <w:tc>
          <w:tcPr>
            <w:tcW w:w="1170" w:type="dxa"/>
            <w:tcBorders>
              <w:top w:val="single" w:sz="4" w:space="0" w:color="auto"/>
              <w:left w:val="single" w:sz="4" w:space="0" w:color="auto"/>
              <w:bottom w:val="single" w:sz="4" w:space="0" w:color="auto"/>
              <w:right w:val="single" w:sz="8" w:space="0" w:color="auto"/>
            </w:tcBorders>
            <w:shd w:val="clear" w:color="auto" w:fill="auto"/>
            <w:noWrap/>
            <w:vAlign w:val="bottom"/>
          </w:tcPr>
          <w:p w:rsidR="004647B0" w:rsidRPr="005D0593" w:rsidP="003E7F81" w14:paraId="351411FB" w14:textId="77777777">
            <w:pPr>
              <w:jc w:val="center"/>
              <w:rPr>
                <w:rFonts w:ascii="Arial" w:hAnsi="Arial" w:cs="Arial"/>
                <w:sz w:val="16"/>
                <w:szCs w:val="16"/>
              </w:rPr>
            </w:pPr>
            <w:r w:rsidRPr="005D0593">
              <w:rPr>
                <w:rFonts w:ascii="Arial" w:hAnsi="Arial" w:cs="Arial"/>
                <w:sz w:val="16"/>
                <w:szCs w:val="16"/>
              </w:rPr>
              <w:t xml:space="preserve">$2,701 </w:t>
            </w:r>
          </w:p>
        </w:tc>
        <w:tc>
          <w:tcPr>
            <w:tcW w:w="1170" w:type="dxa"/>
            <w:tcBorders>
              <w:top w:val="single" w:sz="4" w:space="0" w:color="auto"/>
              <w:left w:val="nil"/>
              <w:bottom w:val="single" w:sz="4" w:space="0" w:color="auto"/>
              <w:right w:val="single" w:sz="8" w:space="0" w:color="auto"/>
            </w:tcBorders>
            <w:shd w:val="clear" w:color="auto" w:fill="auto"/>
            <w:noWrap/>
            <w:vAlign w:val="bottom"/>
          </w:tcPr>
          <w:p w:rsidR="004647B0" w:rsidRPr="005D0593" w:rsidP="003E7F81" w14:paraId="5E029DBA" w14:textId="77777777">
            <w:pPr>
              <w:jc w:val="center"/>
              <w:rPr>
                <w:rFonts w:ascii="Arial" w:hAnsi="Arial" w:cs="Arial"/>
                <w:sz w:val="16"/>
                <w:szCs w:val="16"/>
              </w:rPr>
            </w:pPr>
            <w:r w:rsidRPr="005D0593">
              <w:rPr>
                <w:rFonts w:ascii="Arial" w:hAnsi="Arial" w:cs="Arial"/>
                <w:sz w:val="16"/>
                <w:szCs w:val="16"/>
              </w:rPr>
              <w:t xml:space="preserve">$62 </w:t>
            </w:r>
          </w:p>
        </w:tc>
        <w:tc>
          <w:tcPr>
            <w:tcW w:w="1170" w:type="dxa"/>
            <w:tcBorders>
              <w:top w:val="single" w:sz="4" w:space="0" w:color="auto"/>
              <w:left w:val="nil"/>
              <w:bottom w:val="single" w:sz="4" w:space="0" w:color="auto"/>
              <w:right w:val="single" w:sz="12" w:space="0" w:color="auto"/>
            </w:tcBorders>
            <w:shd w:val="clear" w:color="auto" w:fill="auto"/>
            <w:noWrap/>
            <w:vAlign w:val="bottom"/>
          </w:tcPr>
          <w:p w:rsidR="004647B0" w:rsidRPr="005D0593" w:rsidP="003E7F81" w14:paraId="2569D6B8" w14:textId="77777777">
            <w:pPr>
              <w:jc w:val="center"/>
              <w:rPr>
                <w:rFonts w:ascii="Arial" w:hAnsi="Arial" w:cs="Arial"/>
                <w:sz w:val="16"/>
                <w:szCs w:val="16"/>
              </w:rPr>
            </w:pPr>
            <w:r w:rsidRPr="005D0593">
              <w:rPr>
                <w:rFonts w:ascii="Arial" w:hAnsi="Arial" w:cs="Arial"/>
                <w:sz w:val="16"/>
                <w:szCs w:val="16"/>
              </w:rPr>
              <w:t xml:space="preserve">$2,764 </w:t>
            </w:r>
          </w:p>
        </w:tc>
      </w:tr>
      <w:tr w14:paraId="3E210EC8" w14:textId="77777777" w:rsidTr="003E7F81">
        <w:tblPrEx>
          <w:tblW w:w="9795" w:type="dxa"/>
          <w:tblLayout w:type="fixed"/>
          <w:tblLook w:val="04A0"/>
        </w:tblPrEx>
        <w:trPr>
          <w:trHeight w:val="346"/>
        </w:trPr>
        <w:tc>
          <w:tcPr>
            <w:tcW w:w="2595" w:type="dxa"/>
            <w:tcBorders>
              <w:top w:val="single" w:sz="4" w:space="0" w:color="auto"/>
              <w:left w:val="single" w:sz="12" w:space="0" w:color="auto"/>
              <w:bottom w:val="double" w:sz="6" w:space="0" w:color="auto"/>
              <w:right w:val="nil"/>
            </w:tcBorders>
            <w:shd w:val="clear" w:color="auto" w:fill="auto"/>
            <w:vAlign w:val="bottom"/>
          </w:tcPr>
          <w:p w:rsidR="004647B0" w:rsidRPr="005D0593" w:rsidP="003E7F81" w14:paraId="2046CEB0" w14:textId="77777777">
            <w:pPr>
              <w:rPr>
                <w:rFonts w:ascii="Arial" w:hAnsi="Arial" w:cs="Arial"/>
                <w:color w:val="000000"/>
                <w:sz w:val="16"/>
                <w:szCs w:val="16"/>
              </w:rPr>
            </w:pPr>
            <w:r w:rsidRPr="005D0593">
              <w:rPr>
                <w:rFonts w:ascii="Arial" w:hAnsi="Arial" w:cs="Arial"/>
                <w:color w:val="000000"/>
                <w:sz w:val="16"/>
                <w:szCs w:val="16"/>
              </w:rPr>
              <w:t>YY. Caprolactam, Glyoxal, and Glyoxylic Acid Production</w:t>
            </w:r>
          </w:p>
        </w:tc>
        <w:tc>
          <w:tcPr>
            <w:tcW w:w="1260" w:type="dxa"/>
            <w:tcBorders>
              <w:top w:val="single" w:sz="4" w:space="0" w:color="auto"/>
              <w:left w:val="single" w:sz="8" w:space="0" w:color="auto"/>
              <w:bottom w:val="double" w:sz="6" w:space="0" w:color="auto"/>
              <w:right w:val="single" w:sz="8" w:space="0" w:color="auto"/>
            </w:tcBorders>
            <w:shd w:val="clear" w:color="auto" w:fill="auto"/>
            <w:noWrap/>
            <w:vAlign w:val="bottom"/>
          </w:tcPr>
          <w:p w:rsidR="004647B0" w:rsidRPr="005D0593" w:rsidP="003E7F81" w14:paraId="5773F699" w14:textId="77777777">
            <w:pPr>
              <w:jc w:val="center"/>
              <w:rPr>
                <w:rFonts w:ascii="Arial" w:hAnsi="Arial" w:cs="Arial"/>
                <w:color w:val="000000"/>
                <w:sz w:val="16"/>
                <w:szCs w:val="16"/>
              </w:rPr>
            </w:pPr>
            <w:r w:rsidRPr="005D0593">
              <w:rPr>
                <w:rFonts w:ascii="Arial" w:hAnsi="Arial" w:cs="Arial"/>
                <w:sz w:val="16"/>
                <w:szCs w:val="16"/>
              </w:rPr>
              <w:t>6</w:t>
            </w:r>
          </w:p>
        </w:tc>
        <w:tc>
          <w:tcPr>
            <w:tcW w:w="1260" w:type="dxa"/>
            <w:tcBorders>
              <w:top w:val="single" w:sz="4" w:space="0" w:color="auto"/>
              <w:left w:val="nil"/>
              <w:bottom w:val="double" w:sz="6" w:space="0" w:color="auto"/>
              <w:right w:val="single" w:sz="8" w:space="0" w:color="auto"/>
            </w:tcBorders>
            <w:shd w:val="clear" w:color="auto" w:fill="auto"/>
            <w:noWrap/>
            <w:vAlign w:val="bottom"/>
          </w:tcPr>
          <w:p w:rsidR="004647B0" w:rsidRPr="005D0593" w:rsidP="003E7F81" w14:paraId="16C8426C" w14:textId="77777777">
            <w:pPr>
              <w:jc w:val="center"/>
              <w:rPr>
                <w:rFonts w:ascii="Arial" w:hAnsi="Arial" w:cs="Arial"/>
                <w:color w:val="000000"/>
                <w:sz w:val="16"/>
                <w:szCs w:val="16"/>
              </w:rPr>
            </w:pPr>
            <w:r w:rsidRPr="005D0593">
              <w:rPr>
                <w:rFonts w:ascii="Arial" w:hAnsi="Arial" w:cs="Arial"/>
                <w:sz w:val="16"/>
                <w:szCs w:val="16"/>
              </w:rPr>
              <w:t xml:space="preserve">155 </w:t>
            </w:r>
          </w:p>
        </w:tc>
        <w:tc>
          <w:tcPr>
            <w:tcW w:w="1170" w:type="dxa"/>
            <w:tcBorders>
              <w:top w:val="single" w:sz="4" w:space="0" w:color="auto"/>
              <w:left w:val="nil"/>
              <w:bottom w:val="double" w:sz="6" w:space="0" w:color="auto"/>
              <w:right w:val="single" w:sz="4" w:space="0" w:color="auto"/>
            </w:tcBorders>
            <w:vAlign w:val="bottom"/>
          </w:tcPr>
          <w:p w:rsidR="004647B0" w:rsidRPr="005D0593" w:rsidP="003E7F81" w14:paraId="1BA8DFDC" w14:textId="77777777">
            <w:pPr>
              <w:jc w:val="center"/>
              <w:rPr>
                <w:rFonts w:ascii="Arial" w:hAnsi="Arial" w:cs="Arial"/>
                <w:color w:val="000000"/>
                <w:sz w:val="16"/>
                <w:szCs w:val="16"/>
              </w:rPr>
            </w:pPr>
            <w:r w:rsidRPr="005D0593">
              <w:rPr>
                <w:rFonts w:ascii="Arial" w:hAnsi="Arial" w:cs="Arial"/>
                <w:sz w:val="16"/>
                <w:szCs w:val="16"/>
              </w:rPr>
              <w:t xml:space="preserve">25.9 </w:t>
            </w:r>
          </w:p>
        </w:tc>
        <w:tc>
          <w:tcPr>
            <w:tcW w:w="1170" w:type="dxa"/>
            <w:tcBorders>
              <w:top w:val="single" w:sz="4" w:space="0" w:color="auto"/>
              <w:left w:val="single" w:sz="4" w:space="0" w:color="auto"/>
              <w:bottom w:val="double" w:sz="6" w:space="0" w:color="auto"/>
              <w:right w:val="single" w:sz="8" w:space="0" w:color="auto"/>
            </w:tcBorders>
            <w:shd w:val="clear" w:color="auto" w:fill="auto"/>
            <w:noWrap/>
            <w:vAlign w:val="bottom"/>
          </w:tcPr>
          <w:p w:rsidR="004647B0" w:rsidRPr="005D0593" w:rsidP="003E7F81" w14:paraId="38A0BE5C" w14:textId="77777777">
            <w:pPr>
              <w:jc w:val="center"/>
              <w:rPr>
                <w:rFonts w:ascii="Arial" w:hAnsi="Arial" w:cs="Arial"/>
                <w:color w:val="000000"/>
                <w:sz w:val="16"/>
                <w:szCs w:val="16"/>
              </w:rPr>
            </w:pPr>
            <w:r w:rsidRPr="005D0593">
              <w:rPr>
                <w:rFonts w:ascii="Arial" w:hAnsi="Arial" w:cs="Arial"/>
                <w:sz w:val="16"/>
                <w:szCs w:val="16"/>
              </w:rPr>
              <w:t xml:space="preserve">$11,488 </w:t>
            </w:r>
          </w:p>
        </w:tc>
        <w:tc>
          <w:tcPr>
            <w:tcW w:w="1170" w:type="dxa"/>
            <w:tcBorders>
              <w:top w:val="single" w:sz="4" w:space="0" w:color="auto"/>
              <w:left w:val="nil"/>
              <w:bottom w:val="double" w:sz="6" w:space="0" w:color="auto"/>
              <w:right w:val="single" w:sz="8" w:space="0" w:color="auto"/>
            </w:tcBorders>
            <w:shd w:val="clear" w:color="auto" w:fill="auto"/>
            <w:noWrap/>
            <w:vAlign w:val="bottom"/>
          </w:tcPr>
          <w:p w:rsidR="004647B0" w:rsidRPr="005D0593" w:rsidP="003E7F81" w14:paraId="09B3952F" w14:textId="77777777">
            <w:pPr>
              <w:jc w:val="center"/>
              <w:rPr>
                <w:rFonts w:ascii="Arial" w:hAnsi="Arial" w:cs="Arial"/>
                <w:color w:val="000000"/>
                <w:sz w:val="16"/>
                <w:szCs w:val="16"/>
              </w:rPr>
            </w:pPr>
            <w:r w:rsidRPr="005D0593">
              <w:rPr>
                <w:rFonts w:ascii="Arial" w:hAnsi="Arial" w:cs="Arial"/>
                <w:sz w:val="16"/>
                <w:szCs w:val="16"/>
              </w:rPr>
              <w:t xml:space="preserve">$374 </w:t>
            </w:r>
          </w:p>
        </w:tc>
        <w:tc>
          <w:tcPr>
            <w:tcW w:w="1170" w:type="dxa"/>
            <w:tcBorders>
              <w:top w:val="single" w:sz="4" w:space="0" w:color="auto"/>
              <w:left w:val="nil"/>
              <w:bottom w:val="double" w:sz="6" w:space="0" w:color="auto"/>
              <w:right w:val="single" w:sz="12" w:space="0" w:color="auto"/>
            </w:tcBorders>
            <w:shd w:val="clear" w:color="auto" w:fill="auto"/>
            <w:noWrap/>
            <w:vAlign w:val="bottom"/>
          </w:tcPr>
          <w:p w:rsidR="004647B0" w:rsidRPr="005D0593" w:rsidP="003E7F81" w14:paraId="496EE3AC" w14:textId="77777777">
            <w:pPr>
              <w:jc w:val="center"/>
              <w:rPr>
                <w:rFonts w:ascii="Arial" w:hAnsi="Arial" w:cs="Arial"/>
                <w:color w:val="000000"/>
                <w:sz w:val="16"/>
                <w:szCs w:val="16"/>
              </w:rPr>
            </w:pPr>
            <w:r w:rsidRPr="005D0593">
              <w:rPr>
                <w:rFonts w:ascii="Arial" w:hAnsi="Arial" w:cs="Arial"/>
                <w:sz w:val="16"/>
                <w:szCs w:val="16"/>
              </w:rPr>
              <w:t xml:space="preserve">$11,862 </w:t>
            </w:r>
          </w:p>
        </w:tc>
      </w:tr>
      <w:tr w14:paraId="4946D169" w14:textId="77777777" w:rsidTr="003E7F81">
        <w:tblPrEx>
          <w:tblW w:w="9795" w:type="dxa"/>
          <w:tblLayout w:type="fixed"/>
          <w:tblLook w:val="04A0"/>
        </w:tblPrEx>
        <w:trPr>
          <w:trHeight w:val="346"/>
        </w:trPr>
        <w:tc>
          <w:tcPr>
            <w:tcW w:w="2595" w:type="dxa"/>
            <w:tcBorders>
              <w:left w:val="single" w:sz="12" w:space="0" w:color="auto"/>
              <w:bottom w:val="double" w:sz="6" w:space="0" w:color="auto"/>
              <w:right w:val="nil"/>
            </w:tcBorders>
            <w:shd w:val="clear" w:color="auto" w:fill="auto"/>
            <w:vAlign w:val="bottom"/>
          </w:tcPr>
          <w:p w:rsidR="004647B0" w:rsidRPr="005D0593" w:rsidP="003E7F81" w14:paraId="1540EB92" w14:textId="77777777">
            <w:pPr>
              <w:rPr>
                <w:rFonts w:ascii="Arial" w:hAnsi="Arial" w:cs="Arial"/>
                <w:color w:val="000000"/>
                <w:sz w:val="16"/>
                <w:szCs w:val="16"/>
              </w:rPr>
            </w:pPr>
            <w:r w:rsidRPr="005D0593">
              <w:rPr>
                <w:rFonts w:ascii="Arial" w:hAnsi="Arial" w:cs="Arial"/>
                <w:color w:val="000000"/>
                <w:sz w:val="16"/>
                <w:szCs w:val="16"/>
              </w:rPr>
              <w:t>ZZ. Ceramics Manufacturing</w:t>
            </w:r>
          </w:p>
        </w:tc>
        <w:tc>
          <w:tcPr>
            <w:tcW w:w="1260" w:type="dxa"/>
            <w:tcBorders>
              <w:top w:val="single" w:sz="4" w:space="0" w:color="auto"/>
              <w:left w:val="single" w:sz="8" w:space="0" w:color="auto"/>
              <w:bottom w:val="double" w:sz="6" w:space="0" w:color="auto"/>
              <w:right w:val="single" w:sz="8" w:space="0" w:color="auto"/>
            </w:tcBorders>
            <w:shd w:val="clear" w:color="auto" w:fill="auto"/>
            <w:noWrap/>
            <w:vAlign w:val="bottom"/>
          </w:tcPr>
          <w:p w:rsidR="004647B0" w:rsidRPr="005D0593" w:rsidP="003E7F81" w14:paraId="7699FC81" w14:textId="77777777">
            <w:pPr>
              <w:jc w:val="center"/>
              <w:rPr>
                <w:rFonts w:ascii="Arial" w:hAnsi="Arial" w:cs="Arial"/>
                <w:sz w:val="16"/>
                <w:szCs w:val="16"/>
              </w:rPr>
            </w:pPr>
            <w:r w:rsidRPr="005D0593">
              <w:rPr>
                <w:rFonts w:ascii="Arial" w:hAnsi="Arial" w:cs="Arial"/>
                <w:sz w:val="16"/>
                <w:szCs w:val="16"/>
              </w:rPr>
              <w:t>25</w:t>
            </w:r>
          </w:p>
        </w:tc>
        <w:tc>
          <w:tcPr>
            <w:tcW w:w="1260" w:type="dxa"/>
            <w:tcBorders>
              <w:top w:val="single" w:sz="4" w:space="0" w:color="auto"/>
              <w:left w:val="nil"/>
              <w:bottom w:val="double" w:sz="6" w:space="0" w:color="auto"/>
              <w:right w:val="single" w:sz="8" w:space="0" w:color="auto"/>
            </w:tcBorders>
            <w:shd w:val="clear" w:color="auto" w:fill="auto"/>
            <w:noWrap/>
            <w:vAlign w:val="bottom"/>
          </w:tcPr>
          <w:p w:rsidR="004647B0" w:rsidRPr="005D0593" w:rsidP="003E7F81" w14:paraId="0C78D11C" w14:textId="77777777">
            <w:pPr>
              <w:jc w:val="center"/>
              <w:rPr>
                <w:rFonts w:ascii="Arial" w:hAnsi="Arial" w:cs="Arial"/>
                <w:sz w:val="16"/>
                <w:szCs w:val="16"/>
              </w:rPr>
            </w:pPr>
            <w:r w:rsidRPr="005D0593">
              <w:rPr>
                <w:rFonts w:ascii="Arial" w:hAnsi="Arial" w:cs="Arial"/>
                <w:sz w:val="16"/>
                <w:szCs w:val="16"/>
              </w:rPr>
              <w:t xml:space="preserve">719 </w:t>
            </w:r>
          </w:p>
        </w:tc>
        <w:tc>
          <w:tcPr>
            <w:tcW w:w="1170" w:type="dxa"/>
            <w:tcBorders>
              <w:top w:val="single" w:sz="4" w:space="0" w:color="auto"/>
              <w:left w:val="nil"/>
              <w:bottom w:val="double" w:sz="6" w:space="0" w:color="auto"/>
              <w:right w:val="single" w:sz="4" w:space="0" w:color="auto"/>
            </w:tcBorders>
            <w:vAlign w:val="bottom"/>
          </w:tcPr>
          <w:p w:rsidR="004647B0" w:rsidRPr="005D0593" w:rsidP="003E7F81" w14:paraId="11FAD68C" w14:textId="77777777">
            <w:pPr>
              <w:jc w:val="center"/>
              <w:rPr>
                <w:rFonts w:ascii="Arial" w:hAnsi="Arial" w:cs="Arial"/>
                <w:sz w:val="16"/>
                <w:szCs w:val="16"/>
              </w:rPr>
            </w:pPr>
            <w:r w:rsidRPr="005D0593">
              <w:rPr>
                <w:rFonts w:ascii="Arial" w:hAnsi="Arial" w:cs="Arial"/>
                <w:sz w:val="16"/>
                <w:szCs w:val="16"/>
              </w:rPr>
              <w:t xml:space="preserve">28.8 </w:t>
            </w:r>
          </w:p>
        </w:tc>
        <w:tc>
          <w:tcPr>
            <w:tcW w:w="1170" w:type="dxa"/>
            <w:tcBorders>
              <w:top w:val="single" w:sz="4" w:space="0" w:color="auto"/>
              <w:left w:val="single" w:sz="4" w:space="0" w:color="auto"/>
              <w:bottom w:val="double" w:sz="6" w:space="0" w:color="auto"/>
              <w:right w:val="single" w:sz="8" w:space="0" w:color="auto"/>
            </w:tcBorders>
            <w:shd w:val="clear" w:color="auto" w:fill="auto"/>
            <w:noWrap/>
            <w:vAlign w:val="bottom"/>
          </w:tcPr>
          <w:p w:rsidR="004647B0" w:rsidRPr="005D0593" w:rsidP="003E7F81" w14:paraId="5F057540" w14:textId="77777777">
            <w:pPr>
              <w:jc w:val="center"/>
              <w:rPr>
                <w:rFonts w:ascii="Arial" w:hAnsi="Arial" w:cs="Arial"/>
                <w:sz w:val="16"/>
                <w:szCs w:val="16"/>
              </w:rPr>
            </w:pPr>
            <w:r w:rsidRPr="005D0593">
              <w:rPr>
                <w:rFonts w:ascii="Arial" w:hAnsi="Arial" w:cs="Arial"/>
                <w:sz w:val="16"/>
                <w:szCs w:val="16"/>
              </w:rPr>
              <w:t xml:space="preserve">$54,217 </w:t>
            </w:r>
          </w:p>
        </w:tc>
        <w:tc>
          <w:tcPr>
            <w:tcW w:w="1170" w:type="dxa"/>
            <w:tcBorders>
              <w:top w:val="single" w:sz="4" w:space="0" w:color="auto"/>
              <w:left w:val="nil"/>
              <w:bottom w:val="double" w:sz="6" w:space="0" w:color="auto"/>
              <w:right w:val="single" w:sz="8" w:space="0" w:color="auto"/>
            </w:tcBorders>
            <w:shd w:val="clear" w:color="auto" w:fill="auto"/>
            <w:noWrap/>
            <w:vAlign w:val="bottom"/>
          </w:tcPr>
          <w:p w:rsidR="004647B0" w:rsidRPr="005D0593" w:rsidP="003E7F81" w14:paraId="6F700186" w14:textId="77777777">
            <w:pPr>
              <w:jc w:val="center"/>
              <w:rPr>
                <w:rFonts w:ascii="Arial" w:hAnsi="Arial" w:cs="Arial"/>
                <w:sz w:val="16"/>
                <w:szCs w:val="16"/>
              </w:rPr>
            </w:pPr>
            <w:r w:rsidRPr="005D0593">
              <w:rPr>
                <w:rFonts w:ascii="Arial" w:hAnsi="Arial" w:cs="Arial"/>
                <w:sz w:val="16"/>
                <w:szCs w:val="16"/>
              </w:rPr>
              <w:t xml:space="preserve">$1,559 </w:t>
            </w:r>
          </w:p>
        </w:tc>
        <w:tc>
          <w:tcPr>
            <w:tcW w:w="1170" w:type="dxa"/>
            <w:tcBorders>
              <w:top w:val="single" w:sz="4" w:space="0" w:color="auto"/>
              <w:left w:val="nil"/>
              <w:bottom w:val="double" w:sz="6" w:space="0" w:color="auto"/>
              <w:right w:val="single" w:sz="12" w:space="0" w:color="auto"/>
            </w:tcBorders>
            <w:shd w:val="clear" w:color="auto" w:fill="auto"/>
            <w:noWrap/>
            <w:vAlign w:val="bottom"/>
          </w:tcPr>
          <w:p w:rsidR="004647B0" w:rsidRPr="005D0593" w:rsidP="003E7F81" w14:paraId="36F75363" w14:textId="77777777">
            <w:pPr>
              <w:jc w:val="center"/>
              <w:rPr>
                <w:rFonts w:ascii="Arial" w:hAnsi="Arial" w:cs="Arial"/>
                <w:sz w:val="16"/>
                <w:szCs w:val="16"/>
              </w:rPr>
            </w:pPr>
            <w:r w:rsidRPr="005D0593">
              <w:rPr>
                <w:rFonts w:ascii="Arial" w:hAnsi="Arial" w:cs="Arial"/>
                <w:sz w:val="16"/>
                <w:szCs w:val="16"/>
              </w:rPr>
              <w:t xml:space="preserve">$55,777 </w:t>
            </w:r>
          </w:p>
        </w:tc>
      </w:tr>
      <w:tr w14:paraId="0E530A8A" w14:textId="77777777" w:rsidTr="003E7F81">
        <w:tblPrEx>
          <w:tblW w:w="9795" w:type="dxa"/>
          <w:tblLayout w:type="fixed"/>
          <w:tblLook w:val="04A0"/>
        </w:tblPrEx>
        <w:trPr>
          <w:trHeight w:val="346"/>
        </w:trPr>
        <w:tc>
          <w:tcPr>
            <w:tcW w:w="2595" w:type="dxa"/>
            <w:tcBorders>
              <w:top w:val="double" w:sz="6" w:space="0" w:color="auto"/>
              <w:left w:val="single" w:sz="12" w:space="0" w:color="auto"/>
              <w:bottom w:val="single" w:sz="12" w:space="0" w:color="auto"/>
              <w:right w:val="nil"/>
            </w:tcBorders>
            <w:shd w:val="clear" w:color="auto" w:fill="auto"/>
            <w:vAlign w:val="bottom"/>
          </w:tcPr>
          <w:p w:rsidR="004647B0" w:rsidRPr="005D0593" w:rsidP="003E7F81" w14:paraId="3CDC77D2" w14:textId="77777777">
            <w:pPr>
              <w:rPr>
                <w:rFonts w:ascii="Arial" w:hAnsi="Arial" w:cs="Arial"/>
                <w:sz w:val="16"/>
                <w:szCs w:val="16"/>
              </w:rPr>
            </w:pPr>
            <w:r w:rsidRPr="005D0593">
              <w:rPr>
                <w:rFonts w:ascii="Arial" w:hAnsi="Arial" w:cs="Arial"/>
                <w:b/>
                <w:bCs/>
                <w:sz w:val="16"/>
                <w:szCs w:val="16"/>
              </w:rPr>
              <w:t>TOTAL</w:t>
            </w:r>
          </w:p>
        </w:tc>
        <w:tc>
          <w:tcPr>
            <w:tcW w:w="1260" w:type="dxa"/>
            <w:tcBorders>
              <w:top w:val="double" w:sz="6" w:space="0" w:color="auto"/>
              <w:left w:val="single" w:sz="8" w:space="0" w:color="auto"/>
              <w:bottom w:val="single" w:sz="12" w:space="0" w:color="auto"/>
              <w:right w:val="single" w:sz="8" w:space="0" w:color="auto"/>
            </w:tcBorders>
            <w:shd w:val="clear" w:color="auto" w:fill="auto"/>
            <w:noWrap/>
            <w:vAlign w:val="bottom"/>
          </w:tcPr>
          <w:p w:rsidR="004647B0" w:rsidRPr="005D0593" w:rsidP="003E7F81" w14:paraId="70ED827C" w14:textId="77777777">
            <w:pPr>
              <w:jc w:val="center"/>
              <w:rPr>
                <w:rFonts w:ascii="Arial" w:hAnsi="Arial" w:cs="Arial"/>
                <w:sz w:val="16"/>
                <w:szCs w:val="16"/>
              </w:rPr>
            </w:pPr>
            <w:r w:rsidRPr="005D0593">
              <w:rPr>
                <w:rFonts w:ascii="Arial" w:hAnsi="Arial" w:cs="Arial"/>
                <w:sz w:val="16"/>
                <w:szCs w:val="16"/>
              </w:rPr>
              <w:t>2,701</w:t>
            </w:r>
          </w:p>
        </w:tc>
        <w:tc>
          <w:tcPr>
            <w:tcW w:w="1260" w:type="dxa"/>
            <w:tcBorders>
              <w:top w:val="double" w:sz="6" w:space="0" w:color="auto"/>
              <w:left w:val="nil"/>
              <w:bottom w:val="single" w:sz="12" w:space="0" w:color="auto"/>
              <w:right w:val="single" w:sz="8" w:space="0" w:color="auto"/>
            </w:tcBorders>
            <w:shd w:val="clear" w:color="auto" w:fill="auto"/>
            <w:noWrap/>
            <w:vAlign w:val="bottom"/>
          </w:tcPr>
          <w:p w:rsidR="004647B0" w:rsidRPr="005D0593" w:rsidP="003E7F81" w14:paraId="62B3CF06" w14:textId="77777777">
            <w:pPr>
              <w:jc w:val="center"/>
              <w:rPr>
                <w:rFonts w:ascii="Arial" w:hAnsi="Arial" w:cs="Arial"/>
                <w:sz w:val="16"/>
                <w:szCs w:val="16"/>
              </w:rPr>
            </w:pPr>
            <w:r w:rsidRPr="005D0593">
              <w:rPr>
                <w:rFonts w:ascii="Arial" w:hAnsi="Arial" w:cs="Arial"/>
                <w:sz w:val="16"/>
                <w:szCs w:val="16"/>
              </w:rPr>
              <w:t>25,647</w:t>
            </w:r>
          </w:p>
        </w:tc>
        <w:tc>
          <w:tcPr>
            <w:tcW w:w="1170" w:type="dxa"/>
            <w:tcBorders>
              <w:top w:val="double" w:sz="6" w:space="0" w:color="auto"/>
              <w:left w:val="nil"/>
              <w:bottom w:val="single" w:sz="12" w:space="0" w:color="auto"/>
              <w:right w:val="single" w:sz="4" w:space="0" w:color="auto"/>
            </w:tcBorders>
            <w:vAlign w:val="bottom"/>
          </w:tcPr>
          <w:p w:rsidR="004647B0" w:rsidRPr="005D0593" w:rsidP="003E7F81" w14:paraId="2719FC50" w14:textId="77777777">
            <w:pPr>
              <w:jc w:val="center"/>
              <w:rPr>
                <w:rFonts w:ascii="Arial" w:hAnsi="Arial" w:cs="Arial"/>
                <w:sz w:val="16"/>
                <w:szCs w:val="16"/>
              </w:rPr>
            </w:pPr>
            <w:r w:rsidRPr="005D0593">
              <w:rPr>
                <w:rFonts w:ascii="Arial" w:hAnsi="Arial" w:cs="Arial"/>
                <w:sz w:val="16"/>
                <w:szCs w:val="16"/>
              </w:rPr>
              <w:t xml:space="preserve">9.5 </w:t>
            </w:r>
          </w:p>
        </w:tc>
        <w:tc>
          <w:tcPr>
            <w:tcW w:w="1170" w:type="dxa"/>
            <w:tcBorders>
              <w:top w:val="double" w:sz="6" w:space="0" w:color="auto"/>
              <w:left w:val="single" w:sz="4" w:space="0" w:color="auto"/>
              <w:bottom w:val="single" w:sz="12" w:space="0" w:color="auto"/>
              <w:right w:val="single" w:sz="8" w:space="0" w:color="auto"/>
            </w:tcBorders>
            <w:shd w:val="clear" w:color="auto" w:fill="auto"/>
            <w:noWrap/>
            <w:vAlign w:val="bottom"/>
          </w:tcPr>
          <w:p w:rsidR="004647B0" w:rsidRPr="005D0593" w:rsidP="003E7F81" w14:paraId="2AF14874" w14:textId="77777777">
            <w:pPr>
              <w:jc w:val="center"/>
              <w:rPr>
                <w:rFonts w:ascii="Arial" w:hAnsi="Arial" w:cs="Arial"/>
                <w:sz w:val="16"/>
                <w:szCs w:val="16"/>
              </w:rPr>
            </w:pPr>
            <w:r w:rsidRPr="005D0593">
              <w:rPr>
                <w:rFonts w:ascii="Arial" w:hAnsi="Arial" w:cs="Arial"/>
                <w:sz w:val="16"/>
                <w:szCs w:val="16"/>
              </w:rPr>
              <w:t xml:space="preserve">$2,676,114 </w:t>
            </w:r>
          </w:p>
        </w:tc>
        <w:tc>
          <w:tcPr>
            <w:tcW w:w="1170" w:type="dxa"/>
            <w:tcBorders>
              <w:top w:val="double" w:sz="6" w:space="0" w:color="auto"/>
              <w:left w:val="nil"/>
              <w:bottom w:val="single" w:sz="12" w:space="0" w:color="auto"/>
              <w:right w:val="single" w:sz="8" w:space="0" w:color="auto"/>
            </w:tcBorders>
            <w:shd w:val="clear" w:color="auto" w:fill="auto"/>
            <w:noWrap/>
            <w:vAlign w:val="bottom"/>
          </w:tcPr>
          <w:p w:rsidR="004647B0" w:rsidRPr="005D0593" w:rsidP="003E7F81" w14:paraId="0575573F" w14:textId="77777777">
            <w:pPr>
              <w:jc w:val="center"/>
              <w:rPr>
                <w:rFonts w:ascii="Arial" w:hAnsi="Arial" w:cs="Arial"/>
                <w:sz w:val="16"/>
                <w:szCs w:val="16"/>
              </w:rPr>
            </w:pPr>
            <w:r w:rsidRPr="005D0593">
              <w:rPr>
                <w:rFonts w:ascii="Arial" w:hAnsi="Arial" w:cs="Arial"/>
                <w:sz w:val="16"/>
                <w:szCs w:val="16"/>
              </w:rPr>
              <w:t xml:space="preserve">$2,733,937 </w:t>
            </w:r>
          </w:p>
        </w:tc>
        <w:tc>
          <w:tcPr>
            <w:tcW w:w="1170" w:type="dxa"/>
            <w:tcBorders>
              <w:top w:val="double" w:sz="6" w:space="0" w:color="auto"/>
              <w:left w:val="nil"/>
              <w:bottom w:val="single" w:sz="12" w:space="0" w:color="auto"/>
              <w:right w:val="single" w:sz="12" w:space="0" w:color="auto"/>
            </w:tcBorders>
            <w:shd w:val="clear" w:color="auto" w:fill="auto"/>
            <w:noWrap/>
            <w:vAlign w:val="bottom"/>
          </w:tcPr>
          <w:p w:rsidR="004647B0" w:rsidRPr="005D0593" w:rsidP="003E7F81" w14:paraId="01A0BBD8" w14:textId="77777777">
            <w:pPr>
              <w:jc w:val="center"/>
              <w:rPr>
                <w:rFonts w:ascii="Arial" w:hAnsi="Arial" w:cs="Arial"/>
                <w:sz w:val="16"/>
                <w:szCs w:val="16"/>
              </w:rPr>
            </w:pPr>
            <w:r w:rsidRPr="005D0593">
              <w:rPr>
                <w:rFonts w:ascii="Arial" w:hAnsi="Arial" w:cs="Arial"/>
                <w:sz w:val="16"/>
                <w:szCs w:val="16"/>
              </w:rPr>
              <w:t xml:space="preserve">$5,410,052 </w:t>
            </w:r>
          </w:p>
        </w:tc>
      </w:tr>
    </w:tbl>
    <w:bookmarkEnd w:id="33"/>
    <w:p w:rsidR="004647B0" w:rsidRPr="00A166B7" w:rsidP="00A166B7" w14:paraId="6E75F263" w14:textId="1D9289EC">
      <w:pPr>
        <w:rPr>
          <w:rFonts w:ascii="Arial" w:hAnsi="Arial" w:cs="Arial"/>
          <w:sz w:val="16"/>
          <w:szCs w:val="16"/>
        </w:rPr>
      </w:pPr>
      <w:r w:rsidRPr="005D0593">
        <w:rPr>
          <w:rFonts w:ascii="Arial" w:hAnsi="Arial" w:cs="Arial"/>
          <w:sz w:val="16"/>
          <w:szCs w:val="16"/>
          <w:vertAlign w:val="superscript"/>
        </w:rPr>
        <w:t xml:space="preserve">1 </w:t>
      </w:r>
      <w:r w:rsidRPr="005D0593">
        <w:rPr>
          <w:rFonts w:ascii="Arial" w:hAnsi="Arial" w:cs="Arial"/>
          <w:sz w:val="16"/>
          <w:szCs w:val="16"/>
        </w:rPr>
        <w:t>Parentheticals indicate a negative value or reduction in burden.</w:t>
      </w:r>
    </w:p>
    <w:p w:rsidR="00A945E1" w:rsidRPr="00A945E1" w:rsidP="00A945E1" w14:paraId="1AEDCB5B" w14:textId="6EABA2BA">
      <w:pPr>
        <w:pStyle w:val="Heading2"/>
        <w:spacing w:before="200" w:line="360" w:lineRule="auto"/>
        <w:rPr>
          <w:rFonts w:asciiTheme="minorHAnsi" w:eastAsiaTheme="minorEastAsia" w:hAnsiTheme="minorHAnsi" w:cstheme="minorHAnsi"/>
          <w:color w:val="auto"/>
          <w:sz w:val="22"/>
          <w:szCs w:val="22"/>
        </w:rPr>
      </w:pPr>
      <w:r>
        <w:rPr>
          <w:rFonts w:asciiTheme="minorHAnsi" w:eastAsiaTheme="minorEastAsia" w:hAnsiTheme="minorHAnsi" w:cstheme="minorHAnsi"/>
          <w:color w:val="auto"/>
          <w:sz w:val="22"/>
          <w:szCs w:val="22"/>
        </w:rPr>
        <w:t>12d(iv)</w:t>
      </w:r>
      <w:r w:rsidR="00A166B7">
        <w:rPr>
          <w:rFonts w:asciiTheme="minorHAnsi" w:eastAsiaTheme="minorEastAsia" w:hAnsiTheme="minorHAnsi" w:cstheme="minorHAnsi"/>
          <w:color w:val="auto"/>
          <w:sz w:val="22"/>
          <w:szCs w:val="22"/>
        </w:rPr>
        <w:t xml:space="preserve"> </w:t>
      </w:r>
      <w:r w:rsidRPr="00A945E1">
        <w:rPr>
          <w:rFonts w:asciiTheme="minorHAnsi" w:eastAsiaTheme="minorEastAsia" w:hAnsiTheme="minorHAnsi" w:cstheme="minorHAnsi"/>
          <w:color w:val="auto"/>
          <w:sz w:val="22"/>
          <w:szCs w:val="22"/>
        </w:rPr>
        <w:t>Estimating the Respondent Universe and Total Burden and Costs</w:t>
      </w:r>
    </w:p>
    <w:p w:rsidR="00A945E1" w:rsidRPr="005D0593" w:rsidP="00A945E1" w14:paraId="2F9F128A" w14:textId="37793F08">
      <w:pPr>
        <w:ind w:firstLine="720"/>
      </w:pPr>
      <w:r w:rsidRPr="005D0593">
        <w:t xml:space="preserve"> The estimated number of respondents in each subpart that will perform the required activities under this information collection is presented in Tables 1 through 3 of </w:t>
      </w:r>
      <w:r w:rsidR="006C59C8">
        <w:t>Attachment 2</w:t>
      </w:r>
      <w:r w:rsidRPr="005D0593">
        <w:t xml:space="preserve">. The number of respondents varies in each year due to the final revisions. The required activities depend on the applicable sector-specific reporting requirements, as described </w:t>
      </w:r>
      <w:r w:rsidR="00717707">
        <w:t xml:space="preserve">above in </w:t>
      </w:r>
      <w:r w:rsidR="00BB0164">
        <w:t>sec</w:t>
      </w:r>
      <w:r w:rsidR="00717707">
        <w:t>tion</w:t>
      </w:r>
      <w:r w:rsidR="00A166B7">
        <w:t>s</w:t>
      </w:r>
      <w:r w:rsidR="00717707">
        <w:t xml:space="preserve"> 12</w:t>
      </w:r>
      <w:r w:rsidR="00A166B7">
        <w:t>b and 12c</w:t>
      </w:r>
      <w:r w:rsidRPr="005D0593">
        <w:t>. The number of respondents subject to the required activities was estimated separately for each subpart, and in situations where a facility reports under multiple subparts, the facility was counted once per subpart (</w:t>
      </w:r>
      <w:r w:rsidRPr="005D0593">
        <w:rPr>
          <w:i/>
        </w:rPr>
        <w:t>e.g.,</w:t>
      </w:r>
      <w:r w:rsidRPr="005D0593">
        <w:t xml:space="preserve"> facilities that report emissions under both subpart P and subpart C were counted as separate facilities under each subpart). As a result, the actual total number of respondents that will perform the required activities for each year across all subparts is lower than estimated.</w:t>
      </w:r>
    </w:p>
    <w:p w:rsidR="00A945E1" w:rsidRPr="000238A7" w:rsidP="00A945E1" w14:paraId="0D181F3A" w14:textId="785A409F">
      <w:pPr>
        <w:pStyle w:val="Heading2"/>
        <w:spacing w:before="200" w:line="360" w:lineRule="auto"/>
        <w:rPr>
          <w:rFonts w:asciiTheme="minorHAnsi" w:eastAsiaTheme="minorEastAsia" w:hAnsiTheme="minorHAnsi" w:cstheme="minorHAnsi"/>
          <w:color w:val="auto"/>
          <w:sz w:val="22"/>
          <w:szCs w:val="22"/>
        </w:rPr>
      </w:pPr>
      <w:r>
        <w:rPr>
          <w:rFonts w:asciiTheme="minorHAnsi" w:eastAsiaTheme="minorEastAsia" w:hAnsiTheme="minorHAnsi" w:cstheme="minorHAnsi"/>
          <w:color w:val="auto"/>
          <w:sz w:val="22"/>
          <w:szCs w:val="22"/>
        </w:rPr>
        <w:t>12d(v)</w:t>
      </w:r>
      <w:r w:rsidR="00A166B7">
        <w:rPr>
          <w:rFonts w:asciiTheme="minorHAnsi" w:eastAsiaTheme="minorEastAsia" w:hAnsiTheme="minorHAnsi" w:cstheme="minorHAnsi"/>
          <w:color w:val="auto"/>
          <w:sz w:val="22"/>
          <w:szCs w:val="22"/>
        </w:rPr>
        <w:t xml:space="preserve"> </w:t>
      </w:r>
      <w:r w:rsidRPr="000238A7">
        <w:rPr>
          <w:rFonts w:asciiTheme="minorHAnsi" w:eastAsiaTheme="minorEastAsia" w:hAnsiTheme="minorHAnsi" w:cstheme="minorHAnsi"/>
          <w:color w:val="auto"/>
          <w:sz w:val="22"/>
          <w:szCs w:val="22"/>
        </w:rPr>
        <w:t>Bottom Line Burden Hours and Costs</w:t>
      </w:r>
    </w:p>
    <w:p w:rsidR="00A945E1" w:rsidRPr="005D0593" w:rsidP="00A945E1" w14:paraId="7172B7BA" w14:textId="61DE5978">
      <w:pPr>
        <w:spacing w:line="360" w:lineRule="auto"/>
        <w:ind w:firstLine="720"/>
      </w:pPr>
      <w:bookmarkStart w:id="34" w:name="_Toc199057246"/>
      <w:r w:rsidRPr="005D0593">
        <w:t xml:space="preserve">The bottom-line burden hours and costs are shown in Exhibit </w:t>
      </w:r>
      <w:r w:rsidR="007B2E04">
        <w:t>12</w:t>
      </w:r>
      <w:r w:rsidRPr="005D0593">
        <w:t>.</w:t>
      </w:r>
      <w:r w:rsidR="007B2E04">
        <w:t>3</w:t>
      </w:r>
      <w:r w:rsidRPr="005D0593">
        <w:t>.</w:t>
      </w:r>
    </w:p>
    <w:tbl>
      <w:tblPr>
        <w:tblW w:w="9820" w:type="dxa"/>
        <w:tblLook w:val="04A0"/>
      </w:tblPr>
      <w:tblGrid>
        <w:gridCol w:w="3526"/>
        <w:gridCol w:w="1215"/>
        <w:gridCol w:w="1215"/>
        <w:gridCol w:w="1295"/>
        <w:gridCol w:w="1272"/>
        <w:gridCol w:w="1297"/>
      </w:tblGrid>
      <w:tr w14:paraId="2194F5D0" w14:textId="77777777" w:rsidTr="003E7F81">
        <w:tblPrEx>
          <w:tblW w:w="9820" w:type="dxa"/>
          <w:tblLook w:val="04A0"/>
        </w:tblPrEx>
        <w:trPr>
          <w:trHeight w:val="300"/>
        </w:trPr>
        <w:tc>
          <w:tcPr>
            <w:tcW w:w="5956" w:type="dxa"/>
            <w:gridSpan w:val="3"/>
            <w:tcBorders>
              <w:top w:val="nil"/>
              <w:left w:val="nil"/>
              <w:bottom w:val="nil"/>
              <w:right w:val="nil"/>
            </w:tcBorders>
            <w:shd w:val="clear" w:color="auto" w:fill="auto"/>
            <w:noWrap/>
            <w:vAlign w:val="bottom"/>
            <w:hideMark/>
          </w:tcPr>
          <w:p w:rsidR="00A945E1" w:rsidRPr="005D0593" w:rsidP="003E7F81" w14:paraId="58FF5B98" w14:textId="399C6BD2">
            <w:pPr>
              <w:rPr>
                <w:rFonts w:ascii="Arial" w:hAnsi="Arial" w:cs="Arial"/>
                <w:b/>
              </w:rPr>
            </w:pPr>
            <w:r w:rsidRPr="005D0593">
              <w:rPr>
                <w:rFonts w:ascii="Arial" w:hAnsi="Arial" w:cs="Arial"/>
                <w:b/>
              </w:rPr>
              <w:t xml:space="preserve">Exhibit </w:t>
            </w:r>
            <w:r w:rsidR="007B2E04">
              <w:rPr>
                <w:rFonts w:ascii="Arial" w:hAnsi="Arial" w:cs="Arial"/>
                <w:b/>
              </w:rPr>
              <w:t>12</w:t>
            </w:r>
            <w:r w:rsidRPr="005D0593">
              <w:rPr>
                <w:rFonts w:ascii="Arial" w:hAnsi="Arial" w:cs="Arial"/>
                <w:b/>
              </w:rPr>
              <w:t>.</w:t>
            </w:r>
            <w:r w:rsidR="007B2E04">
              <w:rPr>
                <w:rFonts w:ascii="Arial" w:hAnsi="Arial" w:cs="Arial"/>
                <w:b/>
              </w:rPr>
              <w:t>3</w:t>
            </w:r>
            <w:r w:rsidRPr="005D0593">
              <w:rPr>
                <w:rFonts w:ascii="Arial" w:hAnsi="Arial" w:cs="Arial"/>
                <w:b/>
              </w:rPr>
              <w:t>. Bottom Line Annual Burden and Cost</w:t>
            </w:r>
          </w:p>
        </w:tc>
        <w:tc>
          <w:tcPr>
            <w:tcW w:w="1295" w:type="dxa"/>
            <w:tcBorders>
              <w:top w:val="nil"/>
              <w:left w:val="nil"/>
              <w:bottom w:val="nil"/>
              <w:right w:val="nil"/>
            </w:tcBorders>
            <w:shd w:val="clear" w:color="auto" w:fill="auto"/>
            <w:vAlign w:val="bottom"/>
            <w:hideMark/>
          </w:tcPr>
          <w:p w:rsidR="00A945E1" w:rsidRPr="005D0593" w:rsidP="003E7F81" w14:paraId="5769CE54" w14:textId="77777777">
            <w:pPr>
              <w:rPr>
                <w:rFonts w:ascii="Arial" w:hAnsi="Arial" w:cs="Arial"/>
                <w:b/>
                <w:bCs/>
              </w:rPr>
            </w:pPr>
          </w:p>
        </w:tc>
        <w:tc>
          <w:tcPr>
            <w:tcW w:w="1272" w:type="dxa"/>
            <w:tcBorders>
              <w:top w:val="nil"/>
              <w:left w:val="nil"/>
              <w:bottom w:val="nil"/>
              <w:right w:val="nil"/>
            </w:tcBorders>
            <w:shd w:val="clear" w:color="auto" w:fill="auto"/>
            <w:vAlign w:val="bottom"/>
            <w:hideMark/>
          </w:tcPr>
          <w:p w:rsidR="00A945E1" w:rsidRPr="005D0593" w:rsidP="003E7F81" w14:paraId="111D4CE0" w14:textId="77777777">
            <w:pPr>
              <w:rPr>
                <w:sz w:val="20"/>
                <w:szCs w:val="20"/>
              </w:rPr>
            </w:pPr>
          </w:p>
        </w:tc>
        <w:tc>
          <w:tcPr>
            <w:tcW w:w="1297" w:type="dxa"/>
            <w:tcBorders>
              <w:top w:val="nil"/>
              <w:left w:val="nil"/>
              <w:bottom w:val="nil"/>
              <w:right w:val="nil"/>
            </w:tcBorders>
            <w:shd w:val="clear" w:color="auto" w:fill="auto"/>
            <w:vAlign w:val="bottom"/>
            <w:hideMark/>
          </w:tcPr>
          <w:p w:rsidR="00A945E1" w:rsidRPr="005D0593" w:rsidP="003E7F81" w14:paraId="2C1AF77B" w14:textId="77777777">
            <w:pPr>
              <w:rPr>
                <w:sz w:val="20"/>
                <w:szCs w:val="20"/>
              </w:rPr>
            </w:pPr>
          </w:p>
        </w:tc>
      </w:tr>
      <w:tr w14:paraId="280B3479" w14:textId="77777777" w:rsidTr="003E7F81">
        <w:tblPrEx>
          <w:tblW w:w="9820" w:type="dxa"/>
          <w:tblLook w:val="04A0"/>
        </w:tblPrEx>
        <w:trPr>
          <w:trHeight w:val="300"/>
        </w:trPr>
        <w:tc>
          <w:tcPr>
            <w:tcW w:w="3526" w:type="dxa"/>
            <w:tcBorders>
              <w:top w:val="single" w:sz="8" w:space="0" w:color="auto"/>
              <w:left w:val="single" w:sz="8" w:space="0" w:color="auto"/>
              <w:bottom w:val="nil"/>
              <w:right w:val="single" w:sz="4" w:space="0" w:color="auto"/>
            </w:tcBorders>
            <w:shd w:val="clear" w:color="000000" w:fill="F2F2F2"/>
            <w:noWrap/>
            <w:vAlign w:val="bottom"/>
            <w:hideMark/>
          </w:tcPr>
          <w:p w:rsidR="00A945E1" w:rsidRPr="005D0593" w:rsidP="003E7F81" w14:paraId="6AA6F504" w14:textId="77777777">
            <w:pPr>
              <w:rPr>
                <w:rFonts w:ascii="Arial" w:hAnsi="Arial" w:cs="Arial"/>
                <w:sz w:val="16"/>
                <w:szCs w:val="16"/>
              </w:rPr>
            </w:pPr>
            <w:r w:rsidRPr="005D0593">
              <w:rPr>
                <w:rFonts w:ascii="Arial" w:hAnsi="Arial" w:cs="Arial"/>
                <w:sz w:val="16"/>
                <w:szCs w:val="16"/>
              </w:rPr>
              <w:t> </w:t>
            </w:r>
          </w:p>
        </w:tc>
        <w:tc>
          <w:tcPr>
            <w:tcW w:w="1215" w:type="dxa"/>
            <w:tcBorders>
              <w:top w:val="single" w:sz="8" w:space="0" w:color="auto"/>
              <w:left w:val="nil"/>
              <w:bottom w:val="nil"/>
              <w:right w:val="single" w:sz="4" w:space="0" w:color="auto"/>
            </w:tcBorders>
            <w:shd w:val="clear" w:color="000000" w:fill="F2F2F2"/>
            <w:noWrap/>
            <w:vAlign w:val="bottom"/>
            <w:hideMark/>
          </w:tcPr>
          <w:p w:rsidR="00A945E1" w:rsidRPr="005D0593" w:rsidP="003E7F81" w14:paraId="22128D18" w14:textId="77777777">
            <w:pPr>
              <w:jc w:val="center"/>
              <w:rPr>
                <w:rFonts w:ascii="Arial" w:hAnsi="Arial" w:cs="Arial"/>
                <w:sz w:val="16"/>
                <w:szCs w:val="16"/>
              </w:rPr>
            </w:pPr>
            <w:r w:rsidRPr="005D0593">
              <w:rPr>
                <w:rFonts w:ascii="Arial" w:hAnsi="Arial" w:cs="Arial"/>
                <w:sz w:val="16"/>
                <w:szCs w:val="16"/>
              </w:rPr>
              <w:t>Year 1 (2025)</w:t>
            </w:r>
          </w:p>
        </w:tc>
        <w:tc>
          <w:tcPr>
            <w:tcW w:w="1215" w:type="dxa"/>
            <w:tcBorders>
              <w:top w:val="single" w:sz="8" w:space="0" w:color="auto"/>
              <w:left w:val="nil"/>
              <w:bottom w:val="nil"/>
              <w:right w:val="single" w:sz="4" w:space="0" w:color="auto"/>
            </w:tcBorders>
            <w:shd w:val="clear" w:color="000000" w:fill="F2F2F2"/>
            <w:noWrap/>
            <w:vAlign w:val="bottom"/>
            <w:hideMark/>
          </w:tcPr>
          <w:p w:rsidR="00A945E1" w:rsidRPr="005D0593" w:rsidP="003E7F81" w14:paraId="3CBBA81D" w14:textId="77777777">
            <w:pPr>
              <w:jc w:val="center"/>
              <w:rPr>
                <w:rFonts w:ascii="Arial" w:hAnsi="Arial" w:cs="Arial"/>
                <w:sz w:val="16"/>
                <w:szCs w:val="16"/>
              </w:rPr>
            </w:pPr>
            <w:r w:rsidRPr="005D0593">
              <w:rPr>
                <w:rFonts w:ascii="Arial" w:hAnsi="Arial" w:cs="Arial"/>
                <w:sz w:val="16"/>
                <w:szCs w:val="16"/>
              </w:rPr>
              <w:t>Year 2 (2026)</w:t>
            </w:r>
          </w:p>
        </w:tc>
        <w:tc>
          <w:tcPr>
            <w:tcW w:w="1295" w:type="dxa"/>
            <w:tcBorders>
              <w:top w:val="single" w:sz="8" w:space="0" w:color="auto"/>
              <w:left w:val="nil"/>
              <w:bottom w:val="nil"/>
              <w:right w:val="single" w:sz="4" w:space="0" w:color="auto"/>
            </w:tcBorders>
            <w:shd w:val="clear" w:color="000000" w:fill="F2F2F2"/>
            <w:noWrap/>
            <w:vAlign w:val="bottom"/>
            <w:hideMark/>
          </w:tcPr>
          <w:p w:rsidR="00A945E1" w:rsidRPr="005D0593" w:rsidP="003E7F81" w14:paraId="062D2493" w14:textId="77777777">
            <w:pPr>
              <w:jc w:val="center"/>
              <w:rPr>
                <w:rFonts w:ascii="Arial" w:hAnsi="Arial" w:cs="Arial"/>
                <w:sz w:val="16"/>
                <w:szCs w:val="16"/>
              </w:rPr>
            </w:pPr>
            <w:r w:rsidRPr="005D0593">
              <w:rPr>
                <w:rFonts w:ascii="Arial" w:hAnsi="Arial" w:cs="Arial"/>
                <w:sz w:val="16"/>
                <w:szCs w:val="16"/>
              </w:rPr>
              <w:t>Year 3 (2027)</w:t>
            </w:r>
          </w:p>
        </w:tc>
        <w:tc>
          <w:tcPr>
            <w:tcW w:w="1272" w:type="dxa"/>
            <w:tcBorders>
              <w:top w:val="single" w:sz="8" w:space="0" w:color="auto"/>
              <w:left w:val="nil"/>
              <w:bottom w:val="nil"/>
              <w:right w:val="single" w:sz="4" w:space="0" w:color="auto"/>
            </w:tcBorders>
            <w:shd w:val="clear" w:color="000000" w:fill="F2F2F2"/>
            <w:noWrap/>
            <w:vAlign w:val="bottom"/>
            <w:hideMark/>
          </w:tcPr>
          <w:p w:rsidR="00A945E1" w:rsidRPr="005D0593" w:rsidP="003E7F81" w14:paraId="0CE0CC2F" w14:textId="77777777">
            <w:pPr>
              <w:jc w:val="center"/>
              <w:rPr>
                <w:rFonts w:ascii="Arial" w:hAnsi="Arial" w:cs="Arial"/>
                <w:sz w:val="16"/>
                <w:szCs w:val="16"/>
              </w:rPr>
            </w:pPr>
            <w:r w:rsidRPr="005D0593">
              <w:rPr>
                <w:rFonts w:ascii="Arial" w:hAnsi="Arial" w:cs="Arial"/>
                <w:sz w:val="16"/>
                <w:szCs w:val="16"/>
              </w:rPr>
              <w:t>Total</w:t>
            </w:r>
          </w:p>
        </w:tc>
        <w:tc>
          <w:tcPr>
            <w:tcW w:w="1297" w:type="dxa"/>
            <w:tcBorders>
              <w:top w:val="single" w:sz="8" w:space="0" w:color="auto"/>
              <w:left w:val="nil"/>
              <w:bottom w:val="nil"/>
              <w:right w:val="single" w:sz="8" w:space="0" w:color="auto"/>
            </w:tcBorders>
            <w:shd w:val="clear" w:color="000000" w:fill="F2F2F2"/>
            <w:noWrap/>
            <w:vAlign w:val="bottom"/>
            <w:hideMark/>
          </w:tcPr>
          <w:p w:rsidR="00A945E1" w:rsidRPr="005D0593" w:rsidP="003E7F81" w14:paraId="2705E411" w14:textId="77777777">
            <w:pPr>
              <w:jc w:val="center"/>
              <w:rPr>
                <w:rFonts w:ascii="Arial" w:hAnsi="Arial" w:cs="Arial"/>
                <w:sz w:val="16"/>
                <w:szCs w:val="16"/>
              </w:rPr>
            </w:pPr>
            <w:r w:rsidRPr="005D0593">
              <w:rPr>
                <w:rFonts w:ascii="Arial" w:hAnsi="Arial" w:cs="Arial"/>
                <w:sz w:val="16"/>
                <w:szCs w:val="16"/>
              </w:rPr>
              <w:t>Annual Average</w:t>
            </w:r>
          </w:p>
        </w:tc>
      </w:tr>
      <w:tr w14:paraId="7B819950" w14:textId="77777777" w:rsidTr="003E7F81">
        <w:tblPrEx>
          <w:tblW w:w="9820" w:type="dxa"/>
          <w:tblLook w:val="04A0"/>
        </w:tblPrEx>
        <w:trPr>
          <w:trHeight w:val="300"/>
        </w:trPr>
        <w:tc>
          <w:tcPr>
            <w:tcW w:w="3526" w:type="dxa"/>
            <w:tcBorders>
              <w:top w:val="nil"/>
              <w:left w:val="single" w:sz="8" w:space="0" w:color="auto"/>
              <w:bottom w:val="nil"/>
              <w:right w:val="nil"/>
            </w:tcBorders>
            <w:shd w:val="clear" w:color="000000" w:fill="F2F2F2"/>
            <w:noWrap/>
            <w:vAlign w:val="bottom"/>
            <w:hideMark/>
          </w:tcPr>
          <w:p w:rsidR="00A945E1" w:rsidRPr="005D0593" w:rsidP="003E7F81" w14:paraId="50E8C6B2" w14:textId="77777777">
            <w:pPr>
              <w:rPr>
                <w:rFonts w:ascii="Arial" w:hAnsi="Arial" w:cs="Arial"/>
                <w:sz w:val="16"/>
                <w:szCs w:val="16"/>
              </w:rPr>
            </w:pPr>
            <w:r w:rsidRPr="005D0593">
              <w:rPr>
                <w:rFonts w:ascii="Arial" w:hAnsi="Arial" w:cs="Arial"/>
                <w:sz w:val="16"/>
                <w:szCs w:val="16"/>
              </w:rPr>
              <w:t>Respondent Costs</w:t>
            </w:r>
          </w:p>
        </w:tc>
        <w:tc>
          <w:tcPr>
            <w:tcW w:w="1215" w:type="dxa"/>
            <w:tcBorders>
              <w:top w:val="nil"/>
              <w:left w:val="single" w:sz="4" w:space="0" w:color="auto"/>
              <w:bottom w:val="nil"/>
              <w:right w:val="single" w:sz="4" w:space="0" w:color="auto"/>
            </w:tcBorders>
            <w:shd w:val="clear" w:color="auto" w:fill="auto"/>
            <w:noWrap/>
            <w:vAlign w:val="bottom"/>
            <w:hideMark/>
          </w:tcPr>
          <w:p w:rsidR="00A945E1" w:rsidRPr="005D0593" w:rsidP="003E7F81" w14:paraId="0D1B721C" w14:textId="77777777">
            <w:pPr>
              <w:rPr>
                <w:rFonts w:ascii="Arial" w:hAnsi="Arial" w:cs="Arial"/>
                <w:sz w:val="16"/>
                <w:szCs w:val="16"/>
              </w:rPr>
            </w:pPr>
            <w:r w:rsidRPr="005D0593">
              <w:rPr>
                <w:rFonts w:ascii="Arial" w:hAnsi="Arial" w:cs="Arial"/>
                <w:sz w:val="16"/>
                <w:szCs w:val="16"/>
              </w:rPr>
              <w:t> </w:t>
            </w:r>
          </w:p>
        </w:tc>
        <w:tc>
          <w:tcPr>
            <w:tcW w:w="1215" w:type="dxa"/>
            <w:tcBorders>
              <w:top w:val="nil"/>
              <w:left w:val="nil"/>
              <w:bottom w:val="nil"/>
              <w:right w:val="nil"/>
            </w:tcBorders>
            <w:shd w:val="clear" w:color="auto" w:fill="auto"/>
            <w:noWrap/>
            <w:vAlign w:val="bottom"/>
            <w:hideMark/>
          </w:tcPr>
          <w:p w:rsidR="00A945E1" w:rsidRPr="005D0593" w:rsidP="003E7F81" w14:paraId="70F54EAC" w14:textId="77777777">
            <w:pPr>
              <w:rPr>
                <w:rFonts w:ascii="Arial" w:hAnsi="Arial" w:cs="Arial"/>
                <w:sz w:val="16"/>
                <w:szCs w:val="16"/>
              </w:rPr>
            </w:pPr>
          </w:p>
        </w:tc>
        <w:tc>
          <w:tcPr>
            <w:tcW w:w="1295" w:type="dxa"/>
            <w:tcBorders>
              <w:top w:val="nil"/>
              <w:left w:val="single" w:sz="4" w:space="0" w:color="auto"/>
              <w:bottom w:val="nil"/>
              <w:right w:val="single" w:sz="4" w:space="0" w:color="auto"/>
            </w:tcBorders>
            <w:shd w:val="clear" w:color="auto" w:fill="auto"/>
            <w:noWrap/>
            <w:vAlign w:val="bottom"/>
            <w:hideMark/>
          </w:tcPr>
          <w:p w:rsidR="00A945E1" w:rsidRPr="005D0593" w:rsidP="003E7F81" w14:paraId="0DD806A9" w14:textId="77777777">
            <w:pPr>
              <w:rPr>
                <w:rFonts w:ascii="Arial" w:hAnsi="Arial" w:cs="Arial"/>
                <w:sz w:val="16"/>
                <w:szCs w:val="16"/>
              </w:rPr>
            </w:pPr>
            <w:r w:rsidRPr="005D0593">
              <w:rPr>
                <w:rFonts w:ascii="Arial" w:hAnsi="Arial" w:cs="Arial"/>
                <w:sz w:val="16"/>
                <w:szCs w:val="16"/>
              </w:rPr>
              <w:t> </w:t>
            </w:r>
          </w:p>
        </w:tc>
        <w:tc>
          <w:tcPr>
            <w:tcW w:w="1272" w:type="dxa"/>
            <w:tcBorders>
              <w:top w:val="nil"/>
              <w:left w:val="nil"/>
              <w:bottom w:val="nil"/>
              <w:right w:val="single" w:sz="4" w:space="0" w:color="auto"/>
            </w:tcBorders>
            <w:shd w:val="clear" w:color="auto" w:fill="auto"/>
            <w:noWrap/>
            <w:vAlign w:val="bottom"/>
            <w:hideMark/>
          </w:tcPr>
          <w:p w:rsidR="00A945E1" w:rsidRPr="005D0593" w:rsidP="003E7F81" w14:paraId="338443B5" w14:textId="77777777">
            <w:pPr>
              <w:rPr>
                <w:rFonts w:ascii="Calibri" w:hAnsi="Calibri" w:cs="Calibri"/>
                <w:sz w:val="16"/>
                <w:szCs w:val="16"/>
              </w:rPr>
            </w:pPr>
            <w:r w:rsidRPr="005D0593">
              <w:rPr>
                <w:rFonts w:ascii="Calibri" w:hAnsi="Calibri" w:cs="Calibri"/>
                <w:sz w:val="16"/>
                <w:szCs w:val="16"/>
              </w:rPr>
              <w:t> </w:t>
            </w:r>
          </w:p>
        </w:tc>
        <w:tc>
          <w:tcPr>
            <w:tcW w:w="1297" w:type="dxa"/>
            <w:tcBorders>
              <w:top w:val="nil"/>
              <w:left w:val="nil"/>
              <w:bottom w:val="nil"/>
              <w:right w:val="single" w:sz="8" w:space="0" w:color="auto"/>
            </w:tcBorders>
            <w:shd w:val="clear" w:color="auto" w:fill="auto"/>
            <w:noWrap/>
            <w:vAlign w:val="bottom"/>
            <w:hideMark/>
          </w:tcPr>
          <w:p w:rsidR="00A945E1" w:rsidRPr="005D0593" w:rsidP="003E7F81" w14:paraId="74264713" w14:textId="77777777">
            <w:pPr>
              <w:rPr>
                <w:rFonts w:ascii="Calibri" w:hAnsi="Calibri" w:cs="Calibri"/>
                <w:sz w:val="16"/>
                <w:szCs w:val="16"/>
              </w:rPr>
            </w:pPr>
            <w:r w:rsidRPr="005D0593">
              <w:rPr>
                <w:rFonts w:ascii="Calibri" w:hAnsi="Calibri" w:cs="Calibri"/>
                <w:sz w:val="16"/>
                <w:szCs w:val="16"/>
              </w:rPr>
              <w:t> </w:t>
            </w:r>
          </w:p>
        </w:tc>
      </w:tr>
      <w:tr w14:paraId="6EFF16E6" w14:textId="77777777" w:rsidTr="003E7F81">
        <w:tblPrEx>
          <w:tblW w:w="9820" w:type="dxa"/>
          <w:tblLook w:val="04A0"/>
        </w:tblPrEx>
        <w:trPr>
          <w:trHeight w:val="300"/>
        </w:trPr>
        <w:tc>
          <w:tcPr>
            <w:tcW w:w="3526" w:type="dxa"/>
            <w:tcBorders>
              <w:top w:val="nil"/>
              <w:left w:val="single" w:sz="8" w:space="0" w:color="auto"/>
              <w:bottom w:val="nil"/>
              <w:right w:val="single" w:sz="4" w:space="0" w:color="auto"/>
            </w:tcBorders>
            <w:shd w:val="clear" w:color="000000" w:fill="F2F2F2"/>
            <w:noWrap/>
            <w:vAlign w:val="bottom"/>
            <w:hideMark/>
          </w:tcPr>
          <w:p w:rsidR="00A945E1" w:rsidRPr="005D0593" w:rsidP="003E7F81" w14:paraId="35E3842E" w14:textId="77777777">
            <w:pPr>
              <w:ind w:firstLine="320" w:firstLineChars="200"/>
              <w:rPr>
                <w:rFonts w:ascii="Arial" w:hAnsi="Arial" w:cs="Arial"/>
                <w:sz w:val="16"/>
                <w:szCs w:val="16"/>
              </w:rPr>
            </w:pPr>
            <w:r w:rsidRPr="005D0593">
              <w:rPr>
                <w:rFonts w:ascii="Arial" w:hAnsi="Arial" w:cs="Arial"/>
                <w:sz w:val="16"/>
                <w:szCs w:val="16"/>
              </w:rPr>
              <w:t>Number of Respondents</w:t>
            </w:r>
          </w:p>
        </w:tc>
        <w:tc>
          <w:tcPr>
            <w:tcW w:w="1215" w:type="dxa"/>
            <w:tcBorders>
              <w:top w:val="nil"/>
              <w:left w:val="single" w:sz="4" w:space="0" w:color="auto"/>
              <w:bottom w:val="nil"/>
              <w:right w:val="single" w:sz="4" w:space="0" w:color="auto"/>
            </w:tcBorders>
            <w:shd w:val="clear" w:color="auto" w:fill="auto"/>
            <w:noWrap/>
            <w:vAlign w:val="bottom"/>
            <w:hideMark/>
          </w:tcPr>
          <w:p w:rsidR="00A945E1" w:rsidRPr="005D0593" w:rsidP="003E7F81" w14:paraId="7452A4C3" w14:textId="77777777">
            <w:pPr>
              <w:jc w:val="center"/>
              <w:rPr>
                <w:rFonts w:ascii="Arial" w:hAnsi="Arial" w:cs="Arial"/>
                <w:sz w:val="16"/>
                <w:szCs w:val="16"/>
              </w:rPr>
            </w:pPr>
            <w:r w:rsidRPr="005D0593">
              <w:rPr>
                <w:rFonts w:ascii="Arial" w:hAnsi="Arial" w:cs="Arial"/>
                <w:color w:val="000000"/>
                <w:sz w:val="16"/>
                <w:szCs w:val="16"/>
              </w:rPr>
              <w:t xml:space="preserve">2,701 </w:t>
            </w:r>
          </w:p>
        </w:tc>
        <w:tc>
          <w:tcPr>
            <w:tcW w:w="1215" w:type="dxa"/>
            <w:tcBorders>
              <w:top w:val="nil"/>
              <w:left w:val="nil"/>
              <w:bottom w:val="nil"/>
              <w:right w:val="single" w:sz="4" w:space="0" w:color="auto"/>
            </w:tcBorders>
            <w:shd w:val="clear" w:color="auto" w:fill="auto"/>
            <w:noWrap/>
            <w:vAlign w:val="bottom"/>
            <w:hideMark/>
          </w:tcPr>
          <w:p w:rsidR="00A945E1" w:rsidRPr="005D0593" w:rsidP="003E7F81" w14:paraId="2187B4B1" w14:textId="77777777">
            <w:pPr>
              <w:jc w:val="center"/>
              <w:rPr>
                <w:rFonts w:ascii="Arial" w:hAnsi="Arial" w:cs="Arial"/>
                <w:sz w:val="16"/>
                <w:szCs w:val="16"/>
              </w:rPr>
            </w:pPr>
            <w:r w:rsidRPr="005D0593">
              <w:rPr>
                <w:rFonts w:ascii="Arial" w:hAnsi="Arial" w:cs="Arial"/>
                <w:color w:val="000000"/>
                <w:sz w:val="16"/>
                <w:szCs w:val="16"/>
              </w:rPr>
              <w:t xml:space="preserve">2,701 </w:t>
            </w:r>
          </w:p>
        </w:tc>
        <w:tc>
          <w:tcPr>
            <w:tcW w:w="1295" w:type="dxa"/>
            <w:tcBorders>
              <w:top w:val="nil"/>
              <w:left w:val="nil"/>
              <w:bottom w:val="nil"/>
              <w:right w:val="single" w:sz="4" w:space="0" w:color="auto"/>
            </w:tcBorders>
            <w:shd w:val="clear" w:color="auto" w:fill="auto"/>
            <w:noWrap/>
            <w:vAlign w:val="bottom"/>
            <w:hideMark/>
          </w:tcPr>
          <w:p w:rsidR="00A945E1" w:rsidRPr="005D0593" w:rsidP="003E7F81" w14:paraId="6E2BBAD9" w14:textId="77777777">
            <w:pPr>
              <w:jc w:val="center"/>
              <w:rPr>
                <w:rFonts w:ascii="Arial" w:hAnsi="Arial" w:cs="Arial"/>
                <w:sz w:val="16"/>
                <w:szCs w:val="16"/>
              </w:rPr>
            </w:pPr>
            <w:r w:rsidRPr="005D0593">
              <w:rPr>
                <w:rFonts w:ascii="Arial" w:hAnsi="Arial" w:cs="Arial"/>
                <w:color w:val="000000"/>
                <w:sz w:val="16"/>
                <w:szCs w:val="16"/>
              </w:rPr>
              <w:t xml:space="preserve">2,701 </w:t>
            </w:r>
          </w:p>
        </w:tc>
        <w:tc>
          <w:tcPr>
            <w:tcW w:w="1272" w:type="dxa"/>
            <w:tcBorders>
              <w:top w:val="nil"/>
              <w:left w:val="nil"/>
              <w:bottom w:val="nil"/>
              <w:right w:val="single" w:sz="4" w:space="0" w:color="auto"/>
            </w:tcBorders>
            <w:shd w:val="clear" w:color="auto" w:fill="auto"/>
            <w:noWrap/>
            <w:vAlign w:val="bottom"/>
            <w:hideMark/>
          </w:tcPr>
          <w:p w:rsidR="00A945E1" w:rsidRPr="005D0593" w:rsidP="003E7F81" w14:paraId="1EABFACA" w14:textId="77777777">
            <w:pPr>
              <w:jc w:val="center"/>
              <w:rPr>
                <w:rFonts w:ascii="Arial" w:hAnsi="Arial" w:cs="Arial"/>
                <w:sz w:val="16"/>
                <w:szCs w:val="16"/>
              </w:rPr>
            </w:pPr>
            <w:r w:rsidRPr="005D0593">
              <w:rPr>
                <w:rFonts w:ascii="Arial" w:hAnsi="Arial" w:cs="Arial"/>
                <w:color w:val="000000"/>
                <w:sz w:val="16"/>
                <w:szCs w:val="16"/>
              </w:rPr>
              <w:t xml:space="preserve">8,104 </w:t>
            </w:r>
          </w:p>
        </w:tc>
        <w:tc>
          <w:tcPr>
            <w:tcW w:w="1297" w:type="dxa"/>
            <w:tcBorders>
              <w:top w:val="nil"/>
              <w:left w:val="single" w:sz="4" w:space="0" w:color="auto"/>
              <w:bottom w:val="nil"/>
              <w:right w:val="single" w:sz="8" w:space="0" w:color="auto"/>
            </w:tcBorders>
            <w:shd w:val="clear" w:color="auto" w:fill="auto"/>
            <w:noWrap/>
            <w:vAlign w:val="bottom"/>
            <w:hideMark/>
          </w:tcPr>
          <w:p w:rsidR="00A945E1" w:rsidRPr="005D0593" w:rsidP="003E7F81" w14:paraId="46C0D6D9" w14:textId="77777777">
            <w:pPr>
              <w:jc w:val="center"/>
              <w:rPr>
                <w:rFonts w:ascii="Arial" w:hAnsi="Arial" w:cs="Arial"/>
                <w:sz w:val="16"/>
                <w:szCs w:val="16"/>
              </w:rPr>
            </w:pPr>
            <w:r w:rsidRPr="005D0593">
              <w:rPr>
                <w:rFonts w:ascii="Arial" w:hAnsi="Arial" w:cs="Arial"/>
                <w:color w:val="000000"/>
                <w:sz w:val="16"/>
                <w:szCs w:val="16"/>
              </w:rPr>
              <w:t xml:space="preserve">2,701 </w:t>
            </w:r>
          </w:p>
        </w:tc>
      </w:tr>
      <w:tr w14:paraId="4565DB58" w14:textId="77777777" w:rsidTr="003E7F81">
        <w:tblPrEx>
          <w:tblW w:w="9820" w:type="dxa"/>
          <w:tblLook w:val="04A0"/>
        </w:tblPrEx>
        <w:trPr>
          <w:trHeight w:val="300"/>
        </w:trPr>
        <w:tc>
          <w:tcPr>
            <w:tcW w:w="3526" w:type="dxa"/>
            <w:tcBorders>
              <w:top w:val="nil"/>
              <w:left w:val="single" w:sz="8" w:space="0" w:color="auto"/>
              <w:bottom w:val="nil"/>
              <w:right w:val="single" w:sz="4" w:space="0" w:color="auto"/>
            </w:tcBorders>
            <w:shd w:val="clear" w:color="000000" w:fill="F2F2F2"/>
            <w:noWrap/>
            <w:vAlign w:val="bottom"/>
            <w:hideMark/>
          </w:tcPr>
          <w:p w:rsidR="00A945E1" w:rsidRPr="005D0593" w:rsidP="003E7F81" w14:paraId="4B1E6E1D" w14:textId="77777777">
            <w:pPr>
              <w:ind w:firstLine="320" w:firstLineChars="200"/>
              <w:rPr>
                <w:rFonts w:ascii="Arial" w:hAnsi="Arial" w:cs="Arial"/>
                <w:sz w:val="16"/>
                <w:szCs w:val="16"/>
              </w:rPr>
            </w:pPr>
            <w:r w:rsidRPr="005D0593">
              <w:rPr>
                <w:rFonts w:ascii="Arial" w:hAnsi="Arial" w:cs="Arial"/>
                <w:sz w:val="16"/>
                <w:szCs w:val="16"/>
              </w:rPr>
              <w:t>Total Respondent Labor Hours</w:t>
            </w:r>
          </w:p>
        </w:tc>
        <w:tc>
          <w:tcPr>
            <w:tcW w:w="1215" w:type="dxa"/>
            <w:tcBorders>
              <w:top w:val="nil"/>
              <w:left w:val="single" w:sz="4" w:space="0" w:color="auto"/>
              <w:bottom w:val="nil"/>
              <w:right w:val="single" w:sz="4" w:space="0" w:color="auto"/>
            </w:tcBorders>
            <w:shd w:val="clear" w:color="auto" w:fill="auto"/>
            <w:noWrap/>
            <w:vAlign w:val="bottom"/>
            <w:hideMark/>
          </w:tcPr>
          <w:p w:rsidR="00A945E1" w:rsidRPr="005D0593" w:rsidP="003E7F81" w14:paraId="6973326A" w14:textId="77777777">
            <w:pPr>
              <w:jc w:val="center"/>
              <w:rPr>
                <w:rFonts w:ascii="Arial" w:hAnsi="Arial" w:cs="Arial"/>
                <w:sz w:val="16"/>
                <w:szCs w:val="16"/>
              </w:rPr>
            </w:pPr>
            <w:r w:rsidRPr="005D0593">
              <w:rPr>
                <w:rFonts w:ascii="Arial" w:hAnsi="Arial" w:cs="Arial"/>
                <w:color w:val="000000"/>
                <w:sz w:val="16"/>
                <w:szCs w:val="16"/>
              </w:rPr>
              <w:t xml:space="preserve">25,900 </w:t>
            </w:r>
          </w:p>
        </w:tc>
        <w:tc>
          <w:tcPr>
            <w:tcW w:w="1215" w:type="dxa"/>
            <w:tcBorders>
              <w:top w:val="nil"/>
              <w:left w:val="nil"/>
              <w:bottom w:val="nil"/>
              <w:right w:val="single" w:sz="4" w:space="0" w:color="auto"/>
            </w:tcBorders>
            <w:shd w:val="clear" w:color="auto" w:fill="auto"/>
            <w:noWrap/>
            <w:vAlign w:val="bottom"/>
            <w:hideMark/>
          </w:tcPr>
          <w:p w:rsidR="00A945E1" w:rsidRPr="005D0593" w:rsidP="003E7F81" w14:paraId="0361EB39" w14:textId="77777777">
            <w:pPr>
              <w:jc w:val="center"/>
              <w:rPr>
                <w:rFonts w:ascii="Arial" w:hAnsi="Arial" w:cs="Arial"/>
                <w:sz w:val="16"/>
                <w:szCs w:val="16"/>
              </w:rPr>
            </w:pPr>
            <w:r w:rsidRPr="005D0593">
              <w:rPr>
                <w:rFonts w:ascii="Arial" w:hAnsi="Arial" w:cs="Arial"/>
                <w:color w:val="000000"/>
                <w:sz w:val="16"/>
                <w:szCs w:val="16"/>
              </w:rPr>
              <w:t xml:space="preserve">25,510 </w:t>
            </w:r>
          </w:p>
        </w:tc>
        <w:tc>
          <w:tcPr>
            <w:tcW w:w="1295" w:type="dxa"/>
            <w:tcBorders>
              <w:top w:val="nil"/>
              <w:left w:val="nil"/>
              <w:bottom w:val="nil"/>
              <w:right w:val="single" w:sz="4" w:space="0" w:color="auto"/>
            </w:tcBorders>
            <w:shd w:val="clear" w:color="auto" w:fill="auto"/>
            <w:noWrap/>
            <w:vAlign w:val="bottom"/>
            <w:hideMark/>
          </w:tcPr>
          <w:p w:rsidR="00A945E1" w:rsidRPr="005D0593" w:rsidP="003E7F81" w14:paraId="5E898D99" w14:textId="77777777">
            <w:pPr>
              <w:jc w:val="center"/>
              <w:rPr>
                <w:rFonts w:ascii="Arial" w:hAnsi="Arial" w:cs="Arial"/>
                <w:sz w:val="16"/>
                <w:szCs w:val="16"/>
              </w:rPr>
            </w:pPr>
            <w:r w:rsidRPr="005D0593">
              <w:rPr>
                <w:rFonts w:ascii="Arial" w:hAnsi="Arial" w:cs="Arial"/>
                <w:color w:val="000000"/>
                <w:sz w:val="16"/>
                <w:szCs w:val="16"/>
              </w:rPr>
              <w:t xml:space="preserve">25,531 </w:t>
            </w:r>
          </w:p>
        </w:tc>
        <w:tc>
          <w:tcPr>
            <w:tcW w:w="1272" w:type="dxa"/>
            <w:tcBorders>
              <w:top w:val="nil"/>
              <w:left w:val="nil"/>
              <w:bottom w:val="nil"/>
              <w:right w:val="single" w:sz="4" w:space="0" w:color="auto"/>
            </w:tcBorders>
            <w:shd w:val="clear" w:color="auto" w:fill="auto"/>
            <w:noWrap/>
            <w:vAlign w:val="bottom"/>
            <w:hideMark/>
          </w:tcPr>
          <w:p w:rsidR="00A945E1" w:rsidRPr="005D0593" w:rsidP="003E7F81" w14:paraId="5E0A00A5" w14:textId="77777777">
            <w:pPr>
              <w:jc w:val="center"/>
              <w:rPr>
                <w:rFonts w:ascii="Arial" w:hAnsi="Arial" w:cs="Arial"/>
                <w:sz w:val="16"/>
                <w:szCs w:val="16"/>
              </w:rPr>
            </w:pPr>
            <w:r w:rsidRPr="005D0593">
              <w:rPr>
                <w:rFonts w:ascii="Arial" w:hAnsi="Arial" w:cs="Arial"/>
                <w:color w:val="000000"/>
                <w:sz w:val="16"/>
                <w:szCs w:val="16"/>
              </w:rPr>
              <w:t xml:space="preserve">76,940 </w:t>
            </w:r>
          </w:p>
        </w:tc>
        <w:tc>
          <w:tcPr>
            <w:tcW w:w="1297" w:type="dxa"/>
            <w:tcBorders>
              <w:top w:val="nil"/>
              <w:left w:val="single" w:sz="4" w:space="0" w:color="auto"/>
              <w:bottom w:val="nil"/>
              <w:right w:val="single" w:sz="8" w:space="0" w:color="auto"/>
            </w:tcBorders>
            <w:shd w:val="clear" w:color="auto" w:fill="auto"/>
            <w:noWrap/>
            <w:vAlign w:val="bottom"/>
            <w:hideMark/>
          </w:tcPr>
          <w:p w:rsidR="00A945E1" w:rsidRPr="005D0593" w:rsidP="003E7F81" w14:paraId="40C7A085" w14:textId="77777777">
            <w:pPr>
              <w:jc w:val="center"/>
              <w:rPr>
                <w:rFonts w:ascii="Arial" w:hAnsi="Arial" w:cs="Arial"/>
                <w:sz w:val="16"/>
                <w:szCs w:val="16"/>
              </w:rPr>
            </w:pPr>
            <w:r w:rsidRPr="005D0593">
              <w:rPr>
                <w:rFonts w:ascii="Arial" w:hAnsi="Arial" w:cs="Arial"/>
                <w:color w:val="000000"/>
                <w:sz w:val="16"/>
                <w:szCs w:val="16"/>
              </w:rPr>
              <w:t xml:space="preserve">25,647 </w:t>
            </w:r>
          </w:p>
        </w:tc>
      </w:tr>
      <w:tr w14:paraId="63B9BD93" w14:textId="77777777" w:rsidTr="003E7F81">
        <w:tblPrEx>
          <w:tblW w:w="9820" w:type="dxa"/>
          <w:tblLook w:val="04A0"/>
        </w:tblPrEx>
        <w:trPr>
          <w:trHeight w:val="300"/>
        </w:trPr>
        <w:tc>
          <w:tcPr>
            <w:tcW w:w="3526" w:type="dxa"/>
            <w:tcBorders>
              <w:top w:val="nil"/>
              <w:left w:val="single" w:sz="8" w:space="0" w:color="auto"/>
              <w:bottom w:val="nil"/>
              <w:right w:val="single" w:sz="4" w:space="0" w:color="auto"/>
            </w:tcBorders>
            <w:shd w:val="clear" w:color="000000" w:fill="F2F2F2"/>
            <w:noWrap/>
            <w:vAlign w:val="bottom"/>
            <w:hideMark/>
          </w:tcPr>
          <w:p w:rsidR="00A945E1" w:rsidRPr="005D0593" w:rsidP="003E7F81" w14:paraId="6F9C8E51" w14:textId="77777777">
            <w:pPr>
              <w:ind w:firstLine="320" w:firstLineChars="200"/>
              <w:rPr>
                <w:rFonts w:ascii="Arial" w:hAnsi="Arial" w:cs="Arial"/>
                <w:sz w:val="16"/>
                <w:szCs w:val="16"/>
              </w:rPr>
            </w:pPr>
            <w:r w:rsidRPr="005D0593">
              <w:rPr>
                <w:rFonts w:ascii="Arial" w:hAnsi="Arial" w:cs="Arial"/>
                <w:sz w:val="16"/>
                <w:szCs w:val="16"/>
              </w:rPr>
              <w:t>Total Respondent Labor Costs</w:t>
            </w:r>
          </w:p>
        </w:tc>
        <w:tc>
          <w:tcPr>
            <w:tcW w:w="1215" w:type="dxa"/>
            <w:tcBorders>
              <w:top w:val="nil"/>
              <w:left w:val="single" w:sz="4" w:space="0" w:color="auto"/>
              <w:bottom w:val="nil"/>
              <w:right w:val="single" w:sz="4" w:space="0" w:color="auto"/>
            </w:tcBorders>
            <w:shd w:val="clear" w:color="auto" w:fill="auto"/>
            <w:noWrap/>
            <w:vAlign w:val="bottom"/>
            <w:hideMark/>
          </w:tcPr>
          <w:p w:rsidR="00A945E1" w:rsidRPr="005D0593" w:rsidP="003E7F81" w14:paraId="640CA0FA" w14:textId="77777777">
            <w:pPr>
              <w:jc w:val="center"/>
              <w:rPr>
                <w:rFonts w:ascii="Arial" w:hAnsi="Arial" w:cs="Arial"/>
                <w:sz w:val="16"/>
                <w:szCs w:val="16"/>
              </w:rPr>
            </w:pPr>
            <w:r w:rsidRPr="005D0593">
              <w:rPr>
                <w:rFonts w:ascii="Arial" w:hAnsi="Arial" w:cs="Arial"/>
                <w:color w:val="000000"/>
                <w:sz w:val="16"/>
                <w:szCs w:val="16"/>
              </w:rPr>
              <w:t xml:space="preserve">$2,684,681 </w:t>
            </w:r>
          </w:p>
        </w:tc>
        <w:tc>
          <w:tcPr>
            <w:tcW w:w="1215" w:type="dxa"/>
            <w:tcBorders>
              <w:top w:val="nil"/>
              <w:left w:val="nil"/>
              <w:bottom w:val="nil"/>
              <w:right w:val="single" w:sz="4" w:space="0" w:color="auto"/>
            </w:tcBorders>
            <w:shd w:val="clear" w:color="auto" w:fill="auto"/>
            <w:noWrap/>
            <w:vAlign w:val="bottom"/>
            <w:hideMark/>
          </w:tcPr>
          <w:p w:rsidR="00A945E1" w:rsidRPr="005D0593" w:rsidP="003E7F81" w14:paraId="538871DB" w14:textId="77777777">
            <w:pPr>
              <w:jc w:val="center"/>
              <w:rPr>
                <w:rFonts w:ascii="Arial" w:hAnsi="Arial" w:cs="Arial"/>
                <w:sz w:val="16"/>
                <w:szCs w:val="16"/>
              </w:rPr>
            </w:pPr>
            <w:r w:rsidRPr="005D0593">
              <w:rPr>
                <w:rFonts w:ascii="Arial" w:hAnsi="Arial" w:cs="Arial"/>
                <w:color w:val="000000"/>
                <w:sz w:val="16"/>
                <w:szCs w:val="16"/>
              </w:rPr>
              <w:t xml:space="preserve">$2,671,081 </w:t>
            </w:r>
          </w:p>
        </w:tc>
        <w:tc>
          <w:tcPr>
            <w:tcW w:w="1295" w:type="dxa"/>
            <w:tcBorders>
              <w:top w:val="nil"/>
              <w:left w:val="nil"/>
              <w:bottom w:val="nil"/>
              <w:right w:val="single" w:sz="4" w:space="0" w:color="auto"/>
            </w:tcBorders>
            <w:shd w:val="clear" w:color="auto" w:fill="auto"/>
            <w:noWrap/>
            <w:vAlign w:val="bottom"/>
            <w:hideMark/>
          </w:tcPr>
          <w:p w:rsidR="00A945E1" w:rsidRPr="005D0593" w:rsidP="003E7F81" w14:paraId="3484D300" w14:textId="77777777">
            <w:pPr>
              <w:jc w:val="center"/>
              <w:rPr>
                <w:rFonts w:ascii="Arial" w:hAnsi="Arial" w:cs="Arial"/>
                <w:sz w:val="16"/>
                <w:szCs w:val="16"/>
              </w:rPr>
            </w:pPr>
            <w:r w:rsidRPr="005D0593">
              <w:rPr>
                <w:rFonts w:ascii="Arial" w:hAnsi="Arial" w:cs="Arial"/>
                <w:color w:val="000000"/>
                <w:sz w:val="16"/>
                <w:szCs w:val="16"/>
              </w:rPr>
              <w:t xml:space="preserve">$2,672,580 </w:t>
            </w:r>
          </w:p>
        </w:tc>
        <w:tc>
          <w:tcPr>
            <w:tcW w:w="1272" w:type="dxa"/>
            <w:tcBorders>
              <w:top w:val="nil"/>
              <w:left w:val="nil"/>
              <w:bottom w:val="nil"/>
              <w:right w:val="single" w:sz="4" w:space="0" w:color="auto"/>
            </w:tcBorders>
            <w:shd w:val="clear" w:color="auto" w:fill="auto"/>
            <w:noWrap/>
            <w:vAlign w:val="bottom"/>
            <w:hideMark/>
          </w:tcPr>
          <w:p w:rsidR="00A945E1" w:rsidRPr="005D0593" w:rsidP="003E7F81" w14:paraId="669F64D0" w14:textId="77777777">
            <w:pPr>
              <w:jc w:val="center"/>
              <w:rPr>
                <w:rFonts w:ascii="Arial" w:hAnsi="Arial" w:cs="Arial"/>
                <w:sz w:val="16"/>
                <w:szCs w:val="16"/>
              </w:rPr>
            </w:pPr>
            <w:r w:rsidRPr="005D0593">
              <w:rPr>
                <w:rFonts w:ascii="Arial" w:hAnsi="Arial" w:cs="Arial"/>
                <w:color w:val="000000"/>
                <w:sz w:val="16"/>
                <w:szCs w:val="16"/>
              </w:rPr>
              <w:t xml:space="preserve">$8,028,343 </w:t>
            </w:r>
          </w:p>
        </w:tc>
        <w:tc>
          <w:tcPr>
            <w:tcW w:w="1297" w:type="dxa"/>
            <w:tcBorders>
              <w:top w:val="nil"/>
              <w:left w:val="single" w:sz="4" w:space="0" w:color="auto"/>
              <w:bottom w:val="nil"/>
              <w:right w:val="single" w:sz="8" w:space="0" w:color="auto"/>
            </w:tcBorders>
            <w:shd w:val="clear" w:color="auto" w:fill="auto"/>
            <w:noWrap/>
            <w:vAlign w:val="bottom"/>
            <w:hideMark/>
          </w:tcPr>
          <w:p w:rsidR="00A945E1" w:rsidRPr="005D0593" w:rsidP="003E7F81" w14:paraId="0BEB7A26" w14:textId="77777777">
            <w:pPr>
              <w:jc w:val="center"/>
              <w:rPr>
                <w:rFonts w:ascii="Arial" w:hAnsi="Arial" w:cs="Arial"/>
                <w:sz w:val="16"/>
                <w:szCs w:val="16"/>
              </w:rPr>
            </w:pPr>
            <w:r w:rsidRPr="005D0593">
              <w:rPr>
                <w:rFonts w:ascii="Arial" w:hAnsi="Arial" w:cs="Arial"/>
                <w:color w:val="000000"/>
                <w:sz w:val="16"/>
                <w:szCs w:val="16"/>
              </w:rPr>
              <w:t xml:space="preserve">$2,676,000 </w:t>
            </w:r>
          </w:p>
        </w:tc>
      </w:tr>
      <w:tr w14:paraId="24E02BDB" w14:textId="77777777" w:rsidTr="003E7F81">
        <w:tblPrEx>
          <w:tblW w:w="9820" w:type="dxa"/>
          <w:tblLook w:val="04A0"/>
        </w:tblPrEx>
        <w:trPr>
          <w:trHeight w:val="300"/>
        </w:trPr>
        <w:tc>
          <w:tcPr>
            <w:tcW w:w="3526" w:type="dxa"/>
            <w:tcBorders>
              <w:top w:val="nil"/>
              <w:left w:val="single" w:sz="8" w:space="0" w:color="auto"/>
              <w:bottom w:val="nil"/>
              <w:right w:val="single" w:sz="4" w:space="0" w:color="auto"/>
            </w:tcBorders>
            <w:shd w:val="clear" w:color="000000" w:fill="F2F2F2"/>
            <w:vAlign w:val="bottom"/>
            <w:hideMark/>
          </w:tcPr>
          <w:p w:rsidR="00A945E1" w:rsidRPr="005D0593" w:rsidP="003E7F81" w14:paraId="67AA8BF6" w14:textId="77777777">
            <w:pPr>
              <w:ind w:firstLine="320" w:firstLineChars="200"/>
              <w:rPr>
                <w:rFonts w:ascii="Arial" w:hAnsi="Arial" w:cs="Arial"/>
                <w:sz w:val="16"/>
                <w:szCs w:val="16"/>
              </w:rPr>
            </w:pPr>
            <w:r w:rsidRPr="005D0593">
              <w:rPr>
                <w:rFonts w:ascii="Arial" w:hAnsi="Arial" w:cs="Arial"/>
                <w:sz w:val="16"/>
                <w:szCs w:val="16"/>
              </w:rPr>
              <w:t>Non-labor (Capital and O&amp;M) Costs</w:t>
            </w:r>
          </w:p>
        </w:tc>
        <w:tc>
          <w:tcPr>
            <w:tcW w:w="1215" w:type="dxa"/>
            <w:tcBorders>
              <w:top w:val="nil"/>
              <w:left w:val="single" w:sz="4" w:space="0" w:color="auto"/>
              <w:bottom w:val="nil"/>
              <w:right w:val="single" w:sz="4" w:space="0" w:color="auto"/>
            </w:tcBorders>
            <w:shd w:val="clear" w:color="auto" w:fill="auto"/>
            <w:noWrap/>
            <w:vAlign w:val="bottom"/>
            <w:hideMark/>
          </w:tcPr>
          <w:p w:rsidR="00A945E1" w:rsidRPr="005D0593" w:rsidP="003E7F81" w14:paraId="14C85B39" w14:textId="77777777">
            <w:pPr>
              <w:jc w:val="center"/>
              <w:rPr>
                <w:rFonts w:ascii="Arial" w:hAnsi="Arial" w:cs="Arial"/>
                <w:sz w:val="16"/>
                <w:szCs w:val="16"/>
              </w:rPr>
            </w:pPr>
            <w:r w:rsidRPr="005D0593">
              <w:rPr>
                <w:rFonts w:ascii="Arial" w:hAnsi="Arial" w:cs="Arial"/>
                <w:color w:val="000000"/>
                <w:sz w:val="16"/>
                <w:szCs w:val="16"/>
              </w:rPr>
              <w:t xml:space="preserve">$2,733,813 </w:t>
            </w:r>
          </w:p>
        </w:tc>
        <w:tc>
          <w:tcPr>
            <w:tcW w:w="1215" w:type="dxa"/>
            <w:tcBorders>
              <w:top w:val="nil"/>
              <w:left w:val="nil"/>
              <w:bottom w:val="nil"/>
              <w:right w:val="single" w:sz="4" w:space="0" w:color="auto"/>
            </w:tcBorders>
            <w:shd w:val="clear" w:color="auto" w:fill="auto"/>
            <w:noWrap/>
            <w:vAlign w:val="bottom"/>
            <w:hideMark/>
          </w:tcPr>
          <w:p w:rsidR="00A945E1" w:rsidRPr="005D0593" w:rsidP="003E7F81" w14:paraId="65606109" w14:textId="77777777">
            <w:pPr>
              <w:jc w:val="center"/>
              <w:rPr>
                <w:rFonts w:ascii="Arial" w:hAnsi="Arial" w:cs="Arial"/>
                <w:sz w:val="16"/>
                <w:szCs w:val="16"/>
              </w:rPr>
            </w:pPr>
            <w:r w:rsidRPr="005D0593">
              <w:rPr>
                <w:rFonts w:ascii="Arial" w:hAnsi="Arial" w:cs="Arial"/>
                <w:color w:val="000000"/>
                <w:sz w:val="16"/>
                <w:szCs w:val="16"/>
              </w:rPr>
              <w:t xml:space="preserve">$2,733,937 </w:t>
            </w:r>
          </w:p>
        </w:tc>
        <w:tc>
          <w:tcPr>
            <w:tcW w:w="1295" w:type="dxa"/>
            <w:tcBorders>
              <w:top w:val="nil"/>
              <w:left w:val="nil"/>
              <w:bottom w:val="nil"/>
              <w:right w:val="single" w:sz="4" w:space="0" w:color="auto"/>
            </w:tcBorders>
            <w:shd w:val="clear" w:color="auto" w:fill="auto"/>
            <w:noWrap/>
            <w:vAlign w:val="bottom"/>
            <w:hideMark/>
          </w:tcPr>
          <w:p w:rsidR="00A945E1" w:rsidRPr="005D0593" w:rsidP="003E7F81" w14:paraId="3D77937A" w14:textId="77777777">
            <w:pPr>
              <w:jc w:val="center"/>
              <w:rPr>
                <w:rFonts w:ascii="Arial" w:hAnsi="Arial" w:cs="Arial"/>
                <w:sz w:val="16"/>
                <w:szCs w:val="16"/>
              </w:rPr>
            </w:pPr>
            <w:r w:rsidRPr="005D0593">
              <w:rPr>
                <w:rFonts w:ascii="Arial" w:hAnsi="Arial" w:cs="Arial"/>
                <w:color w:val="000000"/>
                <w:sz w:val="16"/>
                <w:szCs w:val="16"/>
              </w:rPr>
              <w:t xml:space="preserve">$2,734,062 </w:t>
            </w:r>
          </w:p>
        </w:tc>
        <w:tc>
          <w:tcPr>
            <w:tcW w:w="1272" w:type="dxa"/>
            <w:tcBorders>
              <w:top w:val="nil"/>
              <w:left w:val="nil"/>
              <w:bottom w:val="nil"/>
              <w:right w:val="single" w:sz="4" w:space="0" w:color="auto"/>
            </w:tcBorders>
            <w:shd w:val="clear" w:color="auto" w:fill="auto"/>
            <w:noWrap/>
            <w:vAlign w:val="bottom"/>
            <w:hideMark/>
          </w:tcPr>
          <w:p w:rsidR="00A945E1" w:rsidRPr="005D0593" w:rsidP="003E7F81" w14:paraId="2F6176CE" w14:textId="77777777">
            <w:pPr>
              <w:jc w:val="center"/>
              <w:rPr>
                <w:rFonts w:ascii="Arial" w:hAnsi="Arial" w:cs="Arial"/>
                <w:sz w:val="16"/>
                <w:szCs w:val="16"/>
              </w:rPr>
            </w:pPr>
            <w:r w:rsidRPr="005D0593">
              <w:rPr>
                <w:rFonts w:ascii="Arial" w:hAnsi="Arial" w:cs="Arial"/>
                <w:color w:val="000000"/>
                <w:sz w:val="16"/>
                <w:szCs w:val="16"/>
              </w:rPr>
              <w:t xml:space="preserve">$8,201,812 </w:t>
            </w:r>
          </w:p>
        </w:tc>
        <w:tc>
          <w:tcPr>
            <w:tcW w:w="1297" w:type="dxa"/>
            <w:tcBorders>
              <w:top w:val="nil"/>
              <w:left w:val="single" w:sz="4" w:space="0" w:color="auto"/>
              <w:bottom w:val="nil"/>
              <w:right w:val="single" w:sz="8" w:space="0" w:color="auto"/>
            </w:tcBorders>
            <w:shd w:val="clear" w:color="auto" w:fill="auto"/>
            <w:noWrap/>
            <w:vAlign w:val="bottom"/>
            <w:hideMark/>
          </w:tcPr>
          <w:p w:rsidR="00A945E1" w:rsidRPr="005D0593" w:rsidP="003E7F81" w14:paraId="49177B40" w14:textId="77777777">
            <w:pPr>
              <w:jc w:val="center"/>
              <w:rPr>
                <w:rFonts w:ascii="Arial" w:hAnsi="Arial" w:cs="Arial"/>
                <w:sz w:val="16"/>
                <w:szCs w:val="16"/>
              </w:rPr>
            </w:pPr>
            <w:r w:rsidRPr="005D0593">
              <w:rPr>
                <w:rFonts w:ascii="Arial" w:hAnsi="Arial" w:cs="Arial"/>
                <w:color w:val="000000"/>
                <w:sz w:val="16"/>
                <w:szCs w:val="16"/>
              </w:rPr>
              <w:t xml:space="preserve">$2,734,000 </w:t>
            </w:r>
          </w:p>
        </w:tc>
      </w:tr>
      <w:tr w14:paraId="4D56F538" w14:textId="77777777" w:rsidTr="003E7F81">
        <w:tblPrEx>
          <w:tblW w:w="9820" w:type="dxa"/>
          <w:tblLook w:val="04A0"/>
        </w:tblPrEx>
        <w:trPr>
          <w:trHeight w:val="300"/>
        </w:trPr>
        <w:tc>
          <w:tcPr>
            <w:tcW w:w="3526" w:type="dxa"/>
            <w:tcBorders>
              <w:top w:val="nil"/>
              <w:left w:val="single" w:sz="8" w:space="0" w:color="auto"/>
              <w:bottom w:val="nil"/>
              <w:right w:val="single" w:sz="4" w:space="0" w:color="auto"/>
            </w:tcBorders>
            <w:shd w:val="clear" w:color="000000" w:fill="F2F2F2"/>
            <w:vAlign w:val="bottom"/>
            <w:hideMark/>
          </w:tcPr>
          <w:p w:rsidR="00A945E1" w:rsidRPr="005D0593" w:rsidP="003E7F81" w14:paraId="46FF2FB9" w14:textId="77777777">
            <w:pPr>
              <w:ind w:firstLine="320" w:firstLineChars="200"/>
              <w:rPr>
                <w:rFonts w:ascii="Arial" w:hAnsi="Arial" w:cs="Arial"/>
                <w:sz w:val="16"/>
                <w:szCs w:val="16"/>
              </w:rPr>
            </w:pPr>
            <w:r w:rsidRPr="005D0593">
              <w:rPr>
                <w:rFonts w:ascii="Arial" w:hAnsi="Arial" w:cs="Arial"/>
                <w:sz w:val="16"/>
                <w:szCs w:val="16"/>
              </w:rPr>
              <w:t>Total Respondent Costs</w:t>
            </w:r>
          </w:p>
        </w:tc>
        <w:tc>
          <w:tcPr>
            <w:tcW w:w="1215" w:type="dxa"/>
            <w:tcBorders>
              <w:top w:val="nil"/>
              <w:left w:val="single" w:sz="4" w:space="0" w:color="auto"/>
              <w:bottom w:val="nil"/>
              <w:right w:val="single" w:sz="4" w:space="0" w:color="auto"/>
            </w:tcBorders>
            <w:shd w:val="clear" w:color="auto" w:fill="auto"/>
            <w:noWrap/>
            <w:vAlign w:val="bottom"/>
            <w:hideMark/>
          </w:tcPr>
          <w:p w:rsidR="00A945E1" w:rsidRPr="005D0593" w:rsidP="003E7F81" w14:paraId="46D6AAC4" w14:textId="77777777">
            <w:pPr>
              <w:jc w:val="center"/>
              <w:rPr>
                <w:rFonts w:ascii="Arial" w:hAnsi="Arial" w:cs="Arial"/>
                <w:sz w:val="16"/>
                <w:szCs w:val="16"/>
              </w:rPr>
            </w:pPr>
            <w:r w:rsidRPr="005D0593">
              <w:rPr>
                <w:rFonts w:ascii="Arial" w:hAnsi="Arial" w:cs="Arial"/>
                <w:color w:val="000000"/>
                <w:sz w:val="16"/>
                <w:szCs w:val="16"/>
              </w:rPr>
              <w:t xml:space="preserve">$5,418,494 </w:t>
            </w:r>
          </w:p>
        </w:tc>
        <w:tc>
          <w:tcPr>
            <w:tcW w:w="1215" w:type="dxa"/>
            <w:tcBorders>
              <w:top w:val="nil"/>
              <w:left w:val="nil"/>
              <w:bottom w:val="nil"/>
              <w:right w:val="single" w:sz="4" w:space="0" w:color="auto"/>
            </w:tcBorders>
            <w:shd w:val="clear" w:color="auto" w:fill="auto"/>
            <w:noWrap/>
            <w:vAlign w:val="bottom"/>
            <w:hideMark/>
          </w:tcPr>
          <w:p w:rsidR="00A945E1" w:rsidRPr="005D0593" w:rsidP="003E7F81" w14:paraId="346203E2" w14:textId="77777777">
            <w:pPr>
              <w:jc w:val="center"/>
              <w:rPr>
                <w:rFonts w:ascii="Arial" w:hAnsi="Arial" w:cs="Arial"/>
                <w:sz w:val="16"/>
                <w:szCs w:val="16"/>
              </w:rPr>
            </w:pPr>
            <w:r w:rsidRPr="005D0593">
              <w:rPr>
                <w:rFonts w:ascii="Arial" w:hAnsi="Arial" w:cs="Arial"/>
                <w:color w:val="000000"/>
                <w:sz w:val="16"/>
                <w:szCs w:val="16"/>
              </w:rPr>
              <w:t xml:space="preserve">$5,405,019 </w:t>
            </w:r>
          </w:p>
        </w:tc>
        <w:tc>
          <w:tcPr>
            <w:tcW w:w="1295" w:type="dxa"/>
            <w:tcBorders>
              <w:top w:val="nil"/>
              <w:left w:val="nil"/>
              <w:bottom w:val="nil"/>
              <w:right w:val="single" w:sz="4" w:space="0" w:color="auto"/>
            </w:tcBorders>
            <w:shd w:val="clear" w:color="auto" w:fill="auto"/>
            <w:noWrap/>
            <w:vAlign w:val="bottom"/>
            <w:hideMark/>
          </w:tcPr>
          <w:p w:rsidR="00A945E1" w:rsidRPr="005D0593" w:rsidP="003E7F81" w14:paraId="2F3BD769" w14:textId="77777777">
            <w:pPr>
              <w:jc w:val="center"/>
              <w:rPr>
                <w:rFonts w:ascii="Arial" w:hAnsi="Arial" w:cs="Arial"/>
                <w:sz w:val="16"/>
                <w:szCs w:val="16"/>
              </w:rPr>
            </w:pPr>
            <w:r w:rsidRPr="005D0593">
              <w:rPr>
                <w:rFonts w:ascii="Arial" w:hAnsi="Arial" w:cs="Arial"/>
                <w:color w:val="000000"/>
                <w:sz w:val="16"/>
                <w:szCs w:val="16"/>
              </w:rPr>
              <w:t xml:space="preserve">$5,406,642 </w:t>
            </w:r>
          </w:p>
        </w:tc>
        <w:tc>
          <w:tcPr>
            <w:tcW w:w="1272" w:type="dxa"/>
            <w:tcBorders>
              <w:top w:val="nil"/>
              <w:left w:val="nil"/>
              <w:bottom w:val="nil"/>
              <w:right w:val="single" w:sz="4" w:space="0" w:color="auto"/>
            </w:tcBorders>
            <w:shd w:val="clear" w:color="auto" w:fill="auto"/>
            <w:noWrap/>
            <w:vAlign w:val="bottom"/>
            <w:hideMark/>
          </w:tcPr>
          <w:p w:rsidR="00A945E1" w:rsidRPr="005D0593" w:rsidP="003E7F81" w14:paraId="25C3969C" w14:textId="77777777">
            <w:pPr>
              <w:jc w:val="center"/>
              <w:rPr>
                <w:rFonts w:ascii="Arial" w:hAnsi="Arial" w:cs="Arial"/>
                <w:sz w:val="16"/>
                <w:szCs w:val="16"/>
              </w:rPr>
            </w:pPr>
            <w:r w:rsidRPr="005D0593">
              <w:rPr>
                <w:rFonts w:ascii="Arial" w:hAnsi="Arial" w:cs="Arial"/>
                <w:color w:val="000000"/>
                <w:sz w:val="16"/>
                <w:szCs w:val="16"/>
              </w:rPr>
              <w:t xml:space="preserve">$16,230,155 </w:t>
            </w:r>
          </w:p>
        </w:tc>
        <w:tc>
          <w:tcPr>
            <w:tcW w:w="1297" w:type="dxa"/>
            <w:tcBorders>
              <w:top w:val="nil"/>
              <w:left w:val="single" w:sz="4" w:space="0" w:color="auto"/>
              <w:bottom w:val="nil"/>
              <w:right w:val="single" w:sz="8" w:space="0" w:color="auto"/>
            </w:tcBorders>
            <w:shd w:val="clear" w:color="auto" w:fill="auto"/>
            <w:noWrap/>
            <w:vAlign w:val="bottom"/>
            <w:hideMark/>
          </w:tcPr>
          <w:p w:rsidR="00A945E1" w:rsidRPr="005D0593" w:rsidP="003E7F81" w14:paraId="5B75B2BD" w14:textId="77777777">
            <w:pPr>
              <w:jc w:val="center"/>
              <w:rPr>
                <w:rFonts w:ascii="Arial" w:hAnsi="Arial" w:cs="Arial"/>
                <w:sz w:val="16"/>
                <w:szCs w:val="16"/>
              </w:rPr>
            </w:pPr>
            <w:r w:rsidRPr="005D0593">
              <w:rPr>
                <w:rFonts w:ascii="Arial" w:hAnsi="Arial" w:cs="Arial"/>
                <w:color w:val="000000"/>
                <w:sz w:val="16"/>
                <w:szCs w:val="16"/>
              </w:rPr>
              <w:t xml:space="preserve">$5,410,000 </w:t>
            </w:r>
          </w:p>
        </w:tc>
      </w:tr>
      <w:tr w14:paraId="755C3873" w14:textId="77777777" w:rsidTr="003E7F81">
        <w:tblPrEx>
          <w:tblW w:w="9820" w:type="dxa"/>
          <w:tblLook w:val="04A0"/>
        </w:tblPrEx>
        <w:trPr>
          <w:trHeight w:val="300"/>
        </w:trPr>
        <w:tc>
          <w:tcPr>
            <w:tcW w:w="3526" w:type="dxa"/>
            <w:tcBorders>
              <w:top w:val="nil"/>
              <w:left w:val="single" w:sz="8" w:space="0" w:color="auto"/>
              <w:bottom w:val="nil"/>
              <w:right w:val="single" w:sz="4" w:space="0" w:color="auto"/>
            </w:tcBorders>
            <w:shd w:val="clear" w:color="000000" w:fill="F2F2F2"/>
            <w:noWrap/>
            <w:vAlign w:val="bottom"/>
            <w:hideMark/>
          </w:tcPr>
          <w:p w:rsidR="00A945E1" w:rsidRPr="005D0593" w:rsidP="003E7F81" w14:paraId="1C0A4927" w14:textId="77777777">
            <w:pPr>
              <w:rPr>
                <w:rFonts w:ascii="Arial" w:hAnsi="Arial" w:cs="Arial"/>
                <w:sz w:val="16"/>
                <w:szCs w:val="16"/>
              </w:rPr>
            </w:pPr>
            <w:r w:rsidRPr="005D0593">
              <w:rPr>
                <w:rFonts w:ascii="Arial" w:hAnsi="Arial" w:cs="Arial"/>
                <w:sz w:val="16"/>
                <w:szCs w:val="16"/>
              </w:rPr>
              <w:t>Agency Costs</w:t>
            </w:r>
          </w:p>
        </w:tc>
        <w:tc>
          <w:tcPr>
            <w:tcW w:w="1215" w:type="dxa"/>
            <w:tcBorders>
              <w:top w:val="nil"/>
              <w:left w:val="single" w:sz="4" w:space="0" w:color="auto"/>
              <w:bottom w:val="nil"/>
              <w:right w:val="single" w:sz="4" w:space="0" w:color="auto"/>
            </w:tcBorders>
            <w:shd w:val="clear" w:color="auto" w:fill="auto"/>
            <w:noWrap/>
            <w:vAlign w:val="bottom"/>
            <w:hideMark/>
          </w:tcPr>
          <w:p w:rsidR="00A945E1" w:rsidRPr="005D0593" w:rsidP="003E7F81" w14:paraId="51A50E8C" w14:textId="77777777">
            <w:pPr>
              <w:jc w:val="center"/>
              <w:rPr>
                <w:rFonts w:ascii="Arial" w:hAnsi="Arial" w:cs="Arial"/>
                <w:sz w:val="16"/>
                <w:szCs w:val="16"/>
              </w:rPr>
            </w:pPr>
            <w:r w:rsidRPr="005D0593">
              <w:rPr>
                <w:rFonts w:ascii="Arial" w:hAnsi="Arial" w:cs="Arial"/>
                <w:color w:val="000000"/>
                <w:sz w:val="16"/>
                <w:szCs w:val="16"/>
              </w:rPr>
              <w:t> </w:t>
            </w:r>
          </w:p>
        </w:tc>
        <w:tc>
          <w:tcPr>
            <w:tcW w:w="1215" w:type="dxa"/>
            <w:tcBorders>
              <w:top w:val="nil"/>
              <w:left w:val="nil"/>
              <w:bottom w:val="nil"/>
              <w:right w:val="single" w:sz="4" w:space="0" w:color="auto"/>
            </w:tcBorders>
            <w:shd w:val="clear" w:color="auto" w:fill="auto"/>
            <w:noWrap/>
            <w:vAlign w:val="bottom"/>
            <w:hideMark/>
          </w:tcPr>
          <w:p w:rsidR="00A945E1" w:rsidRPr="005D0593" w:rsidP="003E7F81" w14:paraId="442BDF3C" w14:textId="77777777">
            <w:pPr>
              <w:jc w:val="center"/>
              <w:rPr>
                <w:rFonts w:ascii="Arial" w:hAnsi="Arial" w:cs="Arial"/>
                <w:sz w:val="16"/>
                <w:szCs w:val="16"/>
              </w:rPr>
            </w:pPr>
            <w:r w:rsidRPr="005D0593">
              <w:rPr>
                <w:rFonts w:ascii="Arial" w:hAnsi="Arial" w:cs="Arial"/>
                <w:color w:val="000000"/>
                <w:sz w:val="16"/>
                <w:szCs w:val="16"/>
              </w:rPr>
              <w:t> </w:t>
            </w:r>
          </w:p>
        </w:tc>
        <w:tc>
          <w:tcPr>
            <w:tcW w:w="1295" w:type="dxa"/>
            <w:tcBorders>
              <w:top w:val="nil"/>
              <w:left w:val="nil"/>
              <w:bottom w:val="nil"/>
              <w:right w:val="single" w:sz="4" w:space="0" w:color="auto"/>
            </w:tcBorders>
            <w:shd w:val="clear" w:color="auto" w:fill="auto"/>
            <w:noWrap/>
            <w:vAlign w:val="bottom"/>
            <w:hideMark/>
          </w:tcPr>
          <w:p w:rsidR="00A945E1" w:rsidRPr="005D0593" w:rsidP="003E7F81" w14:paraId="621FDA7C" w14:textId="77777777">
            <w:pPr>
              <w:jc w:val="center"/>
              <w:rPr>
                <w:rFonts w:ascii="Arial" w:hAnsi="Arial" w:cs="Arial"/>
                <w:sz w:val="16"/>
                <w:szCs w:val="16"/>
              </w:rPr>
            </w:pPr>
            <w:r w:rsidRPr="005D0593">
              <w:rPr>
                <w:rFonts w:ascii="Arial" w:hAnsi="Arial" w:cs="Arial"/>
                <w:color w:val="000000"/>
                <w:sz w:val="16"/>
                <w:szCs w:val="16"/>
              </w:rPr>
              <w:t> </w:t>
            </w:r>
          </w:p>
        </w:tc>
        <w:tc>
          <w:tcPr>
            <w:tcW w:w="1272" w:type="dxa"/>
            <w:tcBorders>
              <w:top w:val="nil"/>
              <w:left w:val="nil"/>
              <w:bottom w:val="nil"/>
              <w:right w:val="single" w:sz="4" w:space="0" w:color="auto"/>
            </w:tcBorders>
            <w:shd w:val="clear" w:color="auto" w:fill="auto"/>
            <w:noWrap/>
            <w:vAlign w:val="bottom"/>
            <w:hideMark/>
          </w:tcPr>
          <w:p w:rsidR="00A945E1" w:rsidRPr="005D0593" w:rsidP="003E7F81" w14:paraId="7B0DB124" w14:textId="77777777">
            <w:pPr>
              <w:rPr>
                <w:rFonts w:ascii="Arial" w:hAnsi="Arial" w:cs="Arial"/>
                <w:sz w:val="16"/>
                <w:szCs w:val="16"/>
              </w:rPr>
            </w:pPr>
            <w:r w:rsidRPr="005D0593">
              <w:rPr>
                <w:rFonts w:ascii="Arial" w:hAnsi="Arial" w:cs="Arial"/>
                <w:color w:val="000000"/>
                <w:sz w:val="16"/>
                <w:szCs w:val="16"/>
              </w:rPr>
              <w:t> </w:t>
            </w:r>
          </w:p>
        </w:tc>
        <w:tc>
          <w:tcPr>
            <w:tcW w:w="1297" w:type="dxa"/>
            <w:tcBorders>
              <w:top w:val="nil"/>
              <w:left w:val="single" w:sz="4" w:space="0" w:color="auto"/>
              <w:bottom w:val="nil"/>
              <w:right w:val="single" w:sz="8" w:space="0" w:color="auto"/>
            </w:tcBorders>
            <w:shd w:val="clear" w:color="auto" w:fill="auto"/>
            <w:noWrap/>
            <w:vAlign w:val="bottom"/>
            <w:hideMark/>
          </w:tcPr>
          <w:p w:rsidR="00A945E1" w:rsidRPr="005D0593" w:rsidP="003E7F81" w14:paraId="5751BA12" w14:textId="77777777">
            <w:pPr>
              <w:rPr>
                <w:rFonts w:ascii="Arial" w:hAnsi="Arial" w:cs="Arial"/>
                <w:sz w:val="16"/>
                <w:szCs w:val="16"/>
              </w:rPr>
            </w:pPr>
            <w:r w:rsidRPr="005D0593">
              <w:rPr>
                <w:rFonts w:ascii="Arial" w:hAnsi="Arial" w:cs="Arial"/>
                <w:color w:val="000000"/>
                <w:sz w:val="16"/>
                <w:szCs w:val="16"/>
              </w:rPr>
              <w:t> </w:t>
            </w:r>
          </w:p>
        </w:tc>
      </w:tr>
      <w:tr w14:paraId="456D18BB" w14:textId="77777777" w:rsidTr="003E7F81">
        <w:tblPrEx>
          <w:tblW w:w="9820" w:type="dxa"/>
          <w:tblLook w:val="04A0"/>
        </w:tblPrEx>
        <w:trPr>
          <w:trHeight w:val="300"/>
        </w:trPr>
        <w:tc>
          <w:tcPr>
            <w:tcW w:w="3526" w:type="dxa"/>
            <w:tcBorders>
              <w:top w:val="nil"/>
              <w:left w:val="single" w:sz="8" w:space="0" w:color="auto"/>
              <w:bottom w:val="nil"/>
              <w:right w:val="single" w:sz="4" w:space="0" w:color="auto"/>
            </w:tcBorders>
            <w:shd w:val="clear" w:color="000000" w:fill="F2F2F2"/>
            <w:noWrap/>
            <w:vAlign w:val="bottom"/>
            <w:hideMark/>
          </w:tcPr>
          <w:p w:rsidR="00A945E1" w:rsidRPr="005D0593" w:rsidP="003E7F81" w14:paraId="6DEE93E7" w14:textId="77777777">
            <w:pPr>
              <w:ind w:firstLine="320" w:firstLineChars="200"/>
              <w:rPr>
                <w:rFonts w:ascii="Arial" w:hAnsi="Arial" w:cs="Arial"/>
                <w:sz w:val="16"/>
                <w:szCs w:val="16"/>
              </w:rPr>
            </w:pPr>
            <w:r w:rsidRPr="005D0593">
              <w:rPr>
                <w:rFonts w:ascii="Arial" w:hAnsi="Arial" w:cs="Arial"/>
                <w:sz w:val="16"/>
                <w:szCs w:val="16"/>
              </w:rPr>
              <w:t xml:space="preserve">Total Agency Burden Hours </w:t>
            </w:r>
          </w:p>
        </w:tc>
        <w:tc>
          <w:tcPr>
            <w:tcW w:w="1215" w:type="dxa"/>
            <w:tcBorders>
              <w:top w:val="nil"/>
              <w:left w:val="single" w:sz="4" w:space="0" w:color="auto"/>
              <w:bottom w:val="nil"/>
              <w:right w:val="single" w:sz="4" w:space="0" w:color="auto"/>
            </w:tcBorders>
            <w:shd w:val="clear" w:color="auto" w:fill="auto"/>
            <w:noWrap/>
            <w:vAlign w:val="bottom"/>
            <w:hideMark/>
          </w:tcPr>
          <w:p w:rsidR="00A945E1" w:rsidRPr="005D0593" w:rsidP="003E7F81" w14:paraId="74ACF622" w14:textId="77777777">
            <w:pPr>
              <w:jc w:val="center"/>
              <w:rPr>
                <w:rFonts w:ascii="Arial" w:hAnsi="Arial" w:cs="Arial"/>
                <w:sz w:val="16"/>
                <w:szCs w:val="16"/>
              </w:rPr>
            </w:pPr>
            <w:r w:rsidRPr="005D0593">
              <w:rPr>
                <w:rFonts w:ascii="Arial" w:hAnsi="Arial" w:cs="Arial"/>
                <w:color w:val="000000"/>
                <w:sz w:val="16"/>
                <w:szCs w:val="16"/>
              </w:rPr>
              <w:t xml:space="preserve">409 </w:t>
            </w:r>
          </w:p>
        </w:tc>
        <w:tc>
          <w:tcPr>
            <w:tcW w:w="1215" w:type="dxa"/>
            <w:tcBorders>
              <w:top w:val="nil"/>
              <w:left w:val="nil"/>
              <w:bottom w:val="nil"/>
              <w:right w:val="single" w:sz="4" w:space="0" w:color="auto"/>
            </w:tcBorders>
            <w:shd w:val="clear" w:color="auto" w:fill="auto"/>
            <w:noWrap/>
            <w:vAlign w:val="bottom"/>
            <w:hideMark/>
          </w:tcPr>
          <w:p w:rsidR="00A945E1" w:rsidRPr="005D0593" w:rsidP="003E7F81" w14:paraId="2A6B61E0" w14:textId="77777777">
            <w:pPr>
              <w:jc w:val="center"/>
              <w:rPr>
                <w:rFonts w:ascii="Arial" w:hAnsi="Arial" w:cs="Arial"/>
                <w:sz w:val="16"/>
                <w:szCs w:val="16"/>
              </w:rPr>
            </w:pPr>
            <w:r w:rsidRPr="005D0593">
              <w:rPr>
                <w:rFonts w:ascii="Arial" w:hAnsi="Arial" w:cs="Arial"/>
                <w:color w:val="000000"/>
                <w:sz w:val="16"/>
                <w:szCs w:val="16"/>
              </w:rPr>
              <w:t xml:space="preserve">409 </w:t>
            </w:r>
          </w:p>
        </w:tc>
        <w:tc>
          <w:tcPr>
            <w:tcW w:w="1295" w:type="dxa"/>
            <w:tcBorders>
              <w:top w:val="nil"/>
              <w:left w:val="nil"/>
              <w:bottom w:val="nil"/>
              <w:right w:val="single" w:sz="4" w:space="0" w:color="auto"/>
            </w:tcBorders>
            <w:shd w:val="clear" w:color="auto" w:fill="auto"/>
            <w:noWrap/>
            <w:vAlign w:val="bottom"/>
            <w:hideMark/>
          </w:tcPr>
          <w:p w:rsidR="00A945E1" w:rsidRPr="005D0593" w:rsidP="003E7F81" w14:paraId="74969B06" w14:textId="77777777">
            <w:pPr>
              <w:jc w:val="center"/>
              <w:rPr>
                <w:rFonts w:ascii="Arial" w:hAnsi="Arial" w:cs="Arial"/>
                <w:sz w:val="16"/>
                <w:szCs w:val="16"/>
              </w:rPr>
            </w:pPr>
            <w:r w:rsidRPr="005D0593">
              <w:rPr>
                <w:rFonts w:ascii="Arial" w:hAnsi="Arial" w:cs="Arial"/>
                <w:color w:val="000000"/>
                <w:sz w:val="16"/>
                <w:szCs w:val="16"/>
              </w:rPr>
              <w:t xml:space="preserve">411 </w:t>
            </w:r>
          </w:p>
        </w:tc>
        <w:tc>
          <w:tcPr>
            <w:tcW w:w="1272" w:type="dxa"/>
            <w:tcBorders>
              <w:top w:val="nil"/>
              <w:left w:val="nil"/>
              <w:bottom w:val="nil"/>
              <w:right w:val="single" w:sz="4" w:space="0" w:color="auto"/>
            </w:tcBorders>
            <w:shd w:val="clear" w:color="auto" w:fill="auto"/>
            <w:noWrap/>
            <w:vAlign w:val="bottom"/>
            <w:hideMark/>
          </w:tcPr>
          <w:p w:rsidR="00A945E1" w:rsidRPr="005D0593" w:rsidP="003E7F81" w14:paraId="50C62E6A" w14:textId="77777777">
            <w:pPr>
              <w:jc w:val="center"/>
              <w:rPr>
                <w:rFonts w:ascii="Arial" w:hAnsi="Arial" w:cs="Arial"/>
                <w:sz w:val="16"/>
                <w:szCs w:val="16"/>
              </w:rPr>
            </w:pPr>
            <w:r w:rsidRPr="005D0593">
              <w:rPr>
                <w:rFonts w:ascii="Arial" w:hAnsi="Arial" w:cs="Arial"/>
                <w:color w:val="000000"/>
                <w:sz w:val="16"/>
                <w:szCs w:val="16"/>
              </w:rPr>
              <w:t xml:space="preserve">1,229 </w:t>
            </w:r>
          </w:p>
        </w:tc>
        <w:tc>
          <w:tcPr>
            <w:tcW w:w="1297" w:type="dxa"/>
            <w:tcBorders>
              <w:top w:val="nil"/>
              <w:left w:val="single" w:sz="4" w:space="0" w:color="auto"/>
              <w:bottom w:val="nil"/>
              <w:right w:val="single" w:sz="8" w:space="0" w:color="auto"/>
            </w:tcBorders>
            <w:shd w:val="clear" w:color="auto" w:fill="auto"/>
            <w:noWrap/>
            <w:vAlign w:val="bottom"/>
            <w:hideMark/>
          </w:tcPr>
          <w:p w:rsidR="00A945E1" w:rsidRPr="005D0593" w:rsidP="003E7F81" w14:paraId="5DEF6E73" w14:textId="77777777">
            <w:pPr>
              <w:jc w:val="center"/>
              <w:rPr>
                <w:rFonts w:ascii="Arial" w:hAnsi="Arial" w:cs="Arial"/>
                <w:sz w:val="16"/>
                <w:szCs w:val="16"/>
              </w:rPr>
            </w:pPr>
            <w:r w:rsidRPr="005D0593">
              <w:rPr>
                <w:rFonts w:ascii="Arial" w:hAnsi="Arial" w:cs="Arial"/>
                <w:color w:val="000000"/>
                <w:sz w:val="16"/>
                <w:szCs w:val="16"/>
              </w:rPr>
              <w:t xml:space="preserve">410 </w:t>
            </w:r>
          </w:p>
        </w:tc>
      </w:tr>
      <w:tr w14:paraId="227B691D" w14:textId="77777777" w:rsidTr="003E7F81">
        <w:tblPrEx>
          <w:tblW w:w="9820" w:type="dxa"/>
          <w:tblLook w:val="04A0"/>
        </w:tblPrEx>
        <w:trPr>
          <w:trHeight w:val="300"/>
        </w:trPr>
        <w:tc>
          <w:tcPr>
            <w:tcW w:w="3526" w:type="dxa"/>
            <w:tcBorders>
              <w:top w:val="nil"/>
              <w:left w:val="single" w:sz="8" w:space="0" w:color="auto"/>
              <w:bottom w:val="nil"/>
              <w:right w:val="single" w:sz="4" w:space="0" w:color="auto"/>
            </w:tcBorders>
            <w:shd w:val="clear" w:color="000000" w:fill="F2F2F2"/>
            <w:noWrap/>
            <w:vAlign w:val="bottom"/>
            <w:hideMark/>
          </w:tcPr>
          <w:p w:rsidR="00A945E1" w:rsidRPr="005D0593" w:rsidP="003E7F81" w14:paraId="055A8771" w14:textId="77777777">
            <w:pPr>
              <w:ind w:firstLine="320" w:firstLineChars="200"/>
              <w:rPr>
                <w:rFonts w:ascii="Arial" w:hAnsi="Arial" w:cs="Arial"/>
                <w:sz w:val="16"/>
                <w:szCs w:val="16"/>
              </w:rPr>
            </w:pPr>
            <w:r w:rsidRPr="005D0593">
              <w:rPr>
                <w:rFonts w:ascii="Arial" w:hAnsi="Arial" w:cs="Arial"/>
                <w:sz w:val="16"/>
                <w:szCs w:val="16"/>
              </w:rPr>
              <w:t>Total Agency Labor Costs</w:t>
            </w:r>
          </w:p>
        </w:tc>
        <w:tc>
          <w:tcPr>
            <w:tcW w:w="1215" w:type="dxa"/>
            <w:tcBorders>
              <w:top w:val="nil"/>
              <w:left w:val="single" w:sz="4" w:space="0" w:color="auto"/>
              <w:bottom w:val="nil"/>
              <w:right w:val="single" w:sz="4" w:space="0" w:color="auto"/>
            </w:tcBorders>
            <w:shd w:val="clear" w:color="auto" w:fill="auto"/>
            <w:noWrap/>
            <w:vAlign w:val="bottom"/>
            <w:hideMark/>
          </w:tcPr>
          <w:p w:rsidR="00A945E1" w:rsidRPr="005D0593" w:rsidP="003E7F81" w14:paraId="7D0AB4CB" w14:textId="77777777">
            <w:pPr>
              <w:jc w:val="center"/>
              <w:rPr>
                <w:rFonts w:ascii="Arial" w:hAnsi="Arial" w:cs="Arial"/>
                <w:sz w:val="16"/>
                <w:szCs w:val="16"/>
              </w:rPr>
            </w:pPr>
            <w:r w:rsidRPr="005D0593">
              <w:rPr>
                <w:rFonts w:ascii="Arial" w:hAnsi="Arial" w:cs="Arial"/>
                <w:color w:val="000000"/>
                <w:sz w:val="16"/>
                <w:szCs w:val="16"/>
              </w:rPr>
              <w:t xml:space="preserve">$24,915 </w:t>
            </w:r>
          </w:p>
        </w:tc>
        <w:tc>
          <w:tcPr>
            <w:tcW w:w="1215" w:type="dxa"/>
            <w:tcBorders>
              <w:top w:val="nil"/>
              <w:left w:val="nil"/>
              <w:bottom w:val="nil"/>
              <w:right w:val="single" w:sz="4" w:space="0" w:color="auto"/>
            </w:tcBorders>
            <w:shd w:val="clear" w:color="auto" w:fill="auto"/>
            <w:noWrap/>
            <w:vAlign w:val="bottom"/>
            <w:hideMark/>
          </w:tcPr>
          <w:p w:rsidR="00A945E1" w:rsidRPr="005D0593" w:rsidP="003E7F81" w14:paraId="1EC6B92C" w14:textId="77777777">
            <w:pPr>
              <w:jc w:val="center"/>
              <w:rPr>
                <w:rFonts w:ascii="Arial" w:hAnsi="Arial" w:cs="Arial"/>
                <w:sz w:val="16"/>
                <w:szCs w:val="16"/>
              </w:rPr>
            </w:pPr>
            <w:r w:rsidRPr="005D0593">
              <w:rPr>
                <w:rFonts w:ascii="Arial" w:hAnsi="Arial" w:cs="Arial"/>
                <w:color w:val="000000"/>
                <w:sz w:val="16"/>
                <w:szCs w:val="16"/>
              </w:rPr>
              <w:t xml:space="preserve">$24,915 </w:t>
            </w:r>
          </w:p>
        </w:tc>
        <w:tc>
          <w:tcPr>
            <w:tcW w:w="1295" w:type="dxa"/>
            <w:tcBorders>
              <w:top w:val="nil"/>
              <w:left w:val="nil"/>
              <w:bottom w:val="nil"/>
              <w:right w:val="single" w:sz="4" w:space="0" w:color="auto"/>
            </w:tcBorders>
            <w:shd w:val="clear" w:color="auto" w:fill="auto"/>
            <w:noWrap/>
            <w:vAlign w:val="bottom"/>
            <w:hideMark/>
          </w:tcPr>
          <w:p w:rsidR="00A945E1" w:rsidRPr="005D0593" w:rsidP="003E7F81" w14:paraId="48BA9657" w14:textId="77777777">
            <w:pPr>
              <w:jc w:val="center"/>
              <w:rPr>
                <w:rFonts w:ascii="Arial" w:hAnsi="Arial" w:cs="Arial"/>
                <w:sz w:val="16"/>
                <w:szCs w:val="16"/>
              </w:rPr>
            </w:pPr>
            <w:r w:rsidRPr="005D0593">
              <w:rPr>
                <w:rFonts w:ascii="Arial" w:hAnsi="Arial" w:cs="Arial"/>
                <w:color w:val="000000"/>
                <w:sz w:val="16"/>
                <w:szCs w:val="16"/>
              </w:rPr>
              <w:t xml:space="preserve">$25,051 </w:t>
            </w:r>
          </w:p>
        </w:tc>
        <w:tc>
          <w:tcPr>
            <w:tcW w:w="1272" w:type="dxa"/>
            <w:tcBorders>
              <w:top w:val="nil"/>
              <w:left w:val="nil"/>
              <w:bottom w:val="nil"/>
              <w:right w:val="single" w:sz="4" w:space="0" w:color="auto"/>
            </w:tcBorders>
            <w:shd w:val="clear" w:color="auto" w:fill="auto"/>
            <w:noWrap/>
            <w:vAlign w:val="bottom"/>
            <w:hideMark/>
          </w:tcPr>
          <w:p w:rsidR="00A945E1" w:rsidRPr="005D0593" w:rsidP="003E7F81" w14:paraId="39265AC7" w14:textId="77777777">
            <w:pPr>
              <w:jc w:val="center"/>
              <w:rPr>
                <w:rFonts w:ascii="Arial" w:hAnsi="Arial" w:cs="Arial"/>
                <w:sz w:val="16"/>
                <w:szCs w:val="16"/>
              </w:rPr>
            </w:pPr>
            <w:r w:rsidRPr="005D0593">
              <w:rPr>
                <w:rFonts w:ascii="Arial" w:hAnsi="Arial" w:cs="Arial"/>
                <w:color w:val="000000"/>
                <w:sz w:val="16"/>
                <w:szCs w:val="16"/>
              </w:rPr>
              <w:t xml:space="preserve">$74,880 </w:t>
            </w:r>
          </w:p>
        </w:tc>
        <w:tc>
          <w:tcPr>
            <w:tcW w:w="1297" w:type="dxa"/>
            <w:tcBorders>
              <w:top w:val="nil"/>
              <w:left w:val="single" w:sz="4" w:space="0" w:color="auto"/>
              <w:bottom w:val="nil"/>
              <w:right w:val="single" w:sz="8" w:space="0" w:color="auto"/>
            </w:tcBorders>
            <w:shd w:val="clear" w:color="auto" w:fill="auto"/>
            <w:noWrap/>
            <w:vAlign w:val="bottom"/>
            <w:hideMark/>
          </w:tcPr>
          <w:p w:rsidR="00A945E1" w:rsidRPr="005D0593" w:rsidP="003E7F81" w14:paraId="0F754F99" w14:textId="77777777">
            <w:pPr>
              <w:jc w:val="center"/>
              <w:rPr>
                <w:rFonts w:ascii="Arial" w:hAnsi="Arial" w:cs="Arial"/>
                <w:sz w:val="16"/>
                <w:szCs w:val="16"/>
              </w:rPr>
            </w:pPr>
            <w:r w:rsidRPr="005D0593">
              <w:rPr>
                <w:rFonts w:ascii="Arial" w:hAnsi="Arial" w:cs="Arial"/>
                <w:color w:val="000000"/>
                <w:sz w:val="16"/>
                <w:szCs w:val="16"/>
              </w:rPr>
              <w:t xml:space="preserve">$24,960 </w:t>
            </w:r>
          </w:p>
        </w:tc>
      </w:tr>
      <w:tr w14:paraId="49AC9817" w14:textId="77777777" w:rsidTr="003E7F81">
        <w:tblPrEx>
          <w:tblW w:w="9820" w:type="dxa"/>
          <w:tblLook w:val="04A0"/>
        </w:tblPrEx>
        <w:trPr>
          <w:trHeight w:val="465"/>
        </w:trPr>
        <w:tc>
          <w:tcPr>
            <w:tcW w:w="3526" w:type="dxa"/>
            <w:tcBorders>
              <w:top w:val="nil"/>
              <w:left w:val="single" w:sz="8" w:space="0" w:color="auto"/>
              <w:bottom w:val="nil"/>
              <w:right w:val="single" w:sz="4" w:space="0" w:color="auto"/>
            </w:tcBorders>
            <w:shd w:val="clear" w:color="000000" w:fill="F2F2F2"/>
            <w:vAlign w:val="bottom"/>
            <w:hideMark/>
          </w:tcPr>
          <w:p w:rsidR="00A945E1" w:rsidRPr="005D0593" w:rsidP="003E7F81" w14:paraId="737C50C7" w14:textId="77777777">
            <w:pPr>
              <w:rPr>
                <w:rFonts w:ascii="Arial" w:hAnsi="Arial" w:cs="Arial"/>
                <w:sz w:val="16"/>
                <w:szCs w:val="16"/>
              </w:rPr>
            </w:pPr>
            <w:r w:rsidRPr="005D0593">
              <w:rPr>
                <w:rFonts w:ascii="Arial" w:hAnsi="Arial" w:cs="Arial"/>
                <w:sz w:val="16"/>
                <w:szCs w:val="16"/>
              </w:rPr>
              <w:t>Total Burden Hours (Respondents + Agency)</w:t>
            </w:r>
          </w:p>
        </w:tc>
        <w:tc>
          <w:tcPr>
            <w:tcW w:w="1215" w:type="dxa"/>
            <w:tcBorders>
              <w:top w:val="nil"/>
              <w:left w:val="single" w:sz="4" w:space="0" w:color="auto"/>
              <w:bottom w:val="nil"/>
              <w:right w:val="single" w:sz="4" w:space="0" w:color="auto"/>
            </w:tcBorders>
            <w:shd w:val="clear" w:color="auto" w:fill="auto"/>
            <w:noWrap/>
            <w:vAlign w:val="bottom"/>
            <w:hideMark/>
          </w:tcPr>
          <w:p w:rsidR="00A945E1" w:rsidRPr="005D0593" w:rsidP="003E7F81" w14:paraId="0333DAEE" w14:textId="77777777">
            <w:pPr>
              <w:jc w:val="center"/>
              <w:rPr>
                <w:rFonts w:ascii="Arial" w:hAnsi="Arial" w:cs="Arial"/>
                <w:sz w:val="16"/>
                <w:szCs w:val="16"/>
              </w:rPr>
            </w:pPr>
            <w:r w:rsidRPr="005D0593">
              <w:rPr>
                <w:rFonts w:ascii="Arial" w:hAnsi="Arial" w:cs="Arial"/>
                <w:color w:val="000000"/>
                <w:sz w:val="16"/>
                <w:szCs w:val="16"/>
              </w:rPr>
              <w:t xml:space="preserve">26,308 </w:t>
            </w:r>
          </w:p>
        </w:tc>
        <w:tc>
          <w:tcPr>
            <w:tcW w:w="1215" w:type="dxa"/>
            <w:tcBorders>
              <w:top w:val="nil"/>
              <w:left w:val="nil"/>
              <w:bottom w:val="nil"/>
              <w:right w:val="single" w:sz="4" w:space="0" w:color="auto"/>
            </w:tcBorders>
            <w:shd w:val="clear" w:color="auto" w:fill="auto"/>
            <w:noWrap/>
            <w:vAlign w:val="bottom"/>
            <w:hideMark/>
          </w:tcPr>
          <w:p w:rsidR="00A945E1" w:rsidRPr="005D0593" w:rsidP="003E7F81" w14:paraId="7762A104" w14:textId="77777777">
            <w:pPr>
              <w:jc w:val="center"/>
              <w:rPr>
                <w:rFonts w:ascii="Arial" w:hAnsi="Arial" w:cs="Arial"/>
                <w:sz w:val="16"/>
                <w:szCs w:val="16"/>
              </w:rPr>
            </w:pPr>
            <w:r w:rsidRPr="005D0593">
              <w:rPr>
                <w:rFonts w:ascii="Arial" w:hAnsi="Arial" w:cs="Arial"/>
                <w:color w:val="000000"/>
                <w:sz w:val="16"/>
                <w:szCs w:val="16"/>
              </w:rPr>
              <w:t xml:space="preserve">25,918 </w:t>
            </w:r>
          </w:p>
        </w:tc>
        <w:tc>
          <w:tcPr>
            <w:tcW w:w="1295" w:type="dxa"/>
            <w:tcBorders>
              <w:top w:val="nil"/>
              <w:left w:val="nil"/>
              <w:bottom w:val="nil"/>
              <w:right w:val="single" w:sz="4" w:space="0" w:color="auto"/>
            </w:tcBorders>
            <w:shd w:val="clear" w:color="auto" w:fill="auto"/>
            <w:noWrap/>
            <w:vAlign w:val="bottom"/>
            <w:hideMark/>
          </w:tcPr>
          <w:p w:rsidR="00A945E1" w:rsidRPr="005D0593" w:rsidP="003E7F81" w14:paraId="1DC81E61" w14:textId="77777777">
            <w:pPr>
              <w:jc w:val="center"/>
              <w:rPr>
                <w:rFonts w:ascii="Arial" w:hAnsi="Arial" w:cs="Arial"/>
                <w:sz w:val="16"/>
                <w:szCs w:val="16"/>
              </w:rPr>
            </w:pPr>
            <w:r w:rsidRPr="005D0593">
              <w:rPr>
                <w:rFonts w:ascii="Arial" w:hAnsi="Arial" w:cs="Arial"/>
                <w:color w:val="000000"/>
                <w:sz w:val="16"/>
                <w:szCs w:val="16"/>
              </w:rPr>
              <w:t xml:space="preserve">25,942 </w:t>
            </w:r>
          </w:p>
        </w:tc>
        <w:tc>
          <w:tcPr>
            <w:tcW w:w="1272" w:type="dxa"/>
            <w:tcBorders>
              <w:top w:val="nil"/>
              <w:left w:val="nil"/>
              <w:bottom w:val="nil"/>
              <w:right w:val="single" w:sz="4" w:space="0" w:color="auto"/>
            </w:tcBorders>
            <w:shd w:val="clear" w:color="auto" w:fill="auto"/>
            <w:noWrap/>
            <w:vAlign w:val="bottom"/>
            <w:hideMark/>
          </w:tcPr>
          <w:p w:rsidR="00A945E1" w:rsidRPr="005D0593" w:rsidP="003E7F81" w14:paraId="21422676" w14:textId="77777777">
            <w:pPr>
              <w:jc w:val="center"/>
              <w:rPr>
                <w:rFonts w:ascii="Arial" w:hAnsi="Arial" w:cs="Arial"/>
                <w:sz w:val="16"/>
                <w:szCs w:val="16"/>
              </w:rPr>
            </w:pPr>
            <w:r w:rsidRPr="005D0593">
              <w:rPr>
                <w:rFonts w:ascii="Arial" w:hAnsi="Arial" w:cs="Arial"/>
                <w:color w:val="000000"/>
                <w:sz w:val="16"/>
                <w:szCs w:val="16"/>
              </w:rPr>
              <w:t xml:space="preserve">78,169 </w:t>
            </w:r>
          </w:p>
        </w:tc>
        <w:tc>
          <w:tcPr>
            <w:tcW w:w="1297" w:type="dxa"/>
            <w:tcBorders>
              <w:top w:val="nil"/>
              <w:left w:val="single" w:sz="4" w:space="0" w:color="auto"/>
              <w:bottom w:val="nil"/>
              <w:right w:val="single" w:sz="8" w:space="0" w:color="auto"/>
            </w:tcBorders>
            <w:shd w:val="clear" w:color="auto" w:fill="auto"/>
            <w:noWrap/>
            <w:vAlign w:val="bottom"/>
            <w:hideMark/>
          </w:tcPr>
          <w:p w:rsidR="00A945E1" w:rsidRPr="005D0593" w:rsidP="003E7F81" w14:paraId="01CA51B1" w14:textId="77777777">
            <w:pPr>
              <w:jc w:val="center"/>
              <w:rPr>
                <w:rFonts w:ascii="Arial" w:hAnsi="Arial" w:cs="Arial"/>
                <w:sz w:val="16"/>
                <w:szCs w:val="16"/>
              </w:rPr>
            </w:pPr>
            <w:r w:rsidRPr="005D0593">
              <w:rPr>
                <w:rFonts w:ascii="Arial" w:hAnsi="Arial" w:cs="Arial"/>
                <w:color w:val="000000"/>
                <w:sz w:val="16"/>
                <w:szCs w:val="16"/>
              </w:rPr>
              <w:t xml:space="preserve">26,056 </w:t>
            </w:r>
          </w:p>
        </w:tc>
      </w:tr>
      <w:tr w14:paraId="263FEFDD" w14:textId="77777777" w:rsidTr="003E7F81">
        <w:tblPrEx>
          <w:tblW w:w="9820" w:type="dxa"/>
          <w:tblLook w:val="04A0"/>
        </w:tblPrEx>
        <w:trPr>
          <w:trHeight w:val="480"/>
        </w:trPr>
        <w:tc>
          <w:tcPr>
            <w:tcW w:w="3526" w:type="dxa"/>
            <w:tcBorders>
              <w:top w:val="nil"/>
              <w:left w:val="single" w:sz="8" w:space="0" w:color="auto"/>
              <w:bottom w:val="single" w:sz="8" w:space="0" w:color="auto"/>
              <w:right w:val="single" w:sz="4" w:space="0" w:color="auto"/>
            </w:tcBorders>
            <w:shd w:val="clear" w:color="000000" w:fill="F2F2F2"/>
            <w:vAlign w:val="bottom"/>
            <w:hideMark/>
          </w:tcPr>
          <w:p w:rsidR="00A945E1" w:rsidRPr="005D0593" w:rsidP="003E7F81" w14:paraId="7D538B50" w14:textId="77777777">
            <w:pPr>
              <w:rPr>
                <w:rFonts w:ascii="Arial" w:hAnsi="Arial" w:cs="Arial"/>
                <w:sz w:val="16"/>
                <w:szCs w:val="16"/>
              </w:rPr>
            </w:pPr>
            <w:r w:rsidRPr="005D0593">
              <w:rPr>
                <w:rFonts w:ascii="Arial" w:hAnsi="Arial" w:cs="Arial"/>
                <w:sz w:val="16"/>
                <w:szCs w:val="16"/>
              </w:rPr>
              <w:t>Bottom Line Costs (Respondents + Agency)</w:t>
            </w:r>
          </w:p>
        </w:tc>
        <w:tc>
          <w:tcPr>
            <w:tcW w:w="1215" w:type="dxa"/>
            <w:tcBorders>
              <w:top w:val="nil"/>
              <w:left w:val="nil"/>
              <w:bottom w:val="single" w:sz="8" w:space="0" w:color="auto"/>
              <w:right w:val="single" w:sz="4" w:space="0" w:color="auto"/>
            </w:tcBorders>
            <w:shd w:val="clear" w:color="auto" w:fill="auto"/>
            <w:noWrap/>
            <w:vAlign w:val="bottom"/>
            <w:hideMark/>
          </w:tcPr>
          <w:p w:rsidR="00A945E1" w:rsidRPr="005D0593" w:rsidP="003E7F81" w14:paraId="09146E8E" w14:textId="77777777">
            <w:pPr>
              <w:jc w:val="center"/>
              <w:rPr>
                <w:rFonts w:ascii="Arial" w:hAnsi="Arial" w:cs="Arial"/>
                <w:sz w:val="16"/>
                <w:szCs w:val="16"/>
              </w:rPr>
            </w:pPr>
            <w:r w:rsidRPr="005D0593">
              <w:rPr>
                <w:rFonts w:ascii="Arial" w:hAnsi="Arial" w:cs="Arial"/>
                <w:color w:val="000000"/>
                <w:sz w:val="16"/>
                <w:szCs w:val="16"/>
              </w:rPr>
              <w:t xml:space="preserve">$5,443,408 </w:t>
            </w:r>
          </w:p>
        </w:tc>
        <w:tc>
          <w:tcPr>
            <w:tcW w:w="1215" w:type="dxa"/>
            <w:tcBorders>
              <w:top w:val="nil"/>
              <w:left w:val="nil"/>
              <w:bottom w:val="single" w:sz="8" w:space="0" w:color="auto"/>
              <w:right w:val="single" w:sz="4" w:space="0" w:color="auto"/>
            </w:tcBorders>
            <w:shd w:val="clear" w:color="auto" w:fill="auto"/>
            <w:noWrap/>
            <w:vAlign w:val="bottom"/>
            <w:hideMark/>
          </w:tcPr>
          <w:p w:rsidR="00A945E1" w:rsidRPr="005D0593" w:rsidP="003E7F81" w14:paraId="6FE2060A" w14:textId="77777777">
            <w:pPr>
              <w:jc w:val="center"/>
              <w:rPr>
                <w:rFonts w:ascii="Arial" w:hAnsi="Arial" w:cs="Arial"/>
                <w:sz w:val="16"/>
                <w:szCs w:val="16"/>
              </w:rPr>
            </w:pPr>
            <w:r w:rsidRPr="005D0593">
              <w:rPr>
                <w:rFonts w:ascii="Arial" w:hAnsi="Arial" w:cs="Arial"/>
                <w:color w:val="000000"/>
                <w:sz w:val="16"/>
                <w:szCs w:val="16"/>
              </w:rPr>
              <w:t xml:space="preserve">$5,429,933 </w:t>
            </w:r>
          </w:p>
        </w:tc>
        <w:tc>
          <w:tcPr>
            <w:tcW w:w="1295" w:type="dxa"/>
            <w:tcBorders>
              <w:top w:val="nil"/>
              <w:left w:val="nil"/>
              <w:bottom w:val="single" w:sz="8" w:space="0" w:color="auto"/>
              <w:right w:val="single" w:sz="4" w:space="0" w:color="auto"/>
            </w:tcBorders>
            <w:shd w:val="clear" w:color="auto" w:fill="auto"/>
            <w:noWrap/>
            <w:vAlign w:val="bottom"/>
            <w:hideMark/>
          </w:tcPr>
          <w:p w:rsidR="00A945E1" w:rsidRPr="005D0593" w:rsidP="003E7F81" w14:paraId="4D0EA046" w14:textId="77777777">
            <w:pPr>
              <w:jc w:val="center"/>
              <w:rPr>
                <w:rFonts w:ascii="Arial" w:hAnsi="Arial" w:cs="Arial"/>
                <w:sz w:val="16"/>
                <w:szCs w:val="16"/>
              </w:rPr>
            </w:pPr>
            <w:r w:rsidRPr="005D0593">
              <w:rPr>
                <w:rFonts w:ascii="Arial" w:hAnsi="Arial" w:cs="Arial"/>
                <w:color w:val="000000"/>
                <w:sz w:val="16"/>
                <w:szCs w:val="16"/>
              </w:rPr>
              <w:t xml:space="preserve">$5,431,693 </w:t>
            </w:r>
          </w:p>
        </w:tc>
        <w:tc>
          <w:tcPr>
            <w:tcW w:w="1272" w:type="dxa"/>
            <w:tcBorders>
              <w:top w:val="nil"/>
              <w:left w:val="nil"/>
              <w:bottom w:val="single" w:sz="8" w:space="0" w:color="auto"/>
              <w:right w:val="single" w:sz="4" w:space="0" w:color="auto"/>
            </w:tcBorders>
            <w:shd w:val="clear" w:color="auto" w:fill="auto"/>
            <w:noWrap/>
            <w:vAlign w:val="bottom"/>
            <w:hideMark/>
          </w:tcPr>
          <w:p w:rsidR="00A945E1" w:rsidRPr="005D0593" w:rsidP="003E7F81" w14:paraId="452773F9" w14:textId="77777777">
            <w:pPr>
              <w:jc w:val="center"/>
              <w:rPr>
                <w:rFonts w:ascii="Arial" w:hAnsi="Arial" w:cs="Arial"/>
                <w:sz w:val="16"/>
                <w:szCs w:val="16"/>
              </w:rPr>
            </w:pPr>
            <w:r w:rsidRPr="005D0593">
              <w:rPr>
                <w:rFonts w:ascii="Arial" w:hAnsi="Arial" w:cs="Arial"/>
                <w:color w:val="000000"/>
                <w:sz w:val="16"/>
                <w:szCs w:val="16"/>
              </w:rPr>
              <w:t xml:space="preserve">$16,305,035 </w:t>
            </w:r>
          </w:p>
        </w:tc>
        <w:tc>
          <w:tcPr>
            <w:tcW w:w="1297" w:type="dxa"/>
            <w:tcBorders>
              <w:top w:val="nil"/>
              <w:left w:val="nil"/>
              <w:bottom w:val="single" w:sz="8" w:space="0" w:color="auto"/>
              <w:right w:val="single" w:sz="8" w:space="0" w:color="auto"/>
            </w:tcBorders>
            <w:shd w:val="clear" w:color="auto" w:fill="auto"/>
            <w:noWrap/>
            <w:vAlign w:val="bottom"/>
            <w:hideMark/>
          </w:tcPr>
          <w:p w:rsidR="00A945E1" w:rsidRPr="005D0593" w:rsidP="003E7F81" w14:paraId="1598E96E" w14:textId="77777777">
            <w:pPr>
              <w:jc w:val="center"/>
              <w:rPr>
                <w:rFonts w:ascii="Arial" w:hAnsi="Arial" w:cs="Arial"/>
                <w:sz w:val="16"/>
                <w:szCs w:val="16"/>
              </w:rPr>
            </w:pPr>
            <w:r w:rsidRPr="005D0593">
              <w:rPr>
                <w:rFonts w:ascii="Arial" w:hAnsi="Arial" w:cs="Arial"/>
                <w:color w:val="000000"/>
                <w:sz w:val="16"/>
                <w:szCs w:val="16"/>
              </w:rPr>
              <w:t xml:space="preserve">$5,435,000 </w:t>
            </w:r>
          </w:p>
        </w:tc>
      </w:tr>
      <w:bookmarkEnd w:id="34"/>
    </w:tbl>
    <w:p w:rsidR="00ED57A4" w:rsidRPr="00BB3410" w:rsidP="00854AAE" w14:paraId="68F435BE" w14:textId="3DE0A66E">
      <w:pPr>
        <w:spacing w:before="60"/>
        <w:rPr>
          <w:rFonts w:cstheme="minorHAnsi"/>
        </w:rPr>
      </w:pPr>
    </w:p>
    <w:p w:rsidR="00BB2B15" w:rsidRPr="00163C69" w:rsidP="00565AEA" w14:paraId="5D1B71A2" w14:textId="2ADBBFA0">
      <w:pPr>
        <w:pStyle w:val="ListParagraph"/>
        <w:numPr>
          <w:ilvl w:val="0"/>
          <w:numId w:val="2"/>
        </w:numPr>
        <w:spacing w:before="240" w:after="0"/>
        <w:rPr>
          <w:rFonts w:cstheme="minorHAnsi"/>
          <w:b/>
          <w:bCs/>
          <w:caps/>
        </w:rPr>
      </w:pPr>
      <w:bookmarkStart w:id="35"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35"/>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6FCAA5FD">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RPr="00BB3410" w:rsidP="00854AAE" w14:paraId="678BA42F" w14:textId="0D1493D9">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 xml:space="preserve">See </w:t>
      </w:r>
      <w:r w:rsidR="00BB0164">
        <w:rPr>
          <w:rFonts w:cstheme="minorHAnsi"/>
          <w:color w:val="000000"/>
        </w:rPr>
        <w:t>sec</w:t>
      </w:r>
      <w:r>
        <w:rPr>
          <w:rFonts w:cstheme="minorHAnsi"/>
          <w:color w:val="000000"/>
        </w:rPr>
        <w:t>tion 12 above.</w:t>
      </w:r>
    </w:p>
    <w:p w:rsidR="00023EFE" w:rsidRPr="00163C69" w:rsidP="00565AEA" w14:paraId="7D2BF7DE" w14:textId="77777777">
      <w:pPr>
        <w:pStyle w:val="ListParagraph"/>
        <w:numPr>
          <w:ilvl w:val="0"/>
          <w:numId w:val="2"/>
        </w:numPr>
        <w:pBdr>
          <w:bottom w:val="single" w:sz="4" w:space="1" w:color="auto"/>
        </w:pBdr>
        <w:spacing w:before="240" w:after="0"/>
        <w:rPr>
          <w:rFonts w:cstheme="minorHAnsi"/>
          <w:b/>
          <w:bCs/>
        </w:rPr>
      </w:pPr>
      <w:bookmarkStart w:id="36" w:name="_Toc156593387"/>
      <w:r w:rsidRPr="4BDBF0A0">
        <w:rPr>
          <w:b/>
          <w:bCs/>
        </w:rPr>
        <w:t xml:space="preserve">AGENCY </w:t>
      </w:r>
      <w:bookmarkStart w:id="37" w:name="_Toc156593388"/>
      <w:bookmarkEnd w:id="36"/>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F1E00" w:rsidRPr="00834E06" w:rsidP="00834E06" w14:paraId="647FDC77" w14:textId="4E038739">
      <w:pPr>
        <w:ind w:firstLine="720"/>
      </w:pPr>
      <w:r w:rsidRPr="005D0593">
        <w:t xml:space="preserve">EPA activities include the monitoring and verification of emission reports, database and software maintenance, communication and outreach, and program evaluation. This ICR reflects an incremental agency burden for program operation activities, which include monitoring and verification of emission reports. Specifically, the additional burden for the review of new and revised data elements reported was estimated. </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717707" w:rsidRPr="005D0593" w:rsidP="00834E06" w14:paraId="4B62015C" w14:textId="22B6D40B">
      <w:pPr>
        <w:autoSpaceDE w:val="0"/>
        <w:autoSpaceDN w:val="0"/>
        <w:adjustRightInd w:val="0"/>
        <w:ind w:firstLine="720"/>
      </w:pPr>
      <w:r w:rsidRPr="005D0593">
        <w:t>This section describes the burden and cost to the federal government associated with this information collection</w:t>
      </w:r>
      <w:r w:rsidRPr="005D0593">
        <w:rPr>
          <w:bCs/>
        </w:rPr>
        <w:t xml:space="preserve">, and the details are provided in </w:t>
      </w:r>
      <w:r w:rsidR="006C59C8">
        <w:rPr>
          <w:bCs/>
        </w:rPr>
        <w:t>Attachment 2</w:t>
      </w:r>
      <w:r w:rsidRPr="005D0593">
        <w:t xml:space="preserve">. Federal activities under this information collection include EPA oversight of the reporting program and required reporting by federally owned GHG generating facilities. </w:t>
      </w:r>
    </w:p>
    <w:p w:rsidR="00717707" w:rsidRPr="005D0593" w:rsidP="00834E06" w14:paraId="30BFE65C" w14:textId="1131A78B">
      <w:pPr>
        <w:autoSpaceDE w:val="0"/>
        <w:autoSpaceDN w:val="0"/>
        <w:adjustRightInd w:val="0"/>
        <w:ind w:firstLine="720"/>
        <w:rPr>
          <w:bCs/>
        </w:rPr>
      </w:pPr>
      <w:r w:rsidRPr="005D0593">
        <w:t xml:space="preserve">EPA activities associated with the GHGRP include oversight and implementation of the reporting program, e.g., monitoring and verification of emission reports, database and software maintenance, communication and outreach, and program evaluation. </w:t>
      </w:r>
      <w:r w:rsidRPr="005D0593">
        <w:rPr>
          <w:bCs/>
        </w:rPr>
        <w:t>For the rule, the incremental burden to the EPA is associated with the additional time to review the new and substantially revised data elements that w</w:t>
      </w:r>
      <w:r>
        <w:rPr>
          <w:bCs/>
        </w:rPr>
        <w:t>ill</w:t>
      </w:r>
      <w:r w:rsidRPr="005D0593">
        <w:rPr>
          <w:bCs/>
        </w:rPr>
        <w:t xml:space="preserve"> be reported (see </w:t>
      </w:r>
      <w:r w:rsidR="00BB0164">
        <w:rPr>
          <w:bCs/>
        </w:rPr>
        <w:t>sec</w:t>
      </w:r>
      <w:r w:rsidR="00834E06">
        <w:rPr>
          <w:bCs/>
        </w:rPr>
        <w:t>tion 12b</w:t>
      </w:r>
      <w:r w:rsidRPr="005D0593">
        <w:rPr>
          <w:bCs/>
        </w:rPr>
        <w:t>), including new data submitted under new subparts VV, WW, XX, YY, and ZZ. The time to review new data elements that are inputs to equations was assumed to be the same as reported data elements, as the EPA will still review and verify the data using the verification summaries generated by the EPA’s IVT. There are no non-labor costs associated with the changes.</w:t>
      </w:r>
    </w:p>
    <w:p w:rsidR="00717707" w:rsidRPr="00834E06" w:rsidP="00834E06" w14:paraId="730884AF" w14:textId="3FBB6F29">
      <w:pPr>
        <w:ind w:firstLine="720"/>
      </w:pPr>
      <w:r w:rsidRPr="005D0593">
        <w:t>To develop EPA labor costs, the EPA estimated the average hourly labor rate for salary and overhead and benefits for Agency staff to be $60.93. To derive this figure, the EPA multiplied the hourly compensation at GS-13, Step 1 on the 2021 GS pay scale ($38.08) by the standard government benefits multiplication factor of 1.6 to account for overhead and benefits.</w:t>
      </w:r>
      <w:r>
        <w:rPr>
          <w:rStyle w:val="FootnoteReference"/>
        </w:rPr>
        <w:footnoteReference w:id="3"/>
      </w:r>
    </w:p>
    <w:p w:rsidR="00717707" w:rsidRPr="00834E06" w:rsidP="00834E06" w14:paraId="61E17E97" w14:textId="4B06F1B9">
      <w:pPr>
        <w:autoSpaceDE w:val="0"/>
        <w:autoSpaceDN w:val="0"/>
        <w:adjustRightInd w:val="0"/>
        <w:ind w:firstLine="720"/>
        <w:rPr>
          <w:bCs/>
        </w:rPr>
      </w:pPr>
      <w:r w:rsidRPr="005D0593">
        <w:rPr>
          <w:bCs/>
        </w:rPr>
        <w:t xml:space="preserve">The total burden and costs to the federal government from the new and substantially revised data elements are anticipated to average 410 hours and $24,960 ($2021) per year over the three years covered by this information collection. </w:t>
      </w:r>
      <w:r w:rsidRPr="005D0593">
        <w:t xml:space="preserve">Exhibit </w:t>
      </w:r>
      <w:r w:rsidR="007B2E04">
        <w:t>14</w:t>
      </w:r>
      <w:r w:rsidRPr="005D0593">
        <w:t>.</w:t>
      </w:r>
      <w:r w:rsidR="007B2E04">
        <w:t>1</w:t>
      </w:r>
      <w:r w:rsidRPr="005D0593" w:rsidR="007B2E04">
        <w:t xml:space="preserve"> </w:t>
      </w:r>
      <w:r w:rsidRPr="005D0593">
        <w:t>presents the annual Agency burden and cost.</w:t>
      </w:r>
      <w:r w:rsidRPr="005D0593">
        <w:rPr>
          <w:bCs/>
        </w:rPr>
        <w:t xml:space="preserve"> </w:t>
      </w:r>
      <w:r w:rsidRPr="005D0593">
        <w:t xml:space="preserve">For additional details on the annual costs, see Tables 5 through 7 of </w:t>
      </w:r>
      <w:r w:rsidR="006C59C8">
        <w:t>Attachment 2</w:t>
      </w:r>
      <w:r w:rsidRPr="005D0593">
        <w:t>.</w:t>
      </w:r>
    </w:p>
    <w:p w:rsidR="00717707" w:rsidRPr="005D0593" w:rsidP="00717707" w14:paraId="22C2524E" w14:textId="1CC4A6DF">
      <w:pPr>
        <w:keepNext/>
        <w:spacing w:line="276" w:lineRule="auto"/>
        <w:rPr>
          <w:rFonts w:eastAsia="Calibri"/>
          <w:b/>
          <w:bCs/>
        </w:rPr>
      </w:pPr>
      <w:r w:rsidRPr="005D0593">
        <w:rPr>
          <w:rFonts w:eastAsia="Calibri"/>
          <w:b/>
          <w:bCs/>
        </w:rPr>
        <w:t xml:space="preserve">Exhibit </w:t>
      </w:r>
      <w:r w:rsidR="007B2E04">
        <w:rPr>
          <w:rFonts w:eastAsia="Calibri"/>
          <w:b/>
          <w:bCs/>
        </w:rPr>
        <w:t>14</w:t>
      </w:r>
      <w:r w:rsidRPr="005D0593">
        <w:rPr>
          <w:rFonts w:eastAsia="Calibri"/>
          <w:b/>
          <w:bCs/>
        </w:rPr>
        <w:t>.</w:t>
      </w:r>
      <w:r w:rsidR="007B2E04">
        <w:rPr>
          <w:rFonts w:eastAsia="Calibri"/>
          <w:b/>
          <w:bCs/>
        </w:rPr>
        <w:t>1</w:t>
      </w:r>
      <w:r w:rsidRPr="005D0593" w:rsidR="007B2E04">
        <w:rPr>
          <w:rFonts w:eastAsia="Calibri"/>
          <w:b/>
          <w:bCs/>
        </w:rPr>
        <w:t xml:space="preserve"> </w:t>
      </w:r>
      <w:r w:rsidRPr="005D0593">
        <w:rPr>
          <w:rFonts w:eastAsia="Calibri"/>
          <w:b/>
          <w:bCs/>
        </w:rPr>
        <w:t xml:space="preserve">Annual Agency Burden and Cost </w:t>
      </w:r>
    </w:p>
    <w:tbl>
      <w:tblPr>
        <w:tblW w:w="8996" w:type="dxa"/>
        <w:tblInd w:w="-10" w:type="dxa"/>
        <w:tblLook w:val="04A0"/>
      </w:tblPr>
      <w:tblGrid>
        <w:gridCol w:w="1301"/>
        <w:gridCol w:w="3030"/>
        <w:gridCol w:w="2329"/>
        <w:gridCol w:w="2336"/>
      </w:tblGrid>
      <w:tr w14:paraId="55E81DAB" w14:textId="77777777" w:rsidTr="003E7F81">
        <w:tblPrEx>
          <w:tblW w:w="8996" w:type="dxa"/>
          <w:tblInd w:w="-10" w:type="dxa"/>
          <w:tblLook w:val="04A0"/>
        </w:tblPrEx>
        <w:trPr>
          <w:trHeight w:val="430"/>
        </w:trPr>
        <w:tc>
          <w:tcPr>
            <w:tcW w:w="1301"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717707" w:rsidRPr="005D0593" w:rsidP="003E7F81" w14:paraId="038DF6F1" w14:textId="77777777">
            <w:pPr>
              <w:keepNext/>
              <w:jc w:val="center"/>
              <w:rPr>
                <w:rFonts w:ascii="Arial" w:hAnsi="Arial" w:cs="Arial"/>
                <w:b/>
                <w:bCs/>
                <w:sz w:val="16"/>
                <w:szCs w:val="16"/>
              </w:rPr>
            </w:pPr>
            <w:r w:rsidRPr="005D0593">
              <w:rPr>
                <w:rFonts w:ascii="Arial" w:hAnsi="Arial" w:cs="Arial"/>
                <w:b/>
                <w:bCs/>
                <w:sz w:val="16"/>
                <w:szCs w:val="16"/>
              </w:rPr>
              <w:t>Year</w:t>
            </w:r>
          </w:p>
        </w:tc>
        <w:tc>
          <w:tcPr>
            <w:tcW w:w="3030" w:type="dxa"/>
            <w:tcBorders>
              <w:top w:val="single" w:sz="12" w:space="0" w:color="auto"/>
              <w:left w:val="nil"/>
              <w:bottom w:val="single" w:sz="4" w:space="0" w:color="auto"/>
              <w:right w:val="single" w:sz="4" w:space="0" w:color="auto"/>
            </w:tcBorders>
            <w:shd w:val="clear" w:color="auto" w:fill="F2F2F2" w:themeFill="background1" w:themeFillShade="F2"/>
            <w:vAlign w:val="center"/>
            <w:hideMark/>
          </w:tcPr>
          <w:p w:rsidR="00717707" w:rsidRPr="005D0593" w:rsidP="003E7F81" w14:paraId="78472EB9" w14:textId="77777777">
            <w:pPr>
              <w:keepNext/>
              <w:jc w:val="center"/>
              <w:rPr>
                <w:rFonts w:ascii="Arial" w:hAnsi="Arial" w:cs="Arial"/>
                <w:b/>
                <w:bCs/>
                <w:sz w:val="16"/>
                <w:szCs w:val="16"/>
              </w:rPr>
            </w:pPr>
            <w:r w:rsidRPr="005D0593">
              <w:rPr>
                <w:rFonts w:ascii="Arial" w:hAnsi="Arial" w:cs="Arial"/>
                <w:b/>
                <w:bCs/>
                <w:sz w:val="16"/>
                <w:szCs w:val="16"/>
              </w:rPr>
              <w:t xml:space="preserve">Number of Occurrences Per Year </w:t>
            </w:r>
            <w:r w:rsidRPr="005D0593">
              <w:rPr>
                <w:rFonts w:ascii="Arial" w:hAnsi="Arial" w:cs="Arial"/>
                <w:b/>
                <w:bCs/>
                <w:sz w:val="16"/>
                <w:szCs w:val="16"/>
                <w:vertAlign w:val="superscript"/>
              </w:rPr>
              <w:t>(1)</w:t>
            </w:r>
          </w:p>
        </w:tc>
        <w:tc>
          <w:tcPr>
            <w:tcW w:w="2329" w:type="dxa"/>
            <w:tcBorders>
              <w:top w:val="single" w:sz="12" w:space="0" w:color="auto"/>
              <w:left w:val="nil"/>
              <w:bottom w:val="single" w:sz="4" w:space="0" w:color="auto"/>
              <w:right w:val="single" w:sz="4" w:space="0" w:color="auto"/>
            </w:tcBorders>
            <w:shd w:val="clear" w:color="auto" w:fill="F2F2F2" w:themeFill="background1" w:themeFillShade="F2"/>
            <w:vAlign w:val="center"/>
            <w:hideMark/>
          </w:tcPr>
          <w:p w:rsidR="00717707" w:rsidRPr="005D0593" w:rsidP="003E7F81" w14:paraId="5DD871BB" w14:textId="77777777">
            <w:pPr>
              <w:keepNext/>
              <w:jc w:val="center"/>
              <w:rPr>
                <w:rFonts w:ascii="Arial" w:hAnsi="Arial" w:cs="Arial"/>
                <w:b/>
                <w:bCs/>
                <w:sz w:val="16"/>
                <w:szCs w:val="16"/>
              </w:rPr>
            </w:pPr>
            <w:r w:rsidRPr="005D0593">
              <w:rPr>
                <w:rFonts w:ascii="Arial" w:hAnsi="Arial" w:cs="Arial"/>
                <w:b/>
                <w:bCs/>
                <w:sz w:val="16"/>
                <w:szCs w:val="16"/>
              </w:rPr>
              <w:t xml:space="preserve">Total Annual Burden Hours </w:t>
            </w:r>
          </w:p>
        </w:tc>
        <w:tc>
          <w:tcPr>
            <w:tcW w:w="2336" w:type="dxa"/>
            <w:tcBorders>
              <w:top w:val="single" w:sz="12" w:space="0" w:color="auto"/>
              <w:left w:val="nil"/>
              <w:bottom w:val="single" w:sz="4" w:space="0" w:color="auto"/>
              <w:right w:val="single" w:sz="12" w:space="0" w:color="auto"/>
            </w:tcBorders>
            <w:shd w:val="clear" w:color="auto" w:fill="F2F2F2" w:themeFill="background1" w:themeFillShade="F2"/>
            <w:vAlign w:val="center"/>
            <w:hideMark/>
          </w:tcPr>
          <w:p w:rsidR="00717707" w:rsidRPr="005D0593" w:rsidP="003E7F81" w14:paraId="538FFCF5" w14:textId="77777777">
            <w:pPr>
              <w:keepNext/>
              <w:jc w:val="center"/>
              <w:rPr>
                <w:rFonts w:ascii="Arial" w:hAnsi="Arial" w:cs="Arial"/>
                <w:b/>
                <w:bCs/>
                <w:sz w:val="16"/>
                <w:szCs w:val="16"/>
              </w:rPr>
            </w:pPr>
            <w:r w:rsidRPr="005D0593">
              <w:rPr>
                <w:rFonts w:ascii="Arial" w:hAnsi="Arial" w:cs="Arial"/>
                <w:b/>
                <w:bCs/>
                <w:sz w:val="16"/>
                <w:szCs w:val="16"/>
              </w:rPr>
              <w:t>Labor Costs ($2021)</w:t>
            </w:r>
          </w:p>
        </w:tc>
      </w:tr>
      <w:tr w14:paraId="69A228F1" w14:textId="77777777" w:rsidTr="003E7F81">
        <w:tblPrEx>
          <w:tblW w:w="8996" w:type="dxa"/>
          <w:tblInd w:w="-10" w:type="dxa"/>
          <w:tblLook w:val="04A0"/>
        </w:tblPrEx>
        <w:trPr>
          <w:trHeight w:val="300"/>
        </w:trPr>
        <w:tc>
          <w:tcPr>
            <w:tcW w:w="130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17707" w:rsidRPr="005D0593" w:rsidP="003E7F81" w14:paraId="44C6FAB8" w14:textId="77777777">
            <w:pPr>
              <w:keepNext/>
              <w:rPr>
                <w:rFonts w:ascii="Arial" w:hAnsi="Arial" w:cs="Arial"/>
                <w:sz w:val="16"/>
                <w:szCs w:val="16"/>
              </w:rPr>
            </w:pPr>
            <w:r w:rsidRPr="005D0593">
              <w:rPr>
                <w:rFonts w:ascii="Arial" w:hAnsi="Arial" w:cs="Arial"/>
                <w:sz w:val="16"/>
                <w:szCs w:val="16"/>
              </w:rPr>
              <w:t xml:space="preserve">1 </w:t>
            </w:r>
          </w:p>
        </w:tc>
        <w:tc>
          <w:tcPr>
            <w:tcW w:w="3030" w:type="dxa"/>
            <w:tcBorders>
              <w:top w:val="single" w:sz="4" w:space="0" w:color="auto"/>
              <w:left w:val="nil"/>
              <w:bottom w:val="single" w:sz="4" w:space="0" w:color="auto"/>
              <w:right w:val="single" w:sz="4" w:space="0" w:color="auto"/>
            </w:tcBorders>
            <w:shd w:val="clear" w:color="000000" w:fill="FFFFFF"/>
            <w:noWrap/>
            <w:vAlign w:val="bottom"/>
          </w:tcPr>
          <w:p w:rsidR="00717707" w:rsidRPr="005D0593" w:rsidP="003E7F81" w14:paraId="208D3744" w14:textId="77777777">
            <w:pPr>
              <w:keepNext/>
              <w:jc w:val="center"/>
              <w:rPr>
                <w:rFonts w:ascii="Arial" w:hAnsi="Arial" w:cs="Arial"/>
                <w:sz w:val="16"/>
                <w:szCs w:val="16"/>
              </w:rPr>
            </w:pPr>
            <w:r w:rsidRPr="005D0593">
              <w:rPr>
                <w:rFonts w:ascii="Arial" w:hAnsi="Arial" w:cs="Arial"/>
                <w:sz w:val="16"/>
                <w:szCs w:val="16"/>
              </w:rPr>
              <w:t>20,445</w:t>
            </w:r>
          </w:p>
        </w:tc>
        <w:tc>
          <w:tcPr>
            <w:tcW w:w="2329" w:type="dxa"/>
            <w:tcBorders>
              <w:top w:val="single" w:sz="4" w:space="0" w:color="auto"/>
              <w:left w:val="nil"/>
              <w:bottom w:val="single" w:sz="4" w:space="0" w:color="auto"/>
              <w:right w:val="single" w:sz="4" w:space="0" w:color="auto"/>
            </w:tcBorders>
            <w:shd w:val="clear" w:color="000000" w:fill="FFFFFF"/>
            <w:noWrap/>
            <w:vAlign w:val="bottom"/>
          </w:tcPr>
          <w:p w:rsidR="00717707" w:rsidRPr="005D0593" w:rsidP="003E7F81" w14:paraId="648DFE0C" w14:textId="77777777">
            <w:pPr>
              <w:keepNext/>
              <w:jc w:val="center"/>
              <w:rPr>
                <w:rFonts w:ascii="Arial" w:hAnsi="Arial" w:cs="Arial"/>
                <w:sz w:val="16"/>
                <w:szCs w:val="16"/>
              </w:rPr>
            </w:pPr>
            <w:r w:rsidRPr="005D0593">
              <w:rPr>
                <w:rFonts w:ascii="Arial" w:hAnsi="Arial" w:cs="Arial"/>
                <w:sz w:val="16"/>
                <w:szCs w:val="16"/>
              </w:rPr>
              <w:t>409</w:t>
            </w:r>
          </w:p>
        </w:tc>
        <w:tc>
          <w:tcPr>
            <w:tcW w:w="2336" w:type="dxa"/>
            <w:tcBorders>
              <w:top w:val="single" w:sz="4" w:space="0" w:color="auto"/>
              <w:left w:val="nil"/>
              <w:bottom w:val="single" w:sz="4" w:space="0" w:color="auto"/>
              <w:right w:val="single" w:sz="12" w:space="0" w:color="auto"/>
            </w:tcBorders>
            <w:shd w:val="clear" w:color="000000" w:fill="FFFFFF"/>
            <w:noWrap/>
            <w:vAlign w:val="bottom"/>
          </w:tcPr>
          <w:p w:rsidR="00717707" w:rsidRPr="005D0593" w:rsidP="003E7F81" w14:paraId="3658041A" w14:textId="77777777">
            <w:pPr>
              <w:keepNext/>
              <w:jc w:val="center"/>
              <w:rPr>
                <w:rFonts w:ascii="Arial" w:hAnsi="Arial" w:cs="Arial"/>
                <w:sz w:val="16"/>
                <w:szCs w:val="16"/>
              </w:rPr>
            </w:pPr>
            <w:r w:rsidRPr="005D0593">
              <w:rPr>
                <w:rFonts w:ascii="Arial" w:hAnsi="Arial" w:cs="Arial"/>
                <w:sz w:val="16"/>
                <w:szCs w:val="16"/>
              </w:rPr>
              <w:t>$24,915</w:t>
            </w:r>
          </w:p>
        </w:tc>
      </w:tr>
      <w:tr w14:paraId="23ACFA80" w14:textId="77777777" w:rsidTr="003E7F81">
        <w:tblPrEx>
          <w:tblW w:w="8996" w:type="dxa"/>
          <w:tblInd w:w="-10" w:type="dxa"/>
          <w:tblLook w:val="04A0"/>
        </w:tblPrEx>
        <w:trPr>
          <w:trHeight w:val="290"/>
        </w:trPr>
        <w:tc>
          <w:tcPr>
            <w:tcW w:w="130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17707" w:rsidRPr="005D0593" w:rsidP="003E7F81" w14:paraId="0D099B0B" w14:textId="77777777">
            <w:pPr>
              <w:keepNext/>
              <w:rPr>
                <w:rFonts w:ascii="Arial" w:hAnsi="Arial" w:cs="Arial"/>
                <w:sz w:val="16"/>
                <w:szCs w:val="16"/>
              </w:rPr>
            </w:pPr>
            <w:r w:rsidRPr="005D0593">
              <w:rPr>
                <w:rFonts w:ascii="Arial" w:hAnsi="Arial" w:cs="Arial"/>
                <w:sz w:val="16"/>
                <w:szCs w:val="16"/>
              </w:rPr>
              <w:t xml:space="preserve">2 </w:t>
            </w:r>
          </w:p>
        </w:tc>
        <w:tc>
          <w:tcPr>
            <w:tcW w:w="3030" w:type="dxa"/>
            <w:tcBorders>
              <w:top w:val="single" w:sz="4" w:space="0" w:color="auto"/>
              <w:left w:val="nil"/>
              <w:bottom w:val="single" w:sz="4" w:space="0" w:color="auto"/>
              <w:right w:val="single" w:sz="4" w:space="0" w:color="auto"/>
            </w:tcBorders>
            <w:shd w:val="clear" w:color="000000" w:fill="FFFFFF"/>
            <w:noWrap/>
            <w:vAlign w:val="bottom"/>
          </w:tcPr>
          <w:p w:rsidR="00717707" w:rsidRPr="005D0593" w:rsidP="003E7F81" w14:paraId="448DA147" w14:textId="77777777">
            <w:pPr>
              <w:keepNext/>
              <w:jc w:val="center"/>
              <w:rPr>
                <w:rFonts w:ascii="Arial" w:hAnsi="Arial" w:cs="Arial"/>
                <w:sz w:val="16"/>
                <w:szCs w:val="16"/>
              </w:rPr>
            </w:pPr>
            <w:r w:rsidRPr="005D0593">
              <w:rPr>
                <w:rFonts w:ascii="Arial" w:hAnsi="Arial" w:cs="Arial"/>
                <w:sz w:val="16"/>
                <w:szCs w:val="16"/>
              </w:rPr>
              <w:t>20,445</w:t>
            </w:r>
          </w:p>
        </w:tc>
        <w:tc>
          <w:tcPr>
            <w:tcW w:w="2329" w:type="dxa"/>
            <w:tcBorders>
              <w:top w:val="single" w:sz="4" w:space="0" w:color="auto"/>
              <w:left w:val="nil"/>
              <w:bottom w:val="single" w:sz="4" w:space="0" w:color="auto"/>
              <w:right w:val="single" w:sz="4" w:space="0" w:color="auto"/>
            </w:tcBorders>
            <w:shd w:val="clear" w:color="000000" w:fill="FFFFFF"/>
            <w:noWrap/>
            <w:vAlign w:val="bottom"/>
          </w:tcPr>
          <w:p w:rsidR="00717707" w:rsidRPr="005D0593" w:rsidP="003E7F81" w14:paraId="0871080C" w14:textId="77777777">
            <w:pPr>
              <w:keepNext/>
              <w:jc w:val="center"/>
              <w:rPr>
                <w:rFonts w:ascii="Arial" w:hAnsi="Arial" w:cs="Arial"/>
                <w:sz w:val="16"/>
                <w:szCs w:val="16"/>
              </w:rPr>
            </w:pPr>
            <w:r w:rsidRPr="005D0593">
              <w:rPr>
                <w:rFonts w:ascii="Arial" w:hAnsi="Arial" w:cs="Arial"/>
                <w:sz w:val="16"/>
                <w:szCs w:val="16"/>
              </w:rPr>
              <w:t>409</w:t>
            </w:r>
          </w:p>
        </w:tc>
        <w:tc>
          <w:tcPr>
            <w:tcW w:w="2336" w:type="dxa"/>
            <w:tcBorders>
              <w:top w:val="single" w:sz="4" w:space="0" w:color="auto"/>
              <w:left w:val="nil"/>
              <w:bottom w:val="single" w:sz="4" w:space="0" w:color="auto"/>
              <w:right w:val="single" w:sz="12" w:space="0" w:color="auto"/>
            </w:tcBorders>
            <w:shd w:val="clear" w:color="000000" w:fill="FFFFFF"/>
            <w:noWrap/>
            <w:vAlign w:val="bottom"/>
          </w:tcPr>
          <w:p w:rsidR="00717707" w:rsidRPr="005D0593" w:rsidP="003E7F81" w14:paraId="734E735F" w14:textId="77777777">
            <w:pPr>
              <w:keepNext/>
              <w:jc w:val="center"/>
              <w:rPr>
                <w:rFonts w:ascii="Arial" w:hAnsi="Arial" w:cs="Arial"/>
                <w:sz w:val="16"/>
                <w:szCs w:val="16"/>
              </w:rPr>
            </w:pPr>
            <w:r w:rsidRPr="005D0593">
              <w:rPr>
                <w:rFonts w:ascii="Arial" w:hAnsi="Arial" w:cs="Arial"/>
                <w:sz w:val="16"/>
                <w:szCs w:val="16"/>
              </w:rPr>
              <w:t>$24,915</w:t>
            </w:r>
          </w:p>
        </w:tc>
      </w:tr>
      <w:tr w14:paraId="278583CE" w14:textId="77777777" w:rsidTr="003E7F81">
        <w:tblPrEx>
          <w:tblW w:w="8996" w:type="dxa"/>
          <w:tblInd w:w="-10" w:type="dxa"/>
          <w:tblLook w:val="04A0"/>
        </w:tblPrEx>
        <w:trPr>
          <w:trHeight w:val="300"/>
        </w:trPr>
        <w:tc>
          <w:tcPr>
            <w:tcW w:w="1301" w:type="dxa"/>
            <w:tcBorders>
              <w:top w:val="single" w:sz="4" w:space="0" w:color="auto"/>
              <w:left w:val="single" w:sz="12" w:space="0" w:color="auto"/>
              <w:bottom w:val="double" w:sz="4" w:space="0" w:color="auto"/>
              <w:right w:val="single" w:sz="4" w:space="0" w:color="auto"/>
            </w:tcBorders>
            <w:shd w:val="clear" w:color="000000" w:fill="FFFFFF"/>
            <w:noWrap/>
            <w:vAlign w:val="bottom"/>
            <w:hideMark/>
          </w:tcPr>
          <w:p w:rsidR="00717707" w:rsidRPr="005D0593" w:rsidP="003E7F81" w14:paraId="3E12C50F" w14:textId="77777777">
            <w:pPr>
              <w:keepNext/>
              <w:rPr>
                <w:rFonts w:ascii="Arial" w:hAnsi="Arial" w:cs="Arial"/>
                <w:sz w:val="16"/>
                <w:szCs w:val="16"/>
              </w:rPr>
            </w:pPr>
            <w:r w:rsidRPr="005D0593">
              <w:rPr>
                <w:rFonts w:ascii="Arial" w:hAnsi="Arial" w:cs="Arial"/>
                <w:sz w:val="16"/>
                <w:szCs w:val="16"/>
              </w:rPr>
              <w:t xml:space="preserve">3 </w:t>
            </w:r>
          </w:p>
        </w:tc>
        <w:tc>
          <w:tcPr>
            <w:tcW w:w="3030" w:type="dxa"/>
            <w:tcBorders>
              <w:top w:val="single" w:sz="4" w:space="0" w:color="auto"/>
              <w:left w:val="nil"/>
              <w:bottom w:val="double" w:sz="4" w:space="0" w:color="auto"/>
              <w:right w:val="single" w:sz="4" w:space="0" w:color="auto"/>
            </w:tcBorders>
            <w:shd w:val="clear" w:color="000000" w:fill="FFFFFF"/>
            <w:noWrap/>
            <w:vAlign w:val="bottom"/>
          </w:tcPr>
          <w:p w:rsidR="00717707" w:rsidRPr="005D0593" w:rsidP="003E7F81" w14:paraId="711EB201" w14:textId="77777777">
            <w:pPr>
              <w:keepNext/>
              <w:jc w:val="center"/>
              <w:rPr>
                <w:rFonts w:ascii="Arial" w:hAnsi="Arial" w:cs="Arial"/>
                <w:sz w:val="16"/>
                <w:szCs w:val="16"/>
              </w:rPr>
            </w:pPr>
            <w:r w:rsidRPr="005D0593">
              <w:rPr>
                <w:rFonts w:ascii="Arial" w:hAnsi="Arial" w:cs="Arial"/>
                <w:sz w:val="16"/>
                <w:szCs w:val="16"/>
              </w:rPr>
              <w:t>20,557</w:t>
            </w:r>
          </w:p>
        </w:tc>
        <w:tc>
          <w:tcPr>
            <w:tcW w:w="2329" w:type="dxa"/>
            <w:tcBorders>
              <w:top w:val="single" w:sz="4" w:space="0" w:color="auto"/>
              <w:left w:val="nil"/>
              <w:bottom w:val="double" w:sz="4" w:space="0" w:color="auto"/>
              <w:right w:val="single" w:sz="4" w:space="0" w:color="auto"/>
            </w:tcBorders>
            <w:shd w:val="clear" w:color="000000" w:fill="FFFFFF"/>
            <w:noWrap/>
            <w:vAlign w:val="bottom"/>
          </w:tcPr>
          <w:p w:rsidR="00717707" w:rsidRPr="005D0593" w:rsidP="003E7F81" w14:paraId="419FBD3C" w14:textId="77777777">
            <w:pPr>
              <w:keepNext/>
              <w:jc w:val="center"/>
              <w:rPr>
                <w:rFonts w:ascii="Arial" w:hAnsi="Arial" w:cs="Arial"/>
                <w:sz w:val="16"/>
                <w:szCs w:val="16"/>
              </w:rPr>
            </w:pPr>
            <w:r w:rsidRPr="005D0593">
              <w:rPr>
                <w:rFonts w:ascii="Arial" w:hAnsi="Arial" w:cs="Arial"/>
                <w:sz w:val="16"/>
                <w:szCs w:val="16"/>
              </w:rPr>
              <w:t>411</w:t>
            </w:r>
          </w:p>
        </w:tc>
        <w:tc>
          <w:tcPr>
            <w:tcW w:w="2336" w:type="dxa"/>
            <w:tcBorders>
              <w:top w:val="single" w:sz="4" w:space="0" w:color="auto"/>
              <w:left w:val="nil"/>
              <w:bottom w:val="double" w:sz="4" w:space="0" w:color="auto"/>
              <w:right w:val="single" w:sz="12" w:space="0" w:color="auto"/>
            </w:tcBorders>
            <w:shd w:val="clear" w:color="000000" w:fill="FFFFFF"/>
            <w:noWrap/>
            <w:vAlign w:val="bottom"/>
          </w:tcPr>
          <w:p w:rsidR="00717707" w:rsidRPr="005D0593" w:rsidP="003E7F81" w14:paraId="282B7DCA" w14:textId="77777777">
            <w:pPr>
              <w:keepNext/>
              <w:jc w:val="center"/>
              <w:rPr>
                <w:rFonts w:ascii="Arial" w:hAnsi="Arial" w:cs="Arial"/>
                <w:sz w:val="16"/>
                <w:szCs w:val="16"/>
              </w:rPr>
            </w:pPr>
            <w:r w:rsidRPr="005D0593">
              <w:rPr>
                <w:rFonts w:ascii="Arial" w:hAnsi="Arial" w:cs="Arial"/>
                <w:sz w:val="16"/>
                <w:szCs w:val="16"/>
              </w:rPr>
              <w:t>$25,051</w:t>
            </w:r>
          </w:p>
        </w:tc>
      </w:tr>
      <w:tr w14:paraId="6431824B" w14:textId="77777777" w:rsidTr="003E7F81">
        <w:tblPrEx>
          <w:tblW w:w="8996" w:type="dxa"/>
          <w:tblInd w:w="-10" w:type="dxa"/>
          <w:tblLook w:val="04A0"/>
        </w:tblPrEx>
        <w:trPr>
          <w:trHeight w:val="300"/>
        </w:trPr>
        <w:tc>
          <w:tcPr>
            <w:tcW w:w="1301" w:type="dxa"/>
            <w:tcBorders>
              <w:top w:val="double" w:sz="4" w:space="0" w:color="auto"/>
              <w:left w:val="single" w:sz="12" w:space="0" w:color="auto"/>
              <w:bottom w:val="single" w:sz="4" w:space="0" w:color="auto"/>
              <w:right w:val="single" w:sz="4" w:space="0" w:color="auto"/>
            </w:tcBorders>
            <w:shd w:val="clear" w:color="000000" w:fill="FFFFFF"/>
            <w:noWrap/>
            <w:vAlign w:val="bottom"/>
            <w:hideMark/>
          </w:tcPr>
          <w:p w:rsidR="00717707" w:rsidRPr="005D0593" w:rsidP="003E7F81" w14:paraId="481E2C02" w14:textId="77777777">
            <w:pPr>
              <w:keepNext/>
              <w:rPr>
                <w:rFonts w:ascii="Arial" w:hAnsi="Arial" w:cs="Arial"/>
                <w:sz w:val="16"/>
                <w:szCs w:val="16"/>
              </w:rPr>
            </w:pPr>
            <w:r w:rsidRPr="005D0593">
              <w:rPr>
                <w:rFonts w:ascii="Arial" w:hAnsi="Arial" w:cs="Arial"/>
                <w:sz w:val="16"/>
                <w:szCs w:val="16"/>
              </w:rPr>
              <w:t>Total</w:t>
            </w:r>
          </w:p>
        </w:tc>
        <w:tc>
          <w:tcPr>
            <w:tcW w:w="3030" w:type="dxa"/>
            <w:tcBorders>
              <w:top w:val="double" w:sz="4" w:space="0" w:color="auto"/>
              <w:left w:val="nil"/>
              <w:bottom w:val="single" w:sz="4" w:space="0" w:color="auto"/>
              <w:right w:val="single" w:sz="4" w:space="0" w:color="auto"/>
            </w:tcBorders>
            <w:shd w:val="clear" w:color="auto" w:fill="auto"/>
            <w:noWrap/>
            <w:vAlign w:val="bottom"/>
          </w:tcPr>
          <w:p w:rsidR="00717707" w:rsidRPr="005D0593" w:rsidP="003E7F81" w14:paraId="488B2F14" w14:textId="77777777">
            <w:pPr>
              <w:keepNext/>
              <w:jc w:val="center"/>
              <w:rPr>
                <w:rFonts w:ascii="Arial" w:hAnsi="Arial" w:cs="Arial"/>
                <w:sz w:val="16"/>
                <w:szCs w:val="16"/>
              </w:rPr>
            </w:pPr>
            <w:r w:rsidRPr="005D0593">
              <w:rPr>
                <w:rFonts w:ascii="Arial" w:hAnsi="Arial" w:cs="Arial"/>
                <w:sz w:val="16"/>
                <w:szCs w:val="16"/>
              </w:rPr>
              <w:t xml:space="preserve">61,448 </w:t>
            </w:r>
          </w:p>
        </w:tc>
        <w:tc>
          <w:tcPr>
            <w:tcW w:w="2329" w:type="dxa"/>
            <w:tcBorders>
              <w:top w:val="double" w:sz="4" w:space="0" w:color="auto"/>
              <w:left w:val="nil"/>
              <w:bottom w:val="single" w:sz="4" w:space="0" w:color="auto"/>
              <w:right w:val="single" w:sz="4" w:space="0" w:color="auto"/>
            </w:tcBorders>
            <w:shd w:val="clear" w:color="auto" w:fill="auto"/>
            <w:noWrap/>
            <w:vAlign w:val="bottom"/>
          </w:tcPr>
          <w:p w:rsidR="00717707" w:rsidRPr="005D0593" w:rsidP="003E7F81" w14:paraId="1E99F0C1" w14:textId="77777777">
            <w:pPr>
              <w:keepNext/>
              <w:jc w:val="center"/>
              <w:rPr>
                <w:rFonts w:ascii="Arial" w:hAnsi="Arial" w:cs="Arial"/>
                <w:sz w:val="16"/>
                <w:szCs w:val="16"/>
              </w:rPr>
            </w:pPr>
            <w:r w:rsidRPr="005D0593">
              <w:rPr>
                <w:rFonts w:ascii="Arial" w:hAnsi="Arial" w:cs="Arial"/>
                <w:sz w:val="16"/>
                <w:szCs w:val="16"/>
              </w:rPr>
              <w:t xml:space="preserve">1,229 </w:t>
            </w:r>
          </w:p>
        </w:tc>
        <w:tc>
          <w:tcPr>
            <w:tcW w:w="2336" w:type="dxa"/>
            <w:tcBorders>
              <w:top w:val="double" w:sz="4" w:space="0" w:color="auto"/>
              <w:left w:val="nil"/>
              <w:bottom w:val="single" w:sz="4" w:space="0" w:color="auto"/>
              <w:right w:val="single" w:sz="12" w:space="0" w:color="auto"/>
            </w:tcBorders>
            <w:shd w:val="clear" w:color="000000" w:fill="FFFFFF"/>
            <w:noWrap/>
            <w:vAlign w:val="bottom"/>
          </w:tcPr>
          <w:p w:rsidR="00717707" w:rsidRPr="005D0593" w:rsidP="003E7F81" w14:paraId="12B5D177" w14:textId="77777777">
            <w:pPr>
              <w:keepNext/>
              <w:jc w:val="center"/>
              <w:rPr>
                <w:rFonts w:ascii="Arial" w:hAnsi="Arial" w:cs="Arial"/>
                <w:sz w:val="16"/>
                <w:szCs w:val="16"/>
              </w:rPr>
            </w:pPr>
            <w:r w:rsidRPr="005D0593">
              <w:rPr>
                <w:rFonts w:ascii="Arial" w:hAnsi="Arial" w:cs="Arial"/>
                <w:sz w:val="16"/>
                <w:szCs w:val="16"/>
              </w:rPr>
              <w:t>$74,880</w:t>
            </w:r>
          </w:p>
        </w:tc>
      </w:tr>
      <w:tr w14:paraId="6AB8C1DA" w14:textId="77777777" w:rsidTr="001676C5">
        <w:tblPrEx>
          <w:tblW w:w="8996" w:type="dxa"/>
          <w:tblInd w:w="-10" w:type="dxa"/>
          <w:tblLook w:val="04A0"/>
        </w:tblPrEx>
        <w:trPr>
          <w:trHeight w:val="287"/>
        </w:trPr>
        <w:tc>
          <w:tcPr>
            <w:tcW w:w="1301" w:type="dxa"/>
            <w:tcBorders>
              <w:top w:val="single" w:sz="4" w:space="0" w:color="auto"/>
              <w:left w:val="single" w:sz="12" w:space="0" w:color="auto"/>
              <w:bottom w:val="single" w:sz="12" w:space="0" w:color="auto"/>
              <w:right w:val="single" w:sz="4" w:space="0" w:color="auto"/>
            </w:tcBorders>
            <w:shd w:val="clear" w:color="000000" w:fill="FFFFFF"/>
            <w:noWrap/>
            <w:vAlign w:val="bottom"/>
            <w:hideMark/>
          </w:tcPr>
          <w:p w:rsidR="00717707" w:rsidRPr="005D0593" w:rsidP="003E7F81" w14:paraId="5A605CB3" w14:textId="77777777">
            <w:pPr>
              <w:keepNext/>
              <w:rPr>
                <w:rFonts w:ascii="Arial" w:hAnsi="Arial" w:cs="Arial"/>
                <w:sz w:val="16"/>
                <w:szCs w:val="16"/>
              </w:rPr>
            </w:pPr>
            <w:r w:rsidRPr="005D0593">
              <w:rPr>
                <w:rFonts w:ascii="Arial" w:hAnsi="Arial" w:cs="Arial"/>
                <w:sz w:val="16"/>
                <w:szCs w:val="16"/>
              </w:rPr>
              <w:t>3-Yr Annual Average</w:t>
            </w:r>
          </w:p>
        </w:tc>
        <w:tc>
          <w:tcPr>
            <w:tcW w:w="3030" w:type="dxa"/>
            <w:tcBorders>
              <w:top w:val="single" w:sz="4" w:space="0" w:color="auto"/>
              <w:left w:val="nil"/>
              <w:bottom w:val="single" w:sz="12" w:space="0" w:color="auto"/>
              <w:right w:val="single" w:sz="4" w:space="0" w:color="auto"/>
            </w:tcBorders>
            <w:shd w:val="clear" w:color="000000" w:fill="FFFFFF"/>
            <w:noWrap/>
            <w:vAlign w:val="bottom"/>
          </w:tcPr>
          <w:p w:rsidR="00717707" w:rsidRPr="005D0593" w:rsidP="003E7F81" w14:paraId="3DD1169E" w14:textId="77777777">
            <w:pPr>
              <w:keepNext/>
              <w:jc w:val="center"/>
              <w:rPr>
                <w:rFonts w:ascii="Arial" w:hAnsi="Arial" w:cs="Arial"/>
                <w:sz w:val="16"/>
                <w:szCs w:val="16"/>
              </w:rPr>
            </w:pPr>
            <w:r w:rsidRPr="005D0593">
              <w:rPr>
                <w:rFonts w:ascii="Arial" w:hAnsi="Arial" w:cs="Arial"/>
                <w:sz w:val="16"/>
                <w:szCs w:val="16"/>
              </w:rPr>
              <w:t>20,483</w:t>
            </w:r>
          </w:p>
        </w:tc>
        <w:tc>
          <w:tcPr>
            <w:tcW w:w="2329" w:type="dxa"/>
            <w:tcBorders>
              <w:top w:val="single" w:sz="4" w:space="0" w:color="auto"/>
              <w:left w:val="nil"/>
              <w:bottom w:val="single" w:sz="12" w:space="0" w:color="auto"/>
              <w:right w:val="single" w:sz="4" w:space="0" w:color="auto"/>
            </w:tcBorders>
            <w:shd w:val="clear" w:color="000000" w:fill="FFFFFF"/>
            <w:noWrap/>
            <w:vAlign w:val="bottom"/>
          </w:tcPr>
          <w:p w:rsidR="00717707" w:rsidRPr="005D0593" w:rsidP="003E7F81" w14:paraId="195D9234" w14:textId="77777777">
            <w:pPr>
              <w:keepNext/>
              <w:jc w:val="center"/>
              <w:rPr>
                <w:rFonts w:ascii="Arial" w:hAnsi="Arial" w:cs="Arial"/>
                <w:sz w:val="16"/>
                <w:szCs w:val="16"/>
              </w:rPr>
            </w:pPr>
            <w:r w:rsidRPr="005D0593">
              <w:rPr>
                <w:rFonts w:ascii="Arial" w:hAnsi="Arial" w:cs="Arial"/>
                <w:sz w:val="16"/>
                <w:szCs w:val="16"/>
              </w:rPr>
              <w:t>410</w:t>
            </w:r>
          </w:p>
        </w:tc>
        <w:tc>
          <w:tcPr>
            <w:tcW w:w="2336" w:type="dxa"/>
            <w:tcBorders>
              <w:top w:val="single" w:sz="4" w:space="0" w:color="auto"/>
              <w:left w:val="nil"/>
              <w:bottom w:val="single" w:sz="4" w:space="0" w:color="auto"/>
              <w:right w:val="single" w:sz="12" w:space="0" w:color="auto"/>
            </w:tcBorders>
            <w:shd w:val="clear" w:color="000000" w:fill="FFFFFF"/>
            <w:noWrap/>
            <w:vAlign w:val="bottom"/>
          </w:tcPr>
          <w:p w:rsidR="00717707" w:rsidRPr="005D0593" w:rsidP="003E7F81" w14:paraId="35BE9076" w14:textId="77777777">
            <w:pPr>
              <w:keepNext/>
              <w:jc w:val="center"/>
              <w:rPr>
                <w:rFonts w:ascii="Arial" w:hAnsi="Arial" w:cs="Arial"/>
                <w:sz w:val="16"/>
                <w:szCs w:val="16"/>
              </w:rPr>
            </w:pPr>
            <w:r w:rsidRPr="005D0593">
              <w:rPr>
                <w:rFonts w:ascii="Arial" w:hAnsi="Arial" w:cs="Arial"/>
                <w:sz w:val="16"/>
                <w:szCs w:val="16"/>
              </w:rPr>
              <w:t>$24,960</w:t>
            </w:r>
          </w:p>
        </w:tc>
      </w:tr>
      <w:tr w14:paraId="6F1B2B55" w14:textId="77777777" w:rsidTr="003E7F81">
        <w:tblPrEx>
          <w:tblW w:w="8996" w:type="dxa"/>
          <w:tblInd w:w="-10" w:type="dxa"/>
          <w:tblLook w:val="04A0"/>
        </w:tblPrEx>
        <w:trPr>
          <w:trHeight w:val="290"/>
        </w:trPr>
        <w:tc>
          <w:tcPr>
            <w:tcW w:w="8996" w:type="dxa"/>
            <w:gridSpan w:val="4"/>
            <w:tcBorders>
              <w:top w:val="single" w:sz="12" w:space="0" w:color="auto"/>
              <w:left w:val="nil"/>
              <w:bottom w:val="nil"/>
              <w:right w:val="nil"/>
            </w:tcBorders>
            <w:shd w:val="clear" w:color="auto" w:fill="auto"/>
            <w:noWrap/>
            <w:vAlign w:val="bottom"/>
            <w:hideMark/>
          </w:tcPr>
          <w:p w:rsidR="00717707" w:rsidRPr="005D0593" w:rsidP="003E7F81" w14:paraId="4CF1B0DF" w14:textId="77777777">
            <w:pPr>
              <w:keepNext/>
              <w:spacing w:after="200"/>
              <w:rPr>
                <w:rFonts w:ascii="Calibri" w:hAnsi="Calibri"/>
                <w:sz w:val="16"/>
                <w:szCs w:val="16"/>
              </w:rPr>
            </w:pPr>
            <w:r w:rsidRPr="005D0593">
              <w:rPr>
                <w:rFonts w:ascii="Calibri" w:hAnsi="Calibri"/>
                <w:sz w:val="16"/>
                <w:szCs w:val="16"/>
              </w:rPr>
              <w:t>(1) Number of occurrences is the number of new or revised data elements to be reported times the facility count for each applicable subpart or sector with new data elements.</w:t>
            </w:r>
          </w:p>
        </w:tc>
      </w:tr>
    </w:tbl>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3F506B" w14:paraId="7FCA1ABF" w14:textId="05349376">
      <w:pPr>
        <w:spacing w:before="60"/>
        <w:ind w:firstLine="360"/>
        <w:rPr>
          <w:rFonts w:cstheme="minorHAnsi"/>
        </w:rPr>
      </w:pPr>
      <w:r>
        <w:rPr>
          <w:rFonts w:cstheme="minorHAnsi"/>
        </w:rPr>
        <w:t>There are no non-labor costs to</w:t>
      </w:r>
      <w:r w:rsidRPr="001676C5">
        <w:t xml:space="preserve"> </w:t>
      </w:r>
      <w:r w:rsidRPr="005D0593">
        <w:t xml:space="preserve">the federal government associated with </w:t>
      </w:r>
      <w:r w:rsidR="000B7A41">
        <w:t xml:space="preserve">the rule changes included in </w:t>
      </w:r>
      <w:r w:rsidRPr="005D0593">
        <w:t>this information collection</w:t>
      </w:r>
      <w:r>
        <w:t>.</w:t>
      </w:r>
    </w:p>
    <w:p w:rsidR="004620CA" w:rsidRPr="00163C69" w:rsidP="00565AEA" w14:paraId="3144CC9D" w14:textId="72F4E703">
      <w:pPr>
        <w:pStyle w:val="ListParagraph"/>
        <w:numPr>
          <w:ilvl w:val="0"/>
          <w:numId w:val="3"/>
        </w:numPr>
        <w:spacing w:before="240" w:after="0"/>
        <w:rPr>
          <w:b/>
          <w:bCs/>
        </w:rPr>
      </w:pPr>
      <w:r w:rsidRPr="4BDBF0A0">
        <w:rPr>
          <w:b/>
          <w:bCs/>
        </w:rPr>
        <w:t xml:space="preserve">REASONS FOR </w:t>
      </w:r>
      <w:r w:rsidRPr="4BDBF0A0" w:rsidR="00AD46F7">
        <w:rPr>
          <w:b/>
          <w:bCs/>
        </w:rPr>
        <w:t>CHANGE IN BURDEN</w:t>
      </w:r>
      <w:bookmarkEnd w:id="37"/>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717707" w:rsidRPr="005D0593" w:rsidP="00535066" w14:paraId="1A2C5379" w14:textId="227983F7">
      <w:pPr>
        <w:keepNext/>
        <w:ind w:firstLine="720"/>
      </w:pPr>
      <w:r w:rsidRPr="005D0593">
        <w:t xml:space="preserve">This section presents the change in burden based on the final revisions and explains the reasons for the change in burden. This </w:t>
      </w:r>
      <w:r>
        <w:t>final</w:t>
      </w:r>
      <w:r w:rsidRPr="005D0593">
        <w:t xml:space="preserve"> rule will result in an overall average annual burden of 25,647 hours </w:t>
      </w:r>
      <w:r w:rsidRPr="005D0593">
        <w:t xml:space="preserve">and $2,676,114 over the three years covered by this information collection. The EPA’s final revisions to </w:t>
      </w:r>
      <w:r w:rsidRPr="005D0593">
        <w:t>part</w:t>
      </w:r>
      <w:r w:rsidRPr="005D0593">
        <w:t xml:space="preserve"> 98 that impose either a reduction or increase in burden and costs for respondents are identified below and described in more detail in the</w:t>
      </w:r>
      <w:r w:rsidRPr="005D0593">
        <w:rPr>
          <w:bCs/>
        </w:rPr>
        <w:t xml:space="preserve"> Impacts Assessment</w:t>
      </w:r>
      <w:r w:rsidRPr="005D0593">
        <w:t>.</w:t>
      </w:r>
    </w:p>
    <w:p w:rsidR="00717707" w:rsidRPr="00717707" w:rsidP="00717707" w14:paraId="318B15FC" w14:textId="77777777">
      <w:pPr>
        <w:pStyle w:val="BodyText"/>
        <w:ind w:firstLine="720"/>
        <w:rPr>
          <w:rFonts w:asciiTheme="minorHAnsi" w:eastAsiaTheme="minorEastAsia" w:hAnsiTheme="minorHAnsi" w:cstheme="minorBidi"/>
          <w:sz w:val="22"/>
          <w:szCs w:val="22"/>
        </w:rPr>
      </w:pPr>
      <w:r w:rsidRPr="00717707">
        <w:rPr>
          <w:rFonts w:asciiTheme="minorHAnsi" w:eastAsiaTheme="minorEastAsia" w:hAnsiTheme="minorHAnsi" w:cstheme="minorBidi"/>
          <w:sz w:val="22"/>
          <w:szCs w:val="22"/>
        </w:rPr>
        <w:t xml:space="preserve">The final amendments will revise the applicability for certain sectors. These revisions would expand the number of respondents reporting to the GHGRP in certain industrial sectors. The final revisions would apply to facilities affected by revisions to Table A-1 to </w:t>
      </w:r>
      <w:r w:rsidRPr="00717707">
        <w:rPr>
          <w:rFonts w:asciiTheme="minorHAnsi" w:eastAsiaTheme="minorEastAsia" w:hAnsiTheme="minorHAnsi" w:cstheme="minorBidi"/>
          <w:sz w:val="22"/>
          <w:szCs w:val="22"/>
        </w:rPr>
        <w:t>part</w:t>
      </w:r>
      <w:r w:rsidRPr="00717707">
        <w:rPr>
          <w:rFonts w:asciiTheme="minorHAnsi" w:eastAsiaTheme="minorEastAsia" w:hAnsiTheme="minorHAnsi" w:cstheme="minorBidi"/>
          <w:sz w:val="22"/>
          <w:szCs w:val="22"/>
        </w:rPr>
        <w:t xml:space="preserve"> 98 in subparts V (Nitric Acid Production), W (Petroleum and Natural Gas Systems), DD (Electrical Transmission and Distribution Equipment Use), HH (Municipal Solid Waste Landfills), II (Industrial Wastewater Treatment), OO (Suppliers of Industrial Greenhouse Gases), and TT (Industrial Waste Landfills); revisions to include or exclude certain types of facilities under subparts P (Hydrogen Production) and Y (Petroleum Refineries); revisions to the applicability estimation methods of subpart I (Electronics Manufacturing) that will include one additional facility not currently reporting; and revisions to add new reporting requirements under new subparts VV (Geologic Sequestration of Carbon Dioxide with Enhanced Oil Recovery Using ISO 27916), WW (Coke Calciners), XX (Calcium Carbide Production), YY (Caprolactam, Glyoxal, and Glyoxylic Acid Production), and ZZ (Ceramics Manufacturing). For subparts I, P, V, Y, W, DD, HH, II, OO, and TT, the final revisions to applicability only impact the number of respondents that would report under these subparts. The final revisions to applicability result in an increase in burden for facilities in the affected sectors who were not previously required to report under the GHGRP. For subparts V and Y, the final revisions would result in a decrease in the number of facilities reporting to these subparts, which would result in no increase or a decrease in burden. The change in burden for reporters under existing subparts I, P, V, W, Y, DD, HH, II, OO, and TT is estimated at $5,214,548 in the first year of this information collection, and $5,208,338 in subsequent years. These costs include $2,714,087 in annual non-labor costs in the first year and subsequent years,</w:t>
      </w:r>
    </w:p>
    <w:p w:rsidR="00717707" w:rsidRPr="00717707" w:rsidP="00717707" w14:paraId="3FD733E5" w14:textId="77777777">
      <w:pPr>
        <w:pStyle w:val="BodyText"/>
        <w:ind w:firstLine="720"/>
        <w:rPr>
          <w:rFonts w:asciiTheme="minorHAnsi" w:eastAsiaTheme="minorEastAsia" w:hAnsiTheme="minorHAnsi" w:cstheme="minorBidi"/>
          <w:sz w:val="22"/>
          <w:szCs w:val="22"/>
        </w:rPr>
      </w:pPr>
      <w:r w:rsidRPr="00717707">
        <w:rPr>
          <w:rFonts w:asciiTheme="minorHAnsi" w:eastAsiaTheme="minorEastAsia" w:hAnsiTheme="minorHAnsi" w:cstheme="minorBidi"/>
          <w:sz w:val="22"/>
          <w:szCs w:val="22"/>
        </w:rPr>
        <w:t>For the new subparts VV, WW, XX, YY, and ZZ, the requirements would require the collection of new data (approximately 75 new data elements), and would implement certain calculation, monitoring, and recordkeeping and reporting requirements for the affected facilities. Where feasible, the EPA has included requirements that rely on production or materials data that are currently collected by facilities to estimate GHG emissions for annual reports, and has estimated the burden for the associated planning; monitoring, sampling, and analysis; QA/QC; recordkeeping; and reporting for compliance. The final revisions also reduce the reporting burden by implementing facility definitions and thresholds to exclude small reporters, or reduce burden by relying on calculation methods that use data routinely captured by facilities in the standard course of business. Additionally, new subpart VV applies to certain existing facilities that conduct enhanced oil recovery (EOR) and that currently report under subpart UU of part 98. These reporters have the option to begin reporting under new subpart VV after January 1, 2025, or may otherwise continue to report under subpart UU; therefore, the new subpart would not expand the existing coverage of facilities subject to the GHGRP. The burden increase for new reporting under subparts VV, WW, XX, YY, and ZZ is estimated at $131,301 in the first year of this information collection, and $124,619 in subsequent years. These costs include $21,645 in annual non-labor costs in the first year and $21,833 in subsequent years.</w:t>
      </w:r>
    </w:p>
    <w:p w:rsidR="00717707" w:rsidRPr="00717707" w:rsidP="00717707" w14:paraId="3DEEBFBE" w14:textId="77777777">
      <w:pPr>
        <w:pStyle w:val="BodyText"/>
        <w:ind w:firstLine="720"/>
        <w:rPr>
          <w:rFonts w:asciiTheme="minorHAnsi" w:eastAsiaTheme="minorEastAsia" w:hAnsiTheme="minorHAnsi" w:cstheme="minorBidi"/>
          <w:sz w:val="22"/>
          <w:szCs w:val="22"/>
        </w:rPr>
      </w:pPr>
      <w:r w:rsidRPr="00717707">
        <w:rPr>
          <w:rFonts w:asciiTheme="minorHAnsi" w:eastAsiaTheme="minorEastAsia" w:hAnsiTheme="minorHAnsi" w:cstheme="minorBidi"/>
          <w:sz w:val="22"/>
          <w:szCs w:val="22"/>
        </w:rPr>
        <w:t xml:space="preserve">The final revisions also include revisions that would streamline or improve calculation methods for subparts C (General Stationary Fuel Combustion), P (Hydrogen Production), AA (Pulp and Paper Manufacturing) and HH (Municipal Solid Waste Landfills). For subpart C, the final rule revises the calculation methodologies under 40 CFR 98.33(e)(3)(iv)(A) to reduce burden for facilities that combust MSW or tires by removing requirements for additional sampling and analysis of data. For subparts AA </w:t>
      </w:r>
      <w:r w:rsidRPr="00717707">
        <w:rPr>
          <w:rFonts w:asciiTheme="minorHAnsi" w:eastAsiaTheme="minorEastAsia" w:hAnsiTheme="minorHAnsi" w:cstheme="minorBidi"/>
          <w:sz w:val="22"/>
          <w:szCs w:val="22"/>
        </w:rPr>
        <w:t>and HH, the final revisions include adding or revising the calculation methodologies to improve the quality of the emissions data reported; these revisions require additional labor burden for respondents to adjust their internal reporting methods and to review readily available data from facilities and conduct engineering calculations. The final revisions do not require additional monitoring or sampling. The total burden change for revisions to calculation methodologies in subparts C, AA and HH is $4,703 in the first year and $6,297 in subsequent years. For subpart P, the final rule allows the use of product specification information annually in lieu of monthly sampling and analysis for gaseous non-hydrocarbon fuels and feedstocks that have carbon content below a specified value; these revisions result in a reduction in O&amp;M costs of $1,920 for reporters using fuels or feedstocks with a low carbon content in each year.</w:t>
      </w:r>
    </w:p>
    <w:p w:rsidR="00717707" w:rsidRPr="00717707" w:rsidP="00717707" w14:paraId="0B3EB6EA" w14:textId="1B148BE9">
      <w:pPr>
        <w:pStyle w:val="BodyText"/>
        <w:ind w:firstLine="720"/>
        <w:rPr>
          <w:rFonts w:asciiTheme="minorHAnsi" w:eastAsiaTheme="minorEastAsia" w:hAnsiTheme="minorHAnsi" w:cstheme="minorBidi"/>
          <w:sz w:val="22"/>
          <w:szCs w:val="22"/>
        </w:rPr>
      </w:pPr>
      <w:r w:rsidRPr="00717707">
        <w:rPr>
          <w:rFonts w:asciiTheme="minorHAnsi" w:eastAsiaTheme="minorEastAsia" w:hAnsiTheme="minorHAnsi" w:cstheme="minorBidi"/>
          <w:sz w:val="22"/>
          <w:szCs w:val="22"/>
        </w:rPr>
        <w:t xml:space="preserve">The final revisions also revise the current recordkeeping and reporting under part 98 by requiring 122 new and revised data elements be reported via e-GGRT or entered into IVT in e-GGRT for 19 existing subparts. This includes 79 new data elements that have not been previously reported and 43 data elements that have been significantly revised. For each of the new and significantly revised data elements, respondents are required to ascertain or calculate the data element using readily available data (data that are generally collected as part of a facility’s standard course of business, such a material consumption or production data) and submit the value via e-GGRT or enter the value into the EPA’s IVT. For subpart I (Electronics Manufacturing), four new data elements in the final rule pertain to the technology assessment report required under 40 CFR 98.96(y), which would be required to be submitted with the annual report every five years. The annual burden and costs associated with these subpart I data elements are applied in only the third year covered by this data collection. The new and revised data elements for each subpart and the number of respondents required to report the data elements are included in Table 1 of Attachment 1. These revisions increase the burden and cost to existing reporters. The EPA is also removing 10 data elements in two subparts (subparts C and Y) that are currently required to be reported (see </w:t>
      </w:r>
      <w:r w:rsidR="00BB0164">
        <w:rPr>
          <w:rFonts w:asciiTheme="minorHAnsi" w:eastAsiaTheme="minorEastAsia" w:hAnsiTheme="minorHAnsi" w:cstheme="minorBidi"/>
          <w:sz w:val="22"/>
          <w:szCs w:val="22"/>
        </w:rPr>
        <w:t>sec</w:t>
      </w:r>
      <w:r w:rsidR="00087ADC">
        <w:rPr>
          <w:rFonts w:asciiTheme="minorHAnsi" w:eastAsiaTheme="minorEastAsia" w:hAnsiTheme="minorHAnsi" w:cstheme="minorBidi"/>
          <w:sz w:val="22"/>
          <w:szCs w:val="22"/>
        </w:rPr>
        <w:t>tion 12b</w:t>
      </w:r>
      <w:r w:rsidRPr="00717707">
        <w:rPr>
          <w:rFonts w:asciiTheme="minorHAnsi" w:eastAsiaTheme="minorEastAsia" w:hAnsiTheme="minorHAnsi" w:cstheme="minorBidi"/>
          <w:sz w:val="22"/>
          <w:szCs w:val="22"/>
        </w:rPr>
        <w:t xml:space="preserve">). Respondents would no longer be required to calculate the data element and submit the value via e-GGRT as part of the annual reports currently required under </w:t>
      </w:r>
      <w:r w:rsidRPr="00717707">
        <w:rPr>
          <w:rFonts w:asciiTheme="minorHAnsi" w:eastAsiaTheme="minorEastAsia" w:hAnsiTheme="minorHAnsi" w:cstheme="minorBidi"/>
          <w:sz w:val="22"/>
          <w:szCs w:val="22"/>
        </w:rPr>
        <w:t>part</w:t>
      </w:r>
      <w:r w:rsidRPr="00717707">
        <w:rPr>
          <w:rFonts w:asciiTheme="minorHAnsi" w:eastAsiaTheme="minorEastAsia" w:hAnsiTheme="minorHAnsi" w:cstheme="minorBidi"/>
          <w:sz w:val="22"/>
          <w:szCs w:val="22"/>
        </w:rPr>
        <w:t xml:space="preserve"> 98. The removed data elements for each subpart and the number of respondents affected are included in Table 1 of Attachment 1. For all facilities impacted by new or revised data elements that are reported or entered into IVT in existing subparts (subparts C, G, H, I, N, P, Q, S, X, Y, AA, BB, DD, GG, HH, OO, PP, QQ, SS), the total annual cost is $70,320. The average burden increase is approximately $22 per reporter. There are no O&amp;M costs associated with the final amendments to recordkeeping and reporting.</w:t>
      </w:r>
    </w:p>
    <w:p w:rsidR="00717707" w:rsidRPr="00717707" w:rsidP="00717707" w14:paraId="7FFBEF25" w14:textId="77777777">
      <w:pPr>
        <w:pStyle w:val="BodyText"/>
        <w:ind w:firstLine="720"/>
        <w:rPr>
          <w:rFonts w:asciiTheme="minorHAnsi" w:eastAsiaTheme="minorEastAsia" w:hAnsiTheme="minorHAnsi" w:cstheme="minorBidi"/>
          <w:sz w:val="22"/>
          <w:szCs w:val="22"/>
        </w:rPr>
      </w:pPr>
      <w:r w:rsidRPr="00717707">
        <w:rPr>
          <w:rFonts w:asciiTheme="minorHAnsi" w:eastAsiaTheme="minorEastAsia" w:hAnsiTheme="minorHAnsi" w:cstheme="minorBidi"/>
          <w:sz w:val="22"/>
          <w:szCs w:val="22"/>
        </w:rPr>
        <w:t>The final costs have been adjusted from those proposed to remove costs where the EPA is not taking final action on specific proposed revisions to add subpart B (Energy Consumption), certain costs associated with proposed revisions to subpart W (Petroleum and Natural Gas Systems) included in the 2022 Data Quality Improvements Proposal, and costs associated with certain revisions to calculations, monitoring, or reporting requirements for subparts A (General Provisions), C (General Stationary Fuel Combustion), F (Aluminum Production), G (Ammonia Production), H (Cement Production), S (Lime Production), HH (Municipal Waste Landfills), OO (Suppliers of Industrial Greenhouse Gases), and QQ (Importers and Exporters of Fluorinated Greenhouse Gases Contained in Pre-Charged Equipment and Closed-Cell Foams). The burden of the final rule has also been adjusted to account for additional final reporting and recordkeeping requirements for subparts I (Electronics Manufacturing), P (Hydrogen Production), DD (Electrical Transmission and Distribution Equipment Use), and ZZ (Ceramics Manufacturing).</w:t>
      </w:r>
    </w:p>
    <w:p w:rsidR="00ED57A4" w:rsidRPr="00535066" w:rsidP="00535066" w14:paraId="18F76AB6" w14:textId="1F343B16">
      <w:pPr>
        <w:ind w:firstLine="720"/>
      </w:pPr>
      <w:r w:rsidRPr="005D0593">
        <w:t>The total increase in costs from all final revisions includes $5,418,494 in the first year, $5,405,019 in the second year, and $5,406,642 in the third year, or an average annual cost of $5,410,052. These costs include an annual average non-labor cost of $2,733,937.</w:t>
      </w:r>
      <w:r w:rsidR="00A11AFC">
        <w:t xml:space="preserve"> </w:t>
      </w:r>
      <w:r w:rsidRPr="005D0593">
        <w:t xml:space="preserve">Overall, the final revisions would result in an increase in costs. </w:t>
      </w:r>
    </w:p>
    <w:p w:rsidR="005D140B" w:rsidRPr="00163C69" w:rsidP="00565AEA" w14:paraId="3604F417" w14:textId="5D0F3160">
      <w:pPr>
        <w:pStyle w:val="ListParagraph"/>
        <w:numPr>
          <w:ilvl w:val="0"/>
          <w:numId w:val="3"/>
        </w:numPr>
        <w:spacing w:before="240" w:after="0"/>
        <w:rPr>
          <w:b/>
          <w:bCs/>
        </w:rPr>
      </w:pPr>
      <w:bookmarkStart w:id="38" w:name="_Toc156593389"/>
      <w:r w:rsidRPr="4BDBF0A0">
        <w:rPr>
          <w:b/>
          <w:bCs/>
        </w:rPr>
        <w:t xml:space="preserve">PUBLICATION OF </w:t>
      </w:r>
      <w:bookmarkStart w:id="39" w:name="_Toc156593390"/>
      <w:bookmarkEnd w:id="38"/>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63F77" w:rsidP="00B63F77" w14:paraId="1996AD34" w14:textId="0758AD94">
      <w:pPr>
        <w:ind w:firstLine="720"/>
      </w:pPr>
      <w:r w:rsidRPr="00535066">
        <w:t xml:space="preserve"> </w:t>
      </w:r>
      <w:r>
        <w:t xml:space="preserve">The GHGRP was developed, in large part, to collect comprehensive and accurate data to inform future climate policy development and support a range of possible policies and regulations, as discussed in </w:t>
      </w:r>
      <w:r w:rsidR="00BB0164">
        <w:t>sec</w:t>
      </w:r>
      <w:r>
        <w:t xml:space="preserve">tion 2 of this document. </w:t>
      </w:r>
      <w:r w:rsidRPr="005D0593">
        <w:t xml:space="preserve">The comprehensive GHG data reported directly from large facilities and suppliers across the country are accessible to the public via the EPA’s online data publication tool, also known as FLIGHT (Facility Level Information on Greenhouse gases Tool) at: </w:t>
      </w:r>
      <w:hyperlink r:id="rId10" w:history="1">
        <w:r w:rsidRPr="005D0593">
          <w:rPr>
            <w:rStyle w:val="Hyperlink"/>
            <w:i/>
            <w:iCs/>
          </w:rPr>
          <w:t>https://ghgdata.epa.gov/ghgp/main.do</w:t>
        </w:r>
      </w:hyperlink>
      <w:r w:rsidRPr="005D0593">
        <w:t>. FLIGHT is designed for the general public and allows users to view and sort GHG data for every reporting year starting with 2010 from over 8,000 entities in a variety of ways including by location, industrial sector, and type of GHG emitted. To support the needs of data users, all non-confidential data collected through the GHGRP are made available for download through Envirofacts (</w:t>
      </w:r>
      <w:hyperlink r:id="rId11" w:history="1">
        <w:r w:rsidRPr="005D0593">
          <w:rPr>
            <w:rStyle w:val="Hyperlink"/>
            <w:i/>
            <w:iCs/>
          </w:rPr>
          <w:t>https://www.epa.gov/enviro/</w:t>
        </w:r>
      </w:hyperlink>
      <w:r w:rsidRPr="005D0593">
        <w:t>), a cross-EPA data publication website.</w:t>
      </w:r>
      <w:r>
        <w:t xml:space="preserve"> The EPA</w:t>
      </w:r>
      <w:r w:rsidRPr="00535066">
        <w:t xml:space="preserve"> </w:t>
      </w:r>
      <w:r>
        <w:t>publishes aggregated versions of other certain data collected under the final rule, including totals, averages, and other aggregated versions of data submitted by individual reporters. The data that are aggregated were determined in this final rule or in previous rulemakings to be confidential business information in their original, non-aggregated form.</w:t>
      </w:r>
    </w:p>
    <w:p w:rsidR="00535066" w:rsidP="003F506B" w14:paraId="3E3CC17A" w14:textId="3E4A45BC">
      <w:pPr>
        <w:ind w:firstLine="360"/>
      </w:pPr>
      <w:r w:rsidRPr="000238A7">
        <w:t xml:space="preserve">A summary of the annual GHGRP data collected from each industrial sector for policy makers is also made available through interactive web pages known as the GHGRP Data Highlights. For those readers interested in more detail than is provided in the GHGRP Data Highlights for a particular sector, Sector Profiles have been developed which include EPA analysis of trends seen in emissions from the sector over the years covered by the GHGRP. These sector profiles are available electronically through the GHGRP website. </w:t>
      </w:r>
      <w:r w:rsidRPr="000238A7" w:rsidR="00493564">
        <w:t>Additional GHGRP-related publication materials (including state-specific dashboards, demographic information, fact sheets, summary data files, frequently requested datasets, etc.) are also available on the GHGRP website.</w:t>
      </w:r>
    </w:p>
    <w:p w:rsidR="003F506B" w:rsidRPr="003F506B" w:rsidP="003F506B" w14:paraId="4C39F981" w14:textId="77777777">
      <w:pPr>
        <w:spacing w:after="0"/>
        <w:ind w:firstLine="360"/>
      </w:pPr>
      <w:r w:rsidRPr="003F506B">
        <w:t xml:space="preserve">All data elements under this information collection will be submitted no more frequently than an annual basis as part of the respondent’s annual report required under </w:t>
      </w:r>
      <w:r w:rsidRPr="003F506B">
        <w:t>part</w:t>
      </w:r>
      <w:r w:rsidRPr="003F506B">
        <w:t xml:space="preserve"> 98. The EPA typically reviews the information collected at the end of each reporting year and conducts verification, quality assurance, aggregation activities, and other data analyses and publishes reports within 6 to 9 months of data collection. </w:t>
      </w:r>
    </w:p>
    <w:p w:rsidR="003F506B" w:rsidP="00565AEA" w14:paraId="7F998A0F" w14:textId="77777777">
      <w:pPr>
        <w:pStyle w:val="ListParagraph"/>
        <w:numPr>
          <w:ilvl w:val="0"/>
          <w:numId w:val="3"/>
        </w:numPr>
        <w:spacing w:before="240" w:after="0"/>
        <w:rPr>
          <w:b/>
          <w:bCs/>
        </w:rPr>
      </w:pPr>
      <w:r w:rsidRPr="4BDBF0A0">
        <w:rPr>
          <w:b/>
          <w:bCs/>
        </w:rPr>
        <w:t xml:space="preserve">DISPLAY OF EXPIRATION DATE </w:t>
      </w:r>
    </w:p>
    <w:bookmarkEnd w:id="39"/>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3F506B" w:rsidRPr="003F506B" w:rsidP="003F506B" w14:paraId="5BFDFD7C" w14:textId="77777777">
      <w:pPr>
        <w:spacing w:before="240" w:after="0"/>
        <w:rPr>
          <w:rFonts w:cstheme="minorHAnsi"/>
          <w:b/>
          <w:bCs/>
        </w:rPr>
      </w:pPr>
      <w:r w:rsidRPr="00440B11">
        <w:t xml:space="preserve">The agency </w:t>
      </w:r>
      <w:r w:rsidR="000B7A41">
        <w:t>will</w:t>
      </w:r>
      <w:r w:rsidRPr="00440B11">
        <w:t xml:space="preserve"> display the expiration date for </w:t>
      </w:r>
      <w:r w:rsidR="000B7A41">
        <w:t>this information collection</w:t>
      </w:r>
      <w:r w:rsidRPr="00440B11">
        <w:t>.</w:t>
      </w:r>
      <w:r w:rsidRPr="00493564" w:rsidR="00493564">
        <w:t xml:space="preserve"> </w:t>
      </w:r>
      <w:bookmarkStart w:id="40" w:name="_Toc156593391"/>
    </w:p>
    <w:p w:rsidR="00691828" w:rsidRPr="00163C69" w:rsidP="00565AEA" w14:paraId="7CCB26DD" w14:textId="0EF805AA">
      <w:pPr>
        <w:pStyle w:val="ListParagraph"/>
        <w:numPr>
          <w:ilvl w:val="0"/>
          <w:numId w:val="3"/>
        </w:numPr>
        <w:spacing w:before="240" w:after="0"/>
        <w:rPr>
          <w:rFonts w:cstheme="minorHAnsi"/>
          <w:b/>
          <w:bCs/>
        </w:rPr>
      </w:pPr>
      <w:r w:rsidRPr="00163C69">
        <w:rPr>
          <w:rFonts w:cstheme="minorHAnsi"/>
          <w:b/>
          <w:bCs/>
        </w:rPr>
        <w:t>CERTIFICATION STATEMENT</w:t>
      </w:r>
      <w:bookmarkEnd w:id="40"/>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E1504" w:rsidP="00EE1504" w14:paraId="6CE423F2" w14:textId="153B061A">
      <w:pPr>
        <w:pBdr>
          <w:top w:val="single" w:sz="6" w:space="0" w:color="FFFFFF"/>
          <w:left w:val="single" w:sz="6" w:space="0" w:color="FFFFFF"/>
          <w:bottom w:val="single" w:sz="6" w:space="0" w:color="FFFFFF"/>
          <w:right w:val="single" w:sz="6" w:space="0" w:color="FFFFFF"/>
        </w:pBdr>
      </w:pPr>
      <w:r w:rsidRPr="00914ED2">
        <w:t>This information collection complies with all provisions of the Certification for Paperwork Reduction Act Submissions.</w:t>
      </w:r>
    </w:p>
    <w:p w:rsidR="00BB3410" w:rsidP="000238A7" w14:paraId="7B7A2DA2" w14:textId="4FD65768">
      <w:pPr>
        <w:pBdr>
          <w:top w:val="single" w:sz="6" w:space="0" w:color="FFFFFF"/>
          <w:left w:val="single" w:sz="6" w:space="0" w:color="FFFFFF"/>
          <w:bottom w:val="single" w:sz="6" w:space="0" w:color="FFFFFF"/>
          <w:right w:val="single" w:sz="6" w:space="0" w:color="FFFFFF"/>
        </w:pBdr>
        <w:rPr>
          <w:rStyle w:val="normaltextrun"/>
          <w:rFonts w:cstheme="minorHAnsi"/>
          <w:color w:val="000000"/>
          <w:shd w:val="clear" w:color="auto" w:fill="FFFFFF"/>
        </w:rPr>
      </w:pPr>
      <w:r w:rsidRPr="00BB3410">
        <w:rPr>
          <w:rStyle w:val="normaltextrun"/>
          <w:rFonts w:cstheme="minorHAnsi"/>
          <w:color w:val="000000"/>
          <w:shd w:val="clear" w:color="auto" w:fill="FFFFFF"/>
        </w:rPr>
        <w:br w:type="page"/>
      </w:r>
    </w:p>
    <w:p w:rsidR="00EE1504" w:rsidRPr="00BB3410" w:rsidP="00BB3410" w14:paraId="0F10E677" w14:textId="43CACB1D">
      <w:pPr>
        <w:rPr>
          <w:rFonts w:cstheme="minorHAnsi"/>
          <w:color w:val="000000"/>
          <w:shd w:val="clear" w:color="auto" w:fill="FFFFFF"/>
        </w:rPr>
        <w:sectPr w:rsidSect="005100FD">
          <w:footerReference w:type="default" r:id="rId12"/>
          <w:pgSz w:w="12240" w:h="15840"/>
          <w:pgMar w:top="1440" w:right="1440" w:bottom="1440" w:left="1440" w:header="720" w:footer="720" w:gutter="0"/>
          <w:cols w:space="720"/>
          <w:docGrid w:linePitch="360"/>
        </w:sectPr>
      </w:pPr>
    </w:p>
    <w:p w:rsidR="009646B0" w:rsidRPr="005D0593" w:rsidP="009646B0" w14:paraId="2ECC59CA" w14:textId="77777777">
      <w:pPr>
        <w:pStyle w:val="Header"/>
        <w:outlineLvl w:val="0"/>
        <w:rPr>
          <w:b/>
          <w:szCs w:val="20"/>
        </w:rPr>
      </w:pPr>
      <w:r w:rsidRPr="005D0593">
        <w:rPr>
          <w:b/>
          <w:szCs w:val="20"/>
        </w:rPr>
        <w:t>Table 1. New, Revised, or Removed Data Elements by Source Category</w:t>
      </w:r>
    </w:p>
    <w:tbl>
      <w:tblPr>
        <w:tblStyle w:val="TableGrid"/>
        <w:tblW w:w="12937" w:type="dxa"/>
        <w:tblInd w:w="108" w:type="dxa"/>
        <w:tblLayout w:type="fixed"/>
        <w:tblLook w:val="04A0"/>
      </w:tblPr>
      <w:tblGrid>
        <w:gridCol w:w="1526"/>
        <w:gridCol w:w="2051"/>
        <w:gridCol w:w="3330"/>
        <w:gridCol w:w="2340"/>
        <w:gridCol w:w="3690"/>
      </w:tblGrid>
      <w:tr w14:paraId="4C4D35CF" w14:textId="77777777" w:rsidTr="004863F4">
        <w:tblPrEx>
          <w:tblW w:w="12937" w:type="dxa"/>
          <w:tblInd w:w="108" w:type="dxa"/>
          <w:tblLayout w:type="fixed"/>
          <w:tblLook w:val="04A0"/>
        </w:tblPrEx>
        <w:trPr>
          <w:cantSplit/>
          <w:trHeight w:val="288"/>
          <w:tblHeader/>
        </w:trPr>
        <w:tc>
          <w:tcPr>
            <w:tcW w:w="1526" w:type="dxa"/>
            <w:tcBorders>
              <w:top w:val="single" w:sz="4" w:space="0" w:color="auto"/>
            </w:tcBorders>
            <w:shd w:val="clear" w:color="auto" w:fill="ADB9CA" w:themeFill="text2" w:themeFillTint="66"/>
            <w:vAlign w:val="center"/>
          </w:tcPr>
          <w:p w:rsidR="009646B0" w:rsidRPr="000238A7" w:rsidP="004863F4" w14:paraId="709D68FB" w14:textId="77777777">
            <w:pPr>
              <w:pStyle w:val="BodyText"/>
              <w:spacing w:after="0"/>
              <w:jc w:val="center"/>
              <w:rPr>
                <w:rFonts w:asciiTheme="minorHAnsi" w:hAnsiTheme="minorHAnsi" w:cstheme="minorHAnsi"/>
                <w:b/>
                <w:sz w:val="20"/>
                <w:szCs w:val="20"/>
              </w:rPr>
            </w:pPr>
            <w:r w:rsidRPr="000238A7">
              <w:rPr>
                <w:rFonts w:asciiTheme="minorHAnsi" w:hAnsiTheme="minorHAnsi" w:cstheme="minorHAnsi"/>
                <w:b/>
                <w:sz w:val="20"/>
                <w:szCs w:val="20"/>
              </w:rPr>
              <w:t>Subpart</w:t>
            </w:r>
          </w:p>
        </w:tc>
        <w:tc>
          <w:tcPr>
            <w:tcW w:w="2051" w:type="dxa"/>
            <w:tcBorders>
              <w:top w:val="single" w:sz="4" w:space="0" w:color="auto"/>
            </w:tcBorders>
            <w:shd w:val="clear" w:color="auto" w:fill="ADB9CA" w:themeFill="text2" w:themeFillTint="66"/>
            <w:vAlign w:val="center"/>
          </w:tcPr>
          <w:p w:rsidR="009646B0" w:rsidRPr="000238A7" w:rsidP="004863F4" w14:paraId="61D153C7" w14:textId="77777777">
            <w:pPr>
              <w:pStyle w:val="BodyText"/>
              <w:spacing w:after="0"/>
              <w:jc w:val="center"/>
              <w:rPr>
                <w:rFonts w:asciiTheme="minorHAnsi" w:hAnsiTheme="minorHAnsi" w:cstheme="minorHAnsi"/>
                <w:b/>
                <w:sz w:val="20"/>
                <w:szCs w:val="20"/>
              </w:rPr>
            </w:pPr>
            <w:r w:rsidRPr="000238A7">
              <w:rPr>
                <w:rFonts w:asciiTheme="minorHAnsi" w:hAnsiTheme="minorHAnsi" w:cstheme="minorHAnsi"/>
                <w:b/>
                <w:sz w:val="20"/>
                <w:szCs w:val="20"/>
              </w:rPr>
              <w:t>Citation</w:t>
            </w:r>
          </w:p>
        </w:tc>
        <w:tc>
          <w:tcPr>
            <w:tcW w:w="3330" w:type="dxa"/>
            <w:tcBorders>
              <w:top w:val="single" w:sz="4" w:space="0" w:color="auto"/>
            </w:tcBorders>
            <w:shd w:val="clear" w:color="auto" w:fill="ADB9CA" w:themeFill="text2" w:themeFillTint="66"/>
            <w:vAlign w:val="center"/>
          </w:tcPr>
          <w:p w:rsidR="009646B0" w:rsidRPr="000238A7" w:rsidP="004863F4" w14:paraId="3687D707" w14:textId="77777777">
            <w:pPr>
              <w:pStyle w:val="BodyText"/>
              <w:spacing w:after="0"/>
              <w:jc w:val="center"/>
              <w:rPr>
                <w:rFonts w:asciiTheme="minorHAnsi" w:hAnsiTheme="minorHAnsi" w:cstheme="minorHAnsi"/>
                <w:b/>
                <w:sz w:val="20"/>
                <w:szCs w:val="20"/>
              </w:rPr>
            </w:pPr>
            <w:r w:rsidRPr="000238A7">
              <w:rPr>
                <w:rFonts w:asciiTheme="minorHAnsi" w:hAnsiTheme="minorHAnsi" w:cstheme="minorHAnsi"/>
                <w:b/>
                <w:sz w:val="20"/>
                <w:szCs w:val="20"/>
              </w:rPr>
              <w:t>Data Element(s) Required to be Reported</w:t>
            </w:r>
          </w:p>
        </w:tc>
        <w:tc>
          <w:tcPr>
            <w:tcW w:w="2340" w:type="dxa"/>
            <w:tcBorders>
              <w:top w:val="single" w:sz="4" w:space="0" w:color="auto"/>
            </w:tcBorders>
            <w:shd w:val="clear" w:color="auto" w:fill="ADB9CA" w:themeFill="text2" w:themeFillTint="66"/>
            <w:vAlign w:val="center"/>
          </w:tcPr>
          <w:p w:rsidR="009646B0" w:rsidRPr="000238A7" w:rsidP="004863F4" w14:paraId="14510A4D" w14:textId="77777777">
            <w:pPr>
              <w:pStyle w:val="BodyText"/>
              <w:spacing w:after="0"/>
              <w:jc w:val="center"/>
              <w:rPr>
                <w:rFonts w:asciiTheme="minorHAnsi" w:hAnsiTheme="minorHAnsi" w:cstheme="minorHAnsi"/>
                <w:b/>
                <w:sz w:val="20"/>
                <w:szCs w:val="20"/>
              </w:rPr>
            </w:pPr>
            <w:r w:rsidRPr="000238A7">
              <w:rPr>
                <w:rFonts w:asciiTheme="minorHAnsi" w:hAnsiTheme="minorHAnsi" w:cstheme="minorHAnsi"/>
                <w:b/>
                <w:sz w:val="20"/>
                <w:szCs w:val="20"/>
              </w:rPr>
              <w:t>Change or Revision</w:t>
            </w:r>
          </w:p>
        </w:tc>
        <w:tc>
          <w:tcPr>
            <w:tcW w:w="3690" w:type="dxa"/>
            <w:tcBorders>
              <w:top w:val="single" w:sz="4" w:space="0" w:color="auto"/>
            </w:tcBorders>
            <w:shd w:val="clear" w:color="auto" w:fill="ADB9CA" w:themeFill="text2" w:themeFillTint="66"/>
            <w:vAlign w:val="center"/>
          </w:tcPr>
          <w:p w:rsidR="009646B0" w:rsidRPr="000238A7" w:rsidP="004863F4" w14:paraId="0404EEE3" w14:textId="77777777">
            <w:pPr>
              <w:pStyle w:val="BodyText"/>
              <w:spacing w:after="0"/>
              <w:jc w:val="center"/>
              <w:rPr>
                <w:rFonts w:asciiTheme="minorHAnsi" w:hAnsiTheme="minorHAnsi" w:cstheme="minorHAnsi"/>
                <w:b/>
                <w:sz w:val="20"/>
                <w:szCs w:val="20"/>
              </w:rPr>
            </w:pPr>
            <w:r w:rsidRPr="000238A7">
              <w:rPr>
                <w:rFonts w:asciiTheme="minorHAnsi" w:hAnsiTheme="minorHAnsi" w:cstheme="minorHAnsi"/>
                <w:b/>
                <w:sz w:val="20"/>
                <w:szCs w:val="20"/>
              </w:rPr>
              <w:t>Change in Burden</w:t>
            </w:r>
          </w:p>
        </w:tc>
      </w:tr>
      <w:tr w14:paraId="28AE8EE4" w14:textId="77777777" w:rsidTr="004863F4">
        <w:tblPrEx>
          <w:tblW w:w="12937" w:type="dxa"/>
          <w:tblInd w:w="108" w:type="dxa"/>
          <w:tblLayout w:type="fixed"/>
          <w:tblLook w:val="04A0"/>
        </w:tblPrEx>
        <w:tc>
          <w:tcPr>
            <w:tcW w:w="1526" w:type="dxa"/>
            <w:vMerge w:val="restart"/>
          </w:tcPr>
          <w:p w:rsidR="009646B0" w:rsidRPr="000238A7" w:rsidP="004863F4" w14:paraId="49161AA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C – General Stationary Fuel Combustion </w:t>
            </w:r>
          </w:p>
        </w:tc>
        <w:tc>
          <w:tcPr>
            <w:tcW w:w="2051" w:type="dxa"/>
          </w:tcPr>
          <w:p w:rsidR="009646B0" w:rsidRPr="000238A7" w:rsidP="004863F4" w14:paraId="7008FA9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98.36(c)(1)(vi)</w:t>
            </w:r>
          </w:p>
        </w:tc>
        <w:tc>
          <w:tcPr>
            <w:tcW w:w="3330" w:type="dxa"/>
          </w:tcPr>
          <w:p w:rsidR="009646B0" w:rsidRPr="000238A7" w:rsidP="004863F4" w14:paraId="23834E9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Annual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emissions from combustion of all fossil fuels combined (in metric tons) if any of the units in an aggregation of units burn both fossil fuels and biomass.</w:t>
            </w:r>
          </w:p>
        </w:tc>
        <w:tc>
          <w:tcPr>
            <w:tcW w:w="2340" w:type="dxa"/>
          </w:tcPr>
          <w:p w:rsidR="009646B0" w:rsidRPr="000238A7" w:rsidP="004863F4" w14:paraId="7F6B1D4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Removed</w:t>
            </w:r>
          </w:p>
        </w:tc>
        <w:tc>
          <w:tcPr>
            <w:tcW w:w="3690" w:type="dxa"/>
          </w:tcPr>
          <w:p w:rsidR="009646B0" w:rsidRPr="000238A7" w:rsidP="004863F4" w14:paraId="4B4ECA2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Decrease – Respondents will no longer be required to calculate the data element and submit the value via e-GGRT as part of the annual report. This will affect ~149 respondents annually.</w:t>
            </w:r>
          </w:p>
        </w:tc>
      </w:tr>
      <w:tr w14:paraId="0F0D99C1" w14:textId="77777777" w:rsidTr="004863F4">
        <w:tblPrEx>
          <w:tblW w:w="12937" w:type="dxa"/>
          <w:tblInd w:w="108" w:type="dxa"/>
          <w:tblLayout w:type="fixed"/>
          <w:tblLook w:val="04A0"/>
        </w:tblPrEx>
        <w:tc>
          <w:tcPr>
            <w:tcW w:w="1526" w:type="dxa"/>
            <w:vMerge/>
          </w:tcPr>
          <w:p w:rsidR="009646B0" w:rsidRPr="000238A7" w:rsidP="004863F4" w14:paraId="4BAC8E4E" w14:textId="77777777">
            <w:pPr>
              <w:pStyle w:val="BodyText"/>
              <w:spacing w:after="0"/>
              <w:rPr>
                <w:rFonts w:asciiTheme="minorHAnsi" w:hAnsiTheme="minorHAnsi" w:cstheme="minorHAnsi"/>
                <w:sz w:val="20"/>
                <w:szCs w:val="20"/>
              </w:rPr>
            </w:pPr>
          </w:p>
        </w:tc>
        <w:tc>
          <w:tcPr>
            <w:tcW w:w="2051" w:type="dxa"/>
          </w:tcPr>
          <w:p w:rsidR="009646B0" w:rsidRPr="000238A7" w:rsidP="004863F4" w14:paraId="35DC192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98.36(c)(3)(vi)</w:t>
            </w:r>
          </w:p>
        </w:tc>
        <w:tc>
          <w:tcPr>
            <w:tcW w:w="3330" w:type="dxa"/>
          </w:tcPr>
          <w:p w:rsidR="009646B0" w:rsidRPr="000238A7" w:rsidP="004863F4" w14:paraId="57BCFC2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Annual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emissions from combustion of all fossil fuels combined (in metric tons) if any of the units in a common pipe configuration burn both fossil fuels and biomass.</w:t>
            </w:r>
          </w:p>
        </w:tc>
        <w:tc>
          <w:tcPr>
            <w:tcW w:w="2340" w:type="dxa"/>
          </w:tcPr>
          <w:p w:rsidR="009646B0" w:rsidRPr="000238A7" w:rsidP="004863F4" w14:paraId="0823277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Removed</w:t>
            </w:r>
          </w:p>
        </w:tc>
        <w:tc>
          <w:tcPr>
            <w:tcW w:w="3690" w:type="dxa"/>
          </w:tcPr>
          <w:p w:rsidR="009646B0" w:rsidRPr="000238A7" w:rsidP="004863F4" w14:paraId="47AE916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Decrease – Respondents will no longer be required to calculate the data element and submit the value via e-GGRT as part of the annual report. This will affect ~82 respondents annually.</w:t>
            </w:r>
          </w:p>
        </w:tc>
      </w:tr>
      <w:tr w14:paraId="47576596" w14:textId="77777777" w:rsidTr="004863F4">
        <w:tblPrEx>
          <w:tblW w:w="12937" w:type="dxa"/>
          <w:tblInd w:w="108" w:type="dxa"/>
          <w:tblLayout w:type="fixed"/>
          <w:tblLook w:val="04A0"/>
        </w:tblPrEx>
        <w:tc>
          <w:tcPr>
            <w:tcW w:w="1526" w:type="dxa"/>
            <w:vMerge/>
          </w:tcPr>
          <w:p w:rsidR="009646B0" w:rsidRPr="000238A7" w:rsidP="004863F4" w14:paraId="17D03976" w14:textId="77777777">
            <w:pPr>
              <w:pStyle w:val="BodyText"/>
              <w:spacing w:after="0"/>
              <w:rPr>
                <w:rFonts w:asciiTheme="minorHAnsi" w:hAnsiTheme="minorHAnsi" w:cstheme="minorHAnsi"/>
                <w:sz w:val="20"/>
                <w:szCs w:val="20"/>
              </w:rPr>
            </w:pPr>
          </w:p>
        </w:tc>
        <w:tc>
          <w:tcPr>
            <w:tcW w:w="2051" w:type="dxa"/>
          </w:tcPr>
          <w:p w:rsidR="009646B0" w:rsidRPr="000238A7" w:rsidP="004863F4" w14:paraId="2A392E1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98.33(e)</w:t>
            </w:r>
          </w:p>
        </w:tc>
        <w:tc>
          <w:tcPr>
            <w:tcW w:w="3330" w:type="dxa"/>
          </w:tcPr>
          <w:p w:rsidR="009646B0" w:rsidRPr="000238A7" w:rsidP="004863F4" w14:paraId="6EAB355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Starting in reporting year (RY) 2022, mandatory reporting for tire combustors of the metric tons of biogenic CO2 emissions separately from the combined combustion of biomass and fossil fuels.</w:t>
            </w:r>
          </w:p>
        </w:tc>
        <w:tc>
          <w:tcPr>
            <w:tcW w:w="2340" w:type="dxa"/>
          </w:tcPr>
          <w:p w:rsidR="009646B0" w:rsidRPr="000238A7" w:rsidP="004863F4" w14:paraId="392997B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0BAEAE0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will affect ~28 respondents annually.</w:t>
            </w:r>
          </w:p>
        </w:tc>
      </w:tr>
      <w:tr w14:paraId="02186521" w14:textId="77777777" w:rsidTr="004863F4">
        <w:tblPrEx>
          <w:tblW w:w="12937" w:type="dxa"/>
          <w:tblInd w:w="108" w:type="dxa"/>
          <w:tblLayout w:type="fixed"/>
          <w:tblLook w:val="04A0"/>
        </w:tblPrEx>
        <w:tc>
          <w:tcPr>
            <w:tcW w:w="1526" w:type="dxa"/>
          </w:tcPr>
          <w:p w:rsidR="009646B0" w:rsidRPr="000238A7" w:rsidP="004863F4" w14:paraId="7EE10EE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G – Ammonia Manufacturing</w:t>
            </w:r>
          </w:p>
        </w:tc>
        <w:tc>
          <w:tcPr>
            <w:tcW w:w="2051" w:type="dxa"/>
          </w:tcPr>
          <w:p w:rsidR="009646B0" w:rsidRPr="000238A7" w:rsidP="004863F4" w14:paraId="1B064F0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98.76(b)(16)</w:t>
            </w:r>
          </w:p>
        </w:tc>
        <w:tc>
          <w:tcPr>
            <w:tcW w:w="3330" w:type="dxa"/>
          </w:tcPr>
          <w:p w:rsidR="009646B0" w:rsidRPr="000238A7" w:rsidP="004863F4" w14:paraId="5C116FC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a CEMS is not used to measure emissions, annual quantity of excess hydrogen produced that is not consumed through the production of ammonia (metric tons).</w:t>
            </w:r>
          </w:p>
        </w:tc>
        <w:tc>
          <w:tcPr>
            <w:tcW w:w="2340" w:type="dxa"/>
          </w:tcPr>
          <w:p w:rsidR="009646B0" w:rsidRPr="000238A7" w:rsidP="004863F4" w14:paraId="23F997F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39475F1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G that do not use a CEMS and will affect ~29 reporters annually.</w:t>
            </w:r>
          </w:p>
        </w:tc>
      </w:tr>
      <w:tr w14:paraId="3A7B57BA" w14:textId="77777777" w:rsidTr="004863F4">
        <w:tblPrEx>
          <w:tblW w:w="12937" w:type="dxa"/>
          <w:tblInd w:w="108" w:type="dxa"/>
          <w:tblLayout w:type="fixed"/>
          <w:tblLook w:val="04A0"/>
        </w:tblPrEx>
        <w:tc>
          <w:tcPr>
            <w:tcW w:w="1526" w:type="dxa"/>
            <w:vMerge w:val="restart"/>
          </w:tcPr>
          <w:p w:rsidR="009646B0" w:rsidRPr="000238A7" w:rsidP="004863F4" w14:paraId="7CEC600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H – Cement Production</w:t>
            </w:r>
          </w:p>
        </w:tc>
        <w:tc>
          <w:tcPr>
            <w:tcW w:w="2051" w:type="dxa"/>
          </w:tcPr>
          <w:p w:rsidR="009646B0" w:rsidRPr="000238A7" w:rsidP="004863F4" w14:paraId="132DD45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98.86(a)(4)</w:t>
            </w:r>
          </w:p>
        </w:tc>
        <w:tc>
          <w:tcPr>
            <w:tcW w:w="3330" w:type="dxa"/>
          </w:tcPr>
          <w:p w:rsidR="009646B0" w:rsidRPr="000238A7" w:rsidP="004863F4" w14:paraId="6038546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lang w:val="en"/>
              </w:rPr>
              <w:t xml:space="preserve">Annual arithmetic average of total </w:t>
            </w:r>
            <w:r w:rsidRPr="000238A7">
              <w:rPr>
                <w:rFonts w:asciiTheme="minorHAnsi" w:hAnsiTheme="minorHAnsi" w:cstheme="minorHAnsi"/>
                <w:sz w:val="20"/>
                <w:szCs w:val="20"/>
                <w:lang w:val="en"/>
              </w:rPr>
              <w:t>CaO</w:t>
            </w:r>
            <w:r w:rsidRPr="000238A7">
              <w:rPr>
                <w:rFonts w:asciiTheme="minorHAnsi" w:hAnsiTheme="minorHAnsi" w:cstheme="minorHAnsi"/>
                <w:sz w:val="20"/>
                <w:szCs w:val="20"/>
                <w:lang w:val="en"/>
              </w:rPr>
              <w:t xml:space="preserve"> content of clinker at the facility (weight fraction) (CEMS)</w:t>
            </w:r>
          </w:p>
        </w:tc>
        <w:tc>
          <w:tcPr>
            <w:tcW w:w="2340" w:type="dxa"/>
          </w:tcPr>
          <w:p w:rsidR="009646B0" w:rsidRPr="000238A7" w:rsidP="004863F4" w14:paraId="6C0A560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6393DC6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H that use a CEMS and will affect ~90 reporters annually.</w:t>
            </w:r>
          </w:p>
        </w:tc>
      </w:tr>
      <w:tr w14:paraId="69B422BD" w14:textId="77777777" w:rsidTr="004863F4">
        <w:tblPrEx>
          <w:tblW w:w="12937" w:type="dxa"/>
          <w:tblInd w:w="108" w:type="dxa"/>
          <w:tblLayout w:type="fixed"/>
          <w:tblLook w:val="04A0"/>
        </w:tblPrEx>
        <w:tc>
          <w:tcPr>
            <w:tcW w:w="1526" w:type="dxa"/>
            <w:vMerge/>
          </w:tcPr>
          <w:p w:rsidR="009646B0" w:rsidRPr="000238A7" w:rsidP="004863F4" w14:paraId="28E13B29" w14:textId="77777777">
            <w:pPr>
              <w:pStyle w:val="BodyText"/>
              <w:spacing w:after="0"/>
              <w:rPr>
                <w:rFonts w:asciiTheme="minorHAnsi" w:hAnsiTheme="minorHAnsi" w:cstheme="minorHAnsi"/>
                <w:sz w:val="20"/>
                <w:szCs w:val="20"/>
              </w:rPr>
            </w:pPr>
          </w:p>
        </w:tc>
        <w:tc>
          <w:tcPr>
            <w:tcW w:w="2051" w:type="dxa"/>
          </w:tcPr>
          <w:p w:rsidR="009646B0" w:rsidRPr="000238A7" w:rsidP="004863F4" w14:paraId="63A75D6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98.86(a)(5)</w:t>
            </w:r>
          </w:p>
        </w:tc>
        <w:tc>
          <w:tcPr>
            <w:tcW w:w="3330" w:type="dxa"/>
          </w:tcPr>
          <w:p w:rsidR="009646B0" w:rsidRPr="000238A7" w:rsidP="004863F4" w14:paraId="26B6F32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lang w:val="en"/>
              </w:rPr>
              <w:t xml:space="preserve">Annual arithmetic average of non-calcined </w:t>
            </w:r>
            <w:r w:rsidRPr="000238A7">
              <w:rPr>
                <w:rFonts w:asciiTheme="minorHAnsi" w:hAnsiTheme="minorHAnsi" w:cstheme="minorHAnsi"/>
                <w:sz w:val="20"/>
                <w:szCs w:val="20"/>
                <w:lang w:val="en"/>
              </w:rPr>
              <w:t>CaO</w:t>
            </w:r>
            <w:r w:rsidRPr="000238A7">
              <w:rPr>
                <w:rFonts w:asciiTheme="minorHAnsi" w:hAnsiTheme="minorHAnsi" w:cstheme="minorHAnsi"/>
                <w:sz w:val="20"/>
                <w:szCs w:val="20"/>
                <w:lang w:val="en"/>
              </w:rPr>
              <w:t xml:space="preserve"> content of clinker at the facility (weight fraction) (CEMS)</w:t>
            </w:r>
          </w:p>
        </w:tc>
        <w:tc>
          <w:tcPr>
            <w:tcW w:w="2340" w:type="dxa"/>
          </w:tcPr>
          <w:p w:rsidR="009646B0" w:rsidRPr="000238A7" w:rsidP="004863F4" w14:paraId="539B555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0924F41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H that use a CEMS and will affect ~90 reporters annually</w:t>
            </w:r>
          </w:p>
        </w:tc>
      </w:tr>
      <w:tr w14:paraId="2FEBC964" w14:textId="77777777" w:rsidTr="004863F4">
        <w:tblPrEx>
          <w:tblW w:w="12937" w:type="dxa"/>
          <w:tblInd w:w="108" w:type="dxa"/>
          <w:tblLayout w:type="fixed"/>
          <w:tblLook w:val="04A0"/>
        </w:tblPrEx>
        <w:tc>
          <w:tcPr>
            <w:tcW w:w="1526" w:type="dxa"/>
            <w:vMerge/>
          </w:tcPr>
          <w:p w:rsidR="009646B0" w:rsidRPr="000238A7" w:rsidP="004863F4" w14:paraId="3EA5A273" w14:textId="77777777">
            <w:pPr>
              <w:pStyle w:val="BodyText"/>
              <w:spacing w:after="0"/>
              <w:rPr>
                <w:rFonts w:asciiTheme="minorHAnsi" w:hAnsiTheme="minorHAnsi" w:cstheme="minorHAnsi"/>
                <w:sz w:val="20"/>
                <w:szCs w:val="20"/>
              </w:rPr>
            </w:pPr>
          </w:p>
        </w:tc>
        <w:tc>
          <w:tcPr>
            <w:tcW w:w="2051" w:type="dxa"/>
          </w:tcPr>
          <w:p w:rsidR="009646B0" w:rsidRPr="000238A7" w:rsidP="004863F4" w14:paraId="7355DDE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98.86(a)(6)</w:t>
            </w:r>
          </w:p>
        </w:tc>
        <w:tc>
          <w:tcPr>
            <w:tcW w:w="3330" w:type="dxa"/>
          </w:tcPr>
          <w:p w:rsidR="009646B0" w:rsidRPr="000238A7" w:rsidP="004863F4" w14:paraId="402FF09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lang w:val="en"/>
              </w:rPr>
              <w:t>Annual arithmetic average of total MgO content of clinker at the facility (weight fraction) (CEMS)</w:t>
            </w:r>
          </w:p>
        </w:tc>
        <w:tc>
          <w:tcPr>
            <w:tcW w:w="2340" w:type="dxa"/>
          </w:tcPr>
          <w:p w:rsidR="009646B0" w:rsidRPr="000238A7" w:rsidP="004863F4" w14:paraId="0A2DB7E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16F4299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H that use a CEMS and will affect ~90 reporters annually</w:t>
            </w:r>
          </w:p>
        </w:tc>
      </w:tr>
      <w:tr w14:paraId="02894ACB" w14:textId="77777777" w:rsidTr="004863F4">
        <w:tblPrEx>
          <w:tblW w:w="12937" w:type="dxa"/>
          <w:tblInd w:w="108" w:type="dxa"/>
          <w:tblLayout w:type="fixed"/>
          <w:tblLook w:val="04A0"/>
        </w:tblPrEx>
        <w:tc>
          <w:tcPr>
            <w:tcW w:w="1526" w:type="dxa"/>
            <w:vMerge/>
          </w:tcPr>
          <w:p w:rsidR="009646B0" w:rsidRPr="000238A7" w:rsidP="004863F4" w14:paraId="0399C4C5" w14:textId="77777777">
            <w:pPr>
              <w:pStyle w:val="BodyText"/>
              <w:spacing w:after="0"/>
              <w:rPr>
                <w:rFonts w:asciiTheme="minorHAnsi" w:hAnsiTheme="minorHAnsi" w:cstheme="minorHAnsi"/>
                <w:sz w:val="20"/>
                <w:szCs w:val="20"/>
              </w:rPr>
            </w:pPr>
          </w:p>
        </w:tc>
        <w:tc>
          <w:tcPr>
            <w:tcW w:w="2051" w:type="dxa"/>
          </w:tcPr>
          <w:p w:rsidR="009646B0" w:rsidRPr="000238A7" w:rsidP="004863F4" w14:paraId="3D1E58F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98.86(a)(7)</w:t>
            </w:r>
          </w:p>
        </w:tc>
        <w:tc>
          <w:tcPr>
            <w:tcW w:w="3330" w:type="dxa"/>
          </w:tcPr>
          <w:p w:rsidR="009646B0" w:rsidRPr="000238A7" w:rsidP="004863F4" w14:paraId="5047B35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lang w:val="en"/>
              </w:rPr>
              <w:t>Annual arithmetic average of non-calcined MgO content of clinker at the facility (weight fraction) (CEMS)</w:t>
            </w:r>
          </w:p>
        </w:tc>
        <w:tc>
          <w:tcPr>
            <w:tcW w:w="2340" w:type="dxa"/>
          </w:tcPr>
          <w:p w:rsidR="009646B0" w:rsidRPr="000238A7" w:rsidP="004863F4" w14:paraId="69B76ED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3D22FE7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H that use a CEMS and will affect ~90 reporters annually</w:t>
            </w:r>
          </w:p>
        </w:tc>
      </w:tr>
      <w:tr w14:paraId="4433BFB7" w14:textId="77777777" w:rsidTr="004863F4">
        <w:tblPrEx>
          <w:tblW w:w="12937" w:type="dxa"/>
          <w:tblInd w:w="108" w:type="dxa"/>
          <w:tblLayout w:type="fixed"/>
          <w:tblLook w:val="04A0"/>
        </w:tblPrEx>
        <w:tc>
          <w:tcPr>
            <w:tcW w:w="1526" w:type="dxa"/>
            <w:vMerge w:val="restart"/>
          </w:tcPr>
          <w:p w:rsidR="009646B0" w:rsidRPr="000238A7" w:rsidP="004863F4" w14:paraId="6806F14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H – Cement Production</w:t>
            </w:r>
          </w:p>
        </w:tc>
        <w:tc>
          <w:tcPr>
            <w:tcW w:w="2051" w:type="dxa"/>
          </w:tcPr>
          <w:p w:rsidR="009646B0" w:rsidRPr="000238A7" w:rsidP="004863F4" w14:paraId="6D6274E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98.86(a)(12)</w:t>
            </w:r>
          </w:p>
        </w:tc>
        <w:tc>
          <w:tcPr>
            <w:tcW w:w="3330" w:type="dxa"/>
          </w:tcPr>
          <w:p w:rsidR="009646B0" w:rsidRPr="000238A7" w:rsidP="004863F4" w14:paraId="752C93E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lang w:val="en"/>
              </w:rPr>
              <w:t>Annual facility CKD not recycled to the kiln(s)</w:t>
            </w:r>
            <w:r w:rsidRPr="000238A7">
              <w:rPr>
                <w:rFonts w:asciiTheme="minorHAnsi" w:hAnsiTheme="minorHAnsi" w:cstheme="minorHAnsi"/>
                <w:sz w:val="20"/>
                <w:szCs w:val="20"/>
              </w:rPr>
              <w:t xml:space="preserve"> (tons) (CEMS)</w:t>
            </w:r>
          </w:p>
        </w:tc>
        <w:tc>
          <w:tcPr>
            <w:tcW w:w="2340" w:type="dxa"/>
          </w:tcPr>
          <w:p w:rsidR="009646B0" w:rsidRPr="000238A7" w:rsidP="004863F4" w14:paraId="4A3386E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35CAE80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H that use a CEMS and will affect ~90 reporters annually</w:t>
            </w:r>
          </w:p>
        </w:tc>
      </w:tr>
      <w:tr w14:paraId="4CCC8BAF" w14:textId="77777777" w:rsidTr="004863F4">
        <w:tblPrEx>
          <w:tblW w:w="12937" w:type="dxa"/>
          <w:tblInd w:w="108" w:type="dxa"/>
          <w:tblLayout w:type="fixed"/>
          <w:tblLook w:val="04A0"/>
        </w:tblPrEx>
        <w:tc>
          <w:tcPr>
            <w:tcW w:w="1526" w:type="dxa"/>
            <w:vMerge/>
          </w:tcPr>
          <w:p w:rsidR="009646B0" w:rsidRPr="000238A7" w:rsidP="004863F4" w14:paraId="104E964A" w14:textId="77777777">
            <w:pPr>
              <w:pStyle w:val="BodyText"/>
              <w:spacing w:after="0"/>
              <w:rPr>
                <w:rFonts w:asciiTheme="minorHAnsi" w:hAnsiTheme="minorHAnsi" w:cstheme="minorHAnsi"/>
                <w:sz w:val="20"/>
                <w:szCs w:val="20"/>
              </w:rPr>
            </w:pPr>
          </w:p>
        </w:tc>
        <w:tc>
          <w:tcPr>
            <w:tcW w:w="2051" w:type="dxa"/>
          </w:tcPr>
          <w:p w:rsidR="009646B0" w:rsidRPr="000238A7" w:rsidP="004863F4" w14:paraId="31E8615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98.86(b)(19)</w:t>
            </w:r>
          </w:p>
        </w:tc>
        <w:tc>
          <w:tcPr>
            <w:tcW w:w="3330" w:type="dxa"/>
          </w:tcPr>
          <w:p w:rsidR="009646B0" w:rsidRPr="000238A7" w:rsidP="004863F4" w14:paraId="3AE9F80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lang w:val="en"/>
              </w:rPr>
              <w:t xml:space="preserve">Annual arithmetic average of total </w:t>
            </w:r>
            <w:r w:rsidRPr="000238A7">
              <w:rPr>
                <w:rFonts w:asciiTheme="minorHAnsi" w:hAnsiTheme="minorHAnsi" w:cstheme="minorHAnsi"/>
                <w:sz w:val="20"/>
                <w:szCs w:val="20"/>
                <w:lang w:val="en"/>
              </w:rPr>
              <w:t>CaO</w:t>
            </w:r>
            <w:r w:rsidRPr="000238A7">
              <w:rPr>
                <w:rFonts w:asciiTheme="minorHAnsi" w:hAnsiTheme="minorHAnsi" w:cstheme="minorHAnsi"/>
                <w:sz w:val="20"/>
                <w:szCs w:val="20"/>
                <w:lang w:val="en"/>
              </w:rPr>
              <w:t xml:space="preserve"> content of clinker at the facility (weight fraction) (No CEMS)</w:t>
            </w:r>
          </w:p>
        </w:tc>
        <w:tc>
          <w:tcPr>
            <w:tcW w:w="2340" w:type="dxa"/>
          </w:tcPr>
          <w:p w:rsidR="009646B0" w:rsidRPr="000238A7" w:rsidP="004863F4" w14:paraId="3CDD06B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0656D8E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available data and submit the value via e-GGRT as part of the annual report. This data element applies to all respondents </w:t>
            </w:r>
            <w:r w:rsidRPr="000238A7">
              <w:rPr>
                <w:rFonts w:asciiTheme="minorHAnsi" w:hAnsiTheme="minorHAnsi" w:cstheme="minorHAnsi"/>
                <w:sz w:val="20"/>
                <w:szCs w:val="20"/>
              </w:rPr>
              <w:t>subject to subpart H that do not use a CEMS and will affect ~4 reporters annually</w:t>
            </w:r>
          </w:p>
        </w:tc>
      </w:tr>
      <w:tr w14:paraId="0A03139F" w14:textId="77777777" w:rsidTr="004863F4">
        <w:tblPrEx>
          <w:tblW w:w="12937" w:type="dxa"/>
          <w:tblInd w:w="108" w:type="dxa"/>
          <w:tblLayout w:type="fixed"/>
          <w:tblLook w:val="04A0"/>
        </w:tblPrEx>
        <w:tc>
          <w:tcPr>
            <w:tcW w:w="1526" w:type="dxa"/>
            <w:vMerge/>
          </w:tcPr>
          <w:p w:rsidR="009646B0" w:rsidRPr="000238A7" w:rsidP="004863F4" w14:paraId="5E178A05" w14:textId="77777777">
            <w:pPr>
              <w:pStyle w:val="BodyText"/>
              <w:spacing w:after="0"/>
              <w:rPr>
                <w:rFonts w:asciiTheme="minorHAnsi" w:hAnsiTheme="minorHAnsi" w:cstheme="minorHAnsi"/>
                <w:sz w:val="20"/>
                <w:szCs w:val="20"/>
              </w:rPr>
            </w:pPr>
          </w:p>
        </w:tc>
        <w:tc>
          <w:tcPr>
            <w:tcW w:w="2051" w:type="dxa"/>
          </w:tcPr>
          <w:p w:rsidR="009646B0" w:rsidRPr="000238A7" w:rsidP="004863F4" w14:paraId="4816CCA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98.86(b)(20)</w:t>
            </w:r>
          </w:p>
        </w:tc>
        <w:tc>
          <w:tcPr>
            <w:tcW w:w="3330" w:type="dxa"/>
          </w:tcPr>
          <w:p w:rsidR="009646B0" w:rsidRPr="000238A7" w:rsidP="004863F4" w14:paraId="2DB6705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lang w:val="en"/>
              </w:rPr>
              <w:t xml:space="preserve">Annual arithmetic average of non-calcined </w:t>
            </w:r>
            <w:r w:rsidRPr="000238A7">
              <w:rPr>
                <w:rFonts w:asciiTheme="minorHAnsi" w:hAnsiTheme="minorHAnsi" w:cstheme="minorHAnsi"/>
                <w:sz w:val="20"/>
                <w:szCs w:val="20"/>
                <w:lang w:val="en"/>
              </w:rPr>
              <w:t>CaO</w:t>
            </w:r>
            <w:r w:rsidRPr="000238A7">
              <w:rPr>
                <w:rFonts w:asciiTheme="minorHAnsi" w:hAnsiTheme="minorHAnsi" w:cstheme="minorHAnsi"/>
                <w:sz w:val="20"/>
                <w:szCs w:val="20"/>
                <w:lang w:val="en"/>
              </w:rPr>
              <w:t xml:space="preserve"> content of clinker at the facility (weight fraction) (No CEMS)</w:t>
            </w:r>
          </w:p>
        </w:tc>
        <w:tc>
          <w:tcPr>
            <w:tcW w:w="2340" w:type="dxa"/>
          </w:tcPr>
          <w:p w:rsidR="009646B0" w:rsidRPr="000238A7" w:rsidP="004863F4" w14:paraId="4B00D0F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795D43E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H that do not use a CEMS and will affect ~4 reporters annually</w:t>
            </w:r>
          </w:p>
        </w:tc>
      </w:tr>
      <w:tr w14:paraId="592B2CF3" w14:textId="77777777" w:rsidTr="004863F4">
        <w:tblPrEx>
          <w:tblW w:w="12937" w:type="dxa"/>
          <w:tblInd w:w="108" w:type="dxa"/>
          <w:tblLayout w:type="fixed"/>
          <w:tblLook w:val="04A0"/>
        </w:tblPrEx>
        <w:tc>
          <w:tcPr>
            <w:tcW w:w="1526" w:type="dxa"/>
            <w:vMerge/>
          </w:tcPr>
          <w:p w:rsidR="009646B0" w:rsidRPr="000238A7" w:rsidP="004863F4" w14:paraId="33146373" w14:textId="77777777">
            <w:pPr>
              <w:pStyle w:val="BodyText"/>
              <w:spacing w:after="0"/>
              <w:rPr>
                <w:rFonts w:asciiTheme="minorHAnsi" w:hAnsiTheme="minorHAnsi" w:cstheme="minorHAnsi"/>
                <w:sz w:val="20"/>
                <w:szCs w:val="20"/>
              </w:rPr>
            </w:pPr>
          </w:p>
        </w:tc>
        <w:tc>
          <w:tcPr>
            <w:tcW w:w="2051" w:type="dxa"/>
          </w:tcPr>
          <w:p w:rsidR="009646B0" w:rsidRPr="000238A7" w:rsidP="004863F4" w14:paraId="3037FE7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98.86(b)(21)</w:t>
            </w:r>
          </w:p>
        </w:tc>
        <w:tc>
          <w:tcPr>
            <w:tcW w:w="3330" w:type="dxa"/>
          </w:tcPr>
          <w:p w:rsidR="009646B0" w:rsidRPr="000238A7" w:rsidP="004863F4" w14:paraId="6F29938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lang w:val="en"/>
              </w:rPr>
              <w:t>Annual arithmetic average of total MgO content of clinker at the facility (weight fraction) (No CEMS)</w:t>
            </w:r>
          </w:p>
        </w:tc>
        <w:tc>
          <w:tcPr>
            <w:tcW w:w="2340" w:type="dxa"/>
          </w:tcPr>
          <w:p w:rsidR="009646B0" w:rsidRPr="000238A7" w:rsidP="004863F4" w14:paraId="290CED9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7003B45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H that do not use a CEMS and will affect ~4 reporters annually</w:t>
            </w:r>
          </w:p>
        </w:tc>
      </w:tr>
      <w:tr w14:paraId="674E414B" w14:textId="77777777" w:rsidTr="004863F4">
        <w:tblPrEx>
          <w:tblW w:w="12937" w:type="dxa"/>
          <w:tblInd w:w="108" w:type="dxa"/>
          <w:tblLayout w:type="fixed"/>
          <w:tblLook w:val="04A0"/>
        </w:tblPrEx>
        <w:tc>
          <w:tcPr>
            <w:tcW w:w="1526" w:type="dxa"/>
            <w:vMerge w:val="restart"/>
          </w:tcPr>
          <w:p w:rsidR="009646B0" w:rsidRPr="000238A7" w:rsidP="004863F4" w14:paraId="6868461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H – Cement Production</w:t>
            </w:r>
          </w:p>
        </w:tc>
        <w:tc>
          <w:tcPr>
            <w:tcW w:w="2051" w:type="dxa"/>
          </w:tcPr>
          <w:p w:rsidR="009646B0" w:rsidRPr="000238A7" w:rsidP="004863F4" w14:paraId="0356863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98.86(b)(22)</w:t>
            </w:r>
          </w:p>
        </w:tc>
        <w:tc>
          <w:tcPr>
            <w:tcW w:w="3330" w:type="dxa"/>
          </w:tcPr>
          <w:p w:rsidR="009646B0" w:rsidRPr="000238A7" w:rsidP="004863F4" w14:paraId="296821A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lang w:val="en"/>
              </w:rPr>
              <w:t>Annual arithmetic average of non-calcined MgO content of clinker at the facility (weight fraction) (No CEMS)</w:t>
            </w:r>
          </w:p>
        </w:tc>
        <w:tc>
          <w:tcPr>
            <w:tcW w:w="2340" w:type="dxa"/>
          </w:tcPr>
          <w:p w:rsidR="009646B0" w:rsidRPr="000238A7" w:rsidP="004863F4" w14:paraId="1AE0FC6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444006B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H that do not use a CEMS and will affect ~4 reporters annually</w:t>
            </w:r>
          </w:p>
        </w:tc>
      </w:tr>
      <w:tr w14:paraId="5D65DB11" w14:textId="77777777" w:rsidTr="004863F4">
        <w:tblPrEx>
          <w:tblW w:w="12937" w:type="dxa"/>
          <w:tblInd w:w="108" w:type="dxa"/>
          <w:tblLayout w:type="fixed"/>
          <w:tblLook w:val="04A0"/>
        </w:tblPrEx>
        <w:tc>
          <w:tcPr>
            <w:tcW w:w="1526" w:type="dxa"/>
            <w:vMerge/>
          </w:tcPr>
          <w:p w:rsidR="009646B0" w:rsidRPr="000238A7" w:rsidP="004863F4" w14:paraId="402BB788" w14:textId="77777777">
            <w:pPr>
              <w:pStyle w:val="BodyText"/>
              <w:spacing w:after="0"/>
              <w:rPr>
                <w:rFonts w:asciiTheme="minorHAnsi" w:hAnsiTheme="minorHAnsi" w:cstheme="minorHAnsi"/>
                <w:sz w:val="20"/>
                <w:szCs w:val="20"/>
              </w:rPr>
            </w:pPr>
          </w:p>
        </w:tc>
        <w:tc>
          <w:tcPr>
            <w:tcW w:w="2051" w:type="dxa"/>
          </w:tcPr>
          <w:p w:rsidR="009646B0" w:rsidRPr="000238A7" w:rsidP="004863F4" w14:paraId="682CBBB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98.86(b)(23)</w:t>
            </w:r>
          </w:p>
        </w:tc>
        <w:tc>
          <w:tcPr>
            <w:tcW w:w="3330" w:type="dxa"/>
          </w:tcPr>
          <w:p w:rsidR="009646B0" w:rsidRPr="000238A7" w:rsidP="004863F4" w14:paraId="172A371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lang w:val="en"/>
              </w:rPr>
              <w:t xml:space="preserve">Annual arithmetic average of total </w:t>
            </w:r>
            <w:r w:rsidRPr="000238A7">
              <w:rPr>
                <w:rFonts w:asciiTheme="minorHAnsi" w:hAnsiTheme="minorHAnsi" w:cstheme="minorHAnsi"/>
                <w:sz w:val="20"/>
                <w:szCs w:val="20"/>
                <w:lang w:val="en"/>
              </w:rPr>
              <w:t>CaO</w:t>
            </w:r>
            <w:r w:rsidRPr="000238A7">
              <w:rPr>
                <w:rFonts w:asciiTheme="minorHAnsi" w:hAnsiTheme="minorHAnsi" w:cstheme="minorHAnsi"/>
                <w:sz w:val="20"/>
                <w:szCs w:val="20"/>
                <w:lang w:val="en"/>
              </w:rPr>
              <w:t xml:space="preserve"> content of CKD not recycled to the kiln(s) at the facility (weight fraction) (No CEMS)</w:t>
            </w:r>
          </w:p>
        </w:tc>
        <w:tc>
          <w:tcPr>
            <w:tcW w:w="2340" w:type="dxa"/>
          </w:tcPr>
          <w:p w:rsidR="009646B0" w:rsidRPr="000238A7" w:rsidP="004863F4" w14:paraId="4991595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681DE1A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H that do not use a CEMS and will affect ~4 reporters annually</w:t>
            </w:r>
          </w:p>
        </w:tc>
      </w:tr>
      <w:tr w14:paraId="7404391F" w14:textId="77777777" w:rsidTr="004863F4">
        <w:tblPrEx>
          <w:tblW w:w="12937" w:type="dxa"/>
          <w:tblInd w:w="108" w:type="dxa"/>
          <w:tblLayout w:type="fixed"/>
          <w:tblLook w:val="04A0"/>
        </w:tblPrEx>
        <w:tc>
          <w:tcPr>
            <w:tcW w:w="1526" w:type="dxa"/>
            <w:vMerge/>
          </w:tcPr>
          <w:p w:rsidR="009646B0" w:rsidRPr="000238A7" w:rsidP="004863F4" w14:paraId="27920580" w14:textId="77777777">
            <w:pPr>
              <w:pStyle w:val="BodyText"/>
              <w:spacing w:after="0"/>
              <w:rPr>
                <w:rFonts w:asciiTheme="minorHAnsi" w:hAnsiTheme="minorHAnsi" w:cstheme="minorHAnsi"/>
                <w:sz w:val="20"/>
                <w:szCs w:val="20"/>
              </w:rPr>
            </w:pPr>
          </w:p>
        </w:tc>
        <w:tc>
          <w:tcPr>
            <w:tcW w:w="2051" w:type="dxa"/>
          </w:tcPr>
          <w:p w:rsidR="009646B0" w:rsidRPr="000238A7" w:rsidP="004863F4" w14:paraId="27E9CFA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98.86(b)(24)</w:t>
            </w:r>
          </w:p>
        </w:tc>
        <w:tc>
          <w:tcPr>
            <w:tcW w:w="3330" w:type="dxa"/>
          </w:tcPr>
          <w:p w:rsidR="009646B0" w:rsidRPr="000238A7" w:rsidP="004863F4" w14:paraId="4FD0E0F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lang w:val="en"/>
              </w:rPr>
              <w:t xml:space="preserve">Annual arithmetic average of non-calcined </w:t>
            </w:r>
            <w:r w:rsidRPr="000238A7">
              <w:rPr>
                <w:rFonts w:asciiTheme="minorHAnsi" w:hAnsiTheme="minorHAnsi" w:cstheme="minorHAnsi"/>
                <w:sz w:val="20"/>
                <w:szCs w:val="20"/>
                <w:lang w:val="en"/>
              </w:rPr>
              <w:t>CaO</w:t>
            </w:r>
            <w:r w:rsidRPr="000238A7">
              <w:rPr>
                <w:rFonts w:asciiTheme="minorHAnsi" w:hAnsiTheme="minorHAnsi" w:cstheme="minorHAnsi"/>
                <w:sz w:val="20"/>
                <w:szCs w:val="20"/>
                <w:lang w:val="en"/>
              </w:rPr>
              <w:t xml:space="preserve"> content of CKD not </w:t>
            </w:r>
            <w:r w:rsidRPr="000238A7">
              <w:rPr>
                <w:rFonts w:asciiTheme="minorHAnsi" w:hAnsiTheme="minorHAnsi" w:cstheme="minorHAnsi"/>
                <w:sz w:val="20"/>
                <w:szCs w:val="20"/>
                <w:lang w:val="en"/>
              </w:rPr>
              <w:t>recycled to the kiln(s) at the facility (weight fraction) (No CEMS)</w:t>
            </w:r>
          </w:p>
        </w:tc>
        <w:tc>
          <w:tcPr>
            <w:tcW w:w="2340" w:type="dxa"/>
          </w:tcPr>
          <w:p w:rsidR="009646B0" w:rsidRPr="000238A7" w:rsidP="004863F4" w14:paraId="1B53114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5CCB082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w:t>
            </w:r>
            <w:r w:rsidRPr="000238A7">
              <w:rPr>
                <w:rFonts w:asciiTheme="minorHAnsi" w:hAnsiTheme="minorHAnsi" w:cstheme="minorHAnsi"/>
                <w:sz w:val="20"/>
                <w:szCs w:val="20"/>
              </w:rPr>
              <w:t>GGRT as part of the annual report. This data element applies to all respondents subject to subpart H that do not use a CEMS and will affect ~4 reporters annually</w:t>
            </w:r>
          </w:p>
        </w:tc>
      </w:tr>
      <w:tr w14:paraId="37440219" w14:textId="77777777" w:rsidTr="004863F4">
        <w:tblPrEx>
          <w:tblW w:w="12937" w:type="dxa"/>
          <w:tblInd w:w="108" w:type="dxa"/>
          <w:tblLayout w:type="fixed"/>
          <w:tblLook w:val="04A0"/>
        </w:tblPrEx>
        <w:tc>
          <w:tcPr>
            <w:tcW w:w="1526" w:type="dxa"/>
            <w:vMerge/>
          </w:tcPr>
          <w:p w:rsidR="009646B0" w:rsidRPr="000238A7" w:rsidP="004863F4" w14:paraId="6110579D" w14:textId="77777777">
            <w:pPr>
              <w:pStyle w:val="BodyText"/>
              <w:spacing w:after="0"/>
              <w:rPr>
                <w:rFonts w:asciiTheme="minorHAnsi" w:hAnsiTheme="minorHAnsi" w:cstheme="minorHAnsi"/>
                <w:sz w:val="20"/>
                <w:szCs w:val="20"/>
              </w:rPr>
            </w:pPr>
          </w:p>
        </w:tc>
        <w:tc>
          <w:tcPr>
            <w:tcW w:w="2051" w:type="dxa"/>
          </w:tcPr>
          <w:p w:rsidR="009646B0" w:rsidRPr="000238A7" w:rsidP="004863F4" w14:paraId="4AFE1DE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98.86(b)(25)</w:t>
            </w:r>
          </w:p>
        </w:tc>
        <w:tc>
          <w:tcPr>
            <w:tcW w:w="3330" w:type="dxa"/>
          </w:tcPr>
          <w:p w:rsidR="009646B0" w:rsidRPr="000238A7" w:rsidP="004863F4" w14:paraId="11CD975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lang w:val="en"/>
              </w:rPr>
              <w:t>Annual arithmetic average of total MgO content of CKD not recycled to the kiln(s) at the facility (weight fraction) (No CEMS)</w:t>
            </w:r>
          </w:p>
        </w:tc>
        <w:tc>
          <w:tcPr>
            <w:tcW w:w="2340" w:type="dxa"/>
          </w:tcPr>
          <w:p w:rsidR="009646B0" w:rsidRPr="000238A7" w:rsidP="004863F4" w14:paraId="17337A1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2CE0630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H that do not use a CEMS and will affect ~4 reporters annually</w:t>
            </w:r>
          </w:p>
        </w:tc>
      </w:tr>
      <w:tr w14:paraId="4381E648" w14:textId="77777777" w:rsidTr="004863F4">
        <w:tblPrEx>
          <w:tblW w:w="12937" w:type="dxa"/>
          <w:tblInd w:w="108" w:type="dxa"/>
          <w:tblLayout w:type="fixed"/>
          <w:tblLook w:val="04A0"/>
        </w:tblPrEx>
        <w:tc>
          <w:tcPr>
            <w:tcW w:w="1526" w:type="dxa"/>
            <w:vMerge/>
          </w:tcPr>
          <w:p w:rsidR="009646B0" w:rsidRPr="000238A7" w:rsidP="004863F4" w14:paraId="47114AE7" w14:textId="77777777">
            <w:pPr>
              <w:pStyle w:val="BodyText"/>
              <w:spacing w:after="0"/>
              <w:rPr>
                <w:rFonts w:asciiTheme="minorHAnsi" w:hAnsiTheme="minorHAnsi" w:cstheme="minorHAnsi"/>
                <w:sz w:val="20"/>
                <w:szCs w:val="20"/>
              </w:rPr>
            </w:pPr>
          </w:p>
        </w:tc>
        <w:tc>
          <w:tcPr>
            <w:tcW w:w="2051" w:type="dxa"/>
          </w:tcPr>
          <w:p w:rsidR="009646B0" w:rsidRPr="000238A7" w:rsidP="004863F4" w14:paraId="7D73673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98.86(b)(26)</w:t>
            </w:r>
          </w:p>
        </w:tc>
        <w:tc>
          <w:tcPr>
            <w:tcW w:w="3330" w:type="dxa"/>
          </w:tcPr>
          <w:p w:rsidR="009646B0" w:rsidRPr="000238A7" w:rsidP="004863F4" w14:paraId="4F4CA1D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lang w:val="en"/>
              </w:rPr>
              <w:t>Annual arithmetic average of non-calcined MgO content not recycled to the kiln(s) at the facility (weight fraction) (No CEMS)</w:t>
            </w:r>
          </w:p>
        </w:tc>
        <w:tc>
          <w:tcPr>
            <w:tcW w:w="2340" w:type="dxa"/>
          </w:tcPr>
          <w:p w:rsidR="009646B0" w:rsidRPr="000238A7" w:rsidP="004863F4" w14:paraId="49EAB4A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4C21B0A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H that do not use a CEMS and will affect ~4 reporters annually</w:t>
            </w:r>
          </w:p>
        </w:tc>
      </w:tr>
      <w:tr w14:paraId="65B7760A" w14:textId="77777777" w:rsidTr="004863F4">
        <w:tblPrEx>
          <w:tblW w:w="12937" w:type="dxa"/>
          <w:tblInd w:w="108" w:type="dxa"/>
          <w:tblLayout w:type="fixed"/>
          <w:tblLook w:val="04A0"/>
        </w:tblPrEx>
        <w:tc>
          <w:tcPr>
            <w:tcW w:w="1526" w:type="dxa"/>
            <w:vMerge w:val="restart"/>
          </w:tcPr>
          <w:p w:rsidR="009646B0" w:rsidRPr="000238A7" w:rsidP="004863F4" w14:paraId="696C312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H – Cement Production</w:t>
            </w:r>
          </w:p>
        </w:tc>
        <w:tc>
          <w:tcPr>
            <w:tcW w:w="2051" w:type="dxa"/>
          </w:tcPr>
          <w:p w:rsidR="009646B0" w:rsidRPr="000238A7" w:rsidP="004863F4" w14:paraId="76A736B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98.86(b)(27)</w:t>
            </w:r>
          </w:p>
        </w:tc>
        <w:tc>
          <w:tcPr>
            <w:tcW w:w="3330" w:type="dxa"/>
          </w:tcPr>
          <w:p w:rsidR="009646B0" w:rsidRPr="000238A7" w:rsidP="004863F4" w14:paraId="07EB844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lang w:val="en"/>
              </w:rPr>
              <w:t>Annual facility CKD not recycled to the kiln(s)</w:t>
            </w:r>
            <w:r w:rsidRPr="000238A7">
              <w:rPr>
                <w:rFonts w:asciiTheme="minorHAnsi" w:hAnsiTheme="minorHAnsi" w:cstheme="minorHAnsi"/>
                <w:sz w:val="20"/>
                <w:szCs w:val="20"/>
              </w:rPr>
              <w:t xml:space="preserve"> (tons) (No CEMS)</w:t>
            </w:r>
          </w:p>
        </w:tc>
        <w:tc>
          <w:tcPr>
            <w:tcW w:w="2340" w:type="dxa"/>
          </w:tcPr>
          <w:p w:rsidR="009646B0" w:rsidRPr="000238A7" w:rsidP="004863F4" w14:paraId="713EFB7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1843379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H that do not use a CEMS and will affect ~4 reporters annually</w:t>
            </w:r>
          </w:p>
        </w:tc>
      </w:tr>
      <w:tr w14:paraId="076017A0" w14:textId="77777777" w:rsidTr="004863F4">
        <w:tblPrEx>
          <w:tblW w:w="12937" w:type="dxa"/>
          <w:tblInd w:w="108" w:type="dxa"/>
          <w:tblLayout w:type="fixed"/>
          <w:tblLook w:val="04A0"/>
        </w:tblPrEx>
        <w:tc>
          <w:tcPr>
            <w:tcW w:w="1526" w:type="dxa"/>
            <w:vMerge/>
          </w:tcPr>
          <w:p w:rsidR="009646B0" w:rsidRPr="000238A7" w:rsidP="004863F4" w14:paraId="4A383898" w14:textId="77777777">
            <w:pPr>
              <w:pStyle w:val="BodyText"/>
              <w:spacing w:after="0"/>
              <w:rPr>
                <w:rFonts w:asciiTheme="minorHAnsi" w:hAnsiTheme="minorHAnsi" w:cstheme="minorHAnsi"/>
                <w:sz w:val="20"/>
                <w:szCs w:val="20"/>
              </w:rPr>
            </w:pPr>
          </w:p>
        </w:tc>
        <w:tc>
          <w:tcPr>
            <w:tcW w:w="2051" w:type="dxa"/>
          </w:tcPr>
          <w:p w:rsidR="009646B0" w:rsidRPr="000238A7" w:rsidP="004863F4" w14:paraId="69E00CB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98.86(b)(28)</w:t>
            </w:r>
          </w:p>
        </w:tc>
        <w:tc>
          <w:tcPr>
            <w:tcW w:w="3330" w:type="dxa"/>
          </w:tcPr>
          <w:p w:rsidR="009646B0" w:rsidRPr="000238A7" w:rsidP="004863F4" w14:paraId="5353A43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lang w:val="en"/>
              </w:rPr>
              <w:t>The amount of raw kiln feed consumed annually at the facility</w:t>
            </w:r>
            <w:r w:rsidRPr="000238A7">
              <w:rPr>
                <w:rFonts w:asciiTheme="minorHAnsi" w:hAnsiTheme="minorHAnsi" w:cstheme="minorHAnsi"/>
                <w:sz w:val="20"/>
                <w:szCs w:val="20"/>
              </w:rPr>
              <w:t xml:space="preserve"> (tons, dry basis) (No CEMS)</w:t>
            </w:r>
          </w:p>
        </w:tc>
        <w:tc>
          <w:tcPr>
            <w:tcW w:w="2340" w:type="dxa"/>
          </w:tcPr>
          <w:p w:rsidR="009646B0" w:rsidRPr="000238A7" w:rsidP="004863F4" w14:paraId="4AD08C0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3D97E60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H that do not use a CEMS and will affect ~4 reporters annually</w:t>
            </w:r>
          </w:p>
        </w:tc>
      </w:tr>
      <w:tr w14:paraId="1DF5B8A5" w14:textId="77777777" w:rsidTr="004863F4">
        <w:tblPrEx>
          <w:tblW w:w="12937" w:type="dxa"/>
          <w:tblInd w:w="108" w:type="dxa"/>
          <w:tblLayout w:type="fixed"/>
          <w:tblLook w:val="04A0"/>
        </w:tblPrEx>
        <w:tc>
          <w:tcPr>
            <w:tcW w:w="1526" w:type="dxa"/>
          </w:tcPr>
          <w:p w:rsidR="009646B0" w:rsidRPr="000238A7" w:rsidP="004863F4" w14:paraId="0C77056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 – Electronics Manufacturing</w:t>
            </w:r>
          </w:p>
          <w:p w:rsidR="009646B0" w:rsidRPr="000238A7" w:rsidP="004863F4" w14:paraId="4D16332D" w14:textId="77777777">
            <w:pPr>
              <w:pStyle w:val="BodyText"/>
              <w:spacing w:after="0"/>
              <w:rPr>
                <w:rFonts w:asciiTheme="minorHAnsi" w:hAnsiTheme="minorHAnsi" w:cstheme="minorHAnsi"/>
                <w:sz w:val="20"/>
                <w:szCs w:val="20"/>
              </w:rPr>
            </w:pPr>
          </w:p>
        </w:tc>
        <w:tc>
          <w:tcPr>
            <w:tcW w:w="2051" w:type="dxa"/>
          </w:tcPr>
          <w:p w:rsidR="009646B0" w:rsidRPr="000238A7" w:rsidP="004863F4" w14:paraId="67B6367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98.96(o)</w:t>
            </w:r>
          </w:p>
        </w:tc>
        <w:tc>
          <w:tcPr>
            <w:tcW w:w="3330" w:type="dxa"/>
          </w:tcPr>
          <w:p w:rsidR="009646B0" w:rsidRPr="000238A7" w:rsidP="004863F4" w14:paraId="54553DE3" w14:textId="77777777">
            <w:pPr>
              <w:pStyle w:val="BodyText"/>
              <w:spacing w:after="0"/>
              <w:rPr>
                <w:rFonts w:asciiTheme="minorHAnsi" w:hAnsiTheme="minorHAnsi" w:cstheme="minorHAnsi"/>
                <w:sz w:val="20"/>
                <w:szCs w:val="20"/>
                <w:lang w:val="en"/>
              </w:rPr>
            </w:pPr>
            <w:r w:rsidRPr="000238A7">
              <w:rPr>
                <w:rFonts w:asciiTheme="minorHAnsi" w:hAnsiTheme="minorHAnsi" w:cstheme="minorHAnsi"/>
                <w:color w:val="333333"/>
                <w:sz w:val="20"/>
                <w:szCs w:val="20"/>
                <w:lang w:val="en"/>
              </w:rPr>
              <w:t>For all hydrocarbon-fuel-based emissions control systems that are used to control emissions from tools that use either NF</w:t>
            </w:r>
            <w:r w:rsidRPr="000238A7">
              <w:rPr>
                <w:rFonts w:asciiTheme="minorHAnsi" w:hAnsiTheme="minorHAnsi" w:cstheme="minorHAnsi"/>
                <w:color w:val="333333"/>
                <w:sz w:val="20"/>
                <w:szCs w:val="20"/>
                <w:vertAlign w:val="subscript"/>
                <w:lang w:val="en"/>
              </w:rPr>
              <w:t>3</w:t>
            </w:r>
            <w:r w:rsidRPr="000238A7">
              <w:rPr>
                <w:rFonts w:asciiTheme="minorHAnsi" w:hAnsiTheme="minorHAnsi" w:cstheme="minorHAnsi"/>
                <w:color w:val="333333"/>
                <w:sz w:val="20"/>
                <w:szCs w:val="20"/>
                <w:lang w:val="en"/>
              </w:rPr>
              <w:t xml:space="preserve"> as an input gas in remote plasma clean processes or F</w:t>
            </w:r>
            <w:r w:rsidRPr="000238A7">
              <w:rPr>
                <w:rFonts w:asciiTheme="minorHAnsi" w:hAnsiTheme="minorHAnsi" w:cstheme="minorHAnsi"/>
                <w:color w:val="333333"/>
                <w:sz w:val="20"/>
                <w:szCs w:val="20"/>
                <w:vertAlign w:val="subscript"/>
                <w:lang w:val="en"/>
              </w:rPr>
              <w:t>2</w:t>
            </w:r>
            <w:r w:rsidRPr="000238A7">
              <w:rPr>
                <w:rFonts w:asciiTheme="minorHAnsi" w:hAnsiTheme="minorHAnsi" w:cstheme="minorHAnsi"/>
                <w:color w:val="333333"/>
                <w:sz w:val="20"/>
                <w:szCs w:val="20"/>
                <w:lang w:val="en"/>
              </w:rPr>
              <w:t xml:space="preserve"> as an input gas in any process type or sub-type, certification that the rate of conversion from F</w:t>
            </w:r>
            <w:r w:rsidRPr="000238A7">
              <w:rPr>
                <w:rFonts w:asciiTheme="minorHAnsi" w:hAnsiTheme="minorHAnsi" w:cstheme="minorHAnsi"/>
                <w:color w:val="333333"/>
                <w:sz w:val="20"/>
                <w:szCs w:val="20"/>
                <w:vertAlign w:val="subscript"/>
                <w:lang w:val="en"/>
              </w:rPr>
              <w:t>2</w:t>
            </w:r>
            <w:r w:rsidRPr="000238A7">
              <w:rPr>
                <w:rFonts w:asciiTheme="minorHAnsi" w:hAnsiTheme="minorHAnsi" w:cstheme="minorHAnsi"/>
                <w:color w:val="333333"/>
                <w:sz w:val="20"/>
                <w:szCs w:val="20"/>
                <w:lang w:val="en"/>
              </w:rPr>
              <w:t xml:space="preserve"> to CF</w:t>
            </w:r>
            <w:r w:rsidRPr="000238A7">
              <w:rPr>
                <w:rFonts w:asciiTheme="minorHAnsi" w:hAnsiTheme="minorHAnsi" w:cstheme="minorHAnsi"/>
                <w:color w:val="333333"/>
                <w:sz w:val="20"/>
                <w:szCs w:val="20"/>
                <w:vertAlign w:val="subscript"/>
                <w:lang w:val="en"/>
              </w:rPr>
              <w:t>4</w:t>
            </w:r>
            <w:r w:rsidRPr="000238A7">
              <w:rPr>
                <w:rFonts w:asciiTheme="minorHAnsi" w:hAnsiTheme="minorHAnsi" w:cstheme="minorHAnsi"/>
                <w:color w:val="333333"/>
                <w:sz w:val="20"/>
                <w:szCs w:val="20"/>
                <w:lang w:val="en"/>
              </w:rPr>
              <w:t xml:space="preserve"> is &lt;0.1% and that the systems are installed, operated, and maintained in accordance with the directions of the emissions control system manufacturer, unless the emissions control system is included in the count of systems not certified to not form CF</w:t>
            </w:r>
            <w:r w:rsidRPr="000238A7">
              <w:rPr>
                <w:rFonts w:asciiTheme="minorHAnsi" w:hAnsiTheme="minorHAnsi" w:cstheme="minorHAnsi"/>
                <w:color w:val="333333"/>
                <w:sz w:val="20"/>
                <w:szCs w:val="20"/>
                <w:vertAlign w:val="subscript"/>
                <w:lang w:val="en"/>
              </w:rPr>
              <w:t xml:space="preserve">4 </w:t>
            </w:r>
            <w:r w:rsidRPr="000238A7">
              <w:rPr>
                <w:rFonts w:asciiTheme="minorHAnsi" w:hAnsiTheme="minorHAnsi" w:cstheme="minorHAnsi"/>
                <w:color w:val="333333"/>
                <w:sz w:val="20"/>
                <w:szCs w:val="20"/>
                <w:lang w:val="en"/>
              </w:rPr>
              <w:t>in Equation I-9.</w:t>
            </w:r>
          </w:p>
        </w:tc>
        <w:tc>
          <w:tcPr>
            <w:tcW w:w="2340" w:type="dxa"/>
          </w:tcPr>
          <w:p w:rsidR="009646B0" w:rsidRPr="000238A7" w:rsidP="004863F4" w14:paraId="65341D8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1B5EC69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reporters that use hydrocarbon-fuel-based emissions control systems to control emissions from tools that use either NF</w:t>
            </w:r>
            <w:r w:rsidRPr="000238A7">
              <w:rPr>
                <w:rFonts w:asciiTheme="minorHAnsi" w:hAnsiTheme="minorHAnsi" w:cstheme="minorHAnsi"/>
                <w:sz w:val="20"/>
                <w:szCs w:val="20"/>
                <w:vertAlign w:val="subscript"/>
              </w:rPr>
              <w:t>3</w:t>
            </w:r>
            <w:r w:rsidRPr="000238A7">
              <w:rPr>
                <w:rFonts w:asciiTheme="minorHAnsi" w:hAnsiTheme="minorHAnsi" w:cstheme="minorHAnsi"/>
                <w:sz w:val="20"/>
                <w:szCs w:val="20"/>
              </w:rPr>
              <w:t xml:space="preserve"> as an input gas in remote plasma cleaning processes or F</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as an input gas in any process, and that assume that one or more of those systems do not form CF</w:t>
            </w:r>
            <w:r w:rsidRPr="000238A7">
              <w:rPr>
                <w:rFonts w:asciiTheme="minorHAnsi" w:hAnsiTheme="minorHAnsi" w:cstheme="minorHAnsi"/>
                <w:sz w:val="20"/>
                <w:szCs w:val="20"/>
                <w:vertAlign w:val="subscript"/>
              </w:rPr>
              <w:t>4</w:t>
            </w:r>
            <w:r w:rsidRPr="000238A7">
              <w:rPr>
                <w:rFonts w:asciiTheme="minorHAnsi" w:hAnsiTheme="minorHAnsi" w:cstheme="minorHAnsi"/>
                <w:sz w:val="20"/>
                <w:szCs w:val="20"/>
              </w:rPr>
              <w:t xml:space="preserve"> from F</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No reporters are anticipated to add certification for existing equipment, and no existing reporters are anticipated to apply for certification in the first three years of this rulemaking. Any certification costs would be included in the existing cost of new equipment. This change will affect 0 reporters annually.</w:t>
            </w:r>
          </w:p>
        </w:tc>
      </w:tr>
      <w:tr w14:paraId="3FB66EF6" w14:textId="77777777" w:rsidTr="004863F4">
        <w:tblPrEx>
          <w:tblW w:w="12937" w:type="dxa"/>
          <w:tblInd w:w="108" w:type="dxa"/>
          <w:tblLayout w:type="fixed"/>
          <w:tblLook w:val="04A0"/>
        </w:tblPrEx>
        <w:tc>
          <w:tcPr>
            <w:tcW w:w="1526" w:type="dxa"/>
            <w:vMerge w:val="restart"/>
          </w:tcPr>
          <w:p w:rsidR="009646B0" w:rsidRPr="000238A7" w:rsidP="004863F4" w14:paraId="76B95C5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 – Electronics Manufacturing</w:t>
            </w:r>
          </w:p>
          <w:p w:rsidR="009646B0" w:rsidRPr="000238A7" w:rsidP="004863F4" w14:paraId="401883F8" w14:textId="77777777">
            <w:pPr>
              <w:pStyle w:val="BodyText"/>
              <w:spacing w:after="0"/>
              <w:rPr>
                <w:rFonts w:asciiTheme="minorHAnsi" w:hAnsiTheme="minorHAnsi" w:cstheme="minorHAnsi"/>
                <w:sz w:val="20"/>
                <w:szCs w:val="20"/>
              </w:rPr>
            </w:pPr>
          </w:p>
        </w:tc>
        <w:tc>
          <w:tcPr>
            <w:tcW w:w="2051" w:type="dxa"/>
          </w:tcPr>
          <w:p w:rsidR="009646B0" w:rsidRPr="000238A7" w:rsidP="004863F4" w14:paraId="078B9F6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98.96(o)</w:t>
            </w:r>
          </w:p>
        </w:tc>
        <w:tc>
          <w:tcPr>
            <w:tcW w:w="3330" w:type="dxa"/>
          </w:tcPr>
          <w:p w:rsidR="009646B0" w:rsidRPr="000238A7" w:rsidP="004863F4" w14:paraId="12700CBD" w14:textId="77777777">
            <w:pPr>
              <w:pStyle w:val="BodyText"/>
              <w:spacing w:after="0"/>
              <w:rPr>
                <w:rFonts w:asciiTheme="minorHAnsi" w:hAnsiTheme="minorHAnsi" w:cstheme="minorHAnsi"/>
                <w:sz w:val="20"/>
                <w:szCs w:val="20"/>
                <w:lang w:val="en"/>
              </w:rPr>
            </w:pPr>
            <w:r w:rsidRPr="000238A7">
              <w:rPr>
                <w:rFonts w:asciiTheme="minorHAnsi" w:hAnsiTheme="minorHAnsi" w:cstheme="minorHAnsi"/>
                <w:color w:val="333333"/>
                <w:sz w:val="20"/>
                <w:szCs w:val="20"/>
                <w:lang w:val="en"/>
              </w:rPr>
              <w:t>For all hydrocarbon-fuel-based emissions control systems that are used to control emissions from tools that use either NF</w:t>
            </w:r>
            <w:r w:rsidRPr="000238A7">
              <w:rPr>
                <w:rFonts w:asciiTheme="minorHAnsi" w:hAnsiTheme="minorHAnsi" w:cstheme="minorHAnsi"/>
                <w:color w:val="333333"/>
                <w:sz w:val="20"/>
                <w:szCs w:val="20"/>
                <w:vertAlign w:val="subscript"/>
                <w:lang w:val="en"/>
              </w:rPr>
              <w:t>3</w:t>
            </w:r>
            <w:r w:rsidRPr="000238A7">
              <w:rPr>
                <w:rFonts w:asciiTheme="minorHAnsi" w:hAnsiTheme="minorHAnsi" w:cstheme="minorHAnsi"/>
                <w:color w:val="333333"/>
                <w:sz w:val="20"/>
                <w:szCs w:val="20"/>
                <w:lang w:val="en"/>
              </w:rPr>
              <w:t xml:space="preserve"> as an input gas in remote plasma clean processes or F</w:t>
            </w:r>
            <w:r w:rsidRPr="000238A7">
              <w:rPr>
                <w:rFonts w:asciiTheme="minorHAnsi" w:hAnsiTheme="minorHAnsi" w:cstheme="minorHAnsi"/>
                <w:color w:val="333333"/>
                <w:sz w:val="20"/>
                <w:szCs w:val="20"/>
                <w:vertAlign w:val="subscript"/>
                <w:lang w:val="en"/>
              </w:rPr>
              <w:t>2</w:t>
            </w:r>
            <w:r w:rsidRPr="000238A7">
              <w:rPr>
                <w:rFonts w:asciiTheme="minorHAnsi" w:hAnsiTheme="minorHAnsi" w:cstheme="minorHAnsi"/>
                <w:color w:val="333333"/>
                <w:sz w:val="20"/>
                <w:szCs w:val="20"/>
                <w:lang w:val="en"/>
              </w:rPr>
              <w:t xml:space="preserve"> as an input gas in any process type or sub-type, </w:t>
            </w:r>
            <w:r w:rsidRPr="000238A7">
              <w:rPr>
                <w:rFonts w:asciiTheme="minorHAnsi" w:hAnsiTheme="minorHAnsi" w:cstheme="minorHAnsi"/>
                <w:color w:val="333333"/>
                <w:sz w:val="20"/>
                <w:szCs w:val="20"/>
                <w:lang w:val="en"/>
              </w:rPr>
              <w:t>i</w:t>
            </w:r>
            <w:r w:rsidRPr="000238A7">
              <w:rPr>
                <w:rFonts w:eastAsia="SimSun" w:asciiTheme="minorHAnsi" w:hAnsiTheme="minorHAnsi" w:cstheme="minorHAnsi"/>
                <w:sz w:val="20"/>
                <w:szCs w:val="20"/>
              </w:rPr>
              <w:t>f</w:t>
            </w:r>
            <w:r w:rsidRPr="000238A7">
              <w:rPr>
                <w:rFonts w:eastAsia="SimSun" w:asciiTheme="minorHAnsi" w:hAnsiTheme="minorHAnsi" w:cstheme="minorHAnsi"/>
                <w:sz w:val="20"/>
                <w:szCs w:val="20"/>
              </w:rPr>
              <w:t xml:space="preserve"> you make the certification based on your own testing, you must certify that you tested the model of the system according to the requirements specified in 98.94(e)</w:t>
            </w:r>
            <w:r w:rsidRPr="000238A7">
              <w:rPr>
                <w:rFonts w:asciiTheme="minorHAnsi" w:hAnsiTheme="minorHAnsi" w:cstheme="minorHAnsi"/>
                <w:color w:val="333333"/>
                <w:sz w:val="20"/>
                <w:szCs w:val="20"/>
                <w:lang w:val="en"/>
              </w:rPr>
              <w:t>.</w:t>
            </w:r>
          </w:p>
        </w:tc>
        <w:tc>
          <w:tcPr>
            <w:tcW w:w="2340" w:type="dxa"/>
          </w:tcPr>
          <w:p w:rsidR="009646B0" w:rsidRPr="000238A7" w:rsidP="004863F4" w14:paraId="6FA576F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39D1C66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reporters that use hydrocarbon-fuel-based emissions control systems to control emissions from tools that use either NF</w:t>
            </w:r>
            <w:r w:rsidRPr="000238A7">
              <w:rPr>
                <w:rFonts w:asciiTheme="minorHAnsi" w:hAnsiTheme="minorHAnsi" w:cstheme="minorHAnsi"/>
                <w:sz w:val="20"/>
                <w:szCs w:val="20"/>
                <w:vertAlign w:val="subscript"/>
              </w:rPr>
              <w:t>3</w:t>
            </w:r>
            <w:r w:rsidRPr="000238A7">
              <w:rPr>
                <w:rFonts w:asciiTheme="minorHAnsi" w:hAnsiTheme="minorHAnsi" w:cstheme="minorHAnsi"/>
                <w:sz w:val="20"/>
                <w:szCs w:val="20"/>
              </w:rPr>
              <w:t xml:space="preserve"> as an input gas in remote plasma cleaning processes or F</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as an input gas in any process, and that assume that one or more of those systems do not form CF</w:t>
            </w:r>
            <w:r w:rsidRPr="000238A7">
              <w:rPr>
                <w:rFonts w:asciiTheme="minorHAnsi" w:hAnsiTheme="minorHAnsi" w:cstheme="minorHAnsi"/>
                <w:sz w:val="20"/>
                <w:szCs w:val="20"/>
                <w:vertAlign w:val="subscript"/>
              </w:rPr>
              <w:t>4</w:t>
            </w:r>
            <w:r w:rsidRPr="000238A7">
              <w:rPr>
                <w:rFonts w:asciiTheme="minorHAnsi" w:hAnsiTheme="minorHAnsi" w:cstheme="minorHAnsi"/>
                <w:sz w:val="20"/>
                <w:szCs w:val="20"/>
              </w:rPr>
              <w:t xml:space="preserve"> from F</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No reporters are anticipated to add certification for existing equipment, and no existing reporters are </w:t>
            </w:r>
            <w:r w:rsidRPr="000238A7">
              <w:rPr>
                <w:rFonts w:asciiTheme="minorHAnsi" w:hAnsiTheme="minorHAnsi" w:cstheme="minorHAnsi"/>
                <w:sz w:val="20"/>
                <w:szCs w:val="20"/>
              </w:rPr>
              <w:t xml:space="preserve">anticipated to apply for certification in the first three years of this rulemaking. Any certification costs would be included in the existing cost of new equipment. This change will affect 0 reporters annually. </w:t>
            </w:r>
          </w:p>
        </w:tc>
      </w:tr>
      <w:tr w14:paraId="7FE79061" w14:textId="77777777" w:rsidTr="004863F4">
        <w:tblPrEx>
          <w:tblW w:w="12937" w:type="dxa"/>
          <w:tblInd w:w="108" w:type="dxa"/>
          <w:tblLayout w:type="fixed"/>
          <w:tblLook w:val="04A0"/>
        </w:tblPrEx>
        <w:tc>
          <w:tcPr>
            <w:tcW w:w="1526" w:type="dxa"/>
            <w:vMerge/>
          </w:tcPr>
          <w:p w:rsidR="009646B0" w:rsidRPr="000238A7" w:rsidP="004863F4" w14:paraId="54CB96A7" w14:textId="77777777">
            <w:pPr>
              <w:pStyle w:val="BodyText"/>
              <w:spacing w:after="0"/>
              <w:rPr>
                <w:rFonts w:asciiTheme="minorHAnsi" w:hAnsiTheme="minorHAnsi" w:cstheme="minorHAnsi"/>
                <w:sz w:val="20"/>
                <w:szCs w:val="20"/>
              </w:rPr>
            </w:pPr>
          </w:p>
        </w:tc>
        <w:tc>
          <w:tcPr>
            <w:tcW w:w="2051" w:type="dxa"/>
          </w:tcPr>
          <w:p w:rsidR="009646B0" w:rsidRPr="000238A7" w:rsidP="004863F4" w14:paraId="215F62D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98.96(o)</w:t>
            </w:r>
          </w:p>
        </w:tc>
        <w:tc>
          <w:tcPr>
            <w:tcW w:w="3330" w:type="dxa"/>
          </w:tcPr>
          <w:p w:rsidR="009646B0" w:rsidRPr="000238A7" w:rsidP="004863F4" w14:paraId="63602B65" w14:textId="77777777">
            <w:pPr>
              <w:pStyle w:val="BodyText"/>
              <w:spacing w:after="0"/>
              <w:rPr>
                <w:rFonts w:asciiTheme="minorHAnsi" w:hAnsiTheme="minorHAnsi" w:cstheme="minorHAnsi"/>
                <w:sz w:val="20"/>
                <w:szCs w:val="20"/>
                <w:lang w:val="en"/>
              </w:rPr>
            </w:pPr>
            <w:r w:rsidRPr="000238A7">
              <w:rPr>
                <w:rFonts w:asciiTheme="minorHAnsi" w:hAnsiTheme="minorHAnsi" w:cstheme="minorHAnsi"/>
                <w:color w:val="333333"/>
                <w:sz w:val="20"/>
                <w:szCs w:val="20"/>
                <w:lang w:val="en"/>
              </w:rPr>
              <w:t>For all hydrocarbon-fuel-based emissions control systems that are used to control emissions from tools that use either NF</w:t>
            </w:r>
            <w:r w:rsidRPr="000238A7">
              <w:rPr>
                <w:rFonts w:asciiTheme="minorHAnsi" w:hAnsiTheme="minorHAnsi" w:cstheme="minorHAnsi"/>
                <w:color w:val="333333"/>
                <w:sz w:val="20"/>
                <w:szCs w:val="20"/>
                <w:vertAlign w:val="subscript"/>
                <w:lang w:val="en"/>
              </w:rPr>
              <w:t>3</w:t>
            </w:r>
            <w:r w:rsidRPr="000238A7">
              <w:rPr>
                <w:rFonts w:asciiTheme="minorHAnsi" w:hAnsiTheme="minorHAnsi" w:cstheme="minorHAnsi"/>
                <w:color w:val="333333"/>
                <w:sz w:val="20"/>
                <w:szCs w:val="20"/>
                <w:lang w:val="en"/>
              </w:rPr>
              <w:t xml:space="preserve"> as an input gas in remote plasma clean processes or F</w:t>
            </w:r>
            <w:r w:rsidRPr="000238A7">
              <w:rPr>
                <w:rFonts w:asciiTheme="minorHAnsi" w:hAnsiTheme="minorHAnsi" w:cstheme="minorHAnsi"/>
                <w:color w:val="333333"/>
                <w:sz w:val="20"/>
                <w:szCs w:val="20"/>
                <w:vertAlign w:val="subscript"/>
                <w:lang w:val="en"/>
              </w:rPr>
              <w:t>2</w:t>
            </w:r>
            <w:r w:rsidRPr="000238A7">
              <w:rPr>
                <w:rFonts w:asciiTheme="minorHAnsi" w:hAnsiTheme="minorHAnsi" w:cstheme="minorHAnsi"/>
                <w:color w:val="333333"/>
                <w:sz w:val="20"/>
                <w:szCs w:val="20"/>
                <w:lang w:val="en"/>
              </w:rPr>
              <w:t xml:space="preserve"> as an input gas in any process type or sub-type, if you make the certification based on testing by the emissions control system manufacturer, you must provide documentation from the emissions control system manufacturer that the rate of conversion from F</w:t>
            </w:r>
            <w:r w:rsidRPr="000238A7">
              <w:rPr>
                <w:rFonts w:asciiTheme="minorHAnsi" w:hAnsiTheme="minorHAnsi" w:cstheme="minorHAnsi"/>
                <w:color w:val="333333"/>
                <w:sz w:val="20"/>
                <w:szCs w:val="20"/>
                <w:vertAlign w:val="subscript"/>
                <w:lang w:val="en"/>
              </w:rPr>
              <w:t>2</w:t>
            </w:r>
            <w:r w:rsidRPr="000238A7">
              <w:rPr>
                <w:rFonts w:asciiTheme="minorHAnsi" w:hAnsiTheme="minorHAnsi" w:cstheme="minorHAnsi"/>
                <w:color w:val="333333"/>
                <w:sz w:val="20"/>
                <w:szCs w:val="20"/>
                <w:lang w:val="en"/>
              </w:rPr>
              <w:t xml:space="preserve"> to CF</w:t>
            </w:r>
            <w:r w:rsidRPr="000238A7">
              <w:rPr>
                <w:rFonts w:asciiTheme="minorHAnsi" w:hAnsiTheme="minorHAnsi" w:cstheme="minorHAnsi"/>
                <w:color w:val="333333"/>
                <w:sz w:val="20"/>
                <w:szCs w:val="20"/>
                <w:vertAlign w:val="subscript"/>
                <w:lang w:val="en"/>
              </w:rPr>
              <w:t>4</w:t>
            </w:r>
            <w:r w:rsidRPr="000238A7">
              <w:rPr>
                <w:rFonts w:asciiTheme="minorHAnsi" w:hAnsiTheme="minorHAnsi" w:cstheme="minorHAnsi"/>
                <w:color w:val="333333"/>
                <w:sz w:val="20"/>
                <w:szCs w:val="20"/>
                <w:lang w:val="en"/>
              </w:rPr>
              <w:t xml:space="preserve"> is &lt;0.1% when tested according to the requirements specified in 98.94(e).</w:t>
            </w:r>
          </w:p>
        </w:tc>
        <w:tc>
          <w:tcPr>
            <w:tcW w:w="2340" w:type="dxa"/>
          </w:tcPr>
          <w:p w:rsidR="009646B0" w:rsidRPr="000238A7" w:rsidP="004863F4" w14:paraId="7B6DB89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3B4FCFE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reporters that use hydrocarbon-fuel-based emissions control systems to control emissions from tools that use either NF</w:t>
            </w:r>
            <w:r w:rsidRPr="000238A7">
              <w:rPr>
                <w:rFonts w:asciiTheme="minorHAnsi" w:hAnsiTheme="minorHAnsi" w:cstheme="minorHAnsi"/>
                <w:sz w:val="20"/>
                <w:szCs w:val="20"/>
                <w:vertAlign w:val="subscript"/>
              </w:rPr>
              <w:t>3</w:t>
            </w:r>
            <w:r w:rsidRPr="000238A7">
              <w:rPr>
                <w:rFonts w:asciiTheme="minorHAnsi" w:hAnsiTheme="minorHAnsi" w:cstheme="minorHAnsi"/>
                <w:sz w:val="20"/>
                <w:szCs w:val="20"/>
              </w:rPr>
              <w:t xml:space="preserve"> as an input gas in remote plasma cleaning processes or F</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as an input gas in any process, and that assume that one or more of those systems do not form CF</w:t>
            </w:r>
            <w:r w:rsidRPr="000238A7">
              <w:rPr>
                <w:rFonts w:asciiTheme="minorHAnsi" w:hAnsiTheme="minorHAnsi" w:cstheme="minorHAnsi"/>
                <w:sz w:val="20"/>
                <w:szCs w:val="20"/>
                <w:vertAlign w:val="subscript"/>
              </w:rPr>
              <w:t>4</w:t>
            </w:r>
            <w:r w:rsidRPr="000238A7">
              <w:rPr>
                <w:rFonts w:asciiTheme="minorHAnsi" w:hAnsiTheme="minorHAnsi" w:cstheme="minorHAnsi"/>
                <w:sz w:val="20"/>
                <w:szCs w:val="20"/>
              </w:rPr>
              <w:t xml:space="preserve"> from F</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No reporters are anticipated to add certification for existing equipment, and no existing reporters are anticipated to apply for certification in the first three years of this rulemaking. Any certification costs would be included in the existing cost of new equipment. This change will affect 0 reporters annually.</w:t>
            </w:r>
          </w:p>
        </w:tc>
      </w:tr>
      <w:tr w14:paraId="2A858571" w14:textId="77777777" w:rsidTr="004863F4">
        <w:tblPrEx>
          <w:tblW w:w="12937" w:type="dxa"/>
          <w:tblInd w:w="108" w:type="dxa"/>
          <w:tblLayout w:type="fixed"/>
          <w:tblLook w:val="04A0"/>
        </w:tblPrEx>
        <w:tc>
          <w:tcPr>
            <w:tcW w:w="1526" w:type="dxa"/>
            <w:vMerge w:val="restart"/>
          </w:tcPr>
          <w:p w:rsidR="009646B0" w:rsidRPr="000238A7" w:rsidP="004863F4" w14:paraId="719AD3A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 – Electronics Manufacturing</w:t>
            </w:r>
          </w:p>
          <w:p w:rsidR="009646B0" w:rsidRPr="000238A7" w:rsidP="004863F4" w14:paraId="5BB73FD4" w14:textId="77777777">
            <w:pPr>
              <w:pStyle w:val="BodyText"/>
              <w:spacing w:after="0"/>
              <w:rPr>
                <w:rFonts w:asciiTheme="minorHAnsi" w:hAnsiTheme="minorHAnsi" w:cstheme="minorHAnsi"/>
                <w:sz w:val="20"/>
                <w:szCs w:val="20"/>
              </w:rPr>
            </w:pPr>
          </w:p>
        </w:tc>
        <w:tc>
          <w:tcPr>
            <w:tcW w:w="2051" w:type="dxa"/>
          </w:tcPr>
          <w:p w:rsidR="009646B0" w:rsidRPr="000238A7" w:rsidP="004863F4" w14:paraId="201899D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98.96(p)(2)</w:t>
            </w:r>
          </w:p>
        </w:tc>
        <w:tc>
          <w:tcPr>
            <w:tcW w:w="3330" w:type="dxa"/>
          </w:tcPr>
          <w:p w:rsidR="009646B0" w:rsidRPr="000238A7" w:rsidP="004863F4" w14:paraId="6AD256D8" w14:textId="77777777">
            <w:pPr>
              <w:pStyle w:val="BodyText"/>
              <w:spacing w:after="0"/>
              <w:rPr>
                <w:rFonts w:asciiTheme="minorHAnsi" w:hAnsiTheme="minorHAnsi" w:cstheme="minorHAnsi"/>
                <w:sz w:val="20"/>
                <w:szCs w:val="20"/>
                <w:lang w:val="en"/>
              </w:rPr>
            </w:pPr>
            <w:r w:rsidRPr="000238A7">
              <w:rPr>
                <w:rFonts w:asciiTheme="minorHAnsi" w:hAnsiTheme="minorHAnsi" w:cstheme="minorHAnsi"/>
                <w:sz w:val="20"/>
                <w:szCs w:val="20"/>
              </w:rPr>
              <w:t>Abatement systems through which fluorinated GHGs or N</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O flow at your facility and for which you are claiming destruction or removal efficiency: The basis of the destruction or removal efficiency being used (default</w:t>
            </w:r>
            <w:r w:rsidRPr="000238A7">
              <w:rPr>
                <w:rFonts w:asciiTheme="minorHAnsi" w:hAnsiTheme="minorHAnsi" w:cstheme="minorHAnsi"/>
                <w:sz w:val="20"/>
                <w:szCs w:val="20"/>
                <w:lang w:val="en"/>
              </w:rPr>
              <w:t xml:space="preserve">, manufacturer verified, </w:t>
            </w:r>
            <w:r w:rsidRPr="000238A7">
              <w:rPr>
                <w:rFonts w:asciiTheme="minorHAnsi" w:hAnsiTheme="minorHAnsi" w:cstheme="minorHAnsi"/>
                <w:sz w:val="20"/>
                <w:szCs w:val="20"/>
              </w:rPr>
              <w:t xml:space="preserve">or site-specific measurement according to </w:t>
            </w:r>
            <w:r w:rsidRPr="000238A7">
              <w:rPr>
                <w:rFonts w:asciiTheme="minorHAnsi" w:hAnsiTheme="minorHAnsi" w:cstheme="minorHAnsi"/>
                <w:sz w:val="20"/>
                <w:szCs w:val="20"/>
              </w:rPr>
              <w:t>§98.94(f)(4)(</w:t>
            </w:r>
            <w:r w:rsidRPr="000238A7">
              <w:rPr>
                <w:rFonts w:asciiTheme="minorHAnsi" w:hAnsiTheme="minorHAnsi" w:cstheme="minorHAnsi"/>
                <w:sz w:val="20"/>
                <w:szCs w:val="20"/>
              </w:rPr>
              <w:t>i</w:t>
            </w:r>
            <w:r w:rsidRPr="000238A7">
              <w:rPr>
                <w:rFonts w:asciiTheme="minorHAnsi" w:hAnsiTheme="minorHAnsi" w:cstheme="minorHAnsi"/>
                <w:sz w:val="20"/>
                <w:szCs w:val="20"/>
              </w:rPr>
              <w:t>)) for each process sub-type or process type and for each gas.</w:t>
            </w:r>
          </w:p>
        </w:tc>
        <w:tc>
          <w:tcPr>
            <w:tcW w:w="2340" w:type="dxa"/>
          </w:tcPr>
          <w:p w:rsidR="009646B0" w:rsidRPr="000238A7" w:rsidP="004863F4" w14:paraId="225A8DD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07001DD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reporters that claim destruction or removal efficiencies. This change will affect ~22 reporters annually.</w:t>
            </w:r>
          </w:p>
        </w:tc>
      </w:tr>
      <w:tr w14:paraId="3C3A5D8D" w14:textId="77777777" w:rsidTr="004863F4">
        <w:tblPrEx>
          <w:tblW w:w="12937" w:type="dxa"/>
          <w:tblInd w:w="108" w:type="dxa"/>
          <w:tblLayout w:type="fixed"/>
          <w:tblLook w:val="04A0"/>
        </w:tblPrEx>
        <w:tc>
          <w:tcPr>
            <w:tcW w:w="1526" w:type="dxa"/>
            <w:vMerge/>
          </w:tcPr>
          <w:p w:rsidR="009646B0" w:rsidRPr="000238A7" w:rsidP="004863F4" w14:paraId="5F5D0CB3" w14:textId="77777777">
            <w:pPr>
              <w:pStyle w:val="BodyText"/>
              <w:spacing w:after="0"/>
              <w:rPr>
                <w:rFonts w:asciiTheme="minorHAnsi" w:hAnsiTheme="minorHAnsi" w:cstheme="minorHAnsi"/>
                <w:sz w:val="20"/>
                <w:szCs w:val="20"/>
              </w:rPr>
            </w:pPr>
          </w:p>
        </w:tc>
        <w:tc>
          <w:tcPr>
            <w:tcW w:w="2051" w:type="dxa"/>
          </w:tcPr>
          <w:p w:rsidR="009646B0" w:rsidRPr="000238A7" w:rsidP="004863F4" w14:paraId="0FBD284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98.96(q)(3)</w:t>
            </w:r>
          </w:p>
        </w:tc>
        <w:tc>
          <w:tcPr>
            <w:tcW w:w="3330" w:type="dxa"/>
          </w:tcPr>
          <w:p w:rsidR="009646B0" w:rsidRPr="000238A7" w:rsidP="004863F4" w14:paraId="66BE6821" w14:textId="77777777">
            <w:pPr>
              <w:pStyle w:val="BodyText"/>
              <w:spacing w:after="0"/>
              <w:rPr>
                <w:rFonts w:asciiTheme="minorHAnsi" w:hAnsiTheme="minorHAnsi" w:cstheme="minorHAnsi"/>
                <w:sz w:val="20"/>
                <w:szCs w:val="20"/>
                <w:lang w:val="en"/>
              </w:rPr>
            </w:pPr>
            <w:r w:rsidRPr="000238A7">
              <w:rPr>
                <w:rFonts w:asciiTheme="minorHAnsi" w:hAnsiTheme="minorHAnsi" w:cstheme="minorHAnsi"/>
                <w:sz w:val="20"/>
                <w:szCs w:val="20"/>
                <w:lang w:val="en"/>
              </w:rPr>
              <w:t>Destruction or removal efficiency value at which each abatement system is certified for the fluorinated GHG or N</w:t>
            </w:r>
            <w:r w:rsidRPr="000238A7">
              <w:rPr>
                <w:rFonts w:asciiTheme="minorHAnsi" w:hAnsiTheme="minorHAnsi" w:cstheme="minorHAnsi"/>
                <w:sz w:val="20"/>
                <w:szCs w:val="20"/>
                <w:vertAlign w:val="subscript"/>
                <w:lang w:val="en"/>
              </w:rPr>
              <w:t>2</w:t>
            </w:r>
            <w:r w:rsidRPr="000238A7">
              <w:rPr>
                <w:rFonts w:asciiTheme="minorHAnsi" w:hAnsiTheme="minorHAnsi" w:cstheme="minorHAnsi"/>
                <w:sz w:val="20"/>
                <w:szCs w:val="20"/>
                <w:lang w:val="en"/>
              </w:rPr>
              <w:t>O abatement.</w:t>
            </w:r>
          </w:p>
        </w:tc>
        <w:tc>
          <w:tcPr>
            <w:tcW w:w="2340" w:type="dxa"/>
          </w:tcPr>
          <w:p w:rsidR="009646B0" w:rsidRPr="000238A7" w:rsidP="004863F4" w14:paraId="31ADB95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70AD1CE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available data and submit the value via e-GGRT as part of the annual report. This data element applies to all respondents subject to subpart I with </w:t>
            </w:r>
            <w:r w:rsidRPr="000238A7">
              <w:rPr>
                <w:rFonts w:asciiTheme="minorHAnsi" w:hAnsiTheme="minorHAnsi" w:cstheme="minorHAnsi"/>
                <w:sz w:val="20"/>
                <w:szCs w:val="20"/>
                <w:lang w:val="en"/>
              </w:rPr>
              <w:t>abatement systems through which fluorinated GHGs or N</w:t>
            </w:r>
            <w:r w:rsidRPr="000238A7">
              <w:rPr>
                <w:rFonts w:asciiTheme="minorHAnsi" w:hAnsiTheme="minorHAnsi" w:cstheme="minorHAnsi"/>
                <w:sz w:val="20"/>
                <w:szCs w:val="20"/>
                <w:vertAlign w:val="subscript"/>
                <w:lang w:val="en"/>
              </w:rPr>
              <w:t>2</w:t>
            </w:r>
            <w:r w:rsidRPr="000238A7">
              <w:rPr>
                <w:rFonts w:asciiTheme="minorHAnsi" w:hAnsiTheme="minorHAnsi" w:cstheme="minorHAnsi"/>
                <w:sz w:val="20"/>
                <w:szCs w:val="20"/>
                <w:lang w:val="en"/>
              </w:rPr>
              <w:t xml:space="preserve">O flow at the facility and for which they are reporting controlled emissions. This change </w:t>
            </w:r>
            <w:r w:rsidRPr="000238A7">
              <w:rPr>
                <w:rFonts w:asciiTheme="minorHAnsi" w:hAnsiTheme="minorHAnsi" w:cstheme="minorHAnsi"/>
                <w:sz w:val="20"/>
                <w:szCs w:val="20"/>
              </w:rPr>
              <w:t>will affect ~ 47 reporters annually.</w:t>
            </w:r>
          </w:p>
        </w:tc>
      </w:tr>
      <w:tr w14:paraId="1FA3B2CA" w14:textId="77777777" w:rsidTr="004863F4">
        <w:tblPrEx>
          <w:tblW w:w="12937" w:type="dxa"/>
          <w:tblInd w:w="108" w:type="dxa"/>
          <w:tblLayout w:type="fixed"/>
          <w:tblLook w:val="04A0"/>
        </w:tblPrEx>
        <w:tc>
          <w:tcPr>
            <w:tcW w:w="1526" w:type="dxa"/>
            <w:vMerge w:val="restart"/>
          </w:tcPr>
          <w:p w:rsidR="009646B0" w:rsidRPr="000238A7" w:rsidP="004863F4" w14:paraId="2623B47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 – Electronics Manufacturing</w:t>
            </w:r>
          </w:p>
          <w:p w:rsidR="009646B0" w:rsidRPr="000238A7" w:rsidP="004863F4" w14:paraId="42CF8662" w14:textId="77777777">
            <w:pPr>
              <w:pStyle w:val="BodyText"/>
              <w:spacing w:after="0"/>
              <w:rPr>
                <w:rFonts w:asciiTheme="minorHAnsi" w:hAnsiTheme="minorHAnsi" w:cstheme="minorHAnsi"/>
                <w:sz w:val="20"/>
                <w:szCs w:val="20"/>
              </w:rPr>
            </w:pPr>
          </w:p>
        </w:tc>
        <w:tc>
          <w:tcPr>
            <w:tcW w:w="2051" w:type="dxa"/>
          </w:tcPr>
          <w:p w:rsidR="009646B0" w:rsidRPr="000238A7" w:rsidP="004863F4" w14:paraId="2E63442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98.96(w)(2)</w:t>
            </w:r>
          </w:p>
        </w:tc>
        <w:tc>
          <w:tcPr>
            <w:tcW w:w="3330" w:type="dxa"/>
          </w:tcPr>
          <w:p w:rsidR="009646B0" w:rsidRPr="000238A7" w:rsidP="004863F4" w14:paraId="313B65BD" w14:textId="77777777">
            <w:pPr>
              <w:shd w:val="clear" w:color="auto" w:fill="FFFFFF"/>
              <w:spacing w:after="150"/>
              <w:rPr>
                <w:rFonts w:cstheme="minorHAnsi"/>
                <w:sz w:val="20"/>
                <w:szCs w:val="20"/>
                <w:lang w:val="en"/>
              </w:rPr>
            </w:pPr>
            <w:r w:rsidRPr="000238A7">
              <w:rPr>
                <w:rFonts w:cstheme="minorHAnsi"/>
                <w:sz w:val="20"/>
                <w:szCs w:val="20"/>
                <w:lang w:val="en"/>
              </w:rPr>
              <w:t>For each stack systems reported as having process fluorinated GHG emitted, indicate whether the stack system is among those for which stack testing was performed as per §98.93(</w:t>
            </w:r>
            <w:r w:rsidRPr="000238A7">
              <w:rPr>
                <w:rFonts w:cstheme="minorHAnsi"/>
                <w:sz w:val="20"/>
                <w:szCs w:val="20"/>
                <w:lang w:val="en"/>
              </w:rPr>
              <w:t>i</w:t>
            </w:r>
            <w:r w:rsidRPr="000238A7">
              <w:rPr>
                <w:rFonts w:cstheme="minorHAnsi"/>
                <w:sz w:val="20"/>
                <w:szCs w:val="20"/>
                <w:lang w:val="en"/>
              </w:rPr>
              <w:t>)(3) or not performed as per §98.93(</w:t>
            </w:r>
            <w:r w:rsidRPr="000238A7">
              <w:rPr>
                <w:rFonts w:cstheme="minorHAnsi"/>
                <w:sz w:val="20"/>
                <w:szCs w:val="20"/>
                <w:lang w:val="en"/>
              </w:rPr>
              <w:t>i</w:t>
            </w:r>
            <w:r w:rsidRPr="000238A7">
              <w:rPr>
                <w:rFonts w:cstheme="minorHAnsi"/>
                <w:sz w:val="20"/>
                <w:szCs w:val="20"/>
                <w:lang w:val="en"/>
              </w:rPr>
              <w:t>)(2).</w:t>
            </w:r>
          </w:p>
          <w:p w:rsidR="009646B0" w:rsidRPr="000238A7" w:rsidP="004863F4" w14:paraId="4EBAD302" w14:textId="77777777">
            <w:pPr>
              <w:pStyle w:val="BodyText"/>
              <w:spacing w:after="0"/>
              <w:rPr>
                <w:rFonts w:asciiTheme="minorHAnsi" w:hAnsiTheme="minorHAnsi" w:cstheme="minorHAnsi"/>
                <w:sz w:val="20"/>
                <w:szCs w:val="20"/>
                <w:lang w:val="en"/>
              </w:rPr>
            </w:pPr>
          </w:p>
        </w:tc>
        <w:tc>
          <w:tcPr>
            <w:tcW w:w="2340" w:type="dxa"/>
          </w:tcPr>
          <w:p w:rsidR="009646B0" w:rsidRPr="000238A7" w:rsidP="004863F4" w14:paraId="703DDB4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Removed</w:t>
            </w:r>
          </w:p>
        </w:tc>
        <w:tc>
          <w:tcPr>
            <w:tcW w:w="3690" w:type="dxa"/>
          </w:tcPr>
          <w:p w:rsidR="009646B0" w:rsidRPr="000238A7" w:rsidP="004863F4" w14:paraId="10120DA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No change – Respondents have never used the stack testing methodology, therefore, no change in burden is anticipated. </w:t>
            </w:r>
          </w:p>
        </w:tc>
      </w:tr>
      <w:tr w14:paraId="164449A5" w14:textId="77777777" w:rsidTr="004863F4">
        <w:tblPrEx>
          <w:tblW w:w="12937" w:type="dxa"/>
          <w:tblInd w:w="108" w:type="dxa"/>
          <w:tblLayout w:type="fixed"/>
          <w:tblLook w:val="04A0"/>
        </w:tblPrEx>
        <w:tc>
          <w:tcPr>
            <w:tcW w:w="1526" w:type="dxa"/>
            <w:vMerge/>
          </w:tcPr>
          <w:p w:rsidR="009646B0" w:rsidRPr="000238A7" w:rsidP="004863F4" w14:paraId="660EBC68" w14:textId="77777777">
            <w:pPr>
              <w:pStyle w:val="BodyText"/>
              <w:spacing w:after="0"/>
              <w:rPr>
                <w:rFonts w:asciiTheme="minorHAnsi" w:hAnsiTheme="minorHAnsi" w:cstheme="minorHAnsi"/>
                <w:sz w:val="20"/>
                <w:szCs w:val="20"/>
              </w:rPr>
            </w:pPr>
          </w:p>
        </w:tc>
        <w:tc>
          <w:tcPr>
            <w:tcW w:w="2051" w:type="dxa"/>
          </w:tcPr>
          <w:p w:rsidR="009646B0" w:rsidRPr="000238A7" w:rsidP="004863F4" w14:paraId="5E5ED77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98.96(y)(2)(iv)</w:t>
            </w:r>
          </w:p>
        </w:tc>
        <w:tc>
          <w:tcPr>
            <w:tcW w:w="3330" w:type="dxa"/>
          </w:tcPr>
          <w:p w:rsidR="009646B0" w:rsidRPr="000238A7" w:rsidP="004863F4" w14:paraId="777DE452" w14:textId="77777777">
            <w:pPr>
              <w:pStyle w:val="BodyText"/>
              <w:spacing w:after="0"/>
              <w:rPr>
                <w:rFonts w:asciiTheme="minorHAnsi" w:hAnsiTheme="minorHAnsi" w:cstheme="minorHAnsi"/>
                <w:sz w:val="20"/>
                <w:szCs w:val="20"/>
                <w:lang w:val="en"/>
              </w:rPr>
            </w:pPr>
            <w:r w:rsidRPr="000238A7">
              <w:rPr>
                <w:rFonts w:asciiTheme="minorHAnsi" w:hAnsiTheme="minorHAnsi" w:cstheme="minorHAnsi"/>
                <w:sz w:val="20"/>
                <w:szCs w:val="20"/>
              </w:rPr>
              <w:t>For any utilization or by-product formation rate, the method used to calculate the reported utilization and by-product formation rates.</w:t>
            </w:r>
          </w:p>
        </w:tc>
        <w:tc>
          <w:tcPr>
            <w:tcW w:w="2340" w:type="dxa"/>
          </w:tcPr>
          <w:p w:rsidR="009646B0" w:rsidRPr="000238A7" w:rsidP="004863F4" w14:paraId="33AD1F0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138CA93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available data and submit the value via e-GGRT as part of the triennial technology report, which is submitted with the annual report for RY2027 and submitted every five years thereafter. This data element applies to all respondents subject to subpart I with </w:t>
            </w:r>
            <w:r w:rsidRPr="000238A7">
              <w:rPr>
                <w:rFonts w:asciiTheme="minorHAnsi" w:hAnsiTheme="minorHAnsi" w:cstheme="minorHAnsi"/>
                <w:sz w:val="20"/>
                <w:szCs w:val="20"/>
                <w:lang w:val="en"/>
              </w:rPr>
              <w:t xml:space="preserve">semiconductor manufacturing facility that manufactures wafers greater than 150 mm and emits </w:t>
            </w:r>
            <w:r w:rsidRPr="000238A7">
              <w:rPr>
                <w:rFonts w:asciiTheme="minorHAnsi" w:hAnsiTheme="minorHAnsi" w:cstheme="minorHAnsi"/>
                <w:sz w:val="20"/>
                <w:szCs w:val="20"/>
                <w:lang w:val="en"/>
              </w:rPr>
              <w:t xml:space="preserve">more than 40,000 metric ton CO2e of GHG emissions. This change </w:t>
            </w:r>
            <w:r w:rsidRPr="000238A7">
              <w:rPr>
                <w:rFonts w:asciiTheme="minorHAnsi" w:hAnsiTheme="minorHAnsi" w:cstheme="minorHAnsi"/>
                <w:sz w:val="20"/>
                <w:szCs w:val="20"/>
              </w:rPr>
              <w:t>will affect ~ 28 reporters annually.</w:t>
            </w:r>
          </w:p>
        </w:tc>
      </w:tr>
      <w:tr w14:paraId="4EAB2F42" w14:textId="77777777" w:rsidTr="004863F4">
        <w:tblPrEx>
          <w:tblW w:w="12937" w:type="dxa"/>
          <w:tblInd w:w="108" w:type="dxa"/>
          <w:tblLayout w:type="fixed"/>
          <w:tblLook w:val="04A0"/>
        </w:tblPrEx>
        <w:tc>
          <w:tcPr>
            <w:tcW w:w="1526" w:type="dxa"/>
            <w:vMerge/>
          </w:tcPr>
          <w:p w:rsidR="009646B0" w:rsidRPr="000238A7" w:rsidP="004863F4" w14:paraId="54CA0E4A" w14:textId="77777777">
            <w:pPr>
              <w:pStyle w:val="BodyText"/>
              <w:spacing w:after="0"/>
              <w:rPr>
                <w:rFonts w:asciiTheme="minorHAnsi" w:hAnsiTheme="minorHAnsi" w:cstheme="minorHAnsi"/>
                <w:sz w:val="20"/>
                <w:szCs w:val="20"/>
              </w:rPr>
            </w:pPr>
          </w:p>
        </w:tc>
        <w:tc>
          <w:tcPr>
            <w:tcW w:w="2051" w:type="dxa"/>
          </w:tcPr>
          <w:p w:rsidR="009646B0" w:rsidRPr="000238A7" w:rsidP="004863F4" w14:paraId="6693146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98.96(y)(2)(iv)</w:t>
            </w:r>
          </w:p>
        </w:tc>
        <w:tc>
          <w:tcPr>
            <w:tcW w:w="3330" w:type="dxa"/>
          </w:tcPr>
          <w:p w:rsidR="009646B0" w:rsidRPr="000238A7" w:rsidP="004863F4" w14:paraId="3383C137" w14:textId="77777777">
            <w:pPr>
              <w:pStyle w:val="BodyText"/>
              <w:spacing w:after="0"/>
              <w:rPr>
                <w:rFonts w:asciiTheme="minorHAnsi" w:hAnsiTheme="minorHAnsi" w:cstheme="minorHAnsi"/>
                <w:sz w:val="20"/>
                <w:szCs w:val="20"/>
                <w:lang w:val="en"/>
              </w:rPr>
            </w:pPr>
            <w:r w:rsidRPr="000238A7">
              <w:rPr>
                <w:rFonts w:asciiTheme="minorHAnsi" w:hAnsiTheme="minorHAnsi" w:cstheme="minorHAnsi"/>
                <w:sz w:val="20"/>
                <w:szCs w:val="20"/>
              </w:rPr>
              <w:t>For any utilization or by-product formation rate data submitted, provide a unique record number for each data set used to calculate the reported utilization and by-product formation rates.</w:t>
            </w:r>
          </w:p>
        </w:tc>
        <w:tc>
          <w:tcPr>
            <w:tcW w:w="2340" w:type="dxa"/>
          </w:tcPr>
          <w:p w:rsidR="009646B0" w:rsidRPr="000238A7" w:rsidP="004863F4" w14:paraId="60981B1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46553A5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available data and submit the value via e-GGRT as part of the triennial technology report, which is submitted with the annual report for RY2027 and submitted every five years thereafter. This data element applies to all respondents subject to subpart I with </w:t>
            </w:r>
            <w:r w:rsidRPr="000238A7">
              <w:rPr>
                <w:rFonts w:asciiTheme="minorHAnsi" w:hAnsiTheme="minorHAnsi" w:cstheme="minorHAnsi"/>
                <w:sz w:val="20"/>
                <w:szCs w:val="20"/>
                <w:lang w:val="en"/>
              </w:rPr>
              <w:t xml:space="preserve">semiconductor manufacturing facility that manufactures wafers greater than 150 mm and emits more than 40,000 metric ton CO2e of GHG emissions. This change </w:t>
            </w:r>
            <w:r w:rsidRPr="000238A7">
              <w:rPr>
                <w:rFonts w:asciiTheme="minorHAnsi" w:hAnsiTheme="minorHAnsi" w:cstheme="minorHAnsi"/>
                <w:sz w:val="20"/>
                <w:szCs w:val="20"/>
              </w:rPr>
              <w:t>will affect ~ 28 reporters annually.</w:t>
            </w:r>
          </w:p>
        </w:tc>
      </w:tr>
      <w:tr w14:paraId="50D3D826" w14:textId="77777777" w:rsidTr="004863F4">
        <w:tblPrEx>
          <w:tblW w:w="12937" w:type="dxa"/>
          <w:tblInd w:w="108" w:type="dxa"/>
          <w:tblLayout w:type="fixed"/>
          <w:tblLook w:val="04A0"/>
        </w:tblPrEx>
        <w:tc>
          <w:tcPr>
            <w:tcW w:w="1526" w:type="dxa"/>
            <w:vMerge w:val="restart"/>
          </w:tcPr>
          <w:p w:rsidR="009646B0" w:rsidRPr="000238A7" w:rsidP="004863F4" w14:paraId="1840DE2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 – Electronics Manufacturing</w:t>
            </w:r>
          </w:p>
          <w:p w:rsidR="009646B0" w:rsidRPr="000238A7" w:rsidP="004863F4" w14:paraId="0B975C95" w14:textId="77777777">
            <w:pPr>
              <w:pStyle w:val="BodyText"/>
              <w:spacing w:after="0"/>
              <w:rPr>
                <w:rFonts w:asciiTheme="minorHAnsi" w:hAnsiTheme="minorHAnsi" w:cstheme="minorHAnsi"/>
                <w:sz w:val="20"/>
                <w:szCs w:val="20"/>
              </w:rPr>
            </w:pPr>
          </w:p>
        </w:tc>
        <w:tc>
          <w:tcPr>
            <w:tcW w:w="2051" w:type="dxa"/>
          </w:tcPr>
          <w:p w:rsidR="009646B0" w:rsidRPr="000238A7" w:rsidP="004863F4" w14:paraId="48C76E8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98.96(y)(2)(iv)</w:t>
            </w:r>
          </w:p>
        </w:tc>
        <w:tc>
          <w:tcPr>
            <w:tcW w:w="3330" w:type="dxa"/>
          </w:tcPr>
          <w:p w:rsidR="009646B0" w:rsidRPr="000238A7" w:rsidP="004863F4" w14:paraId="25E75BC7" w14:textId="77777777">
            <w:pPr>
              <w:pStyle w:val="BodyText"/>
              <w:spacing w:after="0"/>
              <w:rPr>
                <w:rFonts w:asciiTheme="minorHAnsi" w:hAnsiTheme="minorHAnsi" w:cstheme="minorHAnsi"/>
                <w:sz w:val="20"/>
                <w:szCs w:val="20"/>
                <w:lang w:val="en"/>
              </w:rPr>
            </w:pPr>
            <w:r w:rsidRPr="000238A7">
              <w:rPr>
                <w:rFonts w:asciiTheme="minorHAnsi" w:hAnsiTheme="minorHAnsi" w:cstheme="minorHAnsi"/>
                <w:sz w:val="20"/>
                <w:szCs w:val="20"/>
              </w:rPr>
              <w:t>For any destruction or removal efficiency data submitted, indicate whether the abatement system is specifically designed to abate the gas measured under the operating condition used for the measurement.</w:t>
            </w:r>
          </w:p>
        </w:tc>
        <w:tc>
          <w:tcPr>
            <w:tcW w:w="2340" w:type="dxa"/>
          </w:tcPr>
          <w:p w:rsidR="009646B0" w:rsidRPr="000238A7" w:rsidP="004863F4" w14:paraId="37B8A00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40DF47D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available data and submit the value via e-GGRT as part of the triennial technology report, which is submitted with the annual report for RY2027 and submitted every five years thereafter. This data element applies to all respondents subject to subpart I with </w:t>
            </w:r>
            <w:r w:rsidRPr="000238A7">
              <w:rPr>
                <w:rFonts w:asciiTheme="minorHAnsi" w:hAnsiTheme="minorHAnsi" w:cstheme="minorHAnsi"/>
                <w:sz w:val="20"/>
                <w:szCs w:val="20"/>
                <w:lang w:val="en"/>
              </w:rPr>
              <w:t xml:space="preserve">semiconductor manufacturing facility that manufactures wafers greater than 150 mm and emits more than 40,000 metric ton CO2e of GHG emissions. This change </w:t>
            </w:r>
            <w:r w:rsidRPr="000238A7">
              <w:rPr>
                <w:rFonts w:asciiTheme="minorHAnsi" w:hAnsiTheme="minorHAnsi" w:cstheme="minorHAnsi"/>
                <w:sz w:val="20"/>
                <w:szCs w:val="20"/>
              </w:rPr>
              <w:t>will affect ~ 28 reporters annually.</w:t>
            </w:r>
          </w:p>
        </w:tc>
      </w:tr>
      <w:tr w14:paraId="10923225" w14:textId="77777777" w:rsidTr="004863F4">
        <w:tblPrEx>
          <w:tblW w:w="12937" w:type="dxa"/>
          <w:tblInd w:w="108" w:type="dxa"/>
          <w:tblLayout w:type="fixed"/>
          <w:tblLook w:val="04A0"/>
        </w:tblPrEx>
        <w:tc>
          <w:tcPr>
            <w:tcW w:w="1526" w:type="dxa"/>
            <w:vMerge/>
          </w:tcPr>
          <w:p w:rsidR="009646B0" w:rsidRPr="000238A7" w:rsidP="004863F4" w14:paraId="6A1809DC" w14:textId="77777777">
            <w:pPr>
              <w:pStyle w:val="BodyText"/>
              <w:spacing w:after="0"/>
              <w:rPr>
                <w:rFonts w:asciiTheme="minorHAnsi" w:hAnsiTheme="minorHAnsi" w:cstheme="minorHAnsi"/>
                <w:sz w:val="20"/>
                <w:szCs w:val="20"/>
              </w:rPr>
            </w:pPr>
          </w:p>
        </w:tc>
        <w:tc>
          <w:tcPr>
            <w:tcW w:w="2051" w:type="dxa"/>
          </w:tcPr>
          <w:p w:rsidR="009646B0" w:rsidRPr="000238A7" w:rsidP="004863F4" w14:paraId="373F37E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98.96(y)(2)(iv)</w:t>
            </w:r>
          </w:p>
        </w:tc>
        <w:tc>
          <w:tcPr>
            <w:tcW w:w="3330" w:type="dxa"/>
          </w:tcPr>
          <w:p w:rsidR="009646B0" w:rsidRPr="000238A7" w:rsidP="004863F4" w14:paraId="0F4F8F5A" w14:textId="77777777">
            <w:pPr>
              <w:pStyle w:val="BodyText"/>
              <w:spacing w:after="0"/>
              <w:rPr>
                <w:rFonts w:asciiTheme="minorHAnsi" w:hAnsiTheme="minorHAnsi" w:cstheme="minorHAnsi"/>
                <w:color w:val="333333"/>
                <w:sz w:val="20"/>
                <w:szCs w:val="20"/>
                <w:lang w:val="en"/>
              </w:rPr>
            </w:pPr>
            <w:r w:rsidRPr="000238A7">
              <w:rPr>
                <w:rFonts w:asciiTheme="minorHAnsi" w:hAnsiTheme="minorHAnsi" w:cstheme="minorHAnsi"/>
                <w:sz w:val="20"/>
                <w:szCs w:val="20"/>
              </w:rPr>
              <w:t xml:space="preserve">For any utilization or byproduct formation rate data submitted, </w:t>
            </w:r>
            <w:r w:rsidRPr="000238A7">
              <w:rPr>
                <w:rFonts w:asciiTheme="minorHAnsi" w:hAnsiTheme="minorHAnsi" w:cstheme="minorHAnsi"/>
                <w:sz w:val="20"/>
                <w:szCs w:val="20"/>
              </w:rPr>
              <w:t>i</w:t>
            </w:r>
            <w:r w:rsidRPr="000238A7">
              <w:rPr>
                <w:rFonts w:asciiTheme="minorHAnsi" w:hAnsiTheme="minorHAnsi" w:cstheme="minorHAnsi"/>
                <w:sz w:val="20"/>
                <w:szCs w:val="20"/>
                <w:lang w:val="en"/>
              </w:rPr>
              <w:t>f</w:t>
            </w:r>
            <w:r w:rsidRPr="000238A7">
              <w:rPr>
                <w:rFonts w:asciiTheme="minorHAnsi" w:hAnsiTheme="minorHAnsi" w:cstheme="minorHAnsi"/>
                <w:sz w:val="20"/>
                <w:szCs w:val="20"/>
                <w:lang w:val="en"/>
              </w:rPr>
              <w:t xml:space="preserve"> you </w:t>
            </w:r>
            <w:r w:rsidRPr="000238A7">
              <w:rPr>
                <w:rFonts w:asciiTheme="minorHAnsi" w:hAnsiTheme="minorHAnsi" w:cstheme="minorHAnsi"/>
                <w:sz w:val="20"/>
                <w:szCs w:val="20"/>
                <w:lang w:val="en"/>
              </w:rPr>
              <w:t>choose to use an additional alternative calculation methodology to calculate and report the input gas emission factors and by-product formation rates, you must provide a complete, mathematical description of the alternative method used.</w:t>
            </w:r>
          </w:p>
        </w:tc>
        <w:tc>
          <w:tcPr>
            <w:tcW w:w="2340" w:type="dxa"/>
          </w:tcPr>
          <w:p w:rsidR="009646B0" w:rsidRPr="000238A7" w:rsidP="004863F4" w14:paraId="7A3B36A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4CAC7F0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w:t>
            </w:r>
            <w:r w:rsidRPr="000238A7">
              <w:rPr>
                <w:rFonts w:asciiTheme="minorHAnsi" w:hAnsiTheme="minorHAnsi" w:cstheme="minorHAnsi"/>
                <w:sz w:val="20"/>
                <w:szCs w:val="20"/>
              </w:rPr>
              <w:t xml:space="preserve">available data and submit the value via e-GGRT as part of the triennial technology report, which is submitted with the annual report for RY2027 and submitted every five years thereafter. This data element applies to all respondents subject to subpart I with </w:t>
            </w:r>
            <w:r w:rsidRPr="000238A7">
              <w:rPr>
                <w:rFonts w:asciiTheme="minorHAnsi" w:hAnsiTheme="minorHAnsi" w:cstheme="minorHAnsi"/>
                <w:sz w:val="20"/>
                <w:szCs w:val="20"/>
                <w:lang w:val="en"/>
              </w:rPr>
              <w:t xml:space="preserve">semiconductor manufacturing facility that manufactures wafers greater than 150 mm and emits more than 40,000 metric ton CO2e of GHG emissions. This change </w:t>
            </w:r>
            <w:r w:rsidRPr="000238A7">
              <w:rPr>
                <w:rFonts w:asciiTheme="minorHAnsi" w:hAnsiTheme="minorHAnsi" w:cstheme="minorHAnsi"/>
                <w:sz w:val="20"/>
                <w:szCs w:val="20"/>
              </w:rPr>
              <w:t>will affect ~ 28 reporters annually.</w:t>
            </w:r>
          </w:p>
        </w:tc>
      </w:tr>
      <w:tr w14:paraId="75B7E6D6" w14:textId="77777777" w:rsidTr="004863F4">
        <w:tblPrEx>
          <w:tblW w:w="12937" w:type="dxa"/>
          <w:tblInd w:w="108" w:type="dxa"/>
          <w:tblLayout w:type="fixed"/>
          <w:tblLook w:val="04A0"/>
        </w:tblPrEx>
        <w:tc>
          <w:tcPr>
            <w:tcW w:w="1526" w:type="dxa"/>
          </w:tcPr>
          <w:p w:rsidR="009646B0" w:rsidRPr="000238A7" w:rsidP="004863F4" w14:paraId="539A7FE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 – Glass Production</w:t>
            </w:r>
          </w:p>
        </w:tc>
        <w:tc>
          <w:tcPr>
            <w:tcW w:w="2051" w:type="dxa"/>
          </w:tcPr>
          <w:p w:rsidR="009646B0" w:rsidRPr="000238A7" w:rsidP="004863F4" w14:paraId="692A495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98.146(a)(2)</w:t>
            </w:r>
          </w:p>
        </w:tc>
        <w:tc>
          <w:tcPr>
            <w:tcW w:w="3330" w:type="dxa"/>
          </w:tcPr>
          <w:p w:rsidR="009646B0" w:rsidRPr="000238A7" w:rsidP="004863F4" w14:paraId="164C68D2" w14:textId="77777777">
            <w:pPr>
              <w:rPr>
                <w:rFonts w:cstheme="minorHAnsi"/>
                <w:sz w:val="20"/>
                <w:szCs w:val="20"/>
              </w:rPr>
            </w:pPr>
            <w:r w:rsidRPr="000238A7">
              <w:rPr>
                <w:rFonts w:cstheme="minorHAnsi"/>
                <w:sz w:val="20"/>
                <w:szCs w:val="20"/>
              </w:rPr>
              <w:t xml:space="preserve">Annual quantity of glass produced (tons) by glass type from each continuous glass melting furnace (CEMS) </w:t>
            </w:r>
          </w:p>
        </w:tc>
        <w:tc>
          <w:tcPr>
            <w:tcW w:w="2340" w:type="dxa"/>
          </w:tcPr>
          <w:p w:rsidR="009646B0" w:rsidRPr="000238A7" w:rsidP="004863F4" w14:paraId="0C5E0E7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0F5CC9D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N that use a CEMS and will affect ~ 3 reporters annually.</w:t>
            </w:r>
          </w:p>
        </w:tc>
      </w:tr>
      <w:tr w14:paraId="33B1B65F" w14:textId="77777777" w:rsidTr="004863F4">
        <w:tblPrEx>
          <w:tblW w:w="12937" w:type="dxa"/>
          <w:tblInd w:w="108" w:type="dxa"/>
          <w:tblLayout w:type="fixed"/>
          <w:tblLook w:val="04A0"/>
        </w:tblPrEx>
        <w:tc>
          <w:tcPr>
            <w:tcW w:w="1526" w:type="dxa"/>
          </w:tcPr>
          <w:p w:rsidR="009646B0" w:rsidRPr="000238A7" w:rsidP="004863F4" w14:paraId="2B1FA69D" w14:textId="77777777">
            <w:pPr>
              <w:pStyle w:val="BodyText"/>
              <w:spacing w:after="0"/>
              <w:rPr>
                <w:rFonts w:asciiTheme="minorHAnsi" w:hAnsiTheme="minorHAnsi" w:cstheme="minorHAnsi"/>
                <w:sz w:val="20"/>
                <w:szCs w:val="20"/>
              </w:rPr>
            </w:pPr>
          </w:p>
        </w:tc>
        <w:tc>
          <w:tcPr>
            <w:tcW w:w="2051" w:type="dxa"/>
          </w:tcPr>
          <w:p w:rsidR="009646B0" w:rsidRPr="000238A7" w:rsidP="004863F4" w14:paraId="7847AD1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98.146(a)(2)</w:t>
            </w:r>
          </w:p>
        </w:tc>
        <w:tc>
          <w:tcPr>
            <w:tcW w:w="3330" w:type="dxa"/>
          </w:tcPr>
          <w:p w:rsidR="009646B0" w:rsidRPr="000238A7" w:rsidP="004863F4" w14:paraId="70C79C26" w14:textId="77777777">
            <w:pPr>
              <w:rPr>
                <w:rFonts w:cstheme="minorHAnsi"/>
                <w:sz w:val="20"/>
                <w:szCs w:val="20"/>
              </w:rPr>
            </w:pPr>
            <w:r w:rsidRPr="000238A7">
              <w:rPr>
                <w:rFonts w:cstheme="minorHAnsi"/>
                <w:sz w:val="20"/>
                <w:szCs w:val="20"/>
              </w:rPr>
              <w:t xml:space="preserve">Annual quantity of glass produced (tons) by glass type from all furnaces combined (CEMS) </w:t>
            </w:r>
          </w:p>
        </w:tc>
        <w:tc>
          <w:tcPr>
            <w:tcW w:w="2340" w:type="dxa"/>
          </w:tcPr>
          <w:p w:rsidR="009646B0" w:rsidRPr="000238A7" w:rsidP="004863F4" w14:paraId="34BE4D8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03B0E0E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N that use a CEMS and will affect ~ 3 reporters annually.</w:t>
            </w:r>
          </w:p>
        </w:tc>
      </w:tr>
      <w:tr w14:paraId="0101C529" w14:textId="77777777" w:rsidTr="004863F4">
        <w:tblPrEx>
          <w:tblW w:w="12937" w:type="dxa"/>
          <w:tblInd w:w="108" w:type="dxa"/>
          <w:tblLayout w:type="fixed"/>
          <w:tblLook w:val="04A0"/>
        </w:tblPrEx>
        <w:tc>
          <w:tcPr>
            <w:tcW w:w="1526" w:type="dxa"/>
          </w:tcPr>
          <w:p w:rsidR="009646B0" w:rsidRPr="000238A7" w:rsidP="004863F4" w14:paraId="43AE1EEC" w14:textId="77777777">
            <w:pPr>
              <w:pStyle w:val="BodyText"/>
              <w:spacing w:after="0"/>
              <w:rPr>
                <w:rFonts w:asciiTheme="minorHAnsi" w:hAnsiTheme="minorHAnsi" w:cstheme="minorHAnsi"/>
                <w:sz w:val="20"/>
                <w:szCs w:val="20"/>
              </w:rPr>
            </w:pPr>
          </w:p>
        </w:tc>
        <w:tc>
          <w:tcPr>
            <w:tcW w:w="2051" w:type="dxa"/>
          </w:tcPr>
          <w:p w:rsidR="009646B0" w:rsidRPr="000238A7" w:rsidP="004863F4" w14:paraId="09E5175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98.146(b)(3)</w:t>
            </w:r>
          </w:p>
        </w:tc>
        <w:tc>
          <w:tcPr>
            <w:tcW w:w="3330" w:type="dxa"/>
          </w:tcPr>
          <w:p w:rsidR="009646B0" w:rsidRPr="000238A7" w:rsidP="004863F4" w14:paraId="34BDCCCF" w14:textId="77777777">
            <w:pPr>
              <w:rPr>
                <w:rFonts w:cstheme="minorHAnsi"/>
                <w:sz w:val="20"/>
                <w:szCs w:val="20"/>
              </w:rPr>
            </w:pPr>
            <w:r w:rsidRPr="000238A7">
              <w:rPr>
                <w:rFonts w:cstheme="minorHAnsi"/>
                <w:sz w:val="20"/>
                <w:szCs w:val="20"/>
              </w:rPr>
              <w:t>Annual quantity of glass produced (tons), by glass type, from each continuous glass melting (No CEMS)</w:t>
            </w:r>
          </w:p>
        </w:tc>
        <w:tc>
          <w:tcPr>
            <w:tcW w:w="2340" w:type="dxa"/>
          </w:tcPr>
          <w:p w:rsidR="009646B0" w:rsidRPr="000238A7" w:rsidP="004863F4" w14:paraId="7066F75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392CA6A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available data and submit the value via e-GGRT as part of the annual report. This data element applies to all respondents subject to subpart N that do not use a </w:t>
            </w:r>
            <w:r w:rsidRPr="000238A7">
              <w:rPr>
                <w:rFonts w:asciiTheme="minorHAnsi" w:hAnsiTheme="minorHAnsi" w:cstheme="minorHAnsi"/>
                <w:sz w:val="20"/>
                <w:szCs w:val="20"/>
              </w:rPr>
              <w:t>CEMS and will affect ~ 99 reporters annually.</w:t>
            </w:r>
          </w:p>
        </w:tc>
      </w:tr>
      <w:tr w14:paraId="4901C8CC" w14:textId="77777777" w:rsidTr="004863F4">
        <w:tblPrEx>
          <w:tblW w:w="12937" w:type="dxa"/>
          <w:tblInd w:w="108" w:type="dxa"/>
          <w:tblLayout w:type="fixed"/>
          <w:tblLook w:val="04A0"/>
        </w:tblPrEx>
        <w:tc>
          <w:tcPr>
            <w:tcW w:w="1526" w:type="dxa"/>
          </w:tcPr>
          <w:p w:rsidR="009646B0" w:rsidRPr="000238A7" w:rsidP="004863F4" w14:paraId="3BF578BB" w14:textId="77777777">
            <w:pPr>
              <w:pStyle w:val="BodyText"/>
              <w:spacing w:after="0"/>
              <w:rPr>
                <w:rFonts w:asciiTheme="minorHAnsi" w:hAnsiTheme="minorHAnsi" w:cstheme="minorHAnsi"/>
                <w:sz w:val="20"/>
                <w:szCs w:val="20"/>
              </w:rPr>
            </w:pPr>
          </w:p>
        </w:tc>
        <w:tc>
          <w:tcPr>
            <w:tcW w:w="2051" w:type="dxa"/>
          </w:tcPr>
          <w:p w:rsidR="009646B0" w:rsidRPr="000238A7" w:rsidP="004863F4" w14:paraId="532578A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98.146(b)(3)</w:t>
            </w:r>
          </w:p>
        </w:tc>
        <w:tc>
          <w:tcPr>
            <w:tcW w:w="3330" w:type="dxa"/>
          </w:tcPr>
          <w:p w:rsidR="009646B0" w:rsidRPr="000238A7" w:rsidP="004863F4" w14:paraId="5F934283" w14:textId="77777777">
            <w:pPr>
              <w:rPr>
                <w:rFonts w:cstheme="minorHAnsi"/>
                <w:sz w:val="20"/>
                <w:szCs w:val="20"/>
              </w:rPr>
            </w:pPr>
            <w:r w:rsidRPr="000238A7">
              <w:rPr>
                <w:rFonts w:cstheme="minorHAnsi"/>
                <w:sz w:val="20"/>
                <w:szCs w:val="20"/>
              </w:rPr>
              <w:t>Annual quantity of glass produced (tons), by glass type, from all furnaces combined (No CEMS)</w:t>
            </w:r>
          </w:p>
        </w:tc>
        <w:tc>
          <w:tcPr>
            <w:tcW w:w="2340" w:type="dxa"/>
          </w:tcPr>
          <w:p w:rsidR="009646B0" w:rsidRPr="000238A7" w:rsidP="004863F4" w14:paraId="2F6B883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4B564E2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N that do not use a CEMS and will affect ~ 99 reporters annually.</w:t>
            </w:r>
          </w:p>
        </w:tc>
      </w:tr>
      <w:tr w14:paraId="680E5695" w14:textId="77777777" w:rsidTr="004863F4">
        <w:tblPrEx>
          <w:tblW w:w="12937" w:type="dxa"/>
          <w:tblInd w:w="108" w:type="dxa"/>
          <w:tblLayout w:type="fixed"/>
          <w:tblLook w:val="04A0"/>
        </w:tblPrEx>
        <w:tc>
          <w:tcPr>
            <w:tcW w:w="1526" w:type="dxa"/>
            <w:vMerge w:val="restart"/>
          </w:tcPr>
          <w:p w:rsidR="009646B0" w:rsidRPr="000238A7" w:rsidP="004863F4" w14:paraId="648119A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 – Glass Production</w:t>
            </w:r>
          </w:p>
        </w:tc>
        <w:tc>
          <w:tcPr>
            <w:tcW w:w="2051" w:type="dxa"/>
          </w:tcPr>
          <w:p w:rsidR="009646B0" w:rsidRPr="000238A7" w:rsidP="004863F4" w14:paraId="47C1991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98.146(a)(3),</w:t>
            </w:r>
          </w:p>
          <w:p w:rsidR="009646B0" w:rsidRPr="000238A7" w:rsidP="004863F4" w14:paraId="691C0D5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98.146(b)(4)</w:t>
            </w:r>
          </w:p>
        </w:tc>
        <w:tc>
          <w:tcPr>
            <w:tcW w:w="3330" w:type="dxa"/>
          </w:tcPr>
          <w:p w:rsidR="009646B0" w:rsidRPr="000238A7" w:rsidP="004863F4" w14:paraId="743946C1" w14:textId="77777777">
            <w:pPr>
              <w:rPr>
                <w:rFonts w:cstheme="minorHAnsi"/>
                <w:sz w:val="20"/>
                <w:szCs w:val="20"/>
              </w:rPr>
            </w:pPr>
            <w:r w:rsidRPr="000238A7">
              <w:rPr>
                <w:rFonts w:cstheme="minorHAnsi"/>
                <w:sz w:val="20"/>
                <w:szCs w:val="20"/>
              </w:rPr>
              <w:t>Annual quantity of glass produced (tons) by glass type from each continuous glass melting furnace.</w:t>
            </w:r>
          </w:p>
        </w:tc>
        <w:tc>
          <w:tcPr>
            <w:tcW w:w="2340" w:type="dxa"/>
          </w:tcPr>
          <w:p w:rsidR="009646B0" w:rsidRPr="000238A7" w:rsidP="004863F4" w14:paraId="545C4D21" w14:textId="77777777">
            <w:pPr>
              <w:pStyle w:val="BodyText"/>
              <w:spacing w:after="0"/>
              <w:rPr>
                <w:rStyle w:val="normaltextrun1"/>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7407BDE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N and will affect ~101 reporters annually.</w:t>
            </w:r>
          </w:p>
        </w:tc>
      </w:tr>
      <w:tr w14:paraId="437B58A9" w14:textId="77777777" w:rsidTr="004863F4">
        <w:tblPrEx>
          <w:tblW w:w="12937" w:type="dxa"/>
          <w:tblInd w:w="108" w:type="dxa"/>
          <w:tblLayout w:type="fixed"/>
          <w:tblLook w:val="04A0"/>
        </w:tblPrEx>
        <w:tc>
          <w:tcPr>
            <w:tcW w:w="1526" w:type="dxa"/>
            <w:vMerge/>
          </w:tcPr>
          <w:p w:rsidR="009646B0" w:rsidRPr="000238A7" w:rsidP="004863F4" w14:paraId="091C8D8A" w14:textId="77777777">
            <w:pPr>
              <w:pStyle w:val="BodyText"/>
              <w:spacing w:after="0"/>
              <w:rPr>
                <w:rFonts w:asciiTheme="minorHAnsi" w:hAnsiTheme="minorHAnsi" w:cstheme="minorHAnsi"/>
                <w:sz w:val="20"/>
                <w:szCs w:val="20"/>
              </w:rPr>
            </w:pPr>
          </w:p>
        </w:tc>
        <w:tc>
          <w:tcPr>
            <w:tcW w:w="2051" w:type="dxa"/>
          </w:tcPr>
          <w:p w:rsidR="009646B0" w:rsidRPr="000238A7" w:rsidP="004863F4" w14:paraId="276EA0D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98.146(a)(3),</w:t>
            </w:r>
          </w:p>
          <w:p w:rsidR="009646B0" w:rsidRPr="000238A7" w:rsidP="004863F4" w14:paraId="5A1CB99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98.146(b)(4)</w:t>
            </w:r>
          </w:p>
        </w:tc>
        <w:tc>
          <w:tcPr>
            <w:tcW w:w="3330" w:type="dxa"/>
          </w:tcPr>
          <w:p w:rsidR="009646B0" w:rsidRPr="000238A7" w:rsidP="004863F4" w14:paraId="1B097249" w14:textId="77777777">
            <w:pPr>
              <w:rPr>
                <w:rFonts w:cstheme="minorHAnsi"/>
                <w:sz w:val="20"/>
                <w:szCs w:val="20"/>
              </w:rPr>
            </w:pPr>
            <w:r w:rsidRPr="000238A7">
              <w:rPr>
                <w:rFonts w:cstheme="minorHAnsi"/>
                <w:sz w:val="20"/>
                <w:szCs w:val="20"/>
              </w:rPr>
              <w:t>Annual quantity (tons) of recycled scrap glass (cullet) charged to all furnaces combined.</w:t>
            </w:r>
          </w:p>
        </w:tc>
        <w:tc>
          <w:tcPr>
            <w:tcW w:w="2340" w:type="dxa"/>
          </w:tcPr>
          <w:p w:rsidR="009646B0" w:rsidRPr="000238A7" w:rsidP="004863F4" w14:paraId="5472217A" w14:textId="77777777">
            <w:pPr>
              <w:pStyle w:val="BodyText"/>
              <w:spacing w:after="0"/>
              <w:rPr>
                <w:rStyle w:val="normaltextrun1"/>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397B1FA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N and will affect ~101 reporters annually.</w:t>
            </w:r>
          </w:p>
        </w:tc>
      </w:tr>
      <w:tr w14:paraId="45E16D6F" w14:textId="77777777" w:rsidTr="004863F4">
        <w:tblPrEx>
          <w:tblW w:w="12937" w:type="dxa"/>
          <w:tblInd w:w="108" w:type="dxa"/>
          <w:tblLayout w:type="fixed"/>
          <w:tblLook w:val="04A0"/>
        </w:tblPrEx>
        <w:tc>
          <w:tcPr>
            <w:tcW w:w="1526" w:type="dxa"/>
            <w:vMerge/>
          </w:tcPr>
          <w:p w:rsidR="009646B0" w:rsidRPr="000238A7" w:rsidP="004863F4" w14:paraId="6E052E4C" w14:textId="77777777">
            <w:pPr>
              <w:pStyle w:val="BodyText"/>
              <w:spacing w:after="0"/>
              <w:rPr>
                <w:rFonts w:asciiTheme="minorHAnsi" w:hAnsiTheme="minorHAnsi" w:cstheme="minorHAnsi"/>
                <w:sz w:val="20"/>
                <w:szCs w:val="20"/>
              </w:rPr>
            </w:pPr>
          </w:p>
        </w:tc>
        <w:tc>
          <w:tcPr>
            <w:tcW w:w="2051" w:type="dxa"/>
          </w:tcPr>
          <w:p w:rsidR="009646B0" w:rsidRPr="000238A7" w:rsidP="004863F4" w14:paraId="57CE10D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98.146(b)(9)</w:t>
            </w:r>
          </w:p>
        </w:tc>
        <w:tc>
          <w:tcPr>
            <w:tcW w:w="3330" w:type="dxa"/>
          </w:tcPr>
          <w:p w:rsidR="009646B0" w:rsidRPr="000238A7" w:rsidP="004863F4" w14:paraId="176821D5" w14:textId="77777777">
            <w:pPr>
              <w:rPr>
                <w:rFonts w:cstheme="minorHAnsi"/>
                <w:sz w:val="20"/>
                <w:szCs w:val="20"/>
              </w:rPr>
            </w:pPr>
            <w:r w:rsidRPr="000238A7">
              <w:rPr>
                <w:rFonts w:cstheme="minorHAnsi"/>
                <w:sz w:val="20"/>
                <w:szCs w:val="20"/>
              </w:rPr>
              <w:t>Annual quantity of glass produced (tons), by glass type, from each continuous glass melting (No CEMS)</w:t>
            </w:r>
          </w:p>
        </w:tc>
        <w:tc>
          <w:tcPr>
            <w:tcW w:w="2340" w:type="dxa"/>
          </w:tcPr>
          <w:p w:rsidR="009646B0" w:rsidRPr="000238A7" w:rsidP="004863F4" w14:paraId="10E69E2E" w14:textId="77777777">
            <w:pPr>
              <w:pStyle w:val="BodyText"/>
              <w:spacing w:after="0"/>
              <w:rPr>
                <w:rStyle w:val="normaltextrun1"/>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7A4F0E3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N and will affect ~101 reporters annually.</w:t>
            </w:r>
          </w:p>
        </w:tc>
      </w:tr>
      <w:tr w14:paraId="3ED56F2F" w14:textId="77777777" w:rsidTr="004863F4">
        <w:tblPrEx>
          <w:tblW w:w="12937" w:type="dxa"/>
          <w:tblInd w:w="108" w:type="dxa"/>
          <w:tblLayout w:type="fixed"/>
          <w:tblLook w:val="04A0"/>
        </w:tblPrEx>
        <w:tc>
          <w:tcPr>
            <w:tcW w:w="1526" w:type="dxa"/>
          </w:tcPr>
          <w:p w:rsidR="009646B0" w:rsidRPr="000238A7" w:rsidP="004863F4" w14:paraId="7430152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P – Hydrogen Production</w:t>
            </w:r>
          </w:p>
        </w:tc>
        <w:tc>
          <w:tcPr>
            <w:tcW w:w="2051" w:type="dxa"/>
          </w:tcPr>
          <w:p w:rsidR="009646B0" w:rsidRPr="000238A7" w:rsidP="004863F4" w14:paraId="73A8BDE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98.166(b)</w:t>
            </w:r>
          </w:p>
        </w:tc>
        <w:tc>
          <w:tcPr>
            <w:tcW w:w="3330" w:type="dxa"/>
          </w:tcPr>
          <w:p w:rsidR="009646B0" w:rsidRPr="000238A7" w:rsidP="004863F4" w14:paraId="2B8B2D00" w14:textId="77777777">
            <w:pPr>
              <w:rPr>
                <w:rFonts w:cstheme="minorHAnsi"/>
                <w:sz w:val="20"/>
                <w:szCs w:val="20"/>
              </w:rPr>
            </w:pPr>
            <w:r w:rsidRPr="000238A7">
              <w:rPr>
                <w:rFonts w:cstheme="minorHAnsi"/>
                <w:sz w:val="20"/>
                <w:szCs w:val="20"/>
                <w:lang w:val="en"/>
              </w:rPr>
              <w:t xml:space="preserve">If the CEMS measures emissions from either a common stack for multiple </w:t>
            </w:r>
            <w:r w:rsidRPr="000238A7">
              <w:rPr>
                <w:rFonts w:cstheme="minorHAnsi"/>
                <w:sz w:val="20"/>
                <w:szCs w:val="20"/>
                <w:lang w:val="en"/>
              </w:rPr>
              <w:t>hydrogen production units or a common stack for hydrogen production unit(s) and other source(s), you must also report the estimated decimal fraction of the total annual CO</w:t>
            </w:r>
            <w:r w:rsidRPr="000238A7">
              <w:rPr>
                <w:rFonts w:cstheme="minorHAnsi"/>
                <w:sz w:val="20"/>
                <w:szCs w:val="20"/>
                <w:vertAlign w:val="subscript"/>
                <w:lang w:val="en"/>
              </w:rPr>
              <w:t>2</w:t>
            </w:r>
            <w:r w:rsidRPr="000238A7">
              <w:rPr>
                <w:rFonts w:cstheme="minorHAnsi"/>
                <w:sz w:val="20"/>
                <w:szCs w:val="20"/>
                <w:lang w:val="en"/>
              </w:rPr>
              <w:t xml:space="preserve"> emissions attributable to this hydrogen production process unit</w:t>
            </w:r>
          </w:p>
        </w:tc>
        <w:tc>
          <w:tcPr>
            <w:tcW w:w="2340" w:type="dxa"/>
          </w:tcPr>
          <w:p w:rsidR="009646B0" w:rsidRPr="000238A7" w:rsidP="004863F4" w14:paraId="154A353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5AE92FA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w:t>
            </w:r>
            <w:r w:rsidRPr="000238A7">
              <w:rPr>
                <w:rFonts w:asciiTheme="minorHAnsi" w:hAnsiTheme="minorHAnsi" w:cstheme="minorHAnsi"/>
                <w:sz w:val="20"/>
                <w:szCs w:val="20"/>
              </w:rPr>
              <w:t>available data and submit the value via e-GGRT as part of the annual report. This data element applies to respondents subject to subpart P that use CEMs and will affect ~3 reporters annually.</w:t>
            </w:r>
          </w:p>
        </w:tc>
      </w:tr>
      <w:tr w14:paraId="4C7F5EDE" w14:textId="77777777" w:rsidTr="004863F4">
        <w:tblPrEx>
          <w:tblW w:w="12937" w:type="dxa"/>
          <w:tblInd w:w="108" w:type="dxa"/>
          <w:tblLayout w:type="fixed"/>
          <w:tblLook w:val="04A0"/>
        </w:tblPrEx>
        <w:tc>
          <w:tcPr>
            <w:tcW w:w="1526" w:type="dxa"/>
          </w:tcPr>
          <w:p w:rsidR="009646B0" w:rsidRPr="000238A7" w:rsidP="004863F4" w14:paraId="1D17384A" w14:textId="77777777">
            <w:pPr>
              <w:pStyle w:val="BodyText"/>
              <w:spacing w:after="0"/>
              <w:rPr>
                <w:rFonts w:asciiTheme="minorHAnsi" w:hAnsiTheme="minorHAnsi" w:cstheme="minorHAnsi"/>
                <w:sz w:val="20"/>
                <w:szCs w:val="20"/>
              </w:rPr>
            </w:pPr>
          </w:p>
        </w:tc>
        <w:tc>
          <w:tcPr>
            <w:tcW w:w="2051" w:type="dxa"/>
          </w:tcPr>
          <w:p w:rsidR="009646B0" w:rsidRPr="000238A7" w:rsidP="004863F4" w14:paraId="1ED73D0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98.166(c)</w:t>
            </w:r>
          </w:p>
        </w:tc>
        <w:tc>
          <w:tcPr>
            <w:tcW w:w="3330" w:type="dxa"/>
          </w:tcPr>
          <w:p w:rsidR="009646B0" w:rsidRPr="000238A7" w:rsidP="004863F4" w14:paraId="424D470E" w14:textId="77777777">
            <w:pPr>
              <w:pStyle w:val="BodyText"/>
              <w:rPr>
                <w:rFonts w:asciiTheme="minorHAnsi" w:hAnsiTheme="minorHAnsi" w:cstheme="minorHAnsi"/>
                <w:bCs/>
                <w:sz w:val="20"/>
                <w:szCs w:val="20"/>
                <w:lang w:val="en"/>
              </w:rPr>
            </w:pPr>
            <w:r w:rsidRPr="000238A7">
              <w:rPr>
                <w:rFonts w:asciiTheme="minorHAnsi" w:hAnsiTheme="minorHAnsi" w:cstheme="minorHAnsi"/>
                <w:bCs/>
                <w:sz w:val="20"/>
                <w:szCs w:val="20"/>
                <w:lang w:val="en"/>
              </w:rPr>
              <w:t>If a material balance is used to calculate emissions using Equations P-1 through P-3, as applicable, report the total annual CO</w:t>
            </w:r>
            <w:r w:rsidRPr="000238A7">
              <w:rPr>
                <w:rFonts w:asciiTheme="minorHAnsi" w:hAnsiTheme="minorHAnsi" w:cstheme="minorHAnsi"/>
                <w:bCs/>
                <w:sz w:val="20"/>
                <w:szCs w:val="20"/>
                <w:vertAlign w:val="subscript"/>
                <w:lang w:val="en"/>
              </w:rPr>
              <w:t>2</w:t>
            </w:r>
            <w:r w:rsidRPr="000238A7">
              <w:rPr>
                <w:rFonts w:asciiTheme="minorHAnsi" w:hAnsiTheme="minorHAnsi" w:cstheme="minorHAnsi"/>
                <w:bCs/>
                <w:sz w:val="20"/>
                <w:szCs w:val="20"/>
                <w:lang w:val="en"/>
              </w:rPr>
              <w:t xml:space="preserve"> emissions (metric tons) and the name and annual quantity (metric tons) of each carbon-containing fuel and feedstock.</w:t>
            </w:r>
          </w:p>
          <w:p w:rsidR="009646B0" w:rsidRPr="000238A7" w:rsidP="004863F4" w14:paraId="29ABB430" w14:textId="77777777">
            <w:pPr>
              <w:rPr>
                <w:rFonts w:cstheme="minorHAnsi"/>
                <w:sz w:val="20"/>
                <w:szCs w:val="20"/>
              </w:rPr>
            </w:pPr>
          </w:p>
        </w:tc>
        <w:tc>
          <w:tcPr>
            <w:tcW w:w="2340" w:type="dxa"/>
          </w:tcPr>
          <w:p w:rsidR="009646B0" w:rsidRPr="000238A7" w:rsidP="004863F4" w14:paraId="3B2C4F9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2DF5DF2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respondents subject to subpart P that use CEMs and will affect ~3 reporters annually.</w:t>
            </w:r>
          </w:p>
        </w:tc>
      </w:tr>
      <w:tr w14:paraId="2A0FF399" w14:textId="77777777" w:rsidTr="004863F4">
        <w:tblPrEx>
          <w:tblW w:w="12937" w:type="dxa"/>
          <w:tblInd w:w="108" w:type="dxa"/>
          <w:tblLayout w:type="fixed"/>
          <w:tblLook w:val="04A0"/>
        </w:tblPrEx>
        <w:tc>
          <w:tcPr>
            <w:tcW w:w="1526" w:type="dxa"/>
            <w:vMerge w:val="restart"/>
          </w:tcPr>
          <w:p w:rsidR="009646B0" w:rsidRPr="000238A7" w:rsidP="004863F4" w14:paraId="4D675A3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P – </w:t>
            </w:r>
            <w:r w:rsidRPr="000238A7">
              <w:rPr>
                <w:rFonts w:asciiTheme="minorHAnsi" w:hAnsiTheme="minorHAnsi" w:cstheme="minorHAnsi"/>
                <w:sz w:val="20"/>
                <w:szCs w:val="20"/>
                <w:lang w:val="en"/>
              </w:rPr>
              <w:t>Hydrogen Production</w:t>
            </w:r>
          </w:p>
        </w:tc>
        <w:tc>
          <w:tcPr>
            <w:tcW w:w="2051" w:type="dxa"/>
          </w:tcPr>
          <w:p w:rsidR="009646B0" w:rsidRPr="000238A7" w:rsidP="004863F4" w14:paraId="10FCDB9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98.166(d)(1))</w:t>
            </w:r>
          </w:p>
        </w:tc>
        <w:tc>
          <w:tcPr>
            <w:tcW w:w="3330" w:type="dxa"/>
          </w:tcPr>
          <w:p w:rsidR="009646B0" w:rsidRPr="000238A7" w:rsidP="004863F4" w14:paraId="4F80904F" w14:textId="77777777">
            <w:pPr>
              <w:rPr>
                <w:rStyle w:val="normaltextrun1"/>
                <w:rFonts w:cstheme="minorHAnsi"/>
                <w:sz w:val="20"/>
                <w:szCs w:val="20"/>
              </w:rPr>
            </w:pPr>
            <w:r w:rsidRPr="000238A7">
              <w:rPr>
                <w:rFonts w:cstheme="minorHAnsi"/>
                <w:sz w:val="20"/>
                <w:szCs w:val="20"/>
              </w:rPr>
              <w:t>For each hydrogen production process unit, report the process type for each hydrogen production unit (i.e., SMR, SMR-WGS, POX, POX-WGS, Autothermal Reforming only, Autothermal Reforming followed by WGS, Water Electrolysis, Brine Electrolysis, or Other (specify)).</w:t>
            </w:r>
          </w:p>
        </w:tc>
        <w:tc>
          <w:tcPr>
            <w:tcW w:w="2340" w:type="dxa"/>
          </w:tcPr>
          <w:p w:rsidR="009646B0" w:rsidRPr="000238A7" w:rsidP="004863F4" w14:paraId="122D14D9" w14:textId="77777777">
            <w:pPr>
              <w:pStyle w:val="BodyText"/>
              <w:spacing w:after="0"/>
              <w:rPr>
                <w:rStyle w:val="normaltextrun1"/>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66857CC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change will affect ~113 existing reporters + 2 new reporters annually.</w:t>
            </w:r>
          </w:p>
        </w:tc>
      </w:tr>
      <w:tr w14:paraId="051DCE6E" w14:textId="77777777" w:rsidTr="004863F4">
        <w:tblPrEx>
          <w:tblW w:w="12937" w:type="dxa"/>
          <w:tblInd w:w="108" w:type="dxa"/>
          <w:tblLayout w:type="fixed"/>
          <w:tblLook w:val="04A0"/>
        </w:tblPrEx>
        <w:tc>
          <w:tcPr>
            <w:tcW w:w="1526" w:type="dxa"/>
            <w:vMerge/>
          </w:tcPr>
          <w:p w:rsidR="009646B0" w:rsidRPr="000238A7" w:rsidP="004863F4" w14:paraId="4100F53F" w14:textId="77777777">
            <w:pPr>
              <w:pStyle w:val="BodyText"/>
              <w:spacing w:after="0"/>
              <w:rPr>
                <w:rFonts w:asciiTheme="minorHAnsi" w:hAnsiTheme="minorHAnsi" w:cstheme="minorHAnsi"/>
                <w:sz w:val="20"/>
                <w:szCs w:val="20"/>
              </w:rPr>
            </w:pPr>
          </w:p>
        </w:tc>
        <w:tc>
          <w:tcPr>
            <w:tcW w:w="2051" w:type="dxa"/>
          </w:tcPr>
          <w:p w:rsidR="009646B0" w:rsidRPr="000238A7" w:rsidP="004863F4" w14:paraId="5CCD425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98.166(d)(2)</w:t>
            </w:r>
          </w:p>
        </w:tc>
        <w:tc>
          <w:tcPr>
            <w:tcW w:w="3330" w:type="dxa"/>
          </w:tcPr>
          <w:p w:rsidR="009646B0" w:rsidRPr="000238A7" w:rsidP="004863F4" w14:paraId="4977A06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For each hydrogen production process unit, </w:t>
            </w:r>
            <w:r w:rsidRPr="000238A7">
              <w:rPr>
                <w:rFonts w:asciiTheme="minorHAnsi" w:hAnsiTheme="minorHAnsi" w:cstheme="minorHAnsi"/>
                <w:sz w:val="20"/>
                <w:szCs w:val="20"/>
              </w:rPr>
              <w:t>t</w:t>
            </w:r>
            <w:r w:rsidRPr="000238A7">
              <w:rPr>
                <w:rFonts w:asciiTheme="minorHAnsi" w:hAnsiTheme="minorHAnsi" w:cstheme="minorHAnsi"/>
                <w:bCs/>
                <w:sz w:val="20"/>
                <w:szCs w:val="20"/>
                <w:lang w:val="en"/>
              </w:rPr>
              <w:t>he</w:t>
            </w:r>
            <w:r w:rsidRPr="000238A7">
              <w:rPr>
                <w:rFonts w:asciiTheme="minorHAnsi" w:hAnsiTheme="minorHAnsi" w:cstheme="minorHAnsi"/>
                <w:bCs/>
                <w:sz w:val="20"/>
                <w:szCs w:val="20"/>
                <w:lang w:val="en"/>
              </w:rPr>
              <w:t xml:space="preserve"> type of hydrogen purification method (pressure swing adsorption, amine adsorption, membrane separation, other (specify), none).</w:t>
            </w:r>
          </w:p>
        </w:tc>
        <w:tc>
          <w:tcPr>
            <w:tcW w:w="2340" w:type="dxa"/>
          </w:tcPr>
          <w:p w:rsidR="009646B0" w:rsidRPr="000238A7" w:rsidP="004863F4" w14:paraId="0D519F9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0F63DCE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change will affect ~ 113 existing reporters + 2 new reporters annually.</w:t>
            </w:r>
          </w:p>
        </w:tc>
      </w:tr>
      <w:tr w14:paraId="025CDC67" w14:textId="77777777" w:rsidTr="004863F4">
        <w:tblPrEx>
          <w:tblW w:w="12937" w:type="dxa"/>
          <w:tblInd w:w="108" w:type="dxa"/>
          <w:tblLayout w:type="fixed"/>
          <w:tblLook w:val="04A0"/>
        </w:tblPrEx>
        <w:tc>
          <w:tcPr>
            <w:tcW w:w="1526" w:type="dxa"/>
            <w:vMerge w:val="restart"/>
          </w:tcPr>
          <w:p w:rsidR="009646B0" w:rsidRPr="000238A7" w:rsidP="004863F4" w14:paraId="6384FCE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P – </w:t>
            </w:r>
            <w:r w:rsidRPr="000238A7">
              <w:rPr>
                <w:rFonts w:asciiTheme="minorHAnsi" w:hAnsiTheme="minorHAnsi" w:cstheme="minorHAnsi"/>
                <w:sz w:val="20"/>
                <w:szCs w:val="20"/>
                <w:lang w:val="en"/>
              </w:rPr>
              <w:t>Hydrogen Production</w:t>
            </w:r>
          </w:p>
        </w:tc>
        <w:tc>
          <w:tcPr>
            <w:tcW w:w="2051" w:type="dxa"/>
            <w:shd w:val="clear" w:color="auto" w:fill="auto"/>
          </w:tcPr>
          <w:p w:rsidR="009646B0" w:rsidRPr="000238A7" w:rsidP="004863F4" w14:paraId="7FE6BA1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98.166(d)(4)</w:t>
            </w:r>
          </w:p>
        </w:tc>
        <w:tc>
          <w:tcPr>
            <w:tcW w:w="3330" w:type="dxa"/>
          </w:tcPr>
          <w:p w:rsidR="009646B0" w:rsidRPr="000238A7" w:rsidP="004863F4" w14:paraId="517E5A46" w14:textId="77777777">
            <w:pPr>
              <w:spacing w:before="100" w:beforeAutospacing="1" w:after="100" w:afterAutospacing="1"/>
              <w:rPr>
                <w:rFonts w:cstheme="minorHAnsi"/>
                <w:sz w:val="20"/>
                <w:szCs w:val="20"/>
              </w:rPr>
            </w:pPr>
            <w:r w:rsidRPr="000238A7">
              <w:rPr>
                <w:rFonts w:cstheme="minorHAnsi"/>
                <w:sz w:val="20"/>
                <w:szCs w:val="20"/>
              </w:rPr>
              <w:t xml:space="preserve">For each hydrogen production process unit, annual quantity of hydrogen that is purified only (metric </w:t>
            </w:r>
            <w:r w:rsidRPr="000238A7">
              <w:rPr>
                <w:rFonts w:cstheme="minorHAnsi"/>
                <w:sz w:val="20"/>
                <w:szCs w:val="20"/>
              </w:rPr>
              <w:t>tons). This quantity may be assumed to be equal to the annual quantity of hydrogen in the feedstocks to the hydrogen production unit.</w:t>
            </w:r>
          </w:p>
        </w:tc>
        <w:tc>
          <w:tcPr>
            <w:tcW w:w="2340" w:type="dxa"/>
          </w:tcPr>
          <w:p w:rsidR="009646B0" w:rsidRPr="000238A7" w:rsidP="004863F4" w14:paraId="775A1FB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5780C6F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w:t>
            </w:r>
            <w:r w:rsidRPr="000238A7">
              <w:rPr>
                <w:rFonts w:asciiTheme="minorHAnsi" w:hAnsiTheme="minorHAnsi" w:cstheme="minorHAnsi"/>
                <w:sz w:val="20"/>
                <w:szCs w:val="20"/>
              </w:rPr>
              <w:t>GGRT as part of the annual report. This change will affect ~113 existing reporters + 2 new reporters annually.</w:t>
            </w:r>
          </w:p>
        </w:tc>
      </w:tr>
      <w:tr w14:paraId="0104CABB" w14:textId="77777777" w:rsidTr="004863F4">
        <w:tblPrEx>
          <w:tblW w:w="12937" w:type="dxa"/>
          <w:tblInd w:w="108" w:type="dxa"/>
          <w:tblLayout w:type="fixed"/>
          <w:tblLook w:val="04A0"/>
        </w:tblPrEx>
        <w:tc>
          <w:tcPr>
            <w:tcW w:w="1526" w:type="dxa"/>
            <w:vMerge/>
          </w:tcPr>
          <w:p w:rsidR="009646B0" w:rsidRPr="000238A7" w:rsidP="004863F4" w14:paraId="3F800E85" w14:textId="77777777">
            <w:pPr>
              <w:pStyle w:val="BodyText"/>
              <w:spacing w:after="0"/>
              <w:rPr>
                <w:rFonts w:asciiTheme="minorHAnsi" w:hAnsiTheme="minorHAnsi" w:cstheme="minorHAnsi"/>
                <w:sz w:val="20"/>
                <w:szCs w:val="20"/>
              </w:rPr>
            </w:pPr>
          </w:p>
        </w:tc>
        <w:tc>
          <w:tcPr>
            <w:tcW w:w="2051" w:type="dxa"/>
            <w:shd w:val="clear" w:color="auto" w:fill="auto"/>
          </w:tcPr>
          <w:p w:rsidR="009646B0" w:rsidRPr="000238A7" w:rsidP="004863F4" w14:paraId="2EB9D98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98.166(d)(6)</w:t>
            </w:r>
          </w:p>
        </w:tc>
        <w:tc>
          <w:tcPr>
            <w:tcW w:w="3330" w:type="dxa"/>
          </w:tcPr>
          <w:p w:rsidR="009646B0" w:rsidRPr="000238A7" w:rsidP="004863F4" w14:paraId="2ADA553A" w14:textId="77777777">
            <w:pPr>
              <w:spacing w:before="100" w:beforeAutospacing="1" w:after="100" w:afterAutospacing="1"/>
              <w:rPr>
                <w:rFonts w:cstheme="minorHAnsi"/>
                <w:sz w:val="20"/>
                <w:szCs w:val="20"/>
              </w:rPr>
            </w:pPr>
            <w:r w:rsidRPr="000238A7">
              <w:rPr>
                <w:rFonts w:cstheme="minorHAnsi"/>
                <w:sz w:val="20"/>
                <w:szCs w:val="20"/>
              </w:rPr>
              <w:t xml:space="preserve">For each hydrogen production process unit, </w:t>
            </w:r>
            <w:r w:rsidRPr="000238A7">
              <w:rPr>
                <w:rFonts w:cstheme="minorHAnsi"/>
                <w:sz w:val="20"/>
                <w:szCs w:val="20"/>
                <w:lang w:val="en"/>
              </w:rPr>
              <w:t>quantity of CO</w:t>
            </w:r>
            <w:r w:rsidRPr="000238A7">
              <w:rPr>
                <w:rFonts w:cstheme="minorHAnsi"/>
                <w:sz w:val="20"/>
                <w:szCs w:val="20"/>
                <w:vertAlign w:val="subscript"/>
                <w:lang w:val="en"/>
              </w:rPr>
              <w:t>2</w:t>
            </w:r>
            <w:r w:rsidRPr="000238A7">
              <w:rPr>
                <w:rFonts w:cstheme="minorHAnsi"/>
                <w:sz w:val="20"/>
                <w:szCs w:val="20"/>
                <w:lang w:val="en"/>
              </w:rPr>
              <w:t xml:space="preserve"> collected and transferred off site in either gas, liquid, or solid forms, following the requirements of subpart PP of this part.</w:t>
            </w:r>
          </w:p>
        </w:tc>
        <w:tc>
          <w:tcPr>
            <w:tcW w:w="2340" w:type="dxa"/>
          </w:tcPr>
          <w:p w:rsidR="009646B0" w:rsidRPr="000238A7" w:rsidP="004863F4" w14:paraId="1504555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624B623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change will affect ~113 existing reporters + 2 new reporters annually.</w:t>
            </w:r>
          </w:p>
        </w:tc>
      </w:tr>
      <w:tr w14:paraId="30E98FE0" w14:textId="77777777" w:rsidTr="004863F4">
        <w:tblPrEx>
          <w:tblW w:w="12937" w:type="dxa"/>
          <w:tblInd w:w="108" w:type="dxa"/>
          <w:tblLayout w:type="fixed"/>
          <w:tblLook w:val="04A0"/>
        </w:tblPrEx>
        <w:tc>
          <w:tcPr>
            <w:tcW w:w="1526" w:type="dxa"/>
            <w:vMerge/>
          </w:tcPr>
          <w:p w:rsidR="009646B0" w:rsidRPr="000238A7" w:rsidP="004863F4" w14:paraId="2FE2121F" w14:textId="77777777">
            <w:pPr>
              <w:pStyle w:val="BodyText"/>
              <w:spacing w:after="0"/>
              <w:rPr>
                <w:rFonts w:asciiTheme="minorHAnsi" w:hAnsiTheme="minorHAnsi" w:cstheme="minorHAnsi"/>
                <w:sz w:val="20"/>
                <w:szCs w:val="20"/>
              </w:rPr>
            </w:pPr>
          </w:p>
        </w:tc>
        <w:tc>
          <w:tcPr>
            <w:tcW w:w="2051" w:type="dxa"/>
          </w:tcPr>
          <w:p w:rsidR="009646B0" w:rsidRPr="000238A7" w:rsidP="004863F4" w14:paraId="0EDDECD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98.166(d)(7)</w:t>
            </w:r>
          </w:p>
        </w:tc>
        <w:tc>
          <w:tcPr>
            <w:tcW w:w="3330" w:type="dxa"/>
          </w:tcPr>
          <w:p w:rsidR="009646B0" w:rsidRPr="000238A7" w:rsidP="004863F4" w14:paraId="72D4585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For each hydrogen production process unit, </w:t>
            </w:r>
            <w:r w:rsidRPr="000238A7">
              <w:rPr>
                <w:rFonts w:asciiTheme="minorHAnsi" w:hAnsiTheme="minorHAnsi" w:cstheme="minorHAnsi"/>
                <w:sz w:val="20"/>
                <w:szCs w:val="20"/>
                <w:lang w:val="en"/>
              </w:rPr>
              <w:t>annual quantity of carbon other than CO</w:t>
            </w:r>
            <w:r w:rsidRPr="000238A7">
              <w:rPr>
                <w:rFonts w:asciiTheme="minorHAnsi" w:hAnsiTheme="minorHAnsi" w:cstheme="minorHAnsi"/>
                <w:sz w:val="20"/>
                <w:szCs w:val="20"/>
                <w:vertAlign w:val="subscript"/>
                <w:lang w:val="en"/>
              </w:rPr>
              <w:t>2</w:t>
            </w:r>
            <w:r w:rsidRPr="000238A7">
              <w:rPr>
                <w:rFonts w:asciiTheme="minorHAnsi" w:hAnsiTheme="minorHAnsi" w:cstheme="minorHAnsi"/>
                <w:sz w:val="20"/>
                <w:szCs w:val="20"/>
                <w:lang w:val="en"/>
              </w:rPr>
              <w:t xml:space="preserve"> or methanol collected and transferred off site, or transferred to a separate process unit within the facility for which GHG emissions associated with this carbon is being reported under other provisions of part 98, in either gas, liquid, or solid forms (metric tons carbon).</w:t>
            </w:r>
          </w:p>
        </w:tc>
        <w:tc>
          <w:tcPr>
            <w:tcW w:w="2340" w:type="dxa"/>
          </w:tcPr>
          <w:p w:rsidR="009646B0" w:rsidRPr="000238A7" w:rsidP="004863F4" w14:paraId="574F2FA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13E41AE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change will affect ~113 existing reporters + 2 new reporters annually.</w:t>
            </w:r>
          </w:p>
        </w:tc>
      </w:tr>
      <w:tr w14:paraId="3AF1A2B6" w14:textId="77777777" w:rsidTr="004863F4">
        <w:tblPrEx>
          <w:tblW w:w="12937" w:type="dxa"/>
          <w:tblInd w:w="108" w:type="dxa"/>
          <w:tblLayout w:type="fixed"/>
          <w:tblLook w:val="04A0"/>
        </w:tblPrEx>
        <w:tc>
          <w:tcPr>
            <w:tcW w:w="1526" w:type="dxa"/>
            <w:vMerge/>
          </w:tcPr>
          <w:p w:rsidR="009646B0" w:rsidRPr="000238A7" w:rsidP="004863F4" w14:paraId="0B414A70" w14:textId="77777777">
            <w:pPr>
              <w:pStyle w:val="BodyText"/>
              <w:spacing w:after="0"/>
              <w:rPr>
                <w:rFonts w:asciiTheme="minorHAnsi" w:hAnsiTheme="minorHAnsi" w:cstheme="minorHAnsi"/>
                <w:sz w:val="20"/>
                <w:szCs w:val="20"/>
              </w:rPr>
            </w:pPr>
          </w:p>
        </w:tc>
        <w:tc>
          <w:tcPr>
            <w:tcW w:w="2051" w:type="dxa"/>
          </w:tcPr>
          <w:p w:rsidR="009646B0" w:rsidRPr="000238A7" w:rsidP="004863F4" w14:paraId="62D157C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98.166(b)(9)</w:t>
            </w:r>
          </w:p>
        </w:tc>
        <w:tc>
          <w:tcPr>
            <w:tcW w:w="3330" w:type="dxa"/>
          </w:tcPr>
          <w:p w:rsidR="009646B0" w:rsidRPr="000238A7" w:rsidP="004863F4" w14:paraId="1421EDE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For each hydrogen production process unit, annual net quantity of steam consumed by the unit(metric tons). </w:t>
            </w:r>
          </w:p>
        </w:tc>
        <w:tc>
          <w:tcPr>
            <w:tcW w:w="2340" w:type="dxa"/>
          </w:tcPr>
          <w:p w:rsidR="009646B0" w:rsidRPr="000238A7" w:rsidP="004863F4" w14:paraId="74B1552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p w:rsidR="009646B0" w:rsidRPr="000238A7" w:rsidP="004863F4" w14:paraId="521C412F" w14:textId="77777777">
            <w:pPr>
              <w:pStyle w:val="BodyText"/>
              <w:spacing w:after="0"/>
              <w:rPr>
                <w:rFonts w:asciiTheme="minorHAnsi" w:hAnsiTheme="minorHAnsi" w:cstheme="minorHAnsi"/>
                <w:sz w:val="20"/>
                <w:szCs w:val="20"/>
              </w:rPr>
            </w:pPr>
          </w:p>
        </w:tc>
        <w:tc>
          <w:tcPr>
            <w:tcW w:w="3690" w:type="dxa"/>
          </w:tcPr>
          <w:p w:rsidR="009646B0" w:rsidRPr="000238A7" w:rsidP="004863F4" w14:paraId="20FD92B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change will affect ~113 existing reporters + 2 new reporters annually.</w:t>
            </w:r>
          </w:p>
        </w:tc>
      </w:tr>
      <w:tr w14:paraId="54D3A423" w14:textId="77777777" w:rsidTr="004863F4">
        <w:tblPrEx>
          <w:tblW w:w="12937" w:type="dxa"/>
          <w:tblInd w:w="108" w:type="dxa"/>
          <w:tblLayout w:type="fixed"/>
          <w:tblLook w:val="04A0"/>
        </w:tblPrEx>
        <w:tc>
          <w:tcPr>
            <w:tcW w:w="1526" w:type="dxa"/>
          </w:tcPr>
          <w:p w:rsidR="009646B0" w:rsidRPr="000238A7" w:rsidP="004863F4" w14:paraId="62FBF71B" w14:textId="77777777">
            <w:pPr>
              <w:pStyle w:val="BodyText"/>
              <w:spacing w:after="0"/>
              <w:rPr>
                <w:rFonts w:asciiTheme="minorHAnsi" w:hAnsiTheme="minorHAnsi" w:cstheme="minorHAnsi"/>
                <w:sz w:val="20"/>
                <w:szCs w:val="20"/>
              </w:rPr>
            </w:pPr>
          </w:p>
        </w:tc>
        <w:tc>
          <w:tcPr>
            <w:tcW w:w="2051" w:type="dxa"/>
          </w:tcPr>
          <w:p w:rsidR="009646B0" w:rsidRPr="000238A7" w:rsidP="004863F4" w14:paraId="7743C29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98.166(d)(10)</w:t>
            </w:r>
          </w:p>
        </w:tc>
        <w:tc>
          <w:tcPr>
            <w:tcW w:w="3330" w:type="dxa"/>
          </w:tcPr>
          <w:p w:rsidR="009646B0" w:rsidRPr="000238A7" w:rsidP="004863F4" w14:paraId="7D8CF76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An indication (yes or no) if BAMM was used, in accordance with §98.164(c), to determine fuel flow for each stationary combustion unit directly associated with hydrogen production </w:t>
            </w:r>
            <w:r w:rsidRPr="000238A7">
              <w:rPr>
                <w:rFonts w:asciiTheme="minorHAnsi" w:hAnsiTheme="minorHAnsi" w:cstheme="minorHAnsi"/>
                <w:sz w:val="20"/>
                <w:szCs w:val="20"/>
              </w:rPr>
              <w:t>(e.g., reforming furnace and hydrogen production process unit heater)</w:t>
            </w:r>
          </w:p>
        </w:tc>
        <w:tc>
          <w:tcPr>
            <w:tcW w:w="2340" w:type="dxa"/>
          </w:tcPr>
          <w:p w:rsidR="009646B0" w:rsidRPr="000238A7" w:rsidP="004863F4" w14:paraId="23FB9DC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06DFDAA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available data and submit the value via e-GGRT as part of the annual report. This change applies to reporters who report to </w:t>
            </w:r>
            <w:r w:rsidRPr="000238A7">
              <w:rPr>
                <w:rFonts w:asciiTheme="minorHAnsi" w:hAnsiTheme="minorHAnsi" w:cstheme="minorHAnsi"/>
                <w:sz w:val="20"/>
                <w:szCs w:val="20"/>
              </w:rPr>
              <w:t>subparts P and C and will affect ~68 existing reporters.</w:t>
            </w:r>
          </w:p>
        </w:tc>
      </w:tr>
      <w:tr w14:paraId="46B6D36D" w14:textId="77777777" w:rsidTr="004863F4">
        <w:tblPrEx>
          <w:tblW w:w="12937" w:type="dxa"/>
          <w:tblInd w:w="108" w:type="dxa"/>
          <w:tblLayout w:type="fixed"/>
          <w:tblLook w:val="04A0"/>
        </w:tblPrEx>
        <w:tc>
          <w:tcPr>
            <w:tcW w:w="1526" w:type="dxa"/>
          </w:tcPr>
          <w:p w:rsidR="009646B0" w:rsidRPr="000238A7" w:rsidP="004863F4" w14:paraId="564CB565" w14:textId="77777777">
            <w:pPr>
              <w:pStyle w:val="BodyText"/>
              <w:spacing w:after="0"/>
              <w:rPr>
                <w:rFonts w:asciiTheme="minorHAnsi" w:hAnsiTheme="minorHAnsi" w:cstheme="minorHAnsi"/>
                <w:sz w:val="20"/>
                <w:szCs w:val="20"/>
              </w:rPr>
            </w:pPr>
          </w:p>
        </w:tc>
        <w:tc>
          <w:tcPr>
            <w:tcW w:w="2051" w:type="dxa"/>
          </w:tcPr>
          <w:p w:rsidR="009646B0" w:rsidRPr="000238A7" w:rsidP="004863F4" w14:paraId="57D7C5F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98.166(d)(10)(</w:t>
            </w:r>
            <w:r w:rsidRPr="000238A7">
              <w:rPr>
                <w:rFonts w:asciiTheme="minorHAnsi" w:hAnsiTheme="minorHAnsi" w:cstheme="minorHAnsi"/>
                <w:sz w:val="20"/>
                <w:szCs w:val="20"/>
              </w:rPr>
              <w:t>i</w:t>
            </w:r>
            <w:r w:rsidRPr="000238A7">
              <w:rPr>
                <w:rFonts w:asciiTheme="minorHAnsi" w:hAnsiTheme="minorHAnsi" w:cstheme="minorHAnsi"/>
                <w:sz w:val="20"/>
                <w:szCs w:val="20"/>
              </w:rPr>
              <w:t>)</w:t>
            </w:r>
          </w:p>
        </w:tc>
        <w:tc>
          <w:tcPr>
            <w:tcW w:w="3330" w:type="dxa"/>
          </w:tcPr>
          <w:p w:rsidR="009646B0" w:rsidRPr="000238A7" w:rsidP="004863F4" w14:paraId="0BD3AD7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The beginning date of using BAMM, in accordance with §98.164(c), to determine fuel flow for each stationary combustion unit directly associated with hydrogen production (e.g., reforming furnace and hydrogen production process unit heater).</w:t>
            </w:r>
          </w:p>
        </w:tc>
        <w:tc>
          <w:tcPr>
            <w:tcW w:w="2340" w:type="dxa"/>
          </w:tcPr>
          <w:p w:rsidR="009646B0" w:rsidRPr="000238A7" w:rsidP="004863F4" w14:paraId="52B2824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253D962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change applies to reporters who report to subparts P and C and will affect ~68 existing reporters.</w:t>
            </w:r>
          </w:p>
        </w:tc>
      </w:tr>
      <w:tr w14:paraId="420B09B8" w14:textId="77777777" w:rsidTr="004863F4">
        <w:tblPrEx>
          <w:tblW w:w="12937" w:type="dxa"/>
          <w:tblInd w:w="108" w:type="dxa"/>
          <w:tblLayout w:type="fixed"/>
          <w:tblLook w:val="04A0"/>
        </w:tblPrEx>
        <w:tc>
          <w:tcPr>
            <w:tcW w:w="1526" w:type="dxa"/>
          </w:tcPr>
          <w:p w:rsidR="009646B0" w:rsidRPr="000238A7" w:rsidP="004863F4" w14:paraId="6ED9D456" w14:textId="77777777">
            <w:pPr>
              <w:pStyle w:val="BodyText"/>
              <w:spacing w:after="0"/>
              <w:rPr>
                <w:rFonts w:asciiTheme="minorHAnsi" w:hAnsiTheme="minorHAnsi" w:cstheme="minorHAnsi"/>
                <w:sz w:val="20"/>
                <w:szCs w:val="20"/>
              </w:rPr>
            </w:pPr>
          </w:p>
        </w:tc>
        <w:tc>
          <w:tcPr>
            <w:tcW w:w="2051" w:type="dxa"/>
          </w:tcPr>
          <w:p w:rsidR="009646B0" w:rsidRPr="000238A7" w:rsidP="004863F4" w14:paraId="35B3DBF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98.166(d)(10)(ii)</w:t>
            </w:r>
          </w:p>
        </w:tc>
        <w:tc>
          <w:tcPr>
            <w:tcW w:w="3330" w:type="dxa"/>
          </w:tcPr>
          <w:p w:rsidR="009646B0" w:rsidRPr="000238A7" w:rsidP="004863F4" w14:paraId="500B060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The anticipated or actual end date of using BAMM, as applicable, in accordance with §98.164(c), to determine fuel flow for each stationary combustion unit directly associated with hydrogen production (e.g., reforming furnace and hydrogen production process unit heater).   </w:t>
            </w:r>
          </w:p>
        </w:tc>
        <w:tc>
          <w:tcPr>
            <w:tcW w:w="2340" w:type="dxa"/>
          </w:tcPr>
          <w:p w:rsidR="009646B0" w:rsidRPr="000238A7" w:rsidP="004863F4" w14:paraId="51F2E5D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6E68B59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change applies to reporters who report to subparts P and C and will affect ~68 existing reporters.</w:t>
            </w:r>
          </w:p>
        </w:tc>
      </w:tr>
      <w:tr w14:paraId="6BD5D59A" w14:textId="77777777" w:rsidTr="004863F4">
        <w:tblPrEx>
          <w:tblW w:w="12937" w:type="dxa"/>
          <w:tblInd w:w="108" w:type="dxa"/>
          <w:tblLayout w:type="fixed"/>
          <w:tblLook w:val="04A0"/>
        </w:tblPrEx>
        <w:tc>
          <w:tcPr>
            <w:tcW w:w="1526" w:type="dxa"/>
            <w:vMerge w:val="restart"/>
          </w:tcPr>
          <w:p w:rsidR="009646B0" w:rsidRPr="000238A7" w:rsidP="004863F4" w14:paraId="3C80A39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Q – Iron and Steel Production</w:t>
            </w:r>
          </w:p>
        </w:tc>
        <w:tc>
          <w:tcPr>
            <w:tcW w:w="2051" w:type="dxa"/>
          </w:tcPr>
          <w:p w:rsidR="009646B0" w:rsidRPr="000238A7" w:rsidP="004863F4" w14:paraId="2E10F090"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98.176(g)</w:t>
            </w:r>
          </w:p>
        </w:tc>
        <w:tc>
          <w:tcPr>
            <w:tcW w:w="3330" w:type="dxa"/>
          </w:tcPr>
          <w:p w:rsidR="009646B0" w:rsidRPr="000238A7" w:rsidP="004863F4" w14:paraId="5AE97ED5"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Each unit type for each process unit.</w:t>
            </w:r>
          </w:p>
        </w:tc>
        <w:tc>
          <w:tcPr>
            <w:tcW w:w="2340" w:type="dxa"/>
          </w:tcPr>
          <w:p w:rsidR="009646B0" w:rsidRPr="000238A7" w:rsidP="004863F4" w14:paraId="4AB385E6"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64249E32"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change will affect ~121 reporters annually.</w:t>
            </w:r>
          </w:p>
        </w:tc>
      </w:tr>
      <w:tr w14:paraId="59C1AE5D" w14:textId="77777777" w:rsidTr="004863F4">
        <w:tblPrEx>
          <w:tblW w:w="12937" w:type="dxa"/>
          <w:tblInd w:w="108" w:type="dxa"/>
          <w:tblLayout w:type="fixed"/>
          <w:tblLook w:val="04A0"/>
        </w:tblPrEx>
        <w:tc>
          <w:tcPr>
            <w:tcW w:w="1526" w:type="dxa"/>
            <w:vMerge/>
          </w:tcPr>
          <w:p w:rsidR="009646B0" w:rsidRPr="000238A7" w:rsidP="004863F4" w14:paraId="0570754D" w14:textId="77777777">
            <w:pPr>
              <w:pStyle w:val="BodyText"/>
              <w:spacing w:after="0"/>
              <w:rPr>
                <w:rFonts w:asciiTheme="minorHAnsi" w:hAnsiTheme="minorHAnsi" w:cstheme="minorHAnsi"/>
                <w:sz w:val="20"/>
                <w:szCs w:val="20"/>
              </w:rPr>
            </w:pPr>
          </w:p>
        </w:tc>
        <w:tc>
          <w:tcPr>
            <w:tcW w:w="2051" w:type="dxa"/>
          </w:tcPr>
          <w:p w:rsidR="009646B0" w:rsidRPr="000238A7" w:rsidP="004863F4" w14:paraId="4650C44B"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98.176(g)</w:t>
            </w:r>
          </w:p>
        </w:tc>
        <w:tc>
          <w:tcPr>
            <w:tcW w:w="3330" w:type="dxa"/>
          </w:tcPr>
          <w:p w:rsidR="009646B0" w:rsidRPr="000238A7" w:rsidP="004863F4" w14:paraId="2387495D"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Annual production capacity for each process unit.</w:t>
            </w:r>
          </w:p>
        </w:tc>
        <w:tc>
          <w:tcPr>
            <w:tcW w:w="2340" w:type="dxa"/>
          </w:tcPr>
          <w:p w:rsidR="009646B0" w:rsidRPr="000238A7" w:rsidP="004863F4" w14:paraId="18163FA4"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28943BAA"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change will affect ~121  reporters annually.</w:t>
            </w:r>
          </w:p>
        </w:tc>
      </w:tr>
      <w:tr w14:paraId="16C1FFB0" w14:textId="77777777" w:rsidTr="004863F4">
        <w:tblPrEx>
          <w:tblW w:w="12937" w:type="dxa"/>
          <w:tblInd w:w="108" w:type="dxa"/>
          <w:tblLayout w:type="fixed"/>
          <w:tblLook w:val="04A0"/>
        </w:tblPrEx>
        <w:tc>
          <w:tcPr>
            <w:tcW w:w="1526" w:type="dxa"/>
            <w:vMerge/>
          </w:tcPr>
          <w:p w:rsidR="009646B0" w:rsidRPr="000238A7" w:rsidP="004863F4" w14:paraId="764B1C2B" w14:textId="77777777">
            <w:pPr>
              <w:pStyle w:val="BodyText"/>
              <w:spacing w:after="0"/>
              <w:rPr>
                <w:rFonts w:asciiTheme="minorHAnsi" w:hAnsiTheme="minorHAnsi" w:cstheme="minorHAnsi"/>
                <w:sz w:val="20"/>
                <w:szCs w:val="20"/>
              </w:rPr>
            </w:pPr>
          </w:p>
        </w:tc>
        <w:tc>
          <w:tcPr>
            <w:tcW w:w="2051" w:type="dxa"/>
          </w:tcPr>
          <w:p w:rsidR="009646B0" w:rsidRPr="000238A7" w:rsidP="004863F4" w14:paraId="3A849D86"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98.176(g)</w:t>
            </w:r>
          </w:p>
        </w:tc>
        <w:tc>
          <w:tcPr>
            <w:tcW w:w="3330" w:type="dxa"/>
          </w:tcPr>
          <w:p w:rsidR="009646B0" w:rsidRPr="000238A7" w:rsidP="004863F4" w14:paraId="0C9BF9EB"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Annual operating hours for each process unit.</w:t>
            </w:r>
          </w:p>
        </w:tc>
        <w:tc>
          <w:tcPr>
            <w:tcW w:w="2340" w:type="dxa"/>
          </w:tcPr>
          <w:p w:rsidR="009646B0" w:rsidRPr="000238A7" w:rsidP="004863F4" w14:paraId="56CF76D9"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700F51CC"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change will affect ~121 reporters annually.</w:t>
            </w:r>
          </w:p>
        </w:tc>
      </w:tr>
      <w:tr w14:paraId="04F50F75" w14:textId="77777777" w:rsidTr="004863F4">
        <w:tblPrEx>
          <w:tblW w:w="12937" w:type="dxa"/>
          <w:tblInd w:w="108" w:type="dxa"/>
          <w:tblLayout w:type="fixed"/>
          <w:tblLook w:val="04A0"/>
        </w:tblPrEx>
        <w:tc>
          <w:tcPr>
            <w:tcW w:w="1526" w:type="dxa"/>
            <w:vMerge w:val="restart"/>
          </w:tcPr>
          <w:p w:rsidR="009646B0" w:rsidRPr="000238A7" w:rsidP="004863F4" w14:paraId="2B7AD11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S – Lime Manufacturing</w:t>
            </w:r>
          </w:p>
          <w:p w:rsidR="009646B0" w:rsidRPr="000238A7" w:rsidP="004863F4" w14:paraId="21B42424" w14:textId="77777777">
            <w:pPr>
              <w:pStyle w:val="BodyText"/>
              <w:spacing w:after="0"/>
              <w:rPr>
                <w:rFonts w:asciiTheme="minorHAnsi" w:hAnsiTheme="minorHAnsi" w:cstheme="minorHAnsi"/>
                <w:sz w:val="20"/>
                <w:szCs w:val="20"/>
              </w:rPr>
            </w:pPr>
          </w:p>
        </w:tc>
        <w:tc>
          <w:tcPr>
            <w:tcW w:w="2051" w:type="dxa"/>
          </w:tcPr>
          <w:p w:rsidR="009646B0" w:rsidRPr="000238A7" w:rsidP="004863F4" w14:paraId="16DB492E"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98.196(a)(9)</w:t>
            </w:r>
          </w:p>
        </w:tc>
        <w:tc>
          <w:tcPr>
            <w:tcW w:w="3330" w:type="dxa"/>
          </w:tcPr>
          <w:p w:rsidR="009646B0" w:rsidRPr="000238A7" w:rsidP="004863F4" w14:paraId="759323DA"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 xml:space="preserve">Annual arithmetic average of calcium oxide content for each type of lime product produced (metric tons </w:t>
            </w:r>
            <w:r w:rsidRPr="000238A7">
              <w:rPr>
                <w:rFonts w:asciiTheme="minorHAnsi" w:hAnsiTheme="minorHAnsi" w:cstheme="minorHAnsi"/>
                <w:sz w:val="20"/>
                <w:szCs w:val="20"/>
              </w:rPr>
              <w:t>CaO</w:t>
            </w:r>
            <w:r w:rsidRPr="000238A7">
              <w:rPr>
                <w:rFonts w:asciiTheme="minorHAnsi" w:hAnsiTheme="minorHAnsi" w:cstheme="minorHAnsi"/>
                <w:sz w:val="20"/>
                <w:szCs w:val="20"/>
              </w:rPr>
              <w:t>/metric ton lime) (CEMS)</w:t>
            </w:r>
          </w:p>
        </w:tc>
        <w:tc>
          <w:tcPr>
            <w:tcW w:w="2340" w:type="dxa"/>
          </w:tcPr>
          <w:p w:rsidR="009646B0" w:rsidRPr="000238A7" w:rsidP="004863F4" w14:paraId="28D3609A"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502DB7E8"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S that do use a CEMS and will affect ~ 3 reporters annually.</w:t>
            </w:r>
          </w:p>
        </w:tc>
      </w:tr>
      <w:tr w14:paraId="7618423C" w14:textId="77777777" w:rsidTr="004863F4">
        <w:tblPrEx>
          <w:tblW w:w="12937" w:type="dxa"/>
          <w:tblInd w:w="108" w:type="dxa"/>
          <w:tblLayout w:type="fixed"/>
          <w:tblLook w:val="04A0"/>
        </w:tblPrEx>
        <w:tc>
          <w:tcPr>
            <w:tcW w:w="1526" w:type="dxa"/>
            <w:vMerge/>
          </w:tcPr>
          <w:p w:rsidR="009646B0" w:rsidRPr="000238A7" w:rsidP="004863F4" w14:paraId="485EBC9E" w14:textId="77777777">
            <w:pPr>
              <w:pStyle w:val="BodyText"/>
              <w:spacing w:after="0"/>
              <w:rPr>
                <w:rFonts w:asciiTheme="minorHAnsi" w:hAnsiTheme="minorHAnsi" w:cstheme="minorHAnsi"/>
                <w:sz w:val="20"/>
                <w:szCs w:val="20"/>
              </w:rPr>
            </w:pPr>
          </w:p>
        </w:tc>
        <w:tc>
          <w:tcPr>
            <w:tcW w:w="2051" w:type="dxa"/>
          </w:tcPr>
          <w:p w:rsidR="009646B0" w:rsidRPr="000238A7" w:rsidP="004863F4" w14:paraId="7576CD51"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98.196(a)(10)</w:t>
            </w:r>
          </w:p>
        </w:tc>
        <w:tc>
          <w:tcPr>
            <w:tcW w:w="3330" w:type="dxa"/>
          </w:tcPr>
          <w:p w:rsidR="009646B0" w:rsidRPr="000238A7" w:rsidP="004863F4" w14:paraId="69AF870C"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Annual arithmetic average of magnesium oxide content for each type of lime product produced (metric tons MgO/metric ton lime) (CEMS)</w:t>
            </w:r>
          </w:p>
        </w:tc>
        <w:tc>
          <w:tcPr>
            <w:tcW w:w="2340" w:type="dxa"/>
          </w:tcPr>
          <w:p w:rsidR="009646B0" w:rsidRPr="000238A7" w:rsidP="004863F4" w14:paraId="0DDCC37C"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694423A4"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S that do use a CEMS and will affect ~ 3 reporters annually.</w:t>
            </w:r>
          </w:p>
        </w:tc>
      </w:tr>
      <w:tr w14:paraId="5B9F442B" w14:textId="77777777" w:rsidTr="004863F4">
        <w:tblPrEx>
          <w:tblW w:w="12937" w:type="dxa"/>
          <w:tblInd w:w="108" w:type="dxa"/>
          <w:tblLayout w:type="fixed"/>
          <w:tblLook w:val="04A0"/>
        </w:tblPrEx>
        <w:tc>
          <w:tcPr>
            <w:tcW w:w="1526" w:type="dxa"/>
            <w:vMerge/>
          </w:tcPr>
          <w:p w:rsidR="009646B0" w:rsidRPr="000238A7" w:rsidP="004863F4" w14:paraId="1BB1FB13" w14:textId="77777777">
            <w:pPr>
              <w:pStyle w:val="BodyText"/>
              <w:spacing w:after="0"/>
              <w:rPr>
                <w:rFonts w:asciiTheme="minorHAnsi" w:hAnsiTheme="minorHAnsi" w:cstheme="minorHAnsi"/>
                <w:sz w:val="20"/>
                <w:szCs w:val="20"/>
              </w:rPr>
            </w:pPr>
          </w:p>
        </w:tc>
        <w:tc>
          <w:tcPr>
            <w:tcW w:w="2051" w:type="dxa"/>
          </w:tcPr>
          <w:p w:rsidR="009646B0" w:rsidRPr="000238A7" w:rsidP="004863F4" w14:paraId="15F9C45F"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98.196(a)(11)</w:t>
            </w:r>
          </w:p>
        </w:tc>
        <w:tc>
          <w:tcPr>
            <w:tcW w:w="3330" w:type="dxa"/>
          </w:tcPr>
          <w:p w:rsidR="009646B0" w:rsidRPr="000238A7" w:rsidP="004863F4" w14:paraId="29EF3A65"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 xml:space="preserve">Annual arithmetic average of calcium oxide content for each type of calcined lime byproduct/waste sold (metric tons </w:t>
            </w:r>
            <w:r w:rsidRPr="000238A7">
              <w:rPr>
                <w:rFonts w:asciiTheme="minorHAnsi" w:hAnsiTheme="minorHAnsi" w:cstheme="minorHAnsi"/>
                <w:sz w:val="20"/>
                <w:szCs w:val="20"/>
              </w:rPr>
              <w:t>CaO</w:t>
            </w:r>
            <w:r w:rsidRPr="000238A7">
              <w:rPr>
                <w:rFonts w:asciiTheme="minorHAnsi" w:hAnsiTheme="minorHAnsi" w:cstheme="minorHAnsi"/>
                <w:sz w:val="20"/>
                <w:szCs w:val="20"/>
              </w:rPr>
              <w:t>/metric ton lime) (CEMS)</w:t>
            </w:r>
          </w:p>
        </w:tc>
        <w:tc>
          <w:tcPr>
            <w:tcW w:w="2340" w:type="dxa"/>
          </w:tcPr>
          <w:p w:rsidR="009646B0" w:rsidRPr="000238A7" w:rsidP="004863F4" w14:paraId="599FEBEA"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672A44D3"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S that do use a CEMS and will affect ~ 3 reporters annually.</w:t>
            </w:r>
          </w:p>
        </w:tc>
      </w:tr>
      <w:tr w14:paraId="6597F15B" w14:textId="77777777" w:rsidTr="004863F4">
        <w:tblPrEx>
          <w:tblW w:w="12937" w:type="dxa"/>
          <w:tblInd w:w="108" w:type="dxa"/>
          <w:tblLayout w:type="fixed"/>
          <w:tblLook w:val="04A0"/>
        </w:tblPrEx>
        <w:tc>
          <w:tcPr>
            <w:tcW w:w="1526" w:type="dxa"/>
            <w:vMerge/>
          </w:tcPr>
          <w:p w:rsidR="009646B0" w:rsidRPr="000238A7" w:rsidP="004863F4" w14:paraId="08070695" w14:textId="77777777">
            <w:pPr>
              <w:pStyle w:val="BodyText"/>
              <w:spacing w:after="0"/>
              <w:rPr>
                <w:rFonts w:asciiTheme="minorHAnsi" w:hAnsiTheme="minorHAnsi" w:cstheme="minorHAnsi"/>
                <w:sz w:val="20"/>
                <w:szCs w:val="20"/>
              </w:rPr>
            </w:pPr>
          </w:p>
        </w:tc>
        <w:tc>
          <w:tcPr>
            <w:tcW w:w="2051" w:type="dxa"/>
          </w:tcPr>
          <w:p w:rsidR="009646B0" w:rsidRPr="000238A7" w:rsidP="004863F4" w14:paraId="10943742"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98.196(a)(12)</w:t>
            </w:r>
          </w:p>
        </w:tc>
        <w:tc>
          <w:tcPr>
            <w:tcW w:w="3330" w:type="dxa"/>
          </w:tcPr>
          <w:p w:rsidR="009646B0" w:rsidRPr="000238A7" w:rsidP="004863F4" w14:paraId="21188A23"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Annual arithmetic average of magnesium oxide content for each type of calcined lime byproduct/waste sold (metric tons MgO/metric ton lime) (CEMS)</w:t>
            </w:r>
          </w:p>
        </w:tc>
        <w:tc>
          <w:tcPr>
            <w:tcW w:w="2340" w:type="dxa"/>
          </w:tcPr>
          <w:p w:rsidR="009646B0" w:rsidRPr="000238A7" w:rsidP="004863F4" w14:paraId="45782C2B"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2E434417"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S that do use a CEMS and will affect ~ 3 reporters annually.</w:t>
            </w:r>
          </w:p>
        </w:tc>
      </w:tr>
      <w:tr w14:paraId="2457E0BC" w14:textId="77777777" w:rsidTr="004863F4">
        <w:tblPrEx>
          <w:tblW w:w="12937" w:type="dxa"/>
          <w:tblInd w:w="108" w:type="dxa"/>
          <w:tblLayout w:type="fixed"/>
          <w:tblLook w:val="04A0"/>
        </w:tblPrEx>
        <w:tc>
          <w:tcPr>
            <w:tcW w:w="1526" w:type="dxa"/>
            <w:vMerge w:val="restart"/>
          </w:tcPr>
          <w:p w:rsidR="009646B0" w:rsidRPr="000238A7" w:rsidP="004863F4" w14:paraId="1113297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S – Lime Manufacturing</w:t>
            </w:r>
          </w:p>
          <w:p w:rsidR="009646B0" w:rsidRPr="000238A7" w:rsidP="004863F4" w14:paraId="2729B7C8" w14:textId="77777777">
            <w:pPr>
              <w:pStyle w:val="BodyText"/>
              <w:spacing w:after="0"/>
              <w:rPr>
                <w:rFonts w:asciiTheme="minorHAnsi" w:hAnsiTheme="minorHAnsi" w:cstheme="minorHAnsi"/>
                <w:sz w:val="20"/>
                <w:szCs w:val="20"/>
              </w:rPr>
            </w:pPr>
          </w:p>
        </w:tc>
        <w:tc>
          <w:tcPr>
            <w:tcW w:w="2051" w:type="dxa"/>
          </w:tcPr>
          <w:p w:rsidR="009646B0" w:rsidRPr="000238A7" w:rsidP="004863F4" w14:paraId="067C446F"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98.196(a)(13)</w:t>
            </w:r>
          </w:p>
        </w:tc>
        <w:tc>
          <w:tcPr>
            <w:tcW w:w="3330" w:type="dxa"/>
          </w:tcPr>
          <w:p w:rsidR="009646B0" w:rsidRPr="000238A7" w:rsidP="004863F4" w14:paraId="685A0274"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 xml:space="preserve">Annual arithmetic average of calcium oxide content for each type of calcined lime byproduct/waste not sold (metric tons </w:t>
            </w:r>
            <w:r w:rsidRPr="000238A7">
              <w:rPr>
                <w:rFonts w:asciiTheme="minorHAnsi" w:hAnsiTheme="minorHAnsi" w:cstheme="minorHAnsi"/>
                <w:sz w:val="20"/>
                <w:szCs w:val="20"/>
              </w:rPr>
              <w:t>CaO</w:t>
            </w:r>
            <w:r w:rsidRPr="000238A7">
              <w:rPr>
                <w:rFonts w:asciiTheme="minorHAnsi" w:hAnsiTheme="minorHAnsi" w:cstheme="minorHAnsi"/>
                <w:sz w:val="20"/>
                <w:szCs w:val="20"/>
              </w:rPr>
              <w:t>/metric ton lime) (CEMS)</w:t>
            </w:r>
          </w:p>
        </w:tc>
        <w:tc>
          <w:tcPr>
            <w:tcW w:w="2340" w:type="dxa"/>
          </w:tcPr>
          <w:p w:rsidR="009646B0" w:rsidRPr="000238A7" w:rsidP="004863F4" w14:paraId="601D1BD1"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57C10E8B"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S that do use a CEMS and will affect ~ 3 reporters annually.</w:t>
            </w:r>
          </w:p>
        </w:tc>
      </w:tr>
      <w:tr w14:paraId="48518F2F" w14:textId="77777777" w:rsidTr="004863F4">
        <w:tblPrEx>
          <w:tblW w:w="12937" w:type="dxa"/>
          <w:tblInd w:w="108" w:type="dxa"/>
          <w:tblLayout w:type="fixed"/>
          <w:tblLook w:val="04A0"/>
        </w:tblPrEx>
        <w:tc>
          <w:tcPr>
            <w:tcW w:w="1526" w:type="dxa"/>
            <w:vMerge/>
          </w:tcPr>
          <w:p w:rsidR="009646B0" w:rsidRPr="000238A7" w:rsidP="004863F4" w14:paraId="5A5557E6" w14:textId="77777777">
            <w:pPr>
              <w:pStyle w:val="BodyText"/>
              <w:spacing w:after="0"/>
              <w:rPr>
                <w:rFonts w:asciiTheme="minorHAnsi" w:hAnsiTheme="minorHAnsi" w:cstheme="minorHAnsi"/>
                <w:sz w:val="20"/>
                <w:szCs w:val="20"/>
              </w:rPr>
            </w:pPr>
          </w:p>
        </w:tc>
        <w:tc>
          <w:tcPr>
            <w:tcW w:w="2051" w:type="dxa"/>
          </w:tcPr>
          <w:p w:rsidR="009646B0" w:rsidRPr="000238A7" w:rsidP="004863F4" w14:paraId="1719F6F6"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98.196(a)(14)</w:t>
            </w:r>
          </w:p>
        </w:tc>
        <w:tc>
          <w:tcPr>
            <w:tcW w:w="3330" w:type="dxa"/>
          </w:tcPr>
          <w:p w:rsidR="009646B0" w:rsidRPr="000238A7" w:rsidP="004863F4" w14:paraId="5A23FE21"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Annual arithmetic average of magnesium oxide content for each type of calcined lime byproduct/waste not sold (metric tons MgO/metric ton lime) (CEMS)</w:t>
            </w:r>
          </w:p>
        </w:tc>
        <w:tc>
          <w:tcPr>
            <w:tcW w:w="2340" w:type="dxa"/>
          </w:tcPr>
          <w:p w:rsidR="009646B0" w:rsidRPr="000238A7" w:rsidP="004863F4" w14:paraId="31D90BC2"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6EA4EE29"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S that do use a CEMS and will affect ~ 3 reporters annually.</w:t>
            </w:r>
          </w:p>
        </w:tc>
      </w:tr>
      <w:tr w14:paraId="1E878547" w14:textId="77777777" w:rsidTr="004863F4">
        <w:tblPrEx>
          <w:tblW w:w="12937" w:type="dxa"/>
          <w:tblInd w:w="108" w:type="dxa"/>
          <w:tblLayout w:type="fixed"/>
          <w:tblLook w:val="04A0"/>
        </w:tblPrEx>
        <w:tc>
          <w:tcPr>
            <w:tcW w:w="1526" w:type="dxa"/>
            <w:vMerge/>
          </w:tcPr>
          <w:p w:rsidR="009646B0" w:rsidRPr="000238A7" w:rsidP="004863F4" w14:paraId="7BEED450" w14:textId="77777777">
            <w:pPr>
              <w:pStyle w:val="BodyText"/>
              <w:spacing w:after="0"/>
              <w:rPr>
                <w:rFonts w:asciiTheme="minorHAnsi" w:hAnsiTheme="minorHAnsi" w:cstheme="minorHAnsi"/>
                <w:sz w:val="20"/>
                <w:szCs w:val="20"/>
              </w:rPr>
            </w:pPr>
          </w:p>
        </w:tc>
        <w:tc>
          <w:tcPr>
            <w:tcW w:w="2051" w:type="dxa"/>
          </w:tcPr>
          <w:p w:rsidR="009646B0" w:rsidRPr="000238A7" w:rsidP="004863F4" w14:paraId="145403E4"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98.196(b)(17)(</w:t>
            </w:r>
            <w:r w:rsidRPr="000238A7">
              <w:rPr>
                <w:rFonts w:asciiTheme="minorHAnsi" w:hAnsiTheme="minorHAnsi" w:cstheme="minorHAnsi"/>
                <w:sz w:val="20"/>
                <w:szCs w:val="20"/>
              </w:rPr>
              <w:t>i</w:t>
            </w:r>
            <w:r w:rsidRPr="000238A7">
              <w:rPr>
                <w:rFonts w:asciiTheme="minorHAnsi" w:hAnsiTheme="minorHAnsi" w:cstheme="minorHAnsi"/>
                <w:sz w:val="20"/>
                <w:szCs w:val="20"/>
              </w:rPr>
              <w:t>)</w:t>
            </w:r>
          </w:p>
        </w:tc>
        <w:tc>
          <w:tcPr>
            <w:tcW w:w="3330" w:type="dxa"/>
          </w:tcPr>
          <w:p w:rsidR="009646B0" w:rsidRPr="000238A7" w:rsidP="004863F4" w14:paraId="7625FAFF"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The annual amount of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captured for use in all on-site processes (No CEMS)</w:t>
            </w:r>
          </w:p>
        </w:tc>
        <w:tc>
          <w:tcPr>
            <w:tcW w:w="2340" w:type="dxa"/>
          </w:tcPr>
          <w:p w:rsidR="009646B0" w:rsidRPr="000238A7" w:rsidP="004863F4" w14:paraId="2A1AF92E"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67D62CF4"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S that do not use a CEMS and will affect ~ 68 reporters annually.</w:t>
            </w:r>
          </w:p>
        </w:tc>
      </w:tr>
      <w:tr w14:paraId="068779BE" w14:textId="77777777" w:rsidTr="004863F4">
        <w:tblPrEx>
          <w:tblW w:w="12937" w:type="dxa"/>
          <w:tblInd w:w="108" w:type="dxa"/>
          <w:tblLayout w:type="fixed"/>
          <w:tblLook w:val="04A0"/>
        </w:tblPrEx>
        <w:tc>
          <w:tcPr>
            <w:tcW w:w="1526" w:type="dxa"/>
            <w:vMerge/>
          </w:tcPr>
          <w:p w:rsidR="009646B0" w:rsidRPr="000238A7" w:rsidP="004863F4" w14:paraId="5010B934" w14:textId="77777777">
            <w:pPr>
              <w:pStyle w:val="BodyText"/>
              <w:spacing w:after="0"/>
              <w:rPr>
                <w:rFonts w:asciiTheme="minorHAnsi" w:hAnsiTheme="minorHAnsi" w:cstheme="minorHAnsi"/>
                <w:sz w:val="20"/>
                <w:szCs w:val="20"/>
              </w:rPr>
            </w:pPr>
          </w:p>
        </w:tc>
        <w:tc>
          <w:tcPr>
            <w:tcW w:w="2051" w:type="dxa"/>
          </w:tcPr>
          <w:p w:rsidR="009646B0" w:rsidRPr="000238A7" w:rsidP="004863F4" w14:paraId="2C9DD383"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98.196(b)(17)</w:t>
            </w:r>
          </w:p>
        </w:tc>
        <w:tc>
          <w:tcPr>
            <w:tcW w:w="3330" w:type="dxa"/>
          </w:tcPr>
          <w:p w:rsidR="009646B0" w:rsidRPr="000238A7" w:rsidP="004863F4" w14:paraId="3DC81757"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Indicate whether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was captured (No CEMS)</w:t>
            </w:r>
          </w:p>
        </w:tc>
        <w:tc>
          <w:tcPr>
            <w:tcW w:w="2340" w:type="dxa"/>
          </w:tcPr>
          <w:p w:rsidR="009646B0" w:rsidRPr="000238A7" w:rsidP="004863F4" w14:paraId="40343AC6"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2EBF936D"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S that do not use a CEMS and will affect ~ 68 reporters annually.</w:t>
            </w:r>
          </w:p>
        </w:tc>
      </w:tr>
      <w:tr w14:paraId="54795B7A" w14:textId="77777777" w:rsidTr="004863F4">
        <w:tblPrEx>
          <w:tblW w:w="12937" w:type="dxa"/>
          <w:tblInd w:w="108" w:type="dxa"/>
          <w:tblLayout w:type="fixed"/>
          <w:tblLook w:val="04A0"/>
        </w:tblPrEx>
        <w:tc>
          <w:tcPr>
            <w:tcW w:w="1526" w:type="dxa"/>
            <w:vMerge w:val="restart"/>
          </w:tcPr>
          <w:p w:rsidR="009646B0" w:rsidRPr="000238A7" w:rsidP="004863F4" w14:paraId="165629E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S – Lime Manufacturing</w:t>
            </w:r>
          </w:p>
          <w:p w:rsidR="009646B0" w:rsidRPr="000238A7" w:rsidP="004863F4" w14:paraId="0291EEB1" w14:textId="77777777">
            <w:pPr>
              <w:pStyle w:val="BodyText"/>
              <w:spacing w:after="0"/>
              <w:rPr>
                <w:rFonts w:asciiTheme="minorHAnsi" w:hAnsiTheme="minorHAnsi" w:cstheme="minorHAnsi"/>
                <w:sz w:val="20"/>
                <w:szCs w:val="20"/>
              </w:rPr>
            </w:pPr>
          </w:p>
        </w:tc>
        <w:tc>
          <w:tcPr>
            <w:tcW w:w="2051" w:type="dxa"/>
          </w:tcPr>
          <w:p w:rsidR="009646B0" w:rsidRPr="000238A7" w:rsidP="004863F4" w14:paraId="337EAE21"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98.196(b)(22)</w:t>
            </w:r>
          </w:p>
        </w:tc>
        <w:tc>
          <w:tcPr>
            <w:tcW w:w="3330" w:type="dxa"/>
          </w:tcPr>
          <w:p w:rsidR="009646B0" w:rsidRPr="000238A7" w:rsidP="004863F4" w14:paraId="1DEAF9D1"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Annual average results of chemical composition analysis of all lime byproducts or wastes not sold (No CEMS)</w:t>
            </w:r>
          </w:p>
        </w:tc>
        <w:tc>
          <w:tcPr>
            <w:tcW w:w="2340" w:type="dxa"/>
          </w:tcPr>
          <w:p w:rsidR="009646B0" w:rsidRPr="000238A7" w:rsidP="004863F4" w14:paraId="5A7E7887"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40E2B653"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S that do not use a CEMS and will affect ~ 68 reporters annually.</w:t>
            </w:r>
          </w:p>
        </w:tc>
      </w:tr>
      <w:tr w14:paraId="34993655" w14:textId="77777777" w:rsidTr="004863F4">
        <w:tblPrEx>
          <w:tblW w:w="12937" w:type="dxa"/>
          <w:tblInd w:w="108" w:type="dxa"/>
          <w:tblLayout w:type="fixed"/>
          <w:tblLook w:val="04A0"/>
        </w:tblPrEx>
        <w:tc>
          <w:tcPr>
            <w:tcW w:w="1526" w:type="dxa"/>
            <w:vMerge/>
          </w:tcPr>
          <w:p w:rsidR="009646B0" w:rsidRPr="000238A7" w:rsidP="004863F4" w14:paraId="4EB7428B" w14:textId="77777777">
            <w:pPr>
              <w:pStyle w:val="BodyText"/>
              <w:spacing w:after="0"/>
              <w:rPr>
                <w:rFonts w:asciiTheme="minorHAnsi" w:hAnsiTheme="minorHAnsi" w:cstheme="minorHAnsi"/>
                <w:sz w:val="20"/>
                <w:szCs w:val="20"/>
              </w:rPr>
            </w:pPr>
          </w:p>
        </w:tc>
        <w:tc>
          <w:tcPr>
            <w:tcW w:w="2051" w:type="dxa"/>
          </w:tcPr>
          <w:p w:rsidR="009646B0" w:rsidRPr="000238A7" w:rsidP="004863F4" w14:paraId="6780A590"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98.196(b)(23)</w:t>
            </w:r>
          </w:p>
        </w:tc>
        <w:tc>
          <w:tcPr>
            <w:tcW w:w="3330" w:type="dxa"/>
          </w:tcPr>
          <w:p w:rsidR="009646B0" w:rsidRPr="000238A7" w:rsidP="004863F4" w14:paraId="4D5C61B3"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Annual quantity (tons) of all lime byproducts or wastes not sold (No CEMS)</w:t>
            </w:r>
          </w:p>
        </w:tc>
        <w:tc>
          <w:tcPr>
            <w:tcW w:w="2340" w:type="dxa"/>
          </w:tcPr>
          <w:p w:rsidR="009646B0" w:rsidRPr="000238A7" w:rsidP="004863F4" w14:paraId="6C1CE871"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2C0E1DC7"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respondents subject to subpart S that do not use a CEMS and will affect ~ 68 reporters annually.</w:t>
            </w:r>
          </w:p>
        </w:tc>
      </w:tr>
      <w:tr w14:paraId="2FCEFD8A" w14:textId="77777777" w:rsidTr="004863F4">
        <w:tblPrEx>
          <w:tblW w:w="12937" w:type="dxa"/>
          <w:tblInd w:w="108" w:type="dxa"/>
          <w:tblLayout w:type="fixed"/>
          <w:tblLook w:val="04A0"/>
        </w:tblPrEx>
        <w:tc>
          <w:tcPr>
            <w:tcW w:w="1526" w:type="dxa"/>
          </w:tcPr>
          <w:p w:rsidR="009646B0" w:rsidRPr="000238A7" w:rsidP="004863F4" w14:paraId="74C628F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X – Petrochemical Production</w:t>
            </w:r>
          </w:p>
          <w:p w:rsidR="009646B0" w:rsidRPr="000238A7" w:rsidP="004863F4" w14:paraId="711DFCD1" w14:textId="77777777">
            <w:pPr>
              <w:pStyle w:val="BodyText"/>
              <w:spacing w:after="0"/>
              <w:rPr>
                <w:rFonts w:asciiTheme="minorHAnsi" w:hAnsiTheme="minorHAnsi" w:cstheme="minorHAnsi"/>
                <w:sz w:val="20"/>
                <w:szCs w:val="20"/>
              </w:rPr>
            </w:pPr>
          </w:p>
        </w:tc>
        <w:tc>
          <w:tcPr>
            <w:tcW w:w="2051" w:type="dxa"/>
          </w:tcPr>
          <w:p w:rsidR="009646B0" w:rsidRPr="000238A7" w:rsidP="004863F4" w14:paraId="2678D896"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98.246(b)(7)</w:t>
            </w:r>
          </w:p>
        </w:tc>
        <w:tc>
          <w:tcPr>
            <w:tcW w:w="3330" w:type="dxa"/>
          </w:tcPr>
          <w:p w:rsidR="009646B0" w:rsidRPr="000238A7" w:rsidP="004863F4" w14:paraId="0519B34F"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If you measure emissions in accordance with § 98.243(b), provide estimates based on engineering judgment of the fractions of the total CO2 emissions that are attributable to combustion of off-gas from the petrochemical process unit(s) served by the flare</w:t>
            </w:r>
          </w:p>
        </w:tc>
        <w:tc>
          <w:tcPr>
            <w:tcW w:w="2340" w:type="dxa"/>
          </w:tcPr>
          <w:p w:rsidR="009646B0" w:rsidRPr="000238A7" w:rsidP="004863F4" w14:paraId="460095BF"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1F7D9522"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respondents that measure emissions in accordance with § 98.243(b) and would be required to newly report data elements related to emissions from combustion of off-gas for units served by a flare, and will affect ~2 reporter annually.</w:t>
            </w:r>
          </w:p>
        </w:tc>
      </w:tr>
      <w:tr w14:paraId="28B18B23" w14:textId="77777777" w:rsidTr="004863F4">
        <w:tblPrEx>
          <w:tblW w:w="12937" w:type="dxa"/>
          <w:tblInd w:w="108" w:type="dxa"/>
          <w:tblLayout w:type="fixed"/>
          <w:tblLook w:val="04A0"/>
        </w:tblPrEx>
        <w:tc>
          <w:tcPr>
            <w:tcW w:w="1526" w:type="dxa"/>
          </w:tcPr>
          <w:p w:rsidR="009646B0" w:rsidRPr="000238A7" w:rsidP="004863F4" w14:paraId="32E155D9" w14:textId="77777777">
            <w:pPr>
              <w:pStyle w:val="BodyText"/>
              <w:spacing w:after="0"/>
              <w:rPr>
                <w:rFonts w:asciiTheme="minorHAnsi" w:hAnsiTheme="minorHAnsi" w:cstheme="minorHAnsi"/>
                <w:sz w:val="20"/>
                <w:szCs w:val="20"/>
              </w:rPr>
            </w:pPr>
          </w:p>
        </w:tc>
        <w:tc>
          <w:tcPr>
            <w:tcW w:w="2051" w:type="dxa"/>
          </w:tcPr>
          <w:p w:rsidR="009646B0" w:rsidRPr="000238A7" w:rsidP="004863F4" w14:paraId="09A740F3"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98.246(b)(7)</w:t>
            </w:r>
          </w:p>
        </w:tc>
        <w:tc>
          <w:tcPr>
            <w:tcW w:w="3330" w:type="dxa"/>
          </w:tcPr>
          <w:p w:rsidR="009646B0" w:rsidRPr="000238A7" w:rsidP="004863F4" w14:paraId="707358F4"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If you measure emissions in accordance with § 98.243(b), provide estimates based on engineering judgment of the fractions of the total CH4 emissions that are attributable to combustion of off-gas from the petrochemical process unit(s) served by the flare</w:t>
            </w:r>
          </w:p>
        </w:tc>
        <w:tc>
          <w:tcPr>
            <w:tcW w:w="2340" w:type="dxa"/>
          </w:tcPr>
          <w:p w:rsidR="009646B0" w:rsidRPr="000238A7" w:rsidP="004863F4" w14:paraId="14288F11"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73052D8E"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respondents that measure emissions in accordance with § 98.243(b) and would be required to newly report data elements related to emissions from combustion of off-gas for units served by a flare, and will affect ~ 2 reporter annually.</w:t>
            </w:r>
          </w:p>
        </w:tc>
      </w:tr>
      <w:tr w14:paraId="17217526" w14:textId="77777777" w:rsidTr="004863F4">
        <w:tblPrEx>
          <w:tblW w:w="12937" w:type="dxa"/>
          <w:tblInd w:w="108" w:type="dxa"/>
          <w:tblLayout w:type="fixed"/>
          <w:tblLook w:val="04A0"/>
        </w:tblPrEx>
        <w:tc>
          <w:tcPr>
            <w:tcW w:w="1526" w:type="dxa"/>
          </w:tcPr>
          <w:p w:rsidR="009646B0" w:rsidRPr="000238A7" w:rsidP="004863F4" w14:paraId="3E337C95" w14:textId="77777777">
            <w:pPr>
              <w:pStyle w:val="BodyText"/>
              <w:spacing w:after="0"/>
              <w:rPr>
                <w:rFonts w:asciiTheme="minorHAnsi" w:hAnsiTheme="minorHAnsi" w:cstheme="minorHAnsi"/>
                <w:sz w:val="20"/>
                <w:szCs w:val="20"/>
              </w:rPr>
            </w:pPr>
          </w:p>
        </w:tc>
        <w:tc>
          <w:tcPr>
            <w:tcW w:w="2051" w:type="dxa"/>
          </w:tcPr>
          <w:p w:rsidR="009646B0" w:rsidRPr="000238A7" w:rsidP="004863F4" w14:paraId="583F22D0"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98.246(b)(7)</w:t>
            </w:r>
          </w:p>
        </w:tc>
        <w:tc>
          <w:tcPr>
            <w:tcW w:w="3330" w:type="dxa"/>
          </w:tcPr>
          <w:p w:rsidR="009646B0" w:rsidRPr="000238A7" w:rsidP="004863F4" w14:paraId="092778BB"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If you measure emissions in accordance with § 98.243(b), provide estimates based on engineering judgment of the fractions of the total N2O emissions that are attributable to combustion of off-gas from the petrochemical process unit(s) served by the flare</w:t>
            </w:r>
          </w:p>
        </w:tc>
        <w:tc>
          <w:tcPr>
            <w:tcW w:w="2340" w:type="dxa"/>
          </w:tcPr>
          <w:p w:rsidR="009646B0" w:rsidRPr="000238A7" w:rsidP="004863F4" w14:paraId="4A4F5861"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60FE4ECA"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respondents that measure emissions in accordance with § 98.243(b) and would be required to newly report data elements related to emissions from combustion of off-gas for units served by a flare, and will affect ~ 2 reporter annually.</w:t>
            </w:r>
          </w:p>
        </w:tc>
      </w:tr>
      <w:tr w14:paraId="74DE0AA8" w14:textId="77777777" w:rsidTr="004863F4">
        <w:tblPrEx>
          <w:tblW w:w="12937" w:type="dxa"/>
          <w:tblInd w:w="108" w:type="dxa"/>
          <w:tblLayout w:type="fixed"/>
          <w:tblLook w:val="04A0"/>
        </w:tblPrEx>
        <w:tc>
          <w:tcPr>
            <w:tcW w:w="1526" w:type="dxa"/>
          </w:tcPr>
          <w:p w:rsidR="009646B0" w:rsidRPr="000238A7" w:rsidP="004863F4" w14:paraId="7997FD81" w14:textId="77777777">
            <w:pPr>
              <w:pStyle w:val="BodyText"/>
              <w:spacing w:after="0"/>
              <w:rPr>
                <w:rFonts w:asciiTheme="minorHAnsi" w:hAnsiTheme="minorHAnsi" w:cstheme="minorHAnsi"/>
                <w:sz w:val="20"/>
                <w:szCs w:val="20"/>
              </w:rPr>
            </w:pPr>
          </w:p>
        </w:tc>
        <w:tc>
          <w:tcPr>
            <w:tcW w:w="2051" w:type="dxa"/>
          </w:tcPr>
          <w:p w:rsidR="009646B0" w:rsidRPr="000238A7" w:rsidP="004863F4" w14:paraId="56E541BC"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98.246(c)(3)</w:t>
            </w:r>
          </w:p>
        </w:tc>
        <w:tc>
          <w:tcPr>
            <w:tcW w:w="3330" w:type="dxa"/>
          </w:tcPr>
          <w:p w:rsidR="009646B0" w:rsidRPr="000238A7" w:rsidP="004863F4" w14:paraId="3417BD83"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If you comply with the combustion methodology specified in § 98.243(d), provide estimates based on engineering judgment of the fractions of the total CO2 emissions that are attributable to combustion of off-gas from the ethylene process unit(s) served by the flare.</w:t>
            </w:r>
          </w:p>
        </w:tc>
        <w:tc>
          <w:tcPr>
            <w:tcW w:w="2340" w:type="dxa"/>
          </w:tcPr>
          <w:p w:rsidR="009646B0" w:rsidRPr="000238A7" w:rsidP="004863F4" w14:paraId="0DCE19DE"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36C313DE"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respondents that measure emissions in accordance with § 98.243(d) and would be required to newly report data elements related to emissions from combustion of off-gas for units served by a flare, and will affect ~ 29 reporters annually.</w:t>
            </w:r>
          </w:p>
        </w:tc>
      </w:tr>
      <w:tr w14:paraId="2320C37B" w14:textId="77777777" w:rsidTr="004863F4">
        <w:tblPrEx>
          <w:tblW w:w="12937" w:type="dxa"/>
          <w:tblInd w:w="108" w:type="dxa"/>
          <w:tblLayout w:type="fixed"/>
          <w:tblLook w:val="04A0"/>
        </w:tblPrEx>
        <w:tc>
          <w:tcPr>
            <w:tcW w:w="1526" w:type="dxa"/>
          </w:tcPr>
          <w:p w:rsidR="009646B0" w:rsidRPr="000238A7" w:rsidP="004863F4" w14:paraId="054BB52A" w14:textId="77777777">
            <w:pPr>
              <w:pStyle w:val="BodyText"/>
              <w:spacing w:after="0"/>
              <w:rPr>
                <w:rFonts w:asciiTheme="minorHAnsi" w:hAnsiTheme="minorHAnsi" w:cstheme="minorHAnsi"/>
                <w:sz w:val="20"/>
                <w:szCs w:val="20"/>
              </w:rPr>
            </w:pPr>
          </w:p>
        </w:tc>
        <w:tc>
          <w:tcPr>
            <w:tcW w:w="2051" w:type="dxa"/>
          </w:tcPr>
          <w:p w:rsidR="009646B0" w:rsidRPr="000238A7" w:rsidP="004863F4" w14:paraId="4471AF8D"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98.246(c)(3)</w:t>
            </w:r>
          </w:p>
        </w:tc>
        <w:tc>
          <w:tcPr>
            <w:tcW w:w="3330" w:type="dxa"/>
          </w:tcPr>
          <w:p w:rsidR="009646B0" w:rsidRPr="000238A7" w:rsidP="004863F4" w14:paraId="58687CE7"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If you comply with the combustion methodology specified in § 98.243(d), provide estimates based on engineering judgment of the fractions of the total CH4 emissions that are attributable to combustion of off-gas from the ethylene process unit(s) served by the flare.</w:t>
            </w:r>
          </w:p>
        </w:tc>
        <w:tc>
          <w:tcPr>
            <w:tcW w:w="2340" w:type="dxa"/>
          </w:tcPr>
          <w:p w:rsidR="009646B0" w:rsidRPr="000238A7" w:rsidP="004863F4" w14:paraId="3B8C8B1A"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19C12E7A"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respondents that measure emissions in accordance with § 98.243(d) and would be required to newly report data elements related to emissions from combustion of off-gas for units served by a flare, and will affect ~ 29 reporters annually.</w:t>
            </w:r>
          </w:p>
        </w:tc>
      </w:tr>
      <w:tr w14:paraId="1097499F" w14:textId="77777777" w:rsidTr="004863F4">
        <w:tblPrEx>
          <w:tblW w:w="12937" w:type="dxa"/>
          <w:tblInd w:w="108" w:type="dxa"/>
          <w:tblLayout w:type="fixed"/>
          <w:tblLook w:val="04A0"/>
        </w:tblPrEx>
        <w:tc>
          <w:tcPr>
            <w:tcW w:w="1526" w:type="dxa"/>
          </w:tcPr>
          <w:p w:rsidR="009646B0" w:rsidRPr="000238A7" w:rsidP="004863F4" w14:paraId="3AF81243" w14:textId="77777777">
            <w:pPr>
              <w:pStyle w:val="BodyText"/>
              <w:spacing w:after="0"/>
              <w:rPr>
                <w:rFonts w:asciiTheme="minorHAnsi" w:hAnsiTheme="minorHAnsi" w:cstheme="minorHAnsi"/>
                <w:sz w:val="20"/>
                <w:szCs w:val="20"/>
              </w:rPr>
            </w:pPr>
          </w:p>
        </w:tc>
        <w:tc>
          <w:tcPr>
            <w:tcW w:w="2051" w:type="dxa"/>
          </w:tcPr>
          <w:p w:rsidR="009646B0" w:rsidRPr="000238A7" w:rsidP="004863F4" w14:paraId="59E1603E"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98.246(c)(3)</w:t>
            </w:r>
          </w:p>
        </w:tc>
        <w:tc>
          <w:tcPr>
            <w:tcW w:w="3330" w:type="dxa"/>
          </w:tcPr>
          <w:p w:rsidR="009646B0" w:rsidRPr="000238A7" w:rsidP="004863F4" w14:paraId="36360470"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If you comply with the combustion methodology specified in § 98.243(d), provide estimates based on engineering judgment of the fractions of the total N2O emissions that are attributable to combustion of off-gas from the ethylene process unit(s) served by the flare.</w:t>
            </w:r>
          </w:p>
        </w:tc>
        <w:tc>
          <w:tcPr>
            <w:tcW w:w="2340" w:type="dxa"/>
          </w:tcPr>
          <w:p w:rsidR="009646B0" w:rsidRPr="000238A7" w:rsidP="004863F4" w14:paraId="51551554"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48200CC9"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respondents that measure emissions in accordance with § 98.243(d) and would be required to newly report data elements related to emissions from combustion of off-gas for units served by a flare, and will affect ~ 29 reporters annually.</w:t>
            </w:r>
          </w:p>
        </w:tc>
      </w:tr>
      <w:tr w14:paraId="07B07A91" w14:textId="77777777" w:rsidTr="004863F4">
        <w:tblPrEx>
          <w:tblW w:w="12937" w:type="dxa"/>
          <w:tblInd w:w="108" w:type="dxa"/>
          <w:tblLayout w:type="fixed"/>
          <w:tblLook w:val="04A0"/>
        </w:tblPrEx>
        <w:tc>
          <w:tcPr>
            <w:tcW w:w="1526" w:type="dxa"/>
          </w:tcPr>
          <w:p w:rsidR="009646B0" w:rsidRPr="000238A7" w:rsidP="004863F4" w14:paraId="16F020FF" w14:textId="77777777">
            <w:pPr>
              <w:pStyle w:val="BodyText"/>
              <w:spacing w:after="0"/>
              <w:rPr>
                <w:rFonts w:asciiTheme="minorHAnsi" w:hAnsiTheme="minorHAnsi" w:cstheme="minorHAnsi"/>
                <w:sz w:val="20"/>
                <w:szCs w:val="20"/>
              </w:rPr>
            </w:pPr>
          </w:p>
        </w:tc>
        <w:tc>
          <w:tcPr>
            <w:tcW w:w="2051" w:type="dxa"/>
          </w:tcPr>
          <w:p w:rsidR="009646B0" w:rsidRPr="000238A7" w:rsidP="004863F4" w14:paraId="152E8E03"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98.246(c)(6)</w:t>
            </w:r>
          </w:p>
        </w:tc>
        <w:tc>
          <w:tcPr>
            <w:tcW w:w="3330" w:type="dxa"/>
          </w:tcPr>
          <w:p w:rsidR="009646B0" w:rsidRPr="000238A7" w:rsidP="004863F4" w14:paraId="360AC57C"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If you comply with the combustion methodology specified in § 98.243(d), name of each product produced in each process unit.</w:t>
            </w:r>
          </w:p>
        </w:tc>
        <w:tc>
          <w:tcPr>
            <w:tcW w:w="2340" w:type="dxa"/>
          </w:tcPr>
          <w:p w:rsidR="009646B0" w:rsidRPr="000238A7" w:rsidP="004863F4" w14:paraId="5646E8F5"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7963E0B5"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respondents that measure emissions in accordance with § 98.243(d) and will affect ~ 29 reporters annually.</w:t>
            </w:r>
          </w:p>
        </w:tc>
      </w:tr>
      <w:tr w14:paraId="232638DA" w14:textId="77777777" w:rsidTr="004863F4">
        <w:tblPrEx>
          <w:tblW w:w="12937" w:type="dxa"/>
          <w:tblInd w:w="108" w:type="dxa"/>
          <w:tblLayout w:type="fixed"/>
          <w:tblLook w:val="04A0"/>
        </w:tblPrEx>
        <w:tc>
          <w:tcPr>
            <w:tcW w:w="1526" w:type="dxa"/>
          </w:tcPr>
          <w:p w:rsidR="009646B0" w:rsidRPr="000238A7" w:rsidP="004863F4" w14:paraId="185AB511" w14:textId="77777777">
            <w:pPr>
              <w:pStyle w:val="BodyText"/>
              <w:spacing w:after="0"/>
              <w:rPr>
                <w:rFonts w:asciiTheme="minorHAnsi" w:hAnsiTheme="minorHAnsi" w:cstheme="minorHAnsi"/>
                <w:sz w:val="20"/>
                <w:szCs w:val="20"/>
              </w:rPr>
            </w:pPr>
          </w:p>
        </w:tc>
        <w:tc>
          <w:tcPr>
            <w:tcW w:w="2051" w:type="dxa"/>
          </w:tcPr>
          <w:p w:rsidR="009646B0" w:rsidRPr="000238A7" w:rsidP="004863F4" w14:paraId="6AE0FCFA"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98.246(c)(6)</w:t>
            </w:r>
          </w:p>
        </w:tc>
        <w:tc>
          <w:tcPr>
            <w:tcW w:w="3330" w:type="dxa"/>
          </w:tcPr>
          <w:p w:rsidR="009646B0" w:rsidRPr="000238A7" w:rsidP="004863F4" w14:paraId="5455FEAD"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If you comply with the combustion methodology specified in § 98.243(d), quantity of each product produced in each process unit.</w:t>
            </w:r>
          </w:p>
        </w:tc>
        <w:tc>
          <w:tcPr>
            <w:tcW w:w="2340" w:type="dxa"/>
          </w:tcPr>
          <w:p w:rsidR="009646B0" w:rsidRPr="000238A7" w:rsidP="004863F4" w14:paraId="0218166E"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71213CCB"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respondents that measure emissions in accordance with § 98.243(d) and will affect ~ 29 reporters annually.</w:t>
            </w:r>
          </w:p>
        </w:tc>
      </w:tr>
      <w:tr w14:paraId="74DE2D1B" w14:textId="77777777" w:rsidTr="004863F4">
        <w:tblPrEx>
          <w:tblW w:w="12937" w:type="dxa"/>
          <w:tblInd w:w="108" w:type="dxa"/>
          <w:tblLayout w:type="fixed"/>
          <w:tblLook w:val="04A0"/>
        </w:tblPrEx>
        <w:tc>
          <w:tcPr>
            <w:tcW w:w="1526" w:type="dxa"/>
            <w:vMerge w:val="restart"/>
          </w:tcPr>
          <w:p w:rsidR="009646B0" w:rsidRPr="000238A7" w:rsidP="004863F4" w14:paraId="0C5FCC6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Y - Petroleum Refineries</w:t>
            </w:r>
          </w:p>
        </w:tc>
        <w:tc>
          <w:tcPr>
            <w:tcW w:w="2051" w:type="dxa"/>
          </w:tcPr>
          <w:p w:rsidR="009646B0" w:rsidRPr="000238A7" w:rsidP="004863F4" w14:paraId="523150A7"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98.256(k)(6)(</w:t>
            </w:r>
            <w:r w:rsidRPr="000238A7">
              <w:rPr>
                <w:rFonts w:asciiTheme="minorHAnsi" w:hAnsiTheme="minorHAnsi" w:cstheme="minorHAnsi"/>
                <w:sz w:val="20"/>
                <w:szCs w:val="20"/>
              </w:rPr>
              <w:t>i</w:t>
            </w:r>
            <w:r w:rsidRPr="000238A7">
              <w:rPr>
                <w:rFonts w:asciiTheme="minorHAnsi" w:hAnsiTheme="minorHAnsi" w:cstheme="minorHAnsi"/>
                <w:sz w:val="20"/>
                <w:szCs w:val="20"/>
              </w:rPr>
              <w:t>)</w:t>
            </w:r>
          </w:p>
        </w:tc>
        <w:tc>
          <w:tcPr>
            <w:tcW w:w="3330" w:type="dxa"/>
          </w:tcPr>
          <w:p w:rsidR="009646B0" w:rsidRPr="000238A7" w:rsidP="004863F4" w14:paraId="48EFEA36"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If you use mass measurements from company records to determine the typical dry mass of coke in the delayed coking unit vessel at the end of the coking cycle, internal height of delayed coking unit vessel (feet) for each delayed coking unit.</w:t>
            </w:r>
          </w:p>
        </w:tc>
        <w:tc>
          <w:tcPr>
            <w:tcW w:w="2340" w:type="dxa"/>
          </w:tcPr>
          <w:p w:rsidR="009646B0" w:rsidRPr="000238A7" w:rsidP="004863F4" w14:paraId="36F907C3"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0AAB9E22"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 10 reporters annually.</w:t>
            </w:r>
          </w:p>
        </w:tc>
      </w:tr>
      <w:tr w14:paraId="2DABB397" w14:textId="77777777" w:rsidTr="004863F4">
        <w:tblPrEx>
          <w:tblW w:w="12937" w:type="dxa"/>
          <w:tblInd w:w="108" w:type="dxa"/>
          <w:tblLayout w:type="fixed"/>
          <w:tblLook w:val="04A0"/>
        </w:tblPrEx>
        <w:tc>
          <w:tcPr>
            <w:tcW w:w="1526" w:type="dxa"/>
            <w:vMerge/>
          </w:tcPr>
          <w:p w:rsidR="009646B0" w:rsidRPr="000238A7" w:rsidP="004863F4" w14:paraId="0A754BD7" w14:textId="77777777">
            <w:pPr>
              <w:pStyle w:val="BodyText"/>
              <w:spacing w:after="0"/>
              <w:rPr>
                <w:rFonts w:asciiTheme="minorHAnsi" w:hAnsiTheme="minorHAnsi" w:cstheme="minorHAnsi"/>
                <w:sz w:val="20"/>
                <w:szCs w:val="20"/>
              </w:rPr>
            </w:pPr>
          </w:p>
        </w:tc>
        <w:tc>
          <w:tcPr>
            <w:tcW w:w="2051" w:type="dxa"/>
          </w:tcPr>
          <w:p w:rsidR="009646B0" w:rsidRPr="000238A7" w:rsidP="004863F4" w14:paraId="50EB214A"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98.256(k)(6)(ii)</w:t>
            </w:r>
          </w:p>
        </w:tc>
        <w:tc>
          <w:tcPr>
            <w:tcW w:w="3330" w:type="dxa"/>
          </w:tcPr>
          <w:p w:rsidR="009646B0" w:rsidRPr="000238A7" w:rsidP="004863F4" w14:paraId="6768F7D6"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If you use mass measurements from company records to determine the typical dry mass of coke in the delayed coking unit vessel at the end of the coking cycle, typical distance from the top of the delayed coking unit vessel to the top of the coke bed (i.e., coke drum outage) at the end of the coking cycle (feet) from company records or engineering estimates for each delayed coking unit.</w:t>
            </w:r>
          </w:p>
        </w:tc>
        <w:tc>
          <w:tcPr>
            <w:tcW w:w="2340" w:type="dxa"/>
          </w:tcPr>
          <w:p w:rsidR="009646B0" w:rsidRPr="000238A7" w:rsidP="004863F4" w14:paraId="40F8B26C"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1FE19F5F"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 10 reporters annually.</w:t>
            </w:r>
          </w:p>
        </w:tc>
      </w:tr>
      <w:tr w14:paraId="151C1431" w14:textId="77777777" w:rsidTr="004863F4">
        <w:tblPrEx>
          <w:tblW w:w="12937" w:type="dxa"/>
          <w:tblInd w:w="108" w:type="dxa"/>
          <w:tblLayout w:type="fixed"/>
          <w:tblLook w:val="04A0"/>
        </w:tblPrEx>
        <w:tc>
          <w:tcPr>
            <w:tcW w:w="1526" w:type="dxa"/>
            <w:vMerge/>
          </w:tcPr>
          <w:p w:rsidR="009646B0" w:rsidRPr="000238A7" w:rsidP="004863F4" w14:paraId="2F15648C" w14:textId="77777777">
            <w:pPr>
              <w:pStyle w:val="BodyText"/>
              <w:spacing w:after="0"/>
              <w:rPr>
                <w:rFonts w:asciiTheme="minorHAnsi" w:hAnsiTheme="minorHAnsi" w:cstheme="minorHAnsi"/>
                <w:sz w:val="20"/>
                <w:szCs w:val="20"/>
              </w:rPr>
            </w:pPr>
          </w:p>
        </w:tc>
        <w:tc>
          <w:tcPr>
            <w:tcW w:w="2051" w:type="dxa"/>
          </w:tcPr>
          <w:p w:rsidR="009646B0" w:rsidRPr="000238A7" w:rsidP="004863F4" w14:paraId="62BF2DA4"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98.256(j)(2)</w:t>
            </w:r>
          </w:p>
        </w:tc>
        <w:tc>
          <w:tcPr>
            <w:tcW w:w="3330" w:type="dxa"/>
          </w:tcPr>
          <w:p w:rsidR="009646B0" w:rsidRPr="000238A7" w:rsidP="004863F4" w14:paraId="5B46E42A"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For asphalt blowing operations, maximum rated throughput of the unit, in metric tons asphalt/stream day.</w:t>
            </w:r>
          </w:p>
        </w:tc>
        <w:tc>
          <w:tcPr>
            <w:tcW w:w="2340" w:type="dxa"/>
          </w:tcPr>
          <w:p w:rsidR="009646B0" w:rsidRPr="000238A7" w:rsidP="004863F4" w14:paraId="49ABF533"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64EA8C7A"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 6 reporters under subpart Y with asphalt blowing units annually.</w:t>
            </w:r>
          </w:p>
        </w:tc>
      </w:tr>
      <w:tr w14:paraId="5FCBB3CC" w14:textId="77777777" w:rsidTr="004863F4">
        <w:tblPrEx>
          <w:tblW w:w="12937" w:type="dxa"/>
          <w:tblInd w:w="108" w:type="dxa"/>
          <w:tblLayout w:type="fixed"/>
          <w:tblLook w:val="04A0"/>
        </w:tblPrEx>
        <w:tc>
          <w:tcPr>
            <w:tcW w:w="1526" w:type="dxa"/>
            <w:vMerge/>
          </w:tcPr>
          <w:p w:rsidR="009646B0" w:rsidRPr="000238A7" w:rsidP="004863F4" w14:paraId="713F568B" w14:textId="77777777">
            <w:pPr>
              <w:pStyle w:val="BodyText"/>
              <w:spacing w:after="0"/>
              <w:rPr>
                <w:rFonts w:asciiTheme="minorHAnsi" w:hAnsiTheme="minorHAnsi" w:cstheme="minorHAnsi"/>
                <w:sz w:val="20"/>
                <w:szCs w:val="20"/>
              </w:rPr>
            </w:pPr>
          </w:p>
        </w:tc>
        <w:tc>
          <w:tcPr>
            <w:tcW w:w="2051" w:type="dxa"/>
          </w:tcPr>
          <w:p w:rsidR="009646B0" w:rsidRPr="000238A7" w:rsidP="004863F4" w14:paraId="25E7FBEC"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98.256(h)(7)(</w:t>
            </w:r>
            <w:r w:rsidRPr="000238A7">
              <w:rPr>
                <w:rFonts w:asciiTheme="minorHAnsi" w:hAnsiTheme="minorHAnsi" w:cstheme="minorHAnsi"/>
                <w:sz w:val="20"/>
                <w:szCs w:val="20"/>
              </w:rPr>
              <w:t>i</w:t>
            </w:r>
            <w:r w:rsidRPr="000238A7">
              <w:rPr>
                <w:rFonts w:asciiTheme="minorHAnsi" w:hAnsiTheme="minorHAnsi" w:cstheme="minorHAnsi"/>
                <w:sz w:val="20"/>
                <w:szCs w:val="20"/>
              </w:rPr>
              <w:t>)</w:t>
            </w:r>
          </w:p>
        </w:tc>
        <w:tc>
          <w:tcPr>
            <w:tcW w:w="3330" w:type="dxa"/>
          </w:tcPr>
          <w:p w:rsidR="009646B0" w:rsidRPr="000238A7" w:rsidP="004863F4" w14:paraId="4FB85617" w14:textId="77777777">
            <w:pPr>
              <w:pStyle w:val="BodyText"/>
              <w:keepLines/>
              <w:widowControl w:val="0"/>
              <w:rPr>
                <w:rFonts w:asciiTheme="minorHAnsi" w:hAnsiTheme="minorHAnsi" w:cstheme="minorHAnsi"/>
                <w:sz w:val="20"/>
                <w:szCs w:val="20"/>
              </w:rPr>
            </w:pPr>
            <w:r w:rsidRPr="000238A7">
              <w:rPr>
                <w:rFonts w:asciiTheme="minorHAnsi" w:hAnsiTheme="minorHAnsi" w:cstheme="minorHAnsi"/>
                <w:sz w:val="20"/>
                <w:szCs w:val="20"/>
              </w:rPr>
              <w:t>For coke calcining units, the owner and operator shall report:</w:t>
            </w:r>
          </w:p>
          <w:p w:rsidR="009646B0" w:rsidRPr="000238A7" w:rsidP="004863F4" w14:paraId="6DCB8386" w14:textId="77777777">
            <w:pPr>
              <w:pStyle w:val="BodyText"/>
              <w:keepLines/>
              <w:widowControl w:val="0"/>
              <w:rPr>
                <w:rFonts w:asciiTheme="minorHAnsi" w:hAnsiTheme="minorHAnsi" w:cstheme="minorHAnsi"/>
                <w:sz w:val="20"/>
                <w:szCs w:val="20"/>
              </w:rPr>
            </w:pPr>
            <w:r w:rsidRPr="000238A7">
              <w:rPr>
                <w:rFonts w:asciiTheme="minorHAnsi" w:hAnsiTheme="minorHAnsi" w:cstheme="minorHAnsi"/>
                <w:sz w:val="20"/>
                <w:szCs w:val="20"/>
              </w:rPr>
              <w:t>(1) The unit ID number (if applicable).</w:t>
            </w:r>
          </w:p>
          <w:p w:rsidR="009646B0" w:rsidRPr="000238A7" w:rsidP="004863F4" w14:paraId="33819D59" w14:textId="77777777">
            <w:pPr>
              <w:pStyle w:val="BodyText"/>
              <w:keepLines/>
              <w:widowControl w:val="0"/>
              <w:rPr>
                <w:rFonts w:asciiTheme="minorHAnsi" w:hAnsiTheme="minorHAnsi" w:cstheme="minorHAnsi"/>
                <w:sz w:val="20"/>
                <w:szCs w:val="20"/>
              </w:rPr>
            </w:pPr>
            <w:r w:rsidRPr="000238A7">
              <w:rPr>
                <w:rFonts w:asciiTheme="minorHAnsi" w:hAnsiTheme="minorHAnsi" w:cstheme="minorHAnsi"/>
                <w:sz w:val="20"/>
                <w:szCs w:val="20"/>
              </w:rPr>
              <w:t>(2) Maximum rated throughput of the unit, in metric tons coke calcined/stream day.</w:t>
            </w:r>
          </w:p>
          <w:p w:rsidR="009646B0" w:rsidRPr="000238A7" w:rsidP="004863F4" w14:paraId="0E7E27F1" w14:textId="77777777">
            <w:pPr>
              <w:pStyle w:val="BodyText"/>
              <w:keepLines/>
              <w:widowControl w:val="0"/>
              <w:rPr>
                <w:rFonts w:asciiTheme="minorHAnsi" w:hAnsiTheme="minorHAnsi" w:cstheme="minorHAnsi"/>
                <w:sz w:val="20"/>
                <w:szCs w:val="20"/>
              </w:rPr>
            </w:pPr>
            <w:r w:rsidRPr="000238A7">
              <w:rPr>
                <w:rFonts w:asciiTheme="minorHAnsi" w:hAnsiTheme="minorHAnsi" w:cstheme="minorHAnsi"/>
                <w:sz w:val="20"/>
                <w:szCs w:val="20"/>
              </w:rPr>
              <w:t>(3) The calculated CO2, CH4, and N2O annual emissions for each unit, expressed in metric tons of each pollutant emitted.</w:t>
            </w:r>
          </w:p>
          <w:p w:rsidR="009646B0" w:rsidRPr="000238A7" w:rsidP="004863F4" w14:paraId="18CEFC67" w14:textId="77777777">
            <w:pPr>
              <w:pStyle w:val="BodyText"/>
              <w:keepLines/>
              <w:widowControl w:val="0"/>
              <w:rPr>
                <w:rFonts w:asciiTheme="minorHAnsi" w:hAnsiTheme="minorHAnsi" w:cstheme="minorHAnsi"/>
                <w:sz w:val="20"/>
                <w:szCs w:val="20"/>
              </w:rPr>
            </w:pPr>
            <w:r w:rsidRPr="000238A7">
              <w:rPr>
                <w:rFonts w:asciiTheme="minorHAnsi" w:hAnsiTheme="minorHAnsi" w:cstheme="minorHAnsi"/>
                <w:sz w:val="20"/>
                <w:szCs w:val="20"/>
              </w:rPr>
              <w:t>(4) A description of the method used to calculate the CO2 emissions for each unit (e.g., reference section and equation number).</w:t>
            </w:r>
          </w:p>
          <w:p w:rsidR="009646B0" w:rsidRPr="000238A7" w:rsidP="004863F4" w14:paraId="57B5C991" w14:textId="77777777">
            <w:pPr>
              <w:pStyle w:val="BodyText"/>
              <w:keepLines/>
              <w:widowControl w:val="0"/>
              <w:rPr>
                <w:rFonts w:asciiTheme="minorHAnsi" w:hAnsiTheme="minorHAnsi" w:cstheme="minorHAnsi"/>
                <w:sz w:val="20"/>
                <w:szCs w:val="20"/>
              </w:rPr>
            </w:pPr>
            <w:r w:rsidRPr="000238A7">
              <w:rPr>
                <w:rFonts w:asciiTheme="minorHAnsi" w:hAnsiTheme="minorHAnsi" w:cstheme="minorHAnsi"/>
                <w:sz w:val="20"/>
                <w:szCs w:val="20"/>
              </w:rPr>
              <w:t>(5) If you use Equation Y-13 of § 98.253, an indication of whether coke dust is recycled to the unit (e.g., all dust is recycled, a portion of the dust is recycled, or none of the dust is recycled).</w:t>
            </w:r>
          </w:p>
          <w:p w:rsidR="009646B0" w:rsidRPr="000238A7" w:rsidP="004863F4" w14:paraId="7402AAD2" w14:textId="77777777">
            <w:pPr>
              <w:pStyle w:val="BodyText"/>
              <w:keepLines/>
              <w:widowControl w:val="0"/>
              <w:rPr>
                <w:rFonts w:asciiTheme="minorHAnsi" w:hAnsiTheme="minorHAnsi" w:cstheme="minorHAnsi"/>
                <w:sz w:val="20"/>
                <w:szCs w:val="20"/>
              </w:rPr>
            </w:pPr>
            <w:r w:rsidRPr="000238A7">
              <w:rPr>
                <w:rFonts w:asciiTheme="minorHAnsi" w:hAnsiTheme="minorHAnsi" w:cstheme="minorHAnsi"/>
                <w:sz w:val="20"/>
                <w:szCs w:val="20"/>
              </w:rPr>
              <w:t xml:space="preserve">(6) If you use a CEMS, the relevant information required under § 98.36 for the Tier 4 Calculation Methodology, the CO2 annual emissions as measured by the CEMS and the annual process CO2 emissions calculated according to § 98.253(g)(1). </w:t>
            </w:r>
          </w:p>
          <w:p w:rsidR="009646B0" w:rsidRPr="000238A7" w:rsidP="004863F4" w14:paraId="256030C1" w14:textId="77777777">
            <w:pPr>
              <w:pStyle w:val="BodyText"/>
              <w:keepLines/>
              <w:widowControl w:val="0"/>
              <w:rPr>
                <w:rFonts w:asciiTheme="minorHAnsi" w:hAnsiTheme="minorHAnsi" w:cstheme="minorHAnsi"/>
                <w:sz w:val="20"/>
                <w:szCs w:val="20"/>
              </w:rPr>
            </w:pPr>
            <w:r w:rsidRPr="000238A7">
              <w:rPr>
                <w:rFonts w:asciiTheme="minorHAnsi" w:hAnsiTheme="minorHAnsi" w:cstheme="minorHAnsi"/>
                <w:sz w:val="20"/>
                <w:szCs w:val="20"/>
              </w:rPr>
              <w:t>(7) Indicate whether you use a measured value, a unit-specific emission factor or a default emission factor for CH4 emissions. If you use a unit-specific emission factor for CH4, report the basis for the factor.</w:t>
            </w:r>
          </w:p>
          <w:p w:rsidR="009646B0" w:rsidRPr="000238A7" w:rsidP="004863F4" w14:paraId="763B1654"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(8) Indicate whether you use a measured value, a unit-specific emission factor, or a default emission factor for N2O emissions. If you use a unit-specific emission factor for N2O, report the basis for the factor.</w:t>
            </w:r>
          </w:p>
        </w:tc>
        <w:tc>
          <w:tcPr>
            <w:tcW w:w="2340" w:type="dxa"/>
          </w:tcPr>
          <w:p w:rsidR="009646B0" w:rsidRPr="000238A7" w:rsidP="004863F4" w14:paraId="53D499E3"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Removed</w:t>
            </w:r>
          </w:p>
        </w:tc>
        <w:tc>
          <w:tcPr>
            <w:tcW w:w="3690" w:type="dxa"/>
          </w:tcPr>
          <w:p w:rsidR="009646B0" w:rsidRPr="000238A7" w:rsidP="004863F4" w14:paraId="1E207F98" w14:textId="77777777">
            <w:pPr>
              <w:pStyle w:val="BodyText"/>
              <w:keepLines/>
              <w:widowControl w:val="0"/>
              <w:spacing w:after="0"/>
              <w:rPr>
                <w:rFonts w:asciiTheme="minorHAnsi" w:hAnsiTheme="minorHAnsi" w:cstheme="minorHAnsi"/>
                <w:sz w:val="20"/>
                <w:szCs w:val="20"/>
              </w:rPr>
            </w:pPr>
            <w:r w:rsidRPr="000238A7">
              <w:rPr>
                <w:rFonts w:asciiTheme="minorHAnsi" w:hAnsiTheme="minorHAnsi" w:cstheme="minorHAnsi"/>
                <w:sz w:val="20"/>
                <w:szCs w:val="20"/>
              </w:rPr>
              <w:t>Decrease – removes reporting of data elements associated with coke calciners, the reporting for coke calciners is now accounted for under subpart WW. Affects ~3 petroleum refineries with coke calcining units.</w:t>
            </w:r>
          </w:p>
        </w:tc>
      </w:tr>
      <w:tr w14:paraId="11397C32" w14:textId="77777777" w:rsidTr="004863F4">
        <w:tblPrEx>
          <w:tblW w:w="12937" w:type="dxa"/>
          <w:tblInd w:w="108" w:type="dxa"/>
          <w:tblLayout w:type="fixed"/>
          <w:tblLook w:val="04A0"/>
        </w:tblPrEx>
        <w:tc>
          <w:tcPr>
            <w:tcW w:w="1526" w:type="dxa"/>
            <w:vMerge w:val="restart"/>
          </w:tcPr>
          <w:p w:rsidR="009646B0" w:rsidRPr="000238A7" w:rsidP="004863F4" w14:paraId="24BD813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Subpart AA – Pulp and Paper</w:t>
            </w:r>
          </w:p>
        </w:tc>
        <w:tc>
          <w:tcPr>
            <w:tcW w:w="2051" w:type="dxa"/>
          </w:tcPr>
          <w:p w:rsidR="009646B0" w:rsidRPr="000238A7" w:rsidP="004863F4" w14:paraId="1511CD6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98.36(b)(8)</w:t>
            </w:r>
          </w:p>
        </w:tc>
        <w:tc>
          <w:tcPr>
            <w:tcW w:w="3330" w:type="dxa"/>
          </w:tcPr>
          <w:p w:rsidR="009646B0" w:rsidRPr="000238A7" w:rsidP="004863F4" w14:paraId="6700CBE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Annual CO2 mass emissions (including biogenic CO2), and the annual CH4, and N2O mass emissions for each type of fuel combusted during the reporting year, expressed in metric tons of each gas and in metric tons of CO2e, </w:t>
            </w:r>
          </w:p>
        </w:tc>
        <w:tc>
          <w:tcPr>
            <w:tcW w:w="2340" w:type="dxa"/>
          </w:tcPr>
          <w:p w:rsidR="009646B0" w:rsidRPr="000238A7" w:rsidP="004863F4" w14:paraId="249AD8E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637EC43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change will affect ~1 existing reporter annually.</w:t>
            </w:r>
          </w:p>
        </w:tc>
      </w:tr>
      <w:tr w14:paraId="20E38DA5" w14:textId="77777777" w:rsidTr="004863F4">
        <w:tblPrEx>
          <w:tblW w:w="12937" w:type="dxa"/>
          <w:tblInd w:w="108" w:type="dxa"/>
          <w:tblLayout w:type="fixed"/>
          <w:tblLook w:val="04A0"/>
        </w:tblPrEx>
        <w:tc>
          <w:tcPr>
            <w:tcW w:w="1526" w:type="dxa"/>
            <w:vMerge/>
          </w:tcPr>
          <w:p w:rsidR="009646B0" w:rsidRPr="000238A7" w:rsidP="004863F4" w14:paraId="655E4F52" w14:textId="77777777">
            <w:pPr>
              <w:pStyle w:val="BodyText"/>
              <w:spacing w:after="0"/>
              <w:rPr>
                <w:rFonts w:asciiTheme="minorHAnsi" w:hAnsiTheme="minorHAnsi" w:cstheme="minorHAnsi"/>
                <w:sz w:val="20"/>
                <w:szCs w:val="20"/>
              </w:rPr>
            </w:pPr>
          </w:p>
        </w:tc>
        <w:tc>
          <w:tcPr>
            <w:tcW w:w="2051" w:type="dxa"/>
          </w:tcPr>
          <w:p w:rsidR="009646B0" w:rsidRPr="000238A7" w:rsidP="004863F4" w14:paraId="6E15EFB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98.36(b)(9)</w:t>
            </w:r>
          </w:p>
        </w:tc>
        <w:tc>
          <w:tcPr>
            <w:tcW w:w="3330" w:type="dxa"/>
          </w:tcPr>
          <w:p w:rsidR="009646B0" w:rsidRPr="000238A7" w:rsidP="004863F4" w14:paraId="5A9AA4D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Metric tons of biogenic CO2 emissions</w:t>
            </w:r>
          </w:p>
        </w:tc>
        <w:tc>
          <w:tcPr>
            <w:tcW w:w="2340" w:type="dxa"/>
          </w:tcPr>
          <w:p w:rsidR="009646B0" w:rsidRPr="000238A7" w:rsidP="004863F4" w14:paraId="79B27FB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4FDB088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change will affect ~1 existing reporter annually.</w:t>
            </w:r>
          </w:p>
        </w:tc>
      </w:tr>
      <w:tr w14:paraId="297984BB" w14:textId="77777777" w:rsidTr="004863F4">
        <w:tblPrEx>
          <w:tblW w:w="12937" w:type="dxa"/>
          <w:tblInd w:w="108" w:type="dxa"/>
          <w:tblLayout w:type="fixed"/>
          <w:tblLook w:val="04A0"/>
        </w:tblPrEx>
        <w:tc>
          <w:tcPr>
            <w:tcW w:w="1526" w:type="dxa"/>
            <w:vMerge w:val="restart"/>
          </w:tcPr>
          <w:p w:rsidR="009646B0" w:rsidRPr="000238A7" w:rsidP="004863F4" w14:paraId="54BDC1E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BB - Silicon Carbide Production</w:t>
            </w:r>
          </w:p>
        </w:tc>
        <w:tc>
          <w:tcPr>
            <w:tcW w:w="2051" w:type="dxa"/>
          </w:tcPr>
          <w:p w:rsidR="009646B0" w:rsidRPr="000238A7" w:rsidP="004863F4" w14:paraId="0EC5191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98.286(c)(1)</w:t>
            </w:r>
          </w:p>
        </w:tc>
        <w:tc>
          <w:tcPr>
            <w:tcW w:w="3330" w:type="dxa"/>
          </w:tcPr>
          <w:p w:rsidR="009646B0" w:rsidRPr="000238A7" w:rsidP="004863F4" w14:paraId="3A6003C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Type of methane abatement technology used on each silicon carbide process unit or production furnace</w:t>
            </w:r>
          </w:p>
        </w:tc>
        <w:tc>
          <w:tcPr>
            <w:tcW w:w="2340" w:type="dxa"/>
          </w:tcPr>
          <w:p w:rsidR="009646B0" w:rsidRPr="000238A7" w:rsidP="004863F4" w14:paraId="107D0E1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2892F97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1 reporter annually.</w:t>
            </w:r>
          </w:p>
        </w:tc>
      </w:tr>
      <w:tr w14:paraId="71E3551F" w14:textId="77777777" w:rsidTr="004863F4">
        <w:tblPrEx>
          <w:tblW w:w="12937" w:type="dxa"/>
          <w:tblInd w:w="108" w:type="dxa"/>
          <w:tblLayout w:type="fixed"/>
          <w:tblLook w:val="04A0"/>
        </w:tblPrEx>
        <w:tc>
          <w:tcPr>
            <w:tcW w:w="1526" w:type="dxa"/>
            <w:vMerge/>
          </w:tcPr>
          <w:p w:rsidR="009646B0" w:rsidRPr="000238A7" w:rsidP="004863F4" w14:paraId="35E5B162" w14:textId="77777777">
            <w:pPr>
              <w:pStyle w:val="BodyText"/>
              <w:spacing w:after="0"/>
              <w:rPr>
                <w:rFonts w:asciiTheme="minorHAnsi" w:hAnsiTheme="minorHAnsi" w:cstheme="minorHAnsi"/>
                <w:sz w:val="20"/>
                <w:szCs w:val="20"/>
              </w:rPr>
            </w:pPr>
          </w:p>
        </w:tc>
        <w:tc>
          <w:tcPr>
            <w:tcW w:w="2051" w:type="dxa"/>
          </w:tcPr>
          <w:p w:rsidR="009646B0" w:rsidRPr="000238A7" w:rsidP="004863F4" w14:paraId="47D2BFF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98.286(c)(1)</w:t>
            </w:r>
          </w:p>
        </w:tc>
        <w:tc>
          <w:tcPr>
            <w:tcW w:w="3330" w:type="dxa"/>
          </w:tcPr>
          <w:p w:rsidR="009646B0" w:rsidRPr="000238A7" w:rsidP="004863F4" w14:paraId="7B1B258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Date of installation for each methane abatement technology used on each </w:t>
            </w:r>
            <w:r w:rsidRPr="000238A7">
              <w:rPr>
                <w:rFonts w:asciiTheme="minorHAnsi" w:hAnsiTheme="minorHAnsi" w:cstheme="minorHAnsi"/>
                <w:sz w:val="20"/>
                <w:szCs w:val="20"/>
              </w:rPr>
              <w:t>silicon carbide process unit or production furnace.</w:t>
            </w:r>
          </w:p>
        </w:tc>
        <w:tc>
          <w:tcPr>
            <w:tcW w:w="2340" w:type="dxa"/>
          </w:tcPr>
          <w:p w:rsidR="009646B0" w:rsidRPr="000238A7" w:rsidP="004863F4" w14:paraId="5B7B416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2288B70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w:t>
            </w:r>
            <w:r w:rsidRPr="000238A7">
              <w:rPr>
                <w:rFonts w:asciiTheme="minorHAnsi" w:hAnsiTheme="minorHAnsi" w:cstheme="minorHAnsi"/>
                <w:sz w:val="20"/>
                <w:szCs w:val="20"/>
              </w:rPr>
              <w:t>available data and submit the value via e-GGRT as part of the annual report. This data element will affect 1 reporter annually.</w:t>
            </w:r>
          </w:p>
        </w:tc>
      </w:tr>
      <w:tr w14:paraId="6F46B8A2" w14:textId="77777777" w:rsidTr="004863F4">
        <w:tblPrEx>
          <w:tblW w:w="12937" w:type="dxa"/>
          <w:tblInd w:w="108" w:type="dxa"/>
          <w:tblLayout w:type="fixed"/>
          <w:tblLook w:val="04A0"/>
        </w:tblPrEx>
        <w:tc>
          <w:tcPr>
            <w:tcW w:w="1526" w:type="dxa"/>
            <w:vMerge w:val="restart"/>
          </w:tcPr>
          <w:p w:rsidR="009646B0" w:rsidRPr="000238A7" w:rsidP="004863F4" w14:paraId="3945799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BB - Silicon Carbide Production</w:t>
            </w:r>
          </w:p>
        </w:tc>
        <w:tc>
          <w:tcPr>
            <w:tcW w:w="2051" w:type="dxa"/>
          </w:tcPr>
          <w:p w:rsidR="009646B0" w:rsidRPr="000238A7" w:rsidP="004863F4" w14:paraId="3955EB3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98.286(c)(2)</w:t>
            </w:r>
          </w:p>
        </w:tc>
        <w:tc>
          <w:tcPr>
            <w:tcW w:w="3330" w:type="dxa"/>
          </w:tcPr>
          <w:p w:rsidR="009646B0" w:rsidRPr="000238A7" w:rsidP="004863F4" w14:paraId="302DB5F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Methane destruction efficiency for each methane abatement technology (percent destruction). </w:t>
            </w:r>
          </w:p>
        </w:tc>
        <w:tc>
          <w:tcPr>
            <w:tcW w:w="2340" w:type="dxa"/>
          </w:tcPr>
          <w:p w:rsidR="009646B0" w:rsidRPr="000238A7" w:rsidP="004863F4" w14:paraId="64AB5AF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1CCC939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1 reporter annually.</w:t>
            </w:r>
          </w:p>
        </w:tc>
      </w:tr>
      <w:tr w14:paraId="4F700CB9" w14:textId="77777777" w:rsidTr="004863F4">
        <w:tblPrEx>
          <w:tblW w:w="12937" w:type="dxa"/>
          <w:tblInd w:w="108" w:type="dxa"/>
          <w:tblLayout w:type="fixed"/>
          <w:tblLook w:val="04A0"/>
        </w:tblPrEx>
        <w:tc>
          <w:tcPr>
            <w:tcW w:w="1526" w:type="dxa"/>
            <w:vMerge/>
          </w:tcPr>
          <w:p w:rsidR="009646B0" w:rsidRPr="000238A7" w:rsidP="004863F4" w14:paraId="07260236" w14:textId="77777777">
            <w:pPr>
              <w:pStyle w:val="BodyText"/>
              <w:spacing w:after="0"/>
              <w:rPr>
                <w:rFonts w:asciiTheme="minorHAnsi" w:hAnsiTheme="minorHAnsi" w:cstheme="minorHAnsi"/>
                <w:sz w:val="20"/>
                <w:szCs w:val="20"/>
              </w:rPr>
            </w:pPr>
          </w:p>
        </w:tc>
        <w:tc>
          <w:tcPr>
            <w:tcW w:w="2051" w:type="dxa"/>
          </w:tcPr>
          <w:p w:rsidR="009646B0" w:rsidRPr="000238A7" w:rsidP="004863F4" w14:paraId="582F7FB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98.286(c)(2)</w:t>
            </w:r>
          </w:p>
        </w:tc>
        <w:tc>
          <w:tcPr>
            <w:tcW w:w="3330" w:type="dxa"/>
          </w:tcPr>
          <w:p w:rsidR="009646B0" w:rsidRPr="000238A7" w:rsidP="004863F4" w14:paraId="3142C4B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you report the methane destruction efficiency determined via a performance test, you must also report the test method that was used during the performance test.</w:t>
            </w:r>
          </w:p>
        </w:tc>
        <w:tc>
          <w:tcPr>
            <w:tcW w:w="2340" w:type="dxa"/>
          </w:tcPr>
          <w:p w:rsidR="009646B0" w:rsidRPr="000238A7" w:rsidP="004863F4" w14:paraId="6980FC9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1467067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1 reporter annually.</w:t>
            </w:r>
          </w:p>
        </w:tc>
      </w:tr>
      <w:tr w14:paraId="4B45A13D" w14:textId="77777777" w:rsidTr="004863F4">
        <w:tblPrEx>
          <w:tblW w:w="12937" w:type="dxa"/>
          <w:tblInd w:w="108" w:type="dxa"/>
          <w:tblLayout w:type="fixed"/>
          <w:tblLook w:val="04A0"/>
        </w:tblPrEx>
        <w:tc>
          <w:tcPr>
            <w:tcW w:w="1526" w:type="dxa"/>
            <w:vMerge/>
          </w:tcPr>
          <w:p w:rsidR="009646B0" w:rsidRPr="000238A7" w:rsidP="004863F4" w14:paraId="18A4FAF6" w14:textId="77777777">
            <w:pPr>
              <w:pStyle w:val="BodyText"/>
              <w:spacing w:after="0"/>
              <w:rPr>
                <w:rFonts w:asciiTheme="minorHAnsi" w:hAnsiTheme="minorHAnsi" w:cstheme="minorHAnsi"/>
                <w:sz w:val="20"/>
                <w:szCs w:val="20"/>
              </w:rPr>
            </w:pPr>
          </w:p>
        </w:tc>
        <w:tc>
          <w:tcPr>
            <w:tcW w:w="2051" w:type="dxa"/>
          </w:tcPr>
          <w:p w:rsidR="009646B0" w:rsidRPr="000238A7" w:rsidP="004863F4" w14:paraId="0C3C7C7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98.286(c)(3)</w:t>
            </w:r>
          </w:p>
        </w:tc>
        <w:tc>
          <w:tcPr>
            <w:tcW w:w="3330" w:type="dxa"/>
          </w:tcPr>
          <w:p w:rsidR="009646B0" w:rsidRPr="000238A7" w:rsidP="004863F4" w14:paraId="077FDDE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Percentage of annual operating hours that methane abatement technology was in use for all silicon carbide process units or production furnaces combined.</w:t>
            </w:r>
          </w:p>
        </w:tc>
        <w:tc>
          <w:tcPr>
            <w:tcW w:w="2340" w:type="dxa"/>
          </w:tcPr>
          <w:p w:rsidR="009646B0" w:rsidRPr="000238A7" w:rsidP="004863F4" w14:paraId="4F71171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408F0F2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1 reporter annually.</w:t>
            </w:r>
          </w:p>
        </w:tc>
      </w:tr>
      <w:tr w14:paraId="2A13C588" w14:textId="77777777" w:rsidTr="004863F4">
        <w:tblPrEx>
          <w:tblW w:w="12937" w:type="dxa"/>
          <w:tblInd w:w="108" w:type="dxa"/>
          <w:tblLayout w:type="fixed"/>
          <w:tblLook w:val="04A0"/>
        </w:tblPrEx>
        <w:tc>
          <w:tcPr>
            <w:tcW w:w="1526" w:type="dxa"/>
            <w:vMerge w:val="restart"/>
          </w:tcPr>
          <w:p w:rsidR="009646B0" w:rsidRPr="000238A7" w:rsidP="004863F4" w14:paraId="494778F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DD - Electrical Transmission and Distribution Equipment Use</w:t>
            </w:r>
          </w:p>
        </w:tc>
        <w:tc>
          <w:tcPr>
            <w:tcW w:w="2051" w:type="dxa"/>
          </w:tcPr>
          <w:p w:rsidR="009646B0" w:rsidRPr="000238A7" w:rsidP="004863F4" w14:paraId="55F8E42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98.306(a)(1)</w:t>
            </w:r>
          </w:p>
        </w:tc>
        <w:tc>
          <w:tcPr>
            <w:tcW w:w="3330" w:type="dxa"/>
          </w:tcPr>
          <w:p w:rsidR="009646B0" w:rsidRPr="000238A7" w:rsidP="004863F4" w14:paraId="4855F4D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Nameplate capacity of equipment (pounds) containing each reportable gas: Existing at the beginning of the year (excluding hermetically sealed-pressure switchgear)</w:t>
            </w:r>
          </w:p>
        </w:tc>
        <w:tc>
          <w:tcPr>
            <w:tcW w:w="2340" w:type="dxa"/>
          </w:tcPr>
          <w:p w:rsidR="009646B0" w:rsidRPr="000238A7" w:rsidP="004863F4" w14:paraId="249E2D2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633602B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~93 reporters annually.</w:t>
            </w:r>
          </w:p>
        </w:tc>
      </w:tr>
      <w:tr w14:paraId="299B54EE" w14:textId="77777777" w:rsidTr="004863F4">
        <w:tblPrEx>
          <w:tblW w:w="12937" w:type="dxa"/>
          <w:tblInd w:w="108" w:type="dxa"/>
          <w:tblLayout w:type="fixed"/>
          <w:tblLook w:val="04A0"/>
        </w:tblPrEx>
        <w:tc>
          <w:tcPr>
            <w:tcW w:w="1526" w:type="dxa"/>
            <w:vMerge/>
          </w:tcPr>
          <w:p w:rsidR="009646B0" w:rsidRPr="000238A7" w:rsidP="004863F4" w14:paraId="538DC713" w14:textId="77777777">
            <w:pPr>
              <w:pStyle w:val="BodyText"/>
              <w:spacing w:after="0"/>
              <w:rPr>
                <w:rFonts w:asciiTheme="minorHAnsi" w:hAnsiTheme="minorHAnsi" w:cstheme="minorHAnsi"/>
                <w:sz w:val="20"/>
                <w:szCs w:val="20"/>
              </w:rPr>
            </w:pPr>
          </w:p>
        </w:tc>
        <w:tc>
          <w:tcPr>
            <w:tcW w:w="2051" w:type="dxa"/>
          </w:tcPr>
          <w:p w:rsidR="009646B0" w:rsidRPr="000238A7" w:rsidP="004863F4" w14:paraId="011B077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98.306(a)(2)</w:t>
            </w:r>
          </w:p>
        </w:tc>
        <w:tc>
          <w:tcPr>
            <w:tcW w:w="3330" w:type="dxa"/>
          </w:tcPr>
          <w:p w:rsidR="009646B0" w:rsidRPr="000238A7" w:rsidP="004863F4" w14:paraId="04FAE2E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Nameplate capacity of equipment (pounds) containing each reportable gas: New hermetically sealed-pressure switchgear during the year</w:t>
            </w:r>
          </w:p>
        </w:tc>
        <w:tc>
          <w:tcPr>
            <w:tcW w:w="2340" w:type="dxa"/>
          </w:tcPr>
          <w:p w:rsidR="009646B0" w:rsidRPr="000238A7" w:rsidP="004863F4" w14:paraId="27DED2D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2A4B662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available data and submit the value via e-GGRT as part of the annual report. This </w:t>
            </w:r>
            <w:r w:rsidRPr="000238A7">
              <w:rPr>
                <w:rFonts w:asciiTheme="minorHAnsi" w:hAnsiTheme="minorHAnsi" w:cstheme="minorHAnsi"/>
                <w:sz w:val="20"/>
                <w:szCs w:val="20"/>
              </w:rPr>
              <w:t>data element will affect ~93 reporters annually.</w:t>
            </w:r>
          </w:p>
        </w:tc>
      </w:tr>
      <w:tr w14:paraId="223B6388" w14:textId="77777777" w:rsidTr="004863F4">
        <w:tblPrEx>
          <w:tblW w:w="12937" w:type="dxa"/>
          <w:tblInd w:w="108" w:type="dxa"/>
          <w:tblLayout w:type="fixed"/>
          <w:tblLook w:val="04A0"/>
        </w:tblPrEx>
        <w:tc>
          <w:tcPr>
            <w:tcW w:w="1526" w:type="dxa"/>
            <w:vMerge/>
          </w:tcPr>
          <w:p w:rsidR="009646B0" w:rsidRPr="000238A7" w:rsidP="004863F4" w14:paraId="4715ED5D" w14:textId="77777777">
            <w:pPr>
              <w:pStyle w:val="BodyText"/>
              <w:spacing w:after="0"/>
              <w:rPr>
                <w:rFonts w:asciiTheme="minorHAnsi" w:hAnsiTheme="minorHAnsi" w:cstheme="minorHAnsi"/>
                <w:sz w:val="20"/>
                <w:szCs w:val="20"/>
              </w:rPr>
            </w:pPr>
          </w:p>
        </w:tc>
        <w:tc>
          <w:tcPr>
            <w:tcW w:w="2051" w:type="dxa"/>
          </w:tcPr>
          <w:p w:rsidR="009646B0" w:rsidRPr="000238A7" w:rsidP="004863F4" w14:paraId="2F3FE22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98.306(a)(3)</w:t>
            </w:r>
          </w:p>
        </w:tc>
        <w:tc>
          <w:tcPr>
            <w:tcW w:w="3330" w:type="dxa"/>
          </w:tcPr>
          <w:p w:rsidR="009646B0" w:rsidRPr="000238A7" w:rsidP="004863F4" w14:paraId="40D336A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Nameplate capacity of equipment (pounds) containing each reportable gas: New equipment other than hermetically sealed-pressure switchgear during the year</w:t>
            </w:r>
          </w:p>
        </w:tc>
        <w:tc>
          <w:tcPr>
            <w:tcW w:w="2340" w:type="dxa"/>
          </w:tcPr>
          <w:p w:rsidR="009646B0" w:rsidRPr="000238A7" w:rsidP="004863F4" w14:paraId="01E55C2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570CD45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~93 reporters annually.</w:t>
            </w:r>
          </w:p>
        </w:tc>
      </w:tr>
      <w:tr w14:paraId="64FDE87A" w14:textId="77777777" w:rsidTr="004863F4">
        <w:tblPrEx>
          <w:tblW w:w="12937" w:type="dxa"/>
          <w:tblInd w:w="108" w:type="dxa"/>
          <w:tblLayout w:type="fixed"/>
          <w:tblLook w:val="04A0"/>
        </w:tblPrEx>
        <w:tc>
          <w:tcPr>
            <w:tcW w:w="1526" w:type="dxa"/>
            <w:vMerge/>
          </w:tcPr>
          <w:p w:rsidR="009646B0" w:rsidRPr="000238A7" w:rsidP="004863F4" w14:paraId="5B6612ED" w14:textId="77777777">
            <w:pPr>
              <w:pStyle w:val="BodyText"/>
              <w:spacing w:after="0"/>
              <w:rPr>
                <w:rFonts w:asciiTheme="minorHAnsi" w:hAnsiTheme="minorHAnsi" w:cstheme="minorHAnsi"/>
                <w:sz w:val="20"/>
                <w:szCs w:val="20"/>
              </w:rPr>
            </w:pPr>
          </w:p>
        </w:tc>
        <w:tc>
          <w:tcPr>
            <w:tcW w:w="2051" w:type="dxa"/>
          </w:tcPr>
          <w:p w:rsidR="009646B0" w:rsidRPr="000238A7" w:rsidP="004863F4" w14:paraId="75F0E29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98.306(a)(4)</w:t>
            </w:r>
          </w:p>
        </w:tc>
        <w:tc>
          <w:tcPr>
            <w:tcW w:w="3330" w:type="dxa"/>
          </w:tcPr>
          <w:p w:rsidR="009646B0" w:rsidRPr="000238A7" w:rsidP="004863F4" w14:paraId="35329D0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Nameplate capacity of equipment (pounds) containing each reportable gas: Retired hermetically sealed-pressure switchgear during the year</w:t>
            </w:r>
          </w:p>
        </w:tc>
        <w:tc>
          <w:tcPr>
            <w:tcW w:w="2340" w:type="dxa"/>
          </w:tcPr>
          <w:p w:rsidR="009646B0" w:rsidRPr="000238A7" w:rsidP="004863F4" w14:paraId="71BF7A2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59BDE4C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~93 reporters annually.</w:t>
            </w:r>
          </w:p>
        </w:tc>
      </w:tr>
      <w:tr w14:paraId="4FF6AD0A" w14:textId="77777777" w:rsidTr="004863F4">
        <w:tblPrEx>
          <w:tblW w:w="12937" w:type="dxa"/>
          <w:tblInd w:w="108" w:type="dxa"/>
          <w:tblLayout w:type="fixed"/>
          <w:tblLook w:val="04A0"/>
        </w:tblPrEx>
        <w:tc>
          <w:tcPr>
            <w:tcW w:w="1526" w:type="dxa"/>
            <w:vMerge w:val="restart"/>
          </w:tcPr>
          <w:p w:rsidR="009646B0" w:rsidRPr="000238A7" w:rsidP="004863F4" w14:paraId="7BCC6FC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DD - Electrical Transmission and Distribution Equipment Use</w:t>
            </w:r>
          </w:p>
        </w:tc>
        <w:tc>
          <w:tcPr>
            <w:tcW w:w="2051" w:type="dxa"/>
          </w:tcPr>
          <w:p w:rsidR="009646B0" w:rsidRPr="000238A7" w:rsidP="004863F4" w14:paraId="6CE90ED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98.306(a)(5)</w:t>
            </w:r>
          </w:p>
        </w:tc>
        <w:tc>
          <w:tcPr>
            <w:tcW w:w="3330" w:type="dxa"/>
          </w:tcPr>
          <w:p w:rsidR="009646B0" w:rsidRPr="000238A7" w:rsidP="004863F4" w14:paraId="43EC31F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Nameplate capacity of equipment (pounds) containing each reportable gas: Retired equipment other than hermetically sealed-pressure switchgear during the year</w:t>
            </w:r>
          </w:p>
        </w:tc>
        <w:tc>
          <w:tcPr>
            <w:tcW w:w="2340" w:type="dxa"/>
          </w:tcPr>
          <w:p w:rsidR="009646B0" w:rsidRPr="000238A7" w:rsidP="004863F4" w14:paraId="5744B58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01F5DB9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~93 reporters annually.</w:t>
            </w:r>
          </w:p>
        </w:tc>
      </w:tr>
      <w:tr w14:paraId="53CB31A0" w14:textId="77777777" w:rsidTr="004863F4">
        <w:tblPrEx>
          <w:tblW w:w="12937" w:type="dxa"/>
          <w:tblInd w:w="108" w:type="dxa"/>
          <w:tblLayout w:type="fixed"/>
          <w:tblLook w:val="04A0"/>
        </w:tblPrEx>
        <w:tc>
          <w:tcPr>
            <w:tcW w:w="1526" w:type="dxa"/>
            <w:vMerge/>
          </w:tcPr>
          <w:p w:rsidR="009646B0" w:rsidRPr="000238A7" w:rsidP="004863F4" w14:paraId="45592968" w14:textId="77777777">
            <w:pPr>
              <w:pStyle w:val="BodyText"/>
              <w:spacing w:after="0"/>
              <w:rPr>
                <w:rFonts w:asciiTheme="minorHAnsi" w:hAnsiTheme="minorHAnsi" w:cstheme="minorHAnsi"/>
                <w:sz w:val="20"/>
                <w:szCs w:val="20"/>
              </w:rPr>
            </w:pPr>
          </w:p>
        </w:tc>
        <w:tc>
          <w:tcPr>
            <w:tcW w:w="2051" w:type="dxa"/>
          </w:tcPr>
          <w:p w:rsidR="009646B0" w:rsidRPr="000238A7" w:rsidP="004863F4" w14:paraId="0896644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98.306(d)</w:t>
            </w:r>
          </w:p>
        </w:tc>
        <w:tc>
          <w:tcPr>
            <w:tcW w:w="3330" w:type="dxa"/>
          </w:tcPr>
          <w:p w:rsidR="009646B0" w:rsidRPr="000238A7" w:rsidP="004863F4" w14:paraId="0C91EE6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Pounds of each reportable insulating gas stored in containers, but not in energized equipment, at the beginning of the year.</w:t>
            </w:r>
          </w:p>
        </w:tc>
        <w:tc>
          <w:tcPr>
            <w:tcW w:w="2340" w:type="dxa"/>
          </w:tcPr>
          <w:p w:rsidR="009646B0" w:rsidRPr="000238A7" w:rsidP="004863F4" w14:paraId="5573D3D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5793951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~93 reporters annually.</w:t>
            </w:r>
          </w:p>
        </w:tc>
      </w:tr>
      <w:tr w14:paraId="7CF2A2CC" w14:textId="77777777" w:rsidTr="004863F4">
        <w:tblPrEx>
          <w:tblW w:w="12937" w:type="dxa"/>
          <w:tblInd w:w="108" w:type="dxa"/>
          <w:tblLayout w:type="fixed"/>
          <w:tblLook w:val="04A0"/>
        </w:tblPrEx>
        <w:tc>
          <w:tcPr>
            <w:tcW w:w="1526" w:type="dxa"/>
            <w:vMerge/>
          </w:tcPr>
          <w:p w:rsidR="009646B0" w:rsidRPr="000238A7" w:rsidP="004863F4" w14:paraId="353BAFA7" w14:textId="77777777">
            <w:pPr>
              <w:pStyle w:val="BodyText"/>
              <w:spacing w:after="0"/>
              <w:rPr>
                <w:rFonts w:asciiTheme="minorHAnsi" w:hAnsiTheme="minorHAnsi" w:cstheme="minorHAnsi"/>
                <w:sz w:val="20"/>
                <w:szCs w:val="20"/>
              </w:rPr>
            </w:pPr>
          </w:p>
        </w:tc>
        <w:tc>
          <w:tcPr>
            <w:tcW w:w="2051" w:type="dxa"/>
          </w:tcPr>
          <w:p w:rsidR="009646B0" w:rsidRPr="000238A7" w:rsidP="004863F4" w14:paraId="4DCE5C0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98.306(e)</w:t>
            </w:r>
          </w:p>
        </w:tc>
        <w:tc>
          <w:tcPr>
            <w:tcW w:w="3330" w:type="dxa"/>
          </w:tcPr>
          <w:p w:rsidR="009646B0" w:rsidRPr="000238A7" w:rsidP="004863F4" w14:paraId="00AE5C6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Pounds of each reportable insulating gas stored in containers, but not in energized equipment, at the end of the year.</w:t>
            </w:r>
          </w:p>
        </w:tc>
        <w:tc>
          <w:tcPr>
            <w:tcW w:w="2340" w:type="dxa"/>
          </w:tcPr>
          <w:p w:rsidR="009646B0" w:rsidRPr="000238A7" w:rsidP="004863F4" w14:paraId="3C1AC02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694AFDA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~93 reporters annually.</w:t>
            </w:r>
          </w:p>
        </w:tc>
      </w:tr>
      <w:tr w14:paraId="7005C49A" w14:textId="77777777" w:rsidTr="004863F4">
        <w:tblPrEx>
          <w:tblW w:w="12937" w:type="dxa"/>
          <w:tblInd w:w="108" w:type="dxa"/>
          <w:tblLayout w:type="fixed"/>
          <w:tblLook w:val="04A0"/>
        </w:tblPrEx>
        <w:tc>
          <w:tcPr>
            <w:tcW w:w="1526" w:type="dxa"/>
            <w:vMerge/>
          </w:tcPr>
          <w:p w:rsidR="009646B0" w:rsidRPr="000238A7" w:rsidP="004863F4" w14:paraId="035C5ADC" w14:textId="77777777">
            <w:pPr>
              <w:pStyle w:val="BodyText"/>
              <w:spacing w:after="0"/>
              <w:rPr>
                <w:rFonts w:asciiTheme="minorHAnsi" w:hAnsiTheme="minorHAnsi" w:cstheme="minorHAnsi"/>
                <w:sz w:val="20"/>
                <w:szCs w:val="20"/>
              </w:rPr>
            </w:pPr>
          </w:p>
        </w:tc>
        <w:tc>
          <w:tcPr>
            <w:tcW w:w="2051" w:type="dxa"/>
          </w:tcPr>
          <w:p w:rsidR="009646B0" w:rsidRPr="000238A7" w:rsidP="004863F4" w14:paraId="0916490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98.306(f)</w:t>
            </w:r>
          </w:p>
        </w:tc>
        <w:tc>
          <w:tcPr>
            <w:tcW w:w="3330" w:type="dxa"/>
          </w:tcPr>
          <w:p w:rsidR="009646B0" w:rsidRPr="000238A7" w:rsidP="004863F4" w14:paraId="36FC06E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Pounds of each reportable insulating gas purchased in bulk from chemical producers or distributors.</w:t>
            </w:r>
          </w:p>
        </w:tc>
        <w:tc>
          <w:tcPr>
            <w:tcW w:w="2340" w:type="dxa"/>
          </w:tcPr>
          <w:p w:rsidR="009646B0" w:rsidRPr="000238A7" w:rsidP="004863F4" w14:paraId="7DA1ADB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3E91877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~93 reporters annually.</w:t>
            </w:r>
          </w:p>
        </w:tc>
      </w:tr>
      <w:tr w14:paraId="16BA88BE" w14:textId="77777777" w:rsidTr="004863F4">
        <w:tblPrEx>
          <w:tblW w:w="12937" w:type="dxa"/>
          <w:tblInd w:w="108" w:type="dxa"/>
          <w:tblLayout w:type="fixed"/>
          <w:tblLook w:val="04A0"/>
        </w:tblPrEx>
        <w:tc>
          <w:tcPr>
            <w:tcW w:w="1526" w:type="dxa"/>
            <w:vMerge/>
          </w:tcPr>
          <w:p w:rsidR="009646B0" w:rsidRPr="000238A7" w:rsidP="004863F4" w14:paraId="28543DE2" w14:textId="77777777">
            <w:pPr>
              <w:pStyle w:val="BodyText"/>
              <w:spacing w:after="0"/>
              <w:rPr>
                <w:rFonts w:asciiTheme="minorHAnsi" w:hAnsiTheme="minorHAnsi" w:cstheme="minorHAnsi"/>
                <w:sz w:val="20"/>
                <w:szCs w:val="20"/>
              </w:rPr>
            </w:pPr>
          </w:p>
        </w:tc>
        <w:tc>
          <w:tcPr>
            <w:tcW w:w="2051" w:type="dxa"/>
          </w:tcPr>
          <w:p w:rsidR="009646B0" w:rsidRPr="000238A7" w:rsidP="004863F4" w14:paraId="42D6DD5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98.306(g)</w:t>
            </w:r>
          </w:p>
        </w:tc>
        <w:tc>
          <w:tcPr>
            <w:tcW w:w="3330" w:type="dxa"/>
          </w:tcPr>
          <w:p w:rsidR="009646B0" w:rsidRPr="000238A7" w:rsidP="004863F4" w14:paraId="47F6556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Pounds of each reportable insulating gas purchased from equipment manufacturers or distributors with or inside equipment, including hermetically sealed-pressure switchgear.</w:t>
            </w:r>
          </w:p>
        </w:tc>
        <w:tc>
          <w:tcPr>
            <w:tcW w:w="2340" w:type="dxa"/>
          </w:tcPr>
          <w:p w:rsidR="009646B0" w:rsidRPr="000238A7" w:rsidP="004863F4" w14:paraId="50383C5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186FDE9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~93 reporters annually.</w:t>
            </w:r>
          </w:p>
        </w:tc>
      </w:tr>
      <w:tr w14:paraId="3AC1A064" w14:textId="77777777" w:rsidTr="004863F4">
        <w:tblPrEx>
          <w:tblW w:w="12937" w:type="dxa"/>
          <w:tblInd w:w="108" w:type="dxa"/>
          <w:tblLayout w:type="fixed"/>
          <w:tblLook w:val="04A0"/>
        </w:tblPrEx>
        <w:tc>
          <w:tcPr>
            <w:tcW w:w="1526" w:type="dxa"/>
            <w:vMerge/>
          </w:tcPr>
          <w:p w:rsidR="009646B0" w:rsidRPr="000238A7" w:rsidP="004863F4" w14:paraId="0D1CA49D" w14:textId="77777777">
            <w:pPr>
              <w:pStyle w:val="BodyText"/>
              <w:spacing w:after="0"/>
              <w:rPr>
                <w:rFonts w:asciiTheme="minorHAnsi" w:hAnsiTheme="minorHAnsi" w:cstheme="minorHAnsi"/>
                <w:sz w:val="20"/>
                <w:szCs w:val="20"/>
              </w:rPr>
            </w:pPr>
          </w:p>
        </w:tc>
        <w:tc>
          <w:tcPr>
            <w:tcW w:w="2051" w:type="dxa"/>
          </w:tcPr>
          <w:p w:rsidR="009646B0" w:rsidRPr="000238A7" w:rsidP="004863F4" w14:paraId="1EE3C85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98.306(h)</w:t>
            </w:r>
          </w:p>
        </w:tc>
        <w:tc>
          <w:tcPr>
            <w:tcW w:w="3330" w:type="dxa"/>
          </w:tcPr>
          <w:p w:rsidR="009646B0" w:rsidRPr="000238A7" w:rsidP="004863F4" w14:paraId="238A93D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Pounds of each reportable insulating gas returned to facility after off-site recycling.</w:t>
            </w:r>
          </w:p>
        </w:tc>
        <w:tc>
          <w:tcPr>
            <w:tcW w:w="2340" w:type="dxa"/>
          </w:tcPr>
          <w:p w:rsidR="009646B0" w:rsidRPr="000238A7" w:rsidP="004863F4" w14:paraId="16577DB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357DEB8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~93 reporters annually.</w:t>
            </w:r>
          </w:p>
        </w:tc>
      </w:tr>
      <w:tr w14:paraId="796ED50F" w14:textId="77777777" w:rsidTr="004863F4">
        <w:tblPrEx>
          <w:tblW w:w="12937" w:type="dxa"/>
          <w:tblInd w:w="108" w:type="dxa"/>
          <w:tblLayout w:type="fixed"/>
          <w:tblLook w:val="04A0"/>
        </w:tblPrEx>
        <w:tc>
          <w:tcPr>
            <w:tcW w:w="1526" w:type="dxa"/>
            <w:vMerge w:val="restart"/>
          </w:tcPr>
          <w:p w:rsidR="009646B0" w:rsidRPr="000238A7" w:rsidP="004863F4" w14:paraId="3132E9F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DD - Electrical Transmission and Distribution Equipment Use</w:t>
            </w:r>
          </w:p>
        </w:tc>
        <w:tc>
          <w:tcPr>
            <w:tcW w:w="2051" w:type="dxa"/>
          </w:tcPr>
          <w:p w:rsidR="009646B0" w:rsidRPr="000238A7" w:rsidP="004863F4" w14:paraId="0946166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w:t>
            </w:r>
            <w:r w:rsidRPr="000238A7">
              <w:rPr>
                <w:rFonts w:asciiTheme="minorHAnsi" w:hAnsiTheme="minorHAnsi" w:cstheme="minorHAnsi"/>
                <w:sz w:val="20"/>
                <w:szCs w:val="20"/>
              </w:rPr>
              <w:t>i</w:t>
            </w:r>
            <w:r w:rsidRPr="000238A7">
              <w:rPr>
                <w:rFonts w:asciiTheme="minorHAnsi" w:hAnsiTheme="minorHAnsi" w:cstheme="minorHAnsi"/>
                <w:sz w:val="20"/>
                <w:szCs w:val="20"/>
              </w:rPr>
              <w:t>)</w:t>
            </w:r>
          </w:p>
        </w:tc>
        <w:tc>
          <w:tcPr>
            <w:tcW w:w="3330" w:type="dxa"/>
          </w:tcPr>
          <w:p w:rsidR="009646B0" w:rsidRPr="000238A7" w:rsidP="004863F4" w14:paraId="60D5277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Pounds of each reportable insulating gas acquired inside equipment, except hermetically sealed-pressure switchgear, that was transferred while the equipment was in use, e.g., through acquisition of all or part of another electric power system.</w:t>
            </w:r>
          </w:p>
        </w:tc>
        <w:tc>
          <w:tcPr>
            <w:tcW w:w="2340" w:type="dxa"/>
          </w:tcPr>
          <w:p w:rsidR="009646B0" w:rsidRPr="000238A7" w:rsidP="004863F4" w14:paraId="6C57916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767173A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~93 reporters annually.</w:t>
            </w:r>
          </w:p>
        </w:tc>
      </w:tr>
      <w:tr w14:paraId="2E947C21" w14:textId="77777777" w:rsidTr="004863F4">
        <w:tblPrEx>
          <w:tblW w:w="12937" w:type="dxa"/>
          <w:tblInd w:w="108" w:type="dxa"/>
          <w:tblLayout w:type="fixed"/>
          <w:tblLook w:val="04A0"/>
        </w:tblPrEx>
        <w:tc>
          <w:tcPr>
            <w:tcW w:w="1526" w:type="dxa"/>
            <w:vMerge/>
          </w:tcPr>
          <w:p w:rsidR="009646B0" w:rsidRPr="000238A7" w:rsidP="004863F4" w14:paraId="2BF0A958" w14:textId="77777777">
            <w:pPr>
              <w:pStyle w:val="BodyText"/>
              <w:spacing w:after="0"/>
              <w:rPr>
                <w:rFonts w:asciiTheme="minorHAnsi" w:hAnsiTheme="minorHAnsi" w:cstheme="minorHAnsi"/>
                <w:sz w:val="20"/>
                <w:szCs w:val="20"/>
              </w:rPr>
            </w:pPr>
          </w:p>
        </w:tc>
        <w:tc>
          <w:tcPr>
            <w:tcW w:w="2051" w:type="dxa"/>
          </w:tcPr>
          <w:p w:rsidR="009646B0" w:rsidRPr="000238A7" w:rsidP="004863F4" w14:paraId="4A9D696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98.306(j)</w:t>
            </w:r>
          </w:p>
        </w:tc>
        <w:tc>
          <w:tcPr>
            <w:tcW w:w="3330" w:type="dxa"/>
          </w:tcPr>
          <w:p w:rsidR="009646B0" w:rsidRPr="000238A7" w:rsidP="004863F4" w14:paraId="13E1D62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Pounds of each reportable insulating gas returned to suppliers.</w:t>
            </w:r>
          </w:p>
        </w:tc>
        <w:tc>
          <w:tcPr>
            <w:tcW w:w="2340" w:type="dxa"/>
          </w:tcPr>
          <w:p w:rsidR="009646B0" w:rsidRPr="000238A7" w:rsidP="004863F4" w14:paraId="59E2984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64F88F0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~93 reporters annually.</w:t>
            </w:r>
          </w:p>
        </w:tc>
      </w:tr>
      <w:tr w14:paraId="24DB40AF" w14:textId="77777777" w:rsidTr="004863F4">
        <w:tblPrEx>
          <w:tblW w:w="12937" w:type="dxa"/>
          <w:tblInd w:w="108" w:type="dxa"/>
          <w:tblLayout w:type="fixed"/>
          <w:tblLook w:val="04A0"/>
        </w:tblPrEx>
        <w:tc>
          <w:tcPr>
            <w:tcW w:w="1526" w:type="dxa"/>
            <w:vMerge/>
          </w:tcPr>
          <w:p w:rsidR="009646B0" w:rsidRPr="000238A7" w:rsidP="004863F4" w14:paraId="116ABD61" w14:textId="77777777">
            <w:pPr>
              <w:pStyle w:val="BodyText"/>
              <w:spacing w:after="0"/>
              <w:rPr>
                <w:rFonts w:asciiTheme="minorHAnsi" w:hAnsiTheme="minorHAnsi" w:cstheme="minorHAnsi"/>
                <w:sz w:val="20"/>
                <w:szCs w:val="20"/>
              </w:rPr>
            </w:pPr>
          </w:p>
        </w:tc>
        <w:tc>
          <w:tcPr>
            <w:tcW w:w="2051" w:type="dxa"/>
          </w:tcPr>
          <w:p w:rsidR="009646B0" w:rsidRPr="000238A7" w:rsidP="004863F4" w14:paraId="46EFFF5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98.306(k)</w:t>
            </w:r>
          </w:p>
        </w:tc>
        <w:tc>
          <w:tcPr>
            <w:tcW w:w="3330" w:type="dxa"/>
          </w:tcPr>
          <w:p w:rsidR="009646B0" w:rsidRPr="000238A7" w:rsidP="004863F4" w14:paraId="002382E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Pounds of each reportable insulating gas that was sold or transferred to other entities in bulk.</w:t>
            </w:r>
          </w:p>
        </w:tc>
        <w:tc>
          <w:tcPr>
            <w:tcW w:w="2340" w:type="dxa"/>
          </w:tcPr>
          <w:p w:rsidR="009646B0" w:rsidRPr="000238A7" w:rsidP="004863F4" w14:paraId="6D627B2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761BD58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~93 reporters annually.</w:t>
            </w:r>
          </w:p>
        </w:tc>
      </w:tr>
      <w:tr w14:paraId="584C808F" w14:textId="77777777" w:rsidTr="004863F4">
        <w:tblPrEx>
          <w:tblW w:w="12937" w:type="dxa"/>
          <w:tblInd w:w="108" w:type="dxa"/>
          <w:tblLayout w:type="fixed"/>
          <w:tblLook w:val="04A0"/>
        </w:tblPrEx>
        <w:tc>
          <w:tcPr>
            <w:tcW w:w="1526" w:type="dxa"/>
            <w:vMerge/>
          </w:tcPr>
          <w:p w:rsidR="009646B0" w:rsidRPr="000238A7" w:rsidP="004863F4" w14:paraId="0A4D4CAC" w14:textId="77777777">
            <w:pPr>
              <w:pStyle w:val="BodyText"/>
              <w:spacing w:after="0"/>
              <w:rPr>
                <w:rFonts w:asciiTheme="minorHAnsi" w:hAnsiTheme="minorHAnsi" w:cstheme="minorHAnsi"/>
                <w:sz w:val="20"/>
                <w:szCs w:val="20"/>
              </w:rPr>
            </w:pPr>
          </w:p>
        </w:tc>
        <w:tc>
          <w:tcPr>
            <w:tcW w:w="2051" w:type="dxa"/>
          </w:tcPr>
          <w:p w:rsidR="009646B0" w:rsidRPr="000238A7" w:rsidP="004863F4" w14:paraId="528326D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98.306(l)</w:t>
            </w:r>
          </w:p>
        </w:tc>
        <w:tc>
          <w:tcPr>
            <w:tcW w:w="3330" w:type="dxa"/>
          </w:tcPr>
          <w:p w:rsidR="009646B0" w:rsidRPr="000238A7" w:rsidP="004863F4" w14:paraId="0C7512F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Pounds of each reportable insulating gas sent off-site for recycling.</w:t>
            </w:r>
          </w:p>
        </w:tc>
        <w:tc>
          <w:tcPr>
            <w:tcW w:w="2340" w:type="dxa"/>
          </w:tcPr>
          <w:p w:rsidR="009646B0" w:rsidRPr="000238A7" w:rsidP="004863F4" w14:paraId="02647A6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63B9570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~93 reporters annually.</w:t>
            </w:r>
          </w:p>
        </w:tc>
      </w:tr>
      <w:tr w14:paraId="4D134565" w14:textId="77777777" w:rsidTr="004863F4">
        <w:tblPrEx>
          <w:tblW w:w="12937" w:type="dxa"/>
          <w:tblInd w:w="108" w:type="dxa"/>
          <w:tblLayout w:type="fixed"/>
          <w:tblLook w:val="04A0"/>
        </w:tblPrEx>
        <w:tc>
          <w:tcPr>
            <w:tcW w:w="1526" w:type="dxa"/>
            <w:vMerge/>
          </w:tcPr>
          <w:p w:rsidR="009646B0" w:rsidRPr="000238A7" w:rsidP="004863F4" w14:paraId="09ECD6B4" w14:textId="77777777">
            <w:pPr>
              <w:pStyle w:val="BodyText"/>
              <w:spacing w:after="0"/>
              <w:rPr>
                <w:rFonts w:asciiTheme="minorHAnsi" w:hAnsiTheme="minorHAnsi" w:cstheme="minorHAnsi"/>
                <w:sz w:val="20"/>
                <w:szCs w:val="20"/>
              </w:rPr>
            </w:pPr>
          </w:p>
        </w:tc>
        <w:tc>
          <w:tcPr>
            <w:tcW w:w="2051" w:type="dxa"/>
          </w:tcPr>
          <w:p w:rsidR="009646B0" w:rsidRPr="000238A7" w:rsidP="004863F4" w14:paraId="5DF5685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98.306(m)</w:t>
            </w:r>
          </w:p>
        </w:tc>
        <w:tc>
          <w:tcPr>
            <w:tcW w:w="3330" w:type="dxa"/>
          </w:tcPr>
          <w:p w:rsidR="009646B0" w:rsidRPr="000238A7" w:rsidP="004863F4" w14:paraId="2AAFDCB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Pounds of each reportable insulating gas sent off-site for destruction.</w:t>
            </w:r>
          </w:p>
        </w:tc>
        <w:tc>
          <w:tcPr>
            <w:tcW w:w="2340" w:type="dxa"/>
          </w:tcPr>
          <w:p w:rsidR="009646B0" w:rsidRPr="000238A7" w:rsidP="004863F4" w14:paraId="37B34AE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744D1B0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~93 reporters annually.</w:t>
            </w:r>
          </w:p>
        </w:tc>
      </w:tr>
      <w:tr w14:paraId="14214A98" w14:textId="77777777" w:rsidTr="004863F4">
        <w:tblPrEx>
          <w:tblW w:w="12937" w:type="dxa"/>
          <w:tblInd w:w="108" w:type="dxa"/>
          <w:tblLayout w:type="fixed"/>
          <w:tblLook w:val="04A0"/>
        </w:tblPrEx>
        <w:tc>
          <w:tcPr>
            <w:tcW w:w="1526" w:type="dxa"/>
            <w:vMerge/>
          </w:tcPr>
          <w:p w:rsidR="009646B0" w:rsidRPr="000238A7" w:rsidP="004863F4" w14:paraId="775A09C8" w14:textId="77777777">
            <w:pPr>
              <w:pStyle w:val="BodyText"/>
              <w:spacing w:after="0"/>
              <w:rPr>
                <w:rFonts w:asciiTheme="minorHAnsi" w:hAnsiTheme="minorHAnsi" w:cstheme="minorHAnsi"/>
                <w:sz w:val="20"/>
                <w:szCs w:val="20"/>
              </w:rPr>
            </w:pPr>
          </w:p>
        </w:tc>
        <w:tc>
          <w:tcPr>
            <w:tcW w:w="2051" w:type="dxa"/>
          </w:tcPr>
          <w:p w:rsidR="009646B0" w:rsidRPr="000238A7" w:rsidP="004863F4" w14:paraId="5436328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98.306(n)</w:t>
            </w:r>
          </w:p>
        </w:tc>
        <w:tc>
          <w:tcPr>
            <w:tcW w:w="3330" w:type="dxa"/>
          </w:tcPr>
          <w:p w:rsidR="009646B0" w:rsidRPr="000238A7" w:rsidP="004863F4" w14:paraId="3E3DE61F" w14:textId="77777777">
            <w:pPr>
              <w:rPr>
                <w:rFonts w:cstheme="minorHAnsi"/>
                <w:sz w:val="20"/>
                <w:szCs w:val="20"/>
              </w:rPr>
            </w:pPr>
            <w:r w:rsidRPr="000238A7">
              <w:rPr>
                <w:rFonts w:cstheme="minorHAnsi"/>
                <w:sz w:val="20"/>
                <w:szCs w:val="20"/>
              </w:rPr>
              <w:t>Pounds of each reportable insulating gas contained in equipment, including hermetically sealed-pressure switchgear, that was sold or transferred to other entities while the equipment was not in use.</w:t>
            </w:r>
          </w:p>
        </w:tc>
        <w:tc>
          <w:tcPr>
            <w:tcW w:w="2340" w:type="dxa"/>
          </w:tcPr>
          <w:p w:rsidR="009646B0" w:rsidRPr="000238A7" w:rsidP="004863F4" w14:paraId="67B2151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35E1024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~93 reporters annually.</w:t>
            </w:r>
          </w:p>
        </w:tc>
      </w:tr>
      <w:tr w14:paraId="42F0FE38" w14:textId="77777777" w:rsidTr="004863F4">
        <w:tblPrEx>
          <w:tblW w:w="12937" w:type="dxa"/>
          <w:tblInd w:w="108" w:type="dxa"/>
          <w:tblLayout w:type="fixed"/>
          <w:tblLook w:val="04A0"/>
        </w:tblPrEx>
        <w:tc>
          <w:tcPr>
            <w:tcW w:w="1526" w:type="dxa"/>
            <w:vMerge w:val="restart"/>
          </w:tcPr>
          <w:p w:rsidR="009646B0" w:rsidRPr="000238A7" w:rsidP="004863F4" w14:paraId="5C3752C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DD - Electrical Transmission and Distribution Equipment Use</w:t>
            </w:r>
          </w:p>
        </w:tc>
        <w:tc>
          <w:tcPr>
            <w:tcW w:w="2051" w:type="dxa"/>
          </w:tcPr>
          <w:p w:rsidR="009646B0" w:rsidRPr="000238A7" w:rsidP="004863F4" w14:paraId="51707B6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98.306(o)</w:t>
            </w:r>
          </w:p>
        </w:tc>
        <w:tc>
          <w:tcPr>
            <w:tcW w:w="3330" w:type="dxa"/>
          </w:tcPr>
          <w:p w:rsidR="009646B0" w:rsidRPr="000238A7" w:rsidP="004863F4" w14:paraId="633B2510" w14:textId="77777777">
            <w:pPr>
              <w:rPr>
                <w:rFonts w:cstheme="minorHAnsi"/>
                <w:sz w:val="20"/>
                <w:szCs w:val="20"/>
              </w:rPr>
            </w:pPr>
            <w:r w:rsidRPr="000238A7">
              <w:rPr>
                <w:rFonts w:cstheme="minorHAnsi"/>
                <w:sz w:val="20"/>
                <w:szCs w:val="20"/>
              </w:rPr>
              <w:t>Pounds of each reportable insulating gas disbursed inside equipment, except hermetically sealed-pressure switchgear, that was transferred while the equipment was in use, e.g., through sale of all or part of the electric power system to another electric power system.</w:t>
            </w:r>
          </w:p>
        </w:tc>
        <w:tc>
          <w:tcPr>
            <w:tcW w:w="2340" w:type="dxa"/>
          </w:tcPr>
          <w:p w:rsidR="009646B0" w:rsidRPr="000238A7" w:rsidP="004863F4" w14:paraId="6F09C04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64238D4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~93 reporters annually.</w:t>
            </w:r>
          </w:p>
        </w:tc>
      </w:tr>
      <w:tr w14:paraId="7BAB5A80" w14:textId="77777777" w:rsidTr="004863F4">
        <w:tblPrEx>
          <w:tblW w:w="12937" w:type="dxa"/>
          <w:tblInd w:w="108" w:type="dxa"/>
          <w:tblLayout w:type="fixed"/>
          <w:tblLook w:val="04A0"/>
        </w:tblPrEx>
        <w:tc>
          <w:tcPr>
            <w:tcW w:w="1526" w:type="dxa"/>
            <w:vMerge/>
          </w:tcPr>
          <w:p w:rsidR="009646B0" w:rsidRPr="000238A7" w:rsidP="004863F4" w14:paraId="3255811D" w14:textId="77777777">
            <w:pPr>
              <w:pStyle w:val="BodyText"/>
              <w:spacing w:after="0"/>
              <w:rPr>
                <w:rFonts w:asciiTheme="minorHAnsi" w:hAnsiTheme="minorHAnsi" w:cstheme="minorHAnsi"/>
                <w:sz w:val="20"/>
                <w:szCs w:val="20"/>
              </w:rPr>
            </w:pPr>
          </w:p>
        </w:tc>
        <w:tc>
          <w:tcPr>
            <w:tcW w:w="2051" w:type="dxa"/>
          </w:tcPr>
          <w:p w:rsidR="009646B0" w:rsidRPr="000238A7" w:rsidP="004863F4" w14:paraId="1546F60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98.306(q)(1)</w:t>
            </w:r>
          </w:p>
        </w:tc>
        <w:tc>
          <w:tcPr>
            <w:tcW w:w="3330" w:type="dxa"/>
          </w:tcPr>
          <w:p w:rsidR="009646B0" w:rsidRPr="000238A7" w:rsidP="004863F4" w14:paraId="5E5A1342" w14:textId="77777777">
            <w:pPr>
              <w:rPr>
                <w:rFonts w:cstheme="minorHAnsi"/>
                <w:sz w:val="20"/>
                <w:szCs w:val="20"/>
              </w:rPr>
            </w:pPr>
            <w:r w:rsidRPr="000238A7">
              <w:rPr>
                <w:rFonts w:cstheme="minorHAnsi"/>
                <w:sz w:val="20"/>
                <w:szCs w:val="20"/>
              </w:rPr>
              <w:t>The number of reportable insulating gas containing pieces of equipment in each of the following equipment category:</w:t>
            </w:r>
          </w:p>
          <w:p w:rsidR="009646B0" w:rsidRPr="000238A7" w:rsidP="004863F4" w14:paraId="40A1B034" w14:textId="77777777">
            <w:pPr>
              <w:pStyle w:val="BodyText"/>
              <w:spacing w:after="0"/>
              <w:rPr>
                <w:rFonts w:asciiTheme="minorHAnsi" w:hAnsiTheme="minorHAnsi" w:cstheme="minorHAnsi"/>
                <w:sz w:val="20"/>
                <w:szCs w:val="20"/>
              </w:rPr>
            </w:pPr>
            <w:r w:rsidRPr="000238A7">
              <w:rPr>
                <w:rFonts w:asciiTheme="minorHAnsi" w:eastAsiaTheme="minorHAnsi" w:hAnsiTheme="minorHAnsi" w:cstheme="minorHAnsi"/>
                <w:sz w:val="20"/>
                <w:szCs w:val="20"/>
              </w:rPr>
              <w:t xml:space="preserve">New hermetically sealed-pressure switchgear during the year. </w:t>
            </w:r>
          </w:p>
        </w:tc>
        <w:tc>
          <w:tcPr>
            <w:tcW w:w="2340" w:type="dxa"/>
          </w:tcPr>
          <w:p w:rsidR="009646B0" w:rsidRPr="000238A7" w:rsidP="004863F4" w14:paraId="15F1A3F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722B215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~93 reporters annually.</w:t>
            </w:r>
          </w:p>
        </w:tc>
      </w:tr>
      <w:tr w14:paraId="3457E074" w14:textId="77777777" w:rsidTr="004863F4">
        <w:tblPrEx>
          <w:tblW w:w="12937" w:type="dxa"/>
          <w:tblInd w:w="108" w:type="dxa"/>
          <w:tblLayout w:type="fixed"/>
          <w:tblLook w:val="04A0"/>
        </w:tblPrEx>
        <w:tc>
          <w:tcPr>
            <w:tcW w:w="1526" w:type="dxa"/>
            <w:vMerge/>
          </w:tcPr>
          <w:p w:rsidR="009646B0" w:rsidRPr="000238A7" w:rsidP="004863F4" w14:paraId="77BBD469" w14:textId="77777777">
            <w:pPr>
              <w:pStyle w:val="BodyText"/>
              <w:spacing w:after="0"/>
              <w:rPr>
                <w:rFonts w:asciiTheme="minorHAnsi" w:hAnsiTheme="minorHAnsi" w:cstheme="minorHAnsi"/>
                <w:sz w:val="20"/>
                <w:szCs w:val="20"/>
              </w:rPr>
            </w:pPr>
          </w:p>
        </w:tc>
        <w:tc>
          <w:tcPr>
            <w:tcW w:w="2051" w:type="dxa"/>
          </w:tcPr>
          <w:p w:rsidR="009646B0" w:rsidRPr="000238A7" w:rsidP="004863F4" w14:paraId="7BD0C05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98.306(q)(2)</w:t>
            </w:r>
          </w:p>
        </w:tc>
        <w:tc>
          <w:tcPr>
            <w:tcW w:w="3330" w:type="dxa"/>
          </w:tcPr>
          <w:p w:rsidR="009646B0" w:rsidRPr="000238A7" w:rsidP="004863F4" w14:paraId="126FE815" w14:textId="77777777">
            <w:pPr>
              <w:pStyle w:val="BodyText"/>
              <w:spacing w:after="0"/>
              <w:rPr>
                <w:rFonts w:asciiTheme="minorHAnsi" w:hAnsiTheme="minorHAnsi" w:cstheme="minorHAnsi"/>
                <w:sz w:val="20"/>
                <w:szCs w:val="20"/>
              </w:rPr>
            </w:pPr>
            <w:r w:rsidRPr="000238A7">
              <w:rPr>
                <w:rFonts w:asciiTheme="minorHAnsi" w:eastAsiaTheme="minorHAnsi" w:hAnsiTheme="minorHAnsi" w:cstheme="minorHAnsi"/>
                <w:sz w:val="20"/>
                <w:szCs w:val="20"/>
              </w:rPr>
              <w:t>The number of reportable insulating gas containing pieces of equipment in each of the following equipment category: New equipment other than hermetically sealed-pressure switchgear during the year.</w:t>
            </w:r>
          </w:p>
        </w:tc>
        <w:tc>
          <w:tcPr>
            <w:tcW w:w="2340" w:type="dxa"/>
          </w:tcPr>
          <w:p w:rsidR="009646B0" w:rsidRPr="000238A7" w:rsidP="004863F4" w14:paraId="6A2727B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7B2ACF1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~93 reporters annually.</w:t>
            </w:r>
          </w:p>
        </w:tc>
      </w:tr>
      <w:tr w14:paraId="244D9F86" w14:textId="77777777" w:rsidTr="004863F4">
        <w:tblPrEx>
          <w:tblW w:w="12937" w:type="dxa"/>
          <w:tblInd w:w="108" w:type="dxa"/>
          <w:tblLayout w:type="fixed"/>
          <w:tblLook w:val="04A0"/>
        </w:tblPrEx>
        <w:tc>
          <w:tcPr>
            <w:tcW w:w="1526" w:type="dxa"/>
            <w:vMerge/>
          </w:tcPr>
          <w:p w:rsidR="009646B0" w:rsidRPr="000238A7" w:rsidP="004863F4" w14:paraId="2A4A8B0C" w14:textId="77777777">
            <w:pPr>
              <w:pStyle w:val="BodyText"/>
              <w:spacing w:after="0"/>
              <w:rPr>
                <w:rFonts w:asciiTheme="minorHAnsi" w:hAnsiTheme="minorHAnsi" w:cstheme="minorHAnsi"/>
                <w:sz w:val="20"/>
                <w:szCs w:val="20"/>
              </w:rPr>
            </w:pPr>
          </w:p>
        </w:tc>
        <w:tc>
          <w:tcPr>
            <w:tcW w:w="2051" w:type="dxa"/>
          </w:tcPr>
          <w:p w:rsidR="009646B0" w:rsidRPr="000238A7" w:rsidP="004863F4" w14:paraId="08C51B1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98.306(q)(3)</w:t>
            </w:r>
          </w:p>
        </w:tc>
        <w:tc>
          <w:tcPr>
            <w:tcW w:w="3330" w:type="dxa"/>
          </w:tcPr>
          <w:p w:rsidR="009646B0" w:rsidRPr="000238A7" w:rsidP="004863F4" w14:paraId="0CACD8A9" w14:textId="77777777">
            <w:pPr>
              <w:pStyle w:val="BodyText"/>
              <w:spacing w:after="0"/>
              <w:rPr>
                <w:rFonts w:asciiTheme="minorHAnsi" w:hAnsiTheme="minorHAnsi" w:cstheme="minorHAnsi"/>
                <w:sz w:val="20"/>
                <w:szCs w:val="20"/>
              </w:rPr>
            </w:pPr>
            <w:r w:rsidRPr="000238A7">
              <w:rPr>
                <w:rFonts w:asciiTheme="minorHAnsi" w:eastAsiaTheme="minorHAnsi" w:hAnsiTheme="minorHAnsi" w:cstheme="minorHAnsi"/>
                <w:sz w:val="20"/>
                <w:szCs w:val="20"/>
              </w:rPr>
              <w:t>The number of reportable insulating gas containing pieces of equipment in each of the following equipment category: Retired hermetically sealed-pressure switchgear during the year.</w:t>
            </w:r>
          </w:p>
        </w:tc>
        <w:tc>
          <w:tcPr>
            <w:tcW w:w="2340" w:type="dxa"/>
          </w:tcPr>
          <w:p w:rsidR="009646B0" w:rsidRPr="000238A7" w:rsidP="004863F4" w14:paraId="5E0091A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56E1823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~93 reporters annually.</w:t>
            </w:r>
          </w:p>
        </w:tc>
      </w:tr>
      <w:tr w14:paraId="770305EC" w14:textId="77777777" w:rsidTr="004863F4">
        <w:tblPrEx>
          <w:tblW w:w="12937" w:type="dxa"/>
          <w:tblInd w:w="108" w:type="dxa"/>
          <w:tblLayout w:type="fixed"/>
          <w:tblLook w:val="04A0"/>
        </w:tblPrEx>
        <w:tc>
          <w:tcPr>
            <w:tcW w:w="1526" w:type="dxa"/>
            <w:vMerge/>
          </w:tcPr>
          <w:p w:rsidR="009646B0" w:rsidRPr="000238A7" w:rsidP="004863F4" w14:paraId="50ED90D9" w14:textId="77777777">
            <w:pPr>
              <w:pStyle w:val="BodyText"/>
              <w:spacing w:after="0"/>
              <w:rPr>
                <w:rFonts w:asciiTheme="minorHAnsi" w:hAnsiTheme="minorHAnsi" w:cstheme="minorHAnsi"/>
                <w:sz w:val="20"/>
                <w:szCs w:val="20"/>
              </w:rPr>
            </w:pPr>
          </w:p>
        </w:tc>
        <w:tc>
          <w:tcPr>
            <w:tcW w:w="2051" w:type="dxa"/>
          </w:tcPr>
          <w:p w:rsidR="009646B0" w:rsidRPr="000238A7" w:rsidP="004863F4" w14:paraId="44DAC56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98.306(q)(4)</w:t>
            </w:r>
          </w:p>
        </w:tc>
        <w:tc>
          <w:tcPr>
            <w:tcW w:w="3330" w:type="dxa"/>
          </w:tcPr>
          <w:p w:rsidR="009646B0" w:rsidRPr="000238A7" w:rsidP="004863F4" w14:paraId="17D2C6F9" w14:textId="77777777">
            <w:pPr>
              <w:pStyle w:val="BodyText"/>
              <w:spacing w:after="0"/>
              <w:rPr>
                <w:rFonts w:asciiTheme="minorHAnsi" w:hAnsiTheme="minorHAnsi" w:cstheme="minorHAnsi"/>
                <w:sz w:val="20"/>
                <w:szCs w:val="20"/>
              </w:rPr>
            </w:pPr>
            <w:r w:rsidRPr="000238A7">
              <w:rPr>
                <w:rFonts w:asciiTheme="minorHAnsi" w:eastAsiaTheme="minorHAnsi" w:hAnsiTheme="minorHAnsi" w:cstheme="minorHAnsi"/>
                <w:sz w:val="20"/>
                <w:szCs w:val="20"/>
              </w:rPr>
              <w:t>The number of reportable insulating gas containing pieces of equipment in each of the following equipment category: Retired equipment other than hermetically sealed-pressure switchgear during the year.</w:t>
            </w:r>
          </w:p>
        </w:tc>
        <w:tc>
          <w:tcPr>
            <w:tcW w:w="2340" w:type="dxa"/>
          </w:tcPr>
          <w:p w:rsidR="009646B0" w:rsidRPr="000238A7" w:rsidP="004863F4" w14:paraId="0C2802C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75FFF26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~93 reporters annually.</w:t>
            </w:r>
          </w:p>
        </w:tc>
      </w:tr>
      <w:tr w14:paraId="5575E96D" w14:textId="77777777" w:rsidTr="004863F4">
        <w:tblPrEx>
          <w:tblW w:w="12937" w:type="dxa"/>
          <w:tblInd w:w="108" w:type="dxa"/>
          <w:tblLayout w:type="fixed"/>
          <w:tblLook w:val="04A0"/>
        </w:tblPrEx>
        <w:tc>
          <w:tcPr>
            <w:tcW w:w="1526" w:type="dxa"/>
            <w:vMerge w:val="restart"/>
          </w:tcPr>
          <w:p w:rsidR="009646B0" w:rsidRPr="000238A7" w:rsidP="004863F4" w14:paraId="4A072B0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DD - Electrical Transmission and Distribution Equipment Use</w:t>
            </w:r>
          </w:p>
        </w:tc>
        <w:tc>
          <w:tcPr>
            <w:tcW w:w="2051" w:type="dxa"/>
          </w:tcPr>
          <w:p w:rsidR="009646B0" w:rsidRPr="000238A7" w:rsidP="004863F4" w14:paraId="100B05A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98.306(r)(1)</w:t>
            </w:r>
          </w:p>
        </w:tc>
        <w:tc>
          <w:tcPr>
            <w:tcW w:w="3330" w:type="dxa"/>
          </w:tcPr>
          <w:p w:rsidR="009646B0" w:rsidRPr="000238A7" w:rsidP="004863F4" w14:paraId="11E4F4D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The total nameplate capacity values, summed across each group, most recently assigned by the electrical equipment manufacturer(s) to all new equipment whose nameplate capacity values were measured by the user under this subpart and for which the user adopted the user-measured </w:t>
            </w:r>
            <w:r w:rsidRPr="000238A7">
              <w:rPr>
                <w:rFonts w:asciiTheme="minorHAnsi" w:hAnsiTheme="minorHAnsi" w:cstheme="minorHAnsi"/>
                <w:sz w:val="20"/>
                <w:szCs w:val="20"/>
              </w:rPr>
              <w:t>nameplate capacity value during the year.</w:t>
            </w:r>
          </w:p>
        </w:tc>
        <w:tc>
          <w:tcPr>
            <w:tcW w:w="2340" w:type="dxa"/>
          </w:tcPr>
          <w:p w:rsidR="009646B0" w:rsidRPr="000238A7" w:rsidP="004863F4" w14:paraId="1792C5A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New </w:t>
            </w:r>
          </w:p>
        </w:tc>
        <w:tc>
          <w:tcPr>
            <w:tcW w:w="3690" w:type="dxa"/>
          </w:tcPr>
          <w:p w:rsidR="009646B0" w:rsidRPr="000238A7" w:rsidP="004863F4" w14:paraId="74B4C1A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reporters who opt to measure the nameplate capacity of equipment. For the purposes of estimating burden, EPA has assumed this will affect 20% or ~19 reporters annually.</w:t>
            </w:r>
          </w:p>
        </w:tc>
      </w:tr>
      <w:tr w14:paraId="1D898375" w14:textId="77777777" w:rsidTr="004863F4">
        <w:tblPrEx>
          <w:tblW w:w="12937" w:type="dxa"/>
          <w:tblInd w:w="108" w:type="dxa"/>
          <w:tblLayout w:type="fixed"/>
          <w:tblLook w:val="04A0"/>
        </w:tblPrEx>
        <w:tc>
          <w:tcPr>
            <w:tcW w:w="1526" w:type="dxa"/>
            <w:vMerge/>
          </w:tcPr>
          <w:p w:rsidR="009646B0" w:rsidRPr="000238A7" w:rsidP="004863F4" w14:paraId="2788D8A2" w14:textId="77777777">
            <w:pPr>
              <w:pStyle w:val="BodyText"/>
              <w:spacing w:after="0"/>
              <w:rPr>
                <w:rFonts w:asciiTheme="minorHAnsi" w:hAnsiTheme="minorHAnsi" w:cstheme="minorHAnsi"/>
                <w:sz w:val="20"/>
                <w:szCs w:val="20"/>
              </w:rPr>
            </w:pPr>
          </w:p>
        </w:tc>
        <w:tc>
          <w:tcPr>
            <w:tcW w:w="2051" w:type="dxa"/>
          </w:tcPr>
          <w:p w:rsidR="009646B0" w:rsidRPr="000238A7" w:rsidP="004863F4" w14:paraId="47EB971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98.306(r)(2)</w:t>
            </w:r>
          </w:p>
        </w:tc>
        <w:tc>
          <w:tcPr>
            <w:tcW w:w="3330" w:type="dxa"/>
          </w:tcPr>
          <w:p w:rsidR="009646B0" w:rsidRPr="000238A7" w:rsidP="004863F4" w14:paraId="341132B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The total nameplate capacity values, summed across each group, most recently assigned by the electrical equipment manufacturer(s) to all retiring equipment whose nameplate capacity values were measured by the user under this subpart and for which the user adopted the user-measured nameplate capacity value during the year.</w:t>
            </w:r>
          </w:p>
        </w:tc>
        <w:tc>
          <w:tcPr>
            <w:tcW w:w="2340" w:type="dxa"/>
          </w:tcPr>
          <w:p w:rsidR="009646B0" w:rsidRPr="000238A7" w:rsidP="004863F4" w14:paraId="12D26D2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New </w:t>
            </w:r>
          </w:p>
        </w:tc>
        <w:tc>
          <w:tcPr>
            <w:tcW w:w="3690" w:type="dxa"/>
          </w:tcPr>
          <w:p w:rsidR="009646B0" w:rsidRPr="000238A7" w:rsidP="004863F4" w14:paraId="2DB1EAC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reporters who opt to measure the nameplate capacity of equipment. For the purposes of estimating burden, EPA has assumed this will affect 20% or ~19 reporters annually.</w:t>
            </w:r>
          </w:p>
        </w:tc>
      </w:tr>
      <w:tr w14:paraId="771C611E" w14:textId="77777777" w:rsidTr="004863F4">
        <w:tblPrEx>
          <w:tblW w:w="12937" w:type="dxa"/>
          <w:tblInd w:w="108" w:type="dxa"/>
          <w:tblLayout w:type="fixed"/>
          <w:tblLook w:val="04A0"/>
        </w:tblPrEx>
        <w:tc>
          <w:tcPr>
            <w:tcW w:w="1526" w:type="dxa"/>
            <w:vMerge/>
          </w:tcPr>
          <w:p w:rsidR="009646B0" w:rsidRPr="000238A7" w:rsidP="004863F4" w14:paraId="3F84CFD5" w14:textId="77777777">
            <w:pPr>
              <w:pStyle w:val="BodyText"/>
              <w:spacing w:after="0"/>
              <w:rPr>
                <w:rFonts w:asciiTheme="minorHAnsi" w:hAnsiTheme="minorHAnsi" w:cstheme="minorHAnsi"/>
                <w:sz w:val="20"/>
                <w:szCs w:val="20"/>
              </w:rPr>
            </w:pPr>
          </w:p>
        </w:tc>
        <w:tc>
          <w:tcPr>
            <w:tcW w:w="2051" w:type="dxa"/>
          </w:tcPr>
          <w:p w:rsidR="009646B0" w:rsidRPr="000238A7" w:rsidP="004863F4" w14:paraId="6525FE4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98.306(s)(1)</w:t>
            </w:r>
          </w:p>
        </w:tc>
        <w:tc>
          <w:tcPr>
            <w:tcW w:w="3330" w:type="dxa"/>
          </w:tcPr>
          <w:p w:rsidR="009646B0" w:rsidRPr="000238A7" w:rsidP="004863F4" w14:paraId="7D99238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The total nameplate capacity values, summed across each group, measured by the electrical equipment user for all new equipment whose nameplate capacity values were measured by the user under this subpart and for which the user adopted the user-measured nameplate capacity value during the year.</w:t>
            </w:r>
          </w:p>
        </w:tc>
        <w:tc>
          <w:tcPr>
            <w:tcW w:w="2340" w:type="dxa"/>
          </w:tcPr>
          <w:p w:rsidR="009646B0" w:rsidRPr="000238A7" w:rsidP="004863F4" w14:paraId="76F549F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New </w:t>
            </w:r>
          </w:p>
        </w:tc>
        <w:tc>
          <w:tcPr>
            <w:tcW w:w="3690" w:type="dxa"/>
          </w:tcPr>
          <w:p w:rsidR="009646B0" w:rsidRPr="000238A7" w:rsidP="004863F4" w14:paraId="3B24354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reporters who opt to measure the nameplate capacity of equipment. For the purposes of estimating burden, EPA has assumed this will affect 20% or ~19 reporters annually.</w:t>
            </w:r>
          </w:p>
        </w:tc>
      </w:tr>
      <w:tr w14:paraId="52C8340A" w14:textId="77777777" w:rsidTr="004863F4">
        <w:tblPrEx>
          <w:tblW w:w="12937" w:type="dxa"/>
          <w:tblInd w:w="108" w:type="dxa"/>
          <w:tblLayout w:type="fixed"/>
          <w:tblLook w:val="04A0"/>
        </w:tblPrEx>
        <w:tc>
          <w:tcPr>
            <w:tcW w:w="1526" w:type="dxa"/>
            <w:vMerge/>
          </w:tcPr>
          <w:p w:rsidR="009646B0" w:rsidRPr="000238A7" w:rsidP="004863F4" w14:paraId="16C6BFED" w14:textId="77777777">
            <w:pPr>
              <w:pStyle w:val="BodyText"/>
              <w:spacing w:after="0"/>
              <w:rPr>
                <w:rFonts w:asciiTheme="minorHAnsi" w:hAnsiTheme="minorHAnsi" w:cstheme="minorHAnsi"/>
                <w:sz w:val="20"/>
                <w:szCs w:val="20"/>
              </w:rPr>
            </w:pPr>
          </w:p>
        </w:tc>
        <w:tc>
          <w:tcPr>
            <w:tcW w:w="2051" w:type="dxa"/>
          </w:tcPr>
          <w:p w:rsidR="009646B0" w:rsidRPr="000238A7" w:rsidP="004863F4" w14:paraId="61BD9CA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98.306(s)(2)</w:t>
            </w:r>
          </w:p>
        </w:tc>
        <w:tc>
          <w:tcPr>
            <w:tcW w:w="3330" w:type="dxa"/>
          </w:tcPr>
          <w:p w:rsidR="009646B0" w:rsidRPr="000238A7" w:rsidP="004863F4" w14:paraId="4230477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The total nameplate capacity values, summed across each group, measured by the electrical equipment user for all retiring equipment whose nameplate capacity values were measured by the user under this subpart and for which the user adopted the user-measured nameplate capacity value during the year.</w:t>
            </w:r>
          </w:p>
        </w:tc>
        <w:tc>
          <w:tcPr>
            <w:tcW w:w="2340" w:type="dxa"/>
          </w:tcPr>
          <w:p w:rsidR="009646B0" w:rsidRPr="000238A7" w:rsidP="004863F4" w14:paraId="5132063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New </w:t>
            </w:r>
          </w:p>
        </w:tc>
        <w:tc>
          <w:tcPr>
            <w:tcW w:w="3690" w:type="dxa"/>
          </w:tcPr>
          <w:p w:rsidR="009646B0" w:rsidRPr="000238A7" w:rsidP="004863F4" w14:paraId="0725DE2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reporters who opt to measure the nameplate capacity of equipment. For the purposes of estimating burden, EPA has assumed this will affect 20% or ~19 reporters annually.</w:t>
            </w:r>
          </w:p>
        </w:tc>
      </w:tr>
      <w:tr w14:paraId="1309D62D" w14:textId="77777777" w:rsidTr="004863F4">
        <w:tblPrEx>
          <w:tblW w:w="12937" w:type="dxa"/>
          <w:tblInd w:w="108" w:type="dxa"/>
          <w:tblLayout w:type="fixed"/>
          <w:tblLook w:val="04A0"/>
        </w:tblPrEx>
        <w:tc>
          <w:tcPr>
            <w:tcW w:w="1526" w:type="dxa"/>
            <w:vMerge w:val="restart"/>
          </w:tcPr>
          <w:p w:rsidR="009646B0" w:rsidRPr="000238A7" w:rsidP="004863F4" w14:paraId="6581547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DD - Electrical Transmission and Distribution Equipment Use</w:t>
            </w:r>
          </w:p>
        </w:tc>
        <w:tc>
          <w:tcPr>
            <w:tcW w:w="2051" w:type="dxa"/>
          </w:tcPr>
          <w:p w:rsidR="009646B0" w:rsidRPr="000238A7" w:rsidP="004863F4" w14:paraId="2D9294E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98.306(t)</w:t>
            </w:r>
          </w:p>
        </w:tc>
        <w:tc>
          <w:tcPr>
            <w:tcW w:w="3330" w:type="dxa"/>
          </w:tcPr>
          <w:p w:rsidR="009646B0" w:rsidRPr="000238A7" w:rsidP="004863F4" w14:paraId="6B68224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For each unique insulating gas reported in paragraphs (a), (d) through (l), and (n) of this section, an ID number or other appropriate descriptor.</w:t>
            </w:r>
          </w:p>
        </w:tc>
        <w:tc>
          <w:tcPr>
            <w:tcW w:w="2340" w:type="dxa"/>
          </w:tcPr>
          <w:p w:rsidR="009646B0" w:rsidRPr="000238A7" w:rsidP="004863F4" w14:paraId="14F9253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351573D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~93 reporters annually.</w:t>
            </w:r>
          </w:p>
        </w:tc>
      </w:tr>
      <w:tr w14:paraId="4BC8123D" w14:textId="77777777" w:rsidTr="004863F4">
        <w:tblPrEx>
          <w:tblW w:w="12937" w:type="dxa"/>
          <w:tblInd w:w="108" w:type="dxa"/>
          <w:tblLayout w:type="fixed"/>
          <w:tblLook w:val="04A0"/>
        </w:tblPrEx>
        <w:tc>
          <w:tcPr>
            <w:tcW w:w="1526" w:type="dxa"/>
            <w:vMerge/>
          </w:tcPr>
          <w:p w:rsidR="009646B0" w:rsidRPr="000238A7" w:rsidP="004863F4" w14:paraId="7B6A325E" w14:textId="77777777">
            <w:pPr>
              <w:pStyle w:val="BodyText"/>
              <w:spacing w:after="0"/>
              <w:rPr>
                <w:rFonts w:asciiTheme="minorHAnsi" w:hAnsiTheme="minorHAnsi" w:cstheme="minorHAnsi"/>
                <w:sz w:val="20"/>
                <w:szCs w:val="20"/>
              </w:rPr>
            </w:pPr>
          </w:p>
        </w:tc>
        <w:tc>
          <w:tcPr>
            <w:tcW w:w="2051" w:type="dxa"/>
          </w:tcPr>
          <w:p w:rsidR="009646B0" w:rsidRPr="000238A7" w:rsidP="004863F4" w14:paraId="341B3EE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98.306(u)</w:t>
            </w:r>
          </w:p>
        </w:tc>
        <w:tc>
          <w:tcPr>
            <w:tcW w:w="3330" w:type="dxa"/>
          </w:tcPr>
          <w:p w:rsidR="009646B0" w:rsidRPr="000238A7" w:rsidP="004863F4" w14:paraId="1449F0D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For each ID number or descriptor reported in paragraph (q), the name</w:t>
            </w:r>
            <w:r w:rsidRPr="000238A7">
              <w:rPr>
                <w:rFonts w:asciiTheme="minorHAnsi" w:hAnsiTheme="minorHAnsi" w:cstheme="minorHAnsi"/>
                <w:sz w:val="20"/>
                <w:szCs w:val="20"/>
                <w:u w:val="single"/>
              </w:rPr>
              <w:t> (as required in § 98.3(c)(4)(iii)(G)(1))</w:t>
            </w:r>
            <w:r w:rsidRPr="000238A7">
              <w:rPr>
                <w:rFonts w:asciiTheme="minorHAnsi" w:hAnsiTheme="minorHAnsi" w:cstheme="minorHAnsi"/>
                <w:sz w:val="20"/>
                <w:szCs w:val="20"/>
              </w:rPr>
              <w:t xml:space="preserve"> and weight percent of each fluorinated gas in the insulating gas.</w:t>
            </w:r>
          </w:p>
        </w:tc>
        <w:tc>
          <w:tcPr>
            <w:tcW w:w="2340" w:type="dxa"/>
          </w:tcPr>
          <w:p w:rsidR="009646B0" w:rsidRPr="000238A7" w:rsidP="004863F4" w14:paraId="73A8A99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287FD98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~93 reporters annually.</w:t>
            </w:r>
          </w:p>
        </w:tc>
      </w:tr>
      <w:tr w14:paraId="379B42CA" w14:textId="77777777" w:rsidTr="004863F4">
        <w:tblPrEx>
          <w:tblW w:w="12937" w:type="dxa"/>
          <w:tblInd w:w="108" w:type="dxa"/>
          <w:tblLayout w:type="fixed"/>
          <w:tblLook w:val="04A0"/>
        </w:tblPrEx>
        <w:tc>
          <w:tcPr>
            <w:tcW w:w="1526" w:type="dxa"/>
            <w:vMerge w:val="restart"/>
          </w:tcPr>
          <w:p w:rsidR="009646B0" w:rsidRPr="000238A7" w:rsidP="004863F4" w14:paraId="557088F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Subpart GG - Zinc Production</w:t>
            </w:r>
          </w:p>
        </w:tc>
        <w:tc>
          <w:tcPr>
            <w:tcW w:w="2051" w:type="dxa"/>
          </w:tcPr>
          <w:p w:rsidR="009646B0" w:rsidRPr="000238A7" w:rsidP="004863F4" w14:paraId="594397F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98.336(a)(6)</w:t>
            </w:r>
          </w:p>
        </w:tc>
        <w:tc>
          <w:tcPr>
            <w:tcW w:w="3330" w:type="dxa"/>
          </w:tcPr>
          <w:p w:rsidR="009646B0" w:rsidRPr="000238A7" w:rsidP="004863F4" w14:paraId="112AB57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a CEMS is used, report the total amount of electric arc furnace dust annually consumed by all Waelz kilns at the facility (tons).</w:t>
            </w:r>
          </w:p>
        </w:tc>
        <w:tc>
          <w:tcPr>
            <w:tcW w:w="2340" w:type="dxa"/>
          </w:tcPr>
          <w:p w:rsidR="009646B0" w:rsidRPr="000238A7" w:rsidP="004863F4" w14:paraId="2E7FF63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7E16467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There are no reporters using the CEMS methodology under subpart GG, therefore this data element will affect 0 reporters annually.</w:t>
            </w:r>
          </w:p>
        </w:tc>
      </w:tr>
      <w:tr w14:paraId="39FD1F62" w14:textId="77777777" w:rsidTr="004863F4">
        <w:tblPrEx>
          <w:tblW w:w="12937" w:type="dxa"/>
          <w:tblInd w:w="108" w:type="dxa"/>
          <w:tblLayout w:type="fixed"/>
          <w:tblLook w:val="04A0"/>
        </w:tblPrEx>
        <w:tc>
          <w:tcPr>
            <w:tcW w:w="1526" w:type="dxa"/>
            <w:vMerge/>
          </w:tcPr>
          <w:p w:rsidR="009646B0" w:rsidRPr="000238A7" w:rsidP="004863F4" w14:paraId="5A5E1254" w14:textId="77777777">
            <w:pPr>
              <w:pStyle w:val="BodyText"/>
              <w:spacing w:after="0"/>
              <w:rPr>
                <w:rFonts w:asciiTheme="minorHAnsi" w:hAnsiTheme="minorHAnsi" w:cstheme="minorHAnsi"/>
                <w:sz w:val="20"/>
                <w:szCs w:val="20"/>
              </w:rPr>
            </w:pPr>
          </w:p>
        </w:tc>
        <w:tc>
          <w:tcPr>
            <w:tcW w:w="2051" w:type="dxa"/>
          </w:tcPr>
          <w:p w:rsidR="009646B0" w:rsidRPr="000238A7" w:rsidP="004863F4" w14:paraId="65F1FD4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98.336(b)(6)</w:t>
            </w:r>
          </w:p>
        </w:tc>
        <w:tc>
          <w:tcPr>
            <w:tcW w:w="3330" w:type="dxa"/>
          </w:tcPr>
          <w:p w:rsidR="009646B0" w:rsidRPr="000238A7" w:rsidP="004863F4" w14:paraId="0F8E61B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a CEMS is not used, report the total amount of electric arc furnace dust annually consumed by all Waelz kilns at the facility (tons).</w:t>
            </w:r>
          </w:p>
        </w:tc>
        <w:tc>
          <w:tcPr>
            <w:tcW w:w="2340" w:type="dxa"/>
          </w:tcPr>
          <w:p w:rsidR="009646B0" w:rsidRPr="000238A7" w:rsidP="004863F4" w14:paraId="64466F0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7D1F6F4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reporters using the non-CEMS methodology and will affect ~5 reporters annually.</w:t>
            </w:r>
          </w:p>
        </w:tc>
      </w:tr>
      <w:tr w14:paraId="1A2E7038" w14:textId="77777777" w:rsidTr="004863F4">
        <w:tblPrEx>
          <w:tblW w:w="12937" w:type="dxa"/>
          <w:tblInd w:w="108" w:type="dxa"/>
          <w:tblLayout w:type="fixed"/>
          <w:tblLook w:val="04A0"/>
        </w:tblPrEx>
        <w:tc>
          <w:tcPr>
            <w:tcW w:w="1526" w:type="dxa"/>
            <w:vMerge w:val="restart"/>
          </w:tcPr>
          <w:p w:rsidR="009646B0" w:rsidRPr="000238A7" w:rsidP="004863F4" w14:paraId="3EA9C0C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Subpart HH - MSW Landfills</w:t>
            </w:r>
          </w:p>
        </w:tc>
        <w:tc>
          <w:tcPr>
            <w:tcW w:w="2051" w:type="dxa"/>
          </w:tcPr>
          <w:p w:rsidR="009646B0" w:rsidRPr="000238A7" w:rsidP="004863F4" w14:paraId="115470E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98.346(h)</w:t>
            </w:r>
          </w:p>
        </w:tc>
        <w:tc>
          <w:tcPr>
            <w:tcW w:w="3330" w:type="dxa"/>
          </w:tcPr>
          <w:p w:rsidR="009646B0" w:rsidRPr="000238A7" w:rsidP="004863F4" w14:paraId="6F7BF7A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An indication of the applicability of 40 CFR part 60 or part 62 requirements to the landfill</w:t>
            </w:r>
            <w:r w:rsidRPr="000238A7">
              <w:rPr>
                <w:rFonts w:asciiTheme="minorHAnsi" w:hAnsiTheme="minorHAnsi" w:cstheme="minorHAnsi"/>
              </w:rPr>
              <w:t xml:space="preserve">, </w:t>
            </w:r>
            <w:r w:rsidRPr="000238A7">
              <w:rPr>
                <w:rFonts w:asciiTheme="minorHAnsi" w:hAnsiTheme="minorHAnsi" w:cstheme="minorHAnsi"/>
                <w:sz w:val="20"/>
                <w:szCs w:val="20"/>
              </w:rPr>
              <w:t xml:space="preserve">40 CFR part 60, subpart WWW, 40 CFR part 60, subpart XXX, approved state plan implementing 40 CFR part 60, subparts Cc or Cf, federal </w:t>
            </w:r>
            <w:r w:rsidRPr="000238A7">
              <w:rPr>
                <w:rFonts w:asciiTheme="minorHAnsi" w:hAnsiTheme="minorHAnsi" w:cstheme="minorHAnsi"/>
                <w:sz w:val="20"/>
                <w:szCs w:val="20"/>
              </w:rPr>
              <w:t>plan as implemented at 40 CFR part 62, subparts GGG or OOO, not subject to 40 CFR part 60 or part 62 municipal solid waste landfill rules).</w:t>
            </w:r>
          </w:p>
        </w:tc>
        <w:tc>
          <w:tcPr>
            <w:tcW w:w="2340" w:type="dxa"/>
          </w:tcPr>
          <w:p w:rsidR="009646B0" w:rsidRPr="000238A7" w:rsidP="004863F4" w14:paraId="01D8A22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6ED2706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affects all landfills or ~1,123 reporters annually.</w:t>
            </w:r>
          </w:p>
        </w:tc>
      </w:tr>
      <w:tr w14:paraId="7A71A0CE" w14:textId="77777777" w:rsidTr="004863F4">
        <w:tblPrEx>
          <w:tblW w:w="12937" w:type="dxa"/>
          <w:tblInd w:w="108" w:type="dxa"/>
          <w:tblLayout w:type="fixed"/>
          <w:tblLook w:val="04A0"/>
        </w:tblPrEx>
        <w:tc>
          <w:tcPr>
            <w:tcW w:w="1526" w:type="dxa"/>
            <w:vMerge/>
          </w:tcPr>
          <w:p w:rsidR="009646B0" w:rsidRPr="000238A7" w:rsidP="004863F4" w14:paraId="0293CE44" w14:textId="77777777">
            <w:pPr>
              <w:pStyle w:val="BodyText"/>
              <w:spacing w:after="0"/>
              <w:rPr>
                <w:rFonts w:asciiTheme="minorHAnsi" w:hAnsiTheme="minorHAnsi" w:cstheme="minorHAnsi"/>
                <w:sz w:val="20"/>
                <w:szCs w:val="20"/>
              </w:rPr>
            </w:pPr>
          </w:p>
        </w:tc>
        <w:tc>
          <w:tcPr>
            <w:tcW w:w="2051" w:type="dxa"/>
          </w:tcPr>
          <w:p w:rsidR="009646B0" w:rsidRPr="000238A7" w:rsidP="004863F4" w14:paraId="7B5CC9D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98.346(h)</w:t>
            </w:r>
          </w:p>
        </w:tc>
        <w:tc>
          <w:tcPr>
            <w:tcW w:w="3330" w:type="dxa"/>
          </w:tcPr>
          <w:p w:rsidR="009646B0" w:rsidRPr="000238A7" w:rsidP="004863F4" w14:paraId="31B80D5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the landfill is subject to a 40 CFR part 60 or part 62 municipal solid waste landfill rule, an indication of whether the landfill gas collection system is required under 40 CFR 60 or part 62.</w:t>
            </w:r>
          </w:p>
        </w:tc>
        <w:tc>
          <w:tcPr>
            <w:tcW w:w="2340" w:type="dxa"/>
          </w:tcPr>
          <w:p w:rsidR="009646B0" w:rsidRPr="000238A7" w:rsidP="004863F4" w14:paraId="7CE53B2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011AC12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affects facilities reporting to subpart HH who also meet the design criteria for landfills subject to 40 CFR part 60 landfill NSPS, EG, or FP rule and will affect ~1,123 reporters annually.</w:t>
            </w:r>
          </w:p>
        </w:tc>
      </w:tr>
      <w:tr w14:paraId="20166EF3" w14:textId="77777777" w:rsidTr="004863F4">
        <w:tblPrEx>
          <w:tblW w:w="12937" w:type="dxa"/>
          <w:tblInd w:w="108" w:type="dxa"/>
          <w:tblLayout w:type="fixed"/>
          <w:tblLook w:val="04A0"/>
        </w:tblPrEx>
        <w:tc>
          <w:tcPr>
            <w:tcW w:w="1526" w:type="dxa"/>
            <w:vMerge/>
          </w:tcPr>
          <w:p w:rsidR="009646B0" w:rsidRPr="000238A7" w:rsidP="004863F4" w14:paraId="7432E749" w14:textId="77777777">
            <w:pPr>
              <w:pStyle w:val="BodyText"/>
              <w:spacing w:after="0"/>
              <w:rPr>
                <w:rFonts w:asciiTheme="minorHAnsi" w:hAnsiTheme="minorHAnsi" w:cstheme="minorHAnsi"/>
                <w:sz w:val="20"/>
                <w:szCs w:val="20"/>
              </w:rPr>
            </w:pPr>
          </w:p>
        </w:tc>
        <w:tc>
          <w:tcPr>
            <w:tcW w:w="2051" w:type="dxa"/>
          </w:tcPr>
          <w:p w:rsidR="009646B0" w:rsidRPr="000238A7" w:rsidP="004863F4" w14:paraId="5FDFC8D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98.346(j)(5)</w:t>
            </w:r>
          </w:p>
        </w:tc>
        <w:tc>
          <w:tcPr>
            <w:tcW w:w="3330" w:type="dxa"/>
          </w:tcPr>
          <w:p w:rsidR="009646B0" w:rsidRPr="000238A7" w:rsidP="004863F4" w14:paraId="2728BA8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For landfills with gas collection systems, the number of gas collection systems at the landfill facility. </w:t>
            </w:r>
          </w:p>
        </w:tc>
        <w:tc>
          <w:tcPr>
            <w:tcW w:w="2340" w:type="dxa"/>
          </w:tcPr>
          <w:p w:rsidR="009646B0" w:rsidRPr="000238A7" w:rsidP="004863F4" w14:paraId="6089498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0DD7850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affects reporters with gas collection systems and will affect ~840 existing reporters + 6 new reporters annually.</w:t>
            </w:r>
          </w:p>
        </w:tc>
      </w:tr>
      <w:tr w14:paraId="6F2D33A4" w14:textId="77777777" w:rsidTr="004863F4">
        <w:tblPrEx>
          <w:tblW w:w="12937" w:type="dxa"/>
          <w:tblInd w:w="108" w:type="dxa"/>
          <w:tblLayout w:type="fixed"/>
          <w:tblLook w:val="04A0"/>
        </w:tblPrEx>
        <w:tc>
          <w:tcPr>
            <w:tcW w:w="1526" w:type="dxa"/>
            <w:vMerge/>
          </w:tcPr>
          <w:p w:rsidR="009646B0" w:rsidRPr="000238A7" w:rsidP="004863F4" w14:paraId="17AB3639" w14:textId="77777777">
            <w:pPr>
              <w:pStyle w:val="BodyText"/>
              <w:spacing w:after="0"/>
              <w:rPr>
                <w:rFonts w:asciiTheme="minorHAnsi" w:hAnsiTheme="minorHAnsi" w:cstheme="minorHAnsi"/>
                <w:sz w:val="20"/>
                <w:szCs w:val="20"/>
              </w:rPr>
            </w:pPr>
          </w:p>
        </w:tc>
        <w:tc>
          <w:tcPr>
            <w:tcW w:w="2051" w:type="dxa"/>
          </w:tcPr>
          <w:p w:rsidR="009646B0" w:rsidRPr="000238A7" w:rsidP="004863F4" w14:paraId="1E4BE94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98.346(j)(6)(</w:t>
            </w:r>
            <w:r w:rsidRPr="000238A7">
              <w:rPr>
                <w:rFonts w:asciiTheme="minorHAnsi" w:hAnsiTheme="minorHAnsi" w:cstheme="minorHAnsi"/>
                <w:sz w:val="20"/>
                <w:szCs w:val="20"/>
              </w:rPr>
              <w:t>i</w:t>
            </w:r>
            <w:r w:rsidRPr="000238A7">
              <w:rPr>
                <w:rFonts w:asciiTheme="minorHAnsi" w:hAnsiTheme="minorHAnsi" w:cstheme="minorHAnsi"/>
                <w:sz w:val="20"/>
                <w:szCs w:val="20"/>
              </w:rPr>
              <w:t>)</w:t>
            </w:r>
          </w:p>
        </w:tc>
        <w:tc>
          <w:tcPr>
            <w:tcW w:w="3330" w:type="dxa"/>
          </w:tcPr>
          <w:p w:rsidR="009646B0" w:rsidRPr="000238A7" w:rsidP="004863F4" w14:paraId="6141D21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For landfills with gas collection systems, for each gas collection system at the facility, a unique name or ID number for the gas collection system.</w:t>
            </w:r>
          </w:p>
        </w:tc>
        <w:tc>
          <w:tcPr>
            <w:tcW w:w="2340" w:type="dxa"/>
          </w:tcPr>
          <w:p w:rsidR="009646B0" w:rsidRPr="000238A7" w:rsidP="004863F4" w14:paraId="352683A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2195140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affects reporters with gas collection systems and will affect ~840 existing reporters + 6 new reporters annually.</w:t>
            </w:r>
          </w:p>
        </w:tc>
      </w:tr>
      <w:tr w14:paraId="7363E68E" w14:textId="77777777" w:rsidTr="004863F4">
        <w:tblPrEx>
          <w:tblW w:w="12937" w:type="dxa"/>
          <w:tblInd w:w="108" w:type="dxa"/>
          <w:tblLayout w:type="fixed"/>
          <w:tblLook w:val="04A0"/>
        </w:tblPrEx>
        <w:tc>
          <w:tcPr>
            <w:tcW w:w="1526" w:type="dxa"/>
            <w:vMerge w:val="restart"/>
          </w:tcPr>
          <w:p w:rsidR="009646B0" w:rsidRPr="000238A7" w:rsidP="004863F4" w14:paraId="34230D2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Subpart HH - MSW Landfills</w:t>
            </w:r>
          </w:p>
        </w:tc>
        <w:tc>
          <w:tcPr>
            <w:tcW w:w="2051" w:type="dxa"/>
          </w:tcPr>
          <w:p w:rsidR="009646B0" w:rsidRPr="000238A7" w:rsidP="004863F4" w14:paraId="3FBC13F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98.346(j)(6)(iii)</w:t>
            </w:r>
          </w:p>
        </w:tc>
        <w:tc>
          <w:tcPr>
            <w:tcW w:w="3330" w:type="dxa"/>
          </w:tcPr>
          <w:p w:rsidR="009646B0" w:rsidRPr="000238A7" w:rsidP="004863F4" w14:paraId="2D55D3A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For landfills with gas collection systems, for each gas collection system at the facility, t</w:t>
            </w:r>
            <w:r w:rsidRPr="000238A7">
              <w:rPr>
                <w:rFonts w:asciiTheme="minorHAnsi" w:eastAsiaTheme="minorHAnsi" w:hAnsiTheme="minorHAnsi" w:cstheme="minorHAnsi"/>
                <w:sz w:val="20"/>
                <w:szCs w:val="20"/>
              </w:rPr>
              <w:t xml:space="preserve">he annual </w:t>
            </w:r>
            <w:r w:rsidRPr="000238A7">
              <w:rPr>
                <w:rFonts w:asciiTheme="minorHAnsi" w:eastAsiaTheme="minorHAnsi" w:hAnsiTheme="minorHAnsi" w:cstheme="minorHAnsi"/>
                <w:sz w:val="20"/>
                <w:szCs w:val="20"/>
              </w:rPr>
              <w:t>hours the gas collection system was operating normally.</w:t>
            </w:r>
          </w:p>
        </w:tc>
        <w:tc>
          <w:tcPr>
            <w:tcW w:w="2340" w:type="dxa"/>
          </w:tcPr>
          <w:p w:rsidR="009646B0" w:rsidRPr="000238A7" w:rsidP="004863F4" w14:paraId="50A6667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1AB6D70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available data and submit the value via e-GGRT as part of the annual report. This </w:t>
            </w:r>
            <w:r w:rsidRPr="000238A7">
              <w:rPr>
                <w:rFonts w:asciiTheme="minorHAnsi" w:hAnsiTheme="minorHAnsi" w:cstheme="minorHAnsi"/>
                <w:sz w:val="20"/>
                <w:szCs w:val="20"/>
              </w:rPr>
              <w:t>data element affects reporters with gas collection systems and will affect ~840 existing reporters + 6 new reporters annually.</w:t>
            </w:r>
          </w:p>
        </w:tc>
      </w:tr>
      <w:tr w14:paraId="64AFDB98" w14:textId="77777777" w:rsidTr="004863F4">
        <w:tblPrEx>
          <w:tblW w:w="12937" w:type="dxa"/>
          <w:tblInd w:w="108" w:type="dxa"/>
          <w:tblLayout w:type="fixed"/>
          <w:tblLook w:val="04A0"/>
        </w:tblPrEx>
        <w:tc>
          <w:tcPr>
            <w:tcW w:w="1526" w:type="dxa"/>
            <w:vMerge/>
          </w:tcPr>
          <w:p w:rsidR="009646B0" w:rsidRPr="000238A7" w:rsidP="004863F4" w14:paraId="5A90CC92" w14:textId="77777777">
            <w:pPr>
              <w:pStyle w:val="BodyText"/>
              <w:spacing w:after="0"/>
              <w:rPr>
                <w:rFonts w:asciiTheme="minorHAnsi" w:hAnsiTheme="minorHAnsi" w:cstheme="minorHAnsi"/>
                <w:sz w:val="20"/>
                <w:szCs w:val="20"/>
              </w:rPr>
            </w:pPr>
          </w:p>
        </w:tc>
        <w:tc>
          <w:tcPr>
            <w:tcW w:w="2051" w:type="dxa"/>
          </w:tcPr>
          <w:p w:rsidR="009646B0" w:rsidRPr="000238A7" w:rsidP="004863F4" w14:paraId="0004E7F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98.346(j)(6)(iv)</w:t>
            </w:r>
          </w:p>
        </w:tc>
        <w:tc>
          <w:tcPr>
            <w:tcW w:w="3330" w:type="dxa"/>
          </w:tcPr>
          <w:p w:rsidR="009646B0" w:rsidRPr="000238A7" w:rsidP="004863F4" w14:paraId="5743A9E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For landfills with gas collection systems, for each gas collection system at the facility, the number of measurement locations associated with the gas collection system.</w:t>
            </w:r>
          </w:p>
        </w:tc>
        <w:tc>
          <w:tcPr>
            <w:tcW w:w="2340" w:type="dxa"/>
          </w:tcPr>
          <w:p w:rsidR="009646B0" w:rsidRPr="000238A7" w:rsidP="004863F4" w14:paraId="59DAAF9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358FB21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affects reporters with gas collection systems and will affect ~840 existing reporters + 6 new reporters annually.</w:t>
            </w:r>
          </w:p>
        </w:tc>
      </w:tr>
      <w:tr w14:paraId="6D9EE1C0" w14:textId="77777777" w:rsidTr="004863F4">
        <w:tblPrEx>
          <w:tblW w:w="12937" w:type="dxa"/>
          <w:tblInd w:w="108" w:type="dxa"/>
          <w:tblLayout w:type="fixed"/>
          <w:tblLook w:val="04A0"/>
        </w:tblPrEx>
        <w:tc>
          <w:tcPr>
            <w:tcW w:w="1526" w:type="dxa"/>
            <w:vMerge/>
          </w:tcPr>
          <w:p w:rsidR="009646B0" w:rsidRPr="000238A7" w:rsidP="004863F4" w14:paraId="49883BBF" w14:textId="77777777">
            <w:pPr>
              <w:pStyle w:val="BodyText"/>
              <w:spacing w:after="0"/>
              <w:rPr>
                <w:rFonts w:asciiTheme="minorHAnsi" w:hAnsiTheme="minorHAnsi" w:cstheme="minorHAnsi"/>
                <w:sz w:val="20"/>
                <w:szCs w:val="20"/>
              </w:rPr>
            </w:pPr>
          </w:p>
        </w:tc>
        <w:tc>
          <w:tcPr>
            <w:tcW w:w="2051" w:type="dxa"/>
          </w:tcPr>
          <w:p w:rsidR="009646B0" w:rsidRPr="000238A7" w:rsidP="004863F4" w14:paraId="0A68ECF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98.346(j)(6)(v)(A)</w:t>
            </w:r>
          </w:p>
        </w:tc>
        <w:tc>
          <w:tcPr>
            <w:tcW w:w="3330" w:type="dxa"/>
          </w:tcPr>
          <w:p w:rsidR="009646B0" w:rsidRPr="000238A7" w:rsidP="004863F4" w14:paraId="7656E29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For each measurement location associated with the gas collection system, a unique name or ID number for the measurement location.</w:t>
            </w:r>
          </w:p>
          <w:p w:rsidR="009646B0" w:rsidRPr="000238A7" w:rsidP="004863F4" w14:paraId="7E3FC385" w14:textId="77777777">
            <w:pPr>
              <w:pStyle w:val="BodyText"/>
              <w:spacing w:after="0"/>
              <w:rPr>
                <w:rFonts w:asciiTheme="minorHAnsi" w:hAnsiTheme="minorHAnsi" w:cstheme="minorHAnsi"/>
                <w:sz w:val="20"/>
                <w:szCs w:val="20"/>
              </w:rPr>
            </w:pPr>
          </w:p>
        </w:tc>
        <w:tc>
          <w:tcPr>
            <w:tcW w:w="2340" w:type="dxa"/>
          </w:tcPr>
          <w:p w:rsidR="009646B0" w:rsidRPr="000238A7" w:rsidP="004863F4" w14:paraId="6F3CD18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0B3E3C6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affects reporters with gas collection systems and will affect ~840 existing reporters + 6 new reporters annually.</w:t>
            </w:r>
          </w:p>
        </w:tc>
      </w:tr>
      <w:tr w14:paraId="3C0EECF9" w14:textId="77777777" w:rsidTr="004863F4">
        <w:tblPrEx>
          <w:tblW w:w="12937" w:type="dxa"/>
          <w:tblInd w:w="108" w:type="dxa"/>
          <w:tblLayout w:type="fixed"/>
          <w:tblLook w:val="04A0"/>
        </w:tblPrEx>
        <w:tc>
          <w:tcPr>
            <w:tcW w:w="1526" w:type="dxa"/>
            <w:vMerge/>
          </w:tcPr>
          <w:p w:rsidR="009646B0" w:rsidRPr="000238A7" w:rsidP="004863F4" w14:paraId="03476968" w14:textId="77777777">
            <w:pPr>
              <w:pStyle w:val="BodyText"/>
              <w:spacing w:after="0"/>
              <w:rPr>
                <w:rFonts w:asciiTheme="minorHAnsi" w:hAnsiTheme="minorHAnsi" w:cstheme="minorHAnsi"/>
                <w:sz w:val="20"/>
                <w:szCs w:val="20"/>
              </w:rPr>
            </w:pPr>
          </w:p>
        </w:tc>
        <w:tc>
          <w:tcPr>
            <w:tcW w:w="2051" w:type="dxa"/>
          </w:tcPr>
          <w:p w:rsidR="009646B0" w:rsidRPr="000238A7" w:rsidP="004863F4" w14:paraId="65A3688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98.346(j)(6)(v)(C)</w:t>
            </w:r>
          </w:p>
        </w:tc>
        <w:tc>
          <w:tcPr>
            <w:tcW w:w="3330" w:type="dxa"/>
          </w:tcPr>
          <w:p w:rsidR="009646B0" w:rsidRPr="000238A7" w:rsidP="004863F4" w14:paraId="48EF357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For each gas collection system at a landfill facility, for each measurement location associated with the gas collection system, an indication of whether destruction occurs at the landfill facility, off-site, or both.</w:t>
            </w:r>
          </w:p>
        </w:tc>
        <w:tc>
          <w:tcPr>
            <w:tcW w:w="2340" w:type="dxa"/>
          </w:tcPr>
          <w:p w:rsidR="009646B0" w:rsidRPr="000238A7" w:rsidP="004863F4" w14:paraId="1BE3800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01B29BC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affects reporters with gas collection systems and will affect ~840 existing reporters + 6 new reporters annually.</w:t>
            </w:r>
          </w:p>
        </w:tc>
      </w:tr>
      <w:tr w14:paraId="5A8F97A7" w14:textId="77777777" w:rsidTr="004863F4">
        <w:tblPrEx>
          <w:tblW w:w="12937" w:type="dxa"/>
          <w:tblInd w:w="108" w:type="dxa"/>
          <w:tblLayout w:type="fixed"/>
          <w:tblLook w:val="04A0"/>
        </w:tblPrEx>
        <w:tc>
          <w:tcPr>
            <w:tcW w:w="1526" w:type="dxa"/>
            <w:vMerge/>
          </w:tcPr>
          <w:p w:rsidR="009646B0" w:rsidRPr="000238A7" w:rsidP="004863F4" w14:paraId="23A5D178" w14:textId="77777777">
            <w:pPr>
              <w:pStyle w:val="BodyText"/>
              <w:spacing w:after="0"/>
              <w:rPr>
                <w:rFonts w:asciiTheme="minorHAnsi" w:hAnsiTheme="minorHAnsi" w:cstheme="minorHAnsi"/>
                <w:sz w:val="20"/>
                <w:szCs w:val="20"/>
              </w:rPr>
            </w:pPr>
          </w:p>
        </w:tc>
        <w:tc>
          <w:tcPr>
            <w:tcW w:w="2051" w:type="dxa"/>
          </w:tcPr>
          <w:p w:rsidR="009646B0" w:rsidRPr="000238A7" w:rsidP="004863F4" w14:paraId="2B61BE3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98.346(j)(6)(v)(D)(</w:t>
            </w:r>
            <w:r w:rsidRPr="000238A7">
              <w:rPr>
                <w:rFonts w:asciiTheme="minorHAnsi" w:hAnsiTheme="minorHAnsi" w:cstheme="minorHAnsi"/>
                <w:i/>
                <w:iCs/>
                <w:sz w:val="20"/>
                <w:szCs w:val="20"/>
              </w:rPr>
              <w:t>1</w:t>
            </w:r>
            <w:r w:rsidRPr="000238A7">
              <w:rPr>
                <w:rFonts w:asciiTheme="minorHAnsi" w:hAnsiTheme="minorHAnsi" w:cstheme="minorHAnsi"/>
                <w:sz w:val="20"/>
                <w:szCs w:val="20"/>
              </w:rPr>
              <w:t>)</w:t>
            </w:r>
          </w:p>
        </w:tc>
        <w:tc>
          <w:tcPr>
            <w:tcW w:w="3330" w:type="dxa"/>
          </w:tcPr>
          <w:p w:rsidR="009646B0" w:rsidRPr="000238A7" w:rsidP="004863F4" w14:paraId="5FCBF53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destruction occurs at the landfill facility for the measurement location (in full or in part), for each destruction device, a unique name or ID number for the destruction device.</w:t>
            </w:r>
          </w:p>
        </w:tc>
        <w:tc>
          <w:tcPr>
            <w:tcW w:w="2340" w:type="dxa"/>
          </w:tcPr>
          <w:p w:rsidR="009646B0" w:rsidRPr="000238A7" w:rsidP="004863F4" w14:paraId="2E8BFF2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4BC8346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available data and submit the value via e-GGRT as part of the annual report. This data element affects reporters with gas </w:t>
            </w:r>
            <w:r w:rsidRPr="000238A7">
              <w:rPr>
                <w:rFonts w:asciiTheme="minorHAnsi" w:hAnsiTheme="minorHAnsi" w:cstheme="minorHAnsi"/>
                <w:sz w:val="20"/>
                <w:szCs w:val="20"/>
              </w:rPr>
              <w:t>collection systems with destruction devices and will affect ~824 existing reporters annually.</w:t>
            </w:r>
          </w:p>
        </w:tc>
      </w:tr>
      <w:tr w14:paraId="2AF7EF06" w14:textId="77777777" w:rsidTr="004863F4">
        <w:tblPrEx>
          <w:tblW w:w="12937" w:type="dxa"/>
          <w:tblInd w:w="108" w:type="dxa"/>
          <w:tblLayout w:type="fixed"/>
          <w:tblLook w:val="04A0"/>
        </w:tblPrEx>
        <w:tc>
          <w:tcPr>
            <w:tcW w:w="1526" w:type="dxa"/>
            <w:vMerge/>
          </w:tcPr>
          <w:p w:rsidR="009646B0" w:rsidRPr="000238A7" w:rsidP="004863F4" w14:paraId="51B9D701" w14:textId="77777777">
            <w:pPr>
              <w:pStyle w:val="BodyText"/>
              <w:spacing w:after="0"/>
              <w:rPr>
                <w:rFonts w:asciiTheme="minorHAnsi" w:hAnsiTheme="minorHAnsi" w:cstheme="minorHAnsi"/>
                <w:sz w:val="20"/>
                <w:szCs w:val="20"/>
              </w:rPr>
            </w:pPr>
          </w:p>
        </w:tc>
        <w:tc>
          <w:tcPr>
            <w:tcW w:w="2051" w:type="dxa"/>
          </w:tcPr>
          <w:p w:rsidR="009646B0" w:rsidRPr="000238A7" w:rsidP="004863F4" w14:paraId="617A2C6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98.346(j)(6)(v)(D)(</w:t>
            </w:r>
            <w:r w:rsidRPr="000238A7">
              <w:rPr>
                <w:rFonts w:asciiTheme="minorHAnsi" w:hAnsiTheme="minorHAnsi" w:cstheme="minorHAnsi"/>
                <w:i/>
                <w:iCs/>
                <w:sz w:val="20"/>
                <w:szCs w:val="20"/>
              </w:rPr>
              <w:t>2</w:t>
            </w:r>
            <w:r w:rsidRPr="000238A7">
              <w:rPr>
                <w:rFonts w:asciiTheme="minorHAnsi" w:hAnsiTheme="minorHAnsi" w:cstheme="minorHAnsi"/>
                <w:sz w:val="20"/>
                <w:szCs w:val="20"/>
              </w:rPr>
              <w:t>)</w:t>
            </w:r>
          </w:p>
        </w:tc>
        <w:tc>
          <w:tcPr>
            <w:tcW w:w="3330" w:type="dxa"/>
          </w:tcPr>
          <w:p w:rsidR="009646B0" w:rsidRPr="000238A7" w:rsidP="004863F4" w14:paraId="27078DD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destruction occurs at the landfill facility for the measurement location (in full or in part), for each destruction device, the type of destruction device (flare, a landfill gas to energy project (i.e., engine or turbine), off-site, or other (specify))</w:t>
            </w:r>
          </w:p>
        </w:tc>
        <w:tc>
          <w:tcPr>
            <w:tcW w:w="2340" w:type="dxa"/>
          </w:tcPr>
          <w:p w:rsidR="009646B0" w:rsidRPr="000238A7" w:rsidP="004863F4" w14:paraId="67D86F8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753C724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affects reporters with gas collection systems with destruction devices and will affect ~824 existing reporters annually.</w:t>
            </w:r>
          </w:p>
        </w:tc>
      </w:tr>
      <w:tr w14:paraId="12F3097D" w14:textId="77777777" w:rsidTr="004863F4">
        <w:tblPrEx>
          <w:tblW w:w="12937" w:type="dxa"/>
          <w:tblInd w:w="108" w:type="dxa"/>
          <w:tblLayout w:type="fixed"/>
          <w:tblLook w:val="04A0"/>
        </w:tblPrEx>
        <w:tc>
          <w:tcPr>
            <w:tcW w:w="1526" w:type="dxa"/>
            <w:vMerge w:val="restart"/>
          </w:tcPr>
          <w:p w:rsidR="009646B0" w:rsidRPr="000238A7" w:rsidP="004863F4" w14:paraId="049970B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Subpart HH - MSW Landfills</w:t>
            </w:r>
          </w:p>
        </w:tc>
        <w:tc>
          <w:tcPr>
            <w:tcW w:w="2051" w:type="dxa"/>
          </w:tcPr>
          <w:p w:rsidR="009646B0" w:rsidRPr="000238A7" w:rsidP="004863F4" w14:paraId="0D8573B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98.346(j)(6)(v)(D)(</w:t>
            </w:r>
            <w:r w:rsidRPr="000238A7">
              <w:rPr>
                <w:rFonts w:asciiTheme="minorHAnsi" w:hAnsiTheme="minorHAnsi" w:cstheme="minorHAnsi"/>
                <w:i/>
                <w:iCs/>
                <w:sz w:val="20"/>
                <w:szCs w:val="20"/>
              </w:rPr>
              <w:t>4</w:t>
            </w:r>
            <w:r w:rsidRPr="000238A7">
              <w:rPr>
                <w:rFonts w:asciiTheme="minorHAnsi" w:hAnsiTheme="minorHAnsi" w:cstheme="minorHAnsi"/>
                <w:sz w:val="20"/>
                <w:szCs w:val="20"/>
              </w:rPr>
              <w:t>)</w:t>
            </w:r>
          </w:p>
        </w:tc>
        <w:tc>
          <w:tcPr>
            <w:tcW w:w="3330" w:type="dxa"/>
          </w:tcPr>
          <w:p w:rsidR="009646B0" w:rsidRPr="000238A7" w:rsidP="004863F4" w14:paraId="53B53AE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destruction occurs at the landfill facility for the measurement location (in full or in part), for each destruction device, the total annual hours where active gas flow was sent to the destruction device.</w:t>
            </w:r>
          </w:p>
        </w:tc>
        <w:tc>
          <w:tcPr>
            <w:tcW w:w="2340" w:type="dxa"/>
          </w:tcPr>
          <w:p w:rsidR="009646B0" w:rsidRPr="000238A7" w:rsidP="004863F4" w14:paraId="6AA085D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2B3B09C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affects reporters with gas collection systems with destruction devices and will affect ~824 existing reporters annually.</w:t>
            </w:r>
          </w:p>
        </w:tc>
      </w:tr>
      <w:tr w14:paraId="097A26C5" w14:textId="77777777" w:rsidTr="004863F4">
        <w:tblPrEx>
          <w:tblW w:w="12937" w:type="dxa"/>
          <w:tblInd w:w="108" w:type="dxa"/>
          <w:tblLayout w:type="fixed"/>
          <w:tblLook w:val="04A0"/>
        </w:tblPrEx>
        <w:tc>
          <w:tcPr>
            <w:tcW w:w="1526" w:type="dxa"/>
            <w:vMerge/>
          </w:tcPr>
          <w:p w:rsidR="009646B0" w:rsidRPr="000238A7" w:rsidP="004863F4" w14:paraId="10BFACFF" w14:textId="77777777">
            <w:pPr>
              <w:pStyle w:val="BodyText"/>
              <w:spacing w:after="0"/>
              <w:rPr>
                <w:rFonts w:asciiTheme="minorHAnsi" w:hAnsiTheme="minorHAnsi" w:cstheme="minorHAnsi"/>
                <w:sz w:val="20"/>
                <w:szCs w:val="20"/>
              </w:rPr>
            </w:pPr>
          </w:p>
        </w:tc>
        <w:tc>
          <w:tcPr>
            <w:tcW w:w="2051" w:type="dxa"/>
          </w:tcPr>
          <w:p w:rsidR="009646B0" w:rsidRPr="000238A7" w:rsidP="004863F4" w14:paraId="245C690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98.346(j)(6)(v)(D)(</w:t>
            </w:r>
            <w:r w:rsidRPr="000238A7">
              <w:rPr>
                <w:rFonts w:asciiTheme="minorHAnsi" w:hAnsiTheme="minorHAnsi" w:cstheme="minorHAnsi"/>
                <w:i/>
                <w:iCs/>
                <w:sz w:val="20"/>
                <w:szCs w:val="20"/>
              </w:rPr>
              <w:t>5</w:t>
            </w:r>
            <w:r w:rsidRPr="000238A7">
              <w:rPr>
                <w:rFonts w:asciiTheme="minorHAnsi" w:hAnsiTheme="minorHAnsi" w:cstheme="minorHAnsi"/>
                <w:sz w:val="20"/>
                <w:szCs w:val="20"/>
              </w:rPr>
              <w:t>)</w:t>
            </w:r>
          </w:p>
        </w:tc>
        <w:tc>
          <w:tcPr>
            <w:tcW w:w="3330" w:type="dxa"/>
          </w:tcPr>
          <w:p w:rsidR="009646B0" w:rsidRPr="000238A7" w:rsidP="004863F4" w14:paraId="0836532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destruction occurs at the landfill facility for the measurement location (in full or in part), for each destruction device, the annual operating hours where active gas flow was sent to the destruction device and the destruction device was operating at its intended temperature or other parameter indicative of effective operation.</w:t>
            </w:r>
          </w:p>
        </w:tc>
        <w:tc>
          <w:tcPr>
            <w:tcW w:w="2340" w:type="dxa"/>
          </w:tcPr>
          <w:p w:rsidR="009646B0" w:rsidRPr="000238A7" w:rsidP="004863F4" w14:paraId="2721446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42491A1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affects reporters with gas collection systems with destruction devices and will affect ~824 existing reporters annually.</w:t>
            </w:r>
          </w:p>
        </w:tc>
      </w:tr>
      <w:tr w14:paraId="508702C9" w14:textId="77777777" w:rsidTr="004863F4">
        <w:tblPrEx>
          <w:tblW w:w="12937" w:type="dxa"/>
          <w:tblInd w:w="108" w:type="dxa"/>
          <w:tblLayout w:type="fixed"/>
          <w:tblLook w:val="04A0"/>
        </w:tblPrEx>
        <w:tc>
          <w:tcPr>
            <w:tcW w:w="1526" w:type="dxa"/>
            <w:vMerge/>
          </w:tcPr>
          <w:p w:rsidR="009646B0" w:rsidRPr="000238A7" w:rsidP="004863F4" w14:paraId="2E2DFB34" w14:textId="77777777">
            <w:pPr>
              <w:pStyle w:val="BodyText"/>
              <w:spacing w:after="0"/>
              <w:rPr>
                <w:rFonts w:asciiTheme="minorHAnsi" w:hAnsiTheme="minorHAnsi" w:cstheme="minorHAnsi"/>
                <w:sz w:val="20"/>
                <w:szCs w:val="20"/>
              </w:rPr>
            </w:pPr>
          </w:p>
        </w:tc>
        <w:tc>
          <w:tcPr>
            <w:tcW w:w="2051" w:type="dxa"/>
          </w:tcPr>
          <w:p w:rsidR="009646B0" w:rsidRPr="000238A7" w:rsidP="004863F4" w14:paraId="350AD71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98.346(j)(6)(v)(D)(</w:t>
            </w:r>
            <w:r w:rsidRPr="000238A7">
              <w:rPr>
                <w:rFonts w:asciiTheme="minorHAnsi" w:hAnsiTheme="minorHAnsi" w:cstheme="minorHAnsi"/>
                <w:i/>
                <w:iCs/>
                <w:sz w:val="20"/>
                <w:szCs w:val="20"/>
              </w:rPr>
              <w:t>6</w:t>
            </w:r>
            <w:r w:rsidRPr="000238A7">
              <w:rPr>
                <w:rFonts w:asciiTheme="minorHAnsi" w:hAnsiTheme="minorHAnsi" w:cstheme="minorHAnsi"/>
                <w:sz w:val="20"/>
                <w:szCs w:val="20"/>
              </w:rPr>
              <w:t>)</w:t>
            </w:r>
          </w:p>
        </w:tc>
        <w:tc>
          <w:tcPr>
            <w:tcW w:w="3330" w:type="dxa"/>
          </w:tcPr>
          <w:p w:rsidR="009646B0" w:rsidRPr="000238A7" w:rsidP="004863F4" w14:paraId="7BEAD8C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If destruction occurs at the landfill facility for the measurement location (in full or in part), for each destruction device, the estimated </w:t>
            </w:r>
            <w:r w:rsidRPr="000238A7">
              <w:rPr>
                <w:rFonts w:asciiTheme="minorHAnsi" w:hAnsiTheme="minorHAnsi" w:cstheme="minorHAnsi"/>
                <w:sz w:val="20"/>
                <w:szCs w:val="20"/>
              </w:rPr>
              <w:t>fraction of the recovered CH</w:t>
            </w:r>
            <w:r w:rsidRPr="000238A7">
              <w:rPr>
                <w:rFonts w:asciiTheme="minorHAnsi" w:hAnsiTheme="minorHAnsi" w:cstheme="minorHAnsi"/>
                <w:sz w:val="20"/>
                <w:szCs w:val="20"/>
                <w:vertAlign w:val="subscript"/>
              </w:rPr>
              <w:t>4</w:t>
            </w:r>
            <w:r w:rsidRPr="000238A7">
              <w:rPr>
                <w:rFonts w:asciiTheme="minorHAnsi" w:hAnsiTheme="minorHAnsi" w:cstheme="minorHAnsi"/>
                <w:sz w:val="20"/>
                <w:szCs w:val="20"/>
              </w:rPr>
              <w:t xml:space="preserve"> reported for the measurement location directed to the destruction device based on best available data or engineering judgement (decimal, must total to 1 for each measurement location).</w:t>
            </w:r>
          </w:p>
        </w:tc>
        <w:tc>
          <w:tcPr>
            <w:tcW w:w="2340" w:type="dxa"/>
          </w:tcPr>
          <w:p w:rsidR="009646B0" w:rsidRPr="000238A7" w:rsidP="004863F4" w14:paraId="7B8B76C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30588F8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available data and submit the value via e-GGRT as part of the annual report. This </w:t>
            </w:r>
            <w:r w:rsidRPr="000238A7">
              <w:rPr>
                <w:rFonts w:asciiTheme="minorHAnsi" w:hAnsiTheme="minorHAnsi" w:cstheme="minorHAnsi"/>
                <w:sz w:val="20"/>
                <w:szCs w:val="20"/>
              </w:rPr>
              <w:t>data element affects reporters with gas collection systems with destruction devices and will affect ~824 existing reporters annually.</w:t>
            </w:r>
          </w:p>
        </w:tc>
      </w:tr>
      <w:tr w14:paraId="3E5162D0" w14:textId="77777777" w:rsidTr="004863F4">
        <w:tblPrEx>
          <w:tblW w:w="12937" w:type="dxa"/>
          <w:tblInd w:w="108" w:type="dxa"/>
          <w:tblLayout w:type="fixed"/>
          <w:tblLook w:val="04A0"/>
        </w:tblPrEx>
        <w:tc>
          <w:tcPr>
            <w:tcW w:w="1526" w:type="dxa"/>
            <w:vMerge w:val="restart"/>
          </w:tcPr>
          <w:p w:rsidR="009646B0" w:rsidRPr="000238A7" w:rsidP="004863F4" w14:paraId="6682C39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Subpart OO - Suppliers of Industrial Greenhouse Gases</w:t>
            </w:r>
          </w:p>
        </w:tc>
        <w:tc>
          <w:tcPr>
            <w:tcW w:w="2051" w:type="dxa"/>
          </w:tcPr>
          <w:p w:rsidR="009646B0" w:rsidRPr="000238A7" w:rsidP="004863F4" w14:paraId="419576C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98.416(c)(7)</w:t>
            </w:r>
          </w:p>
        </w:tc>
        <w:tc>
          <w:tcPr>
            <w:tcW w:w="3330" w:type="dxa"/>
          </w:tcPr>
          <w:p w:rsidR="009646B0" w:rsidRPr="000238A7" w:rsidP="004863F4" w14:paraId="1DF9A53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Customs entry number </w:t>
            </w:r>
          </w:p>
        </w:tc>
        <w:tc>
          <w:tcPr>
            <w:tcW w:w="2340" w:type="dxa"/>
          </w:tcPr>
          <w:p w:rsidR="009646B0" w:rsidRPr="000238A7" w:rsidP="004863F4" w14:paraId="0D44771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169A739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bulk importers or ~76 reporters annually.</w:t>
            </w:r>
          </w:p>
        </w:tc>
      </w:tr>
      <w:tr w14:paraId="4270D6E6" w14:textId="77777777" w:rsidTr="004863F4">
        <w:tblPrEx>
          <w:tblW w:w="12937" w:type="dxa"/>
          <w:tblInd w:w="108" w:type="dxa"/>
          <w:tblLayout w:type="fixed"/>
          <w:tblLook w:val="04A0"/>
        </w:tblPrEx>
        <w:tc>
          <w:tcPr>
            <w:tcW w:w="1526" w:type="dxa"/>
            <w:vMerge/>
          </w:tcPr>
          <w:p w:rsidR="009646B0" w:rsidRPr="000238A7" w:rsidP="004863F4" w14:paraId="5348A22C" w14:textId="77777777">
            <w:pPr>
              <w:pStyle w:val="BodyText"/>
              <w:spacing w:after="0"/>
              <w:rPr>
                <w:rFonts w:asciiTheme="minorHAnsi" w:hAnsiTheme="minorHAnsi" w:cstheme="minorHAnsi"/>
                <w:sz w:val="20"/>
                <w:szCs w:val="20"/>
              </w:rPr>
            </w:pPr>
          </w:p>
        </w:tc>
        <w:tc>
          <w:tcPr>
            <w:tcW w:w="2051" w:type="dxa"/>
          </w:tcPr>
          <w:p w:rsidR="009646B0" w:rsidRPr="000238A7" w:rsidP="004863F4" w14:paraId="24825F4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98.416(k)</w:t>
            </w:r>
          </w:p>
        </w:tc>
        <w:tc>
          <w:tcPr>
            <w:tcW w:w="3330" w:type="dxa"/>
          </w:tcPr>
          <w:p w:rsidR="009646B0" w:rsidRPr="000238A7" w:rsidP="004863F4" w14:paraId="388F0DB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For nitrous oxide, saturated perfluorocarbons, and sulfur hexafluoride, and fluorinated heat transfer fluids as defined at §98.6, report the end use(s) for which each GHG or fluorinated HTF is transferred.</w:t>
            </w:r>
          </w:p>
        </w:tc>
        <w:tc>
          <w:tcPr>
            <w:tcW w:w="2340" w:type="dxa"/>
          </w:tcPr>
          <w:p w:rsidR="009646B0" w:rsidRPr="000238A7" w:rsidP="004863F4" w14:paraId="630D681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1460037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suppliers or ~120 reporters annually.</w:t>
            </w:r>
          </w:p>
        </w:tc>
      </w:tr>
      <w:tr w14:paraId="31C86341" w14:textId="77777777" w:rsidTr="004863F4">
        <w:tblPrEx>
          <w:tblW w:w="12937" w:type="dxa"/>
          <w:tblInd w:w="108" w:type="dxa"/>
          <w:tblLayout w:type="fixed"/>
          <w:tblLook w:val="04A0"/>
        </w:tblPrEx>
        <w:tc>
          <w:tcPr>
            <w:tcW w:w="1526" w:type="dxa"/>
            <w:vMerge/>
          </w:tcPr>
          <w:p w:rsidR="009646B0" w:rsidRPr="000238A7" w:rsidP="004863F4" w14:paraId="7DF10F04" w14:textId="77777777">
            <w:pPr>
              <w:pStyle w:val="BodyText"/>
              <w:spacing w:after="0"/>
              <w:rPr>
                <w:rFonts w:asciiTheme="minorHAnsi" w:hAnsiTheme="minorHAnsi" w:cstheme="minorHAnsi"/>
                <w:sz w:val="20"/>
                <w:szCs w:val="20"/>
              </w:rPr>
            </w:pPr>
          </w:p>
        </w:tc>
        <w:tc>
          <w:tcPr>
            <w:tcW w:w="2051" w:type="dxa"/>
          </w:tcPr>
          <w:p w:rsidR="009646B0" w:rsidRPr="000238A7" w:rsidP="004863F4" w14:paraId="23DA080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98.416(k)</w:t>
            </w:r>
          </w:p>
        </w:tc>
        <w:tc>
          <w:tcPr>
            <w:tcW w:w="3330" w:type="dxa"/>
          </w:tcPr>
          <w:p w:rsidR="009646B0" w:rsidRPr="000238A7" w:rsidP="004863F4" w14:paraId="7E7222C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For nitrous oxide, saturated perfluorocarbons, and sulfur hexafluoride, and fluorinated heat transfer fluids as defined at §98.6, report the aggregated annual quantity of that GHG or fluorinated HTF in metric tons that is transferred to that end use application, if known.</w:t>
            </w:r>
          </w:p>
        </w:tc>
        <w:tc>
          <w:tcPr>
            <w:tcW w:w="2340" w:type="dxa"/>
          </w:tcPr>
          <w:p w:rsidR="009646B0" w:rsidRPr="000238A7" w:rsidP="004863F4" w14:paraId="7BADBF6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5395B83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suppliers or ~120 reporters annually.</w:t>
            </w:r>
          </w:p>
        </w:tc>
      </w:tr>
      <w:tr w14:paraId="4AA34232" w14:textId="77777777" w:rsidTr="004863F4">
        <w:tblPrEx>
          <w:tblW w:w="12937" w:type="dxa"/>
          <w:tblInd w:w="108" w:type="dxa"/>
          <w:tblLayout w:type="fixed"/>
          <w:tblLook w:val="04A0"/>
        </w:tblPrEx>
        <w:tc>
          <w:tcPr>
            <w:tcW w:w="1526" w:type="dxa"/>
            <w:vMerge w:val="restart"/>
          </w:tcPr>
          <w:p w:rsidR="009646B0" w:rsidRPr="000238A7" w:rsidP="004863F4" w14:paraId="6F948F9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Subpart PP - Suppliers of Carbon Dioxide</w:t>
            </w:r>
          </w:p>
        </w:tc>
        <w:tc>
          <w:tcPr>
            <w:tcW w:w="2051" w:type="dxa"/>
          </w:tcPr>
          <w:p w:rsidR="009646B0" w:rsidRPr="000238A7" w:rsidP="004863F4" w14:paraId="3154E7E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98.426(h)(1)</w:t>
            </w:r>
          </w:p>
        </w:tc>
        <w:tc>
          <w:tcPr>
            <w:tcW w:w="3330" w:type="dxa"/>
          </w:tcPr>
          <w:p w:rsidR="009646B0" w:rsidRPr="000238A7" w:rsidP="004863F4" w14:paraId="21503E6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you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from a facility that is subject this part and transfer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to any facilities that are subject to subpart RR or subpart VV of this part, the facility identification number associated with the annual </w:t>
            </w:r>
            <w:r w:rsidRPr="000238A7">
              <w:rPr>
                <w:rFonts w:asciiTheme="minorHAnsi" w:hAnsiTheme="minorHAnsi" w:cstheme="minorHAnsi"/>
                <w:sz w:val="20"/>
                <w:szCs w:val="20"/>
              </w:rPr>
              <w:t>GHG report for the facility that is the source of the captured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w:t>
            </w:r>
          </w:p>
        </w:tc>
        <w:tc>
          <w:tcPr>
            <w:tcW w:w="2340" w:type="dxa"/>
          </w:tcPr>
          <w:p w:rsidR="009646B0" w:rsidRPr="000238A7" w:rsidP="004863F4" w14:paraId="1E7636C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38204FD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available data and submit the value via e-GGRT as part of the annual report. This data element will affect subpart PP reporters that would be required to report </w:t>
            </w:r>
            <w:r w:rsidRPr="000238A7">
              <w:rPr>
                <w:rFonts w:asciiTheme="minorHAnsi" w:hAnsiTheme="minorHAnsi" w:cstheme="minorHAnsi"/>
                <w:sz w:val="20"/>
                <w:szCs w:val="20"/>
              </w:rPr>
              <w:t>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transferred to facilities reporting under subparts RR (~ 7 facilities) or VV (~2 facilities) annually.</w:t>
            </w:r>
          </w:p>
        </w:tc>
      </w:tr>
      <w:tr w14:paraId="3723D618" w14:textId="77777777" w:rsidTr="004863F4">
        <w:tblPrEx>
          <w:tblW w:w="12937" w:type="dxa"/>
          <w:tblInd w:w="108" w:type="dxa"/>
          <w:tblLayout w:type="fixed"/>
          <w:tblLook w:val="04A0"/>
        </w:tblPrEx>
        <w:tc>
          <w:tcPr>
            <w:tcW w:w="1526" w:type="dxa"/>
            <w:vMerge/>
          </w:tcPr>
          <w:p w:rsidR="009646B0" w:rsidRPr="000238A7" w:rsidP="004863F4" w14:paraId="742F4B42" w14:textId="77777777">
            <w:pPr>
              <w:pStyle w:val="BodyText"/>
              <w:spacing w:after="0"/>
              <w:rPr>
                <w:rFonts w:asciiTheme="minorHAnsi" w:hAnsiTheme="minorHAnsi" w:cstheme="minorHAnsi"/>
                <w:sz w:val="20"/>
                <w:szCs w:val="20"/>
              </w:rPr>
            </w:pPr>
          </w:p>
        </w:tc>
        <w:tc>
          <w:tcPr>
            <w:tcW w:w="2051" w:type="dxa"/>
          </w:tcPr>
          <w:p w:rsidR="009646B0" w:rsidRPr="000238A7" w:rsidP="004863F4" w14:paraId="55670DA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98.426(h)(2)</w:t>
            </w:r>
          </w:p>
        </w:tc>
        <w:tc>
          <w:tcPr>
            <w:tcW w:w="3330" w:type="dxa"/>
          </w:tcPr>
          <w:p w:rsidR="009646B0" w:rsidRPr="000238A7" w:rsidP="004863F4" w14:paraId="6D84727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you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from a facility that is subject this part and transfer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to any facilities that are subject to subpart RR or subpart VV of this part, each facility identification number associated with the annual GHG reports for each subpart RR and subpart VV facility to which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is transferred</w:t>
            </w:r>
          </w:p>
        </w:tc>
        <w:tc>
          <w:tcPr>
            <w:tcW w:w="2340" w:type="dxa"/>
          </w:tcPr>
          <w:p w:rsidR="009646B0" w:rsidRPr="000238A7" w:rsidP="004863F4" w14:paraId="0D296B6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0908F17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subpart PP reporters that would be required to report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transferred to facilities reporting under subparts RR (~ 7 facilities) or VV (~2 facilities) annually.</w:t>
            </w:r>
          </w:p>
        </w:tc>
      </w:tr>
      <w:tr w14:paraId="3333F3CA" w14:textId="77777777" w:rsidTr="004863F4">
        <w:tblPrEx>
          <w:tblW w:w="12937" w:type="dxa"/>
          <w:tblInd w:w="108" w:type="dxa"/>
          <w:tblLayout w:type="fixed"/>
          <w:tblLook w:val="04A0"/>
        </w:tblPrEx>
        <w:tc>
          <w:tcPr>
            <w:tcW w:w="1526" w:type="dxa"/>
            <w:vMerge/>
          </w:tcPr>
          <w:p w:rsidR="009646B0" w:rsidRPr="000238A7" w:rsidP="004863F4" w14:paraId="74D92038" w14:textId="77777777">
            <w:pPr>
              <w:pStyle w:val="BodyText"/>
              <w:spacing w:after="0"/>
              <w:rPr>
                <w:rFonts w:asciiTheme="minorHAnsi" w:hAnsiTheme="minorHAnsi" w:cstheme="minorHAnsi"/>
                <w:sz w:val="20"/>
                <w:szCs w:val="20"/>
              </w:rPr>
            </w:pPr>
          </w:p>
        </w:tc>
        <w:tc>
          <w:tcPr>
            <w:tcW w:w="2051" w:type="dxa"/>
          </w:tcPr>
          <w:p w:rsidR="009646B0" w:rsidRPr="000238A7" w:rsidP="004863F4" w14:paraId="48B60BD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98.426(h)(3)</w:t>
            </w:r>
          </w:p>
        </w:tc>
        <w:tc>
          <w:tcPr>
            <w:tcW w:w="3330" w:type="dxa"/>
          </w:tcPr>
          <w:p w:rsidR="009646B0" w:rsidRPr="000238A7" w:rsidP="004863F4" w14:paraId="0AF013F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you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from a facility that is subject this part and transfer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to any facilities that are subject to subpart RR or subpart VV of this part, the annual quantity of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in metric tons that is transferred to each subpart RR and subpart VV facility</w:t>
            </w:r>
          </w:p>
        </w:tc>
        <w:tc>
          <w:tcPr>
            <w:tcW w:w="2340" w:type="dxa"/>
          </w:tcPr>
          <w:p w:rsidR="009646B0" w:rsidRPr="000238A7" w:rsidP="004863F4" w14:paraId="373B9A3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Revised</w:t>
            </w:r>
          </w:p>
        </w:tc>
        <w:tc>
          <w:tcPr>
            <w:tcW w:w="3690" w:type="dxa"/>
          </w:tcPr>
          <w:p w:rsidR="009646B0" w:rsidRPr="000238A7" w:rsidP="004863F4" w14:paraId="0497160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subpart PP reporters that would be required to report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transferred to facilities reporting under subparts RR (~ 7 facilities) or VV (~2 facilities) annually.</w:t>
            </w:r>
          </w:p>
        </w:tc>
      </w:tr>
      <w:tr w14:paraId="1DC96643" w14:textId="77777777" w:rsidTr="004863F4">
        <w:tblPrEx>
          <w:tblW w:w="12937" w:type="dxa"/>
          <w:tblInd w:w="108" w:type="dxa"/>
          <w:tblLayout w:type="fixed"/>
          <w:tblLook w:val="04A0"/>
        </w:tblPrEx>
        <w:tc>
          <w:tcPr>
            <w:tcW w:w="1526" w:type="dxa"/>
            <w:vMerge/>
          </w:tcPr>
          <w:p w:rsidR="009646B0" w:rsidRPr="000238A7" w:rsidP="004863F4" w14:paraId="6B1C5489" w14:textId="77777777">
            <w:pPr>
              <w:pStyle w:val="BodyText"/>
              <w:spacing w:after="0"/>
              <w:rPr>
                <w:rFonts w:asciiTheme="minorHAnsi" w:hAnsiTheme="minorHAnsi" w:cstheme="minorHAnsi"/>
                <w:sz w:val="20"/>
                <w:szCs w:val="20"/>
              </w:rPr>
            </w:pPr>
          </w:p>
        </w:tc>
        <w:tc>
          <w:tcPr>
            <w:tcW w:w="2051" w:type="dxa"/>
          </w:tcPr>
          <w:p w:rsidR="009646B0" w:rsidRPr="000238A7" w:rsidP="004863F4" w14:paraId="38E408E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98.426(</w:t>
            </w:r>
            <w:r w:rsidRPr="000238A7">
              <w:rPr>
                <w:rFonts w:asciiTheme="minorHAnsi" w:hAnsiTheme="minorHAnsi" w:cstheme="minorHAnsi"/>
                <w:sz w:val="20"/>
                <w:szCs w:val="20"/>
              </w:rPr>
              <w:t>i</w:t>
            </w:r>
            <w:r w:rsidRPr="000238A7">
              <w:rPr>
                <w:rFonts w:asciiTheme="minorHAnsi" w:hAnsiTheme="minorHAnsi" w:cstheme="minorHAnsi"/>
                <w:sz w:val="20"/>
                <w:szCs w:val="20"/>
              </w:rPr>
              <w:t>)(1)</w:t>
            </w:r>
          </w:p>
        </w:tc>
        <w:tc>
          <w:tcPr>
            <w:tcW w:w="3330" w:type="dxa"/>
          </w:tcPr>
          <w:p w:rsidR="009646B0" w:rsidRPr="000238A7" w:rsidP="004863F4" w14:paraId="1F36469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you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at a facility with a DAC process unit and electricity (excluding combined heat and power (CHP)) is provided using a dedicated meter for the DAC process unit:</w:t>
            </w:r>
            <w:r w:rsidRPr="000238A7">
              <w:rPr>
                <w:rFonts w:asciiTheme="minorHAnsi" w:hAnsiTheme="minorHAnsi" w:cstheme="minorHAnsi"/>
                <w:sz w:val="20"/>
                <w:szCs w:val="20"/>
              </w:rPr>
              <w:t xml:space="preserve"> </w:t>
            </w:r>
            <w:r w:rsidRPr="000238A7">
              <w:rPr>
                <w:rFonts w:asciiTheme="minorHAnsi" w:hAnsiTheme="minorHAnsi" w:cstheme="minorHAnsi"/>
                <w:sz w:val="20"/>
                <w:szCs w:val="20"/>
              </w:rPr>
              <w:t>Annual quantity of electricity (generated on-site or off-site) consumed for the DAC process unit, in megawatt hours (MWh).</w:t>
            </w:r>
          </w:p>
        </w:tc>
        <w:tc>
          <w:tcPr>
            <w:tcW w:w="2340" w:type="dxa"/>
          </w:tcPr>
          <w:p w:rsidR="009646B0" w:rsidRPr="000238A7" w:rsidP="004863F4" w14:paraId="003E929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New </w:t>
            </w:r>
          </w:p>
        </w:tc>
        <w:tc>
          <w:tcPr>
            <w:tcW w:w="3690" w:type="dxa"/>
          </w:tcPr>
          <w:p w:rsidR="009646B0" w:rsidRPr="000238A7" w:rsidP="004863F4" w14:paraId="7B8AFAE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facilities that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in a direct air capture (DAC) unit. For the purposes of estimating burden, EPA has assumed this will affect 10% of reporters or ~13 reporters annually.</w:t>
            </w:r>
          </w:p>
        </w:tc>
      </w:tr>
      <w:tr w14:paraId="119214B4" w14:textId="77777777" w:rsidTr="004863F4">
        <w:tblPrEx>
          <w:tblW w:w="12937" w:type="dxa"/>
          <w:tblInd w:w="108" w:type="dxa"/>
          <w:tblLayout w:type="fixed"/>
          <w:tblLook w:val="04A0"/>
        </w:tblPrEx>
        <w:tc>
          <w:tcPr>
            <w:tcW w:w="1526" w:type="dxa"/>
            <w:vMerge w:val="restart"/>
          </w:tcPr>
          <w:p w:rsidR="009646B0" w:rsidRPr="000238A7" w:rsidP="004863F4" w14:paraId="5264EC7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Subpart PP - Suppliers of Carbon Dioxide</w:t>
            </w:r>
          </w:p>
        </w:tc>
        <w:tc>
          <w:tcPr>
            <w:tcW w:w="2051" w:type="dxa"/>
          </w:tcPr>
          <w:p w:rsidR="009646B0" w:rsidRPr="000238A7" w:rsidP="004863F4" w14:paraId="04D12A3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98.426(</w:t>
            </w:r>
            <w:r w:rsidRPr="000238A7">
              <w:rPr>
                <w:rFonts w:asciiTheme="minorHAnsi" w:hAnsiTheme="minorHAnsi" w:cstheme="minorHAnsi"/>
                <w:sz w:val="20"/>
                <w:szCs w:val="20"/>
              </w:rPr>
              <w:t>i</w:t>
            </w:r>
            <w:r w:rsidRPr="000238A7">
              <w:rPr>
                <w:rFonts w:asciiTheme="minorHAnsi" w:hAnsiTheme="minorHAnsi" w:cstheme="minorHAnsi"/>
                <w:sz w:val="20"/>
                <w:szCs w:val="20"/>
              </w:rPr>
              <w:t>)(1)(</w:t>
            </w:r>
            <w:r w:rsidRPr="000238A7">
              <w:rPr>
                <w:rFonts w:asciiTheme="minorHAnsi" w:hAnsiTheme="minorHAnsi" w:cstheme="minorHAnsi"/>
                <w:sz w:val="20"/>
                <w:szCs w:val="20"/>
              </w:rPr>
              <w:t>i</w:t>
            </w:r>
            <w:r w:rsidRPr="000238A7">
              <w:rPr>
                <w:rFonts w:asciiTheme="minorHAnsi" w:hAnsiTheme="minorHAnsi" w:cstheme="minorHAnsi"/>
                <w:sz w:val="20"/>
                <w:szCs w:val="20"/>
              </w:rPr>
              <w:t>)(A)</w:t>
            </w:r>
          </w:p>
        </w:tc>
        <w:tc>
          <w:tcPr>
            <w:tcW w:w="3330" w:type="dxa"/>
          </w:tcPr>
          <w:p w:rsidR="009646B0" w:rsidRPr="000238A7" w:rsidP="004863F4" w14:paraId="674D394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you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at a facility with a DAC process unit and </w:t>
            </w:r>
            <w:r w:rsidRPr="000238A7">
              <w:rPr>
                <w:rFonts w:asciiTheme="minorHAnsi" w:hAnsiTheme="minorHAnsi" w:cstheme="minorHAnsi"/>
                <w:sz w:val="20"/>
                <w:szCs w:val="20"/>
              </w:rPr>
              <w:t>electricity (excluding CHP) is provided using a dedicated meter for the DAC process unit: If electricity is sourced from a grid connection, the state where the facility with the DAC process unit is located.</w:t>
            </w:r>
          </w:p>
        </w:tc>
        <w:tc>
          <w:tcPr>
            <w:tcW w:w="2340" w:type="dxa"/>
          </w:tcPr>
          <w:p w:rsidR="009646B0" w:rsidRPr="000238A7" w:rsidP="004863F4" w14:paraId="189C171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372E983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w:t>
            </w:r>
            <w:r w:rsidRPr="000238A7">
              <w:rPr>
                <w:rFonts w:asciiTheme="minorHAnsi" w:hAnsiTheme="minorHAnsi" w:cstheme="minorHAnsi"/>
                <w:sz w:val="20"/>
                <w:szCs w:val="20"/>
              </w:rPr>
              <w:t>available data and submit the value via e-GGRT as part of the annual report. This data element applies to facilities that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in a direct air capture (DAC) unit. For the purposes of estimating burden, EPA has assumed this will affect 10% of reporters or ~13 reporters annually.</w:t>
            </w:r>
          </w:p>
        </w:tc>
      </w:tr>
      <w:tr w14:paraId="2B6683B9" w14:textId="77777777" w:rsidTr="004863F4">
        <w:tblPrEx>
          <w:tblW w:w="12937" w:type="dxa"/>
          <w:tblInd w:w="108" w:type="dxa"/>
          <w:tblLayout w:type="fixed"/>
          <w:tblLook w:val="04A0"/>
        </w:tblPrEx>
        <w:tc>
          <w:tcPr>
            <w:tcW w:w="1526" w:type="dxa"/>
            <w:vMerge/>
          </w:tcPr>
          <w:p w:rsidR="009646B0" w:rsidRPr="000238A7" w:rsidP="004863F4" w14:paraId="2C310300" w14:textId="77777777">
            <w:pPr>
              <w:pStyle w:val="BodyText"/>
              <w:spacing w:after="0"/>
              <w:rPr>
                <w:rFonts w:asciiTheme="minorHAnsi" w:hAnsiTheme="minorHAnsi" w:cstheme="minorHAnsi"/>
                <w:sz w:val="20"/>
                <w:szCs w:val="20"/>
              </w:rPr>
            </w:pPr>
          </w:p>
        </w:tc>
        <w:tc>
          <w:tcPr>
            <w:tcW w:w="2051" w:type="dxa"/>
          </w:tcPr>
          <w:p w:rsidR="009646B0" w:rsidRPr="000238A7" w:rsidP="004863F4" w14:paraId="6F4CE70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98.426(</w:t>
            </w:r>
            <w:r w:rsidRPr="000238A7">
              <w:rPr>
                <w:rFonts w:asciiTheme="minorHAnsi" w:hAnsiTheme="minorHAnsi" w:cstheme="minorHAnsi"/>
                <w:sz w:val="20"/>
                <w:szCs w:val="20"/>
              </w:rPr>
              <w:t>i</w:t>
            </w:r>
            <w:r w:rsidRPr="000238A7">
              <w:rPr>
                <w:rFonts w:asciiTheme="minorHAnsi" w:hAnsiTheme="minorHAnsi" w:cstheme="minorHAnsi"/>
                <w:sz w:val="20"/>
                <w:szCs w:val="20"/>
              </w:rPr>
              <w:t>)(1)(</w:t>
            </w:r>
            <w:r w:rsidRPr="000238A7">
              <w:rPr>
                <w:rFonts w:asciiTheme="minorHAnsi" w:hAnsiTheme="minorHAnsi" w:cstheme="minorHAnsi"/>
                <w:sz w:val="20"/>
                <w:szCs w:val="20"/>
              </w:rPr>
              <w:t>i</w:t>
            </w:r>
            <w:r w:rsidRPr="000238A7">
              <w:rPr>
                <w:rFonts w:asciiTheme="minorHAnsi" w:hAnsiTheme="minorHAnsi" w:cstheme="minorHAnsi"/>
                <w:sz w:val="20"/>
                <w:szCs w:val="20"/>
              </w:rPr>
              <w:t>)(B)</w:t>
            </w:r>
          </w:p>
        </w:tc>
        <w:tc>
          <w:tcPr>
            <w:tcW w:w="3330" w:type="dxa"/>
          </w:tcPr>
          <w:p w:rsidR="009646B0" w:rsidRPr="000238A7" w:rsidP="004863F4" w14:paraId="7447AAB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you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at a facility with a DAC process unit and electricity (excluding CHP) is provided using a dedicated meter for the DAC process unit: If electricity is sourced from a grid connection, the county where the facility with the DAC process unit is located.</w:t>
            </w:r>
          </w:p>
        </w:tc>
        <w:tc>
          <w:tcPr>
            <w:tcW w:w="2340" w:type="dxa"/>
          </w:tcPr>
          <w:p w:rsidR="009646B0" w:rsidRPr="000238A7" w:rsidP="004863F4" w14:paraId="7C6D311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0400BD3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facilities that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in a direct air capture (DAC) unit. For the purposes of estimating burden, EPA has assumed this will affect 10% of reporters or ~13 reporters annually.</w:t>
            </w:r>
          </w:p>
        </w:tc>
      </w:tr>
      <w:tr w14:paraId="0BB3CF0A" w14:textId="77777777" w:rsidTr="004863F4">
        <w:tblPrEx>
          <w:tblW w:w="12937" w:type="dxa"/>
          <w:tblInd w:w="108" w:type="dxa"/>
          <w:tblLayout w:type="fixed"/>
          <w:tblLook w:val="04A0"/>
        </w:tblPrEx>
        <w:tc>
          <w:tcPr>
            <w:tcW w:w="1526" w:type="dxa"/>
            <w:vMerge/>
          </w:tcPr>
          <w:p w:rsidR="009646B0" w:rsidRPr="000238A7" w:rsidP="004863F4" w14:paraId="16D82D45" w14:textId="77777777">
            <w:pPr>
              <w:pStyle w:val="BodyText"/>
              <w:spacing w:after="0"/>
              <w:rPr>
                <w:rFonts w:asciiTheme="minorHAnsi" w:hAnsiTheme="minorHAnsi" w:cstheme="minorHAnsi"/>
                <w:sz w:val="20"/>
                <w:szCs w:val="20"/>
              </w:rPr>
            </w:pPr>
          </w:p>
        </w:tc>
        <w:tc>
          <w:tcPr>
            <w:tcW w:w="2051" w:type="dxa"/>
          </w:tcPr>
          <w:p w:rsidR="009646B0" w:rsidRPr="000238A7" w:rsidP="004863F4" w14:paraId="7E4D7A7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98.426(</w:t>
            </w:r>
            <w:r w:rsidRPr="000238A7">
              <w:rPr>
                <w:rFonts w:asciiTheme="minorHAnsi" w:hAnsiTheme="minorHAnsi" w:cstheme="minorHAnsi"/>
                <w:sz w:val="20"/>
                <w:szCs w:val="20"/>
              </w:rPr>
              <w:t>i</w:t>
            </w:r>
            <w:r w:rsidRPr="000238A7">
              <w:rPr>
                <w:rFonts w:asciiTheme="minorHAnsi" w:hAnsiTheme="minorHAnsi" w:cstheme="minorHAnsi"/>
                <w:sz w:val="20"/>
                <w:szCs w:val="20"/>
              </w:rPr>
              <w:t>)(1)(</w:t>
            </w:r>
            <w:r w:rsidRPr="000238A7">
              <w:rPr>
                <w:rFonts w:asciiTheme="minorHAnsi" w:hAnsiTheme="minorHAnsi" w:cstheme="minorHAnsi"/>
                <w:sz w:val="20"/>
                <w:szCs w:val="20"/>
              </w:rPr>
              <w:t>i</w:t>
            </w:r>
            <w:r w:rsidRPr="000238A7">
              <w:rPr>
                <w:rFonts w:asciiTheme="minorHAnsi" w:hAnsiTheme="minorHAnsi" w:cstheme="minorHAnsi"/>
                <w:sz w:val="20"/>
                <w:szCs w:val="20"/>
              </w:rPr>
              <w:t>)(C)</w:t>
            </w:r>
          </w:p>
        </w:tc>
        <w:tc>
          <w:tcPr>
            <w:tcW w:w="3330" w:type="dxa"/>
          </w:tcPr>
          <w:p w:rsidR="009646B0" w:rsidRPr="000238A7" w:rsidP="004863F4" w14:paraId="7D60359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you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at a facility with a DAC process unit and electricity (excluding CHP) is provided using a dedicated meter for the DAC process unit: If electricity is sourced from a grid connection, the name of the electric utility company that supplied the electricity as shown on the last monthly bill issued by utility company during the reporting period.</w:t>
            </w:r>
          </w:p>
        </w:tc>
        <w:tc>
          <w:tcPr>
            <w:tcW w:w="2340" w:type="dxa"/>
          </w:tcPr>
          <w:p w:rsidR="009646B0" w:rsidRPr="000238A7" w:rsidP="004863F4" w14:paraId="6EF4E68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443DA37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facilities that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in a direct air capture (DAC) unit. For the purposes of estimating burden, EPA has assumed this will affect 10% of reporters or ~13 reporters annually.</w:t>
            </w:r>
          </w:p>
        </w:tc>
      </w:tr>
      <w:tr w14:paraId="38EAE0CE" w14:textId="77777777" w:rsidTr="004863F4">
        <w:tblPrEx>
          <w:tblW w:w="12937" w:type="dxa"/>
          <w:tblInd w:w="108" w:type="dxa"/>
          <w:tblLayout w:type="fixed"/>
          <w:tblLook w:val="04A0"/>
        </w:tblPrEx>
        <w:tc>
          <w:tcPr>
            <w:tcW w:w="1526" w:type="dxa"/>
            <w:vMerge/>
          </w:tcPr>
          <w:p w:rsidR="009646B0" w:rsidRPr="000238A7" w:rsidP="004863F4" w14:paraId="0C1A73D3" w14:textId="77777777">
            <w:pPr>
              <w:pStyle w:val="BodyText"/>
              <w:spacing w:after="0"/>
              <w:rPr>
                <w:rFonts w:asciiTheme="minorHAnsi" w:hAnsiTheme="minorHAnsi" w:cstheme="minorHAnsi"/>
                <w:sz w:val="20"/>
                <w:szCs w:val="20"/>
              </w:rPr>
            </w:pPr>
          </w:p>
        </w:tc>
        <w:tc>
          <w:tcPr>
            <w:tcW w:w="2051" w:type="dxa"/>
          </w:tcPr>
          <w:p w:rsidR="009646B0" w:rsidRPr="000238A7" w:rsidP="004863F4" w14:paraId="6DDA1A2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98.426(</w:t>
            </w:r>
            <w:r w:rsidRPr="000238A7">
              <w:rPr>
                <w:rFonts w:asciiTheme="minorHAnsi" w:hAnsiTheme="minorHAnsi" w:cstheme="minorHAnsi"/>
                <w:sz w:val="20"/>
                <w:szCs w:val="20"/>
              </w:rPr>
              <w:t>i</w:t>
            </w:r>
            <w:r w:rsidRPr="000238A7">
              <w:rPr>
                <w:rFonts w:asciiTheme="minorHAnsi" w:hAnsiTheme="minorHAnsi" w:cstheme="minorHAnsi"/>
                <w:sz w:val="20"/>
                <w:szCs w:val="20"/>
              </w:rPr>
              <w:t>)(1)(</w:t>
            </w:r>
            <w:r w:rsidRPr="000238A7">
              <w:rPr>
                <w:rFonts w:asciiTheme="minorHAnsi" w:hAnsiTheme="minorHAnsi" w:cstheme="minorHAnsi"/>
                <w:sz w:val="20"/>
                <w:szCs w:val="20"/>
              </w:rPr>
              <w:t>i</w:t>
            </w:r>
            <w:r w:rsidRPr="000238A7">
              <w:rPr>
                <w:rFonts w:asciiTheme="minorHAnsi" w:hAnsiTheme="minorHAnsi" w:cstheme="minorHAnsi"/>
                <w:sz w:val="20"/>
                <w:szCs w:val="20"/>
              </w:rPr>
              <w:t>)(D)</w:t>
            </w:r>
          </w:p>
        </w:tc>
        <w:tc>
          <w:tcPr>
            <w:tcW w:w="3330" w:type="dxa"/>
          </w:tcPr>
          <w:p w:rsidR="009646B0" w:rsidRPr="000238A7" w:rsidP="004863F4" w14:paraId="632B16D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you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at a facility with a DAC process unit and electricity (excluding CHP) is provided using a dedicated meter for the DAC process unit: If electricity is sourced </w:t>
            </w:r>
            <w:r w:rsidRPr="000238A7">
              <w:rPr>
                <w:rFonts w:asciiTheme="minorHAnsi" w:hAnsiTheme="minorHAnsi" w:cstheme="minorHAnsi"/>
                <w:sz w:val="20"/>
                <w:szCs w:val="20"/>
              </w:rPr>
              <w:t>from a grid connection, the name of the electric utility company that delivered the electricity.</w:t>
            </w:r>
          </w:p>
        </w:tc>
        <w:tc>
          <w:tcPr>
            <w:tcW w:w="2340" w:type="dxa"/>
          </w:tcPr>
          <w:p w:rsidR="009646B0" w:rsidRPr="000238A7" w:rsidP="004863F4" w14:paraId="07186F4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4F70E41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available data and submit the value via e-GGRT as part of the annual report. This data element applies to facilities that </w:t>
            </w:r>
            <w:r w:rsidRPr="000238A7">
              <w:rPr>
                <w:rFonts w:asciiTheme="minorHAnsi" w:hAnsiTheme="minorHAnsi" w:cstheme="minorHAnsi"/>
                <w:sz w:val="20"/>
                <w:szCs w:val="20"/>
              </w:rPr>
              <w:t>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in a direct air capture (DAC) unit. For the purposes of estimating burden, EPA has assumed this will affect 10% of reporters or ~13 reporters annually.</w:t>
            </w:r>
          </w:p>
        </w:tc>
      </w:tr>
      <w:tr w14:paraId="1858CA76" w14:textId="77777777" w:rsidTr="004863F4">
        <w:tblPrEx>
          <w:tblW w:w="12937" w:type="dxa"/>
          <w:tblInd w:w="108" w:type="dxa"/>
          <w:tblLayout w:type="fixed"/>
          <w:tblLook w:val="04A0"/>
        </w:tblPrEx>
        <w:tc>
          <w:tcPr>
            <w:tcW w:w="1526" w:type="dxa"/>
            <w:vMerge w:val="restart"/>
          </w:tcPr>
          <w:p w:rsidR="009646B0" w:rsidRPr="000238A7" w:rsidP="004863F4" w14:paraId="25BF1D3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Subpart PP - Suppliers of Carbon Dioxide</w:t>
            </w:r>
          </w:p>
        </w:tc>
        <w:tc>
          <w:tcPr>
            <w:tcW w:w="2051" w:type="dxa"/>
          </w:tcPr>
          <w:p w:rsidR="009646B0" w:rsidRPr="000238A7" w:rsidP="004863F4" w14:paraId="2FD1CEA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98.426(</w:t>
            </w:r>
            <w:r w:rsidRPr="000238A7">
              <w:rPr>
                <w:rFonts w:asciiTheme="minorHAnsi" w:hAnsiTheme="minorHAnsi" w:cstheme="minorHAnsi"/>
                <w:sz w:val="20"/>
                <w:szCs w:val="20"/>
              </w:rPr>
              <w:t>i</w:t>
            </w:r>
            <w:r w:rsidRPr="000238A7">
              <w:rPr>
                <w:rFonts w:asciiTheme="minorHAnsi" w:hAnsiTheme="minorHAnsi" w:cstheme="minorHAnsi"/>
                <w:sz w:val="20"/>
                <w:szCs w:val="20"/>
              </w:rPr>
              <w:t>)(1)(</w:t>
            </w:r>
            <w:r w:rsidRPr="000238A7">
              <w:rPr>
                <w:rFonts w:asciiTheme="minorHAnsi" w:hAnsiTheme="minorHAnsi" w:cstheme="minorHAnsi"/>
                <w:sz w:val="20"/>
                <w:szCs w:val="20"/>
              </w:rPr>
              <w:t>i</w:t>
            </w:r>
            <w:r w:rsidRPr="000238A7">
              <w:rPr>
                <w:rFonts w:asciiTheme="minorHAnsi" w:hAnsiTheme="minorHAnsi" w:cstheme="minorHAnsi"/>
                <w:sz w:val="20"/>
                <w:szCs w:val="20"/>
              </w:rPr>
              <w:t>)(E)</w:t>
            </w:r>
          </w:p>
        </w:tc>
        <w:tc>
          <w:tcPr>
            <w:tcW w:w="3330" w:type="dxa"/>
          </w:tcPr>
          <w:p w:rsidR="009646B0" w:rsidRPr="000238A7" w:rsidP="004863F4" w14:paraId="1EF0E10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you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at a facility with a DAC process unit and electricity (excluding CHP) is provided using a dedicated meter for the DAC process unit: If electricity is sourced from a grid connection, the annual quantity of electricity consumed for the DAC process unit, in MWh, calculated as the sum of the total energy usage values specified in all billing statements received during the reporting year.</w:t>
            </w:r>
          </w:p>
        </w:tc>
        <w:tc>
          <w:tcPr>
            <w:tcW w:w="2340" w:type="dxa"/>
          </w:tcPr>
          <w:p w:rsidR="009646B0" w:rsidRPr="000238A7" w:rsidP="004863F4" w14:paraId="19F5FB5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0CB8607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facilities that capture a CO</w:t>
            </w:r>
            <w:r w:rsidRPr="000238A7">
              <w:rPr>
                <w:rFonts w:asciiTheme="minorHAnsi" w:hAnsiTheme="minorHAnsi" w:cstheme="minorHAnsi"/>
                <w:sz w:val="20"/>
                <w:szCs w:val="20"/>
                <w:vertAlign w:val="subscript"/>
              </w:rPr>
              <w:t xml:space="preserve">2 </w:t>
            </w:r>
            <w:r w:rsidRPr="000238A7">
              <w:rPr>
                <w:rFonts w:asciiTheme="minorHAnsi" w:hAnsiTheme="minorHAnsi" w:cstheme="minorHAnsi"/>
                <w:sz w:val="20"/>
                <w:szCs w:val="20"/>
              </w:rPr>
              <w:t>stream in a direct air capture (DAC) unit. For the purposes of estimating burden, EPA has assumed this will affect 10% of reporters or ~13 reporters annually.</w:t>
            </w:r>
          </w:p>
        </w:tc>
      </w:tr>
      <w:tr w14:paraId="68790BB5" w14:textId="77777777" w:rsidTr="004863F4">
        <w:tblPrEx>
          <w:tblW w:w="12937" w:type="dxa"/>
          <w:tblInd w:w="108" w:type="dxa"/>
          <w:tblLayout w:type="fixed"/>
          <w:tblLook w:val="04A0"/>
        </w:tblPrEx>
        <w:tc>
          <w:tcPr>
            <w:tcW w:w="1526" w:type="dxa"/>
            <w:vMerge/>
          </w:tcPr>
          <w:p w:rsidR="009646B0" w:rsidRPr="000238A7" w:rsidP="004863F4" w14:paraId="215BCA90" w14:textId="77777777">
            <w:pPr>
              <w:pStyle w:val="BodyText"/>
              <w:spacing w:after="0"/>
              <w:rPr>
                <w:rFonts w:asciiTheme="minorHAnsi" w:hAnsiTheme="minorHAnsi" w:cstheme="minorHAnsi"/>
                <w:sz w:val="20"/>
                <w:szCs w:val="20"/>
              </w:rPr>
            </w:pPr>
          </w:p>
        </w:tc>
        <w:tc>
          <w:tcPr>
            <w:tcW w:w="2051" w:type="dxa"/>
          </w:tcPr>
          <w:p w:rsidR="009646B0" w:rsidRPr="000238A7" w:rsidP="004863F4" w14:paraId="5976CAE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98.426(</w:t>
            </w:r>
            <w:r w:rsidRPr="000238A7">
              <w:rPr>
                <w:rFonts w:asciiTheme="minorHAnsi" w:hAnsiTheme="minorHAnsi" w:cstheme="minorHAnsi"/>
                <w:sz w:val="20"/>
                <w:szCs w:val="20"/>
              </w:rPr>
              <w:t>i</w:t>
            </w:r>
            <w:r w:rsidRPr="000238A7">
              <w:rPr>
                <w:rFonts w:asciiTheme="minorHAnsi" w:hAnsiTheme="minorHAnsi" w:cstheme="minorHAnsi"/>
                <w:sz w:val="20"/>
                <w:szCs w:val="20"/>
              </w:rPr>
              <w:t>)(1)(ii)</w:t>
            </w:r>
          </w:p>
        </w:tc>
        <w:tc>
          <w:tcPr>
            <w:tcW w:w="3330" w:type="dxa"/>
          </w:tcPr>
          <w:p w:rsidR="009646B0" w:rsidRPr="000238A7" w:rsidP="004863F4" w14:paraId="3D5302E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you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at a facility with a DAC process unit and electricity (excluding CHP) is provided using a dedicated meter for the DAC process unit: If electricity is sourced from on-site or through a contractual mechanism for dedicated off-site generation, if known, indicate each applicable energy source (natural gas, oil, coal, nuclear, and other) and the annual electricity consumed for the DAC process unit per applicable source, in MWh.</w:t>
            </w:r>
          </w:p>
        </w:tc>
        <w:tc>
          <w:tcPr>
            <w:tcW w:w="2340" w:type="dxa"/>
          </w:tcPr>
          <w:p w:rsidR="009646B0" w:rsidRPr="000238A7" w:rsidP="004863F4" w14:paraId="34A2D22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6564D62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facilities that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in a direct air capture (DAC) unit. For the purposes of estimating burden, EPA has assumed this will affect 10% of reporters or ~13 reporters annually.</w:t>
            </w:r>
          </w:p>
        </w:tc>
      </w:tr>
      <w:tr w14:paraId="1983D1B4" w14:textId="77777777" w:rsidTr="004863F4">
        <w:tblPrEx>
          <w:tblW w:w="12937" w:type="dxa"/>
          <w:tblInd w:w="108" w:type="dxa"/>
          <w:tblLayout w:type="fixed"/>
          <w:tblLook w:val="04A0"/>
        </w:tblPrEx>
        <w:tc>
          <w:tcPr>
            <w:tcW w:w="1526" w:type="dxa"/>
            <w:vMerge/>
          </w:tcPr>
          <w:p w:rsidR="009646B0" w:rsidRPr="000238A7" w:rsidP="004863F4" w14:paraId="06C301AA" w14:textId="77777777">
            <w:pPr>
              <w:pStyle w:val="BodyText"/>
              <w:spacing w:after="0"/>
              <w:rPr>
                <w:rFonts w:asciiTheme="minorHAnsi" w:hAnsiTheme="minorHAnsi" w:cstheme="minorHAnsi"/>
                <w:sz w:val="20"/>
                <w:szCs w:val="20"/>
              </w:rPr>
            </w:pPr>
          </w:p>
        </w:tc>
        <w:tc>
          <w:tcPr>
            <w:tcW w:w="2051" w:type="dxa"/>
          </w:tcPr>
          <w:p w:rsidR="009646B0" w:rsidRPr="000238A7" w:rsidP="004863F4" w14:paraId="0223813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98.426(</w:t>
            </w:r>
            <w:r w:rsidRPr="000238A7">
              <w:rPr>
                <w:rFonts w:asciiTheme="minorHAnsi" w:hAnsiTheme="minorHAnsi" w:cstheme="minorHAnsi"/>
                <w:sz w:val="20"/>
                <w:szCs w:val="20"/>
              </w:rPr>
              <w:t>i</w:t>
            </w:r>
            <w:r w:rsidRPr="000238A7">
              <w:rPr>
                <w:rFonts w:asciiTheme="minorHAnsi" w:hAnsiTheme="minorHAnsi" w:cstheme="minorHAnsi"/>
                <w:sz w:val="20"/>
                <w:szCs w:val="20"/>
              </w:rPr>
              <w:t>)(1)(ii)</w:t>
            </w:r>
          </w:p>
        </w:tc>
        <w:tc>
          <w:tcPr>
            <w:tcW w:w="3330" w:type="dxa"/>
          </w:tcPr>
          <w:p w:rsidR="009646B0" w:rsidRPr="000238A7" w:rsidP="004863F4" w14:paraId="272200F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you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at a facility with a DAC process unit and electricity (excluding CHP) is provided </w:t>
            </w:r>
            <w:r w:rsidRPr="000238A7">
              <w:rPr>
                <w:rFonts w:asciiTheme="minorHAnsi" w:hAnsiTheme="minorHAnsi" w:cstheme="minorHAnsi"/>
                <w:sz w:val="20"/>
                <w:szCs w:val="20"/>
              </w:rPr>
              <w:t>using a dedicated meter for the DAC process unit: If electricity is sourced from on-site or through a contractual mechanism for dedicated off-site generation, and if the on-site energy source is natural gas, oil, or coal, indicate whether flue gas is also captured by the DAC process unit.</w:t>
            </w:r>
          </w:p>
        </w:tc>
        <w:tc>
          <w:tcPr>
            <w:tcW w:w="2340" w:type="dxa"/>
          </w:tcPr>
          <w:p w:rsidR="009646B0" w:rsidRPr="000238A7" w:rsidP="004863F4" w14:paraId="5E8CBF1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588C4D7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w:t>
            </w:r>
            <w:r w:rsidRPr="000238A7">
              <w:rPr>
                <w:rFonts w:asciiTheme="minorHAnsi" w:hAnsiTheme="minorHAnsi" w:cstheme="minorHAnsi"/>
                <w:sz w:val="20"/>
                <w:szCs w:val="20"/>
              </w:rPr>
              <w:t>GGRT as part of the annual report. This data element applies to facilities that capture a CO</w:t>
            </w:r>
            <w:r w:rsidRPr="000238A7">
              <w:rPr>
                <w:rFonts w:asciiTheme="minorHAnsi" w:hAnsiTheme="minorHAnsi" w:cstheme="minorHAnsi"/>
                <w:sz w:val="20"/>
                <w:szCs w:val="20"/>
                <w:vertAlign w:val="subscript"/>
              </w:rPr>
              <w:t xml:space="preserve">2 </w:t>
            </w:r>
            <w:r w:rsidRPr="000238A7">
              <w:rPr>
                <w:rFonts w:asciiTheme="minorHAnsi" w:hAnsiTheme="minorHAnsi" w:cstheme="minorHAnsi"/>
                <w:sz w:val="20"/>
                <w:szCs w:val="20"/>
              </w:rPr>
              <w:t>stream in a direct air capture (DAC) unit. For the purposes of estimating burden, EPA has assumed this will affect 10% of reporters or ~13 reporters annually.</w:t>
            </w:r>
          </w:p>
        </w:tc>
      </w:tr>
      <w:tr w14:paraId="14CE57EC" w14:textId="77777777" w:rsidTr="004863F4">
        <w:tblPrEx>
          <w:tblW w:w="12937" w:type="dxa"/>
          <w:tblInd w:w="108" w:type="dxa"/>
          <w:tblLayout w:type="fixed"/>
          <w:tblLook w:val="04A0"/>
        </w:tblPrEx>
        <w:tc>
          <w:tcPr>
            <w:tcW w:w="1526" w:type="dxa"/>
            <w:vMerge w:val="restart"/>
          </w:tcPr>
          <w:p w:rsidR="009646B0" w:rsidRPr="000238A7" w:rsidP="004863F4" w14:paraId="71109E3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Subpart PP - Suppliers of Carbon Dioxide</w:t>
            </w:r>
          </w:p>
        </w:tc>
        <w:tc>
          <w:tcPr>
            <w:tcW w:w="2051" w:type="dxa"/>
          </w:tcPr>
          <w:p w:rsidR="009646B0" w:rsidRPr="000238A7" w:rsidP="004863F4" w14:paraId="259263D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98.426(</w:t>
            </w:r>
            <w:r w:rsidRPr="000238A7">
              <w:rPr>
                <w:rFonts w:asciiTheme="minorHAnsi" w:hAnsiTheme="minorHAnsi" w:cstheme="minorHAnsi"/>
                <w:sz w:val="20"/>
                <w:szCs w:val="20"/>
              </w:rPr>
              <w:t>i</w:t>
            </w:r>
            <w:r w:rsidRPr="000238A7">
              <w:rPr>
                <w:rFonts w:asciiTheme="minorHAnsi" w:hAnsiTheme="minorHAnsi" w:cstheme="minorHAnsi"/>
                <w:sz w:val="20"/>
                <w:szCs w:val="20"/>
              </w:rPr>
              <w:t>)(2)</w:t>
            </w:r>
          </w:p>
        </w:tc>
        <w:tc>
          <w:tcPr>
            <w:tcW w:w="3330" w:type="dxa"/>
          </w:tcPr>
          <w:p w:rsidR="009646B0" w:rsidRPr="000238A7" w:rsidP="004863F4" w14:paraId="7C0C3FD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you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at a facility with a DAC process unit and you use heat, steam, or other forms of thermal energy (excluding CHP) for the DAC process unit: If known, indicate each applicable energy source</w:t>
            </w:r>
            <w:r w:rsidRPr="000238A7">
              <w:rPr>
                <w:rFonts w:asciiTheme="minorHAnsi" w:hAnsiTheme="minorHAnsi" w:cstheme="minorHAnsi"/>
                <w:sz w:val="20"/>
                <w:szCs w:val="20"/>
              </w:rPr>
              <w:t xml:space="preserve"> </w:t>
            </w:r>
            <w:r w:rsidRPr="000238A7">
              <w:rPr>
                <w:rFonts w:asciiTheme="minorHAnsi" w:hAnsiTheme="minorHAnsi" w:cstheme="minorHAnsi"/>
                <w:sz w:val="20"/>
                <w:szCs w:val="20"/>
              </w:rPr>
              <w:t>(solar, geothermal, natural gas, oil, coal, nuclear, other) and the annual quantity of heat, steam, or other forms of thermal energy used for the DAC process unit per applicable energy source, in megajoules (MJ).</w:t>
            </w:r>
          </w:p>
        </w:tc>
        <w:tc>
          <w:tcPr>
            <w:tcW w:w="2340" w:type="dxa"/>
          </w:tcPr>
          <w:p w:rsidR="009646B0" w:rsidRPr="000238A7" w:rsidP="004863F4" w14:paraId="7CF9D8B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17FB0A7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facilities that capture a CO</w:t>
            </w:r>
            <w:r w:rsidRPr="000238A7">
              <w:rPr>
                <w:rFonts w:asciiTheme="minorHAnsi" w:hAnsiTheme="minorHAnsi" w:cstheme="minorHAnsi"/>
                <w:sz w:val="20"/>
                <w:szCs w:val="20"/>
                <w:vertAlign w:val="subscript"/>
              </w:rPr>
              <w:t xml:space="preserve">2 </w:t>
            </w:r>
            <w:r w:rsidRPr="000238A7">
              <w:rPr>
                <w:rFonts w:asciiTheme="minorHAnsi" w:hAnsiTheme="minorHAnsi" w:cstheme="minorHAnsi"/>
                <w:sz w:val="20"/>
                <w:szCs w:val="20"/>
              </w:rPr>
              <w:t>stream in a direct air capture (DAC) unit. For the purposes of estimating burden, EPA has assumed this will affect 10% of reporters or ~13 reporters annually.</w:t>
            </w:r>
          </w:p>
        </w:tc>
      </w:tr>
      <w:tr w14:paraId="1471BC4E" w14:textId="77777777" w:rsidTr="004863F4">
        <w:tblPrEx>
          <w:tblW w:w="12937" w:type="dxa"/>
          <w:tblInd w:w="108" w:type="dxa"/>
          <w:tblLayout w:type="fixed"/>
          <w:tblLook w:val="04A0"/>
        </w:tblPrEx>
        <w:tc>
          <w:tcPr>
            <w:tcW w:w="1526" w:type="dxa"/>
            <w:vMerge/>
          </w:tcPr>
          <w:p w:rsidR="009646B0" w:rsidRPr="000238A7" w:rsidP="004863F4" w14:paraId="4B0FAB89" w14:textId="77777777">
            <w:pPr>
              <w:pStyle w:val="BodyText"/>
              <w:spacing w:after="0"/>
              <w:rPr>
                <w:rFonts w:asciiTheme="minorHAnsi" w:hAnsiTheme="minorHAnsi" w:cstheme="minorHAnsi"/>
                <w:sz w:val="20"/>
                <w:szCs w:val="20"/>
              </w:rPr>
            </w:pPr>
          </w:p>
        </w:tc>
        <w:tc>
          <w:tcPr>
            <w:tcW w:w="2051" w:type="dxa"/>
          </w:tcPr>
          <w:p w:rsidR="009646B0" w:rsidRPr="000238A7" w:rsidP="004863F4" w14:paraId="3334867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98.426(</w:t>
            </w:r>
            <w:r w:rsidRPr="000238A7">
              <w:rPr>
                <w:rFonts w:asciiTheme="minorHAnsi" w:hAnsiTheme="minorHAnsi" w:cstheme="minorHAnsi"/>
                <w:sz w:val="20"/>
                <w:szCs w:val="20"/>
              </w:rPr>
              <w:t>i</w:t>
            </w:r>
            <w:r w:rsidRPr="000238A7">
              <w:rPr>
                <w:rFonts w:asciiTheme="minorHAnsi" w:hAnsiTheme="minorHAnsi" w:cstheme="minorHAnsi"/>
                <w:sz w:val="20"/>
                <w:szCs w:val="20"/>
              </w:rPr>
              <w:t>)(2)</w:t>
            </w:r>
          </w:p>
        </w:tc>
        <w:tc>
          <w:tcPr>
            <w:tcW w:w="3330" w:type="dxa"/>
          </w:tcPr>
          <w:p w:rsidR="009646B0" w:rsidRPr="000238A7" w:rsidP="004863F4" w14:paraId="0116E84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you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at a facility with a DAC process unit and you use heat, steam, or other forms of thermal energy (excluding CHP) for the DAC process unit: If the on-site heat source is natural gas, oil, or coal, also indicate whether flue gas is also captured by the DAC process unit.</w:t>
            </w:r>
          </w:p>
        </w:tc>
        <w:tc>
          <w:tcPr>
            <w:tcW w:w="2340" w:type="dxa"/>
          </w:tcPr>
          <w:p w:rsidR="009646B0" w:rsidRPr="000238A7" w:rsidP="004863F4" w14:paraId="66D8F6D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2C820E7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facilities that capture a CO</w:t>
            </w:r>
            <w:r w:rsidRPr="000238A7">
              <w:rPr>
                <w:rFonts w:asciiTheme="minorHAnsi" w:hAnsiTheme="minorHAnsi" w:cstheme="minorHAnsi"/>
                <w:sz w:val="20"/>
                <w:szCs w:val="20"/>
                <w:vertAlign w:val="subscript"/>
              </w:rPr>
              <w:t xml:space="preserve">2 </w:t>
            </w:r>
            <w:r w:rsidRPr="000238A7">
              <w:rPr>
                <w:rFonts w:asciiTheme="minorHAnsi" w:hAnsiTheme="minorHAnsi" w:cstheme="minorHAnsi"/>
                <w:sz w:val="20"/>
                <w:szCs w:val="20"/>
              </w:rPr>
              <w:t>stream in a direct air capture (DAC) unit. For the purposes of estimating burden, EPA has assumed this will affect 10% of reporters or ~13 reporters annually.</w:t>
            </w:r>
          </w:p>
        </w:tc>
      </w:tr>
      <w:tr w14:paraId="14EC1503" w14:textId="77777777" w:rsidTr="004863F4">
        <w:tblPrEx>
          <w:tblW w:w="12937" w:type="dxa"/>
          <w:tblInd w:w="108" w:type="dxa"/>
          <w:tblLayout w:type="fixed"/>
          <w:tblLook w:val="04A0"/>
        </w:tblPrEx>
        <w:tc>
          <w:tcPr>
            <w:tcW w:w="1526" w:type="dxa"/>
            <w:vMerge/>
          </w:tcPr>
          <w:p w:rsidR="009646B0" w:rsidRPr="000238A7" w:rsidP="004863F4" w14:paraId="6A51C457" w14:textId="77777777">
            <w:pPr>
              <w:pStyle w:val="BodyText"/>
              <w:spacing w:after="0"/>
              <w:rPr>
                <w:rFonts w:asciiTheme="minorHAnsi" w:hAnsiTheme="minorHAnsi" w:cstheme="minorHAnsi"/>
                <w:sz w:val="20"/>
                <w:szCs w:val="20"/>
              </w:rPr>
            </w:pPr>
          </w:p>
        </w:tc>
        <w:tc>
          <w:tcPr>
            <w:tcW w:w="2051" w:type="dxa"/>
          </w:tcPr>
          <w:p w:rsidR="009646B0" w:rsidRPr="000238A7" w:rsidP="004863F4" w14:paraId="5DE62CC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98.426(</w:t>
            </w:r>
            <w:r w:rsidRPr="000238A7">
              <w:rPr>
                <w:rFonts w:asciiTheme="minorHAnsi" w:hAnsiTheme="minorHAnsi" w:cstheme="minorHAnsi"/>
                <w:sz w:val="20"/>
                <w:szCs w:val="20"/>
              </w:rPr>
              <w:t>i</w:t>
            </w:r>
            <w:r w:rsidRPr="000238A7">
              <w:rPr>
                <w:rFonts w:asciiTheme="minorHAnsi" w:hAnsiTheme="minorHAnsi" w:cstheme="minorHAnsi"/>
                <w:sz w:val="20"/>
                <w:szCs w:val="20"/>
              </w:rPr>
              <w:t>)(3)(</w:t>
            </w:r>
            <w:r w:rsidRPr="000238A7">
              <w:rPr>
                <w:rFonts w:asciiTheme="minorHAnsi" w:hAnsiTheme="minorHAnsi" w:cstheme="minorHAnsi"/>
                <w:sz w:val="20"/>
                <w:szCs w:val="20"/>
              </w:rPr>
              <w:t>i</w:t>
            </w:r>
            <w:r w:rsidRPr="000238A7">
              <w:rPr>
                <w:rFonts w:asciiTheme="minorHAnsi" w:hAnsiTheme="minorHAnsi" w:cstheme="minorHAnsi"/>
                <w:sz w:val="20"/>
                <w:szCs w:val="20"/>
              </w:rPr>
              <w:t>)</w:t>
            </w:r>
          </w:p>
        </w:tc>
        <w:tc>
          <w:tcPr>
            <w:tcW w:w="3330" w:type="dxa"/>
          </w:tcPr>
          <w:p w:rsidR="009646B0" w:rsidRPr="000238A7" w:rsidP="004863F4" w14:paraId="62517D3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you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at a facility with a DAC process unit and </w:t>
            </w:r>
            <w:r w:rsidRPr="000238A7">
              <w:rPr>
                <w:rFonts w:asciiTheme="minorHAnsi" w:hAnsiTheme="minorHAnsi" w:cstheme="minorHAnsi"/>
                <w:sz w:val="20"/>
                <w:szCs w:val="20"/>
              </w:rPr>
              <w:t>electricity from CHP is sourced from on-site or through a contractual mechanism for dedicated off-site generation: If known, indicate each applicable energy source</w:t>
            </w:r>
            <w:r w:rsidRPr="000238A7">
              <w:rPr>
                <w:rFonts w:asciiTheme="minorHAnsi" w:hAnsiTheme="minorHAnsi" w:cstheme="minorHAnsi"/>
                <w:sz w:val="20"/>
                <w:szCs w:val="20"/>
              </w:rPr>
              <w:t xml:space="preserve"> </w:t>
            </w:r>
            <w:r w:rsidRPr="000238A7">
              <w:rPr>
                <w:rFonts w:asciiTheme="minorHAnsi" w:hAnsiTheme="minorHAnsi" w:cstheme="minorHAnsi"/>
                <w:sz w:val="20"/>
                <w:szCs w:val="20"/>
              </w:rPr>
              <w:t>(non-hydropower renewable sources including solar, wind, geothermal and tidal; hydropower; natural gas; oil; coal; nuclear; and other) and the annual quantity of electricity consumed for the DAC process unit per applicable energy source, in MWh.</w:t>
            </w:r>
          </w:p>
        </w:tc>
        <w:tc>
          <w:tcPr>
            <w:tcW w:w="2340" w:type="dxa"/>
          </w:tcPr>
          <w:p w:rsidR="009646B0" w:rsidRPr="000238A7" w:rsidP="004863F4" w14:paraId="6B3E023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44E80A9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w:t>
            </w:r>
            <w:r w:rsidRPr="000238A7">
              <w:rPr>
                <w:rFonts w:asciiTheme="minorHAnsi" w:hAnsiTheme="minorHAnsi" w:cstheme="minorHAnsi"/>
                <w:sz w:val="20"/>
                <w:szCs w:val="20"/>
              </w:rPr>
              <w:t>available data and submit the value via e-GGRT as part of the annual report. This data element applies to facilities that capture a CO</w:t>
            </w:r>
            <w:r w:rsidRPr="000238A7">
              <w:rPr>
                <w:rFonts w:asciiTheme="minorHAnsi" w:hAnsiTheme="minorHAnsi" w:cstheme="minorHAnsi"/>
                <w:sz w:val="20"/>
                <w:szCs w:val="20"/>
                <w:vertAlign w:val="subscript"/>
              </w:rPr>
              <w:t xml:space="preserve">2 </w:t>
            </w:r>
            <w:r w:rsidRPr="000238A7">
              <w:rPr>
                <w:rFonts w:asciiTheme="minorHAnsi" w:hAnsiTheme="minorHAnsi" w:cstheme="minorHAnsi"/>
                <w:sz w:val="20"/>
                <w:szCs w:val="20"/>
              </w:rPr>
              <w:t>stream in a direct air capture (DAC) unit. For the purposes of estimating burden, EPA has assumed this will affect 10% of reporters or ~13 reporters annually.</w:t>
            </w:r>
          </w:p>
        </w:tc>
      </w:tr>
      <w:tr w14:paraId="5132F580" w14:textId="77777777" w:rsidTr="004863F4">
        <w:tblPrEx>
          <w:tblW w:w="12937" w:type="dxa"/>
          <w:tblInd w:w="108" w:type="dxa"/>
          <w:tblLayout w:type="fixed"/>
          <w:tblLook w:val="04A0"/>
        </w:tblPrEx>
        <w:tc>
          <w:tcPr>
            <w:tcW w:w="1526" w:type="dxa"/>
            <w:vMerge/>
          </w:tcPr>
          <w:p w:rsidR="009646B0" w:rsidRPr="000238A7" w:rsidP="004863F4" w14:paraId="3FEEBDC0" w14:textId="77777777">
            <w:pPr>
              <w:pStyle w:val="BodyText"/>
              <w:spacing w:after="0"/>
              <w:rPr>
                <w:rFonts w:asciiTheme="minorHAnsi" w:hAnsiTheme="minorHAnsi" w:cstheme="minorHAnsi"/>
                <w:sz w:val="20"/>
                <w:szCs w:val="20"/>
              </w:rPr>
            </w:pPr>
          </w:p>
        </w:tc>
        <w:tc>
          <w:tcPr>
            <w:tcW w:w="2051" w:type="dxa"/>
          </w:tcPr>
          <w:p w:rsidR="009646B0" w:rsidRPr="000238A7" w:rsidP="004863F4" w14:paraId="44F2484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98.426(</w:t>
            </w:r>
            <w:r w:rsidRPr="000238A7">
              <w:rPr>
                <w:rFonts w:asciiTheme="minorHAnsi" w:hAnsiTheme="minorHAnsi" w:cstheme="minorHAnsi"/>
                <w:sz w:val="20"/>
                <w:szCs w:val="20"/>
              </w:rPr>
              <w:t>i</w:t>
            </w:r>
            <w:r w:rsidRPr="000238A7">
              <w:rPr>
                <w:rFonts w:asciiTheme="minorHAnsi" w:hAnsiTheme="minorHAnsi" w:cstheme="minorHAnsi"/>
                <w:sz w:val="20"/>
                <w:szCs w:val="20"/>
              </w:rPr>
              <w:t>)(3)(</w:t>
            </w:r>
            <w:r w:rsidRPr="000238A7">
              <w:rPr>
                <w:rFonts w:asciiTheme="minorHAnsi" w:hAnsiTheme="minorHAnsi" w:cstheme="minorHAnsi"/>
                <w:sz w:val="20"/>
                <w:szCs w:val="20"/>
              </w:rPr>
              <w:t>i</w:t>
            </w:r>
            <w:r w:rsidRPr="000238A7">
              <w:rPr>
                <w:rFonts w:asciiTheme="minorHAnsi" w:hAnsiTheme="minorHAnsi" w:cstheme="minorHAnsi"/>
                <w:sz w:val="20"/>
                <w:szCs w:val="20"/>
              </w:rPr>
              <w:t>)</w:t>
            </w:r>
          </w:p>
        </w:tc>
        <w:tc>
          <w:tcPr>
            <w:tcW w:w="3330" w:type="dxa"/>
          </w:tcPr>
          <w:p w:rsidR="009646B0" w:rsidRPr="000238A7" w:rsidP="004863F4" w14:paraId="1DCC1B0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you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at a facility with a DAC process unit and electricity from CHP is sourced from on-site or through a contractual mechanism for dedicated off-site generation: If the on-site energy source for CHP is natural gas, oil, or coal, indicate whether flue gas is also captured by the DAC process unit.</w:t>
            </w:r>
          </w:p>
        </w:tc>
        <w:tc>
          <w:tcPr>
            <w:tcW w:w="2340" w:type="dxa"/>
          </w:tcPr>
          <w:p w:rsidR="009646B0" w:rsidRPr="000238A7" w:rsidP="004863F4" w14:paraId="3A365ED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52E25DB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facilities that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in a direct air capture (DAC) unit. For the purposes of estimating burden, EPA has assumed this will affect 10% of reporters or ~13 reporters annually.</w:t>
            </w:r>
          </w:p>
        </w:tc>
      </w:tr>
      <w:tr w14:paraId="0CC501C0" w14:textId="77777777" w:rsidTr="004863F4">
        <w:tblPrEx>
          <w:tblW w:w="12937" w:type="dxa"/>
          <w:tblInd w:w="108" w:type="dxa"/>
          <w:tblLayout w:type="fixed"/>
          <w:tblLook w:val="04A0"/>
        </w:tblPrEx>
        <w:tc>
          <w:tcPr>
            <w:tcW w:w="1526" w:type="dxa"/>
            <w:vMerge/>
          </w:tcPr>
          <w:p w:rsidR="009646B0" w:rsidRPr="000238A7" w:rsidP="004863F4" w14:paraId="2B01012C" w14:textId="77777777">
            <w:pPr>
              <w:pStyle w:val="BodyText"/>
              <w:spacing w:after="0"/>
              <w:rPr>
                <w:rFonts w:asciiTheme="minorHAnsi" w:hAnsiTheme="minorHAnsi" w:cstheme="minorHAnsi"/>
                <w:sz w:val="20"/>
                <w:szCs w:val="20"/>
              </w:rPr>
            </w:pPr>
          </w:p>
        </w:tc>
        <w:tc>
          <w:tcPr>
            <w:tcW w:w="2051" w:type="dxa"/>
          </w:tcPr>
          <w:p w:rsidR="009646B0" w:rsidRPr="000238A7" w:rsidP="004863F4" w14:paraId="6096CE5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98.426(</w:t>
            </w:r>
            <w:r w:rsidRPr="000238A7">
              <w:rPr>
                <w:rFonts w:asciiTheme="minorHAnsi" w:hAnsiTheme="minorHAnsi" w:cstheme="minorHAnsi"/>
                <w:sz w:val="20"/>
                <w:szCs w:val="20"/>
              </w:rPr>
              <w:t>i</w:t>
            </w:r>
            <w:r w:rsidRPr="000238A7">
              <w:rPr>
                <w:rFonts w:asciiTheme="minorHAnsi" w:hAnsiTheme="minorHAnsi" w:cstheme="minorHAnsi"/>
                <w:sz w:val="20"/>
                <w:szCs w:val="20"/>
              </w:rPr>
              <w:t>)(3)(ii)</w:t>
            </w:r>
          </w:p>
        </w:tc>
        <w:tc>
          <w:tcPr>
            <w:tcW w:w="3330" w:type="dxa"/>
          </w:tcPr>
          <w:p w:rsidR="009646B0" w:rsidRPr="000238A7" w:rsidP="004863F4" w14:paraId="1478071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you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at a facility with a DAC process unit and you used heat from CHP for the DAC process unit: If known, indicate each applicable energy source</w:t>
            </w:r>
            <w:r w:rsidRPr="000238A7">
              <w:rPr>
                <w:rFonts w:asciiTheme="minorHAnsi" w:hAnsiTheme="minorHAnsi" w:cstheme="minorHAnsi"/>
                <w:sz w:val="20"/>
                <w:szCs w:val="20"/>
              </w:rPr>
              <w:t xml:space="preserve"> </w:t>
            </w:r>
            <w:r w:rsidRPr="000238A7">
              <w:rPr>
                <w:rFonts w:asciiTheme="minorHAnsi" w:hAnsiTheme="minorHAnsi" w:cstheme="minorHAnsi"/>
                <w:sz w:val="20"/>
                <w:szCs w:val="20"/>
              </w:rPr>
              <w:t xml:space="preserve">(solar, geothermal, natural gas, oil, coal, nuclear, other) and the annual quantity of heat, steam or other forms of thermal energy used for the </w:t>
            </w:r>
            <w:r w:rsidRPr="000238A7">
              <w:rPr>
                <w:rFonts w:asciiTheme="minorHAnsi" w:hAnsiTheme="minorHAnsi" w:cstheme="minorHAnsi"/>
                <w:sz w:val="20"/>
                <w:szCs w:val="20"/>
              </w:rPr>
              <w:t>DAC process unit per applicable energy source, in MJ.</w:t>
            </w:r>
          </w:p>
        </w:tc>
        <w:tc>
          <w:tcPr>
            <w:tcW w:w="2340" w:type="dxa"/>
          </w:tcPr>
          <w:p w:rsidR="009646B0" w:rsidRPr="000238A7" w:rsidP="004863F4" w14:paraId="5BB53C3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52D33C8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facilities that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in a direct air capture (DAC) unit. For the purposes of estimating burden, EPA has assumed this will affect 10% of reporters or ~13 reporters annually.</w:t>
            </w:r>
          </w:p>
        </w:tc>
      </w:tr>
      <w:tr w14:paraId="5B30A28B" w14:textId="77777777" w:rsidTr="004863F4">
        <w:tblPrEx>
          <w:tblW w:w="12937" w:type="dxa"/>
          <w:tblInd w:w="108" w:type="dxa"/>
          <w:tblLayout w:type="fixed"/>
          <w:tblLook w:val="04A0"/>
        </w:tblPrEx>
        <w:tc>
          <w:tcPr>
            <w:tcW w:w="1526" w:type="dxa"/>
            <w:vMerge/>
          </w:tcPr>
          <w:p w:rsidR="009646B0" w:rsidRPr="000238A7" w:rsidP="004863F4" w14:paraId="7CE0D0E7" w14:textId="77777777">
            <w:pPr>
              <w:pStyle w:val="BodyText"/>
              <w:spacing w:after="0"/>
              <w:rPr>
                <w:rFonts w:asciiTheme="minorHAnsi" w:hAnsiTheme="minorHAnsi" w:cstheme="minorHAnsi"/>
                <w:sz w:val="20"/>
                <w:szCs w:val="20"/>
              </w:rPr>
            </w:pPr>
          </w:p>
        </w:tc>
        <w:tc>
          <w:tcPr>
            <w:tcW w:w="2051" w:type="dxa"/>
          </w:tcPr>
          <w:p w:rsidR="009646B0" w:rsidRPr="000238A7" w:rsidP="004863F4" w14:paraId="57BB29E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98.426(</w:t>
            </w:r>
            <w:r w:rsidRPr="000238A7">
              <w:rPr>
                <w:rFonts w:asciiTheme="minorHAnsi" w:hAnsiTheme="minorHAnsi" w:cstheme="minorHAnsi"/>
                <w:sz w:val="20"/>
                <w:szCs w:val="20"/>
              </w:rPr>
              <w:t>i</w:t>
            </w:r>
            <w:r w:rsidRPr="000238A7">
              <w:rPr>
                <w:rFonts w:asciiTheme="minorHAnsi" w:hAnsiTheme="minorHAnsi" w:cstheme="minorHAnsi"/>
                <w:sz w:val="20"/>
                <w:szCs w:val="20"/>
              </w:rPr>
              <w:t>)(3)(ii)</w:t>
            </w:r>
          </w:p>
        </w:tc>
        <w:tc>
          <w:tcPr>
            <w:tcW w:w="3330" w:type="dxa"/>
          </w:tcPr>
          <w:p w:rsidR="009646B0" w:rsidRPr="000238A7" w:rsidP="004863F4" w14:paraId="4244344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If you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at a facility with a DAC process unit and you used heat from CHP for the DAC process unit: If the on-site heat source is natural gas, oil, or coal, also indicate whether flue gas is also captured by the DAC process unit.   </w:t>
            </w:r>
          </w:p>
        </w:tc>
        <w:tc>
          <w:tcPr>
            <w:tcW w:w="2340" w:type="dxa"/>
          </w:tcPr>
          <w:p w:rsidR="009646B0" w:rsidRPr="000238A7" w:rsidP="004863F4" w14:paraId="4D955C3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75FF38B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facilities that capture a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in a direct air capture (DAC) unit. For the purposes of estimating burden, EPA has assumed this will affect 10% of reporters or ~13 reporters annually.</w:t>
            </w:r>
          </w:p>
        </w:tc>
      </w:tr>
      <w:tr w14:paraId="27D19717" w14:textId="77777777" w:rsidTr="004863F4">
        <w:tblPrEx>
          <w:tblW w:w="12937" w:type="dxa"/>
          <w:tblInd w:w="108" w:type="dxa"/>
          <w:tblLayout w:type="fixed"/>
          <w:tblLook w:val="04A0"/>
        </w:tblPrEx>
        <w:tc>
          <w:tcPr>
            <w:tcW w:w="1526" w:type="dxa"/>
            <w:vMerge w:val="restart"/>
          </w:tcPr>
          <w:p w:rsidR="009646B0" w:rsidRPr="000238A7" w:rsidP="004863F4" w14:paraId="73D8A04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Subpart QQ - Importers and Exporters of Fluorinated Greenhouse Gases Contained in Pre-Charged Equipment or Closed-Cell Foams</w:t>
            </w:r>
          </w:p>
        </w:tc>
        <w:tc>
          <w:tcPr>
            <w:tcW w:w="2051" w:type="dxa"/>
          </w:tcPr>
          <w:p w:rsidR="009646B0" w:rsidRPr="000238A7" w:rsidP="004863F4" w14:paraId="588AF38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98.436(a)(7)</w:t>
            </w:r>
          </w:p>
        </w:tc>
        <w:tc>
          <w:tcPr>
            <w:tcW w:w="3330" w:type="dxa"/>
          </w:tcPr>
          <w:p w:rsidR="009646B0" w:rsidRPr="000238A7" w:rsidP="004863F4" w14:paraId="65AD738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For each importer of fluorinated GHGs contained in pre-charged equipment or closed-cell foams, the harmonized tariff system (HTS) code for each type of pre-charged equipment or closed-cell foam imported.</w:t>
            </w:r>
          </w:p>
        </w:tc>
        <w:tc>
          <w:tcPr>
            <w:tcW w:w="2340" w:type="dxa"/>
          </w:tcPr>
          <w:p w:rsidR="009646B0" w:rsidRPr="000238A7" w:rsidP="004863F4" w14:paraId="4A3715E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3E5040C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bulk importers and will affect ~33 reporters annually.</w:t>
            </w:r>
          </w:p>
        </w:tc>
      </w:tr>
      <w:tr w14:paraId="374B40B4" w14:textId="77777777" w:rsidTr="004863F4">
        <w:tblPrEx>
          <w:tblW w:w="12937" w:type="dxa"/>
          <w:tblInd w:w="108" w:type="dxa"/>
          <w:tblLayout w:type="fixed"/>
          <w:tblLook w:val="04A0"/>
        </w:tblPrEx>
        <w:trPr>
          <w:trHeight w:val="1439"/>
        </w:trPr>
        <w:tc>
          <w:tcPr>
            <w:tcW w:w="1526" w:type="dxa"/>
            <w:vMerge/>
          </w:tcPr>
          <w:p w:rsidR="009646B0" w:rsidRPr="000238A7" w:rsidP="004863F4" w14:paraId="2E9E18CF" w14:textId="77777777">
            <w:pPr>
              <w:pStyle w:val="BodyText"/>
              <w:spacing w:after="0"/>
              <w:rPr>
                <w:rFonts w:asciiTheme="minorHAnsi" w:hAnsiTheme="minorHAnsi" w:cstheme="minorHAnsi"/>
                <w:sz w:val="20"/>
                <w:szCs w:val="20"/>
              </w:rPr>
            </w:pPr>
          </w:p>
        </w:tc>
        <w:tc>
          <w:tcPr>
            <w:tcW w:w="2051" w:type="dxa"/>
          </w:tcPr>
          <w:p w:rsidR="009646B0" w:rsidRPr="000238A7" w:rsidP="004863F4" w14:paraId="022A93A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98.436(b)(7)</w:t>
            </w:r>
          </w:p>
        </w:tc>
        <w:tc>
          <w:tcPr>
            <w:tcW w:w="3330" w:type="dxa"/>
          </w:tcPr>
          <w:p w:rsidR="009646B0" w:rsidRPr="000238A7" w:rsidP="004863F4" w14:paraId="366FD22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For each exporter of fluorinated GHGs contained in pre-charged equipment or closed-cell foams, the schedule B code for each type of pre-charged equipment or closed-cell foam imported.</w:t>
            </w:r>
          </w:p>
        </w:tc>
        <w:tc>
          <w:tcPr>
            <w:tcW w:w="2340" w:type="dxa"/>
          </w:tcPr>
          <w:p w:rsidR="009646B0" w:rsidRPr="000238A7" w:rsidP="004863F4" w14:paraId="7ADCE8A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07D5FCA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bulk exporters and will affect ~28 reporters annually.</w:t>
            </w:r>
          </w:p>
        </w:tc>
      </w:tr>
      <w:tr w14:paraId="1758F65E" w14:textId="77777777" w:rsidTr="004863F4">
        <w:tblPrEx>
          <w:tblW w:w="12937" w:type="dxa"/>
          <w:tblInd w:w="108" w:type="dxa"/>
          <w:tblLayout w:type="fixed"/>
          <w:tblLook w:val="04A0"/>
        </w:tblPrEx>
        <w:tc>
          <w:tcPr>
            <w:tcW w:w="1526" w:type="dxa"/>
            <w:vMerge w:val="restart"/>
          </w:tcPr>
          <w:p w:rsidR="009646B0" w:rsidRPr="000238A7" w:rsidP="004863F4" w14:paraId="5CFE1AA5"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Subpart SS - Electrical Equipment Manufacture and Refurbishment</w:t>
            </w:r>
          </w:p>
        </w:tc>
        <w:tc>
          <w:tcPr>
            <w:tcW w:w="2051" w:type="dxa"/>
          </w:tcPr>
          <w:p w:rsidR="009646B0" w:rsidRPr="000238A7" w:rsidP="004863F4" w14:paraId="1B51234E"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98.456(k)</w:t>
            </w:r>
          </w:p>
        </w:tc>
        <w:tc>
          <w:tcPr>
            <w:tcW w:w="3330" w:type="dxa"/>
          </w:tcPr>
          <w:p w:rsidR="009646B0" w:rsidRPr="000238A7" w:rsidP="004863F4" w14:paraId="12C42860"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 xml:space="preserve">The nameplate capacity of the equipment, in pounds, delivered to customers with insulating gas inside, if different from </w:t>
            </w:r>
            <w:r w:rsidRPr="000238A7">
              <w:rPr>
                <w:rFonts w:asciiTheme="minorHAnsi" w:hAnsiTheme="minorHAnsi" w:cstheme="minorHAnsi"/>
                <w:sz w:val="20"/>
                <w:szCs w:val="20"/>
                <w:lang w:val="en"/>
              </w:rPr>
              <w:t>§98.456(f).</w:t>
            </w:r>
          </w:p>
        </w:tc>
        <w:tc>
          <w:tcPr>
            <w:tcW w:w="2340" w:type="dxa"/>
          </w:tcPr>
          <w:p w:rsidR="009646B0" w:rsidRPr="000238A7" w:rsidP="004863F4" w14:paraId="0A4DB7D4" w14:textId="77777777">
            <w:pPr>
              <w:pStyle w:val="BodyText"/>
              <w:spacing w:after="0"/>
              <w:rPr>
                <w:rFonts w:asciiTheme="minorHAnsi" w:hAnsiTheme="minorHAnsi" w:cstheme="minorHAnsi"/>
                <w:b/>
                <w:bCs/>
                <w:sz w:val="20"/>
                <w:szCs w:val="20"/>
              </w:rPr>
            </w:pPr>
            <w:r w:rsidRPr="000238A7">
              <w:rPr>
                <w:rFonts w:asciiTheme="minorHAnsi" w:hAnsiTheme="minorHAnsi" w:cstheme="minorHAnsi"/>
                <w:color w:val="000000"/>
                <w:sz w:val="20"/>
                <w:szCs w:val="20"/>
              </w:rPr>
              <w:t>Revised</w:t>
            </w:r>
          </w:p>
        </w:tc>
        <w:tc>
          <w:tcPr>
            <w:tcW w:w="3690" w:type="dxa"/>
          </w:tcPr>
          <w:p w:rsidR="009646B0" w:rsidRPr="000238A7" w:rsidP="004863F4" w14:paraId="62920865"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~5 reporters annually.</w:t>
            </w:r>
          </w:p>
        </w:tc>
      </w:tr>
      <w:tr w14:paraId="11AF5212" w14:textId="77777777" w:rsidTr="004863F4">
        <w:tblPrEx>
          <w:tblW w:w="12937" w:type="dxa"/>
          <w:tblInd w:w="108" w:type="dxa"/>
          <w:tblLayout w:type="fixed"/>
          <w:tblLook w:val="04A0"/>
        </w:tblPrEx>
        <w:tc>
          <w:tcPr>
            <w:tcW w:w="1526" w:type="dxa"/>
            <w:vMerge/>
          </w:tcPr>
          <w:p w:rsidR="009646B0" w:rsidRPr="000238A7" w:rsidP="004863F4" w14:paraId="4AF0284C" w14:textId="77777777">
            <w:pPr>
              <w:pStyle w:val="BodyText"/>
              <w:spacing w:after="0"/>
              <w:rPr>
                <w:rFonts w:asciiTheme="minorHAnsi" w:hAnsiTheme="minorHAnsi" w:cstheme="minorHAnsi"/>
                <w:b/>
                <w:bCs/>
                <w:sz w:val="20"/>
                <w:szCs w:val="20"/>
              </w:rPr>
            </w:pPr>
          </w:p>
        </w:tc>
        <w:tc>
          <w:tcPr>
            <w:tcW w:w="2051" w:type="dxa"/>
          </w:tcPr>
          <w:p w:rsidR="009646B0" w:rsidRPr="000238A7" w:rsidP="004863F4" w14:paraId="7A46D5A1"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98.456(p)</w:t>
            </w:r>
          </w:p>
        </w:tc>
        <w:tc>
          <w:tcPr>
            <w:tcW w:w="3330" w:type="dxa"/>
          </w:tcPr>
          <w:p w:rsidR="009646B0" w:rsidRPr="000238A7" w:rsidP="004863F4" w14:paraId="0A7E8285"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 xml:space="preserve">Number of samples for each make, model, and group of conditions if the </w:t>
            </w:r>
            <w:r w:rsidRPr="000238A7">
              <w:rPr>
                <w:rFonts w:asciiTheme="minorHAnsi" w:hAnsiTheme="minorHAnsi" w:cstheme="minorHAnsi"/>
                <w:sz w:val="20"/>
                <w:szCs w:val="20"/>
              </w:rPr>
              <w:t>mass of each insulating gas disbursed to customers in new equipment over the period p is determined by assuming that it is equal to the equipment’s nameplate capacity or, in cases where equipment is shipped with a partial charge, equal to its partial shipping charge.</w:t>
            </w:r>
          </w:p>
        </w:tc>
        <w:tc>
          <w:tcPr>
            <w:tcW w:w="2340" w:type="dxa"/>
          </w:tcPr>
          <w:p w:rsidR="009646B0" w:rsidRPr="000238A7" w:rsidP="004863F4" w14:paraId="3261D3B3"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Revised</w:t>
            </w:r>
          </w:p>
        </w:tc>
        <w:tc>
          <w:tcPr>
            <w:tcW w:w="3690" w:type="dxa"/>
          </w:tcPr>
          <w:p w:rsidR="009646B0" w:rsidRPr="000238A7" w:rsidP="004863F4" w14:paraId="6E035A62"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 xml:space="preserve">Increase - requires respondents to ascertain the data element using readily </w:t>
            </w:r>
            <w:r w:rsidRPr="000238A7">
              <w:rPr>
                <w:rFonts w:asciiTheme="minorHAnsi" w:hAnsiTheme="minorHAnsi" w:cstheme="minorHAnsi"/>
                <w:sz w:val="20"/>
                <w:szCs w:val="20"/>
              </w:rPr>
              <w:t>available data and submit the value via e-GGRT as part of the annual report. This data element will affect ~5 reporters annually.</w:t>
            </w:r>
          </w:p>
        </w:tc>
      </w:tr>
      <w:tr w14:paraId="2ED197D6" w14:textId="77777777" w:rsidTr="004863F4">
        <w:tblPrEx>
          <w:tblW w:w="12937" w:type="dxa"/>
          <w:tblInd w:w="108" w:type="dxa"/>
          <w:tblLayout w:type="fixed"/>
          <w:tblLook w:val="04A0"/>
        </w:tblPrEx>
        <w:tc>
          <w:tcPr>
            <w:tcW w:w="1526" w:type="dxa"/>
            <w:vMerge/>
          </w:tcPr>
          <w:p w:rsidR="009646B0" w:rsidRPr="000238A7" w:rsidP="004863F4" w14:paraId="0DEC48BF" w14:textId="77777777">
            <w:pPr>
              <w:pStyle w:val="BodyText"/>
              <w:spacing w:after="0"/>
              <w:rPr>
                <w:rFonts w:asciiTheme="minorHAnsi" w:hAnsiTheme="minorHAnsi" w:cstheme="minorHAnsi"/>
                <w:b/>
                <w:bCs/>
                <w:sz w:val="20"/>
                <w:szCs w:val="20"/>
              </w:rPr>
            </w:pPr>
          </w:p>
        </w:tc>
        <w:tc>
          <w:tcPr>
            <w:tcW w:w="2051" w:type="dxa"/>
          </w:tcPr>
          <w:p w:rsidR="009646B0" w:rsidRPr="000238A7" w:rsidP="004863F4" w14:paraId="3CAF7073"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98.456(p)</w:t>
            </w:r>
          </w:p>
        </w:tc>
        <w:tc>
          <w:tcPr>
            <w:tcW w:w="3330" w:type="dxa"/>
          </w:tcPr>
          <w:p w:rsidR="009646B0" w:rsidRPr="000238A7" w:rsidP="004863F4" w14:paraId="3179B3EF"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Upper and lower bounds on the 95 percent confidence interval for each make, model, and group of conditions if the mass of each insulating gas disbursed to customers in new equipment over the period p is determined by assuming that it is equal to the equipment’s nameplate capacity or, in cases where equipment is shipped with a partial charge, equal to its partial shipping charge.</w:t>
            </w:r>
          </w:p>
        </w:tc>
        <w:tc>
          <w:tcPr>
            <w:tcW w:w="2340" w:type="dxa"/>
          </w:tcPr>
          <w:p w:rsidR="009646B0" w:rsidRPr="000238A7" w:rsidP="004863F4" w14:paraId="24F8AE98"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Revised</w:t>
            </w:r>
          </w:p>
        </w:tc>
        <w:tc>
          <w:tcPr>
            <w:tcW w:w="3690" w:type="dxa"/>
          </w:tcPr>
          <w:p w:rsidR="009646B0" w:rsidRPr="000238A7" w:rsidP="004863F4" w14:paraId="734EBDBB"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~5 reporters annually.</w:t>
            </w:r>
          </w:p>
        </w:tc>
      </w:tr>
      <w:tr w14:paraId="779322A0" w14:textId="77777777" w:rsidTr="004863F4">
        <w:tblPrEx>
          <w:tblW w:w="12937" w:type="dxa"/>
          <w:tblInd w:w="108" w:type="dxa"/>
          <w:tblLayout w:type="fixed"/>
          <w:tblLook w:val="04A0"/>
        </w:tblPrEx>
        <w:tc>
          <w:tcPr>
            <w:tcW w:w="1526" w:type="dxa"/>
            <w:vMerge w:val="restart"/>
          </w:tcPr>
          <w:p w:rsidR="009646B0" w:rsidRPr="000238A7" w:rsidP="004863F4" w14:paraId="39BAAB9C"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Subpart SS - Electrical Equipment Manufacture and Refurbishment</w:t>
            </w:r>
          </w:p>
        </w:tc>
        <w:tc>
          <w:tcPr>
            <w:tcW w:w="2051" w:type="dxa"/>
          </w:tcPr>
          <w:p w:rsidR="009646B0" w:rsidRPr="000238A7" w:rsidP="004863F4" w14:paraId="4956425C"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98.456(a)</w:t>
            </w:r>
          </w:p>
        </w:tc>
        <w:tc>
          <w:tcPr>
            <w:tcW w:w="3330" w:type="dxa"/>
          </w:tcPr>
          <w:p w:rsidR="009646B0" w:rsidRPr="000238A7" w:rsidP="004863F4" w14:paraId="0D3C903A"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Pounds of each reportable insulating gas stored in containers at the beginning of the year.</w:t>
            </w:r>
          </w:p>
        </w:tc>
        <w:tc>
          <w:tcPr>
            <w:tcW w:w="2340" w:type="dxa"/>
          </w:tcPr>
          <w:p w:rsidR="009646B0" w:rsidRPr="000238A7" w:rsidP="004863F4" w14:paraId="6775BB83"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Revised</w:t>
            </w:r>
          </w:p>
        </w:tc>
        <w:tc>
          <w:tcPr>
            <w:tcW w:w="3690" w:type="dxa"/>
          </w:tcPr>
          <w:p w:rsidR="009646B0" w:rsidRPr="000238A7" w:rsidP="004863F4" w14:paraId="2AA78481"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~5 reporters annually.</w:t>
            </w:r>
          </w:p>
        </w:tc>
      </w:tr>
      <w:tr w14:paraId="6873C309" w14:textId="77777777" w:rsidTr="004863F4">
        <w:tblPrEx>
          <w:tblW w:w="12937" w:type="dxa"/>
          <w:tblInd w:w="108" w:type="dxa"/>
          <w:tblLayout w:type="fixed"/>
          <w:tblLook w:val="04A0"/>
        </w:tblPrEx>
        <w:tc>
          <w:tcPr>
            <w:tcW w:w="1526" w:type="dxa"/>
            <w:vMerge/>
          </w:tcPr>
          <w:p w:rsidR="009646B0" w:rsidRPr="000238A7" w:rsidP="004863F4" w14:paraId="62A44531" w14:textId="77777777">
            <w:pPr>
              <w:pStyle w:val="BodyText"/>
              <w:spacing w:after="0"/>
              <w:rPr>
                <w:rFonts w:asciiTheme="minorHAnsi" w:hAnsiTheme="minorHAnsi" w:cstheme="minorHAnsi"/>
                <w:b/>
                <w:bCs/>
                <w:sz w:val="20"/>
                <w:szCs w:val="20"/>
              </w:rPr>
            </w:pPr>
          </w:p>
        </w:tc>
        <w:tc>
          <w:tcPr>
            <w:tcW w:w="2051" w:type="dxa"/>
          </w:tcPr>
          <w:p w:rsidR="009646B0" w:rsidRPr="000238A7" w:rsidP="004863F4" w14:paraId="52FF4663"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98.456(b)</w:t>
            </w:r>
          </w:p>
        </w:tc>
        <w:tc>
          <w:tcPr>
            <w:tcW w:w="3330" w:type="dxa"/>
          </w:tcPr>
          <w:p w:rsidR="009646B0" w:rsidRPr="000238A7" w:rsidP="004863F4" w14:paraId="263C18C9"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Pounds of each reportable insulating gas stored in containers at the end of the year.</w:t>
            </w:r>
          </w:p>
        </w:tc>
        <w:tc>
          <w:tcPr>
            <w:tcW w:w="2340" w:type="dxa"/>
          </w:tcPr>
          <w:p w:rsidR="009646B0" w:rsidRPr="000238A7" w:rsidP="004863F4" w14:paraId="6A8FA22C"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Revised</w:t>
            </w:r>
          </w:p>
        </w:tc>
        <w:tc>
          <w:tcPr>
            <w:tcW w:w="3690" w:type="dxa"/>
          </w:tcPr>
          <w:p w:rsidR="009646B0" w:rsidRPr="000238A7" w:rsidP="004863F4" w14:paraId="234D52F2"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~5 reporters annually.</w:t>
            </w:r>
          </w:p>
        </w:tc>
      </w:tr>
      <w:tr w14:paraId="28FEAE69" w14:textId="77777777" w:rsidTr="004863F4">
        <w:tblPrEx>
          <w:tblW w:w="12937" w:type="dxa"/>
          <w:tblInd w:w="108" w:type="dxa"/>
          <w:tblLayout w:type="fixed"/>
          <w:tblLook w:val="04A0"/>
        </w:tblPrEx>
        <w:tc>
          <w:tcPr>
            <w:tcW w:w="1526" w:type="dxa"/>
            <w:vMerge/>
          </w:tcPr>
          <w:p w:rsidR="009646B0" w:rsidRPr="000238A7" w:rsidP="004863F4" w14:paraId="3C0E2828" w14:textId="77777777">
            <w:pPr>
              <w:pStyle w:val="BodyText"/>
              <w:spacing w:after="0"/>
              <w:rPr>
                <w:rFonts w:asciiTheme="minorHAnsi" w:hAnsiTheme="minorHAnsi" w:cstheme="minorHAnsi"/>
                <w:b/>
                <w:bCs/>
                <w:sz w:val="20"/>
                <w:szCs w:val="20"/>
              </w:rPr>
            </w:pPr>
          </w:p>
        </w:tc>
        <w:tc>
          <w:tcPr>
            <w:tcW w:w="2051" w:type="dxa"/>
          </w:tcPr>
          <w:p w:rsidR="009646B0" w:rsidRPr="000238A7" w:rsidP="004863F4" w14:paraId="062751FD"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98.456(c)</w:t>
            </w:r>
          </w:p>
        </w:tc>
        <w:tc>
          <w:tcPr>
            <w:tcW w:w="3330" w:type="dxa"/>
          </w:tcPr>
          <w:p w:rsidR="009646B0" w:rsidRPr="000238A7" w:rsidP="004863F4" w14:paraId="2D810704"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Pounds of each reportable insulating gas purchased in bulk.</w:t>
            </w:r>
          </w:p>
        </w:tc>
        <w:tc>
          <w:tcPr>
            <w:tcW w:w="2340" w:type="dxa"/>
          </w:tcPr>
          <w:p w:rsidR="009646B0" w:rsidRPr="000238A7" w:rsidP="004863F4" w14:paraId="49F6EF75"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Revised</w:t>
            </w:r>
          </w:p>
        </w:tc>
        <w:tc>
          <w:tcPr>
            <w:tcW w:w="3690" w:type="dxa"/>
          </w:tcPr>
          <w:p w:rsidR="009646B0" w:rsidRPr="000238A7" w:rsidP="004863F4" w14:paraId="214D2E87"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~5 reporters annually.</w:t>
            </w:r>
          </w:p>
        </w:tc>
      </w:tr>
      <w:tr w14:paraId="7E293D9E" w14:textId="77777777" w:rsidTr="004863F4">
        <w:tblPrEx>
          <w:tblW w:w="12937" w:type="dxa"/>
          <w:tblInd w:w="108" w:type="dxa"/>
          <w:tblLayout w:type="fixed"/>
          <w:tblLook w:val="04A0"/>
        </w:tblPrEx>
        <w:tc>
          <w:tcPr>
            <w:tcW w:w="1526" w:type="dxa"/>
            <w:vMerge/>
          </w:tcPr>
          <w:p w:rsidR="009646B0" w:rsidRPr="000238A7" w:rsidP="004863F4" w14:paraId="4D75C2EB" w14:textId="77777777">
            <w:pPr>
              <w:pStyle w:val="BodyText"/>
              <w:spacing w:after="0"/>
              <w:rPr>
                <w:rFonts w:asciiTheme="minorHAnsi" w:hAnsiTheme="minorHAnsi" w:cstheme="minorHAnsi"/>
                <w:b/>
                <w:bCs/>
                <w:sz w:val="20"/>
                <w:szCs w:val="20"/>
              </w:rPr>
            </w:pPr>
          </w:p>
        </w:tc>
        <w:tc>
          <w:tcPr>
            <w:tcW w:w="2051" w:type="dxa"/>
          </w:tcPr>
          <w:p w:rsidR="009646B0" w:rsidRPr="000238A7" w:rsidP="004863F4" w14:paraId="39C383DE"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98.456(d)</w:t>
            </w:r>
          </w:p>
        </w:tc>
        <w:tc>
          <w:tcPr>
            <w:tcW w:w="3330" w:type="dxa"/>
          </w:tcPr>
          <w:p w:rsidR="009646B0" w:rsidRPr="000238A7" w:rsidP="004863F4" w14:paraId="1CA6B4F7"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Pounds of each reportable insulating gas returned by equipment users with or inside equipment.</w:t>
            </w:r>
          </w:p>
        </w:tc>
        <w:tc>
          <w:tcPr>
            <w:tcW w:w="2340" w:type="dxa"/>
          </w:tcPr>
          <w:p w:rsidR="009646B0" w:rsidRPr="000238A7" w:rsidP="004863F4" w14:paraId="42792EFD"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Revised</w:t>
            </w:r>
          </w:p>
        </w:tc>
        <w:tc>
          <w:tcPr>
            <w:tcW w:w="3690" w:type="dxa"/>
          </w:tcPr>
          <w:p w:rsidR="009646B0" w:rsidRPr="000238A7" w:rsidP="004863F4" w14:paraId="3E0C6FC9"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~5 reporters annually.</w:t>
            </w:r>
          </w:p>
        </w:tc>
      </w:tr>
      <w:tr w14:paraId="47F34709" w14:textId="77777777" w:rsidTr="004863F4">
        <w:tblPrEx>
          <w:tblW w:w="12937" w:type="dxa"/>
          <w:tblInd w:w="108" w:type="dxa"/>
          <w:tblLayout w:type="fixed"/>
          <w:tblLook w:val="04A0"/>
        </w:tblPrEx>
        <w:tc>
          <w:tcPr>
            <w:tcW w:w="1526" w:type="dxa"/>
            <w:vMerge/>
          </w:tcPr>
          <w:p w:rsidR="009646B0" w:rsidRPr="000238A7" w:rsidP="004863F4" w14:paraId="0F2DE12B" w14:textId="77777777">
            <w:pPr>
              <w:pStyle w:val="BodyText"/>
              <w:spacing w:after="0"/>
              <w:rPr>
                <w:rFonts w:asciiTheme="minorHAnsi" w:hAnsiTheme="minorHAnsi" w:cstheme="minorHAnsi"/>
                <w:b/>
                <w:bCs/>
                <w:sz w:val="20"/>
                <w:szCs w:val="20"/>
              </w:rPr>
            </w:pPr>
          </w:p>
        </w:tc>
        <w:tc>
          <w:tcPr>
            <w:tcW w:w="2051" w:type="dxa"/>
          </w:tcPr>
          <w:p w:rsidR="009646B0" w:rsidRPr="000238A7" w:rsidP="004863F4" w14:paraId="6E23F161"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98.456(e)</w:t>
            </w:r>
          </w:p>
        </w:tc>
        <w:tc>
          <w:tcPr>
            <w:tcW w:w="3330" w:type="dxa"/>
          </w:tcPr>
          <w:p w:rsidR="009646B0" w:rsidRPr="000238A7" w:rsidP="004863F4" w14:paraId="73F0105E"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Pounds of each reportable insulating gas returned to site from off site after recycling.</w:t>
            </w:r>
          </w:p>
        </w:tc>
        <w:tc>
          <w:tcPr>
            <w:tcW w:w="2340" w:type="dxa"/>
          </w:tcPr>
          <w:p w:rsidR="009646B0" w:rsidRPr="000238A7" w:rsidP="004863F4" w14:paraId="5BB0E959"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Revised</w:t>
            </w:r>
          </w:p>
        </w:tc>
        <w:tc>
          <w:tcPr>
            <w:tcW w:w="3690" w:type="dxa"/>
          </w:tcPr>
          <w:p w:rsidR="009646B0" w:rsidRPr="000238A7" w:rsidP="004863F4" w14:paraId="2CF4D745"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~5 reporters annually.</w:t>
            </w:r>
          </w:p>
        </w:tc>
      </w:tr>
      <w:tr w14:paraId="6F8AE79A" w14:textId="77777777" w:rsidTr="004863F4">
        <w:tblPrEx>
          <w:tblW w:w="12937" w:type="dxa"/>
          <w:tblInd w:w="108" w:type="dxa"/>
          <w:tblLayout w:type="fixed"/>
          <w:tblLook w:val="04A0"/>
        </w:tblPrEx>
        <w:tc>
          <w:tcPr>
            <w:tcW w:w="1526" w:type="dxa"/>
            <w:vMerge/>
          </w:tcPr>
          <w:p w:rsidR="009646B0" w:rsidRPr="000238A7" w:rsidP="004863F4" w14:paraId="5AF8FD5C" w14:textId="77777777">
            <w:pPr>
              <w:pStyle w:val="BodyText"/>
              <w:spacing w:after="0"/>
              <w:rPr>
                <w:rFonts w:asciiTheme="minorHAnsi" w:hAnsiTheme="minorHAnsi" w:cstheme="minorHAnsi"/>
                <w:b/>
                <w:bCs/>
                <w:sz w:val="20"/>
                <w:szCs w:val="20"/>
              </w:rPr>
            </w:pPr>
          </w:p>
        </w:tc>
        <w:tc>
          <w:tcPr>
            <w:tcW w:w="2051" w:type="dxa"/>
          </w:tcPr>
          <w:p w:rsidR="009646B0" w:rsidRPr="000238A7" w:rsidP="004863F4" w14:paraId="1D1C8B24"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98.456(f)</w:t>
            </w:r>
          </w:p>
        </w:tc>
        <w:tc>
          <w:tcPr>
            <w:tcW w:w="3330" w:type="dxa"/>
          </w:tcPr>
          <w:p w:rsidR="009646B0" w:rsidRPr="000238A7" w:rsidP="004863F4" w14:paraId="6B1299F3"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Pounds of each reportable insulating gas inside new equipment delivered to customers.</w:t>
            </w:r>
          </w:p>
        </w:tc>
        <w:tc>
          <w:tcPr>
            <w:tcW w:w="2340" w:type="dxa"/>
          </w:tcPr>
          <w:p w:rsidR="009646B0" w:rsidRPr="000238A7" w:rsidP="004863F4" w14:paraId="43A8F01F"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Revised</w:t>
            </w:r>
          </w:p>
        </w:tc>
        <w:tc>
          <w:tcPr>
            <w:tcW w:w="3690" w:type="dxa"/>
          </w:tcPr>
          <w:p w:rsidR="009646B0" w:rsidRPr="000238A7" w:rsidP="004863F4" w14:paraId="43109E04"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~5 reporters annually.</w:t>
            </w:r>
          </w:p>
        </w:tc>
      </w:tr>
      <w:tr w14:paraId="64026570" w14:textId="77777777" w:rsidTr="004863F4">
        <w:tblPrEx>
          <w:tblW w:w="12937" w:type="dxa"/>
          <w:tblInd w:w="108" w:type="dxa"/>
          <w:tblLayout w:type="fixed"/>
          <w:tblLook w:val="04A0"/>
        </w:tblPrEx>
        <w:tc>
          <w:tcPr>
            <w:tcW w:w="1526" w:type="dxa"/>
            <w:vMerge/>
          </w:tcPr>
          <w:p w:rsidR="009646B0" w:rsidRPr="000238A7" w:rsidP="004863F4" w14:paraId="3EE3EB38" w14:textId="77777777">
            <w:pPr>
              <w:pStyle w:val="BodyText"/>
              <w:spacing w:after="0"/>
              <w:rPr>
                <w:rFonts w:asciiTheme="minorHAnsi" w:hAnsiTheme="minorHAnsi" w:cstheme="minorHAnsi"/>
                <w:b/>
                <w:bCs/>
                <w:sz w:val="20"/>
                <w:szCs w:val="20"/>
              </w:rPr>
            </w:pPr>
          </w:p>
        </w:tc>
        <w:tc>
          <w:tcPr>
            <w:tcW w:w="2051" w:type="dxa"/>
          </w:tcPr>
          <w:p w:rsidR="009646B0" w:rsidRPr="000238A7" w:rsidP="004863F4" w14:paraId="48C388F4"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98.456(g)</w:t>
            </w:r>
          </w:p>
        </w:tc>
        <w:tc>
          <w:tcPr>
            <w:tcW w:w="3330" w:type="dxa"/>
          </w:tcPr>
          <w:p w:rsidR="009646B0" w:rsidRPr="000238A7" w:rsidP="004863F4" w14:paraId="1069C8AB"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Pounds of each reportable insulating gas delivered to equipment users in containers.</w:t>
            </w:r>
          </w:p>
        </w:tc>
        <w:tc>
          <w:tcPr>
            <w:tcW w:w="2340" w:type="dxa"/>
          </w:tcPr>
          <w:p w:rsidR="009646B0" w:rsidRPr="000238A7" w:rsidP="004863F4" w14:paraId="4543FB4C"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Revised</w:t>
            </w:r>
          </w:p>
        </w:tc>
        <w:tc>
          <w:tcPr>
            <w:tcW w:w="3690" w:type="dxa"/>
          </w:tcPr>
          <w:p w:rsidR="009646B0" w:rsidRPr="000238A7" w:rsidP="004863F4" w14:paraId="5C0C6EC5"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~5 reporters annually.</w:t>
            </w:r>
          </w:p>
        </w:tc>
      </w:tr>
      <w:tr w14:paraId="77D28074" w14:textId="77777777" w:rsidTr="004863F4">
        <w:tblPrEx>
          <w:tblW w:w="12937" w:type="dxa"/>
          <w:tblInd w:w="108" w:type="dxa"/>
          <w:tblLayout w:type="fixed"/>
          <w:tblLook w:val="04A0"/>
        </w:tblPrEx>
        <w:tc>
          <w:tcPr>
            <w:tcW w:w="1526" w:type="dxa"/>
            <w:vMerge w:val="restart"/>
          </w:tcPr>
          <w:p w:rsidR="009646B0" w:rsidRPr="000238A7" w:rsidP="004863F4" w14:paraId="4AFA6CC7"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 xml:space="preserve">Subpart SS - Electrical Equipment </w:t>
            </w:r>
            <w:r w:rsidRPr="000238A7">
              <w:rPr>
                <w:rFonts w:asciiTheme="minorHAnsi" w:hAnsiTheme="minorHAnsi" w:cstheme="minorHAnsi"/>
                <w:sz w:val="20"/>
                <w:szCs w:val="20"/>
              </w:rPr>
              <w:t>Manufacture and Refurbishment</w:t>
            </w:r>
          </w:p>
        </w:tc>
        <w:tc>
          <w:tcPr>
            <w:tcW w:w="2051" w:type="dxa"/>
          </w:tcPr>
          <w:p w:rsidR="009646B0" w:rsidRPr="000238A7" w:rsidP="004863F4" w14:paraId="042BE823"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98.456(h)</w:t>
            </w:r>
          </w:p>
        </w:tc>
        <w:tc>
          <w:tcPr>
            <w:tcW w:w="3330" w:type="dxa"/>
          </w:tcPr>
          <w:p w:rsidR="009646B0" w:rsidRPr="000238A7" w:rsidP="004863F4" w14:paraId="23753207"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Pounds of each reportable insulating gas returned to suppliers.</w:t>
            </w:r>
          </w:p>
        </w:tc>
        <w:tc>
          <w:tcPr>
            <w:tcW w:w="2340" w:type="dxa"/>
          </w:tcPr>
          <w:p w:rsidR="009646B0" w:rsidRPr="000238A7" w:rsidP="004863F4" w14:paraId="620CE991"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Revised</w:t>
            </w:r>
          </w:p>
        </w:tc>
        <w:tc>
          <w:tcPr>
            <w:tcW w:w="3690" w:type="dxa"/>
          </w:tcPr>
          <w:p w:rsidR="009646B0" w:rsidRPr="000238A7" w:rsidP="004863F4" w14:paraId="24695444"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Increase - requires respondents to ascertain the data element using readily available data and submit the value via e-</w:t>
            </w:r>
            <w:r w:rsidRPr="000238A7">
              <w:rPr>
                <w:rFonts w:asciiTheme="minorHAnsi" w:hAnsiTheme="minorHAnsi" w:cstheme="minorHAnsi"/>
                <w:sz w:val="20"/>
                <w:szCs w:val="20"/>
              </w:rPr>
              <w:t>GGRT as part of the annual report. This data element will affect ~5 reporters annually.</w:t>
            </w:r>
          </w:p>
        </w:tc>
      </w:tr>
      <w:tr w14:paraId="4BFC494D" w14:textId="77777777" w:rsidTr="004863F4">
        <w:tblPrEx>
          <w:tblW w:w="12937" w:type="dxa"/>
          <w:tblInd w:w="108" w:type="dxa"/>
          <w:tblLayout w:type="fixed"/>
          <w:tblLook w:val="04A0"/>
        </w:tblPrEx>
        <w:tc>
          <w:tcPr>
            <w:tcW w:w="1526" w:type="dxa"/>
            <w:vMerge/>
          </w:tcPr>
          <w:p w:rsidR="009646B0" w:rsidRPr="000238A7" w:rsidP="004863F4" w14:paraId="6196D47B" w14:textId="77777777">
            <w:pPr>
              <w:pStyle w:val="BodyText"/>
              <w:spacing w:after="0"/>
              <w:rPr>
                <w:rFonts w:asciiTheme="minorHAnsi" w:hAnsiTheme="minorHAnsi" w:cstheme="minorHAnsi"/>
                <w:b/>
                <w:bCs/>
                <w:sz w:val="20"/>
                <w:szCs w:val="20"/>
              </w:rPr>
            </w:pPr>
          </w:p>
        </w:tc>
        <w:tc>
          <w:tcPr>
            <w:tcW w:w="2051" w:type="dxa"/>
          </w:tcPr>
          <w:p w:rsidR="009646B0" w:rsidRPr="000238A7" w:rsidP="004863F4" w14:paraId="726253B7"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98.456(</w:t>
            </w:r>
            <w:r w:rsidRPr="000238A7">
              <w:rPr>
                <w:rFonts w:asciiTheme="minorHAnsi" w:hAnsiTheme="minorHAnsi" w:cstheme="minorHAnsi"/>
                <w:sz w:val="20"/>
                <w:szCs w:val="20"/>
              </w:rPr>
              <w:t>i</w:t>
            </w:r>
            <w:r w:rsidRPr="000238A7">
              <w:rPr>
                <w:rFonts w:asciiTheme="minorHAnsi" w:hAnsiTheme="minorHAnsi" w:cstheme="minorHAnsi"/>
                <w:sz w:val="20"/>
                <w:szCs w:val="20"/>
              </w:rPr>
              <w:t>)</w:t>
            </w:r>
          </w:p>
        </w:tc>
        <w:tc>
          <w:tcPr>
            <w:tcW w:w="3330" w:type="dxa"/>
          </w:tcPr>
          <w:p w:rsidR="009646B0" w:rsidRPr="000238A7" w:rsidP="004863F4" w14:paraId="413275F0"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Pounds of each reportable insulating gas sent off site for destruction.</w:t>
            </w:r>
          </w:p>
        </w:tc>
        <w:tc>
          <w:tcPr>
            <w:tcW w:w="2340" w:type="dxa"/>
          </w:tcPr>
          <w:p w:rsidR="009646B0" w:rsidRPr="000238A7" w:rsidP="004863F4" w14:paraId="47E345BD"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Revised</w:t>
            </w:r>
          </w:p>
        </w:tc>
        <w:tc>
          <w:tcPr>
            <w:tcW w:w="3690" w:type="dxa"/>
          </w:tcPr>
          <w:p w:rsidR="009646B0" w:rsidRPr="000238A7" w:rsidP="004863F4" w14:paraId="74F73D6C"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~5 reporters annually.</w:t>
            </w:r>
          </w:p>
        </w:tc>
      </w:tr>
      <w:tr w14:paraId="69D298A6" w14:textId="77777777" w:rsidTr="004863F4">
        <w:tblPrEx>
          <w:tblW w:w="12937" w:type="dxa"/>
          <w:tblInd w:w="108" w:type="dxa"/>
          <w:tblLayout w:type="fixed"/>
          <w:tblLook w:val="04A0"/>
        </w:tblPrEx>
        <w:tc>
          <w:tcPr>
            <w:tcW w:w="1526" w:type="dxa"/>
            <w:vMerge/>
          </w:tcPr>
          <w:p w:rsidR="009646B0" w:rsidRPr="000238A7" w:rsidP="004863F4" w14:paraId="2894EC8F" w14:textId="77777777">
            <w:pPr>
              <w:pStyle w:val="BodyText"/>
              <w:spacing w:after="0"/>
              <w:rPr>
                <w:rFonts w:asciiTheme="minorHAnsi" w:hAnsiTheme="minorHAnsi" w:cstheme="minorHAnsi"/>
                <w:b/>
                <w:bCs/>
                <w:sz w:val="20"/>
                <w:szCs w:val="20"/>
              </w:rPr>
            </w:pPr>
          </w:p>
        </w:tc>
        <w:tc>
          <w:tcPr>
            <w:tcW w:w="2051" w:type="dxa"/>
          </w:tcPr>
          <w:p w:rsidR="009646B0" w:rsidRPr="000238A7" w:rsidP="004863F4" w14:paraId="7443FEC4"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98.456(j)</w:t>
            </w:r>
          </w:p>
        </w:tc>
        <w:tc>
          <w:tcPr>
            <w:tcW w:w="3330" w:type="dxa"/>
          </w:tcPr>
          <w:p w:rsidR="009646B0" w:rsidRPr="000238A7" w:rsidP="004863F4" w14:paraId="6F9196B8"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Pounds of each reportable insulating gas sent off site to be recycled.</w:t>
            </w:r>
          </w:p>
        </w:tc>
        <w:tc>
          <w:tcPr>
            <w:tcW w:w="2340" w:type="dxa"/>
          </w:tcPr>
          <w:p w:rsidR="009646B0" w:rsidRPr="000238A7" w:rsidP="004863F4" w14:paraId="3F4FF1E0"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Revised</w:t>
            </w:r>
          </w:p>
        </w:tc>
        <w:tc>
          <w:tcPr>
            <w:tcW w:w="3690" w:type="dxa"/>
          </w:tcPr>
          <w:p w:rsidR="009646B0" w:rsidRPr="000238A7" w:rsidP="004863F4" w14:paraId="78FF00E7"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~5 reporters annually.</w:t>
            </w:r>
          </w:p>
        </w:tc>
      </w:tr>
      <w:tr w14:paraId="73DA63CF" w14:textId="77777777" w:rsidTr="004863F4">
        <w:tblPrEx>
          <w:tblW w:w="12937" w:type="dxa"/>
          <w:tblInd w:w="108" w:type="dxa"/>
          <w:tblLayout w:type="fixed"/>
          <w:tblLook w:val="04A0"/>
        </w:tblPrEx>
        <w:tc>
          <w:tcPr>
            <w:tcW w:w="1526" w:type="dxa"/>
            <w:vMerge/>
          </w:tcPr>
          <w:p w:rsidR="009646B0" w:rsidRPr="000238A7" w:rsidP="004863F4" w14:paraId="4F370686" w14:textId="77777777">
            <w:pPr>
              <w:pStyle w:val="BodyText"/>
              <w:spacing w:after="0"/>
              <w:rPr>
                <w:rFonts w:asciiTheme="minorHAnsi" w:hAnsiTheme="minorHAnsi" w:cstheme="minorHAnsi"/>
                <w:b/>
                <w:bCs/>
                <w:sz w:val="20"/>
                <w:szCs w:val="20"/>
              </w:rPr>
            </w:pPr>
          </w:p>
        </w:tc>
        <w:tc>
          <w:tcPr>
            <w:tcW w:w="2051" w:type="dxa"/>
          </w:tcPr>
          <w:p w:rsidR="009646B0" w:rsidRPr="000238A7" w:rsidP="004863F4" w14:paraId="0D0223F1"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98.456(o)</w:t>
            </w:r>
          </w:p>
        </w:tc>
        <w:tc>
          <w:tcPr>
            <w:tcW w:w="3330" w:type="dxa"/>
          </w:tcPr>
          <w:p w:rsidR="009646B0" w:rsidRPr="000238A7" w:rsidP="004863F4" w14:paraId="26297F30"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If the mass of each reportable insulating gas disbursed to customers in new equipment over the period p that is determined according to the methods required in §98.453(h), report the mean value of nameplate capacity in pounds for each make, model, and group of conditions.</w:t>
            </w:r>
          </w:p>
        </w:tc>
        <w:tc>
          <w:tcPr>
            <w:tcW w:w="2340" w:type="dxa"/>
          </w:tcPr>
          <w:p w:rsidR="009646B0" w:rsidRPr="000238A7" w:rsidP="004863F4" w14:paraId="2101157A"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Revised</w:t>
            </w:r>
          </w:p>
        </w:tc>
        <w:tc>
          <w:tcPr>
            <w:tcW w:w="3690" w:type="dxa"/>
          </w:tcPr>
          <w:p w:rsidR="009646B0" w:rsidRPr="000238A7" w:rsidP="004863F4" w14:paraId="41A1B646"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~5 reporters annually.</w:t>
            </w:r>
          </w:p>
        </w:tc>
      </w:tr>
      <w:tr w14:paraId="65077F5D" w14:textId="77777777" w:rsidTr="004863F4">
        <w:tblPrEx>
          <w:tblW w:w="12937" w:type="dxa"/>
          <w:tblInd w:w="108" w:type="dxa"/>
          <w:tblLayout w:type="fixed"/>
          <w:tblLook w:val="04A0"/>
        </w:tblPrEx>
        <w:tc>
          <w:tcPr>
            <w:tcW w:w="1526" w:type="dxa"/>
            <w:vMerge/>
          </w:tcPr>
          <w:p w:rsidR="009646B0" w:rsidRPr="000238A7" w:rsidP="004863F4" w14:paraId="1C33E7E0" w14:textId="77777777">
            <w:pPr>
              <w:pStyle w:val="BodyText"/>
              <w:spacing w:after="0"/>
              <w:rPr>
                <w:rFonts w:asciiTheme="minorHAnsi" w:hAnsiTheme="minorHAnsi" w:cstheme="minorHAnsi"/>
                <w:b/>
                <w:bCs/>
                <w:sz w:val="20"/>
                <w:szCs w:val="20"/>
              </w:rPr>
            </w:pPr>
          </w:p>
        </w:tc>
        <w:tc>
          <w:tcPr>
            <w:tcW w:w="2051" w:type="dxa"/>
          </w:tcPr>
          <w:p w:rsidR="009646B0" w:rsidRPr="000238A7" w:rsidP="004863F4" w14:paraId="0E53309A"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98.456(q)</w:t>
            </w:r>
          </w:p>
        </w:tc>
        <w:tc>
          <w:tcPr>
            <w:tcW w:w="3330" w:type="dxa"/>
          </w:tcPr>
          <w:p w:rsidR="009646B0" w:rsidRPr="000238A7" w:rsidP="004863F4" w14:paraId="287C4E93" w14:textId="7692F144">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Pounds of each insulating gas used to fill equipment at off-site electric power transmission or distribution locations, or M</w:t>
            </w:r>
            <w:r w:rsidRPr="000238A7">
              <w:rPr>
                <w:rFonts w:asciiTheme="minorHAnsi" w:hAnsiTheme="minorHAnsi" w:cstheme="minorHAnsi"/>
                <w:sz w:val="20"/>
                <w:szCs w:val="20"/>
                <w:vertAlign w:val="subscript"/>
              </w:rPr>
              <w:t>F</w:t>
            </w:r>
            <w:r w:rsidRPr="000238A7">
              <w:rPr>
                <w:rFonts w:asciiTheme="minorHAnsi" w:hAnsiTheme="minorHAnsi" w:cstheme="minorHAnsi"/>
                <w:sz w:val="20"/>
                <w:szCs w:val="20"/>
              </w:rPr>
              <w:t xml:space="preserve">, of Equation SS-7 </w:t>
            </w:r>
            <w:r w:rsidRPr="000238A7" w:rsidR="008757B4">
              <w:rPr>
                <w:rFonts w:asciiTheme="minorHAnsi" w:hAnsiTheme="minorHAnsi" w:cstheme="minorHAnsi"/>
                <w:sz w:val="20"/>
                <w:szCs w:val="20"/>
              </w:rPr>
              <w:t>to § 98.453</w:t>
            </w:r>
            <w:r w:rsidRPr="000238A7">
              <w:rPr>
                <w:rFonts w:asciiTheme="minorHAnsi" w:hAnsiTheme="minorHAnsi" w:cstheme="minorHAnsi"/>
                <w:sz w:val="20"/>
                <w:szCs w:val="20"/>
              </w:rPr>
              <w:t>.</w:t>
            </w:r>
          </w:p>
        </w:tc>
        <w:tc>
          <w:tcPr>
            <w:tcW w:w="2340" w:type="dxa"/>
          </w:tcPr>
          <w:p w:rsidR="009646B0" w:rsidRPr="000238A7" w:rsidP="004863F4" w14:paraId="43DF33F2"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Revised</w:t>
            </w:r>
          </w:p>
        </w:tc>
        <w:tc>
          <w:tcPr>
            <w:tcW w:w="3690" w:type="dxa"/>
          </w:tcPr>
          <w:p w:rsidR="009646B0" w:rsidRPr="000238A7" w:rsidP="004863F4" w14:paraId="64D89CE2"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~5 reporters annually.</w:t>
            </w:r>
          </w:p>
        </w:tc>
      </w:tr>
      <w:tr w14:paraId="7DF16341" w14:textId="77777777" w:rsidTr="004863F4">
        <w:tblPrEx>
          <w:tblW w:w="12937" w:type="dxa"/>
          <w:tblInd w:w="108" w:type="dxa"/>
          <w:tblLayout w:type="fixed"/>
          <w:tblLook w:val="04A0"/>
        </w:tblPrEx>
        <w:tc>
          <w:tcPr>
            <w:tcW w:w="1526" w:type="dxa"/>
            <w:vMerge/>
          </w:tcPr>
          <w:p w:rsidR="009646B0" w:rsidRPr="000238A7" w:rsidP="004863F4" w14:paraId="6BADF6E3" w14:textId="77777777">
            <w:pPr>
              <w:pStyle w:val="BodyText"/>
              <w:spacing w:after="0"/>
              <w:rPr>
                <w:rFonts w:asciiTheme="minorHAnsi" w:hAnsiTheme="minorHAnsi" w:cstheme="minorHAnsi"/>
                <w:b/>
                <w:bCs/>
                <w:sz w:val="20"/>
                <w:szCs w:val="20"/>
              </w:rPr>
            </w:pPr>
          </w:p>
        </w:tc>
        <w:tc>
          <w:tcPr>
            <w:tcW w:w="2051" w:type="dxa"/>
          </w:tcPr>
          <w:p w:rsidR="009646B0" w:rsidRPr="000238A7" w:rsidP="004863F4" w14:paraId="0BE55615"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98.456(r)</w:t>
            </w:r>
          </w:p>
        </w:tc>
        <w:tc>
          <w:tcPr>
            <w:tcW w:w="3330" w:type="dxa"/>
          </w:tcPr>
          <w:p w:rsidR="009646B0" w:rsidRPr="000238A7" w:rsidP="004863F4" w14:paraId="78242197" w14:textId="21FD444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 xml:space="preserve">Pounds of each insulating gas used to charge the equipment prior to leaving the electrical equipment manufacturer or refurbishment </w:t>
            </w:r>
            <w:r w:rsidRPr="000238A7">
              <w:rPr>
                <w:rFonts w:asciiTheme="minorHAnsi" w:hAnsiTheme="minorHAnsi" w:cstheme="minorHAnsi"/>
                <w:sz w:val="20"/>
                <w:szCs w:val="20"/>
              </w:rPr>
              <w:t>facility, or M</w:t>
            </w:r>
            <w:r w:rsidRPr="000238A7">
              <w:rPr>
                <w:rFonts w:asciiTheme="minorHAnsi" w:hAnsiTheme="minorHAnsi" w:cstheme="minorHAnsi"/>
                <w:sz w:val="20"/>
                <w:szCs w:val="20"/>
                <w:vertAlign w:val="subscript"/>
              </w:rPr>
              <w:t>C</w:t>
            </w:r>
            <w:r w:rsidRPr="000238A7">
              <w:rPr>
                <w:rFonts w:asciiTheme="minorHAnsi" w:hAnsiTheme="minorHAnsi" w:cstheme="minorHAnsi"/>
                <w:sz w:val="20"/>
                <w:szCs w:val="20"/>
              </w:rPr>
              <w:t xml:space="preserve">, of Equation SS-7 </w:t>
            </w:r>
            <w:r w:rsidRPr="000238A7" w:rsidR="008757B4">
              <w:rPr>
                <w:rFonts w:asciiTheme="minorHAnsi" w:hAnsiTheme="minorHAnsi" w:cstheme="minorHAnsi"/>
                <w:sz w:val="20"/>
                <w:szCs w:val="20"/>
              </w:rPr>
              <w:t>to § 98.453</w:t>
            </w:r>
            <w:r w:rsidRPr="000238A7">
              <w:rPr>
                <w:rFonts w:asciiTheme="minorHAnsi" w:hAnsiTheme="minorHAnsi" w:cstheme="minorHAnsi"/>
                <w:sz w:val="20"/>
                <w:szCs w:val="20"/>
              </w:rPr>
              <w:t>.</w:t>
            </w:r>
          </w:p>
        </w:tc>
        <w:tc>
          <w:tcPr>
            <w:tcW w:w="2340" w:type="dxa"/>
          </w:tcPr>
          <w:p w:rsidR="009646B0" w:rsidRPr="000238A7" w:rsidP="004863F4" w14:paraId="1D29A661"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Revised</w:t>
            </w:r>
          </w:p>
        </w:tc>
        <w:tc>
          <w:tcPr>
            <w:tcW w:w="3690" w:type="dxa"/>
          </w:tcPr>
          <w:p w:rsidR="009646B0" w:rsidRPr="000238A7" w:rsidP="004863F4" w14:paraId="61E088EA"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 xml:space="preserve">Increase - requires respondents to ascertain the data element using readily available data and submit the value via e-GGRT as part of the annual report. This </w:t>
            </w:r>
            <w:r w:rsidRPr="000238A7">
              <w:rPr>
                <w:rFonts w:asciiTheme="minorHAnsi" w:hAnsiTheme="minorHAnsi" w:cstheme="minorHAnsi"/>
                <w:sz w:val="20"/>
                <w:szCs w:val="20"/>
              </w:rPr>
              <w:t>data element will affect ~5 reporters annually.</w:t>
            </w:r>
          </w:p>
        </w:tc>
      </w:tr>
      <w:tr w14:paraId="53D2A8A2" w14:textId="77777777" w:rsidTr="004863F4">
        <w:tblPrEx>
          <w:tblW w:w="12937" w:type="dxa"/>
          <w:tblInd w:w="108" w:type="dxa"/>
          <w:tblLayout w:type="fixed"/>
          <w:tblLook w:val="04A0"/>
        </w:tblPrEx>
        <w:tc>
          <w:tcPr>
            <w:tcW w:w="1526" w:type="dxa"/>
            <w:vMerge w:val="restart"/>
          </w:tcPr>
          <w:p w:rsidR="009646B0" w:rsidRPr="000238A7" w:rsidP="004863F4" w14:paraId="3079A42F"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Subpart SS - Electrical Equipment Manufacture and Refurbishment</w:t>
            </w:r>
          </w:p>
        </w:tc>
        <w:tc>
          <w:tcPr>
            <w:tcW w:w="2051" w:type="dxa"/>
          </w:tcPr>
          <w:p w:rsidR="009646B0" w:rsidRPr="000238A7" w:rsidP="004863F4" w14:paraId="459C6462"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98.456(u)</w:t>
            </w:r>
          </w:p>
        </w:tc>
        <w:tc>
          <w:tcPr>
            <w:tcW w:w="3330" w:type="dxa"/>
          </w:tcPr>
          <w:p w:rsidR="009646B0" w:rsidRPr="000238A7" w:rsidP="004863F4" w14:paraId="1BC3DE1E"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For each ID number of descriptor for each unique insulating gas reported in paragraphs (a) through (j) and (o) through (r), an ID number or other appropriate descriptor.</w:t>
            </w:r>
          </w:p>
        </w:tc>
        <w:tc>
          <w:tcPr>
            <w:tcW w:w="2340" w:type="dxa"/>
          </w:tcPr>
          <w:p w:rsidR="009646B0" w:rsidRPr="000238A7" w:rsidP="004863F4" w14:paraId="442CE88F"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New</w:t>
            </w:r>
          </w:p>
        </w:tc>
        <w:tc>
          <w:tcPr>
            <w:tcW w:w="3690" w:type="dxa"/>
          </w:tcPr>
          <w:p w:rsidR="009646B0" w:rsidRPr="000238A7" w:rsidP="004863F4" w14:paraId="09E2909E"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~5 reporters annually.</w:t>
            </w:r>
          </w:p>
        </w:tc>
      </w:tr>
      <w:tr w14:paraId="0C949D01" w14:textId="77777777" w:rsidTr="004863F4">
        <w:tblPrEx>
          <w:tblW w:w="12937" w:type="dxa"/>
          <w:tblInd w:w="108" w:type="dxa"/>
          <w:tblLayout w:type="fixed"/>
          <w:tblLook w:val="04A0"/>
        </w:tblPrEx>
        <w:tc>
          <w:tcPr>
            <w:tcW w:w="1526" w:type="dxa"/>
            <w:vMerge/>
          </w:tcPr>
          <w:p w:rsidR="009646B0" w:rsidRPr="000238A7" w:rsidP="004863F4" w14:paraId="539C2146" w14:textId="77777777">
            <w:pPr>
              <w:pStyle w:val="BodyText"/>
              <w:spacing w:after="0"/>
              <w:rPr>
                <w:rFonts w:asciiTheme="minorHAnsi" w:hAnsiTheme="minorHAnsi" w:cstheme="minorHAnsi"/>
                <w:b/>
                <w:bCs/>
                <w:sz w:val="20"/>
                <w:szCs w:val="20"/>
              </w:rPr>
            </w:pPr>
          </w:p>
        </w:tc>
        <w:tc>
          <w:tcPr>
            <w:tcW w:w="2051" w:type="dxa"/>
          </w:tcPr>
          <w:p w:rsidR="009646B0" w:rsidRPr="000238A7" w:rsidP="004863F4" w14:paraId="27B54CC7"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98.456(v)</w:t>
            </w:r>
          </w:p>
        </w:tc>
        <w:tc>
          <w:tcPr>
            <w:tcW w:w="3330" w:type="dxa"/>
          </w:tcPr>
          <w:p w:rsidR="009646B0" w:rsidRPr="000238A7" w:rsidP="004863F4" w14:paraId="714F39AB"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 xml:space="preserve">For each unique insulating gas, name </w:t>
            </w:r>
            <w:r w:rsidRPr="000238A7">
              <w:rPr>
                <w:rFonts w:asciiTheme="minorHAnsi" w:hAnsiTheme="minorHAnsi" w:cstheme="minorHAnsi"/>
                <w:sz w:val="20"/>
                <w:szCs w:val="20"/>
                <w:u w:val="single"/>
              </w:rPr>
              <w:t>(as required in § 98.3(c)(4)(iii)(G)(1))</w:t>
            </w:r>
            <w:r w:rsidRPr="000238A7">
              <w:rPr>
                <w:rFonts w:asciiTheme="minorHAnsi" w:hAnsiTheme="minorHAnsi" w:cstheme="minorHAnsi"/>
                <w:sz w:val="20"/>
                <w:szCs w:val="20"/>
              </w:rPr>
              <w:t xml:space="preserve"> and weight percent of each fluorinated gas in the insulating gas reported in paragraphs (a)- through (j) and (o)- through (r) of this section.</w:t>
            </w:r>
          </w:p>
        </w:tc>
        <w:tc>
          <w:tcPr>
            <w:tcW w:w="2340" w:type="dxa"/>
          </w:tcPr>
          <w:p w:rsidR="009646B0" w:rsidRPr="000238A7" w:rsidP="004863F4" w14:paraId="07644AFD"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New</w:t>
            </w:r>
          </w:p>
        </w:tc>
        <w:tc>
          <w:tcPr>
            <w:tcW w:w="3690" w:type="dxa"/>
          </w:tcPr>
          <w:p w:rsidR="009646B0" w:rsidRPr="000238A7" w:rsidP="004863F4" w14:paraId="2D9D74BF" w14:textId="77777777">
            <w:pPr>
              <w:pStyle w:val="BodyText"/>
              <w:spacing w:after="0"/>
              <w:rPr>
                <w:rFonts w:asciiTheme="minorHAnsi" w:hAnsiTheme="minorHAnsi" w:cstheme="minorHAnsi"/>
                <w:b/>
                <w:bCs/>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~5 reporters annually.</w:t>
            </w:r>
          </w:p>
        </w:tc>
      </w:tr>
      <w:tr w14:paraId="1BF94273" w14:textId="77777777" w:rsidTr="004863F4">
        <w:tblPrEx>
          <w:tblW w:w="12937" w:type="dxa"/>
          <w:tblInd w:w="108" w:type="dxa"/>
          <w:tblLayout w:type="fixed"/>
          <w:tblLook w:val="04A0"/>
        </w:tblPrEx>
        <w:tc>
          <w:tcPr>
            <w:tcW w:w="1526" w:type="dxa"/>
            <w:vMerge w:val="restart"/>
          </w:tcPr>
          <w:p w:rsidR="009646B0" w:rsidRPr="000238A7" w:rsidP="004863F4" w14:paraId="3C57EC2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Subpart VV - Geologic Sequestration of Carbon Dioxide with Enhanced Oil Recovery Using ISO 27916</w:t>
            </w:r>
          </w:p>
        </w:tc>
        <w:tc>
          <w:tcPr>
            <w:tcW w:w="2051" w:type="dxa"/>
          </w:tcPr>
          <w:p w:rsidR="009646B0" w:rsidRPr="000238A7" w:rsidP="004863F4" w14:paraId="140A93B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98.481(b)(3)</w:t>
            </w:r>
          </w:p>
        </w:tc>
        <w:tc>
          <w:tcPr>
            <w:tcW w:w="3330" w:type="dxa"/>
          </w:tcPr>
          <w:p w:rsidR="009646B0" w:rsidRPr="000238A7" w:rsidP="004863F4" w14:paraId="74D2AD1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Notification of intent to cease reporting.</w:t>
            </w:r>
          </w:p>
        </w:tc>
        <w:tc>
          <w:tcPr>
            <w:tcW w:w="2340" w:type="dxa"/>
          </w:tcPr>
          <w:p w:rsidR="009646B0" w:rsidRPr="000238A7" w:rsidP="004863F4" w14:paraId="51487AF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64A152F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1EA784D8" w14:textId="77777777" w:rsidTr="004863F4">
        <w:tblPrEx>
          <w:tblW w:w="12937" w:type="dxa"/>
          <w:tblInd w:w="108" w:type="dxa"/>
          <w:tblLayout w:type="fixed"/>
          <w:tblLook w:val="04A0"/>
        </w:tblPrEx>
        <w:tc>
          <w:tcPr>
            <w:tcW w:w="1526" w:type="dxa"/>
            <w:vMerge/>
          </w:tcPr>
          <w:p w:rsidR="009646B0" w:rsidRPr="000238A7" w:rsidP="004863F4" w14:paraId="4476F265" w14:textId="77777777">
            <w:pPr>
              <w:pStyle w:val="BodyText"/>
              <w:spacing w:after="0"/>
              <w:rPr>
                <w:rFonts w:asciiTheme="minorHAnsi" w:hAnsiTheme="minorHAnsi" w:cstheme="minorHAnsi"/>
                <w:sz w:val="20"/>
                <w:szCs w:val="20"/>
              </w:rPr>
            </w:pPr>
          </w:p>
        </w:tc>
        <w:tc>
          <w:tcPr>
            <w:tcW w:w="2051" w:type="dxa"/>
          </w:tcPr>
          <w:p w:rsidR="009646B0" w:rsidRPr="000238A7" w:rsidP="004863F4" w14:paraId="223DE48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98.481(b)(3)</w:t>
            </w:r>
          </w:p>
        </w:tc>
        <w:tc>
          <w:tcPr>
            <w:tcW w:w="3330" w:type="dxa"/>
          </w:tcPr>
          <w:p w:rsidR="009646B0" w:rsidRPr="000238A7" w:rsidP="004863F4" w14:paraId="3B74249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Copy of CO2-EOR project termination documentation.</w:t>
            </w:r>
          </w:p>
        </w:tc>
        <w:tc>
          <w:tcPr>
            <w:tcW w:w="2340" w:type="dxa"/>
          </w:tcPr>
          <w:p w:rsidR="009646B0" w:rsidRPr="000238A7" w:rsidP="004863F4" w14:paraId="71ABCA9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668886C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1B444D9C" w14:textId="77777777" w:rsidTr="004863F4">
        <w:tblPrEx>
          <w:tblW w:w="12937" w:type="dxa"/>
          <w:tblInd w:w="108" w:type="dxa"/>
          <w:tblLayout w:type="fixed"/>
          <w:tblLook w:val="04A0"/>
        </w:tblPrEx>
        <w:tc>
          <w:tcPr>
            <w:tcW w:w="1526" w:type="dxa"/>
            <w:vMerge/>
          </w:tcPr>
          <w:p w:rsidR="009646B0" w:rsidRPr="000238A7" w:rsidP="004863F4" w14:paraId="1BA0124F" w14:textId="77777777">
            <w:pPr>
              <w:pStyle w:val="BodyText"/>
              <w:spacing w:after="0"/>
              <w:rPr>
                <w:rFonts w:asciiTheme="minorHAnsi" w:hAnsiTheme="minorHAnsi" w:cstheme="minorHAnsi"/>
                <w:sz w:val="20"/>
                <w:szCs w:val="20"/>
              </w:rPr>
            </w:pPr>
          </w:p>
        </w:tc>
        <w:tc>
          <w:tcPr>
            <w:tcW w:w="2051" w:type="dxa"/>
          </w:tcPr>
          <w:p w:rsidR="009646B0" w:rsidRPr="000238A7" w:rsidP="004863F4" w14:paraId="66EB313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98.486(a)</w:t>
            </w:r>
          </w:p>
        </w:tc>
        <w:tc>
          <w:tcPr>
            <w:tcW w:w="3330" w:type="dxa"/>
          </w:tcPr>
          <w:p w:rsidR="009646B0" w:rsidRPr="000238A7" w:rsidP="004863F4" w14:paraId="67CD21D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The annual quantity of associated storage in metric tons of CO</w:t>
            </w:r>
            <w:r w:rsidRPr="000238A7">
              <w:rPr>
                <w:rFonts w:asciiTheme="minorHAnsi" w:hAnsiTheme="minorHAnsi" w:cstheme="minorHAnsi"/>
                <w:sz w:val="20"/>
                <w:szCs w:val="20"/>
                <w:vertAlign w:val="subscript"/>
              </w:rPr>
              <w:t>2.</w:t>
            </w:r>
          </w:p>
        </w:tc>
        <w:tc>
          <w:tcPr>
            <w:tcW w:w="2340" w:type="dxa"/>
          </w:tcPr>
          <w:p w:rsidR="009646B0" w:rsidRPr="000238A7" w:rsidP="004863F4" w14:paraId="43981AC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3D48572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46C02EAD" w14:textId="77777777" w:rsidTr="004863F4">
        <w:tblPrEx>
          <w:tblW w:w="12937" w:type="dxa"/>
          <w:tblInd w:w="108" w:type="dxa"/>
          <w:tblLayout w:type="fixed"/>
          <w:tblLook w:val="04A0"/>
        </w:tblPrEx>
        <w:tc>
          <w:tcPr>
            <w:tcW w:w="1526" w:type="dxa"/>
            <w:vMerge/>
          </w:tcPr>
          <w:p w:rsidR="009646B0" w:rsidRPr="000238A7" w:rsidP="004863F4" w14:paraId="2662165E" w14:textId="77777777">
            <w:pPr>
              <w:pStyle w:val="BodyText"/>
              <w:spacing w:after="0"/>
              <w:rPr>
                <w:rFonts w:asciiTheme="minorHAnsi" w:hAnsiTheme="minorHAnsi" w:cstheme="minorHAnsi"/>
                <w:sz w:val="20"/>
                <w:szCs w:val="20"/>
              </w:rPr>
            </w:pPr>
          </w:p>
        </w:tc>
        <w:tc>
          <w:tcPr>
            <w:tcW w:w="2051" w:type="dxa"/>
          </w:tcPr>
          <w:p w:rsidR="009646B0" w:rsidRPr="000238A7" w:rsidP="004863F4" w14:paraId="1C00CC9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98.486(b)</w:t>
            </w:r>
          </w:p>
        </w:tc>
        <w:tc>
          <w:tcPr>
            <w:tcW w:w="3330" w:type="dxa"/>
          </w:tcPr>
          <w:p w:rsidR="009646B0" w:rsidRPr="000238A7" w:rsidP="004863F4" w14:paraId="65B4CE4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The density of CO</w:t>
            </w:r>
            <w:r w:rsidRPr="000238A7">
              <w:rPr>
                <w:rFonts w:asciiTheme="minorHAnsi" w:hAnsiTheme="minorHAnsi" w:cstheme="minorHAnsi"/>
                <w:sz w:val="20"/>
                <w:szCs w:val="20"/>
                <w:vertAlign w:val="subscript"/>
              </w:rPr>
              <w:t xml:space="preserve">2 </w:t>
            </w:r>
            <w:r w:rsidRPr="000238A7">
              <w:rPr>
                <w:rFonts w:asciiTheme="minorHAnsi" w:hAnsiTheme="minorHAnsi" w:cstheme="minorHAnsi"/>
                <w:sz w:val="20"/>
                <w:szCs w:val="20"/>
              </w:rPr>
              <w:t>if volumetric units are converted to mass in order to be reported for annual quantity of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stored.</w:t>
            </w:r>
          </w:p>
        </w:tc>
        <w:tc>
          <w:tcPr>
            <w:tcW w:w="2340" w:type="dxa"/>
          </w:tcPr>
          <w:p w:rsidR="009646B0" w:rsidRPr="000238A7" w:rsidP="004863F4" w14:paraId="6459B64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60B2CF1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753BD1A5" w14:textId="77777777" w:rsidTr="004863F4">
        <w:tblPrEx>
          <w:tblW w:w="12937" w:type="dxa"/>
          <w:tblInd w:w="108" w:type="dxa"/>
          <w:tblLayout w:type="fixed"/>
          <w:tblLook w:val="04A0"/>
        </w:tblPrEx>
        <w:tc>
          <w:tcPr>
            <w:tcW w:w="1526" w:type="dxa"/>
            <w:vMerge w:val="restart"/>
          </w:tcPr>
          <w:p w:rsidR="009646B0" w:rsidRPr="000238A7" w:rsidP="004863F4" w14:paraId="55CB83F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Subpart VV - Geologic Sequestration of Carbon Dioxide with Enhanced Oil Recovery Using ISO 27916</w:t>
            </w:r>
          </w:p>
        </w:tc>
        <w:tc>
          <w:tcPr>
            <w:tcW w:w="2051" w:type="dxa"/>
          </w:tcPr>
          <w:p w:rsidR="009646B0" w:rsidRPr="000238A7" w:rsidP="004863F4" w14:paraId="7B92111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98.486(c)</w:t>
            </w:r>
          </w:p>
        </w:tc>
        <w:tc>
          <w:tcPr>
            <w:tcW w:w="3330" w:type="dxa"/>
          </w:tcPr>
          <w:p w:rsidR="009646B0" w:rsidRPr="000238A7" w:rsidP="004863F4" w14:paraId="2DA5827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The annual quantity of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input (</w:t>
            </w:r>
            <w:r w:rsidRPr="000238A7">
              <w:rPr>
                <w:rFonts w:asciiTheme="minorHAnsi" w:hAnsiTheme="minorHAnsi" w:cstheme="minorHAnsi"/>
                <w:i/>
                <w:iCs/>
                <w:sz w:val="20"/>
                <w:szCs w:val="20"/>
              </w:rPr>
              <w:t>m</w:t>
            </w:r>
            <w:r w:rsidRPr="000238A7">
              <w:rPr>
                <w:rFonts w:asciiTheme="minorHAnsi" w:hAnsiTheme="minorHAnsi" w:cstheme="minorHAnsi"/>
                <w:sz w:val="20"/>
                <w:szCs w:val="20"/>
              </w:rPr>
              <w:t>input</w:t>
            </w:r>
            <w:r w:rsidRPr="000238A7">
              <w:rPr>
                <w:rFonts w:asciiTheme="minorHAnsi" w:hAnsiTheme="minorHAnsi" w:cstheme="minorHAnsi"/>
                <w:sz w:val="20"/>
                <w:szCs w:val="20"/>
              </w:rPr>
              <w:t>).</w:t>
            </w:r>
          </w:p>
        </w:tc>
        <w:tc>
          <w:tcPr>
            <w:tcW w:w="2340" w:type="dxa"/>
          </w:tcPr>
          <w:p w:rsidR="009646B0" w:rsidRPr="000238A7" w:rsidP="004863F4" w14:paraId="418A8ED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7B9744E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4A71BE61" w14:textId="77777777" w:rsidTr="004863F4">
        <w:tblPrEx>
          <w:tblW w:w="12937" w:type="dxa"/>
          <w:tblInd w:w="108" w:type="dxa"/>
          <w:tblLayout w:type="fixed"/>
          <w:tblLook w:val="04A0"/>
        </w:tblPrEx>
        <w:tc>
          <w:tcPr>
            <w:tcW w:w="1526" w:type="dxa"/>
            <w:vMerge/>
          </w:tcPr>
          <w:p w:rsidR="009646B0" w:rsidRPr="000238A7" w:rsidP="004863F4" w14:paraId="12E6A4E6" w14:textId="77777777">
            <w:pPr>
              <w:pStyle w:val="BodyText"/>
              <w:spacing w:after="0"/>
              <w:rPr>
                <w:rFonts w:asciiTheme="minorHAnsi" w:hAnsiTheme="minorHAnsi" w:cstheme="minorHAnsi"/>
                <w:sz w:val="20"/>
                <w:szCs w:val="20"/>
              </w:rPr>
            </w:pPr>
          </w:p>
        </w:tc>
        <w:tc>
          <w:tcPr>
            <w:tcW w:w="2051" w:type="dxa"/>
          </w:tcPr>
          <w:p w:rsidR="009646B0" w:rsidRPr="000238A7" w:rsidP="004863F4" w14:paraId="3550CC1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98.486(c)(1)</w:t>
            </w:r>
          </w:p>
        </w:tc>
        <w:tc>
          <w:tcPr>
            <w:tcW w:w="3330" w:type="dxa"/>
          </w:tcPr>
          <w:p w:rsidR="009646B0" w:rsidRPr="000238A7" w:rsidP="004863F4" w14:paraId="77B1911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The annual total mass of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received at the custody transfer meter by the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-EOR project, including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transferred from another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-EOR project (</w:t>
            </w:r>
            <w:r w:rsidRPr="000238A7">
              <w:rPr>
                <w:rFonts w:asciiTheme="minorHAnsi" w:hAnsiTheme="minorHAnsi" w:cstheme="minorHAnsi"/>
                <w:i/>
                <w:iCs/>
                <w:sz w:val="20"/>
                <w:szCs w:val="20"/>
              </w:rPr>
              <w:t>m</w:t>
            </w:r>
            <w:r w:rsidRPr="000238A7">
              <w:rPr>
                <w:rFonts w:asciiTheme="minorHAnsi" w:hAnsiTheme="minorHAnsi" w:cstheme="minorHAnsi"/>
                <w:sz w:val="20"/>
                <w:szCs w:val="20"/>
              </w:rPr>
              <w:t>received</w:t>
            </w:r>
            <w:r w:rsidRPr="000238A7">
              <w:rPr>
                <w:rFonts w:asciiTheme="minorHAnsi" w:hAnsiTheme="minorHAnsi" w:cstheme="minorHAnsi"/>
                <w:sz w:val="20"/>
                <w:szCs w:val="20"/>
              </w:rPr>
              <w:t>).</w:t>
            </w:r>
          </w:p>
        </w:tc>
        <w:tc>
          <w:tcPr>
            <w:tcW w:w="2340" w:type="dxa"/>
          </w:tcPr>
          <w:p w:rsidR="009646B0" w:rsidRPr="000238A7" w:rsidP="004863F4" w14:paraId="72176B2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0775BA1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6FE40922" w14:textId="77777777" w:rsidTr="004863F4">
        <w:tblPrEx>
          <w:tblW w:w="12937" w:type="dxa"/>
          <w:tblInd w:w="108" w:type="dxa"/>
          <w:tblLayout w:type="fixed"/>
          <w:tblLook w:val="04A0"/>
        </w:tblPrEx>
        <w:tc>
          <w:tcPr>
            <w:tcW w:w="1526" w:type="dxa"/>
            <w:vMerge/>
          </w:tcPr>
          <w:p w:rsidR="009646B0" w:rsidRPr="000238A7" w:rsidP="004863F4" w14:paraId="08A172E6" w14:textId="77777777">
            <w:pPr>
              <w:pStyle w:val="BodyText"/>
              <w:spacing w:after="0"/>
              <w:rPr>
                <w:rFonts w:asciiTheme="minorHAnsi" w:hAnsiTheme="minorHAnsi" w:cstheme="minorHAnsi"/>
                <w:sz w:val="20"/>
                <w:szCs w:val="20"/>
              </w:rPr>
            </w:pPr>
          </w:p>
        </w:tc>
        <w:tc>
          <w:tcPr>
            <w:tcW w:w="2051" w:type="dxa"/>
          </w:tcPr>
          <w:p w:rsidR="009646B0" w:rsidRPr="000238A7" w:rsidP="004863F4" w14:paraId="34C184F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98.486(c)(2)</w:t>
            </w:r>
          </w:p>
        </w:tc>
        <w:tc>
          <w:tcPr>
            <w:tcW w:w="3330" w:type="dxa"/>
          </w:tcPr>
          <w:p w:rsidR="009646B0" w:rsidRPr="000238A7" w:rsidP="004863F4" w14:paraId="7F18014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The annual mass of native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produced and captured in the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-EOR project (</w:t>
            </w:r>
            <w:r w:rsidRPr="000238A7">
              <w:rPr>
                <w:rFonts w:asciiTheme="minorHAnsi" w:hAnsiTheme="minorHAnsi" w:cstheme="minorHAnsi"/>
                <w:i/>
                <w:iCs/>
                <w:sz w:val="20"/>
                <w:szCs w:val="20"/>
              </w:rPr>
              <w:t>m</w:t>
            </w:r>
            <w:r w:rsidRPr="000238A7">
              <w:rPr>
                <w:rFonts w:asciiTheme="minorHAnsi" w:hAnsiTheme="minorHAnsi" w:cstheme="minorHAnsi"/>
                <w:sz w:val="20"/>
                <w:szCs w:val="20"/>
              </w:rPr>
              <w:t>native</w:t>
            </w:r>
            <w:r w:rsidRPr="000238A7">
              <w:rPr>
                <w:rFonts w:asciiTheme="minorHAnsi" w:hAnsiTheme="minorHAnsi" w:cstheme="minorHAnsi"/>
                <w:sz w:val="20"/>
                <w:szCs w:val="20"/>
              </w:rPr>
              <w:t>).</w:t>
            </w:r>
          </w:p>
        </w:tc>
        <w:tc>
          <w:tcPr>
            <w:tcW w:w="2340" w:type="dxa"/>
          </w:tcPr>
          <w:p w:rsidR="009646B0" w:rsidRPr="000238A7" w:rsidP="004863F4" w14:paraId="56F4F38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0E30597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0206FFF8" w14:textId="77777777" w:rsidTr="004863F4">
        <w:tblPrEx>
          <w:tblW w:w="12937" w:type="dxa"/>
          <w:tblInd w:w="108" w:type="dxa"/>
          <w:tblLayout w:type="fixed"/>
          <w:tblLook w:val="04A0"/>
        </w:tblPrEx>
        <w:tc>
          <w:tcPr>
            <w:tcW w:w="1526" w:type="dxa"/>
            <w:vMerge/>
          </w:tcPr>
          <w:p w:rsidR="009646B0" w:rsidRPr="000238A7" w:rsidP="004863F4" w14:paraId="1A3F4953" w14:textId="77777777">
            <w:pPr>
              <w:pStyle w:val="BodyText"/>
              <w:spacing w:after="0"/>
              <w:rPr>
                <w:rFonts w:asciiTheme="minorHAnsi" w:hAnsiTheme="minorHAnsi" w:cstheme="minorHAnsi"/>
                <w:sz w:val="20"/>
                <w:szCs w:val="20"/>
              </w:rPr>
            </w:pPr>
          </w:p>
        </w:tc>
        <w:tc>
          <w:tcPr>
            <w:tcW w:w="2051" w:type="dxa"/>
          </w:tcPr>
          <w:p w:rsidR="009646B0" w:rsidRPr="000238A7" w:rsidP="004863F4" w14:paraId="08ECC54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98.486(d)</w:t>
            </w:r>
          </w:p>
        </w:tc>
        <w:tc>
          <w:tcPr>
            <w:tcW w:w="3330" w:type="dxa"/>
          </w:tcPr>
          <w:p w:rsidR="009646B0" w:rsidRPr="000238A7" w:rsidP="004863F4" w14:paraId="7E5808C1" w14:textId="77777777">
            <w:pPr>
              <w:pStyle w:val="BodyText"/>
              <w:spacing w:after="0"/>
              <w:rPr>
                <w:rFonts w:asciiTheme="minorHAnsi" w:hAnsiTheme="minorHAnsi" w:cstheme="minorHAnsi"/>
                <w:sz w:val="20"/>
                <w:szCs w:val="20"/>
              </w:rPr>
            </w:pPr>
            <w:r w:rsidRPr="000238A7">
              <w:rPr>
                <w:rFonts w:asciiTheme="minorHAnsi" w:hAnsiTheme="minorHAnsi" w:cstheme="minorHAnsi"/>
                <w:bCs/>
                <w:sz w:val="20"/>
                <w:szCs w:val="20"/>
              </w:rPr>
              <w:t>The annual mass of CO</w:t>
            </w:r>
            <w:r w:rsidRPr="000238A7">
              <w:rPr>
                <w:rFonts w:asciiTheme="minorHAnsi" w:hAnsiTheme="minorHAnsi" w:cstheme="minorHAnsi"/>
                <w:bCs/>
                <w:sz w:val="20"/>
                <w:szCs w:val="20"/>
                <w:vertAlign w:val="subscript"/>
              </w:rPr>
              <w:t>2</w:t>
            </w:r>
            <w:r w:rsidRPr="000238A7">
              <w:rPr>
                <w:rFonts w:asciiTheme="minorHAnsi" w:hAnsiTheme="minorHAnsi" w:cstheme="minorHAnsi"/>
                <w:bCs/>
                <w:sz w:val="20"/>
                <w:szCs w:val="20"/>
              </w:rPr>
              <w:t xml:space="preserve"> that is recycled and reinjected into the EOR complex.</w:t>
            </w:r>
          </w:p>
        </w:tc>
        <w:tc>
          <w:tcPr>
            <w:tcW w:w="2340" w:type="dxa"/>
          </w:tcPr>
          <w:p w:rsidR="009646B0" w:rsidRPr="000238A7" w:rsidP="004863F4" w14:paraId="1254D28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5B1CFC4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1E8FF364" w14:textId="77777777" w:rsidTr="004863F4">
        <w:tblPrEx>
          <w:tblW w:w="12937" w:type="dxa"/>
          <w:tblInd w:w="108" w:type="dxa"/>
          <w:tblLayout w:type="fixed"/>
          <w:tblLook w:val="04A0"/>
        </w:tblPrEx>
        <w:tc>
          <w:tcPr>
            <w:tcW w:w="1526" w:type="dxa"/>
            <w:vMerge/>
          </w:tcPr>
          <w:p w:rsidR="009646B0" w:rsidRPr="000238A7" w:rsidP="004863F4" w14:paraId="61968E34" w14:textId="77777777">
            <w:pPr>
              <w:pStyle w:val="BodyText"/>
              <w:spacing w:after="0"/>
              <w:rPr>
                <w:rFonts w:asciiTheme="minorHAnsi" w:hAnsiTheme="minorHAnsi" w:cstheme="minorHAnsi"/>
                <w:sz w:val="20"/>
                <w:szCs w:val="20"/>
              </w:rPr>
            </w:pPr>
          </w:p>
        </w:tc>
        <w:tc>
          <w:tcPr>
            <w:tcW w:w="2051" w:type="dxa"/>
          </w:tcPr>
          <w:p w:rsidR="009646B0" w:rsidRPr="000238A7" w:rsidP="004863F4" w14:paraId="67DA5B2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98.486(e)</w:t>
            </w:r>
          </w:p>
        </w:tc>
        <w:tc>
          <w:tcPr>
            <w:tcW w:w="3330" w:type="dxa"/>
          </w:tcPr>
          <w:p w:rsidR="009646B0" w:rsidRPr="000238A7" w:rsidP="004863F4" w14:paraId="3EE8A89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The annual total mass of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loss from project operations (</w:t>
            </w:r>
            <w:r w:rsidRPr="000238A7">
              <w:rPr>
                <w:rFonts w:asciiTheme="minorHAnsi" w:hAnsiTheme="minorHAnsi" w:cstheme="minorHAnsi"/>
                <w:i/>
                <w:sz w:val="20"/>
                <w:szCs w:val="20"/>
              </w:rPr>
              <w:t>m</w:t>
            </w:r>
            <w:r w:rsidRPr="000238A7">
              <w:rPr>
                <w:rFonts w:asciiTheme="minorHAnsi" w:hAnsiTheme="minorHAnsi" w:cstheme="minorHAnsi"/>
                <w:sz w:val="20"/>
                <w:szCs w:val="20"/>
                <w:vertAlign w:val="subscript"/>
              </w:rPr>
              <w:t>loss</w:t>
            </w:r>
            <w:r w:rsidRPr="000238A7">
              <w:rPr>
                <w:rFonts w:asciiTheme="minorHAnsi" w:hAnsiTheme="minorHAnsi" w:cstheme="minorHAnsi"/>
                <w:sz w:val="20"/>
                <w:szCs w:val="20"/>
                <w:vertAlign w:val="subscript"/>
              </w:rPr>
              <w:t xml:space="preserve"> operations</w:t>
            </w:r>
            <w:r w:rsidRPr="000238A7">
              <w:rPr>
                <w:rFonts w:asciiTheme="minorHAnsi" w:hAnsiTheme="minorHAnsi" w:cstheme="minorHAnsi"/>
                <w:sz w:val="20"/>
                <w:szCs w:val="20"/>
              </w:rPr>
              <w:t>).</w:t>
            </w:r>
          </w:p>
        </w:tc>
        <w:tc>
          <w:tcPr>
            <w:tcW w:w="2340" w:type="dxa"/>
          </w:tcPr>
          <w:p w:rsidR="009646B0" w:rsidRPr="000238A7" w:rsidP="004863F4" w14:paraId="7E994BA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59F81D7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w:t>
            </w:r>
            <w:r w:rsidRPr="000238A7">
              <w:rPr>
                <w:rFonts w:asciiTheme="minorHAnsi" w:hAnsiTheme="minorHAnsi" w:cstheme="minorHAnsi"/>
                <w:sz w:val="20"/>
                <w:szCs w:val="20"/>
              </w:rPr>
              <w:t>GGRT as part of the annual report. This data element will affect ~4 reporters annually.</w:t>
            </w:r>
          </w:p>
        </w:tc>
      </w:tr>
      <w:tr w14:paraId="755CA425" w14:textId="77777777" w:rsidTr="004863F4">
        <w:tblPrEx>
          <w:tblW w:w="12937" w:type="dxa"/>
          <w:tblInd w:w="108" w:type="dxa"/>
          <w:tblLayout w:type="fixed"/>
          <w:tblLook w:val="04A0"/>
        </w:tblPrEx>
        <w:tc>
          <w:tcPr>
            <w:tcW w:w="1526" w:type="dxa"/>
            <w:vMerge/>
          </w:tcPr>
          <w:p w:rsidR="009646B0" w:rsidRPr="000238A7" w:rsidP="004863F4" w14:paraId="137918E6" w14:textId="77777777">
            <w:pPr>
              <w:pStyle w:val="BodyText"/>
              <w:spacing w:after="0"/>
              <w:rPr>
                <w:rFonts w:asciiTheme="minorHAnsi" w:hAnsiTheme="minorHAnsi" w:cstheme="minorHAnsi"/>
                <w:sz w:val="20"/>
                <w:szCs w:val="20"/>
              </w:rPr>
            </w:pPr>
          </w:p>
        </w:tc>
        <w:tc>
          <w:tcPr>
            <w:tcW w:w="2051" w:type="dxa"/>
          </w:tcPr>
          <w:p w:rsidR="009646B0" w:rsidRPr="000238A7" w:rsidP="004863F4" w14:paraId="27BCF3A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98.486(e)(1)</w:t>
            </w:r>
          </w:p>
        </w:tc>
        <w:tc>
          <w:tcPr>
            <w:tcW w:w="3330" w:type="dxa"/>
          </w:tcPr>
          <w:p w:rsidR="009646B0" w:rsidRPr="000238A7" w:rsidP="004863F4" w14:paraId="16DC9ED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Loss of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due to leakage from production, handling and recycling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-EOR facilities (infrastructure including wellheads) (</w:t>
            </w:r>
            <w:r w:rsidRPr="000238A7">
              <w:rPr>
                <w:rFonts w:asciiTheme="minorHAnsi" w:hAnsiTheme="minorHAnsi" w:cstheme="minorHAnsi"/>
                <w:i/>
                <w:iCs/>
                <w:sz w:val="20"/>
                <w:szCs w:val="20"/>
              </w:rPr>
              <w:t>m</w:t>
            </w:r>
            <w:r w:rsidRPr="000238A7">
              <w:rPr>
                <w:rFonts w:asciiTheme="minorHAnsi" w:hAnsiTheme="minorHAnsi" w:cstheme="minorHAnsi"/>
                <w:sz w:val="20"/>
                <w:szCs w:val="20"/>
              </w:rPr>
              <w:t>loss</w:t>
            </w:r>
            <w:r w:rsidRPr="000238A7">
              <w:rPr>
                <w:rFonts w:asciiTheme="minorHAnsi" w:hAnsiTheme="minorHAnsi" w:cstheme="minorHAnsi"/>
                <w:sz w:val="20"/>
                <w:szCs w:val="20"/>
              </w:rPr>
              <w:t xml:space="preserve"> leakage facilities).</w:t>
            </w:r>
          </w:p>
        </w:tc>
        <w:tc>
          <w:tcPr>
            <w:tcW w:w="2340" w:type="dxa"/>
          </w:tcPr>
          <w:p w:rsidR="009646B0" w:rsidRPr="000238A7" w:rsidP="004863F4" w14:paraId="28C789E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0A0177C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7B3080AE" w14:textId="77777777" w:rsidTr="004863F4">
        <w:tblPrEx>
          <w:tblW w:w="12937" w:type="dxa"/>
          <w:tblInd w:w="108" w:type="dxa"/>
          <w:tblLayout w:type="fixed"/>
          <w:tblLook w:val="04A0"/>
        </w:tblPrEx>
        <w:tc>
          <w:tcPr>
            <w:tcW w:w="1526" w:type="dxa"/>
            <w:vMerge w:val="restart"/>
          </w:tcPr>
          <w:p w:rsidR="009646B0" w:rsidRPr="000238A7" w:rsidP="004863F4" w14:paraId="7E1208A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Subpart VV - Geologic Sequestration of Carbon Dioxide with Enhanced Oil Recovery Using ISO 27916</w:t>
            </w:r>
          </w:p>
        </w:tc>
        <w:tc>
          <w:tcPr>
            <w:tcW w:w="2051" w:type="dxa"/>
          </w:tcPr>
          <w:p w:rsidR="009646B0" w:rsidRPr="000238A7" w:rsidP="004863F4" w14:paraId="14E2565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98.486(e)(2) </w:t>
            </w:r>
          </w:p>
        </w:tc>
        <w:tc>
          <w:tcPr>
            <w:tcW w:w="3330" w:type="dxa"/>
          </w:tcPr>
          <w:p w:rsidR="009646B0" w:rsidRPr="000238A7" w:rsidP="004863F4" w14:paraId="4A163A11" w14:textId="77777777">
            <w:pPr>
              <w:pStyle w:val="BodyText"/>
              <w:spacing w:after="0"/>
              <w:rPr>
                <w:rFonts w:asciiTheme="minorHAnsi" w:hAnsiTheme="minorHAnsi" w:cstheme="minorHAnsi"/>
                <w:sz w:val="20"/>
                <w:szCs w:val="20"/>
              </w:rPr>
            </w:pPr>
            <w:r w:rsidRPr="000238A7">
              <w:rPr>
                <w:rFonts w:asciiTheme="minorHAnsi" w:hAnsiTheme="minorHAnsi" w:cstheme="minorHAnsi"/>
                <w:bCs/>
                <w:sz w:val="20"/>
                <w:szCs w:val="20"/>
              </w:rPr>
              <w:t>Loss of CO</w:t>
            </w:r>
            <w:r w:rsidRPr="000238A7">
              <w:rPr>
                <w:rFonts w:asciiTheme="minorHAnsi" w:hAnsiTheme="minorHAnsi" w:cstheme="minorHAnsi"/>
                <w:bCs/>
                <w:sz w:val="20"/>
                <w:szCs w:val="20"/>
                <w:vertAlign w:val="subscript"/>
              </w:rPr>
              <w:t>2</w:t>
            </w:r>
            <w:r w:rsidRPr="000238A7">
              <w:rPr>
                <w:rFonts w:asciiTheme="minorHAnsi" w:hAnsiTheme="minorHAnsi" w:cstheme="minorHAnsi"/>
                <w:bCs/>
                <w:sz w:val="20"/>
                <w:szCs w:val="20"/>
              </w:rPr>
              <w:t xml:space="preserve"> from venting/flaring from production operations (</w:t>
            </w:r>
            <w:r w:rsidRPr="000238A7">
              <w:rPr>
                <w:rFonts w:asciiTheme="minorHAnsi" w:hAnsiTheme="minorHAnsi" w:cstheme="minorHAnsi"/>
                <w:bCs/>
                <w:i/>
                <w:iCs/>
                <w:sz w:val="20"/>
                <w:szCs w:val="20"/>
              </w:rPr>
              <w:t>m</w:t>
            </w:r>
            <w:r w:rsidRPr="000238A7">
              <w:rPr>
                <w:rFonts w:asciiTheme="minorHAnsi" w:hAnsiTheme="minorHAnsi" w:cstheme="minorHAnsi"/>
                <w:bCs/>
                <w:sz w:val="20"/>
                <w:szCs w:val="20"/>
              </w:rPr>
              <w:t>loss</w:t>
            </w:r>
            <w:r w:rsidRPr="000238A7">
              <w:rPr>
                <w:rFonts w:asciiTheme="minorHAnsi" w:hAnsiTheme="minorHAnsi" w:cstheme="minorHAnsi"/>
                <w:bCs/>
                <w:sz w:val="20"/>
                <w:szCs w:val="20"/>
              </w:rPr>
              <w:t xml:space="preserve"> vent/flare).</w:t>
            </w:r>
          </w:p>
        </w:tc>
        <w:tc>
          <w:tcPr>
            <w:tcW w:w="2340" w:type="dxa"/>
          </w:tcPr>
          <w:p w:rsidR="009646B0" w:rsidRPr="000238A7" w:rsidP="004863F4" w14:paraId="51BE737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125FAB0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79F9B4A3" w14:textId="77777777" w:rsidTr="004863F4">
        <w:tblPrEx>
          <w:tblW w:w="12937" w:type="dxa"/>
          <w:tblInd w:w="108" w:type="dxa"/>
          <w:tblLayout w:type="fixed"/>
          <w:tblLook w:val="04A0"/>
        </w:tblPrEx>
        <w:tc>
          <w:tcPr>
            <w:tcW w:w="1526" w:type="dxa"/>
            <w:vMerge/>
          </w:tcPr>
          <w:p w:rsidR="009646B0" w:rsidRPr="000238A7" w:rsidP="004863F4" w14:paraId="0EC59750" w14:textId="77777777">
            <w:pPr>
              <w:pStyle w:val="BodyText"/>
              <w:spacing w:after="0"/>
              <w:rPr>
                <w:rFonts w:asciiTheme="minorHAnsi" w:hAnsiTheme="minorHAnsi" w:cstheme="minorHAnsi"/>
                <w:sz w:val="20"/>
                <w:szCs w:val="20"/>
              </w:rPr>
            </w:pPr>
          </w:p>
        </w:tc>
        <w:tc>
          <w:tcPr>
            <w:tcW w:w="2051" w:type="dxa"/>
          </w:tcPr>
          <w:p w:rsidR="009646B0" w:rsidRPr="000238A7" w:rsidP="004863F4" w14:paraId="4D4A948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98.486(e)(3)</w:t>
            </w:r>
          </w:p>
        </w:tc>
        <w:tc>
          <w:tcPr>
            <w:tcW w:w="3330" w:type="dxa"/>
          </w:tcPr>
          <w:p w:rsidR="009646B0" w:rsidRPr="000238A7" w:rsidP="004863F4" w14:paraId="4130EF4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Loss of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due to entrainment within produced gas/oil/water when this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is not separated and reinjected (</w:t>
            </w:r>
            <w:r w:rsidRPr="000238A7">
              <w:rPr>
                <w:rFonts w:asciiTheme="minorHAnsi" w:hAnsiTheme="minorHAnsi" w:cstheme="minorHAnsi"/>
                <w:i/>
                <w:iCs/>
                <w:sz w:val="20"/>
                <w:szCs w:val="20"/>
              </w:rPr>
              <w:t>m</w:t>
            </w:r>
            <w:r w:rsidRPr="000238A7">
              <w:rPr>
                <w:rFonts w:asciiTheme="minorHAnsi" w:hAnsiTheme="minorHAnsi" w:cstheme="minorHAnsi"/>
                <w:sz w:val="20"/>
                <w:szCs w:val="20"/>
              </w:rPr>
              <w:t>loss</w:t>
            </w:r>
            <w:r w:rsidRPr="000238A7">
              <w:rPr>
                <w:rFonts w:asciiTheme="minorHAnsi" w:hAnsiTheme="minorHAnsi" w:cstheme="minorHAnsi"/>
                <w:sz w:val="20"/>
                <w:szCs w:val="20"/>
              </w:rPr>
              <w:t xml:space="preserve"> entrained).</w:t>
            </w:r>
          </w:p>
        </w:tc>
        <w:tc>
          <w:tcPr>
            <w:tcW w:w="2340" w:type="dxa"/>
          </w:tcPr>
          <w:p w:rsidR="009646B0" w:rsidRPr="000238A7" w:rsidP="004863F4" w14:paraId="0D58A11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1C295DA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3180A628" w14:textId="77777777" w:rsidTr="004863F4">
        <w:tblPrEx>
          <w:tblW w:w="12937" w:type="dxa"/>
          <w:tblInd w:w="108" w:type="dxa"/>
          <w:tblLayout w:type="fixed"/>
          <w:tblLook w:val="04A0"/>
        </w:tblPrEx>
        <w:tc>
          <w:tcPr>
            <w:tcW w:w="1526" w:type="dxa"/>
            <w:vMerge/>
          </w:tcPr>
          <w:p w:rsidR="009646B0" w:rsidRPr="000238A7" w:rsidP="004863F4" w14:paraId="7B93D888" w14:textId="77777777">
            <w:pPr>
              <w:pStyle w:val="BodyText"/>
              <w:spacing w:after="0"/>
              <w:rPr>
                <w:rFonts w:asciiTheme="minorHAnsi" w:hAnsiTheme="minorHAnsi" w:cstheme="minorHAnsi"/>
                <w:sz w:val="20"/>
                <w:szCs w:val="20"/>
              </w:rPr>
            </w:pPr>
          </w:p>
        </w:tc>
        <w:tc>
          <w:tcPr>
            <w:tcW w:w="2051" w:type="dxa"/>
          </w:tcPr>
          <w:p w:rsidR="009646B0" w:rsidRPr="000238A7" w:rsidP="004863F4" w14:paraId="71E6DB6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98.486(e)(4)</w:t>
            </w:r>
          </w:p>
        </w:tc>
        <w:tc>
          <w:tcPr>
            <w:tcW w:w="3330" w:type="dxa"/>
          </w:tcPr>
          <w:p w:rsidR="009646B0" w:rsidRPr="000238A7" w:rsidP="004863F4" w14:paraId="407C0451" w14:textId="77777777">
            <w:pPr>
              <w:pStyle w:val="BodyText"/>
              <w:spacing w:after="0"/>
              <w:rPr>
                <w:rFonts w:asciiTheme="minorHAnsi" w:hAnsiTheme="minorHAnsi" w:cstheme="minorHAnsi"/>
                <w:sz w:val="20"/>
                <w:szCs w:val="20"/>
              </w:rPr>
            </w:pPr>
            <w:r w:rsidRPr="000238A7">
              <w:rPr>
                <w:rFonts w:asciiTheme="minorHAnsi" w:hAnsiTheme="minorHAnsi" w:cstheme="minorHAnsi"/>
                <w:bCs/>
                <w:sz w:val="20"/>
                <w:szCs w:val="20"/>
              </w:rPr>
              <w:t>Loss of CO</w:t>
            </w:r>
            <w:r w:rsidRPr="000238A7">
              <w:rPr>
                <w:rFonts w:asciiTheme="minorHAnsi" w:hAnsiTheme="minorHAnsi" w:cstheme="minorHAnsi"/>
                <w:bCs/>
                <w:sz w:val="20"/>
                <w:szCs w:val="20"/>
                <w:vertAlign w:val="subscript"/>
              </w:rPr>
              <w:t>2</w:t>
            </w:r>
            <w:r w:rsidRPr="000238A7">
              <w:rPr>
                <w:rFonts w:asciiTheme="minorHAnsi" w:hAnsiTheme="minorHAnsi" w:cstheme="minorHAnsi"/>
                <w:bCs/>
                <w:sz w:val="20"/>
                <w:szCs w:val="20"/>
              </w:rPr>
              <w:t xml:space="preserve"> due to any transfer of CO</w:t>
            </w:r>
            <w:r w:rsidRPr="000238A7">
              <w:rPr>
                <w:rFonts w:asciiTheme="minorHAnsi" w:hAnsiTheme="minorHAnsi" w:cstheme="minorHAnsi"/>
                <w:bCs/>
                <w:sz w:val="20"/>
                <w:szCs w:val="20"/>
                <w:vertAlign w:val="subscript"/>
              </w:rPr>
              <w:t>2</w:t>
            </w:r>
            <w:r w:rsidRPr="000238A7">
              <w:rPr>
                <w:rFonts w:asciiTheme="minorHAnsi" w:hAnsiTheme="minorHAnsi" w:cstheme="minorHAnsi"/>
                <w:bCs/>
                <w:sz w:val="20"/>
                <w:szCs w:val="20"/>
              </w:rPr>
              <w:t xml:space="preserve"> outside the CO</w:t>
            </w:r>
            <w:r w:rsidRPr="000238A7">
              <w:rPr>
                <w:rFonts w:asciiTheme="minorHAnsi" w:hAnsiTheme="minorHAnsi" w:cstheme="minorHAnsi"/>
                <w:bCs/>
                <w:sz w:val="20"/>
                <w:szCs w:val="20"/>
                <w:vertAlign w:val="subscript"/>
              </w:rPr>
              <w:t>2</w:t>
            </w:r>
            <w:r w:rsidRPr="000238A7">
              <w:rPr>
                <w:rFonts w:asciiTheme="minorHAnsi" w:hAnsiTheme="minorHAnsi" w:cstheme="minorHAnsi"/>
                <w:bCs/>
                <w:sz w:val="20"/>
                <w:szCs w:val="20"/>
              </w:rPr>
              <w:t>-EOR project (</w:t>
            </w:r>
            <w:r w:rsidRPr="000238A7">
              <w:rPr>
                <w:rFonts w:asciiTheme="minorHAnsi" w:hAnsiTheme="minorHAnsi" w:cstheme="minorHAnsi"/>
                <w:bCs/>
                <w:i/>
                <w:iCs/>
                <w:sz w:val="20"/>
                <w:szCs w:val="20"/>
              </w:rPr>
              <w:t>m</w:t>
            </w:r>
            <w:r w:rsidRPr="000238A7">
              <w:rPr>
                <w:rFonts w:asciiTheme="minorHAnsi" w:hAnsiTheme="minorHAnsi" w:cstheme="minorHAnsi"/>
                <w:bCs/>
                <w:sz w:val="20"/>
                <w:szCs w:val="20"/>
              </w:rPr>
              <w:t>loss</w:t>
            </w:r>
            <w:r w:rsidRPr="000238A7">
              <w:rPr>
                <w:rFonts w:asciiTheme="minorHAnsi" w:hAnsiTheme="minorHAnsi" w:cstheme="minorHAnsi"/>
                <w:bCs/>
                <w:sz w:val="20"/>
                <w:szCs w:val="20"/>
              </w:rPr>
              <w:t xml:space="preserve"> transfer).</w:t>
            </w:r>
          </w:p>
        </w:tc>
        <w:tc>
          <w:tcPr>
            <w:tcW w:w="2340" w:type="dxa"/>
          </w:tcPr>
          <w:p w:rsidR="009646B0" w:rsidRPr="000238A7" w:rsidP="004863F4" w14:paraId="70BE61A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52B62A4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4CB42AB3" w14:textId="77777777" w:rsidTr="004863F4">
        <w:tblPrEx>
          <w:tblW w:w="12937" w:type="dxa"/>
          <w:tblInd w:w="108" w:type="dxa"/>
          <w:tblLayout w:type="fixed"/>
          <w:tblLook w:val="04A0"/>
        </w:tblPrEx>
        <w:tc>
          <w:tcPr>
            <w:tcW w:w="1526" w:type="dxa"/>
            <w:vMerge/>
          </w:tcPr>
          <w:p w:rsidR="009646B0" w:rsidRPr="000238A7" w:rsidP="004863F4" w14:paraId="2F73277F" w14:textId="77777777">
            <w:pPr>
              <w:pStyle w:val="BodyText"/>
              <w:spacing w:after="0"/>
              <w:rPr>
                <w:rFonts w:asciiTheme="minorHAnsi" w:hAnsiTheme="minorHAnsi" w:cstheme="minorHAnsi"/>
                <w:sz w:val="20"/>
                <w:szCs w:val="20"/>
              </w:rPr>
            </w:pPr>
          </w:p>
        </w:tc>
        <w:tc>
          <w:tcPr>
            <w:tcW w:w="2051" w:type="dxa"/>
          </w:tcPr>
          <w:p w:rsidR="009646B0" w:rsidRPr="000238A7" w:rsidP="004863F4" w14:paraId="6FBEFA3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98.486(f)</w:t>
            </w:r>
          </w:p>
        </w:tc>
        <w:tc>
          <w:tcPr>
            <w:tcW w:w="3330" w:type="dxa"/>
          </w:tcPr>
          <w:p w:rsidR="009646B0" w:rsidRPr="000238A7" w:rsidP="004863F4" w14:paraId="0C9304D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The total mass of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loss from the EOR complex (</w:t>
            </w:r>
            <w:r w:rsidRPr="000238A7">
              <w:rPr>
                <w:rFonts w:asciiTheme="minorHAnsi" w:hAnsiTheme="minorHAnsi" w:cstheme="minorHAnsi"/>
                <w:i/>
                <w:iCs/>
                <w:sz w:val="20"/>
                <w:szCs w:val="20"/>
              </w:rPr>
              <w:t>m</w:t>
            </w:r>
            <w:r w:rsidRPr="000238A7">
              <w:rPr>
                <w:rFonts w:asciiTheme="minorHAnsi" w:hAnsiTheme="minorHAnsi" w:cstheme="minorHAnsi"/>
                <w:sz w:val="20"/>
                <w:szCs w:val="20"/>
              </w:rPr>
              <w:t>loss</w:t>
            </w:r>
            <w:r w:rsidRPr="000238A7">
              <w:rPr>
                <w:rFonts w:asciiTheme="minorHAnsi" w:hAnsiTheme="minorHAnsi" w:cstheme="minorHAnsi"/>
                <w:sz w:val="20"/>
                <w:szCs w:val="20"/>
              </w:rPr>
              <w:t xml:space="preserve"> EOR complex).</w:t>
            </w:r>
          </w:p>
        </w:tc>
        <w:tc>
          <w:tcPr>
            <w:tcW w:w="2340" w:type="dxa"/>
          </w:tcPr>
          <w:p w:rsidR="009646B0" w:rsidRPr="000238A7" w:rsidP="004863F4" w14:paraId="7F2CE67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789379C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5A722CF2" w14:textId="77777777" w:rsidTr="004863F4">
        <w:tblPrEx>
          <w:tblW w:w="12937" w:type="dxa"/>
          <w:tblInd w:w="108" w:type="dxa"/>
          <w:tblLayout w:type="fixed"/>
          <w:tblLook w:val="04A0"/>
        </w:tblPrEx>
        <w:tc>
          <w:tcPr>
            <w:tcW w:w="1526" w:type="dxa"/>
            <w:vMerge/>
          </w:tcPr>
          <w:p w:rsidR="009646B0" w:rsidRPr="000238A7" w:rsidP="004863F4" w14:paraId="36D6F9A8" w14:textId="77777777">
            <w:pPr>
              <w:pStyle w:val="BodyText"/>
              <w:spacing w:after="0"/>
              <w:rPr>
                <w:rFonts w:asciiTheme="minorHAnsi" w:hAnsiTheme="minorHAnsi" w:cstheme="minorHAnsi"/>
                <w:sz w:val="20"/>
                <w:szCs w:val="20"/>
              </w:rPr>
            </w:pPr>
          </w:p>
        </w:tc>
        <w:tc>
          <w:tcPr>
            <w:tcW w:w="2051" w:type="dxa"/>
          </w:tcPr>
          <w:p w:rsidR="009646B0" w:rsidRPr="000238A7" w:rsidP="004863F4" w14:paraId="703479B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98.486(g)(1)</w:t>
            </w:r>
          </w:p>
        </w:tc>
        <w:tc>
          <w:tcPr>
            <w:tcW w:w="3330" w:type="dxa"/>
          </w:tcPr>
          <w:p w:rsidR="009646B0" w:rsidRPr="000238A7" w:rsidP="004863F4" w14:paraId="282D8F7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Annual documentation as described in Clause 4.4 of CSA/ANSI ISO 27916: 19, including the formulas used to quantify the annual mass of associated storage, including the mass of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delivered to the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-EOR project and losses during the period covered by the documentation.</w:t>
            </w:r>
          </w:p>
        </w:tc>
        <w:tc>
          <w:tcPr>
            <w:tcW w:w="2340" w:type="dxa"/>
          </w:tcPr>
          <w:p w:rsidR="009646B0" w:rsidRPr="000238A7" w:rsidP="004863F4" w14:paraId="76E4733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3524A8F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50B296EC" w14:textId="77777777" w:rsidTr="004863F4">
        <w:tblPrEx>
          <w:tblW w:w="12937" w:type="dxa"/>
          <w:tblInd w:w="108" w:type="dxa"/>
          <w:tblLayout w:type="fixed"/>
          <w:tblLook w:val="04A0"/>
        </w:tblPrEx>
        <w:tc>
          <w:tcPr>
            <w:tcW w:w="1526" w:type="dxa"/>
            <w:vMerge/>
          </w:tcPr>
          <w:p w:rsidR="009646B0" w:rsidRPr="000238A7" w:rsidP="004863F4" w14:paraId="6933225E" w14:textId="77777777">
            <w:pPr>
              <w:pStyle w:val="BodyText"/>
              <w:spacing w:after="0"/>
              <w:rPr>
                <w:rFonts w:asciiTheme="minorHAnsi" w:hAnsiTheme="minorHAnsi" w:cstheme="minorHAnsi"/>
                <w:sz w:val="20"/>
                <w:szCs w:val="20"/>
              </w:rPr>
            </w:pPr>
          </w:p>
        </w:tc>
        <w:tc>
          <w:tcPr>
            <w:tcW w:w="2051" w:type="dxa"/>
          </w:tcPr>
          <w:p w:rsidR="009646B0" w:rsidRPr="000238A7" w:rsidP="004863F4" w14:paraId="69BA63E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98.486(g)(2)</w:t>
            </w:r>
          </w:p>
        </w:tc>
        <w:tc>
          <w:tcPr>
            <w:tcW w:w="3330" w:type="dxa"/>
          </w:tcPr>
          <w:p w:rsidR="009646B0" w:rsidRPr="000238A7" w:rsidP="004863F4" w14:paraId="2E97D3D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Annual documentation as described in Clause 4.4 of CSA/ANSI ISO 27916:19, including the methods used to estimate missing data and the amounts estimated as described in Clause 9.2 of CSA/ANSI ISO 27916: 19.</w:t>
            </w:r>
          </w:p>
        </w:tc>
        <w:tc>
          <w:tcPr>
            <w:tcW w:w="2340" w:type="dxa"/>
          </w:tcPr>
          <w:p w:rsidR="009646B0" w:rsidRPr="000238A7" w:rsidP="004863F4" w14:paraId="11A68BB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3D49BBB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563726AD" w14:textId="77777777" w:rsidTr="004863F4">
        <w:tblPrEx>
          <w:tblW w:w="12937" w:type="dxa"/>
          <w:tblInd w:w="108" w:type="dxa"/>
          <w:tblLayout w:type="fixed"/>
          <w:tblLook w:val="04A0"/>
        </w:tblPrEx>
        <w:tc>
          <w:tcPr>
            <w:tcW w:w="1526" w:type="dxa"/>
            <w:vMerge w:val="restart"/>
          </w:tcPr>
          <w:p w:rsidR="009646B0" w:rsidRPr="000238A7" w:rsidP="004863F4" w14:paraId="6E54ADD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Subpart VV - Geologic Sequestration of Carbon Dioxide with Enhanced Oil Recovery Using ISO 27916</w:t>
            </w:r>
          </w:p>
        </w:tc>
        <w:tc>
          <w:tcPr>
            <w:tcW w:w="2051" w:type="dxa"/>
          </w:tcPr>
          <w:p w:rsidR="009646B0" w:rsidRPr="000238A7" w:rsidP="004863F4" w14:paraId="419E876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98.486(g)(3)</w:t>
            </w:r>
          </w:p>
        </w:tc>
        <w:tc>
          <w:tcPr>
            <w:tcW w:w="3330" w:type="dxa"/>
          </w:tcPr>
          <w:p w:rsidR="009646B0" w:rsidRPr="000238A7" w:rsidP="004863F4" w14:paraId="79BD09A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Annual documentation as described in Clause 4.4 of CSA/ANSI ISO 27916:19, including the approach and method for quantification utilized by the operator, including accuracy, precision, and uncertainties.</w:t>
            </w:r>
          </w:p>
        </w:tc>
        <w:tc>
          <w:tcPr>
            <w:tcW w:w="2340" w:type="dxa"/>
          </w:tcPr>
          <w:p w:rsidR="009646B0" w:rsidRPr="000238A7" w:rsidP="004863F4" w14:paraId="64273A7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4FFA73B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0D2EC314" w14:textId="77777777" w:rsidTr="004863F4">
        <w:tblPrEx>
          <w:tblW w:w="12937" w:type="dxa"/>
          <w:tblInd w:w="108" w:type="dxa"/>
          <w:tblLayout w:type="fixed"/>
          <w:tblLook w:val="04A0"/>
        </w:tblPrEx>
        <w:tc>
          <w:tcPr>
            <w:tcW w:w="1526" w:type="dxa"/>
            <w:vMerge/>
          </w:tcPr>
          <w:p w:rsidR="009646B0" w:rsidRPr="000238A7" w:rsidP="004863F4" w14:paraId="1CD38ED8" w14:textId="77777777">
            <w:pPr>
              <w:pStyle w:val="BodyText"/>
              <w:spacing w:after="0"/>
              <w:rPr>
                <w:rFonts w:asciiTheme="minorHAnsi" w:hAnsiTheme="minorHAnsi" w:cstheme="minorHAnsi"/>
                <w:sz w:val="20"/>
                <w:szCs w:val="20"/>
              </w:rPr>
            </w:pPr>
          </w:p>
        </w:tc>
        <w:tc>
          <w:tcPr>
            <w:tcW w:w="2051" w:type="dxa"/>
          </w:tcPr>
          <w:p w:rsidR="009646B0" w:rsidRPr="000238A7" w:rsidP="004863F4" w14:paraId="7B1BBFB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98.486(g)(4)</w:t>
            </w:r>
          </w:p>
        </w:tc>
        <w:tc>
          <w:tcPr>
            <w:tcW w:w="3330" w:type="dxa"/>
          </w:tcPr>
          <w:p w:rsidR="009646B0" w:rsidRPr="000238A7" w:rsidP="004863F4" w14:paraId="7295F79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Annual documentation as described in Clause 4.4 of CSA/ANSI ISO 27916:19, including a statement describing the nature of validation or verification including the date of review, process, findings, and responsible person or entity</w:t>
            </w:r>
          </w:p>
        </w:tc>
        <w:tc>
          <w:tcPr>
            <w:tcW w:w="2340" w:type="dxa"/>
          </w:tcPr>
          <w:p w:rsidR="009646B0" w:rsidRPr="000238A7" w:rsidP="004863F4" w14:paraId="7E48334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32E4C38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3A2F4CCA" w14:textId="77777777" w:rsidTr="004863F4">
        <w:tblPrEx>
          <w:tblW w:w="12937" w:type="dxa"/>
          <w:tblInd w:w="108" w:type="dxa"/>
          <w:tblLayout w:type="fixed"/>
          <w:tblLook w:val="04A0"/>
        </w:tblPrEx>
        <w:tc>
          <w:tcPr>
            <w:tcW w:w="1526" w:type="dxa"/>
            <w:vMerge/>
          </w:tcPr>
          <w:p w:rsidR="009646B0" w:rsidRPr="000238A7" w:rsidP="004863F4" w14:paraId="55FE9B59" w14:textId="77777777">
            <w:pPr>
              <w:pStyle w:val="BodyText"/>
              <w:spacing w:after="0"/>
              <w:rPr>
                <w:rFonts w:asciiTheme="minorHAnsi" w:hAnsiTheme="minorHAnsi" w:cstheme="minorHAnsi"/>
                <w:sz w:val="20"/>
                <w:szCs w:val="20"/>
              </w:rPr>
            </w:pPr>
          </w:p>
        </w:tc>
        <w:tc>
          <w:tcPr>
            <w:tcW w:w="2051" w:type="dxa"/>
          </w:tcPr>
          <w:p w:rsidR="009646B0" w:rsidRPr="000238A7" w:rsidP="004863F4" w14:paraId="239A914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98.486(g)(5)</w:t>
            </w:r>
          </w:p>
        </w:tc>
        <w:tc>
          <w:tcPr>
            <w:tcW w:w="3330" w:type="dxa"/>
          </w:tcPr>
          <w:p w:rsidR="009646B0" w:rsidRPr="000238A7" w:rsidP="004863F4" w14:paraId="7BC52D5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Annual documentation as described in Clause 4.4 of CSA/ANSI ISO 27916:19, including source of each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stream quantified as associated storage.</w:t>
            </w:r>
          </w:p>
        </w:tc>
        <w:tc>
          <w:tcPr>
            <w:tcW w:w="2340" w:type="dxa"/>
          </w:tcPr>
          <w:p w:rsidR="009646B0" w:rsidRPr="000238A7" w:rsidP="004863F4" w14:paraId="5669FBF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3AF3E89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6D72084A" w14:textId="77777777" w:rsidTr="004863F4">
        <w:tblPrEx>
          <w:tblW w:w="12937" w:type="dxa"/>
          <w:tblInd w:w="108" w:type="dxa"/>
          <w:tblLayout w:type="fixed"/>
          <w:tblLook w:val="04A0"/>
        </w:tblPrEx>
        <w:tc>
          <w:tcPr>
            <w:tcW w:w="1526" w:type="dxa"/>
            <w:vMerge/>
          </w:tcPr>
          <w:p w:rsidR="009646B0" w:rsidRPr="000238A7" w:rsidP="004863F4" w14:paraId="43A1A9FD" w14:textId="77777777">
            <w:pPr>
              <w:pStyle w:val="BodyText"/>
              <w:spacing w:after="0"/>
              <w:rPr>
                <w:rFonts w:asciiTheme="minorHAnsi" w:hAnsiTheme="minorHAnsi" w:cstheme="minorHAnsi"/>
                <w:sz w:val="20"/>
                <w:szCs w:val="20"/>
              </w:rPr>
            </w:pPr>
          </w:p>
        </w:tc>
        <w:tc>
          <w:tcPr>
            <w:tcW w:w="2051" w:type="dxa"/>
          </w:tcPr>
          <w:p w:rsidR="009646B0" w:rsidRPr="000238A7" w:rsidP="004863F4" w14:paraId="2C03292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98.486(g)(6)</w:t>
            </w:r>
          </w:p>
        </w:tc>
        <w:tc>
          <w:tcPr>
            <w:tcW w:w="3330" w:type="dxa"/>
          </w:tcPr>
          <w:p w:rsidR="009646B0" w:rsidRPr="000238A7" w:rsidP="004863F4" w14:paraId="104D7EC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Annual documentation as described in Clause 4.4 of CSA/ANSI ISO 27916:19, including a description of the procedures used to detect and characterize the total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leakage from the EOR complex</w:t>
            </w:r>
          </w:p>
        </w:tc>
        <w:tc>
          <w:tcPr>
            <w:tcW w:w="2340" w:type="dxa"/>
          </w:tcPr>
          <w:p w:rsidR="009646B0" w:rsidRPr="000238A7" w:rsidP="004863F4" w14:paraId="08055D1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50D0985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263ED5FD" w14:textId="77777777" w:rsidTr="004863F4">
        <w:tblPrEx>
          <w:tblW w:w="12937" w:type="dxa"/>
          <w:tblInd w:w="108" w:type="dxa"/>
          <w:tblLayout w:type="fixed"/>
          <w:tblLook w:val="04A0"/>
        </w:tblPrEx>
        <w:tc>
          <w:tcPr>
            <w:tcW w:w="1526" w:type="dxa"/>
            <w:vMerge/>
          </w:tcPr>
          <w:p w:rsidR="009646B0" w:rsidRPr="000238A7" w:rsidP="004863F4" w14:paraId="4AB4FD49" w14:textId="77777777">
            <w:pPr>
              <w:pStyle w:val="BodyText"/>
              <w:spacing w:after="0"/>
              <w:rPr>
                <w:rFonts w:asciiTheme="minorHAnsi" w:hAnsiTheme="minorHAnsi" w:cstheme="minorHAnsi"/>
                <w:sz w:val="20"/>
                <w:szCs w:val="20"/>
              </w:rPr>
            </w:pPr>
          </w:p>
        </w:tc>
        <w:tc>
          <w:tcPr>
            <w:tcW w:w="2051" w:type="dxa"/>
          </w:tcPr>
          <w:p w:rsidR="009646B0" w:rsidRPr="000238A7" w:rsidP="004863F4" w14:paraId="1C65C3D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98.486(g)(7)</w:t>
            </w:r>
          </w:p>
        </w:tc>
        <w:tc>
          <w:tcPr>
            <w:tcW w:w="3330" w:type="dxa"/>
          </w:tcPr>
          <w:p w:rsidR="009646B0" w:rsidRPr="000238A7" w:rsidP="004863F4" w14:paraId="071705A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Annual documentation as described in Clause 4.4 of CSA/ANSI ISO 27916:19, including, if only the mass of anthropogenic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is considered for </w:t>
            </w:r>
            <w:r w:rsidRPr="000238A7">
              <w:rPr>
                <w:rFonts w:asciiTheme="minorHAnsi" w:hAnsiTheme="minorHAnsi" w:cstheme="minorHAnsi"/>
                <w:i/>
                <w:sz w:val="20"/>
                <w:szCs w:val="20"/>
              </w:rPr>
              <w:t>m</w:t>
            </w:r>
            <w:r w:rsidRPr="000238A7">
              <w:rPr>
                <w:rFonts w:asciiTheme="minorHAnsi" w:hAnsiTheme="minorHAnsi" w:cstheme="minorHAnsi"/>
                <w:sz w:val="20"/>
                <w:szCs w:val="20"/>
                <w:vertAlign w:val="subscript"/>
              </w:rPr>
              <w:t>stored</w:t>
            </w:r>
            <w:r w:rsidRPr="000238A7">
              <w:rPr>
                <w:rFonts w:asciiTheme="minorHAnsi" w:hAnsiTheme="minorHAnsi" w:cstheme="minorHAnsi"/>
                <w:sz w:val="20"/>
                <w:szCs w:val="20"/>
              </w:rPr>
              <w:t>, a description of the derivation and application of anthropogenic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allocation ratios for all the terms described in Clauses 8.1 to 8.4.6.</w:t>
            </w:r>
          </w:p>
        </w:tc>
        <w:tc>
          <w:tcPr>
            <w:tcW w:w="2340" w:type="dxa"/>
          </w:tcPr>
          <w:p w:rsidR="009646B0" w:rsidRPr="000238A7" w:rsidP="004863F4" w14:paraId="19404C0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52B2890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7E5D8CCA" w14:textId="77777777" w:rsidTr="004863F4">
        <w:tblPrEx>
          <w:tblW w:w="12937" w:type="dxa"/>
          <w:tblInd w:w="108" w:type="dxa"/>
          <w:tblLayout w:type="fixed"/>
          <w:tblLook w:val="04A0"/>
        </w:tblPrEx>
        <w:tc>
          <w:tcPr>
            <w:tcW w:w="1526" w:type="dxa"/>
            <w:vMerge/>
          </w:tcPr>
          <w:p w:rsidR="009646B0" w:rsidRPr="000238A7" w:rsidP="004863F4" w14:paraId="53A41098" w14:textId="77777777">
            <w:pPr>
              <w:pStyle w:val="BodyText"/>
              <w:spacing w:after="0"/>
              <w:rPr>
                <w:rFonts w:asciiTheme="minorHAnsi" w:hAnsiTheme="minorHAnsi" w:cstheme="minorHAnsi"/>
                <w:sz w:val="20"/>
                <w:szCs w:val="20"/>
              </w:rPr>
            </w:pPr>
          </w:p>
        </w:tc>
        <w:tc>
          <w:tcPr>
            <w:tcW w:w="2051" w:type="dxa"/>
          </w:tcPr>
          <w:p w:rsidR="009646B0" w:rsidRPr="000238A7" w:rsidP="004863F4" w14:paraId="581D6E3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98.486(g)(8)</w:t>
            </w:r>
          </w:p>
        </w:tc>
        <w:tc>
          <w:tcPr>
            <w:tcW w:w="3330" w:type="dxa"/>
          </w:tcPr>
          <w:p w:rsidR="009646B0" w:rsidRPr="000238A7" w:rsidP="004863F4" w14:paraId="7C19E30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Annual documentation as described in Clause 4.4 of CSA/ANSI ISO 27916:19, including any documentation provided by a qualified independent engineer or geologist, who certifies that the documentation provided, including the mass balance calculations as well as information regarding monitoring and containment assurance, is accurate and complete.</w:t>
            </w:r>
          </w:p>
        </w:tc>
        <w:tc>
          <w:tcPr>
            <w:tcW w:w="2340" w:type="dxa"/>
          </w:tcPr>
          <w:p w:rsidR="009646B0" w:rsidRPr="000238A7" w:rsidP="004863F4" w14:paraId="0827ACC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751D414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5DCDBADC" w14:textId="77777777" w:rsidTr="004863F4">
        <w:tblPrEx>
          <w:tblW w:w="12937" w:type="dxa"/>
          <w:tblInd w:w="108" w:type="dxa"/>
          <w:tblLayout w:type="fixed"/>
          <w:tblLook w:val="04A0"/>
        </w:tblPrEx>
        <w:tc>
          <w:tcPr>
            <w:tcW w:w="1526" w:type="dxa"/>
            <w:vMerge w:val="restart"/>
          </w:tcPr>
          <w:p w:rsidR="009646B0" w:rsidRPr="000238A7" w:rsidP="004863F4" w14:paraId="65EF1F7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Subpart VV - Geologic Sequestration of Carbon Dioxide with Enhanced Oil </w:t>
            </w:r>
            <w:r w:rsidRPr="000238A7">
              <w:rPr>
                <w:rFonts w:asciiTheme="minorHAnsi" w:hAnsiTheme="minorHAnsi" w:cstheme="minorHAnsi"/>
                <w:sz w:val="20"/>
                <w:szCs w:val="20"/>
              </w:rPr>
              <w:t>Recovery Using ISO 27916</w:t>
            </w:r>
          </w:p>
        </w:tc>
        <w:tc>
          <w:tcPr>
            <w:tcW w:w="2051" w:type="dxa"/>
          </w:tcPr>
          <w:p w:rsidR="009646B0" w:rsidRPr="000238A7" w:rsidP="004863F4" w14:paraId="2197CCD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98.488(h)</w:t>
            </w:r>
          </w:p>
        </w:tc>
        <w:tc>
          <w:tcPr>
            <w:tcW w:w="3330" w:type="dxa"/>
          </w:tcPr>
          <w:p w:rsidR="009646B0" w:rsidRPr="000238A7" w:rsidP="004863F4" w14:paraId="579AF49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Any changes made within the reporting year to containment assurance and monitoring approaches and procedures in the EOR operations management plan</w:t>
            </w:r>
          </w:p>
        </w:tc>
        <w:tc>
          <w:tcPr>
            <w:tcW w:w="2340" w:type="dxa"/>
          </w:tcPr>
          <w:p w:rsidR="009646B0" w:rsidRPr="000238A7" w:rsidP="004863F4" w14:paraId="6EA5B7B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6686D60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25B2E428" w14:textId="77777777" w:rsidTr="004863F4">
        <w:tblPrEx>
          <w:tblW w:w="12937" w:type="dxa"/>
          <w:tblInd w:w="108" w:type="dxa"/>
          <w:tblLayout w:type="fixed"/>
          <w:tblLook w:val="04A0"/>
        </w:tblPrEx>
        <w:tc>
          <w:tcPr>
            <w:tcW w:w="1526" w:type="dxa"/>
            <w:vMerge/>
          </w:tcPr>
          <w:p w:rsidR="009646B0" w:rsidRPr="000238A7" w:rsidP="004863F4" w14:paraId="38866E7A" w14:textId="77777777">
            <w:pPr>
              <w:pStyle w:val="BodyText"/>
              <w:spacing w:after="0"/>
              <w:rPr>
                <w:rFonts w:asciiTheme="minorHAnsi" w:hAnsiTheme="minorHAnsi" w:cstheme="minorHAnsi"/>
                <w:sz w:val="20"/>
                <w:szCs w:val="20"/>
              </w:rPr>
            </w:pPr>
          </w:p>
        </w:tc>
        <w:tc>
          <w:tcPr>
            <w:tcW w:w="2051" w:type="dxa"/>
          </w:tcPr>
          <w:p w:rsidR="009646B0" w:rsidRPr="000238A7" w:rsidP="004863F4" w14:paraId="18490F0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98.488(c)</w:t>
            </w:r>
          </w:p>
        </w:tc>
        <w:tc>
          <w:tcPr>
            <w:tcW w:w="3330" w:type="dxa"/>
          </w:tcPr>
          <w:p w:rsidR="009646B0" w:rsidRPr="000238A7" w:rsidP="004863F4" w14:paraId="45D1FE5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EOR Operations Management Plan </w:t>
            </w:r>
            <w:r w:rsidRPr="000238A7">
              <w:rPr>
                <w:rFonts w:asciiTheme="minorHAnsi" w:hAnsiTheme="minorHAnsi" w:cstheme="minorHAnsi"/>
                <w:bCs/>
                <w:sz w:val="20"/>
                <w:szCs w:val="20"/>
              </w:rPr>
              <w:t>that provides a description of the EOR complex and engineered system, establishes that the EOR complex is adequate to provide safe, long-term containment of CO</w:t>
            </w:r>
            <w:r w:rsidRPr="000238A7">
              <w:rPr>
                <w:rFonts w:asciiTheme="minorHAnsi" w:hAnsiTheme="minorHAnsi" w:cstheme="minorHAnsi"/>
                <w:bCs/>
                <w:sz w:val="20"/>
                <w:szCs w:val="20"/>
                <w:vertAlign w:val="subscript"/>
              </w:rPr>
              <w:t>2</w:t>
            </w:r>
            <w:r w:rsidRPr="000238A7">
              <w:rPr>
                <w:rFonts w:asciiTheme="minorHAnsi" w:hAnsiTheme="minorHAnsi" w:cstheme="minorHAnsi"/>
                <w:bCs/>
                <w:sz w:val="20"/>
                <w:szCs w:val="20"/>
              </w:rPr>
              <w:t>, and includes site-specific and other information identified in 40 CFR 98.488(a).</w:t>
            </w:r>
          </w:p>
        </w:tc>
        <w:tc>
          <w:tcPr>
            <w:tcW w:w="2340" w:type="dxa"/>
          </w:tcPr>
          <w:p w:rsidR="009646B0" w:rsidRPr="000238A7" w:rsidP="004863F4" w14:paraId="2417536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2DE783A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2F807BFB" w14:textId="77777777" w:rsidTr="004863F4">
        <w:tblPrEx>
          <w:tblW w:w="12937" w:type="dxa"/>
          <w:tblInd w:w="108" w:type="dxa"/>
          <w:tblLayout w:type="fixed"/>
          <w:tblLook w:val="04A0"/>
        </w:tblPrEx>
        <w:tc>
          <w:tcPr>
            <w:tcW w:w="1526" w:type="dxa"/>
            <w:vMerge/>
          </w:tcPr>
          <w:p w:rsidR="009646B0" w:rsidRPr="000238A7" w:rsidP="004863F4" w14:paraId="5AE78C60" w14:textId="77777777">
            <w:pPr>
              <w:pStyle w:val="BodyText"/>
              <w:spacing w:after="0"/>
              <w:rPr>
                <w:rFonts w:asciiTheme="minorHAnsi" w:hAnsiTheme="minorHAnsi" w:cstheme="minorHAnsi"/>
                <w:sz w:val="20"/>
                <w:szCs w:val="20"/>
              </w:rPr>
            </w:pPr>
          </w:p>
        </w:tc>
        <w:tc>
          <w:tcPr>
            <w:tcW w:w="2051" w:type="dxa"/>
          </w:tcPr>
          <w:p w:rsidR="009646B0" w:rsidRPr="000238A7" w:rsidP="004863F4" w14:paraId="0001216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98.488(c)</w:t>
            </w:r>
          </w:p>
        </w:tc>
        <w:tc>
          <w:tcPr>
            <w:tcW w:w="3330" w:type="dxa"/>
          </w:tcPr>
          <w:p w:rsidR="009646B0" w:rsidRPr="000238A7" w:rsidP="004863F4" w14:paraId="466B672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Initial documentation at the beginning of the quantification period, including the information identified in 40 CFR 98.488(b).</w:t>
            </w:r>
          </w:p>
        </w:tc>
        <w:tc>
          <w:tcPr>
            <w:tcW w:w="2340" w:type="dxa"/>
          </w:tcPr>
          <w:p w:rsidR="009646B0" w:rsidRPr="000238A7" w:rsidP="004863F4" w14:paraId="21610AE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22EB148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will affect ~4 reporters annually.</w:t>
            </w:r>
          </w:p>
        </w:tc>
      </w:tr>
      <w:tr w14:paraId="6D650EDC" w14:textId="77777777" w:rsidTr="004863F4">
        <w:tblPrEx>
          <w:tblW w:w="12937" w:type="dxa"/>
          <w:tblInd w:w="108" w:type="dxa"/>
          <w:tblLayout w:type="fixed"/>
          <w:tblLook w:val="04A0"/>
        </w:tblPrEx>
        <w:tc>
          <w:tcPr>
            <w:tcW w:w="1526" w:type="dxa"/>
            <w:vMerge w:val="restart"/>
          </w:tcPr>
          <w:p w:rsidR="009646B0" w:rsidRPr="000238A7" w:rsidP="004863F4" w14:paraId="6F21115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WW – Coke Calciners</w:t>
            </w:r>
          </w:p>
        </w:tc>
        <w:tc>
          <w:tcPr>
            <w:tcW w:w="2051" w:type="dxa"/>
          </w:tcPr>
          <w:p w:rsidR="009646B0" w:rsidRPr="000238A7" w:rsidP="004863F4" w14:paraId="62A3298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98.496(a)</w:t>
            </w:r>
          </w:p>
        </w:tc>
        <w:tc>
          <w:tcPr>
            <w:tcW w:w="3330" w:type="dxa"/>
          </w:tcPr>
          <w:p w:rsidR="009646B0" w:rsidRPr="000238A7" w:rsidP="004863F4" w14:paraId="287DABE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The unit ID number (if applicable).</w:t>
            </w:r>
          </w:p>
        </w:tc>
        <w:tc>
          <w:tcPr>
            <w:tcW w:w="2340" w:type="dxa"/>
          </w:tcPr>
          <w:p w:rsidR="009646B0" w:rsidRPr="000238A7" w:rsidP="004863F4" w14:paraId="7838F17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3B95658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all coke calciners and will affect ~15 reporters annually.</w:t>
            </w:r>
          </w:p>
        </w:tc>
      </w:tr>
      <w:tr w14:paraId="6AD1F1A0" w14:textId="77777777" w:rsidTr="004863F4">
        <w:tblPrEx>
          <w:tblW w:w="12937" w:type="dxa"/>
          <w:tblInd w:w="108" w:type="dxa"/>
          <w:tblLayout w:type="fixed"/>
          <w:tblLook w:val="04A0"/>
        </w:tblPrEx>
        <w:trPr>
          <w:trHeight w:val="305"/>
        </w:trPr>
        <w:tc>
          <w:tcPr>
            <w:tcW w:w="1526" w:type="dxa"/>
            <w:vMerge/>
          </w:tcPr>
          <w:p w:rsidR="009646B0" w:rsidRPr="000238A7" w:rsidP="004863F4" w14:paraId="58F802CF" w14:textId="77777777">
            <w:pPr>
              <w:pStyle w:val="BodyText"/>
              <w:spacing w:after="0"/>
              <w:rPr>
                <w:rFonts w:asciiTheme="minorHAnsi" w:hAnsiTheme="minorHAnsi" w:cstheme="minorHAnsi"/>
                <w:sz w:val="20"/>
                <w:szCs w:val="20"/>
              </w:rPr>
            </w:pPr>
          </w:p>
        </w:tc>
        <w:tc>
          <w:tcPr>
            <w:tcW w:w="2051" w:type="dxa"/>
          </w:tcPr>
          <w:p w:rsidR="009646B0" w:rsidRPr="000238A7" w:rsidP="004863F4" w14:paraId="3D90A6D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98.496(b)</w:t>
            </w:r>
          </w:p>
        </w:tc>
        <w:tc>
          <w:tcPr>
            <w:tcW w:w="3330" w:type="dxa"/>
          </w:tcPr>
          <w:p w:rsidR="009646B0" w:rsidRPr="000238A7" w:rsidP="004863F4" w14:paraId="715CCE8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Maximum rated throughput of the unit, in metric tons coke calcined/stream day.</w:t>
            </w:r>
          </w:p>
        </w:tc>
        <w:tc>
          <w:tcPr>
            <w:tcW w:w="2340" w:type="dxa"/>
          </w:tcPr>
          <w:p w:rsidR="009646B0" w:rsidRPr="000238A7" w:rsidP="004863F4" w14:paraId="106B339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7BA7AE2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all coke calciners and will affect ~15 reporters annually.</w:t>
            </w:r>
          </w:p>
        </w:tc>
      </w:tr>
      <w:tr w14:paraId="60BF0B5C" w14:textId="77777777" w:rsidTr="004863F4">
        <w:tblPrEx>
          <w:tblW w:w="12937" w:type="dxa"/>
          <w:tblInd w:w="108" w:type="dxa"/>
          <w:tblLayout w:type="fixed"/>
          <w:tblLook w:val="04A0"/>
        </w:tblPrEx>
        <w:tc>
          <w:tcPr>
            <w:tcW w:w="1526" w:type="dxa"/>
            <w:vMerge/>
          </w:tcPr>
          <w:p w:rsidR="009646B0" w:rsidRPr="000238A7" w:rsidP="004863F4" w14:paraId="132F7BF1" w14:textId="77777777">
            <w:pPr>
              <w:pStyle w:val="BodyText"/>
              <w:spacing w:after="0"/>
              <w:rPr>
                <w:rFonts w:asciiTheme="minorHAnsi" w:hAnsiTheme="minorHAnsi" w:cstheme="minorHAnsi"/>
                <w:sz w:val="20"/>
                <w:szCs w:val="20"/>
              </w:rPr>
            </w:pPr>
          </w:p>
        </w:tc>
        <w:tc>
          <w:tcPr>
            <w:tcW w:w="2051" w:type="dxa"/>
          </w:tcPr>
          <w:p w:rsidR="009646B0" w:rsidRPr="000238A7" w:rsidP="004863F4" w14:paraId="1FB286E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98.496(c)</w:t>
            </w:r>
          </w:p>
        </w:tc>
        <w:tc>
          <w:tcPr>
            <w:tcW w:w="3330" w:type="dxa"/>
          </w:tcPr>
          <w:p w:rsidR="009646B0" w:rsidRPr="000238A7" w:rsidP="004863F4" w14:paraId="1EEED25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The calculated CO2, CH4, and N2O annual process emissions, expressed in metric tons of each pollutant emitted.</w:t>
            </w:r>
          </w:p>
        </w:tc>
        <w:tc>
          <w:tcPr>
            <w:tcW w:w="2340" w:type="dxa"/>
          </w:tcPr>
          <w:p w:rsidR="009646B0" w:rsidRPr="000238A7" w:rsidP="004863F4" w14:paraId="4B074B5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71E1066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calculate and ascertain the data element using readily available or collected data and submit the value via e-GGRT as part of the annual report. This data element applies all coke calciners and will affect ~15 reporters annually.</w:t>
            </w:r>
          </w:p>
        </w:tc>
      </w:tr>
      <w:tr w14:paraId="3062B22E" w14:textId="77777777" w:rsidTr="004863F4">
        <w:tblPrEx>
          <w:tblW w:w="12937" w:type="dxa"/>
          <w:tblInd w:w="108" w:type="dxa"/>
          <w:tblLayout w:type="fixed"/>
          <w:tblLook w:val="04A0"/>
        </w:tblPrEx>
        <w:tc>
          <w:tcPr>
            <w:tcW w:w="1526" w:type="dxa"/>
            <w:vMerge/>
          </w:tcPr>
          <w:p w:rsidR="009646B0" w:rsidRPr="000238A7" w:rsidP="004863F4" w14:paraId="1C23AAF5" w14:textId="77777777">
            <w:pPr>
              <w:pStyle w:val="BodyText"/>
              <w:spacing w:after="0"/>
              <w:rPr>
                <w:rFonts w:asciiTheme="minorHAnsi" w:hAnsiTheme="minorHAnsi" w:cstheme="minorHAnsi"/>
                <w:sz w:val="20"/>
                <w:szCs w:val="20"/>
              </w:rPr>
            </w:pPr>
          </w:p>
        </w:tc>
        <w:tc>
          <w:tcPr>
            <w:tcW w:w="2051" w:type="dxa"/>
          </w:tcPr>
          <w:p w:rsidR="009646B0" w:rsidRPr="000238A7" w:rsidP="004863F4" w14:paraId="1F62270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98.496(d)</w:t>
            </w:r>
          </w:p>
        </w:tc>
        <w:tc>
          <w:tcPr>
            <w:tcW w:w="3330" w:type="dxa"/>
          </w:tcPr>
          <w:p w:rsidR="009646B0" w:rsidRPr="000238A7" w:rsidP="004863F4" w14:paraId="137F65CD" w14:textId="4BB7FBEA">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A description of the method used to calculate the CO2 emissions for each unit (e.g., CEMS or </w:t>
            </w:r>
            <w:r w:rsidRPr="000238A7" w:rsidR="00F42A09">
              <w:rPr>
                <w:rFonts w:asciiTheme="minorHAnsi" w:hAnsiTheme="minorHAnsi" w:cstheme="minorHAnsi"/>
                <w:sz w:val="20"/>
                <w:szCs w:val="20"/>
              </w:rPr>
              <w:t>e</w:t>
            </w:r>
            <w:r w:rsidRPr="000238A7">
              <w:rPr>
                <w:rFonts w:asciiTheme="minorHAnsi" w:hAnsiTheme="minorHAnsi" w:cstheme="minorHAnsi"/>
                <w:sz w:val="20"/>
                <w:szCs w:val="20"/>
              </w:rPr>
              <w:t>quation 1</w:t>
            </w:r>
            <w:r w:rsidRPr="000238A7" w:rsidR="00CE7B01">
              <w:rPr>
                <w:rFonts w:asciiTheme="minorHAnsi" w:hAnsiTheme="minorHAnsi" w:cstheme="minorHAnsi"/>
                <w:sz w:val="20"/>
                <w:szCs w:val="20"/>
              </w:rPr>
              <w:t xml:space="preserve"> to § 98.493(b)(2)</w:t>
            </w:r>
            <w:r w:rsidRPr="000238A7">
              <w:rPr>
                <w:rFonts w:asciiTheme="minorHAnsi" w:hAnsiTheme="minorHAnsi" w:cstheme="minorHAnsi"/>
                <w:sz w:val="20"/>
                <w:szCs w:val="20"/>
              </w:rPr>
              <w:t>).</w:t>
            </w:r>
          </w:p>
        </w:tc>
        <w:tc>
          <w:tcPr>
            <w:tcW w:w="2340" w:type="dxa"/>
          </w:tcPr>
          <w:p w:rsidR="009646B0" w:rsidRPr="000238A7" w:rsidP="004863F4" w14:paraId="1971166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2276533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all coke calciners and will affect ~15 reporters annually.</w:t>
            </w:r>
          </w:p>
        </w:tc>
      </w:tr>
      <w:tr w14:paraId="238841F8" w14:textId="77777777" w:rsidTr="004863F4">
        <w:tblPrEx>
          <w:tblW w:w="12937" w:type="dxa"/>
          <w:tblInd w:w="108" w:type="dxa"/>
          <w:tblLayout w:type="fixed"/>
          <w:tblLook w:val="04A0"/>
        </w:tblPrEx>
        <w:tc>
          <w:tcPr>
            <w:tcW w:w="1526" w:type="dxa"/>
            <w:vMerge w:val="restart"/>
          </w:tcPr>
          <w:p w:rsidR="009646B0" w:rsidRPr="000238A7" w:rsidP="004863F4" w14:paraId="555A62B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WW – Coke Calciners</w:t>
            </w:r>
          </w:p>
          <w:p w:rsidR="009646B0" w:rsidRPr="000238A7" w:rsidP="004863F4" w14:paraId="078984FC" w14:textId="77777777">
            <w:pPr>
              <w:pStyle w:val="BodyText"/>
              <w:spacing w:after="0"/>
              <w:rPr>
                <w:rFonts w:asciiTheme="minorHAnsi" w:hAnsiTheme="minorHAnsi" w:cstheme="minorHAnsi"/>
                <w:sz w:val="20"/>
                <w:szCs w:val="20"/>
              </w:rPr>
            </w:pPr>
          </w:p>
        </w:tc>
        <w:tc>
          <w:tcPr>
            <w:tcW w:w="2051" w:type="dxa"/>
          </w:tcPr>
          <w:p w:rsidR="009646B0" w:rsidRPr="000238A7" w:rsidP="004863F4" w14:paraId="41BF791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98.496(e)</w:t>
            </w:r>
          </w:p>
        </w:tc>
        <w:tc>
          <w:tcPr>
            <w:tcW w:w="3330" w:type="dxa"/>
          </w:tcPr>
          <w:p w:rsidR="009646B0" w:rsidRPr="000238A7" w:rsidP="004863F4" w14:paraId="6995FE8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Annual mass of green coke fed to the coke calcining unit from facility records (metric tons/year).</w:t>
            </w:r>
          </w:p>
        </w:tc>
        <w:tc>
          <w:tcPr>
            <w:tcW w:w="2340" w:type="dxa"/>
          </w:tcPr>
          <w:p w:rsidR="009646B0" w:rsidRPr="000238A7" w:rsidP="004863F4" w14:paraId="3A52C60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1483E8D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or collected data and submit the value via e-GGRT as part of the annual report. This data element applies all coke calciners and will affect ~15 reporters annually.</w:t>
            </w:r>
          </w:p>
        </w:tc>
      </w:tr>
      <w:tr w14:paraId="26023F74" w14:textId="77777777" w:rsidTr="004863F4">
        <w:tblPrEx>
          <w:tblW w:w="12937" w:type="dxa"/>
          <w:tblInd w:w="108" w:type="dxa"/>
          <w:tblLayout w:type="fixed"/>
          <w:tblLook w:val="04A0"/>
        </w:tblPrEx>
        <w:tc>
          <w:tcPr>
            <w:tcW w:w="1526" w:type="dxa"/>
            <w:vMerge/>
          </w:tcPr>
          <w:p w:rsidR="009646B0" w:rsidRPr="000238A7" w:rsidP="004863F4" w14:paraId="3D5793F8" w14:textId="77777777">
            <w:pPr>
              <w:pStyle w:val="BodyText"/>
              <w:spacing w:after="0"/>
              <w:rPr>
                <w:rFonts w:asciiTheme="minorHAnsi" w:hAnsiTheme="minorHAnsi" w:cstheme="minorHAnsi"/>
                <w:sz w:val="20"/>
                <w:szCs w:val="20"/>
              </w:rPr>
            </w:pPr>
          </w:p>
        </w:tc>
        <w:tc>
          <w:tcPr>
            <w:tcW w:w="2051" w:type="dxa"/>
          </w:tcPr>
          <w:p w:rsidR="009646B0" w:rsidRPr="000238A7" w:rsidP="004863F4" w14:paraId="63D478D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98.496(f)</w:t>
            </w:r>
          </w:p>
        </w:tc>
        <w:tc>
          <w:tcPr>
            <w:tcW w:w="3330" w:type="dxa"/>
          </w:tcPr>
          <w:p w:rsidR="009646B0" w:rsidRPr="000238A7" w:rsidP="004863F4" w14:paraId="692DCC7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Annual mass of marketable petroleum coke produced by the coke calcining unit from facility records (metric tons/year).</w:t>
            </w:r>
          </w:p>
        </w:tc>
        <w:tc>
          <w:tcPr>
            <w:tcW w:w="2340" w:type="dxa"/>
          </w:tcPr>
          <w:p w:rsidR="009646B0" w:rsidRPr="000238A7" w:rsidP="004863F4" w14:paraId="1D08E53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794D4FF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or collected data and submit the value via e-GGRT as part of the annual report. This data element applies all coke calciners and will affect ~15 reporters annually.</w:t>
            </w:r>
          </w:p>
        </w:tc>
      </w:tr>
      <w:tr w14:paraId="79275BCD" w14:textId="77777777" w:rsidTr="004863F4">
        <w:tblPrEx>
          <w:tblW w:w="12937" w:type="dxa"/>
          <w:tblInd w:w="108" w:type="dxa"/>
          <w:tblLayout w:type="fixed"/>
          <w:tblLook w:val="04A0"/>
        </w:tblPrEx>
        <w:tc>
          <w:tcPr>
            <w:tcW w:w="1526" w:type="dxa"/>
            <w:vMerge/>
          </w:tcPr>
          <w:p w:rsidR="009646B0" w:rsidRPr="000238A7" w:rsidP="004863F4" w14:paraId="3F4914F1" w14:textId="77777777">
            <w:pPr>
              <w:pStyle w:val="BodyText"/>
              <w:spacing w:after="0"/>
              <w:rPr>
                <w:rFonts w:asciiTheme="minorHAnsi" w:hAnsiTheme="minorHAnsi" w:cstheme="minorHAnsi"/>
                <w:sz w:val="20"/>
                <w:szCs w:val="20"/>
              </w:rPr>
            </w:pPr>
          </w:p>
        </w:tc>
        <w:tc>
          <w:tcPr>
            <w:tcW w:w="2051" w:type="dxa"/>
          </w:tcPr>
          <w:p w:rsidR="009646B0" w:rsidRPr="000238A7" w:rsidP="004863F4" w14:paraId="71B5262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98.496(g)</w:t>
            </w:r>
          </w:p>
        </w:tc>
        <w:tc>
          <w:tcPr>
            <w:tcW w:w="3330" w:type="dxa"/>
          </w:tcPr>
          <w:p w:rsidR="009646B0" w:rsidRPr="000238A7" w:rsidP="004863F4" w14:paraId="4D86C19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Annual mass of petroleum coke dust removed from the process through the dust collection system of the coke calcining unit from facility records (metric tons/year) and an indication of whether coke dust is recycled to the unit (e.g., all dust is recycled, a portion of the dust is recycled, or none of the dust is recycled).</w:t>
            </w:r>
          </w:p>
        </w:tc>
        <w:tc>
          <w:tcPr>
            <w:tcW w:w="2340" w:type="dxa"/>
          </w:tcPr>
          <w:p w:rsidR="009646B0" w:rsidRPr="000238A7" w:rsidP="004863F4" w14:paraId="45BDF36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232FBB0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or collected data and submit the value via e-GGRT as part of the annual report. This data element applies all coke calciners and will affect ~15 reporters annually.</w:t>
            </w:r>
          </w:p>
        </w:tc>
      </w:tr>
      <w:tr w14:paraId="0C9E641E" w14:textId="77777777" w:rsidTr="004863F4">
        <w:tblPrEx>
          <w:tblW w:w="12937" w:type="dxa"/>
          <w:tblInd w:w="108" w:type="dxa"/>
          <w:tblLayout w:type="fixed"/>
          <w:tblLook w:val="04A0"/>
        </w:tblPrEx>
        <w:tc>
          <w:tcPr>
            <w:tcW w:w="1526" w:type="dxa"/>
            <w:vMerge/>
          </w:tcPr>
          <w:p w:rsidR="009646B0" w:rsidRPr="000238A7" w:rsidP="004863F4" w14:paraId="75F9BA43" w14:textId="77777777">
            <w:pPr>
              <w:pStyle w:val="BodyText"/>
              <w:spacing w:after="0"/>
              <w:rPr>
                <w:rFonts w:asciiTheme="minorHAnsi" w:hAnsiTheme="minorHAnsi" w:cstheme="minorHAnsi"/>
                <w:sz w:val="20"/>
                <w:szCs w:val="20"/>
              </w:rPr>
            </w:pPr>
          </w:p>
        </w:tc>
        <w:tc>
          <w:tcPr>
            <w:tcW w:w="2051" w:type="dxa"/>
          </w:tcPr>
          <w:p w:rsidR="009646B0" w:rsidRPr="000238A7" w:rsidP="004863F4" w14:paraId="086B80A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98.496(h)</w:t>
            </w:r>
          </w:p>
        </w:tc>
        <w:tc>
          <w:tcPr>
            <w:tcW w:w="3330" w:type="dxa"/>
          </w:tcPr>
          <w:p w:rsidR="009646B0" w:rsidRPr="000238A7" w:rsidP="004863F4" w14:paraId="1F34025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Annual average mass fraction carbon content of green coke fed to the coke calcining unit from facility </w:t>
            </w:r>
            <w:r w:rsidRPr="000238A7">
              <w:rPr>
                <w:rFonts w:asciiTheme="minorHAnsi" w:hAnsiTheme="minorHAnsi" w:cstheme="minorHAnsi"/>
                <w:sz w:val="20"/>
                <w:szCs w:val="20"/>
              </w:rPr>
              <w:t>measurement data (metric tons C per metric ton green coke).</w:t>
            </w:r>
          </w:p>
        </w:tc>
        <w:tc>
          <w:tcPr>
            <w:tcW w:w="2340" w:type="dxa"/>
          </w:tcPr>
          <w:p w:rsidR="009646B0" w:rsidRPr="000238A7" w:rsidP="004863F4" w14:paraId="294B158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4086C0C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available or collected data and submit the value via e-GGRT as part of the annual </w:t>
            </w:r>
            <w:r w:rsidRPr="000238A7">
              <w:rPr>
                <w:rFonts w:asciiTheme="minorHAnsi" w:hAnsiTheme="minorHAnsi" w:cstheme="minorHAnsi"/>
                <w:sz w:val="20"/>
                <w:szCs w:val="20"/>
              </w:rPr>
              <w:t>report. This data element applies all coke calciners and will affect ~15 reporters annually.</w:t>
            </w:r>
          </w:p>
        </w:tc>
      </w:tr>
      <w:tr w14:paraId="616B50EE" w14:textId="77777777" w:rsidTr="004863F4">
        <w:tblPrEx>
          <w:tblW w:w="12937" w:type="dxa"/>
          <w:tblInd w:w="108" w:type="dxa"/>
          <w:tblLayout w:type="fixed"/>
          <w:tblLook w:val="04A0"/>
        </w:tblPrEx>
        <w:tc>
          <w:tcPr>
            <w:tcW w:w="1526" w:type="dxa"/>
            <w:vMerge/>
          </w:tcPr>
          <w:p w:rsidR="009646B0" w:rsidRPr="000238A7" w:rsidP="004863F4" w14:paraId="337393DD" w14:textId="77777777">
            <w:pPr>
              <w:pStyle w:val="BodyText"/>
              <w:spacing w:after="0"/>
              <w:rPr>
                <w:rFonts w:asciiTheme="minorHAnsi" w:hAnsiTheme="minorHAnsi" w:cstheme="minorHAnsi"/>
                <w:sz w:val="20"/>
                <w:szCs w:val="20"/>
              </w:rPr>
            </w:pPr>
          </w:p>
        </w:tc>
        <w:tc>
          <w:tcPr>
            <w:tcW w:w="2051" w:type="dxa"/>
          </w:tcPr>
          <w:p w:rsidR="009646B0" w:rsidRPr="000238A7" w:rsidP="004863F4" w14:paraId="73FC4B4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98.496(</w:t>
            </w:r>
            <w:r w:rsidRPr="000238A7">
              <w:rPr>
                <w:rFonts w:asciiTheme="minorHAnsi" w:hAnsiTheme="minorHAnsi" w:cstheme="minorHAnsi"/>
                <w:sz w:val="20"/>
                <w:szCs w:val="20"/>
              </w:rPr>
              <w:t>i</w:t>
            </w:r>
            <w:r w:rsidRPr="000238A7">
              <w:rPr>
                <w:rFonts w:asciiTheme="minorHAnsi" w:hAnsiTheme="minorHAnsi" w:cstheme="minorHAnsi"/>
                <w:sz w:val="20"/>
                <w:szCs w:val="20"/>
              </w:rPr>
              <w:t>)</w:t>
            </w:r>
          </w:p>
        </w:tc>
        <w:tc>
          <w:tcPr>
            <w:tcW w:w="3330" w:type="dxa"/>
          </w:tcPr>
          <w:p w:rsidR="009646B0" w:rsidRPr="000238A7" w:rsidP="004863F4" w14:paraId="30E0629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Annual average mass fraction carbon content of marketable petroleum coke produced by the coke calcining unit from facility measurement data (metric tons C per metric ton petroleum coke).</w:t>
            </w:r>
          </w:p>
        </w:tc>
        <w:tc>
          <w:tcPr>
            <w:tcW w:w="2340" w:type="dxa"/>
          </w:tcPr>
          <w:p w:rsidR="009646B0" w:rsidRPr="000238A7" w:rsidP="004863F4" w14:paraId="2B32400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41CFF15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or collected data and submit the value via e-GGRT as part of the annual report. This data element applies all coke calciners and will affect ~15 reporters annually.</w:t>
            </w:r>
          </w:p>
        </w:tc>
      </w:tr>
      <w:tr w14:paraId="257329BF" w14:textId="77777777" w:rsidTr="004863F4">
        <w:tblPrEx>
          <w:tblW w:w="12937" w:type="dxa"/>
          <w:tblInd w:w="108" w:type="dxa"/>
          <w:tblLayout w:type="fixed"/>
          <w:tblLook w:val="04A0"/>
        </w:tblPrEx>
        <w:tc>
          <w:tcPr>
            <w:tcW w:w="1526" w:type="dxa"/>
            <w:vMerge w:val="restart"/>
          </w:tcPr>
          <w:p w:rsidR="009646B0" w:rsidRPr="000238A7" w:rsidP="004863F4" w14:paraId="6D0C93A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XX – Calcium Carbide Production</w:t>
            </w:r>
          </w:p>
          <w:p w:rsidR="009646B0" w:rsidRPr="000238A7" w:rsidP="004863F4" w14:paraId="168840D0" w14:textId="77777777">
            <w:pPr>
              <w:pStyle w:val="BodyText"/>
              <w:spacing w:after="0"/>
              <w:rPr>
                <w:rFonts w:asciiTheme="minorHAnsi" w:hAnsiTheme="minorHAnsi" w:cstheme="minorHAnsi"/>
                <w:sz w:val="20"/>
                <w:szCs w:val="20"/>
              </w:rPr>
            </w:pPr>
          </w:p>
        </w:tc>
        <w:tc>
          <w:tcPr>
            <w:tcW w:w="2051" w:type="dxa"/>
          </w:tcPr>
          <w:p w:rsidR="009646B0" w:rsidRPr="000238A7" w:rsidP="004863F4" w14:paraId="042B1D6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98.506(a)</w:t>
            </w:r>
          </w:p>
        </w:tc>
        <w:tc>
          <w:tcPr>
            <w:tcW w:w="3330" w:type="dxa"/>
          </w:tcPr>
          <w:p w:rsidR="009646B0" w:rsidRPr="000238A7" w:rsidP="004863F4" w14:paraId="0513572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Annual facility calcium carbide production capacity (tons).</w:t>
            </w:r>
          </w:p>
        </w:tc>
        <w:tc>
          <w:tcPr>
            <w:tcW w:w="2340" w:type="dxa"/>
          </w:tcPr>
          <w:p w:rsidR="009646B0" w:rsidRPr="000238A7" w:rsidP="004863F4" w14:paraId="5203342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5FF3C25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all coke calciners and will affect ~15 reporters annually.</w:t>
            </w:r>
          </w:p>
        </w:tc>
      </w:tr>
      <w:tr w14:paraId="364FDDCE" w14:textId="77777777" w:rsidTr="004863F4">
        <w:tblPrEx>
          <w:tblW w:w="12937" w:type="dxa"/>
          <w:tblInd w:w="108" w:type="dxa"/>
          <w:tblLayout w:type="fixed"/>
          <w:tblLook w:val="04A0"/>
        </w:tblPrEx>
        <w:tc>
          <w:tcPr>
            <w:tcW w:w="1526" w:type="dxa"/>
            <w:vMerge/>
          </w:tcPr>
          <w:p w:rsidR="009646B0" w:rsidRPr="000238A7" w:rsidP="004863F4" w14:paraId="4E154952" w14:textId="77777777">
            <w:pPr>
              <w:pStyle w:val="BodyText"/>
              <w:spacing w:after="0"/>
              <w:rPr>
                <w:rFonts w:asciiTheme="minorHAnsi" w:hAnsiTheme="minorHAnsi" w:cstheme="minorHAnsi"/>
                <w:sz w:val="20"/>
                <w:szCs w:val="20"/>
              </w:rPr>
            </w:pPr>
          </w:p>
        </w:tc>
        <w:tc>
          <w:tcPr>
            <w:tcW w:w="2051" w:type="dxa"/>
          </w:tcPr>
          <w:p w:rsidR="009646B0" w:rsidRPr="000238A7" w:rsidP="004863F4" w14:paraId="21AAACD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98.506(b)</w:t>
            </w:r>
          </w:p>
        </w:tc>
        <w:tc>
          <w:tcPr>
            <w:tcW w:w="3330" w:type="dxa"/>
          </w:tcPr>
          <w:p w:rsidR="009646B0" w:rsidRPr="000238A7" w:rsidP="004863F4" w14:paraId="2BB4F2E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The annual facility production of calcium carbide (tons).</w:t>
            </w:r>
          </w:p>
        </w:tc>
        <w:tc>
          <w:tcPr>
            <w:tcW w:w="2340" w:type="dxa"/>
          </w:tcPr>
          <w:p w:rsidR="009646B0" w:rsidRPr="000238A7" w:rsidP="004863F4" w14:paraId="57D7FA2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13A4DA1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or collected available data and submit the value via e-GGRT as part of the annual report. This data element applies all coke calciners and will affect ~15 reporters annually.</w:t>
            </w:r>
          </w:p>
        </w:tc>
      </w:tr>
      <w:tr w14:paraId="7386C036" w14:textId="77777777" w:rsidTr="004863F4">
        <w:tblPrEx>
          <w:tblW w:w="12937" w:type="dxa"/>
          <w:tblInd w:w="108" w:type="dxa"/>
          <w:tblLayout w:type="fixed"/>
          <w:tblLook w:val="04A0"/>
        </w:tblPrEx>
        <w:tc>
          <w:tcPr>
            <w:tcW w:w="1526" w:type="dxa"/>
            <w:vMerge/>
          </w:tcPr>
          <w:p w:rsidR="009646B0" w:rsidRPr="000238A7" w:rsidP="004863F4" w14:paraId="30FCF0D1" w14:textId="77777777">
            <w:pPr>
              <w:pStyle w:val="BodyText"/>
              <w:spacing w:after="0"/>
              <w:rPr>
                <w:rFonts w:asciiTheme="minorHAnsi" w:hAnsiTheme="minorHAnsi" w:cstheme="minorHAnsi"/>
                <w:sz w:val="20"/>
                <w:szCs w:val="20"/>
              </w:rPr>
            </w:pPr>
          </w:p>
        </w:tc>
        <w:tc>
          <w:tcPr>
            <w:tcW w:w="2051" w:type="dxa"/>
          </w:tcPr>
          <w:p w:rsidR="009646B0" w:rsidRPr="000238A7" w:rsidP="004863F4" w14:paraId="72AF589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98.506(c)</w:t>
            </w:r>
          </w:p>
        </w:tc>
        <w:tc>
          <w:tcPr>
            <w:tcW w:w="3330" w:type="dxa"/>
          </w:tcPr>
          <w:p w:rsidR="009646B0" w:rsidRPr="000238A7" w:rsidP="004863F4" w14:paraId="4BE7854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Total number of calcium carbide process units at facility used for production of calcium carbide.</w:t>
            </w:r>
          </w:p>
        </w:tc>
        <w:tc>
          <w:tcPr>
            <w:tcW w:w="2340" w:type="dxa"/>
          </w:tcPr>
          <w:p w:rsidR="009646B0" w:rsidRPr="000238A7" w:rsidP="004863F4" w14:paraId="0BF1EE5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5B51FDE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all coke calciners and will affect ~15 reporters annually.</w:t>
            </w:r>
          </w:p>
        </w:tc>
      </w:tr>
      <w:tr w14:paraId="049E5FF9" w14:textId="77777777" w:rsidTr="004863F4">
        <w:tblPrEx>
          <w:tblW w:w="12937" w:type="dxa"/>
          <w:tblInd w:w="108" w:type="dxa"/>
          <w:tblLayout w:type="fixed"/>
          <w:tblLook w:val="04A0"/>
        </w:tblPrEx>
        <w:tc>
          <w:tcPr>
            <w:tcW w:w="1526" w:type="dxa"/>
            <w:vMerge/>
          </w:tcPr>
          <w:p w:rsidR="009646B0" w:rsidRPr="000238A7" w:rsidP="004863F4" w14:paraId="1388DF64" w14:textId="77777777">
            <w:pPr>
              <w:pStyle w:val="BodyText"/>
              <w:spacing w:after="0"/>
              <w:rPr>
                <w:rFonts w:asciiTheme="minorHAnsi" w:hAnsiTheme="minorHAnsi" w:cstheme="minorHAnsi"/>
                <w:sz w:val="20"/>
                <w:szCs w:val="20"/>
              </w:rPr>
            </w:pPr>
          </w:p>
        </w:tc>
        <w:tc>
          <w:tcPr>
            <w:tcW w:w="2051" w:type="dxa"/>
          </w:tcPr>
          <w:p w:rsidR="009646B0" w:rsidRPr="000238A7" w:rsidP="004863F4" w14:paraId="04EEB7E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98.506(d)</w:t>
            </w:r>
          </w:p>
        </w:tc>
        <w:tc>
          <w:tcPr>
            <w:tcW w:w="3330" w:type="dxa"/>
          </w:tcPr>
          <w:p w:rsidR="009646B0" w:rsidRPr="000238A7" w:rsidP="004863F4" w14:paraId="5511D1B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Annual facility consumption of petroleum coke (tons).</w:t>
            </w:r>
          </w:p>
        </w:tc>
        <w:tc>
          <w:tcPr>
            <w:tcW w:w="2340" w:type="dxa"/>
          </w:tcPr>
          <w:p w:rsidR="009646B0" w:rsidRPr="000238A7" w:rsidP="004863F4" w14:paraId="27A7272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5296F76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available data and submit the value via e-GGRT as part of the annual report. This </w:t>
            </w:r>
            <w:r w:rsidRPr="000238A7">
              <w:rPr>
                <w:rFonts w:asciiTheme="minorHAnsi" w:hAnsiTheme="minorHAnsi" w:cstheme="minorHAnsi"/>
                <w:sz w:val="20"/>
                <w:szCs w:val="20"/>
              </w:rPr>
              <w:t>data element applies all coke calciners and will affect ~15 reporters annually.</w:t>
            </w:r>
          </w:p>
        </w:tc>
      </w:tr>
      <w:tr w14:paraId="4C37CFC0" w14:textId="77777777" w:rsidTr="004863F4">
        <w:tblPrEx>
          <w:tblW w:w="12937" w:type="dxa"/>
          <w:tblInd w:w="108" w:type="dxa"/>
          <w:tblLayout w:type="fixed"/>
          <w:tblLook w:val="04A0"/>
        </w:tblPrEx>
        <w:tc>
          <w:tcPr>
            <w:tcW w:w="1526" w:type="dxa"/>
            <w:vMerge/>
          </w:tcPr>
          <w:p w:rsidR="009646B0" w:rsidRPr="000238A7" w:rsidP="004863F4" w14:paraId="4AD48B5A" w14:textId="77777777">
            <w:pPr>
              <w:pStyle w:val="BodyText"/>
              <w:spacing w:after="0"/>
              <w:rPr>
                <w:rFonts w:asciiTheme="minorHAnsi" w:hAnsiTheme="minorHAnsi" w:cstheme="minorHAnsi"/>
                <w:sz w:val="20"/>
                <w:szCs w:val="20"/>
              </w:rPr>
            </w:pPr>
          </w:p>
        </w:tc>
        <w:tc>
          <w:tcPr>
            <w:tcW w:w="2051" w:type="dxa"/>
          </w:tcPr>
          <w:p w:rsidR="009646B0" w:rsidRPr="000238A7" w:rsidP="004863F4" w14:paraId="56F2E8D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98.506(e)</w:t>
            </w:r>
          </w:p>
        </w:tc>
        <w:tc>
          <w:tcPr>
            <w:tcW w:w="3330" w:type="dxa"/>
          </w:tcPr>
          <w:p w:rsidR="009646B0" w:rsidRPr="000238A7" w:rsidP="004863F4" w14:paraId="3FDC591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Each end use of any calcium carbide produced and sent off site.</w:t>
            </w:r>
          </w:p>
        </w:tc>
        <w:tc>
          <w:tcPr>
            <w:tcW w:w="2340" w:type="dxa"/>
          </w:tcPr>
          <w:p w:rsidR="009646B0" w:rsidRPr="000238A7" w:rsidP="004863F4" w14:paraId="0352123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7E92439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all coke calciners and will affect ~15 reporters annually.</w:t>
            </w:r>
          </w:p>
        </w:tc>
      </w:tr>
      <w:tr w14:paraId="071C382B" w14:textId="77777777" w:rsidTr="004863F4">
        <w:tblPrEx>
          <w:tblW w:w="12937" w:type="dxa"/>
          <w:tblInd w:w="108" w:type="dxa"/>
          <w:tblLayout w:type="fixed"/>
          <w:tblLook w:val="04A0"/>
        </w:tblPrEx>
        <w:tc>
          <w:tcPr>
            <w:tcW w:w="1526" w:type="dxa"/>
            <w:vMerge/>
          </w:tcPr>
          <w:p w:rsidR="009646B0" w:rsidRPr="000238A7" w:rsidP="004863F4" w14:paraId="1429C5B4" w14:textId="77777777">
            <w:pPr>
              <w:pStyle w:val="BodyText"/>
              <w:spacing w:after="0"/>
              <w:rPr>
                <w:rFonts w:asciiTheme="minorHAnsi" w:hAnsiTheme="minorHAnsi" w:cstheme="minorHAnsi"/>
                <w:sz w:val="20"/>
                <w:szCs w:val="20"/>
              </w:rPr>
            </w:pPr>
          </w:p>
        </w:tc>
        <w:tc>
          <w:tcPr>
            <w:tcW w:w="2051" w:type="dxa"/>
          </w:tcPr>
          <w:p w:rsidR="009646B0" w:rsidRPr="000238A7" w:rsidP="004863F4" w14:paraId="219252C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98.506(f)</w:t>
            </w:r>
          </w:p>
        </w:tc>
        <w:tc>
          <w:tcPr>
            <w:tcW w:w="3330" w:type="dxa"/>
          </w:tcPr>
          <w:p w:rsidR="009646B0" w:rsidRPr="000238A7" w:rsidP="004863F4" w14:paraId="057E3B3E"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If the facility produces acetylene on site, the information in paragraphs (f)(1), (2), and (3).</w:t>
            </w:r>
          </w:p>
          <w:p w:rsidR="009646B0" w:rsidRPr="000238A7" w:rsidP="004863F4" w14:paraId="56B36DAC"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(1) The annual production of acetylene at the facility (tons).</w:t>
            </w:r>
          </w:p>
          <w:p w:rsidR="009646B0" w:rsidRPr="000238A7" w:rsidP="004863F4" w14:paraId="3C834982"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(2) The annual quantity of calcium carbide used for the production of acetylene at the facility (tons).</w:t>
            </w:r>
          </w:p>
          <w:p w:rsidR="009646B0" w:rsidRPr="000238A7" w:rsidP="004863F4" w14:paraId="13A7DAE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(3) Each end use of any acetylene produced on site.</w:t>
            </w:r>
          </w:p>
        </w:tc>
        <w:tc>
          <w:tcPr>
            <w:tcW w:w="2340" w:type="dxa"/>
          </w:tcPr>
          <w:p w:rsidR="009646B0" w:rsidRPr="000238A7" w:rsidP="004863F4" w14:paraId="29852E6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7552DE0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or collected data and submit the value via e-GGRT as part of the annual report. This data element applies all coke calciners and will affect ~15 reporters annually.</w:t>
            </w:r>
          </w:p>
        </w:tc>
      </w:tr>
      <w:tr w14:paraId="03534D98" w14:textId="77777777" w:rsidTr="004863F4">
        <w:tblPrEx>
          <w:tblW w:w="12937" w:type="dxa"/>
          <w:tblInd w:w="108" w:type="dxa"/>
          <w:tblLayout w:type="fixed"/>
          <w:tblLook w:val="04A0"/>
        </w:tblPrEx>
        <w:trPr>
          <w:trHeight w:val="386"/>
        </w:trPr>
        <w:tc>
          <w:tcPr>
            <w:tcW w:w="1526" w:type="dxa"/>
            <w:vMerge w:val="restart"/>
          </w:tcPr>
          <w:p w:rsidR="009646B0" w:rsidRPr="000238A7" w:rsidP="004863F4" w14:paraId="60A36EB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XX – Calcium Carbide Production</w:t>
            </w:r>
          </w:p>
        </w:tc>
        <w:tc>
          <w:tcPr>
            <w:tcW w:w="2051" w:type="dxa"/>
          </w:tcPr>
          <w:p w:rsidR="009646B0" w:rsidRPr="000238A7" w:rsidP="004863F4" w14:paraId="78DB129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98.506(g)</w:t>
            </w:r>
          </w:p>
        </w:tc>
        <w:tc>
          <w:tcPr>
            <w:tcW w:w="3330" w:type="dxa"/>
          </w:tcPr>
          <w:p w:rsidR="009646B0" w:rsidRPr="000238A7" w:rsidP="004863F4" w14:paraId="0764CF80"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 xml:space="preserve">If a CEMS is used to measure CO2 emissions, the relevant information required by § 98.36 for the Tier 4 Calculation Methodology and the information specified in paragraphs (1) and (2). </w:t>
            </w:r>
          </w:p>
          <w:p w:rsidR="009646B0" w:rsidRPr="000238A7" w:rsidP="004863F4" w14:paraId="41790E3C"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 xml:space="preserve">(1) Annual CO2 emissions (in metric tons) from each CEMS monitoring location measuring process emissions from the calcium carbide process unit. </w:t>
            </w:r>
          </w:p>
          <w:p w:rsidR="009646B0" w:rsidRPr="000238A7" w:rsidP="004863F4" w14:paraId="5C23D82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(2) Identification number of each process unit.</w:t>
            </w:r>
          </w:p>
        </w:tc>
        <w:tc>
          <w:tcPr>
            <w:tcW w:w="2340" w:type="dxa"/>
          </w:tcPr>
          <w:p w:rsidR="009646B0" w:rsidRPr="000238A7" w:rsidP="004863F4" w14:paraId="66275D0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0F27C23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calculate and ascertain the data element using readily available or collected data and submit the value via e-GGRT as part of the annual report. This data element applies all calcium carbide production facilities and will affect ~1 reporter annually.</w:t>
            </w:r>
          </w:p>
        </w:tc>
      </w:tr>
      <w:tr w14:paraId="339BFAAA" w14:textId="77777777" w:rsidTr="004863F4">
        <w:tblPrEx>
          <w:tblW w:w="12937" w:type="dxa"/>
          <w:tblInd w:w="108" w:type="dxa"/>
          <w:tblLayout w:type="fixed"/>
          <w:tblLook w:val="04A0"/>
        </w:tblPrEx>
        <w:tc>
          <w:tcPr>
            <w:tcW w:w="1526" w:type="dxa"/>
            <w:vMerge/>
          </w:tcPr>
          <w:p w:rsidR="009646B0" w:rsidRPr="000238A7" w:rsidP="004863F4" w14:paraId="2DD472DF" w14:textId="77777777">
            <w:pPr>
              <w:pStyle w:val="BodyText"/>
              <w:spacing w:after="0"/>
              <w:rPr>
                <w:rFonts w:asciiTheme="minorHAnsi" w:hAnsiTheme="minorHAnsi" w:cstheme="minorHAnsi"/>
                <w:sz w:val="20"/>
                <w:szCs w:val="20"/>
              </w:rPr>
            </w:pPr>
          </w:p>
        </w:tc>
        <w:tc>
          <w:tcPr>
            <w:tcW w:w="2051" w:type="dxa"/>
          </w:tcPr>
          <w:p w:rsidR="009646B0" w:rsidRPr="000238A7" w:rsidP="004863F4" w14:paraId="4A47A6C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98.506(h)</w:t>
            </w:r>
          </w:p>
        </w:tc>
        <w:tc>
          <w:tcPr>
            <w:tcW w:w="3330" w:type="dxa"/>
          </w:tcPr>
          <w:p w:rsidR="009646B0" w:rsidRPr="000238A7" w:rsidP="004863F4" w14:paraId="39D557D7"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 xml:space="preserve">If a CEMS is not used to measure CO2 process emissions, and the carbon mass balance procedure is used to determine CO2 emissions according to the requirements in § 98.503(b),  the information specified in paragraphs (h)(1) through (3) of this section. </w:t>
            </w:r>
          </w:p>
          <w:p w:rsidR="009646B0" w:rsidRPr="000238A7" w:rsidP="004863F4" w14:paraId="48979425"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 xml:space="preserve">(1) Annual process CO2 emissions (in metric tons) from each calcium carbide process unit. </w:t>
            </w:r>
          </w:p>
          <w:p w:rsidR="009646B0" w:rsidRPr="000238A7" w:rsidP="004863F4" w14:paraId="7A1B1C64"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 xml:space="preserve">(2) The method used for the determination of carbon content for each input and output material included in the calculation of annual process CO2 emissions for each calcium carbide process unit (e.g., supplier provided information, analyses of representative samples you collected). </w:t>
            </w:r>
          </w:p>
          <w:p w:rsidR="009646B0" w:rsidRPr="000238A7" w:rsidP="004863F4" w14:paraId="7D1D171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(3) If you use the missing data procedures in § 98.505(b), report for each calcium carbide production process unit how monthly mass of carbon-containing inputs and outputs with missing data were determined and the number of months the missing data procedures were used.</w:t>
            </w:r>
          </w:p>
        </w:tc>
        <w:tc>
          <w:tcPr>
            <w:tcW w:w="2340" w:type="dxa"/>
          </w:tcPr>
          <w:p w:rsidR="009646B0" w:rsidRPr="000238A7" w:rsidP="004863F4" w14:paraId="600AF95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200D26F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calculate and ascertain the data element using readily available or collected data and submit the value via e-GGRT as part of the annual report. This data element applies all calcium carbide production facilities and will affect ~1 reporter annually.</w:t>
            </w:r>
          </w:p>
        </w:tc>
      </w:tr>
      <w:tr w14:paraId="18713944" w14:textId="77777777" w:rsidTr="004863F4">
        <w:tblPrEx>
          <w:tblW w:w="12937" w:type="dxa"/>
          <w:tblInd w:w="108" w:type="dxa"/>
          <w:tblLayout w:type="fixed"/>
          <w:tblLook w:val="04A0"/>
        </w:tblPrEx>
        <w:tc>
          <w:tcPr>
            <w:tcW w:w="1526" w:type="dxa"/>
            <w:vMerge w:val="restart"/>
          </w:tcPr>
          <w:p w:rsidR="009646B0" w:rsidRPr="000238A7" w:rsidP="004863F4" w14:paraId="01EC230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YY – Caprolactam, Glyoxal, and </w:t>
            </w:r>
            <w:r w:rsidRPr="000238A7">
              <w:rPr>
                <w:rFonts w:asciiTheme="minorHAnsi" w:hAnsiTheme="minorHAnsi" w:cstheme="minorHAnsi"/>
                <w:sz w:val="20"/>
                <w:szCs w:val="20"/>
              </w:rPr>
              <w:t>Glyoxylic Acid Production</w:t>
            </w:r>
          </w:p>
        </w:tc>
        <w:tc>
          <w:tcPr>
            <w:tcW w:w="2051" w:type="dxa"/>
          </w:tcPr>
          <w:p w:rsidR="009646B0" w:rsidRPr="000238A7" w:rsidP="004863F4" w14:paraId="5B0974A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98.516(a)</w:t>
            </w:r>
          </w:p>
        </w:tc>
        <w:tc>
          <w:tcPr>
            <w:tcW w:w="3330" w:type="dxa"/>
          </w:tcPr>
          <w:p w:rsidR="009646B0" w:rsidRPr="000238A7" w:rsidP="004863F4" w14:paraId="14CCF6B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Process line identification number.</w:t>
            </w:r>
          </w:p>
        </w:tc>
        <w:tc>
          <w:tcPr>
            <w:tcW w:w="2340" w:type="dxa"/>
          </w:tcPr>
          <w:p w:rsidR="009646B0" w:rsidRPr="000238A7" w:rsidP="004863F4" w14:paraId="1621EFB3"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2EF56D5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available data and submit the value via e-GGRT as part of the annual report. This </w:t>
            </w:r>
            <w:r w:rsidRPr="000238A7">
              <w:rPr>
                <w:rFonts w:asciiTheme="minorHAnsi" w:hAnsiTheme="minorHAnsi" w:cstheme="minorHAnsi"/>
                <w:sz w:val="20"/>
                <w:szCs w:val="20"/>
              </w:rPr>
              <w:t>data element applies all caprolactam, glyoxal, and glyoxylic acid production facilities and will affect ~6 reporters annually.</w:t>
            </w:r>
          </w:p>
        </w:tc>
      </w:tr>
      <w:tr w14:paraId="72F99672" w14:textId="77777777" w:rsidTr="004863F4">
        <w:tblPrEx>
          <w:tblW w:w="12937" w:type="dxa"/>
          <w:tblInd w:w="108" w:type="dxa"/>
          <w:tblLayout w:type="fixed"/>
          <w:tblLook w:val="04A0"/>
        </w:tblPrEx>
        <w:tc>
          <w:tcPr>
            <w:tcW w:w="1526" w:type="dxa"/>
            <w:vMerge/>
          </w:tcPr>
          <w:p w:rsidR="009646B0" w:rsidRPr="000238A7" w:rsidP="004863F4" w14:paraId="4AAEAD2F" w14:textId="77777777">
            <w:pPr>
              <w:pStyle w:val="BodyText"/>
              <w:spacing w:after="0"/>
              <w:rPr>
                <w:rFonts w:asciiTheme="minorHAnsi" w:hAnsiTheme="minorHAnsi" w:cstheme="minorHAnsi"/>
                <w:sz w:val="20"/>
                <w:szCs w:val="20"/>
              </w:rPr>
            </w:pPr>
          </w:p>
        </w:tc>
        <w:tc>
          <w:tcPr>
            <w:tcW w:w="2051" w:type="dxa"/>
          </w:tcPr>
          <w:p w:rsidR="009646B0" w:rsidRPr="000238A7" w:rsidP="004863F4" w14:paraId="2A36C8D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98.516(b)</w:t>
            </w:r>
          </w:p>
        </w:tc>
        <w:tc>
          <w:tcPr>
            <w:tcW w:w="3330" w:type="dxa"/>
          </w:tcPr>
          <w:p w:rsidR="009646B0" w:rsidRPr="000238A7" w:rsidP="004863F4" w14:paraId="12C438CD"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Annual process N</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O emissions from each process line according to paragraphs (1) through (3):</w:t>
            </w:r>
          </w:p>
          <w:p w:rsidR="009646B0" w:rsidRPr="000238A7" w:rsidP="004863F4" w14:paraId="0CC3CFA4"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(1) N</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O from caprolactam production (metric tons).</w:t>
            </w:r>
          </w:p>
          <w:p w:rsidR="009646B0" w:rsidRPr="000238A7" w:rsidP="004863F4" w14:paraId="4F017EC6"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(2) N</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O from glyoxal production (metric tons). </w:t>
            </w:r>
          </w:p>
          <w:p w:rsidR="009646B0" w:rsidRPr="000238A7" w:rsidP="004863F4" w14:paraId="0769549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(3) N</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O from glyoxylic acid production (metric tons).</w:t>
            </w:r>
          </w:p>
        </w:tc>
        <w:tc>
          <w:tcPr>
            <w:tcW w:w="2340" w:type="dxa"/>
          </w:tcPr>
          <w:p w:rsidR="009646B0" w:rsidRPr="000238A7" w:rsidP="004863F4" w14:paraId="6EDFC6F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19E14AA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calculate and ascertain the data element using readily available or collected data and submit the value via e-GGRT as part of the annual report. This data element applies all caprolactam, glyoxal, and glyoxylic acid production facilities and will affect ~6 reporters annually.</w:t>
            </w:r>
          </w:p>
        </w:tc>
      </w:tr>
      <w:tr w14:paraId="00FFF09E" w14:textId="77777777" w:rsidTr="004863F4">
        <w:tblPrEx>
          <w:tblW w:w="12937" w:type="dxa"/>
          <w:tblInd w:w="108" w:type="dxa"/>
          <w:tblLayout w:type="fixed"/>
          <w:tblLook w:val="04A0"/>
        </w:tblPrEx>
        <w:tc>
          <w:tcPr>
            <w:tcW w:w="1526" w:type="dxa"/>
            <w:vMerge/>
          </w:tcPr>
          <w:p w:rsidR="009646B0" w:rsidRPr="000238A7" w:rsidP="004863F4" w14:paraId="6C0D92F1" w14:textId="77777777">
            <w:pPr>
              <w:pStyle w:val="BodyText"/>
              <w:spacing w:after="0"/>
              <w:rPr>
                <w:rFonts w:asciiTheme="minorHAnsi" w:hAnsiTheme="minorHAnsi" w:cstheme="minorHAnsi"/>
                <w:sz w:val="20"/>
                <w:szCs w:val="20"/>
              </w:rPr>
            </w:pPr>
          </w:p>
        </w:tc>
        <w:tc>
          <w:tcPr>
            <w:tcW w:w="2051" w:type="dxa"/>
          </w:tcPr>
          <w:p w:rsidR="009646B0" w:rsidRPr="000238A7" w:rsidP="004863F4" w14:paraId="5FCB076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98.516(c)</w:t>
            </w:r>
          </w:p>
        </w:tc>
        <w:tc>
          <w:tcPr>
            <w:tcW w:w="3330" w:type="dxa"/>
          </w:tcPr>
          <w:p w:rsidR="009646B0" w:rsidRPr="000238A7" w:rsidP="004863F4" w14:paraId="0AE720BB"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Annual production quantities from all process lines at the caprolactam, glyoxal, or glyoxylic acid production facility according to paragraphs (1) through (3):</w:t>
            </w:r>
          </w:p>
          <w:p w:rsidR="009646B0" w:rsidRPr="000238A7" w:rsidP="004863F4" w14:paraId="5FDF6F83"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(1) Caprolactam production (metric tons).</w:t>
            </w:r>
          </w:p>
          <w:p w:rsidR="009646B0" w:rsidRPr="000238A7" w:rsidP="004863F4" w14:paraId="19C5DCAB"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 xml:space="preserve">(2) Glyoxal production (metric tons). </w:t>
            </w:r>
          </w:p>
          <w:p w:rsidR="009646B0" w:rsidRPr="000238A7" w:rsidP="004863F4" w14:paraId="56AF4B0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(3) Glyoxylic acid production (metric tons).</w:t>
            </w:r>
          </w:p>
        </w:tc>
        <w:tc>
          <w:tcPr>
            <w:tcW w:w="2340" w:type="dxa"/>
          </w:tcPr>
          <w:p w:rsidR="009646B0" w:rsidRPr="000238A7" w:rsidP="004863F4" w14:paraId="1DDF6E7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1F9DBA4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or collected data and submit the value via e-GGRT as part of the annual report. This data element applies all caprolactam, glyoxal, and glyoxylic acid production facilities and will affect ~6 reporters annually.</w:t>
            </w:r>
          </w:p>
        </w:tc>
      </w:tr>
      <w:tr w14:paraId="3402B1C5" w14:textId="77777777" w:rsidTr="004863F4">
        <w:tblPrEx>
          <w:tblW w:w="12937" w:type="dxa"/>
          <w:tblInd w:w="108" w:type="dxa"/>
          <w:tblLayout w:type="fixed"/>
          <w:tblLook w:val="04A0"/>
        </w:tblPrEx>
        <w:tc>
          <w:tcPr>
            <w:tcW w:w="1526" w:type="dxa"/>
            <w:vMerge w:val="restart"/>
          </w:tcPr>
          <w:p w:rsidR="009646B0" w:rsidRPr="000238A7" w:rsidP="004863F4" w14:paraId="75BE811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YY – Caprolactam, Glyoxal, and Glyoxylic Acid Production</w:t>
            </w:r>
          </w:p>
        </w:tc>
        <w:tc>
          <w:tcPr>
            <w:tcW w:w="2051" w:type="dxa"/>
          </w:tcPr>
          <w:p w:rsidR="009646B0" w:rsidRPr="000238A7" w:rsidP="004863F4" w14:paraId="286A2E5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98.516(d)</w:t>
            </w:r>
          </w:p>
        </w:tc>
        <w:tc>
          <w:tcPr>
            <w:tcW w:w="3330" w:type="dxa"/>
          </w:tcPr>
          <w:p w:rsidR="009646B0" w:rsidRPr="000238A7" w:rsidP="004863F4" w14:paraId="0C807170"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Annual production capacity from all process lines at the caprolactam, glyoxal, or glyoxylic acid production facility, as applicable, in paragraphs (1) through (3):</w:t>
            </w:r>
          </w:p>
          <w:p w:rsidR="009646B0" w:rsidRPr="000238A7" w:rsidP="004863F4" w14:paraId="368C8126"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(1) Caprolactam production capacity (metric tons).</w:t>
            </w:r>
          </w:p>
          <w:p w:rsidR="009646B0" w:rsidRPr="000238A7" w:rsidP="004863F4" w14:paraId="47434FC4"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 xml:space="preserve">(2) Glyoxal production capacity (metric tons). </w:t>
            </w:r>
          </w:p>
          <w:p w:rsidR="009646B0" w:rsidRPr="000238A7" w:rsidP="004863F4" w14:paraId="7C57FE8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(3) Glyoxylic acid production capacity (metric tons).</w:t>
            </w:r>
          </w:p>
        </w:tc>
        <w:tc>
          <w:tcPr>
            <w:tcW w:w="2340" w:type="dxa"/>
          </w:tcPr>
          <w:p w:rsidR="009646B0" w:rsidRPr="000238A7" w:rsidP="004863F4" w14:paraId="56CD33B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19462B9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available data and submit the value via e-GGRT as part of the annual report. This data element applies all caprolactam, glyoxal, and glyoxylic acid production </w:t>
            </w:r>
            <w:r w:rsidRPr="000238A7">
              <w:rPr>
                <w:rFonts w:asciiTheme="minorHAnsi" w:hAnsiTheme="minorHAnsi" w:cstheme="minorHAnsi"/>
                <w:sz w:val="20"/>
                <w:szCs w:val="20"/>
              </w:rPr>
              <w:t>facilities and will affect ~6 reporters annually.</w:t>
            </w:r>
          </w:p>
        </w:tc>
      </w:tr>
      <w:tr w14:paraId="252CB933" w14:textId="77777777" w:rsidTr="004863F4">
        <w:tblPrEx>
          <w:tblW w:w="12937" w:type="dxa"/>
          <w:tblInd w:w="108" w:type="dxa"/>
          <w:tblLayout w:type="fixed"/>
          <w:tblLook w:val="04A0"/>
        </w:tblPrEx>
        <w:tc>
          <w:tcPr>
            <w:tcW w:w="1526" w:type="dxa"/>
            <w:vMerge/>
          </w:tcPr>
          <w:p w:rsidR="009646B0" w:rsidRPr="000238A7" w:rsidP="004863F4" w14:paraId="666AA6B5" w14:textId="77777777">
            <w:pPr>
              <w:pStyle w:val="BodyText"/>
              <w:spacing w:after="0"/>
              <w:rPr>
                <w:rFonts w:asciiTheme="minorHAnsi" w:hAnsiTheme="minorHAnsi" w:cstheme="minorHAnsi"/>
                <w:sz w:val="20"/>
                <w:szCs w:val="20"/>
              </w:rPr>
            </w:pPr>
          </w:p>
        </w:tc>
        <w:tc>
          <w:tcPr>
            <w:tcW w:w="2051" w:type="dxa"/>
          </w:tcPr>
          <w:p w:rsidR="009646B0" w:rsidRPr="000238A7" w:rsidP="004863F4" w14:paraId="248A6D4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98.516(e)</w:t>
            </w:r>
          </w:p>
        </w:tc>
        <w:tc>
          <w:tcPr>
            <w:tcW w:w="3330" w:type="dxa"/>
          </w:tcPr>
          <w:p w:rsidR="009646B0" w:rsidRPr="000238A7" w:rsidP="004863F4" w14:paraId="6D8F42D6"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Number of process lines at the caprolactam, glyoxal, or glyoxylic acid production facility, by product, in paragraphs (1) through (3):</w:t>
            </w:r>
          </w:p>
          <w:p w:rsidR="009646B0" w:rsidRPr="000238A7" w:rsidP="004863F4" w14:paraId="2C040A39"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(1) Total number of process lines producing caprolactam.</w:t>
            </w:r>
          </w:p>
          <w:p w:rsidR="009646B0" w:rsidRPr="000238A7" w:rsidP="004863F4" w14:paraId="3208F790"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 xml:space="preserve">(2) Total number of process lines producing glyoxal. </w:t>
            </w:r>
          </w:p>
          <w:p w:rsidR="009646B0" w:rsidRPr="000238A7" w:rsidP="004863F4" w14:paraId="1D0E146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(3) Total number of process lines producing glyoxylic acid.</w:t>
            </w:r>
          </w:p>
        </w:tc>
        <w:tc>
          <w:tcPr>
            <w:tcW w:w="2340" w:type="dxa"/>
          </w:tcPr>
          <w:p w:rsidR="009646B0" w:rsidRPr="000238A7" w:rsidP="004863F4" w14:paraId="403152A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3F3D13C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all caprolactam, glyoxal, and glyoxylic acid production facilities and will affect ~6 reporters annually.</w:t>
            </w:r>
          </w:p>
        </w:tc>
      </w:tr>
      <w:tr w14:paraId="4A905508" w14:textId="77777777" w:rsidTr="004863F4">
        <w:tblPrEx>
          <w:tblW w:w="12937" w:type="dxa"/>
          <w:tblInd w:w="108" w:type="dxa"/>
          <w:tblLayout w:type="fixed"/>
          <w:tblLook w:val="04A0"/>
        </w:tblPrEx>
        <w:tc>
          <w:tcPr>
            <w:tcW w:w="1526" w:type="dxa"/>
            <w:vMerge/>
          </w:tcPr>
          <w:p w:rsidR="009646B0" w:rsidRPr="000238A7" w:rsidP="004863F4" w14:paraId="3FC98F54" w14:textId="77777777">
            <w:pPr>
              <w:pStyle w:val="BodyText"/>
              <w:spacing w:after="0"/>
              <w:rPr>
                <w:rFonts w:asciiTheme="minorHAnsi" w:hAnsiTheme="minorHAnsi" w:cstheme="minorHAnsi"/>
                <w:sz w:val="20"/>
                <w:szCs w:val="20"/>
              </w:rPr>
            </w:pPr>
          </w:p>
        </w:tc>
        <w:tc>
          <w:tcPr>
            <w:tcW w:w="2051" w:type="dxa"/>
          </w:tcPr>
          <w:p w:rsidR="009646B0" w:rsidRPr="000238A7" w:rsidP="004863F4" w14:paraId="328C4D0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98.516(f)</w:t>
            </w:r>
          </w:p>
        </w:tc>
        <w:tc>
          <w:tcPr>
            <w:tcW w:w="3330" w:type="dxa"/>
          </w:tcPr>
          <w:p w:rsidR="009646B0" w:rsidRPr="000238A7" w:rsidP="004863F4" w14:paraId="4B73D24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Number of operating hours in the calendar year for each process line at the caprolactam, glyoxal, or glyoxylic acid production facility (hours).</w:t>
            </w:r>
          </w:p>
        </w:tc>
        <w:tc>
          <w:tcPr>
            <w:tcW w:w="2340" w:type="dxa"/>
          </w:tcPr>
          <w:p w:rsidR="009646B0" w:rsidRPr="000238A7" w:rsidP="004863F4" w14:paraId="35567AE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51B5E7F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all caprolactam, glyoxal, and glyoxylic acid production facilities and will affect ~6 reporters annually.</w:t>
            </w:r>
          </w:p>
        </w:tc>
      </w:tr>
      <w:tr w14:paraId="43C9D055" w14:textId="77777777" w:rsidTr="004863F4">
        <w:tblPrEx>
          <w:tblW w:w="12937" w:type="dxa"/>
          <w:tblInd w:w="108" w:type="dxa"/>
          <w:tblLayout w:type="fixed"/>
          <w:tblLook w:val="04A0"/>
        </w:tblPrEx>
        <w:tc>
          <w:tcPr>
            <w:tcW w:w="1526" w:type="dxa"/>
            <w:vMerge w:val="restart"/>
          </w:tcPr>
          <w:p w:rsidR="009646B0" w:rsidRPr="000238A7" w:rsidP="004863F4" w14:paraId="1E1AE22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YY – Caprolactam, Glyoxal, and Glyoxylic Acid Production</w:t>
            </w:r>
          </w:p>
        </w:tc>
        <w:tc>
          <w:tcPr>
            <w:tcW w:w="2051" w:type="dxa"/>
          </w:tcPr>
          <w:p w:rsidR="009646B0" w:rsidRPr="000238A7" w:rsidP="004863F4" w14:paraId="0861FE1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98.516(g)</w:t>
            </w:r>
          </w:p>
        </w:tc>
        <w:tc>
          <w:tcPr>
            <w:tcW w:w="3330" w:type="dxa"/>
          </w:tcPr>
          <w:p w:rsidR="009646B0" w:rsidRPr="000238A7" w:rsidP="004863F4" w14:paraId="325E1DC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O abatement technologies used (if applicable) and date of installation of abatement technology at the caprolactam, glyoxal, or glyoxylic acid production facility.</w:t>
            </w:r>
          </w:p>
        </w:tc>
        <w:tc>
          <w:tcPr>
            <w:tcW w:w="2340" w:type="dxa"/>
          </w:tcPr>
          <w:p w:rsidR="009646B0" w:rsidRPr="000238A7" w:rsidP="004863F4" w14:paraId="5FA988E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05F5DA71"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Increase – requires respondents to ascertain the data element using readily available data and submit the value via e-GGRT as part of the annual report. This data element applies all caprolactam, glyoxal, and glyoxylic acid production </w:t>
            </w:r>
            <w:r w:rsidRPr="000238A7">
              <w:rPr>
                <w:rFonts w:asciiTheme="minorHAnsi" w:hAnsiTheme="minorHAnsi" w:cstheme="minorHAnsi"/>
                <w:sz w:val="20"/>
                <w:szCs w:val="20"/>
              </w:rPr>
              <w:t>facilities and will affect ~6 reporters annually.</w:t>
            </w:r>
          </w:p>
        </w:tc>
      </w:tr>
      <w:tr w14:paraId="58CF70C7" w14:textId="77777777" w:rsidTr="004863F4">
        <w:tblPrEx>
          <w:tblW w:w="12937" w:type="dxa"/>
          <w:tblInd w:w="108" w:type="dxa"/>
          <w:tblLayout w:type="fixed"/>
          <w:tblLook w:val="04A0"/>
        </w:tblPrEx>
        <w:tc>
          <w:tcPr>
            <w:tcW w:w="1526" w:type="dxa"/>
            <w:vMerge/>
          </w:tcPr>
          <w:p w:rsidR="009646B0" w:rsidRPr="000238A7" w:rsidP="004863F4" w14:paraId="304A17F5" w14:textId="77777777">
            <w:pPr>
              <w:pStyle w:val="BodyText"/>
              <w:spacing w:after="0"/>
              <w:rPr>
                <w:rFonts w:asciiTheme="minorHAnsi" w:hAnsiTheme="minorHAnsi" w:cstheme="minorHAnsi"/>
                <w:sz w:val="20"/>
                <w:szCs w:val="20"/>
              </w:rPr>
            </w:pPr>
          </w:p>
        </w:tc>
        <w:tc>
          <w:tcPr>
            <w:tcW w:w="2051" w:type="dxa"/>
          </w:tcPr>
          <w:p w:rsidR="009646B0" w:rsidRPr="000238A7" w:rsidP="004863F4" w14:paraId="2585EBFF"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98.516(h)</w:t>
            </w:r>
          </w:p>
        </w:tc>
        <w:tc>
          <w:tcPr>
            <w:tcW w:w="3330" w:type="dxa"/>
          </w:tcPr>
          <w:p w:rsidR="009646B0" w:rsidRPr="000238A7" w:rsidP="004863F4" w14:paraId="1DBB4EE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Monthly abatement utilization factor for each N2O abatement technology for each process line at the caprolactam, glyoxal, or glyoxylic acid production facility.</w:t>
            </w:r>
          </w:p>
        </w:tc>
        <w:tc>
          <w:tcPr>
            <w:tcW w:w="2340" w:type="dxa"/>
          </w:tcPr>
          <w:p w:rsidR="009646B0" w:rsidRPr="000238A7" w:rsidP="004863F4" w14:paraId="35CE054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3BAC373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all caprolactam, glyoxal, and glyoxylic acid production facilities and will affect ~6 reporters annually.</w:t>
            </w:r>
          </w:p>
        </w:tc>
      </w:tr>
      <w:tr w14:paraId="1E15C072" w14:textId="77777777" w:rsidTr="004863F4">
        <w:tblPrEx>
          <w:tblW w:w="12937" w:type="dxa"/>
          <w:tblInd w:w="108" w:type="dxa"/>
          <w:tblLayout w:type="fixed"/>
          <w:tblLook w:val="04A0"/>
        </w:tblPrEx>
        <w:tc>
          <w:tcPr>
            <w:tcW w:w="1526" w:type="dxa"/>
            <w:vMerge/>
          </w:tcPr>
          <w:p w:rsidR="009646B0" w:rsidRPr="000238A7" w:rsidP="004863F4" w14:paraId="292671CA" w14:textId="77777777">
            <w:pPr>
              <w:pStyle w:val="BodyText"/>
              <w:spacing w:after="0"/>
              <w:rPr>
                <w:rFonts w:asciiTheme="minorHAnsi" w:hAnsiTheme="minorHAnsi" w:cstheme="minorHAnsi"/>
                <w:sz w:val="20"/>
                <w:szCs w:val="20"/>
              </w:rPr>
            </w:pPr>
          </w:p>
        </w:tc>
        <w:tc>
          <w:tcPr>
            <w:tcW w:w="2051" w:type="dxa"/>
          </w:tcPr>
          <w:p w:rsidR="009646B0" w:rsidRPr="000238A7" w:rsidP="004863F4" w14:paraId="42E810A6"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98.516(</w:t>
            </w:r>
            <w:r w:rsidRPr="000238A7">
              <w:rPr>
                <w:rFonts w:asciiTheme="minorHAnsi" w:hAnsiTheme="minorHAnsi" w:cstheme="minorHAnsi"/>
                <w:sz w:val="20"/>
                <w:szCs w:val="20"/>
              </w:rPr>
              <w:t>i</w:t>
            </w:r>
            <w:r w:rsidRPr="000238A7">
              <w:rPr>
                <w:rFonts w:asciiTheme="minorHAnsi" w:hAnsiTheme="minorHAnsi" w:cstheme="minorHAnsi"/>
                <w:sz w:val="20"/>
                <w:szCs w:val="20"/>
              </w:rPr>
              <w:t>)</w:t>
            </w:r>
          </w:p>
        </w:tc>
        <w:tc>
          <w:tcPr>
            <w:tcW w:w="3330" w:type="dxa"/>
          </w:tcPr>
          <w:p w:rsidR="009646B0" w:rsidRPr="000238A7" w:rsidP="004863F4" w14:paraId="5BD387F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Number of times in the reporting year that missing data procedures were followed to measure production quantities of caprolactam, glyoxal, or glyoxylic acid (months).   </w:t>
            </w:r>
          </w:p>
        </w:tc>
        <w:tc>
          <w:tcPr>
            <w:tcW w:w="2340" w:type="dxa"/>
          </w:tcPr>
          <w:p w:rsidR="009646B0" w:rsidRPr="000238A7" w:rsidP="004863F4" w14:paraId="5D1422DD"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688A561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or collected data and submit the value via e-GGRT as part of the annual report. This data element applies all caprolactam, glyoxal, and glyoxylic acid production facilities and will affect ~6 reporters annually.</w:t>
            </w:r>
          </w:p>
        </w:tc>
      </w:tr>
      <w:tr w14:paraId="49F4C749" w14:textId="77777777" w:rsidTr="004863F4">
        <w:tblPrEx>
          <w:tblW w:w="12937" w:type="dxa"/>
          <w:tblInd w:w="108" w:type="dxa"/>
          <w:tblLayout w:type="fixed"/>
          <w:tblLook w:val="04A0"/>
        </w:tblPrEx>
        <w:tc>
          <w:tcPr>
            <w:tcW w:w="1526" w:type="dxa"/>
            <w:vMerge/>
          </w:tcPr>
          <w:p w:rsidR="009646B0" w:rsidRPr="000238A7" w:rsidP="004863F4" w14:paraId="43849434" w14:textId="77777777">
            <w:pPr>
              <w:pStyle w:val="BodyText"/>
              <w:spacing w:after="0"/>
              <w:rPr>
                <w:rFonts w:asciiTheme="minorHAnsi" w:hAnsiTheme="minorHAnsi" w:cstheme="minorHAnsi"/>
                <w:sz w:val="20"/>
                <w:szCs w:val="20"/>
              </w:rPr>
            </w:pPr>
          </w:p>
        </w:tc>
        <w:tc>
          <w:tcPr>
            <w:tcW w:w="2051" w:type="dxa"/>
          </w:tcPr>
          <w:p w:rsidR="009646B0" w:rsidRPr="000238A7" w:rsidP="004863F4" w14:paraId="503670F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98.516(j)</w:t>
            </w:r>
          </w:p>
        </w:tc>
        <w:tc>
          <w:tcPr>
            <w:tcW w:w="3330" w:type="dxa"/>
          </w:tcPr>
          <w:p w:rsidR="009646B0" w:rsidRPr="000238A7" w:rsidP="004863F4" w14:paraId="5398D161"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Annual percent N</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O emission reduction per chemical produced at the caprolactam, glyoxal, or glyoxylic acid production facility, as applicable, in (1) through (3):</w:t>
            </w:r>
          </w:p>
          <w:p w:rsidR="009646B0" w:rsidRPr="000238A7" w:rsidP="004863F4" w14:paraId="28A556AC"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(1) Annual percent N</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O emission reduction for all caprolactam production process lines.</w:t>
            </w:r>
          </w:p>
          <w:p w:rsidR="009646B0" w:rsidRPr="000238A7" w:rsidP="004863F4" w14:paraId="69FAD58E"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(2) Annual percent N</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O emission reduction for all glyoxal production process lines. </w:t>
            </w:r>
          </w:p>
          <w:p w:rsidR="009646B0" w:rsidRPr="000238A7" w:rsidP="004863F4" w14:paraId="56DF96F4"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(3) Annual percent N</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O emission reduction for all glyoxylic acid production process lines.</w:t>
            </w:r>
          </w:p>
        </w:tc>
        <w:tc>
          <w:tcPr>
            <w:tcW w:w="2340" w:type="dxa"/>
          </w:tcPr>
          <w:p w:rsidR="009646B0" w:rsidRPr="000238A7" w:rsidP="004863F4" w14:paraId="5AAEFDD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New</w:t>
            </w:r>
          </w:p>
        </w:tc>
        <w:tc>
          <w:tcPr>
            <w:tcW w:w="3690" w:type="dxa"/>
          </w:tcPr>
          <w:p w:rsidR="009646B0" w:rsidRPr="000238A7" w:rsidP="004863F4" w14:paraId="064CC38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calculate and ascertain the data element using readily available or collected data and submit the value via e-GGRT as part of the annual report. This data element applies all caprolactam, glyoxal, and glyoxylic acid production facilities and will affect ~6 reporters annually.</w:t>
            </w:r>
          </w:p>
        </w:tc>
      </w:tr>
      <w:tr w14:paraId="6161963C" w14:textId="77777777" w:rsidTr="004863F4">
        <w:tblPrEx>
          <w:tblW w:w="12937" w:type="dxa"/>
          <w:tblInd w:w="108" w:type="dxa"/>
          <w:tblLayout w:type="fixed"/>
          <w:tblLook w:val="04A0"/>
        </w:tblPrEx>
        <w:tc>
          <w:tcPr>
            <w:tcW w:w="1526" w:type="dxa"/>
            <w:vMerge w:val="restart"/>
          </w:tcPr>
          <w:p w:rsidR="009646B0" w:rsidRPr="000238A7" w:rsidP="004863F4" w14:paraId="4E8E27C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ZZ – Ceramics Manufacturing</w:t>
            </w:r>
          </w:p>
        </w:tc>
        <w:tc>
          <w:tcPr>
            <w:tcW w:w="2051" w:type="dxa"/>
          </w:tcPr>
          <w:p w:rsidR="009646B0" w:rsidRPr="000238A7" w:rsidP="004863F4" w14:paraId="3E995C48"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98.526(a)</w:t>
            </w:r>
          </w:p>
        </w:tc>
        <w:tc>
          <w:tcPr>
            <w:tcW w:w="3330" w:type="dxa"/>
          </w:tcPr>
          <w:p w:rsidR="009646B0" w:rsidRPr="000238A7" w:rsidP="004863F4" w14:paraId="1C75FF3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The total number of ceramics process units at the facility and the number of units that operated during the reporting year.</w:t>
            </w:r>
          </w:p>
        </w:tc>
        <w:tc>
          <w:tcPr>
            <w:tcW w:w="2340" w:type="dxa"/>
          </w:tcPr>
          <w:p w:rsidR="009646B0" w:rsidRPr="000238A7" w:rsidP="004863F4" w14:paraId="75CC9846" w14:textId="77777777">
            <w:pPr>
              <w:pStyle w:val="BodyText"/>
              <w:spacing w:after="0"/>
              <w:rPr>
                <w:rFonts w:asciiTheme="minorHAnsi" w:hAnsiTheme="minorHAnsi" w:cstheme="minorHAnsi"/>
                <w:sz w:val="20"/>
                <w:szCs w:val="20"/>
              </w:rPr>
            </w:pPr>
          </w:p>
        </w:tc>
        <w:tc>
          <w:tcPr>
            <w:tcW w:w="3690" w:type="dxa"/>
          </w:tcPr>
          <w:p w:rsidR="009646B0" w:rsidRPr="000238A7" w:rsidP="004863F4" w14:paraId="44FAB79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data and submit the value via e-GGRT as part of the annual report. This data element applies to all ceramics production facilities and will affect ~25 reporters annually.</w:t>
            </w:r>
          </w:p>
        </w:tc>
      </w:tr>
      <w:tr w14:paraId="62382712" w14:textId="77777777" w:rsidTr="004863F4">
        <w:tblPrEx>
          <w:tblW w:w="12937" w:type="dxa"/>
          <w:tblInd w:w="108" w:type="dxa"/>
          <w:tblLayout w:type="fixed"/>
          <w:tblLook w:val="04A0"/>
        </w:tblPrEx>
        <w:tc>
          <w:tcPr>
            <w:tcW w:w="1526" w:type="dxa"/>
            <w:vMerge/>
          </w:tcPr>
          <w:p w:rsidR="009646B0" w:rsidRPr="000238A7" w:rsidP="004863F4" w14:paraId="77CD6418" w14:textId="77777777">
            <w:pPr>
              <w:pStyle w:val="BodyText"/>
              <w:spacing w:after="0"/>
              <w:rPr>
                <w:rFonts w:asciiTheme="minorHAnsi" w:hAnsiTheme="minorHAnsi" w:cstheme="minorHAnsi"/>
                <w:sz w:val="20"/>
                <w:szCs w:val="20"/>
              </w:rPr>
            </w:pPr>
          </w:p>
        </w:tc>
        <w:tc>
          <w:tcPr>
            <w:tcW w:w="2051" w:type="dxa"/>
          </w:tcPr>
          <w:p w:rsidR="009646B0" w:rsidRPr="000238A7" w:rsidP="004863F4" w14:paraId="1D85E6E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98.526(b)</w:t>
            </w:r>
          </w:p>
        </w:tc>
        <w:tc>
          <w:tcPr>
            <w:tcW w:w="3330" w:type="dxa"/>
          </w:tcPr>
          <w:p w:rsidR="009646B0" w:rsidRPr="000238A7" w:rsidP="004863F4" w14:paraId="34F8F5D4"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If a CEMS is used to measure CO2 emissions from ceramics process units, the relevant information required under § 98.36 for the Tier 4 Calculation Methodology and the following information specified in paragraphs (1) through (3).</w:t>
            </w:r>
          </w:p>
          <w:p w:rsidR="009646B0" w:rsidRPr="000238A7" w:rsidP="004863F4" w14:paraId="4DFB96CA"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(1) The annual quantity of each carbonate-based raw material (including clay) charged to each ceramics process unit and for all units combined (tons).</w:t>
            </w:r>
          </w:p>
          <w:p w:rsidR="009646B0" w:rsidRPr="000238A7" w:rsidP="004863F4" w14:paraId="47D495E1"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(2) Annual quantity of each type of ceramics product manufactured by each ceramics process unit and by all units combined (tons).</w:t>
            </w:r>
          </w:p>
          <w:p w:rsidR="009646B0" w:rsidRPr="000238A7" w:rsidP="004863F4" w14:paraId="4186B20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(3) Annual production capacity for each ceramics process unit (tons).</w:t>
            </w:r>
          </w:p>
        </w:tc>
        <w:tc>
          <w:tcPr>
            <w:tcW w:w="2340" w:type="dxa"/>
          </w:tcPr>
          <w:p w:rsidR="009646B0" w:rsidRPr="000238A7" w:rsidP="004863F4" w14:paraId="67698A57" w14:textId="77777777">
            <w:pPr>
              <w:pStyle w:val="BodyText"/>
              <w:spacing w:after="0"/>
              <w:rPr>
                <w:rFonts w:asciiTheme="minorHAnsi" w:hAnsiTheme="minorHAnsi" w:cstheme="minorHAnsi"/>
                <w:sz w:val="20"/>
                <w:szCs w:val="20"/>
              </w:rPr>
            </w:pPr>
          </w:p>
        </w:tc>
        <w:tc>
          <w:tcPr>
            <w:tcW w:w="3690" w:type="dxa"/>
          </w:tcPr>
          <w:p w:rsidR="009646B0" w:rsidRPr="000238A7" w:rsidP="004863F4" w14:paraId="56ED21D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ascertain the data element using readily available or collected data and submit the value via e-GGRT as part of the annual report. This data element applies to all ceramics production facilities and will affect ~34 reporters annually.</w:t>
            </w:r>
          </w:p>
        </w:tc>
      </w:tr>
      <w:tr w14:paraId="68E92F79" w14:textId="77777777" w:rsidTr="004863F4">
        <w:tblPrEx>
          <w:tblW w:w="12937" w:type="dxa"/>
          <w:tblInd w:w="108" w:type="dxa"/>
          <w:tblLayout w:type="fixed"/>
          <w:tblLook w:val="04A0"/>
        </w:tblPrEx>
        <w:tc>
          <w:tcPr>
            <w:tcW w:w="1526" w:type="dxa"/>
          </w:tcPr>
          <w:p w:rsidR="009646B0" w:rsidRPr="000238A7" w:rsidP="004863F4" w14:paraId="1F3FC1F2"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ZZ – Ceramics Manufacturing</w:t>
            </w:r>
          </w:p>
        </w:tc>
        <w:tc>
          <w:tcPr>
            <w:tcW w:w="2051" w:type="dxa"/>
          </w:tcPr>
          <w:p w:rsidR="009646B0" w:rsidRPr="000238A7" w:rsidP="004863F4" w14:paraId="6C0023AC"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98.526(c)</w:t>
            </w:r>
          </w:p>
        </w:tc>
        <w:tc>
          <w:tcPr>
            <w:tcW w:w="3330" w:type="dxa"/>
          </w:tcPr>
          <w:p w:rsidR="009646B0" w:rsidRPr="000238A7" w:rsidP="004863F4" w14:paraId="5C65779E"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 xml:space="preserve">If a CEMS is not used to measure CO2 emissions from ceramics process units and process CO2 emissions are calculated according to the procedures specified in § 98.523(b), </w:t>
            </w:r>
            <w:r w:rsidRPr="000238A7">
              <w:rPr>
                <w:rFonts w:asciiTheme="minorHAnsi" w:hAnsiTheme="minorHAnsi" w:cstheme="minorHAnsi"/>
                <w:sz w:val="20"/>
                <w:szCs w:val="20"/>
              </w:rPr>
              <w:t>the following information specified in paragraphs (1) through (7).</w:t>
            </w:r>
          </w:p>
          <w:p w:rsidR="009646B0" w:rsidRPr="000238A7" w:rsidP="004863F4" w14:paraId="3BAAC53C"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(1) Annual process emissions of CO2 (metric tons) for each ceramics process unit and for all units combined.</w:t>
            </w:r>
          </w:p>
          <w:p w:rsidR="009646B0" w:rsidRPr="000238A7" w:rsidP="004863F4" w14:paraId="215D6AA9"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(2) The annual quantity of each carbonate-based raw material charged to each ceramics process unit and all units combined (tons).</w:t>
            </w:r>
          </w:p>
          <w:p w:rsidR="009646B0" w:rsidRPr="000238A7" w:rsidP="004863F4" w14:paraId="17D1A366"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(3) Results of all tests used to verify each carbonate-based mineral mass fraction for each carbonate-based raw material charged to a ceramics process unit, as specified in paragraphs (c)(3)(</w:t>
            </w:r>
            <w:r w:rsidRPr="000238A7">
              <w:rPr>
                <w:rFonts w:asciiTheme="minorHAnsi" w:hAnsiTheme="minorHAnsi" w:cstheme="minorHAnsi"/>
                <w:sz w:val="20"/>
                <w:szCs w:val="20"/>
              </w:rPr>
              <w:t>i</w:t>
            </w:r>
            <w:r w:rsidRPr="000238A7">
              <w:rPr>
                <w:rFonts w:asciiTheme="minorHAnsi" w:hAnsiTheme="minorHAnsi" w:cstheme="minorHAnsi"/>
                <w:sz w:val="20"/>
                <w:szCs w:val="20"/>
              </w:rPr>
              <w:t>) through (iii) of this section.</w:t>
            </w:r>
          </w:p>
          <w:p w:rsidR="009646B0" w:rsidRPr="000238A7" w:rsidP="004863F4" w14:paraId="607636E7"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w:t>
            </w:r>
            <w:r w:rsidRPr="000238A7">
              <w:rPr>
                <w:rFonts w:asciiTheme="minorHAnsi" w:hAnsiTheme="minorHAnsi" w:cstheme="minorHAnsi"/>
                <w:sz w:val="20"/>
                <w:szCs w:val="20"/>
              </w:rPr>
              <w:t>i</w:t>
            </w:r>
            <w:r w:rsidRPr="000238A7">
              <w:rPr>
                <w:rFonts w:asciiTheme="minorHAnsi" w:hAnsiTheme="minorHAnsi" w:cstheme="minorHAnsi"/>
                <w:sz w:val="20"/>
                <w:szCs w:val="20"/>
              </w:rPr>
              <w:t>) Date of test.</w:t>
            </w:r>
          </w:p>
          <w:p w:rsidR="009646B0" w:rsidRPr="000238A7" w:rsidP="004863F4" w14:paraId="32251442"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(ii) Method(s) and any variations used in the analyses.</w:t>
            </w:r>
          </w:p>
          <w:p w:rsidR="009646B0" w:rsidRPr="000238A7" w:rsidP="004863F4" w14:paraId="538707BC"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(iii) Mass fraction of each sample analyzed.</w:t>
            </w:r>
          </w:p>
          <w:p w:rsidR="009646B0" w:rsidRPr="000238A7" w:rsidP="004863F4" w14:paraId="7E409661"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 xml:space="preserve">(4) Method used to determine the decimal mass fraction of carbonate-based mineral, unless you used the default value of 1.0 (e.g., supplier provided information, analyses of representative samples you collected, </w:t>
            </w:r>
            <w:r w:rsidRPr="000238A7">
              <w:rPr>
                <w:rFonts w:asciiTheme="minorHAnsi" w:hAnsiTheme="minorHAnsi" w:cstheme="minorHAnsi"/>
                <w:sz w:val="20"/>
                <w:szCs w:val="20"/>
              </w:rPr>
              <w:t xml:space="preserve">or use of a default value of 0.005 as specified by § 98.524(b)). </w:t>
            </w:r>
          </w:p>
          <w:p w:rsidR="009646B0" w:rsidRPr="000238A7" w:rsidP="004863F4" w14:paraId="0ED5F456"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(5) Annual quantity of each type of ceramics product manufactured by each ceramics process unit and by all units combined (tons).</w:t>
            </w:r>
          </w:p>
          <w:p w:rsidR="009646B0" w:rsidRPr="000238A7" w:rsidP="004863F4" w14:paraId="410B4CB3"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 xml:space="preserve">(6) Annual production capacity for each ceramics process unit (tons). </w:t>
            </w:r>
          </w:p>
          <w:p w:rsidR="009646B0" w:rsidRPr="000238A7" w:rsidP="004863F4" w14:paraId="698A577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(7) If you use the missing data procedures in § 98.525(b), report for each applicable ceramics process unit the number of times in the reporting year that missing data procedures were followed to measure monthly quantities of carbonate-based raw materials or mass fraction of the carbonate-based minerals (months).</w:t>
            </w:r>
          </w:p>
        </w:tc>
        <w:tc>
          <w:tcPr>
            <w:tcW w:w="2340" w:type="dxa"/>
          </w:tcPr>
          <w:p w:rsidR="009646B0" w:rsidRPr="000238A7" w:rsidP="004863F4" w14:paraId="7B4AC519" w14:textId="77777777">
            <w:pPr>
              <w:pStyle w:val="BodyText"/>
              <w:spacing w:after="0"/>
              <w:rPr>
                <w:rFonts w:asciiTheme="minorHAnsi" w:hAnsiTheme="minorHAnsi" w:cstheme="minorHAnsi"/>
                <w:sz w:val="20"/>
                <w:szCs w:val="20"/>
              </w:rPr>
            </w:pPr>
          </w:p>
        </w:tc>
        <w:tc>
          <w:tcPr>
            <w:tcW w:w="3690" w:type="dxa"/>
          </w:tcPr>
          <w:p w:rsidR="009646B0" w:rsidRPr="000238A7" w:rsidP="004863F4" w14:paraId="7E7851D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Increase – requires respondents to calculate and ascertain the data element using readily available or collected data and submit the value via e-GGRT as part of the annual report. This data element applies to all ceramics production facilities and will affect ~25 reporters annually.</w:t>
            </w:r>
          </w:p>
        </w:tc>
      </w:tr>
    </w:tbl>
    <w:p w:rsidR="009646B0" w:rsidRPr="005D0593" w:rsidP="009646B0" w14:paraId="54CF2AF8" w14:textId="77777777"/>
    <w:p w:rsidR="009646B0" w:rsidRPr="005D0593" w:rsidP="009646B0" w14:paraId="2AB04928" w14:textId="77777777"/>
    <w:p w:rsidR="009646B0" w:rsidRPr="005D0593" w:rsidP="009646B0" w14:paraId="47F34DEF" w14:textId="77777777">
      <w:pPr>
        <w:sectPr w:rsidSect="005100FD">
          <w:headerReference w:type="default" r:id="rId13"/>
          <w:footerReference w:type="default" r:id="rId14"/>
          <w:pgSz w:w="15840" w:h="12240" w:orient="landscape" w:code="1"/>
          <w:pgMar w:top="1440" w:right="1440" w:bottom="1440" w:left="1440" w:header="720" w:footer="432" w:gutter="0"/>
          <w:cols w:space="720"/>
          <w:docGrid w:linePitch="360"/>
        </w:sectPr>
      </w:pPr>
      <w:r w:rsidRPr="005D0593">
        <w:br w:type="page"/>
      </w:r>
    </w:p>
    <w:p w:rsidR="009646B0" w:rsidRPr="005D0593" w:rsidP="009646B0" w14:paraId="5C01B1D3" w14:textId="77777777">
      <w:pPr>
        <w:pStyle w:val="Header"/>
        <w:outlineLvl w:val="0"/>
      </w:pPr>
      <w:r w:rsidRPr="005D0593">
        <w:rPr>
          <w:b/>
          <w:szCs w:val="20"/>
        </w:rPr>
        <w:t>Table 2. New Recordkeeping Requirements by Source Category</w:t>
      </w:r>
    </w:p>
    <w:tbl>
      <w:tblPr>
        <w:tblStyle w:val="TableGrid"/>
        <w:tblpPr w:leftFromText="180" w:rightFromText="180" w:vertAnchor="text" w:tblpXSpec="center" w:tblpY="1"/>
        <w:tblOverlap w:val="never"/>
        <w:tblW w:w="9625" w:type="dxa"/>
        <w:tblLook w:val="04A0"/>
      </w:tblPr>
      <w:tblGrid>
        <w:gridCol w:w="1526"/>
        <w:gridCol w:w="8099"/>
      </w:tblGrid>
      <w:tr w14:paraId="3687743F" w14:textId="77777777" w:rsidTr="000238A7">
        <w:tblPrEx>
          <w:tblW w:w="9625" w:type="dxa"/>
          <w:tblLook w:val="04A0"/>
        </w:tblPrEx>
        <w:trPr>
          <w:trHeight w:val="288"/>
          <w:tblHeader/>
        </w:trPr>
        <w:tc>
          <w:tcPr>
            <w:tcW w:w="1526" w:type="dxa"/>
            <w:tcBorders>
              <w:top w:val="single" w:sz="4" w:space="0" w:color="auto"/>
              <w:bottom w:val="single" w:sz="4" w:space="0" w:color="auto"/>
            </w:tcBorders>
            <w:shd w:val="clear" w:color="auto" w:fill="ADB9CA" w:themeFill="text2" w:themeFillTint="66"/>
            <w:vAlign w:val="center"/>
          </w:tcPr>
          <w:p w:rsidR="009646B0" w:rsidRPr="000238A7" w:rsidP="004863F4" w14:paraId="480FC9FD" w14:textId="77777777">
            <w:pPr>
              <w:pStyle w:val="BodyText"/>
              <w:spacing w:after="0"/>
              <w:jc w:val="center"/>
              <w:rPr>
                <w:rFonts w:asciiTheme="minorHAnsi" w:hAnsiTheme="minorHAnsi" w:cstheme="minorHAnsi"/>
                <w:b/>
                <w:sz w:val="20"/>
                <w:szCs w:val="20"/>
              </w:rPr>
            </w:pPr>
            <w:r w:rsidRPr="000238A7">
              <w:rPr>
                <w:rFonts w:asciiTheme="minorHAnsi" w:hAnsiTheme="minorHAnsi" w:cstheme="minorHAnsi"/>
                <w:b/>
                <w:sz w:val="20"/>
                <w:szCs w:val="20"/>
              </w:rPr>
              <w:t>Subpart</w:t>
            </w:r>
          </w:p>
        </w:tc>
        <w:tc>
          <w:tcPr>
            <w:tcW w:w="8099" w:type="dxa"/>
            <w:tcBorders>
              <w:top w:val="single" w:sz="4" w:space="0" w:color="auto"/>
            </w:tcBorders>
            <w:shd w:val="clear" w:color="auto" w:fill="ADB9CA" w:themeFill="text2" w:themeFillTint="66"/>
            <w:vAlign w:val="center"/>
          </w:tcPr>
          <w:p w:rsidR="009646B0" w:rsidRPr="000238A7" w:rsidP="004863F4" w14:paraId="20C4BCB0" w14:textId="77777777">
            <w:pPr>
              <w:pStyle w:val="BodyText"/>
              <w:spacing w:after="0"/>
              <w:jc w:val="center"/>
              <w:rPr>
                <w:rFonts w:asciiTheme="minorHAnsi" w:hAnsiTheme="minorHAnsi" w:cstheme="minorHAnsi"/>
                <w:b/>
                <w:sz w:val="20"/>
                <w:szCs w:val="20"/>
              </w:rPr>
            </w:pPr>
            <w:r w:rsidRPr="000238A7">
              <w:rPr>
                <w:rFonts w:asciiTheme="minorHAnsi" w:hAnsiTheme="minorHAnsi" w:cstheme="minorHAnsi"/>
                <w:b/>
                <w:sz w:val="20"/>
                <w:szCs w:val="20"/>
              </w:rPr>
              <w:t>New Recordkeeping Requirements</w:t>
            </w:r>
          </w:p>
        </w:tc>
      </w:tr>
      <w:tr w14:paraId="5A9A010A" w14:textId="77777777" w:rsidTr="000238A7">
        <w:tblPrEx>
          <w:tblW w:w="9625" w:type="dxa"/>
          <w:tblLook w:val="04A0"/>
        </w:tblPrEx>
        <w:trPr>
          <w:trHeight w:val="563"/>
        </w:trPr>
        <w:tc>
          <w:tcPr>
            <w:tcW w:w="1526" w:type="dxa"/>
            <w:vMerge w:val="restart"/>
            <w:tcBorders>
              <w:top w:val="single" w:sz="4" w:space="0" w:color="auto"/>
            </w:tcBorders>
          </w:tcPr>
          <w:p w:rsidR="009646B0" w:rsidRPr="000238A7" w:rsidP="004863F4" w14:paraId="0583533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I – Electronics Manufacturing</w:t>
            </w:r>
          </w:p>
        </w:tc>
        <w:tc>
          <w:tcPr>
            <w:tcW w:w="8099" w:type="dxa"/>
          </w:tcPr>
          <w:p w:rsidR="009646B0" w:rsidRPr="000238A7" w:rsidP="004863F4" w14:paraId="1A1CB6B5" w14:textId="77777777">
            <w:pPr>
              <w:pStyle w:val="BodyText"/>
              <w:rPr>
                <w:rFonts w:asciiTheme="minorHAnsi" w:hAnsiTheme="minorHAnsi" w:cstheme="minorHAnsi"/>
                <w:sz w:val="20"/>
                <w:szCs w:val="20"/>
              </w:rPr>
            </w:pPr>
            <w:r w:rsidRPr="000238A7">
              <w:rPr>
                <w:rFonts w:asciiTheme="minorHAnsi" w:hAnsiTheme="minorHAnsi" w:cstheme="minorHAnsi"/>
                <w:sz w:val="20"/>
                <w:szCs w:val="20"/>
                <w:lang w:val="en"/>
              </w:rPr>
              <w:t>The certified destruction and removal efficiency values for all applicable abatement systems, if you use either default of certified destruction or removal efficiency values that are lower than the default values in your emissions calculations under §98.93(a), (b), and/or (</w:t>
            </w:r>
            <w:r w:rsidRPr="000238A7">
              <w:rPr>
                <w:rFonts w:asciiTheme="minorHAnsi" w:hAnsiTheme="minorHAnsi" w:cstheme="minorHAnsi"/>
                <w:sz w:val="20"/>
                <w:szCs w:val="20"/>
                <w:lang w:val="en"/>
              </w:rPr>
              <w:t>i</w:t>
            </w:r>
            <w:r w:rsidRPr="000238A7">
              <w:rPr>
                <w:rFonts w:asciiTheme="minorHAnsi" w:hAnsiTheme="minorHAnsi" w:cstheme="minorHAnsi"/>
                <w:sz w:val="20"/>
                <w:szCs w:val="20"/>
                <w:lang w:val="en"/>
              </w:rPr>
              <w:t>).</w:t>
            </w:r>
          </w:p>
        </w:tc>
      </w:tr>
      <w:tr w14:paraId="2F2C248A" w14:textId="77777777" w:rsidTr="004863F4">
        <w:tblPrEx>
          <w:tblW w:w="9625" w:type="dxa"/>
          <w:tblLook w:val="04A0"/>
        </w:tblPrEx>
        <w:trPr>
          <w:trHeight w:val="563"/>
        </w:trPr>
        <w:tc>
          <w:tcPr>
            <w:tcW w:w="1526" w:type="dxa"/>
            <w:vMerge/>
          </w:tcPr>
          <w:p w:rsidR="009646B0" w:rsidRPr="000238A7" w:rsidP="004863F4" w14:paraId="6126BAD1" w14:textId="77777777">
            <w:pPr>
              <w:pStyle w:val="BodyText"/>
              <w:spacing w:after="0"/>
              <w:rPr>
                <w:rFonts w:asciiTheme="minorHAnsi" w:hAnsiTheme="minorHAnsi" w:cstheme="minorHAnsi"/>
                <w:sz w:val="20"/>
                <w:szCs w:val="20"/>
              </w:rPr>
            </w:pPr>
          </w:p>
        </w:tc>
        <w:tc>
          <w:tcPr>
            <w:tcW w:w="8099" w:type="dxa"/>
          </w:tcPr>
          <w:p w:rsidR="009646B0" w:rsidRPr="000238A7" w:rsidP="004863F4" w14:paraId="25D9CA21" w14:textId="77777777">
            <w:pPr>
              <w:pStyle w:val="BodyText"/>
              <w:rPr>
                <w:rFonts w:asciiTheme="minorHAnsi" w:hAnsiTheme="minorHAnsi" w:cstheme="minorHAnsi"/>
                <w:sz w:val="20"/>
                <w:szCs w:val="20"/>
                <w:lang w:val="en"/>
              </w:rPr>
            </w:pPr>
            <w:r w:rsidRPr="000238A7">
              <w:rPr>
                <w:rFonts w:asciiTheme="minorHAnsi" w:hAnsiTheme="minorHAnsi" w:cstheme="minorHAnsi"/>
                <w:sz w:val="20"/>
                <w:szCs w:val="20"/>
                <w:lang w:val="en"/>
              </w:rPr>
              <w:t>For abatement systems purchased and installed on or after January 1, 2025, include records of the method used to measure the destruction and removal efficiency values.</w:t>
            </w:r>
          </w:p>
        </w:tc>
      </w:tr>
      <w:tr w14:paraId="629CE799" w14:textId="77777777" w:rsidTr="004863F4">
        <w:tblPrEx>
          <w:tblW w:w="9625" w:type="dxa"/>
          <w:tblLook w:val="04A0"/>
        </w:tblPrEx>
        <w:trPr>
          <w:trHeight w:val="563"/>
        </w:trPr>
        <w:tc>
          <w:tcPr>
            <w:tcW w:w="1526" w:type="dxa"/>
            <w:vMerge/>
          </w:tcPr>
          <w:p w:rsidR="009646B0" w:rsidRPr="000238A7" w:rsidP="004863F4" w14:paraId="4B827FB9" w14:textId="77777777">
            <w:pPr>
              <w:pStyle w:val="BodyText"/>
              <w:spacing w:after="0"/>
              <w:rPr>
                <w:rFonts w:asciiTheme="minorHAnsi" w:hAnsiTheme="minorHAnsi" w:cstheme="minorHAnsi"/>
                <w:sz w:val="20"/>
                <w:szCs w:val="20"/>
              </w:rPr>
            </w:pPr>
          </w:p>
        </w:tc>
        <w:tc>
          <w:tcPr>
            <w:tcW w:w="8099" w:type="dxa"/>
          </w:tcPr>
          <w:p w:rsidR="009646B0" w:rsidRPr="000238A7" w:rsidP="004863F4" w14:paraId="686AC1E2" w14:textId="6F50B604">
            <w:pPr>
              <w:pStyle w:val="BodyText"/>
              <w:rPr>
                <w:rFonts w:asciiTheme="minorHAnsi" w:hAnsiTheme="minorHAnsi" w:cstheme="minorHAnsi"/>
                <w:sz w:val="20"/>
                <w:szCs w:val="20"/>
              </w:rPr>
            </w:pPr>
            <w:r w:rsidRPr="000238A7">
              <w:rPr>
                <w:rFonts w:asciiTheme="minorHAnsi" w:hAnsiTheme="minorHAnsi" w:cstheme="minorHAnsi"/>
                <w:sz w:val="20"/>
                <w:szCs w:val="20"/>
                <w:lang w:val="en"/>
              </w:rPr>
              <w:t>All inputs and results made accounting for the fraction of gas exhausted through abatement systems using equations I-24</w:t>
            </w:r>
            <w:r w:rsidRPr="000238A7" w:rsidR="007C1447">
              <w:rPr>
                <w:rFonts w:asciiTheme="minorHAnsi" w:hAnsiTheme="minorHAnsi" w:cstheme="minorHAnsi"/>
                <w:sz w:val="20"/>
                <w:szCs w:val="20"/>
                <w:lang w:val="en"/>
              </w:rPr>
              <w:t>C</w:t>
            </w:r>
            <w:r w:rsidRPr="000238A7">
              <w:rPr>
                <w:rFonts w:asciiTheme="minorHAnsi" w:hAnsiTheme="minorHAnsi" w:cstheme="minorHAnsi"/>
                <w:sz w:val="20"/>
                <w:szCs w:val="20"/>
                <w:lang w:val="en"/>
              </w:rPr>
              <w:t xml:space="preserve"> and I-24</w:t>
            </w:r>
            <w:r w:rsidRPr="000238A7" w:rsidR="007C1447">
              <w:rPr>
                <w:rFonts w:asciiTheme="minorHAnsi" w:hAnsiTheme="minorHAnsi" w:cstheme="minorHAnsi"/>
                <w:sz w:val="20"/>
                <w:szCs w:val="20"/>
                <w:lang w:val="en"/>
              </w:rPr>
              <w:t>D</w:t>
            </w:r>
            <w:r w:rsidRPr="000238A7">
              <w:rPr>
                <w:rFonts w:asciiTheme="minorHAnsi" w:hAnsiTheme="minorHAnsi" w:cstheme="minorHAnsi"/>
                <w:sz w:val="20"/>
                <w:szCs w:val="20"/>
                <w:lang w:val="en"/>
              </w:rPr>
              <w:t>.</w:t>
            </w:r>
          </w:p>
        </w:tc>
      </w:tr>
      <w:tr w14:paraId="4D76AECC" w14:textId="77777777" w:rsidTr="004863F4">
        <w:tblPrEx>
          <w:tblW w:w="9625" w:type="dxa"/>
          <w:tblLook w:val="04A0"/>
        </w:tblPrEx>
        <w:trPr>
          <w:trHeight w:val="563"/>
        </w:trPr>
        <w:tc>
          <w:tcPr>
            <w:tcW w:w="1526" w:type="dxa"/>
            <w:vMerge/>
          </w:tcPr>
          <w:p w:rsidR="009646B0" w:rsidRPr="000238A7" w:rsidP="004863F4" w14:paraId="386DB305" w14:textId="77777777">
            <w:pPr>
              <w:pStyle w:val="BodyText"/>
              <w:spacing w:after="0"/>
              <w:rPr>
                <w:rFonts w:asciiTheme="minorHAnsi" w:hAnsiTheme="minorHAnsi" w:cstheme="minorHAnsi"/>
                <w:sz w:val="20"/>
                <w:szCs w:val="20"/>
              </w:rPr>
            </w:pPr>
          </w:p>
        </w:tc>
        <w:tc>
          <w:tcPr>
            <w:tcW w:w="8099" w:type="dxa"/>
          </w:tcPr>
          <w:p w:rsidR="009646B0" w:rsidRPr="000238A7" w:rsidP="004863F4" w14:paraId="6379A9DF" w14:textId="77777777">
            <w:pPr>
              <w:pStyle w:val="BodyText"/>
              <w:rPr>
                <w:rFonts w:asciiTheme="minorHAnsi" w:hAnsiTheme="minorHAnsi" w:cstheme="minorHAnsi"/>
                <w:sz w:val="20"/>
                <w:szCs w:val="20"/>
              </w:rPr>
            </w:pPr>
            <w:r w:rsidRPr="000238A7">
              <w:rPr>
                <w:rFonts w:asciiTheme="minorHAnsi" w:hAnsiTheme="minorHAnsi" w:cstheme="minorHAnsi"/>
                <w:sz w:val="20"/>
                <w:szCs w:val="20"/>
                <w:lang w:val="en"/>
              </w:rPr>
              <w:t>For all hydrocarbon-fuel-based emissions control systems that are used to control emissions from tools that use either NF</w:t>
            </w:r>
            <w:r w:rsidRPr="000238A7">
              <w:rPr>
                <w:rFonts w:asciiTheme="minorHAnsi" w:hAnsiTheme="minorHAnsi" w:cstheme="minorHAnsi"/>
                <w:sz w:val="20"/>
                <w:szCs w:val="20"/>
                <w:vertAlign w:val="subscript"/>
                <w:lang w:val="en"/>
              </w:rPr>
              <w:t>3</w:t>
            </w:r>
            <w:r w:rsidRPr="000238A7">
              <w:rPr>
                <w:rFonts w:asciiTheme="minorHAnsi" w:hAnsiTheme="minorHAnsi" w:cstheme="minorHAnsi"/>
                <w:sz w:val="20"/>
                <w:szCs w:val="20"/>
                <w:lang w:val="en"/>
              </w:rPr>
              <w:t xml:space="preserve"> as an input gas in remote plasma clean processes or F</w:t>
            </w:r>
            <w:r w:rsidRPr="000238A7">
              <w:rPr>
                <w:rFonts w:asciiTheme="minorHAnsi" w:hAnsiTheme="minorHAnsi" w:cstheme="minorHAnsi"/>
                <w:sz w:val="20"/>
                <w:szCs w:val="20"/>
                <w:vertAlign w:val="subscript"/>
                <w:lang w:val="en"/>
              </w:rPr>
              <w:t>2</w:t>
            </w:r>
            <w:r w:rsidRPr="000238A7">
              <w:rPr>
                <w:rFonts w:asciiTheme="minorHAnsi" w:hAnsiTheme="minorHAnsi" w:cstheme="minorHAnsi"/>
                <w:sz w:val="20"/>
                <w:szCs w:val="20"/>
                <w:lang w:val="en"/>
              </w:rPr>
              <w:t xml:space="preserve"> as an input gas in any process type or sub-type, </w:t>
            </w:r>
            <w:r w:rsidRPr="000238A7">
              <w:rPr>
                <w:rFonts w:asciiTheme="minorHAnsi" w:hAnsiTheme="minorHAnsi" w:cstheme="minorHAnsi"/>
                <w:sz w:val="21"/>
                <w:szCs w:val="21"/>
                <w:lang w:val="en"/>
              </w:rPr>
              <w:t xml:space="preserve"> </w:t>
            </w:r>
            <w:r w:rsidRPr="000238A7">
              <w:rPr>
                <w:rFonts w:asciiTheme="minorHAnsi" w:hAnsiTheme="minorHAnsi" w:cstheme="minorHAnsi"/>
                <w:sz w:val="20"/>
                <w:szCs w:val="20"/>
                <w:lang w:val="en"/>
              </w:rPr>
              <w:t>certification and documentation that the model for each of the systems that you assume does not form CF</w:t>
            </w:r>
            <w:r w:rsidRPr="000238A7">
              <w:rPr>
                <w:rFonts w:asciiTheme="minorHAnsi" w:hAnsiTheme="minorHAnsi" w:cstheme="minorHAnsi"/>
                <w:sz w:val="20"/>
                <w:szCs w:val="20"/>
                <w:vertAlign w:val="subscript"/>
                <w:lang w:val="en"/>
              </w:rPr>
              <w:t>4</w:t>
            </w:r>
            <w:r w:rsidRPr="000238A7">
              <w:rPr>
                <w:rFonts w:asciiTheme="minorHAnsi" w:hAnsiTheme="minorHAnsi" w:cstheme="minorHAnsi"/>
                <w:sz w:val="20"/>
                <w:szCs w:val="20"/>
                <w:lang w:val="en"/>
              </w:rPr>
              <w:t xml:space="preserve"> from F</w:t>
            </w:r>
            <w:r w:rsidRPr="000238A7">
              <w:rPr>
                <w:rFonts w:asciiTheme="minorHAnsi" w:hAnsiTheme="minorHAnsi" w:cstheme="minorHAnsi"/>
                <w:sz w:val="20"/>
                <w:szCs w:val="20"/>
                <w:vertAlign w:val="subscript"/>
                <w:lang w:val="en"/>
              </w:rPr>
              <w:t>2</w:t>
            </w:r>
            <w:r w:rsidRPr="000238A7">
              <w:rPr>
                <w:rFonts w:asciiTheme="minorHAnsi" w:hAnsiTheme="minorHAnsi" w:cstheme="minorHAnsi"/>
                <w:sz w:val="20"/>
                <w:szCs w:val="20"/>
                <w:lang w:val="en"/>
              </w:rPr>
              <w:t xml:space="preserve"> has been tested and verified to produce less than 0.1% CF</w:t>
            </w:r>
            <w:r w:rsidRPr="000238A7">
              <w:rPr>
                <w:rFonts w:asciiTheme="minorHAnsi" w:hAnsiTheme="minorHAnsi" w:cstheme="minorHAnsi"/>
                <w:sz w:val="20"/>
                <w:szCs w:val="20"/>
                <w:vertAlign w:val="subscript"/>
                <w:lang w:val="en"/>
              </w:rPr>
              <w:t>4</w:t>
            </w:r>
            <w:r w:rsidRPr="000238A7">
              <w:rPr>
                <w:rFonts w:asciiTheme="minorHAnsi" w:hAnsiTheme="minorHAnsi" w:cstheme="minorHAnsi"/>
                <w:sz w:val="20"/>
                <w:szCs w:val="20"/>
                <w:lang w:val="en"/>
              </w:rPr>
              <w:t xml:space="preserve"> from F</w:t>
            </w:r>
            <w:r w:rsidRPr="000238A7">
              <w:rPr>
                <w:rFonts w:asciiTheme="minorHAnsi" w:hAnsiTheme="minorHAnsi" w:cstheme="minorHAnsi"/>
                <w:sz w:val="20"/>
                <w:szCs w:val="20"/>
                <w:vertAlign w:val="subscript"/>
                <w:lang w:val="en"/>
              </w:rPr>
              <w:t>2.</w:t>
            </w:r>
          </w:p>
        </w:tc>
      </w:tr>
      <w:tr w14:paraId="1E8B8A3E" w14:textId="77777777" w:rsidTr="004863F4">
        <w:tblPrEx>
          <w:tblW w:w="9625" w:type="dxa"/>
          <w:tblLook w:val="04A0"/>
        </w:tblPrEx>
        <w:trPr>
          <w:trHeight w:val="563"/>
        </w:trPr>
        <w:tc>
          <w:tcPr>
            <w:tcW w:w="1526" w:type="dxa"/>
            <w:vMerge/>
          </w:tcPr>
          <w:p w:rsidR="009646B0" w:rsidRPr="000238A7" w:rsidP="004863F4" w14:paraId="5D1C9955" w14:textId="77777777">
            <w:pPr>
              <w:pStyle w:val="BodyText"/>
              <w:spacing w:after="0"/>
              <w:rPr>
                <w:rFonts w:asciiTheme="minorHAnsi" w:hAnsiTheme="minorHAnsi" w:cstheme="minorHAnsi"/>
                <w:sz w:val="20"/>
                <w:szCs w:val="20"/>
              </w:rPr>
            </w:pPr>
          </w:p>
        </w:tc>
        <w:tc>
          <w:tcPr>
            <w:tcW w:w="8099" w:type="dxa"/>
          </w:tcPr>
          <w:p w:rsidR="009646B0" w:rsidRPr="000238A7" w:rsidP="004863F4" w14:paraId="2D3327D3" w14:textId="77777777">
            <w:pPr>
              <w:pStyle w:val="BodyText"/>
              <w:rPr>
                <w:rFonts w:asciiTheme="minorHAnsi" w:hAnsiTheme="minorHAnsi" w:cstheme="minorHAnsi"/>
                <w:sz w:val="20"/>
                <w:szCs w:val="20"/>
              </w:rPr>
            </w:pPr>
            <w:r w:rsidRPr="000238A7">
              <w:rPr>
                <w:rFonts w:asciiTheme="minorHAnsi" w:hAnsiTheme="minorHAnsi" w:cstheme="minorHAnsi"/>
                <w:sz w:val="20"/>
                <w:szCs w:val="20"/>
                <w:lang w:val="en"/>
              </w:rPr>
              <w:t>For all hydrocarbon-fuel-based emissions control systems that are used to control emissions from tools that use either NF</w:t>
            </w:r>
            <w:r w:rsidRPr="000238A7">
              <w:rPr>
                <w:rFonts w:asciiTheme="minorHAnsi" w:hAnsiTheme="minorHAnsi" w:cstheme="minorHAnsi"/>
                <w:sz w:val="20"/>
                <w:szCs w:val="20"/>
                <w:vertAlign w:val="subscript"/>
                <w:lang w:val="en"/>
              </w:rPr>
              <w:t>3</w:t>
            </w:r>
            <w:r w:rsidRPr="000238A7">
              <w:rPr>
                <w:rFonts w:asciiTheme="minorHAnsi" w:hAnsiTheme="minorHAnsi" w:cstheme="minorHAnsi"/>
                <w:sz w:val="20"/>
                <w:szCs w:val="20"/>
                <w:lang w:val="en"/>
              </w:rPr>
              <w:t xml:space="preserve"> as an input gas in remote plasma clean processes or F</w:t>
            </w:r>
            <w:r w:rsidRPr="000238A7">
              <w:rPr>
                <w:rFonts w:asciiTheme="minorHAnsi" w:hAnsiTheme="minorHAnsi" w:cstheme="minorHAnsi"/>
                <w:sz w:val="20"/>
                <w:szCs w:val="20"/>
                <w:vertAlign w:val="subscript"/>
                <w:lang w:val="en"/>
              </w:rPr>
              <w:t>2</w:t>
            </w:r>
            <w:r w:rsidRPr="000238A7">
              <w:rPr>
                <w:rFonts w:asciiTheme="minorHAnsi" w:hAnsiTheme="minorHAnsi" w:cstheme="minorHAnsi"/>
                <w:sz w:val="20"/>
                <w:szCs w:val="20"/>
                <w:lang w:val="en"/>
              </w:rPr>
              <w:t xml:space="preserve"> as an input gas in any process type or sub-type, </w:t>
            </w:r>
            <w:r w:rsidRPr="000238A7">
              <w:rPr>
                <w:rFonts w:asciiTheme="minorHAnsi" w:hAnsiTheme="minorHAnsi" w:cstheme="minorHAnsi"/>
                <w:sz w:val="21"/>
                <w:szCs w:val="21"/>
                <w:lang w:val="en"/>
              </w:rPr>
              <w:t xml:space="preserve"> </w:t>
            </w:r>
            <w:r w:rsidRPr="000238A7">
              <w:rPr>
                <w:rFonts w:asciiTheme="minorHAnsi" w:hAnsiTheme="minorHAnsi" w:cstheme="minorHAnsi"/>
                <w:sz w:val="20"/>
                <w:szCs w:val="20"/>
                <w:lang w:val="en"/>
              </w:rPr>
              <w:t xml:space="preserve">certification that the site maintenance plan includes the emission control system manufacturer’s recommendations and specifications for installation, operation, and maintenance of those systems </w:t>
            </w:r>
            <w:r w:rsidRPr="000238A7">
              <w:rPr>
                <w:rFonts w:asciiTheme="minorHAnsi" w:hAnsiTheme="minorHAnsi" w:cstheme="minorHAnsi"/>
                <w:sz w:val="21"/>
                <w:szCs w:val="21"/>
                <w:lang w:val="en"/>
              </w:rPr>
              <w:t xml:space="preserve"> </w:t>
            </w:r>
          </w:p>
        </w:tc>
      </w:tr>
      <w:tr w14:paraId="580648BA" w14:textId="77777777" w:rsidTr="004863F4">
        <w:tblPrEx>
          <w:tblW w:w="9625" w:type="dxa"/>
          <w:tblLook w:val="04A0"/>
        </w:tblPrEx>
        <w:trPr>
          <w:trHeight w:val="563"/>
        </w:trPr>
        <w:tc>
          <w:tcPr>
            <w:tcW w:w="1526" w:type="dxa"/>
            <w:vMerge w:val="restart"/>
          </w:tcPr>
          <w:p w:rsidR="009646B0" w:rsidRPr="000238A7" w:rsidP="004863F4" w14:paraId="6A43360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N – Glass Production</w:t>
            </w:r>
          </w:p>
        </w:tc>
        <w:tc>
          <w:tcPr>
            <w:tcW w:w="8099" w:type="dxa"/>
          </w:tcPr>
          <w:p w:rsidR="009646B0" w:rsidRPr="000238A7" w:rsidP="004863F4" w14:paraId="2F7C8BA7"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If a CEMS is used to measure emissions, monthly glass production rate for each continuous glass melting furnace, by glass type (tons)</w:t>
            </w:r>
          </w:p>
        </w:tc>
      </w:tr>
      <w:tr w14:paraId="6E716B7F" w14:textId="77777777" w:rsidTr="004863F4">
        <w:tblPrEx>
          <w:tblW w:w="9625" w:type="dxa"/>
          <w:tblLook w:val="04A0"/>
        </w:tblPrEx>
        <w:trPr>
          <w:trHeight w:val="563"/>
        </w:trPr>
        <w:tc>
          <w:tcPr>
            <w:tcW w:w="1526" w:type="dxa"/>
            <w:vMerge/>
          </w:tcPr>
          <w:p w:rsidR="009646B0" w:rsidRPr="000238A7" w:rsidP="004863F4" w14:paraId="0420F738" w14:textId="77777777">
            <w:pPr>
              <w:pStyle w:val="BodyText"/>
              <w:spacing w:after="0"/>
              <w:rPr>
                <w:rFonts w:asciiTheme="minorHAnsi" w:hAnsiTheme="minorHAnsi" w:cstheme="minorHAnsi"/>
                <w:sz w:val="20"/>
                <w:szCs w:val="20"/>
              </w:rPr>
            </w:pPr>
          </w:p>
        </w:tc>
        <w:tc>
          <w:tcPr>
            <w:tcW w:w="8099" w:type="dxa"/>
          </w:tcPr>
          <w:p w:rsidR="009646B0" w:rsidRPr="000238A7" w:rsidP="004863F4" w14:paraId="7FB8C52E"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If process CO2 emissions are calculated according to the procedures specified in §98.143(b), monthly glass production rate for each continuous glass melting furnace, by glass type (metric tons).</w:t>
            </w:r>
          </w:p>
        </w:tc>
      </w:tr>
      <w:tr w14:paraId="7FF4ACDA" w14:textId="77777777" w:rsidTr="004863F4">
        <w:tblPrEx>
          <w:tblW w:w="9625" w:type="dxa"/>
          <w:tblLook w:val="04A0"/>
        </w:tblPrEx>
        <w:trPr>
          <w:trHeight w:val="563"/>
        </w:trPr>
        <w:tc>
          <w:tcPr>
            <w:tcW w:w="1526" w:type="dxa"/>
            <w:vMerge/>
          </w:tcPr>
          <w:p w:rsidR="009646B0" w:rsidRPr="000238A7" w:rsidP="004863F4" w14:paraId="1035D5A9" w14:textId="77777777">
            <w:pPr>
              <w:pStyle w:val="BodyText"/>
              <w:spacing w:after="0"/>
              <w:rPr>
                <w:rFonts w:asciiTheme="minorHAnsi" w:hAnsiTheme="minorHAnsi" w:cstheme="minorHAnsi"/>
                <w:sz w:val="20"/>
                <w:szCs w:val="20"/>
              </w:rPr>
            </w:pPr>
          </w:p>
        </w:tc>
        <w:tc>
          <w:tcPr>
            <w:tcW w:w="8099" w:type="dxa"/>
          </w:tcPr>
          <w:p w:rsidR="009646B0" w:rsidRPr="000238A7" w:rsidP="004863F4" w14:paraId="7C5264DF"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If a CEMS is used to measure emissions, monthly amount (tons) of recycled scrap glass (cullet) charged to each continuous glass melting furnace, by glass type.</w:t>
            </w:r>
          </w:p>
        </w:tc>
      </w:tr>
      <w:tr w14:paraId="6E33E1A5" w14:textId="77777777" w:rsidTr="004863F4">
        <w:tblPrEx>
          <w:tblW w:w="9625" w:type="dxa"/>
          <w:tblLook w:val="04A0"/>
        </w:tblPrEx>
        <w:trPr>
          <w:trHeight w:val="563"/>
        </w:trPr>
        <w:tc>
          <w:tcPr>
            <w:tcW w:w="1526" w:type="dxa"/>
            <w:vMerge/>
          </w:tcPr>
          <w:p w:rsidR="009646B0" w:rsidRPr="000238A7" w:rsidP="004863F4" w14:paraId="6898327C" w14:textId="77777777">
            <w:pPr>
              <w:pStyle w:val="BodyText"/>
              <w:spacing w:after="0"/>
              <w:rPr>
                <w:rFonts w:asciiTheme="minorHAnsi" w:hAnsiTheme="minorHAnsi" w:cstheme="minorHAnsi"/>
                <w:sz w:val="20"/>
                <w:szCs w:val="20"/>
              </w:rPr>
            </w:pPr>
          </w:p>
        </w:tc>
        <w:tc>
          <w:tcPr>
            <w:tcW w:w="8099" w:type="dxa"/>
          </w:tcPr>
          <w:p w:rsidR="009646B0" w:rsidRPr="000238A7" w:rsidP="004863F4" w14:paraId="31D5B2AA"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If process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emissions are calculated according to the procedures specified in §98.143(b),</w:t>
            </w:r>
            <w:r w:rsidRPr="000238A7">
              <w:rPr>
                <w:rFonts w:asciiTheme="minorHAnsi" w:hAnsiTheme="minorHAnsi" w:cstheme="minorHAnsi"/>
              </w:rPr>
              <w:t xml:space="preserve"> </w:t>
            </w:r>
            <w:r w:rsidRPr="000238A7">
              <w:rPr>
                <w:rFonts w:asciiTheme="minorHAnsi" w:hAnsiTheme="minorHAnsi" w:cstheme="minorHAnsi"/>
                <w:sz w:val="20"/>
                <w:szCs w:val="20"/>
              </w:rPr>
              <w:t>monthly amount (tons) of recycled scrap glass (cullet) charged to each continuous glass melting furnace, by glass type.</w:t>
            </w:r>
          </w:p>
        </w:tc>
      </w:tr>
      <w:tr w14:paraId="7E3DBBD3" w14:textId="77777777" w:rsidTr="004863F4">
        <w:tblPrEx>
          <w:tblW w:w="9625" w:type="dxa"/>
          <w:tblLook w:val="04A0"/>
        </w:tblPrEx>
        <w:trPr>
          <w:trHeight w:val="563"/>
        </w:trPr>
        <w:tc>
          <w:tcPr>
            <w:tcW w:w="1526" w:type="dxa"/>
            <w:vMerge w:val="restart"/>
          </w:tcPr>
          <w:p w:rsidR="009646B0" w:rsidRPr="000238A7" w:rsidP="004863F4" w14:paraId="5764787E"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P – Hydrogen Production</w:t>
            </w:r>
          </w:p>
        </w:tc>
        <w:tc>
          <w:tcPr>
            <w:tcW w:w="8099" w:type="dxa"/>
          </w:tcPr>
          <w:p w:rsidR="009646B0" w:rsidRPr="000238A7" w:rsidP="004863F4" w14:paraId="446F55DC" w14:textId="77777777">
            <w:pPr>
              <w:pStyle w:val="BodyText"/>
              <w:rPr>
                <w:rFonts w:asciiTheme="minorHAnsi" w:hAnsiTheme="minorHAnsi" w:cstheme="minorHAnsi"/>
                <w:bCs/>
                <w:sz w:val="20"/>
                <w:szCs w:val="20"/>
              </w:rPr>
            </w:pPr>
            <w:r w:rsidRPr="000238A7">
              <w:rPr>
                <w:rFonts w:asciiTheme="minorHAnsi" w:hAnsiTheme="minorHAnsi" w:cstheme="minorHAnsi"/>
                <w:sz w:val="20"/>
                <w:szCs w:val="20"/>
              </w:rPr>
              <w:t>If the CEMS measures emissions from a common stack for multiple hydrogen production units or emissions from a common stack for hydrogen production unit(s) and other source(s), records used to estimate the decimal fraction of the total annual CO</w:t>
            </w:r>
            <w:r w:rsidRPr="000238A7">
              <w:rPr>
                <w:rFonts w:asciiTheme="minorHAnsi" w:hAnsiTheme="minorHAnsi" w:cstheme="minorHAnsi"/>
                <w:sz w:val="20"/>
                <w:szCs w:val="20"/>
                <w:vertAlign w:val="subscript"/>
              </w:rPr>
              <w:t>2</w:t>
            </w:r>
            <w:r w:rsidRPr="000238A7">
              <w:rPr>
                <w:rFonts w:asciiTheme="minorHAnsi" w:hAnsiTheme="minorHAnsi" w:cstheme="minorHAnsi"/>
                <w:sz w:val="20"/>
                <w:szCs w:val="20"/>
              </w:rPr>
              <w:t xml:space="preserve"> emissions from the CEMS monitoring location attributable to each hydrogen production unit.</w:t>
            </w:r>
          </w:p>
        </w:tc>
      </w:tr>
      <w:tr w14:paraId="0AD7D9D1" w14:textId="77777777" w:rsidTr="004863F4">
        <w:tblPrEx>
          <w:tblW w:w="9625" w:type="dxa"/>
          <w:tblLook w:val="04A0"/>
        </w:tblPrEx>
        <w:trPr>
          <w:trHeight w:val="563"/>
        </w:trPr>
        <w:tc>
          <w:tcPr>
            <w:tcW w:w="1526" w:type="dxa"/>
            <w:vMerge/>
          </w:tcPr>
          <w:p w:rsidR="009646B0" w:rsidRPr="000238A7" w:rsidP="004863F4" w14:paraId="215B84DE" w14:textId="77777777">
            <w:pPr>
              <w:pStyle w:val="BodyText"/>
              <w:spacing w:after="0"/>
              <w:rPr>
                <w:rFonts w:asciiTheme="minorHAnsi" w:hAnsiTheme="minorHAnsi" w:cstheme="minorHAnsi"/>
                <w:sz w:val="20"/>
                <w:szCs w:val="20"/>
              </w:rPr>
            </w:pPr>
          </w:p>
        </w:tc>
        <w:tc>
          <w:tcPr>
            <w:tcW w:w="8099" w:type="dxa"/>
          </w:tcPr>
          <w:p w:rsidR="009646B0" w:rsidRPr="000238A7" w:rsidP="004863F4" w14:paraId="4F04EBD3"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Records of all analyses and calculations conducted to determine the values reported as listed in §98.166(b).</w:t>
            </w:r>
          </w:p>
        </w:tc>
      </w:tr>
      <w:tr w14:paraId="17D6975A" w14:textId="77777777" w:rsidTr="004863F4">
        <w:tblPrEx>
          <w:tblW w:w="9625" w:type="dxa"/>
          <w:tblLook w:val="04A0"/>
        </w:tblPrEx>
        <w:trPr>
          <w:trHeight w:val="563"/>
        </w:trPr>
        <w:tc>
          <w:tcPr>
            <w:tcW w:w="1526" w:type="dxa"/>
            <w:vMerge w:val="restart"/>
          </w:tcPr>
          <w:p w:rsidR="009646B0" w:rsidRPr="000238A7" w:rsidP="004863F4" w14:paraId="15CBEA70"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Y – Petroleum Refineries</w:t>
            </w:r>
          </w:p>
        </w:tc>
        <w:tc>
          <w:tcPr>
            <w:tcW w:w="8099" w:type="dxa"/>
          </w:tcPr>
          <w:p w:rsidR="009646B0" w:rsidRPr="000238A7" w:rsidP="004863F4" w14:paraId="4AED976A" w14:textId="390A18E2">
            <w:pPr>
              <w:pStyle w:val="BodyText"/>
              <w:rPr>
                <w:rFonts w:asciiTheme="minorHAnsi" w:hAnsiTheme="minorHAnsi" w:cstheme="minorHAnsi"/>
                <w:sz w:val="20"/>
                <w:szCs w:val="20"/>
              </w:rPr>
            </w:pPr>
            <w:r w:rsidRPr="000238A7">
              <w:rPr>
                <w:rFonts w:asciiTheme="minorHAnsi" w:hAnsiTheme="minorHAnsi" w:cstheme="minorHAnsi"/>
                <w:sz w:val="20"/>
                <w:szCs w:val="20"/>
              </w:rPr>
              <w:t xml:space="preserve">Mass of water in the delayed coking unit vessel at the end of the cooling cycle prior to atmospheric venting or draining (metric ton/cycle) for each delayed coking unit (Equations Y-18b and Y-18e </w:t>
            </w:r>
            <w:r w:rsidRPr="000238A7" w:rsidR="007C1447">
              <w:rPr>
                <w:rFonts w:asciiTheme="minorHAnsi" w:hAnsiTheme="minorHAnsi" w:cstheme="minorHAnsi"/>
                <w:sz w:val="20"/>
                <w:szCs w:val="20"/>
              </w:rPr>
              <w:t>to</w:t>
            </w:r>
            <w:r w:rsidRPr="000238A7">
              <w:rPr>
                <w:rFonts w:asciiTheme="minorHAnsi" w:hAnsiTheme="minorHAnsi" w:cstheme="minorHAnsi"/>
                <w:sz w:val="20"/>
                <w:szCs w:val="20"/>
              </w:rPr>
              <w:t xml:space="preserve"> § 98.253). </w:t>
            </w:r>
          </w:p>
        </w:tc>
      </w:tr>
      <w:tr w14:paraId="5DF6B856" w14:textId="77777777" w:rsidTr="004863F4">
        <w:tblPrEx>
          <w:tblW w:w="9625" w:type="dxa"/>
          <w:tblLook w:val="04A0"/>
        </w:tblPrEx>
        <w:trPr>
          <w:trHeight w:val="563"/>
        </w:trPr>
        <w:tc>
          <w:tcPr>
            <w:tcW w:w="1526" w:type="dxa"/>
            <w:vMerge/>
          </w:tcPr>
          <w:p w:rsidR="009646B0" w:rsidRPr="000238A7" w:rsidP="004863F4" w14:paraId="1E790302" w14:textId="77777777">
            <w:pPr>
              <w:pStyle w:val="BodyText"/>
              <w:spacing w:after="0"/>
              <w:rPr>
                <w:rFonts w:asciiTheme="minorHAnsi" w:hAnsiTheme="minorHAnsi" w:cstheme="minorHAnsi"/>
                <w:sz w:val="20"/>
                <w:szCs w:val="20"/>
              </w:rPr>
            </w:pPr>
          </w:p>
        </w:tc>
        <w:tc>
          <w:tcPr>
            <w:tcW w:w="8099" w:type="dxa"/>
          </w:tcPr>
          <w:p w:rsidR="009646B0" w:rsidRPr="000238A7" w:rsidP="004863F4" w14:paraId="237516C1" w14:textId="27EB1089">
            <w:pPr>
              <w:pStyle w:val="BodyText"/>
              <w:rPr>
                <w:rFonts w:asciiTheme="minorHAnsi" w:hAnsiTheme="minorHAnsi" w:cstheme="minorHAnsi"/>
                <w:sz w:val="20"/>
                <w:szCs w:val="20"/>
              </w:rPr>
            </w:pPr>
            <w:r w:rsidRPr="000238A7">
              <w:rPr>
                <w:rFonts w:asciiTheme="minorHAnsi" w:hAnsiTheme="minorHAnsi" w:cstheme="minorHAnsi"/>
                <w:sz w:val="20"/>
                <w:szCs w:val="20"/>
              </w:rPr>
              <w:t xml:space="preserve">Typical distance from the bottom of the coking unit vessel to the top of the water level at the end of the cooling cycle just prior to atmospheric venting or draining (feet) from company records or engineering estimates  for each delayed coking unit  (Equation Y-18b </w:t>
            </w:r>
            <w:r w:rsidRPr="000238A7" w:rsidR="007C1447">
              <w:rPr>
                <w:rFonts w:asciiTheme="minorHAnsi" w:hAnsiTheme="minorHAnsi" w:cstheme="minorHAnsi"/>
                <w:sz w:val="20"/>
                <w:szCs w:val="20"/>
              </w:rPr>
              <w:t>to</w:t>
            </w:r>
            <w:r w:rsidRPr="000238A7">
              <w:rPr>
                <w:rFonts w:asciiTheme="minorHAnsi" w:hAnsiTheme="minorHAnsi" w:cstheme="minorHAnsi"/>
                <w:sz w:val="20"/>
                <w:szCs w:val="20"/>
              </w:rPr>
              <w:t xml:space="preserve"> § 98.253).</w:t>
            </w:r>
          </w:p>
        </w:tc>
      </w:tr>
      <w:tr w14:paraId="67FD1FEF" w14:textId="77777777" w:rsidTr="004863F4">
        <w:tblPrEx>
          <w:tblW w:w="9625" w:type="dxa"/>
          <w:tblLook w:val="04A0"/>
        </w:tblPrEx>
        <w:trPr>
          <w:trHeight w:val="563"/>
        </w:trPr>
        <w:tc>
          <w:tcPr>
            <w:tcW w:w="1526" w:type="dxa"/>
            <w:vMerge/>
          </w:tcPr>
          <w:p w:rsidR="009646B0" w:rsidRPr="000238A7" w:rsidP="004863F4" w14:paraId="5D0AAD5B" w14:textId="77777777">
            <w:pPr>
              <w:pStyle w:val="BodyText"/>
              <w:spacing w:after="0"/>
              <w:rPr>
                <w:rFonts w:asciiTheme="minorHAnsi" w:hAnsiTheme="minorHAnsi" w:cstheme="minorHAnsi"/>
                <w:sz w:val="20"/>
                <w:szCs w:val="20"/>
              </w:rPr>
            </w:pPr>
          </w:p>
        </w:tc>
        <w:tc>
          <w:tcPr>
            <w:tcW w:w="8099" w:type="dxa"/>
          </w:tcPr>
          <w:p w:rsidR="009646B0" w:rsidRPr="000238A7" w:rsidP="004863F4" w14:paraId="7DA96E65" w14:textId="69CADB2D">
            <w:pPr>
              <w:pStyle w:val="BodyText"/>
              <w:rPr>
                <w:rFonts w:asciiTheme="minorHAnsi" w:hAnsiTheme="minorHAnsi" w:cstheme="minorHAnsi"/>
                <w:sz w:val="20"/>
                <w:szCs w:val="20"/>
              </w:rPr>
            </w:pPr>
            <w:r w:rsidRPr="000238A7">
              <w:rPr>
                <w:rFonts w:asciiTheme="minorHAnsi" w:hAnsiTheme="minorHAnsi" w:cstheme="minorHAnsi"/>
                <w:sz w:val="20"/>
                <w:szCs w:val="20"/>
              </w:rPr>
              <w:t xml:space="preserve">Fraction of the coke-filled bed that is covered by water at the end of the cooling cycle just prior to atmospheric venting or draining for each delayed coking unit (Equation Y-18b </w:t>
            </w:r>
            <w:r w:rsidRPr="000238A7" w:rsidR="007C1447">
              <w:rPr>
                <w:rFonts w:asciiTheme="minorHAnsi" w:hAnsiTheme="minorHAnsi" w:cstheme="minorHAnsi"/>
                <w:sz w:val="20"/>
                <w:szCs w:val="20"/>
              </w:rPr>
              <w:t>to</w:t>
            </w:r>
            <w:r w:rsidRPr="000238A7">
              <w:rPr>
                <w:rFonts w:asciiTheme="minorHAnsi" w:hAnsiTheme="minorHAnsi" w:cstheme="minorHAnsi"/>
                <w:sz w:val="20"/>
                <w:szCs w:val="20"/>
              </w:rPr>
              <w:t xml:space="preserve"> § 98.253).   </w:t>
            </w:r>
          </w:p>
        </w:tc>
      </w:tr>
      <w:tr w14:paraId="7E9C7D05" w14:textId="77777777" w:rsidTr="004863F4">
        <w:tblPrEx>
          <w:tblW w:w="9625" w:type="dxa"/>
          <w:tblLook w:val="04A0"/>
        </w:tblPrEx>
        <w:trPr>
          <w:trHeight w:val="563"/>
        </w:trPr>
        <w:tc>
          <w:tcPr>
            <w:tcW w:w="1526" w:type="dxa"/>
          </w:tcPr>
          <w:p w:rsidR="009646B0" w:rsidRPr="000238A7" w:rsidP="004863F4" w14:paraId="74BF0EC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BB – Silicon Carbide Production</w:t>
            </w:r>
          </w:p>
        </w:tc>
        <w:tc>
          <w:tcPr>
            <w:tcW w:w="8099" w:type="dxa"/>
          </w:tcPr>
          <w:p w:rsidR="009646B0" w:rsidRPr="000238A7" w:rsidP="004863F4" w14:paraId="60A6EB44"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Records of all information reported as required under §98.286(c).</w:t>
            </w:r>
          </w:p>
        </w:tc>
      </w:tr>
      <w:tr w14:paraId="0344F5E7" w14:textId="77777777" w:rsidTr="004863F4">
        <w:tblPrEx>
          <w:tblW w:w="9625" w:type="dxa"/>
          <w:tblLook w:val="04A0"/>
        </w:tblPrEx>
        <w:trPr>
          <w:trHeight w:val="563"/>
        </w:trPr>
        <w:tc>
          <w:tcPr>
            <w:tcW w:w="1526" w:type="dxa"/>
            <w:vMerge w:val="restart"/>
          </w:tcPr>
          <w:p w:rsidR="009646B0" w:rsidRPr="000238A7" w:rsidP="004863F4" w14:paraId="5475298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DD – Electrical Equipment Use</w:t>
            </w:r>
          </w:p>
          <w:p w:rsidR="009646B0" w:rsidRPr="000238A7" w:rsidP="004863F4" w14:paraId="2DC795BC" w14:textId="77777777">
            <w:pPr>
              <w:pStyle w:val="BodyText"/>
              <w:spacing w:after="0"/>
              <w:rPr>
                <w:rFonts w:asciiTheme="minorHAnsi" w:hAnsiTheme="minorHAnsi" w:cstheme="minorHAnsi"/>
                <w:sz w:val="20"/>
                <w:szCs w:val="20"/>
              </w:rPr>
            </w:pPr>
          </w:p>
        </w:tc>
        <w:tc>
          <w:tcPr>
            <w:tcW w:w="8099" w:type="dxa"/>
          </w:tcPr>
          <w:p w:rsidR="009646B0" w:rsidRPr="000238A7" w:rsidP="004863F4" w14:paraId="5CC817C6"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For each piece of electrical equipment whose nameplate capacity is measured by the equipment user, equipment manufacturer name.</w:t>
            </w:r>
          </w:p>
        </w:tc>
      </w:tr>
      <w:tr w14:paraId="568EF79F" w14:textId="77777777" w:rsidTr="004863F4">
        <w:tblPrEx>
          <w:tblW w:w="9625" w:type="dxa"/>
          <w:tblLook w:val="04A0"/>
        </w:tblPrEx>
        <w:trPr>
          <w:trHeight w:val="563"/>
        </w:trPr>
        <w:tc>
          <w:tcPr>
            <w:tcW w:w="1526" w:type="dxa"/>
            <w:vMerge/>
          </w:tcPr>
          <w:p w:rsidR="009646B0" w:rsidRPr="000238A7" w:rsidP="004863F4" w14:paraId="079A52C6" w14:textId="77777777">
            <w:pPr>
              <w:pStyle w:val="BodyText"/>
              <w:spacing w:after="0"/>
              <w:rPr>
                <w:rFonts w:asciiTheme="minorHAnsi" w:hAnsiTheme="minorHAnsi" w:cstheme="minorHAnsi"/>
                <w:sz w:val="20"/>
                <w:szCs w:val="20"/>
              </w:rPr>
            </w:pPr>
          </w:p>
        </w:tc>
        <w:tc>
          <w:tcPr>
            <w:tcW w:w="8099" w:type="dxa"/>
          </w:tcPr>
          <w:p w:rsidR="009646B0" w:rsidRPr="000238A7" w:rsidP="004863F4" w14:paraId="46661DB8"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For each piece of electrical equipment whose nameplate capacity is measured by the equipment user, year equipment was manufactured, or a best estimate of the year of manufacture and how the estimate was determined.</w:t>
            </w:r>
          </w:p>
        </w:tc>
      </w:tr>
      <w:tr w14:paraId="4621F38E" w14:textId="77777777" w:rsidTr="004863F4">
        <w:tblPrEx>
          <w:tblW w:w="9625" w:type="dxa"/>
          <w:tblLook w:val="04A0"/>
        </w:tblPrEx>
        <w:trPr>
          <w:trHeight w:val="563"/>
        </w:trPr>
        <w:tc>
          <w:tcPr>
            <w:tcW w:w="1526" w:type="dxa"/>
            <w:vMerge/>
          </w:tcPr>
          <w:p w:rsidR="009646B0" w:rsidRPr="000238A7" w:rsidP="004863F4" w14:paraId="45BE6CDF" w14:textId="77777777">
            <w:pPr>
              <w:pStyle w:val="BodyText"/>
              <w:spacing w:after="0"/>
              <w:rPr>
                <w:rFonts w:asciiTheme="minorHAnsi" w:hAnsiTheme="minorHAnsi" w:cstheme="minorHAnsi"/>
                <w:sz w:val="20"/>
                <w:szCs w:val="20"/>
              </w:rPr>
            </w:pPr>
          </w:p>
        </w:tc>
        <w:tc>
          <w:tcPr>
            <w:tcW w:w="8099" w:type="dxa"/>
          </w:tcPr>
          <w:p w:rsidR="009646B0" w:rsidRPr="000238A7" w:rsidP="004863F4" w14:paraId="3563863F"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For each piece of electrical equipment whose nameplate capacity is measured by the equipment user, manufacturer serial number or another unique identifier.</w:t>
            </w:r>
          </w:p>
        </w:tc>
      </w:tr>
      <w:tr w14:paraId="14E4C93F" w14:textId="77777777" w:rsidTr="004863F4">
        <w:tblPrEx>
          <w:tblW w:w="9625" w:type="dxa"/>
          <w:tblLook w:val="04A0"/>
        </w:tblPrEx>
        <w:trPr>
          <w:trHeight w:val="563"/>
        </w:trPr>
        <w:tc>
          <w:tcPr>
            <w:tcW w:w="1526" w:type="dxa"/>
            <w:vMerge/>
          </w:tcPr>
          <w:p w:rsidR="009646B0" w:rsidRPr="000238A7" w:rsidP="004863F4" w14:paraId="1F89722B" w14:textId="77777777">
            <w:pPr>
              <w:pStyle w:val="BodyText"/>
              <w:spacing w:after="0"/>
              <w:rPr>
                <w:rFonts w:asciiTheme="minorHAnsi" w:hAnsiTheme="minorHAnsi" w:cstheme="minorHAnsi"/>
                <w:sz w:val="20"/>
                <w:szCs w:val="20"/>
              </w:rPr>
            </w:pPr>
          </w:p>
        </w:tc>
        <w:tc>
          <w:tcPr>
            <w:tcW w:w="8099" w:type="dxa"/>
          </w:tcPr>
          <w:p w:rsidR="009646B0" w:rsidRPr="000238A7" w:rsidP="004863F4" w14:paraId="76ED9E74"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For each piece of electrical equipment whose nameplate capacity is measured by the equipment user, equipment type (i.e., closed-pressure vs. hermetically sealed-pressure).</w:t>
            </w:r>
          </w:p>
        </w:tc>
      </w:tr>
      <w:tr w14:paraId="518C11A4" w14:textId="77777777" w:rsidTr="004863F4">
        <w:tblPrEx>
          <w:tblW w:w="9625" w:type="dxa"/>
          <w:tblLook w:val="04A0"/>
        </w:tblPrEx>
        <w:trPr>
          <w:trHeight w:val="563"/>
        </w:trPr>
        <w:tc>
          <w:tcPr>
            <w:tcW w:w="1526" w:type="dxa"/>
            <w:vMerge/>
          </w:tcPr>
          <w:p w:rsidR="009646B0" w:rsidRPr="000238A7" w:rsidP="004863F4" w14:paraId="2809282A" w14:textId="77777777">
            <w:pPr>
              <w:pStyle w:val="BodyText"/>
              <w:spacing w:after="0"/>
              <w:rPr>
                <w:rFonts w:asciiTheme="minorHAnsi" w:hAnsiTheme="minorHAnsi" w:cstheme="minorHAnsi"/>
                <w:sz w:val="20"/>
                <w:szCs w:val="20"/>
              </w:rPr>
            </w:pPr>
          </w:p>
        </w:tc>
        <w:tc>
          <w:tcPr>
            <w:tcW w:w="8099" w:type="dxa"/>
          </w:tcPr>
          <w:p w:rsidR="009646B0" w:rsidRPr="000238A7" w:rsidP="004863F4" w14:paraId="0256A888"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For each piece of electrical equipment whose nameplate capacity is measured by the equipment user, equipment voltage capacity (in kilovolts).</w:t>
            </w:r>
          </w:p>
        </w:tc>
      </w:tr>
      <w:tr w14:paraId="5F7BD5E5" w14:textId="77777777" w:rsidTr="004863F4">
        <w:tblPrEx>
          <w:tblW w:w="9625" w:type="dxa"/>
          <w:tblLook w:val="04A0"/>
        </w:tblPrEx>
        <w:trPr>
          <w:trHeight w:val="563"/>
        </w:trPr>
        <w:tc>
          <w:tcPr>
            <w:tcW w:w="1526" w:type="dxa"/>
            <w:vMerge/>
          </w:tcPr>
          <w:p w:rsidR="009646B0" w:rsidRPr="000238A7" w:rsidP="004863F4" w14:paraId="058DAF2E" w14:textId="77777777">
            <w:pPr>
              <w:pStyle w:val="BodyText"/>
              <w:spacing w:after="0"/>
              <w:rPr>
                <w:rFonts w:asciiTheme="minorHAnsi" w:hAnsiTheme="minorHAnsi" w:cstheme="minorHAnsi"/>
                <w:sz w:val="20"/>
                <w:szCs w:val="20"/>
              </w:rPr>
            </w:pPr>
          </w:p>
        </w:tc>
        <w:tc>
          <w:tcPr>
            <w:tcW w:w="8099" w:type="dxa"/>
          </w:tcPr>
          <w:p w:rsidR="009646B0" w:rsidRPr="000238A7" w:rsidP="004863F4" w14:paraId="27861FB9"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For each piece of electrical equipment whose nameplate capacity is measured by the equipment user, the name and GWP of each covered insulating gas used.</w:t>
            </w:r>
          </w:p>
        </w:tc>
      </w:tr>
      <w:tr w14:paraId="681D296D" w14:textId="77777777" w:rsidTr="004863F4">
        <w:tblPrEx>
          <w:tblW w:w="9625" w:type="dxa"/>
          <w:tblLook w:val="04A0"/>
        </w:tblPrEx>
        <w:trPr>
          <w:trHeight w:val="563"/>
        </w:trPr>
        <w:tc>
          <w:tcPr>
            <w:tcW w:w="1526" w:type="dxa"/>
            <w:vMerge/>
          </w:tcPr>
          <w:p w:rsidR="009646B0" w:rsidRPr="000238A7" w:rsidP="004863F4" w14:paraId="2CC99C4B" w14:textId="77777777">
            <w:pPr>
              <w:pStyle w:val="BodyText"/>
              <w:spacing w:after="0"/>
              <w:rPr>
                <w:rFonts w:asciiTheme="minorHAnsi" w:hAnsiTheme="minorHAnsi" w:cstheme="minorHAnsi"/>
                <w:sz w:val="20"/>
                <w:szCs w:val="20"/>
              </w:rPr>
            </w:pPr>
          </w:p>
        </w:tc>
        <w:tc>
          <w:tcPr>
            <w:tcW w:w="8099" w:type="dxa"/>
          </w:tcPr>
          <w:p w:rsidR="009646B0" w:rsidRPr="000238A7" w:rsidP="004863F4" w14:paraId="4D7DA484"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For each piece of electrical equipment whose nameplate capacity is measured by the equipment user, nameplate capacity value (pounds), as specified by the equipment manufacturer.</w:t>
            </w:r>
          </w:p>
        </w:tc>
      </w:tr>
      <w:tr w14:paraId="6AE72F1B" w14:textId="77777777" w:rsidTr="004863F4">
        <w:tblPrEx>
          <w:tblW w:w="9625" w:type="dxa"/>
          <w:tblLook w:val="04A0"/>
        </w:tblPrEx>
        <w:trPr>
          <w:trHeight w:val="563"/>
        </w:trPr>
        <w:tc>
          <w:tcPr>
            <w:tcW w:w="1526" w:type="dxa"/>
            <w:vMerge/>
          </w:tcPr>
          <w:p w:rsidR="009646B0" w:rsidRPr="000238A7" w:rsidP="004863F4" w14:paraId="41CB33C2" w14:textId="77777777">
            <w:pPr>
              <w:pStyle w:val="BodyText"/>
              <w:spacing w:after="0"/>
              <w:rPr>
                <w:rFonts w:asciiTheme="minorHAnsi" w:hAnsiTheme="minorHAnsi" w:cstheme="minorHAnsi"/>
                <w:sz w:val="20"/>
                <w:szCs w:val="20"/>
              </w:rPr>
            </w:pPr>
          </w:p>
        </w:tc>
        <w:tc>
          <w:tcPr>
            <w:tcW w:w="8099" w:type="dxa"/>
          </w:tcPr>
          <w:p w:rsidR="009646B0" w:rsidRPr="000238A7" w:rsidP="004863F4" w14:paraId="2B8D684D"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For each piece of electrical equipment whose nameplate capacity is measured by the equipment user, n</w:t>
            </w:r>
            <w:r w:rsidRPr="000238A7">
              <w:rPr>
                <w:rFonts w:asciiTheme="minorHAnsi" w:hAnsiTheme="minorHAnsi" w:cstheme="minorHAnsi"/>
                <w:bCs/>
                <w:sz w:val="20"/>
                <w:szCs w:val="20"/>
              </w:rPr>
              <w:t>ameplate capacity value (pounds) measured by the equipment user.</w:t>
            </w:r>
          </w:p>
        </w:tc>
      </w:tr>
      <w:tr w14:paraId="747F1F53" w14:textId="77777777" w:rsidTr="004863F4">
        <w:tblPrEx>
          <w:tblW w:w="9625" w:type="dxa"/>
          <w:tblLook w:val="04A0"/>
        </w:tblPrEx>
        <w:trPr>
          <w:trHeight w:val="563"/>
        </w:trPr>
        <w:tc>
          <w:tcPr>
            <w:tcW w:w="1526" w:type="dxa"/>
            <w:vMerge/>
          </w:tcPr>
          <w:p w:rsidR="009646B0" w:rsidRPr="000238A7" w:rsidP="004863F4" w14:paraId="4207168B" w14:textId="77777777">
            <w:pPr>
              <w:pStyle w:val="BodyText"/>
              <w:spacing w:after="0"/>
              <w:rPr>
                <w:rFonts w:asciiTheme="minorHAnsi" w:hAnsiTheme="minorHAnsi" w:cstheme="minorHAnsi"/>
                <w:sz w:val="20"/>
                <w:szCs w:val="20"/>
              </w:rPr>
            </w:pPr>
          </w:p>
        </w:tc>
        <w:tc>
          <w:tcPr>
            <w:tcW w:w="8099" w:type="dxa"/>
          </w:tcPr>
          <w:p w:rsidR="009646B0" w:rsidRPr="000238A7" w:rsidP="004863F4" w14:paraId="24F8B687"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For each piece of electrical equipment whose nameplate capacity is measured by the equipment user, the date the nameplate capacity measurement process was completed.</w:t>
            </w:r>
          </w:p>
        </w:tc>
      </w:tr>
      <w:tr w14:paraId="27E4E4F7" w14:textId="77777777" w:rsidTr="004863F4">
        <w:tblPrEx>
          <w:tblW w:w="9625" w:type="dxa"/>
          <w:tblLook w:val="04A0"/>
        </w:tblPrEx>
        <w:trPr>
          <w:trHeight w:val="563"/>
        </w:trPr>
        <w:tc>
          <w:tcPr>
            <w:tcW w:w="1526" w:type="dxa"/>
            <w:vMerge/>
          </w:tcPr>
          <w:p w:rsidR="009646B0" w:rsidRPr="000238A7" w:rsidP="004863F4" w14:paraId="4BE19B87" w14:textId="77777777">
            <w:pPr>
              <w:pStyle w:val="BodyText"/>
              <w:spacing w:after="0"/>
              <w:rPr>
                <w:rFonts w:asciiTheme="minorHAnsi" w:hAnsiTheme="minorHAnsi" w:cstheme="minorHAnsi"/>
                <w:sz w:val="20"/>
                <w:szCs w:val="20"/>
              </w:rPr>
            </w:pPr>
          </w:p>
        </w:tc>
        <w:tc>
          <w:tcPr>
            <w:tcW w:w="8099" w:type="dxa"/>
          </w:tcPr>
          <w:p w:rsidR="009646B0" w:rsidRPr="000238A7" w:rsidP="004863F4" w14:paraId="291864EF"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For each piece of electrical equipment whose nameplate capacity is measured by the equipment user, the measurements and calculations used to calculate the measured value.</w:t>
            </w:r>
          </w:p>
        </w:tc>
      </w:tr>
      <w:tr w14:paraId="77798F5E" w14:textId="77777777" w:rsidTr="004863F4">
        <w:tblPrEx>
          <w:tblW w:w="9625" w:type="dxa"/>
          <w:tblLook w:val="04A0"/>
        </w:tblPrEx>
        <w:trPr>
          <w:trHeight w:val="563"/>
        </w:trPr>
        <w:tc>
          <w:tcPr>
            <w:tcW w:w="1526" w:type="dxa"/>
            <w:vMerge/>
          </w:tcPr>
          <w:p w:rsidR="009646B0" w:rsidRPr="000238A7" w:rsidP="004863F4" w14:paraId="13309DCB" w14:textId="77777777">
            <w:pPr>
              <w:pStyle w:val="BodyText"/>
              <w:spacing w:after="0"/>
              <w:rPr>
                <w:rFonts w:asciiTheme="minorHAnsi" w:hAnsiTheme="minorHAnsi" w:cstheme="minorHAnsi"/>
                <w:sz w:val="20"/>
                <w:szCs w:val="20"/>
              </w:rPr>
            </w:pPr>
          </w:p>
        </w:tc>
        <w:tc>
          <w:tcPr>
            <w:tcW w:w="8099" w:type="dxa"/>
          </w:tcPr>
          <w:p w:rsidR="009646B0" w:rsidRPr="000238A7" w:rsidP="004863F4" w14:paraId="4B2221DA"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For each piece of electrical equipment whose nameplate capacity is measured by the equipment user,</w:t>
            </w:r>
            <w:r w:rsidRPr="000238A7">
              <w:rPr>
                <w:rFonts w:asciiTheme="minorHAnsi" w:hAnsiTheme="minorHAnsi" w:cstheme="minorHAnsi"/>
              </w:rPr>
              <w:t xml:space="preserve"> t</w:t>
            </w:r>
            <w:r w:rsidRPr="000238A7">
              <w:rPr>
                <w:rFonts w:asciiTheme="minorHAnsi" w:hAnsiTheme="minorHAnsi" w:cstheme="minorHAnsi"/>
                <w:sz w:val="20"/>
                <w:szCs w:val="20"/>
              </w:rPr>
              <w:t>he temperature-pressure curve and/or other information used to derive the initial and final temperature-adjusted pressures of the equipment.</w:t>
            </w:r>
          </w:p>
        </w:tc>
      </w:tr>
      <w:tr w14:paraId="7D9E91DD" w14:textId="77777777" w:rsidTr="004863F4">
        <w:tblPrEx>
          <w:tblW w:w="9625" w:type="dxa"/>
          <w:tblLook w:val="04A0"/>
        </w:tblPrEx>
        <w:trPr>
          <w:trHeight w:val="563"/>
        </w:trPr>
        <w:tc>
          <w:tcPr>
            <w:tcW w:w="1526" w:type="dxa"/>
            <w:vMerge/>
          </w:tcPr>
          <w:p w:rsidR="009646B0" w:rsidRPr="000238A7" w:rsidP="004863F4" w14:paraId="0D7E0DED" w14:textId="77777777">
            <w:pPr>
              <w:pStyle w:val="BodyText"/>
              <w:spacing w:after="0"/>
              <w:rPr>
                <w:rFonts w:asciiTheme="minorHAnsi" w:hAnsiTheme="minorHAnsi" w:cstheme="minorHAnsi"/>
                <w:sz w:val="20"/>
                <w:szCs w:val="20"/>
              </w:rPr>
            </w:pPr>
          </w:p>
        </w:tc>
        <w:tc>
          <w:tcPr>
            <w:tcW w:w="8099" w:type="dxa"/>
          </w:tcPr>
          <w:p w:rsidR="009646B0" w:rsidRPr="000238A7" w:rsidP="004863F4" w14:paraId="37E8EB7B"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For each piece of electrical equipment whose nameplate capacity is measured by the equipment user, whether or not the measured nameplate capacity value has been adopted for the piece of electrical equipment.</w:t>
            </w:r>
          </w:p>
        </w:tc>
      </w:tr>
      <w:tr w14:paraId="5F75867D" w14:textId="77777777" w:rsidTr="004863F4">
        <w:tblPrEx>
          <w:tblW w:w="9625" w:type="dxa"/>
          <w:tblLook w:val="04A0"/>
        </w:tblPrEx>
        <w:trPr>
          <w:trHeight w:val="563"/>
        </w:trPr>
        <w:tc>
          <w:tcPr>
            <w:tcW w:w="1526" w:type="dxa"/>
          </w:tcPr>
          <w:p w:rsidR="009646B0" w:rsidRPr="000238A7" w:rsidP="004863F4" w14:paraId="474ED6BA"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HH – Municipal Solid Waste Landfills</w:t>
            </w:r>
          </w:p>
        </w:tc>
        <w:tc>
          <w:tcPr>
            <w:tcW w:w="8099" w:type="dxa"/>
          </w:tcPr>
          <w:p w:rsidR="009646B0" w:rsidRPr="000238A7" w:rsidP="004863F4" w14:paraId="369078C2" w14:textId="77777777">
            <w:pPr>
              <w:pStyle w:val="BodyText"/>
              <w:rPr>
                <w:rFonts w:asciiTheme="minorHAnsi" w:hAnsiTheme="minorHAnsi" w:cstheme="minorHAnsi"/>
                <w:sz w:val="20"/>
                <w:szCs w:val="20"/>
              </w:rPr>
            </w:pPr>
            <w:r w:rsidRPr="000238A7">
              <w:rPr>
                <w:rFonts w:asciiTheme="minorHAnsi" w:hAnsiTheme="minorHAnsi" w:cstheme="minorHAnsi"/>
                <w:sz w:val="20"/>
                <w:szCs w:val="20"/>
              </w:rPr>
              <w:t>Records of the</w:t>
            </w:r>
            <w:r w:rsidRPr="000238A7">
              <w:rPr>
                <w:rFonts w:asciiTheme="minorHAnsi" w:hAnsiTheme="minorHAnsi" w:cstheme="minorHAnsi"/>
              </w:rPr>
              <w:t xml:space="preserve"> </w:t>
            </w:r>
            <w:r w:rsidRPr="000238A7">
              <w:rPr>
                <w:rFonts w:asciiTheme="minorHAnsi" w:hAnsiTheme="minorHAnsi" w:cstheme="minorHAnsi"/>
                <w:sz w:val="20"/>
                <w:szCs w:val="20"/>
              </w:rPr>
              <w:t>data used to calculate and report the GHG emissions in § 98.346.</w:t>
            </w:r>
          </w:p>
        </w:tc>
      </w:tr>
      <w:tr w14:paraId="3D402F10" w14:textId="77777777" w:rsidTr="004863F4">
        <w:tblPrEx>
          <w:tblW w:w="9625" w:type="dxa"/>
          <w:tblLook w:val="04A0"/>
        </w:tblPrEx>
        <w:trPr>
          <w:trHeight w:val="563"/>
        </w:trPr>
        <w:tc>
          <w:tcPr>
            <w:tcW w:w="1526" w:type="dxa"/>
          </w:tcPr>
          <w:p w:rsidR="009646B0" w:rsidRPr="000238A7" w:rsidP="004863F4" w14:paraId="3AB54559"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 xml:space="preserve">VV - </w:t>
            </w:r>
            <w:r w:rsidRPr="000238A7">
              <w:rPr>
                <w:rFonts w:asciiTheme="minorHAnsi" w:hAnsiTheme="minorHAnsi" w:cstheme="minorHAnsi"/>
              </w:rPr>
              <w:t xml:space="preserve"> </w:t>
            </w:r>
            <w:r w:rsidRPr="000238A7">
              <w:rPr>
                <w:rFonts w:asciiTheme="minorHAnsi" w:hAnsiTheme="minorHAnsi" w:cstheme="minorHAnsi"/>
                <w:sz w:val="20"/>
                <w:szCs w:val="20"/>
              </w:rPr>
              <w:t xml:space="preserve">Geologic Sequestration of Carbon Dioxide with Enhanced Oil </w:t>
            </w:r>
            <w:r w:rsidRPr="000238A7">
              <w:rPr>
                <w:rFonts w:asciiTheme="minorHAnsi" w:hAnsiTheme="minorHAnsi" w:cstheme="minorHAnsi"/>
                <w:sz w:val="20"/>
                <w:szCs w:val="20"/>
              </w:rPr>
              <w:t>Recovery Using ISO 27916</w:t>
            </w:r>
          </w:p>
        </w:tc>
        <w:tc>
          <w:tcPr>
            <w:tcW w:w="8099" w:type="dxa"/>
          </w:tcPr>
          <w:p w:rsidR="009646B0" w:rsidRPr="000238A7" w:rsidP="004863F4" w14:paraId="57323C4D" w14:textId="77777777">
            <w:pPr>
              <w:spacing w:before="100" w:beforeAutospacing="1" w:after="100" w:afterAutospacing="1"/>
              <w:rPr>
                <w:rFonts w:cstheme="minorHAnsi"/>
                <w:sz w:val="20"/>
                <w:szCs w:val="20"/>
              </w:rPr>
            </w:pPr>
            <w:r w:rsidRPr="000238A7">
              <w:rPr>
                <w:rFonts w:cstheme="minorHAnsi"/>
                <w:sz w:val="20"/>
                <w:szCs w:val="20"/>
              </w:rPr>
              <w:t>Records as required by §98.3(g) and as set forth in Clause 9.1 of CSA/ANSI ISO 27916:19.</w:t>
            </w:r>
          </w:p>
        </w:tc>
      </w:tr>
      <w:tr w14:paraId="353D88A3" w14:textId="77777777" w:rsidTr="004863F4">
        <w:tblPrEx>
          <w:tblW w:w="9625" w:type="dxa"/>
          <w:tblLook w:val="04A0"/>
        </w:tblPrEx>
        <w:trPr>
          <w:trHeight w:val="563"/>
        </w:trPr>
        <w:tc>
          <w:tcPr>
            <w:tcW w:w="1526" w:type="dxa"/>
            <w:vMerge w:val="restart"/>
          </w:tcPr>
          <w:p w:rsidR="009646B0" w:rsidRPr="000238A7" w:rsidP="004863F4" w14:paraId="625A518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WW – Coke Calciners</w:t>
            </w:r>
          </w:p>
        </w:tc>
        <w:tc>
          <w:tcPr>
            <w:tcW w:w="8099" w:type="dxa"/>
          </w:tcPr>
          <w:p w:rsidR="009646B0" w:rsidRPr="000238A7" w:rsidP="004863F4" w14:paraId="3DF68448" w14:textId="77777777">
            <w:pPr>
              <w:spacing w:before="100" w:beforeAutospacing="1" w:after="100" w:afterAutospacing="1"/>
              <w:rPr>
                <w:rFonts w:cstheme="minorHAnsi"/>
                <w:sz w:val="20"/>
                <w:szCs w:val="20"/>
              </w:rPr>
            </w:pPr>
            <w:r w:rsidRPr="000238A7">
              <w:rPr>
                <w:rFonts w:cstheme="minorHAnsi"/>
                <w:sz w:val="20"/>
                <w:szCs w:val="20"/>
              </w:rPr>
              <w:t>Records of all parameters monitored under § 98.494.</w:t>
            </w:r>
          </w:p>
        </w:tc>
      </w:tr>
      <w:tr w14:paraId="16313204" w14:textId="77777777" w:rsidTr="004863F4">
        <w:tblPrEx>
          <w:tblW w:w="9625" w:type="dxa"/>
          <w:tblLook w:val="04A0"/>
        </w:tblPrEx>
        <w:trPr>
          <w:trHeight w:val="563"/>
        </w:trPr>
        <w:tc>
          <w:tcPr>
            <w:tcW w:w="1526" w:type="dxa"/>
            <w:vMerge/>
          </w:tcPr>
          <w:p w:rsidR="009646B0" w:rsidRPr="000238A7" w:rsidP="004863F4" w14:paraId="14AF9DD3" w14:textId="77777777">
            <w:pPr>
              <w:pStyle w:val="BodyText"/>
              <w:spacing w:after="0"/>
              <w:rPr>
                <w:rFonts w:asciiTheme="minorHAnsi" w:hAnsiTheme="minorHAnsi" w:cstheme="minorHAnsi"/>
                <w:sz w:val="20"/>
                <w:szCs w:val="20"/>
              </w:rPr>
            </w:pPr>
          </w:p>
        </w:tc>
        <w:tc>
          <w:tcPr>
            <w:tcW w:w="8099" w:type="dxa"/>
          </w:tcPr>
          <w:p w:rsidR="009646B0" w:rsidRPr="000238A7" w:rsidP="004863F4" w14:paraId="30465B81" w14:textId="70F02075">
            <w:pPr>
              <w:spacing w:before="100" w:beforeAutospacing="1" w:after="100" w:afterAutospacing="1"/>
              <w:rPr>
                <w:rFonts w:cstheme="minorHAnsi"/>
                <w:sz w:val="20"/>
                <w:szCs w:val="20"/>
              </w:rPr>
            </w:pPr>
            <w:r w:rsidRPr="000238A7">
              <w:rPr>
                <w:rFonts w:cstheme="minorHAnsi"/>
                <w:sz w:val="20"/>
                <w:szCs w:val="20"/>
              </w:rPr>
              <w:t>A record of the file generated by the verification software specified in § 98.5(b) for the monthly mass of green coke fed to the coke calcining unit from facility records (metric tons/year) (</w:t>
            </w:r>
            <w:r w:rsidRPr="000238A7" w:rsidR="007C1447">
              <w:rPr>
                <w:rFonts w:cstheme="minorHAnsi"/>
                <w:sz w:val="20"/>
                <w:szCs w:val="20"/>
              </w:rPr>
              <w:t>equation</w:t>
            </w:r>
            <w:r w:rsidRPr="000238A7">
              <w:rPr>
                <w:rFonts w:cstheme="minorHAnsi"/>
                <w:sz w:val="20"/>
                <w:szCs w:val="20"/>
              </w:rPr>
              <w:t xml:space="preserve"> 1 </w:t>
            </w:r>
            <w:r w:rsidRPr="000238A7" w:rsidR="007C1447">
              <w:rPr>
                <w:rFonts w:cstheme="minorHAnsi"/>
                <w:sz w:val="20"/>
                <w:szCs w:val="20"/>
              </w:rPr>
              <w:t>to</w:t>
            </w:r>
            <w:r w:rsidRPr="000238A7">
              <w:rPr>
                <w:rFonts w:cstheme="minorHAnsi"/>
                <w:sz w:val="20"/>
                <w:szCs w:val="20"/>
              </w:rPr>
              <w:t xml:space="preserve"> § 98.493</w:t>
            </w:r>
            <w:r w:rsidRPr="000238A7" w:rsidR="007C1447">
              <w:rPr>
                <w:rFonts w:cstheme="minorHAnsi"/>
                <w:sz w:val="20"/>
                <w:szCs w:val="20"/>
              </w:rPr>
              <w:t>(b)(2)</w:t>
            </w:r>
            <w:r w:rsidRPr="000238A7">
              <w:rPr>
                <w:rFonts w:cstheme="minorHAnsi"/>
                <w:sz w:val="20"/>
                <w:szCs w:val="20"/>
              </w:rPr>
              <w:t>).</w:t>
            </w:r>
          </w:p>
        </w:tc>
      </w:tr>
      <w:tr w14:paraId="06333090" w14:textId="77777777" w:rsidTr="004863F4">
        <w:tblPrEx>
          <w:tblW w:w="9625" w:type="dxa"/>
          <w:tblLook w:val="04A0"/>
        </w:tblPrEx>
        <w:trPr>
          <w:trHeight w:val="563"/>
        </w:trPr>
        <w:tc>
          <w:tcPr>
            <w:tcW w:w="1526" w:type="dxa"/>
            <w:vMerge/>
          </w:tcPr>
          <w:p w:rsidR="009646B0" w:rsidRPr="000238A7" w:rsidP="004863F4" w14:paraId="7858883C" w14:textId="77777777">
            <w:pPr>
              <w:pStyle w:val="BodyText"/>
              <w:spacing w:after="0"/>
              <w:rPr>
                <w:rFonts w:asciiTheme="minorHAnsi" w:hAnsiTheme="minorHAnsi" w:cstheme="minorHAnsi"/>
                <w:sz w:val="20"/>
                <w:szCs w:val="20"/>
              </w:rPr>
            </w:pPr>
          </w:p>
        </w:tc>
        <w:tc>
          <w:tcPr>
            <w:tcW w:w="8099" w:type="dxa"/>
          </w:tcPr>
          <w:p w:rsidR="009646B0" w:rsidRPr="000238A7" w:rsidP="004863F4" w14:paraId="776F5C41" w14:textId="06EDCEB0">
            <w:pPr>
              <w:spacing w:before="100" w:beforeAutospacing="1" w:after="100" w:afterAutospacing="1"/>
              <w:rPr>
                <w:rFonts w:cstheme="minorHAnsi"/>
                <w:sz w:val="20"/>
                <w:szCs w:val="20"/>
              </w:rPr>
            </w:pPr>
            <w:r w:rsidRPr="000238A7">
              <w:rPr>
                <w:rFonts w:cstheme="minorHAnsi"/>
                <w:sz w:val="20"/>
                <w:szCs w:val="20"/>
              </w:rPr>
              <w:t>A record of the file generated by the verification software specified in § 98.5(b) for the monthly mass of marketable petroleum coke produced by the coke calcining unit from facility records (metric tons/year) (</w:t>
            </w:r>
            <w:r w:rsidRPr="000238A7" w:rsidR="007C1447">
              <w:rPr>
                <w:rFonts w:cstheme="minorHAnsi"/>
                <w:sz w:val="20"/>
                <w:szCs w:val="20"/>
              </w:rPr>
              <w:t xml:space="preserve">equation </w:t>
            </w:r>
            <w:r w:rsidRPr="000238A7">
              <w:rPr>
                <w:rFonts w:cstheme="minorHAnsi"/>
                <w:sz w:val="20"/>
                <w:szCs w:val="20"/>
              </w:rPr>
              <w:t xml:space="preserve">1 </w:t>
            </w:r>
            <w:r w:rsidRPr="000238A7" w:rsidR="007C1447">
              <w:rPr>
                <w:rFonts w:cstheme="minorHAnsi"/>
                <w:sz w:val="20"/>
                <w:szCs w:val="20"/>
              </w:rPr>
              <w:t>to</w:t>
            </w:r>
            <w:r w:rsidRPr="000238A7">
              <w:rPr>
                <w:rFonts w:cstheme="minorHAnsi"/>
                <w:sz w:val="20"/>
                <w:szCs w:val="20"/>
              </w:rPr>
              <w:t xml:space="preserve"> § 98.493</w:t>
            </w:r>
            <w:r w:rsidRPr="000238A7" w:rsidR="007C1447">
              <w:rPr>
                <w:rFonts w:cstheme="minorHAnsi"/>
                <w:sz w:val="20"/>
                <w:szCs w:val="20"/>
              </w:rPr>
              <w:t>(b)(2)).</w:t>
            </w:r>
          </w:p>
        </w:tc>
      </w:tr>
      <w:tr w14:paraId="4835F0D2" w14:textId="77777777" w:rsidTr="004863F4">
        <w:tblPrEx>
          <w:tblW w:w="9625" w:type="dxa"/>
          <w:tblLook w:val="04A0"/>
        </w:tblPrEx>
        <w:trPr>
          <w:trHeight w:val="563"/>
        </w:trPr>
        <w:tc>
          <w:tcPr>
            <w:tcW w:w="1526" w:type="dxa"/>
            <w:vMerge/>
          </w:tcPr>
          <w:p w:rsidR="009646B0" w:rsidRPr="000238A7" w:rsidP="004863F4" w14:paraId="74DABD08" w14:textId="77777777">
            <w:pPr>
              <w:pStyle w:val="BodyText"/>
              <w:spacing w:after="0"/>
              <w:rPr>
                <w:rFonts w:asciiTheme="minorHAnsi" w:hAnsiTheme="minorHAnsi" w:cstheme="minorHAnsi"/>
                <w:sz w:val="20"/>
                <w:szCs w:val="20"/>
              </w:rPr>
            </w:pPr>
          </w:p>
        </w:tc>
        <w:tc>
          <w:tcPr>
            <w:tcW w:w="8099" w:type="dxa"/>
          </w:tcPr>
          <w:p w:rsidR="009646B0" w:rsidRPr="000238A7" w:rsidP="004863F4" w14:paraId="0692C901" w14:textId="43B22318">
            <w:pPr>
              <w:spacing w:before="100" w:beforeAutospacing="1" w:after="100" w:afterAutospacing="1"/>
              <w:rPr>
                <w:rFonts w:cstheme="minorHAnsi"/>
                <w:sz w:val="20"/>
                <w:szCs w:val="20"/>
              </w:rPr>
            </w:pPr>
            <w:r w:rsidRPr="000238A7">
              <w:rPr>
                <w:rFonts w:cstheme="minorHAnsi"/>
                <w:sz w:val="20"/>
                <w:szCs w:val="20"/>
              </w:rPr>
              <w:t>A record of the file generated by the verification software specified in § 98.5(b) for the monthly mass of petroleum coke dust removed from the process through the dust collection system of the coke calcining unit from facility records (metric tons/year) (</w:t>
            </w:r>
            <w:r w:rsidRPr="000238A7" w:rsidR="007C1447">
              <w:rPr>
                <w:rFonts w:cstheme="minorHAnsi"/>
                <w:sz w:val="20"/>
                <w:szCs w:val="20"/>
              </w:rPr>
              <w:t>equation</w:t>
            </w:r>
            <w:r w:rsidRPr="000238A7">
              <w:rPr>
                <w:rFonts w:cstheme="minorHAnsi"/>
                <w:sz w:val="20"/>
                <w:szCs w:val="20"/>
              </w:rPr>
              <w:t xml:space="preserve"> 1 </w:t>
            </w:r>
            <w:r w:rsidRPr="000238A7" w:rsidR="007C1447">
              <w:rPr>
                <w:rFonts w:cstheme="minorHAnsi"/>
                <w:sz w:val="20"/>
                <w:szCs w:val="20"/>
              </w:rPr>
              <w:t>to</w:t>
            </w:r>
            <w:r w:rsidRPr="000238A7">
              <w:rPr>
                <w:rFonts w:cstheme="minorHAnsi"/>
                <w:sz w:val="20"/>
                <w:szCs w:val="20"/>
              </w:rPr>
              <w:t xml:space="preserve"> § 98.493</w:t>
            </w:r>
            <w:r w:rsidRPr="000238A7" w:rsidR="007C1447">
              <w:rPr>
                <w:rFonts w:cstheme="minorHAnsi"/>
                <w:sz w:val="20"/>
                <w:szCs w:val="20"/>
              </w:rPr>
              <w:t>(b)(2)).</w:t>
            </w:r>
          </w:p>
        </w:tc>
      </w:tr>
      <w:tr w14:paraId="2C12BE77" w14:textId="77777777" w:rsidTr="004863F4">
        <w:tblPrEx>
          <w:tblW w:w="9625" w:type="dxa"/>
          <w:tblLook w:val="04A0"/>
        </w:tblPrEx>
        <w:trPr>
          <w:trHeight w:val="563"/>
        </w:trPr>
        <w:tc>
          <w:tcPr>
            <w:tcW w:w="1526" w:type="dxa"/>
            <w:vMerge/>
          </w:tcPr>
          <w:p w:rsidR="009646B0" w:rsidRPr="000238A7" w:rsidP="004863F4" w14:paraId="586490BD" w14:textId="77777777">
            <w:pPr>
              <w:pStyle w:val="BodyText"/>
              <w:spacing w:after="0"/>
              <w:rPr>
                <w:rFonts w:asciiTheme="minorHAnsi" w:hAnsiTheme="minorHAnsi" w:cstheme="minorHAnsi"/>
                <w:sz w:val="20"/>
                <w:szCs w:val="20"/>
              </w:rPr>
            </w:pPr>
          </w:p>
        </w:tc>
        <w:tc>
          <w:tcPr>
            <w:tcW w:w="8099" w:type="dxa"/>
          </w:tcPr>
          <w:p w:rsidR="009646B0" w:rsidRPr="000238A7" w:rsidP="004863F4" w14:paraId="25118472" w14:textId="48620232">
            <w:pPr>
              <w:spacing w:before="100" w:beforeAutospacing="1" w:after="100" w:afterAutospacing="1"/>
              <w:rPr>
                <w:rFonts w:cstheme="minorHAnsi"/>
                <w:sz w:val="20"/>
                <w:szCs w:val="20"/>
              </w:rPr>
            </w:pPr>
            <w:r w:rsidRPr="000238A7">
              <w:rPr>
                <w:rFonts w:cstheme="minorHAnsi"/>
                <w:sz w:val="20"/>
                <w:szCs w:val="20"/>
              </w:rPr>
              <w:t>A record of the file generated by the verification software specified in § 98.5(b) for the average monthly mass fraction carbon content of green coke fed to the coke calcining unit from facility measurement data (metric tons C per metric ton green coke) (</w:t>
            </w:r>
            <w:r w:rsidRPr="000238A7" w:rsidR="007C1447">
              <w:rPr>
                <w:rFonts w:cstheme="minorHAnsi"/>
                <w:sz w:val="20"/>
                <w:szCs w:val="20"/>
              </w:rPr>
              <w:t>equation</w:t>
            </w:r>
            <w:r w:rsidRPr="000238A7">
              <w:rPr>
                <w:rFonts w:cstheme="minorHAnsi"/>
                <w:sz w:val="20"/>
                <w:szCs w:val="20"/>
              </w:rPr>
              <w:t xml:space="preserve"> 1 </w:t>
            </w:r>
            <w:r w:rsidRPr="000238A7" w:rsidR="007C1447">
              <w:rPr>
                <w:rFonts w:cstheme="minorHAnsi"/>
                <w:sz w:val="20"/>
                <w:szCs w:val="20"/>
              </w:rPr>
              <w:t>to</w:t>
            </w:r>
            <w:r w:rsidRPr="000238A7">
              <w:rPr>
                <w:rFonts w:cstheme="minorHAnsi"/>
                <w:sz w:val="20"/>
                <w:szCs w:val="20"/>
              </w:rPr>
              <w:t xml:space="preserve"> § 98.493</w:t>
            </w:r>
            <w:r w:rsidRPr="000238A7" w:rsidR="007C1447">
              <w:rPr>
                <w:rFonts w:cstheme="minorHAnsi"/>
                <w:sz w:val="20"/>
                <w:szCs w:val="20"/>
              </w:rPr>
              <w:t>(b)(2)).</w:t>
            </w:r>
          </w:p>
        </w:tc>
      </w:tr>
      <w:tr w14:paraId="7B4BA04F" w14:textId="77777777" w:rsidTr="004863F4">
        <w:tblPrEx>
          <w:tblW w:w="9625" w:type="dxa"/>
          <w:tblLook w:val="04A0"/>
        </w:tblPrEx>
        <w:trPr>
          <w:trHeight w:val="563"/>
        </w:trPr>
        <w:tc>
          <w:tcPr>
            <w:tcW w:w="1526" w:type="dxa"/>
            <w:vMerge/>
          </w:tcPr>
          <w:p w:rsidR="009646B0" w:rsidRPr="000238A7" w:rsidP="004863F4" w14:paraId="6621A5C8" w14:textId="77777777">
            <w:pPr>
              <w:pStyle w:val="BodyText"/>
              <w:spacing w:after="0"/>
              <w:rPr>
                <w:rFonts w:asciiTheme="minorHAnsi" w:hAnsiTheme="minorHAnsi" w:cstheme="minorHAnsi"/>
                <w:sz w:val="20"/>
                <w:szCs w:val="20"/>
              </w:rPr>
            </w:pPr>
          </w:p>
        </w:tc>
        <w:tc>
          <w:tcPr>
            <w:tcW w:w="8099" w:type="dxa"/>
          </w:tcPr>
          <w:p w:rsidR="009646B0" w:rsidRPr="000238A7" w:rsidP="004863F4" w14:paraId="33E1DF98" w14:textId="14A0DF28">
            <w:pPr>
              <w:spacing w:before="100" w:beforeAutospacing="1" w:after="100" w:afterAutospacing="1"/>
              <w:rPr>
                <w:rFonts w:cstheme="minorHAnsi"/>
                <w:sz w:val="20"/>
                <w:szCs w:val="20"/>
              </w:rPr>
            </w:pPr>
            <w:r w:rsidRPr="000238A7">
              <w:rPr>
                <w:rFonts w:cstheme="minorHAnsi"/>
                <w:sz w:val="20"/>
                <w:szCs w:val="20"/>
              </w:rPr>
              <w:t>A record of the file generated by the verification software specified in § 98.5(b) for the average monthly mass fraction carbon content of marketable petroleum coke produced by the coke calcining unit from facility measurement data (metric tons C per metric ton petroleum coke) (</w:t>
            </w:r>
            <w:r w:rsidRPr="000238A7" w:rsidR="007C1447">
              <w:rPr>
                <w:rFonts w:cstheme="minorHAnsi"/>
                <w:sz w:val="20"/>
                <w:szCs w:val="20"/>
              </w:rPr>
              <w:t>equation</w:t>
            </w:r>
            <w:r w:rsidRPr="000238A7">
              <w:rPr>
                <w:rFonts w:cstheme="minorHAnsi"/>
                <w:sz w:val="20"/>
                <w:szCs w:val="20"/>
              </w:rPr>
              <w:t xml:space="preserve"> 1 </w:t>
            </w:r>
            <w:r w:rsidRPr="000238A7" w:rsidR="007C1447">
              <w:rPr>
                <w:rFonts w:cstheme="minorHAnsi"/>
                <w:sz w:val="20"/>
                <w:szCs w:val="20"/>
              </w:rPr>
              <w:t>to</w:t>
            </w:r>
            <w:r w:rsidRPr="000238A7">
              <w:rPr>
                <w:rFonts w:cstheme="minorHAnsi"/>
                <w:sz w:val="20"/>
                <w:szCs w:val="20"/>
              </w:rPr>
              <w:t xml:space="preserve"> § 98.493</w:t>
            </w:r>
            <w:r w:rsidRPr="000238A7" w:rsidR="007C1447">
              <w:rPr>
                <w:rFonts w:cstheme="minorHAnsi"/>
                <w:sz w:val="20"/>
                <w:szCs w:val="20"/>
              </w:rPr>
              <w:t>(b)(2)).</w:t>
            </w:r>
          </w:p>
        </w:tc>
      </w:tr>
      <w:tr w14:paraId="5E0D377E" w14:textId="77777777" w:rsidTr="004863F4">
        <w:tblPrEx>
          <w:tblW w:w="9625" w:type="dxa"/>
          <w:tblLook w:val="04A0"/>
        </w:tblPrEx>
        <w:trPr>
          <w:trHeight w:val="563"/>
        </w:trPr>
        <w:tc>
          <w:tcPr>
            <w:tcW w:w="1526" w:type="dxa"/>
            <w:vMerge w:val="restart"/>
          </w:tcPr>
          <w:p w:rsidR="009646B0" w:rsidRPr="000238A7" w:rsidP="004863F4" w14:paraId="1F51EB97"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XX – Calcium Carbide Production</w:t>
            </w:r>
          </w:p>
          <w:p w:rsidR="009646B0" w:rsidRPr="000238A7" w:rsidP="004863F4" w14:paraId="24C7C11F" w14:textId="77777777">
            <w:pPr>
              <w:pStyle w:val="BodyText"/>
              <w:spacing w:after="0"/>
              <w:rPr>
                <w:rFonts w:asciiTheme="minorHAnsi" w:hAnsiTheme="minorHAnsi" w:cstheme="minorHAnsi"/>
                <w:sz w:val="20"/>
                <w:szCs w:val="20"/>
              </w:rPr>
            </w:pPr>
          </w:p>
        </w:tc>
        <w:tc>
          <w:tcPr>
            <w:tcW w:w="8099" w:type="dxa"/>
          </w:tcPr>
          <w:p w:rsidR="009646B0" w:rsidRPr="000238A7" w:rsidP="004863F4" w14:paraId="1E487DC2" w14:textId="77777777">
            <w:pPr>
              <w:spacing w:before="100" w:beforeAutospacing="1" w:after="100" w:afterAutospacing="1"/>
              <w:rPr>
                <w:rFonts w:cstheme="minorHAnsi"/>
                <w:sz w:val="20"/>
                <w:szCs w:val="20"/>
              </w:rPr>
            </w:pPr>
            <w:r w:rsidRPr="000238A7">
              <w:rPr>
                <w:rFonts w:cstheme="minorHAnsi"/>
                <w:sz w:val="20"/>
                <w:szCs w:val="20"/>
              </w:rPr>
              <w:t>If a CEMS is used to measure CO</w:t>
            </w:r>
            <w:r w:rsidRPr="000238A7">
              <w:rPr>
                <w:rFonts w:cstheme="minorHAnsi"/>
                <w:sz w:val="20"/>
                <w:szCs w:val="20"/>
                <w:vertAlign w:val="subscript"/>
              </w:rPr>
              <w:t>2</w:t>
            </w:r>
            <w:r w:rsidRPr="000238A7">
              <w:rPr>
                <w:rFonts w:cstheme="minorHAnsi"/>
                <w:sz w:val="20"/>
                <w:szCs w:val="20"/>
              </w:rPr>
              <w:t xml:space="preserve"> emissions according to the requirements in § 98.503(a), the records required for the Tier 4 Calculation Methodology in § 98.37.</w:t>
            </w:r>
          </w:p>
        </w:tc>
      </w:tr>
      <w:tr w14:paraId="14357D7C" w14:textId="77777777" w:rsidTr="004863F4">
        <w:tblPrEx>
          <w:tblW w:w="9625" w:type="dxa"/>
          <w:tblLook w:val="04A0"/>
        </w:tblPrEx>
        <w:trPr>
          <w:trHeight w:val="563"/>
        </w:trPr>
        <w:tc>
          <w:tcPr>
            <w:tcW w:w="1526" w:type="dxa"/>
            <w:vMerge/>
          </w:tcPr>
          <w:p w:rsidR="009646B0" w:rsidRPr="000238A7" w:rsidP="004863F4" w14:paraId="3C16C992" w14:textId="77777777">
            <w:pPr>
              <w:pStyle w:val="BodyText"/>
              <w:spacing w:after="0"/>
              <w:rPr>
                <w:rFonts w:asciiTheme="minorHAnsi" w:hAnsiTheme="minorHAnsi" w:cstheme="minorHAnsi"/>
                <w:sz w:val="20"/>
                <w:szCs w:val="20"/>
              </w:rPr>
            </w:pPr>
          </w:p>
        </w:tc>
        <w:tc>
          <w:tcPr>
            <w:tcW w:w="8099" w:type="dxa"/>
          </w:tcPr>
          <w:p w:rsidR="009646B0" w:rsidRPr="000238A7" w:rsidP="004863F4" w14:paraId="513FB5FD" w14:textId="77777777">
            <w:pPr>
              <w:spacing w:before="100" w:beforeAutospacing="1" w:after="100" w:afterAutospacing="1"/>
              <w:rPr>
                <w:rFonts w:cstheme="minorHAnsi"/>
                <w:sz w:val="20"/>
                <w:szCs w:val="20"/>
              </w:rPr>
            </w:pPr>
            <w:r w:rsidRPr="000238A7">
              <w:rPr>
                <w:rFonts w:cstheme="minorHAnsi"/>
                <w:sz w:val="20"/>
                <w:szCs w:val="20"/>
              </w:rPr>
              <w:t>If a CEMS is used to measure CO</w:t>
            </w:r>
            <w:r w:rsidRPr="000238A7">
              <w:rPr>
                <w:rFonts w:cstheme="minorHAnsi"/>
                <w:sz w:val="20"/>
                <w:szCs w:val="20"/>
                <w:vertAlign w:val="subscript"/>
              </w:rPr>
              <w:t xml:space="preserve">2 </w:t>
            </w:r>
            <w:r w:rsidRPr="000238A7">
              <w:rPr>
                <w:rFonts w:cstheme="minorHAnsi"/>
                <w:sz w:val="20"/>
                <w:szCs w:val="20"/>
              </w:rPr>
              <w:t xml:space="preserve">emissions according to the requirements in § 98.503(a), </w:t>
            </w:r>
            <w:r w:rsidRPr="000238A7">
              <w:rPr>
                <w:rFonts w:cstheme="minorHAnsi"/>
              </w:rPr>
              <w:t xml:space="preserve"> </w:t>
            </w:r>
            <w:r w:rsidRPr="000238A7">
              <w:rPr>
                <w:rFonts w:cstheme="minorHAnsi"/>
                <w:sz w:val="20"/>
                <w:szCs w:val="20"/>
              </w:rPr>
              <w:t>monthly calcium carbide process unit production quantity (tons).</w:t>
            </w:r>
          </w:p>
        </w:tc>
      </w:tr>
      <w:tr w14:paraId="35446FAF" w14:textId="77777777" w:rsidTr="004863F4">
        <w:tblPrEx>
          <w:tblW w:w="9625" w:type="dxa"/>
          <w:tblLook w:val="04A0"/>
        </w:tblPrEx>
        <w:trPr>
          <w:trHeight w:val="563"/>
        </w:trPr>
        <w:tc>
          <w:tcPr>
            <w:tcW w:w="1526" w:type="dxa"/>
            <w:vMerge/>
          </w:tcPr>
          <w:p w:rsidR="009646B0" w:rsidRPr="000238A7" w:rsidP="004863F4" w14:paraId="631BB7F7" w14:textId="77777777">
            <w:pPr>
              <w:pStyle w:val="BodyText"/>
              <w:spacing w:after="0"/>
              <w:rPr>
                <w:rFonts w:asciiTheme="minorHAnsi" w:hAnsiTheme="minorHAnsi" w:cstheme="minorHAnsi"/>
                <w:sz w:val="20"/>
                <w:szCs w:val="20"/>
              </w:rPr>
            </w:pPr>
          </w:p>
        </w:tc>
        <w:tc>
          <w:tcPr>
            <w:tcW w:w="8099" w:type="dxa"/>
          </w:tcPr>
          <w:p w:rsidR="009646B0" w:rsidRPr="000238A7" w:rsidP="004863F4" w14:paraId="396D683B" w14:textId="77777777">
            <w:pPr>
              <w:spacing w:before="100" w:beforeAutospacing="1" w:after="100" w:afterAutospacing="1"/>
              <w:rPr>
                <w:rFonts w:cstheme="minorHAnsi"/>
                <w:sz w:val="20"/>
                <w:szCs w:val="20"/>
              </w:rPr>
            </w:pPr>
            <w:r w:rsidRPr="000238A7">
              <w:rPr>
                <w:rFonts w:cstheme="minorHAnsi"/>
                <w:sz w:val="20"/>
                <w:szCs w:val="20"/>
              </w:rPr>
              <w:t>If a CEMS is used to measure CO</w:t>
            </w:r>
            <w:r w:rsidRPr="000238A7">
              <w:rPr>
                <w:rFonts w:cstheme="minorHAnsi"/>
                <w:sz w:val="20"/>
                <w:szCs w:val="20"/>
                <w:vertAlign w:val="subscript"/>
              </w:rPr>
              <w:t>2</w:t>
            </w:r>
            <w:r w:rsidRPr="000238A7">
              <w:rPr>
                <w:rFonts w:cstheme="minorHAnsi"/>
                <w:sz w:val="20"/>
                <w:szCs w:val="20"/>
              </w:rPr>
              <w:t xml:space="preserve"> emissions according to the requirements in § 98.503(a),   number of calcium carbide processing unit operating hours each month.</w:t>
            </w:r>
          </w:p>
        </w:tc>
      </w:tr>
      <w:tr w14:paraId="75CC3003" w14:textId="77777777" w:rsidTr="004863F4">
        <w:tblPrEx>
          <w:tblW w:w="9625" w:type="dxa"/>
          <w:tblLook w:val="04A0"/>
        </w:tblPrEx>
        <w:trPr>
          <w:trHeight w:val="563"/>
        </w:trPr>
        <w:tc>
          <w:tcPr>
            <w:tcW w:w="1526" w:type="dxa"/>
            <w:vMerge/>
          </w:tcPr>
          <w:p w:rsidR="009646B0" w:rsidRPr="000238A7" w:rsidP="004863F4" w14:paraId="1D7D54A8" w14:textId="77777777">
            <w:pPr>
              <w:pStyle w:val="BodyText"/>
              <w:spacing w:after="0"/>
              <w:rPr>
                <w:rFonts w:asciiTheme="minorHAnsi" w:hAnsiTheme="minorHAnsi" w:cstheme="minorHAnsi"/>
                <w:sz w:val="20"/>
                <w:szCs w:val="20"/>
              </w:rPr>
            </w:pPr>
          </w:p>
        </w:tc>
        <w:tc>
          <w:tcPr>
            <w:tcW w:w="8099" w:type="dxa"/>
          </w:tcPr>
          <w:p w:rsidR="009646B0" w:rsidRPr="000238A7" w:rsidP="004863F4" w14:paraId="6C2580D4" w14:textId="77777777">
            <w:pPr>
              <w:spacing w:before="100" w:beforeAutospacing="1" w:after="100" w:afterAutospacing="1"/>
              <w:rPr>
                <w:rFonts w:cstheme="minorHAnsi"/>
                <w:sz w:val="20"/>
                <w:szCs w:val="20"/>
              </w:rPr>
            </w:pPr>
            <w:r w:rsidRPr="000238A7">
              <w:rPr>
                <w:rFonts w:cstheme="minorHAnsi"/>
                <w:sz w:val="20"/>
                <w:szCs w:val="20"/>
              </w:rPr>
              <w:t>If a CEMS is used to measure CO</w:t>
            </w:r>
            <w:r w:rsidRPr="000238A7">
              <w:rPr>
                <w:rFonts w:cstheme="minorHAnsi"/>
                <w:sz w:val="20"/>
                <w:szCs w:val="20"/>
                <w:vertAlign w:val="subscript"/>
              </w:rPr>
              <w:t>2</w:t>
            </w:r>
            <w:r w:rsidRPr="000238A7">
              <w:rPr>
                <w:rFonts w:cstheme="minorHAnsi"/>
                <w:sz w:val="20"/>
                <w:szCs w:val="20"/>
              </w:rPr>
              <w:t xml:space="preserve"> emissions according to the requirements in § 98.503(a),  number of calcium carbide processing unit operating hours in a calendar year. </w:t>
            </w:r>
          </w:p>
        </w:tc>
      </w:tr>
      <w:tr w14:paraId="410C8C2F" w14:textId="77777777" w:rsidTr="004863F4">
        <w:tblPrEx>
          <w:tblW w:w="9625" w:type="dxa"/>
          <w:tblLook w:val="04A0"/>
        </w:tblPrEx>
        <w:trPr>
          <w:trHeight w:val="563"/>
        </w:trPr>
        <w:tc>
          <w:tcPr>
            <w:tcW w:w="1526" w:type="dxa"/>
            <w:vMerge/>
          </w:tcPr>
          <w:p w:rsidR="009646B0" w:rsidRPr="000238A7" w:rsidP="004863F4" w14:paraId="355ACB9E" w14:textId="77777777">
            <w:pPr>
              <w:pStyle w:val="BodyText"/>
              <w:spacing w:after="0"/>
              <w:rPr>
                <w:rFonts w:asciiTheme="minorHAnsi" w:hAnsiTheme="minorHAnsi" w:cstheme="minorHAnsi"/>
                <w:sz w:val="20"/>
                <w:szCs w:val="20"/>
              </w:rPr>
            </w:pPr>
          </w:p>
        </w:tc>
        <w:tc>
          <w:tcPr>
            <w:tcW w:w="8099" w:type="dxa"/>
          </w:tcPr>
          <w:p w:rsidR="009646B0" w:rsidRPr="000238A7" w:rsidP="004863F4" w14:paraId="77422EDB" w14:textId="77777777">
            <w:pPr>
              <w:spacing w:before="100" w:beforeAutospacing="1" w:after="100" w:afterAutospacing="1"/>
              <w:rPr>
                <w:rFonts w:cstheme="minorHAnsi"/>
                <w:sz w:val="20"/>
                <w:szCs w:val="20"/>
              </w:rPr>
            </w:pPr>
            <w:r w:rsidRPr="000238A7">
              <w:rPr>
                <w:rFonts w:cstheme="minorHAnsi"/>
                <w:sz w:val="20"/>
                <w:szCs w:val="20"/>
              </w:rPr>
              <w:t>If the carbon mass balance procedure is used to determine CO</w:t>
            </w:r>
            <w:r w:rsidRPr="000238A7">
              <w:rPr>
                <w:rFonts w:cstheme="minorHAnsi"/>
                <w:sz w:val="20"/>
                <w:szCs w:val="20"/>
                <w:vertAlign w:val="subscript"/>
              </w:rPr>
              <w:t>2</w:t>
            </w:r>
            <w:r w:rsidRPr="000238A7">
              <w:rPr>
                <w:rFonts w:cstheme="minorHAnsi"/>
                <w:sz w:val="20"/>
                <w:szCs w:val="20"/>
              </w:rPr>
              <w:t xml:space="preserve"> emissions according to the requirements in § 98.503(b)(2), monthly calcium carbide process unit production quantity (tons).</w:t>
            </w:r>
          </w:p>
        </w:tc>
      </w:tr>
      <w:tr w14:paraId="0E588A28" w14:textId="77777777" w:rsidTr="004863F4">
        <w:tblPrEx>
          <w:tblW w:w="9625" w:type="dxa"/>
          <w:tblLook w:val="04A0"/>
        </w:tblPrEx>
        <w:trPr>
          <w:trHeight w:val="563"/>
        </w:trPr>
        <w:tc>
          <w:tcPr>
            <w:tcW w:w="1526" w:type="dxa"/>
            <w:vMerge/>
          </w:tcPr>
          <w:p w:rsidR="009646B0" w:rsidRPr="000238A7" w:rsidP="004863F4" w14:paraId="196AAE09" w14:textId="77777777">
            <w:pPr>
              <w:pStyle w:val="BodyText"/>
              <w:spacing w:after="0"/>
              <w:rPr>
                <w:rFonts w:asciiTheme="minorHAnsi" w:hAnsiTheme="minorHAnsi" w:cstheme="minorHAnsi"/>
                <w:sz w:val="20"/>
                <w:szCs w:val="20"/>
              </w:rPr>
            </w:pPr>
          </w:p>
        </w:tc>
        <w:tc>
          <w:tcPr>
            <w:tcW w:w="8099" w:type="dxa"/>
          </w:tcPr>
          <w:p w:rsidR="009646B0" w:rsidRPr="000238A7" w:rsidP="004863F4" w14:paraId="2CA34345" w14:textId="77777777">
            <w:pPr>
              <w:spacing w:before="100" w:beforeAutospacing="1" w:after="100" w:afterAutospacing="1"/>
              <w:rPr>
                <w:rFonts w:cstheme="minorHAnsi"/>
                <w:sz w:val="20"/>
                <w:szCs w:val="20"/>
              </w:rPr>
            </w:pPr>
            <w:r w:rsidRPr="000238A7">
              <w:rPr>
                <w:rFonts w:cstheme="minorHAnsi"/>
                <w:sz w:val="20"/>
                <w:szCs w:val="20"/>
              </w:rPr>
              <w:t>If the carbon mass balance procedure is used to determine CO</w:t>
            </w:r>
            <w:r w:rsidRPr="000238A7">
              <w:rPr>
                <w:rFonts w:cstheme="minorHAnsi"/>
                <w:sz w:val="20"/>
                <w:szCs w:val="20"/>
                <w:vertAlign w:val="subscript"/>
              </w:rPr>
              <w:t>2</w:t>
            </w:r>
            <w:r w:rsidRPr="000238A7">
              <w:rPr>
                <w:rFonts w:cstheme="minorHAnsi"/>
                <w:sz w:val="20"/>
                <w:szCs w:val="20"/>
              </w:rPr>
              <w:t xml:space="preserve"> emissions according to the requirements in § 98.503(b)(2), number of calcium carbide process unit operating hours each month.</w:t>
            </w:r>
          </w:p>
        </w:tc>
      </w:tr>
      <w:tr w14:paraId="0F3E894B" w14:textId="77777777" w:rsidTr="004863F4">
        <w:tblPrEx>
          <w:tblW w:w="9625" w:type="dxa"/>
          <w:tblLook w:val="04A0"/>
        </w:tblPrEx>
        <w:trPr>
          <w:trHeight w:val="563"/>
        </w:trPr>
        <w:tc>
          <w:tcPr>
            <w:tcW w:w="1526" w:type="dxa"/>
            <w:vMerge/>
          </w:tcPr>
          <w:p w:rsidR="009646B0" w:rsidRPr="000238A7" w:rsidP="004863F4" w14:paraId="75B8DD12" w14:textId="77777777">
            <w:pPr>
              <w:pStyle w:val="BodyText"/>
              <w:spacing w:after="0"/>
              <w:rPr>
                <w:rFonts w:asciiTheme="minorHAnsi" w:hAnsiTheme="minorHAnsi" w:cstheme="minorHAnsi"/>
                <w:sz w:val="20"/>
                <w:szCs w:val="20"/>
              </w:rPr>
            </w:pPr>
          </w:p>
        </w:tc>
        <w:tc>
          <w:tcPr>
            <w:tcW w:w="8099" w:type="dxa"/>
          </w:tcPr>
          <w:p w:rsidR="009646B0" w:rsidRPr="000238A7" w:rsidP="004863F4" w14:paraId="5005F2C0" w14:textId="77777777">
            <w:pPr>
              <w:spacing w:before="100" w:beforeAutospacing="1" w:after="100" w:afterAutospacing="1"/>
              <w:rPr>
                <w:rFonts w:cstheme="minorHAnsi"/>
                <w:sz w:val="20"/>
                <w:szCs w:val="20"/>
              </w:rPr>
            </w:pPr>
            <w:r w:rsidRPr="000238A7">
              <w:rPr>
                <w:rFonts w:cstheme="minorHAnsi"/>
                <w:sz w:val="20"/>
                <w:szCs w:val="20"/>
              </w:rPr>
              <w:t>If the carbon mass balance procedure is used to determine CO</w:t>
            </w:r>
            <w:r w:rsidRPr="000238A7">
              <w:rPr>
                <w:rFonts w:cstheme="minorHAnsi"/>
                <w:sz w:val="20"/>
                <w:szCs w:val="20"/>
                <w:vertAlign w:val="subscript"/>
              </w:rPr>
              <w:t>2</w:t>
            </w:r>
            <w:r w:rsidRPr="000238A7">
              <w:rPr>
                <w:rFonts w:cstheme="minorHAnsi"/>
                <w:sz w:val="20"/>
                <w:szCs w:val="20"/>
              </w:rPr>
              <w:t xml:space="preserve"> emissions according to the requirements in § 98.503(b)(2), number of calcium carbide process unit operating hours in a calendar year.</w:t>
            </w:r>
          </w:p>
        </w:tc>
      </w:tr>
      <w:tr w14:paraId="6C27A2D0" w14:textId="77777777" w:rsidTr="004863F4">
        <w:tblPrEx>
          <w:tblW w:w="9625" w:type="dxa"/>
          <w:tblLook w:val="04A0"/>
        </w:tblPrEx>
        <w:trPr>
          <w:trHeight w:val="563"/>
        </w:trPr>
        <w:tc>
          <w:tcPr>
            <w:tcW w:w="1526" w:type="dxa"/>
            <w:vMerge/>
          </w:tcPr>
          <w:p w:rsidR="009646B0" w:rsidRPr="000238A7" w:rsidP="004863F4" w14:paraId="6D25B80B" w14:textId="77777777">
            <w:pPr>
              <w:pStyle w:val="BodyText"/>
              <w:spacing w:after="0"/>
              <w:rPr>
                <w:rFonts w:asciiTheme="minorHAnsi" w:hAnsiTheme="minorHAnsi" w:cstheme="minorHAnsi"/>
                <w:sz w:val="20"/>
                <w:szCs w:val="20"/>
              </w:rPr>
            </w:pPr>
          </w:p>
        </w:tc>
        <w:tc>
          <w:tcPr>
            <w:tcW w:w="8099" w:type="dxa"/>
          </w:tcPr>
          <w:p w:rsidR="009646B0" w:rsidRPr="000238A7" w:rsidP="004863F4" w14:paraId="5B1267DE" w14:textId="77777777">
            <w:pPr>
              <w:spacing w:before="100" w:beforeAutospacing="1" w:after="100" w:afterAutospacing="1"/>
              <w:rPr>
                <w:rFonts w:cstheme="minorHAnsi"/>
                <w:sz w:val="20"/>
                <w:szCs w:val="20"/>
              </w:rPr>
            </w:pPr>
            <w:r w:rsidRPr="000238A7">
              <w:rPr>
                <w:rFonts w:cstheme="minorHAnsi"/>
                <w:sz w:val="20"/>
                <w:szCs w:val="20"/>
              </w:rPr>
              <w:t>If the carbon mass balance procedure is used to determine CO</w:t>
            </w:r>
            <w:r w:rsidRPr="000238A7">
              <w:rPr>
                <w:rFonts w:cstheme="minorHAnsi"/>
                <w:sz w:val="20"/>
                <w:szCs w:val="20"/>
                <w:vertAlign w:val="subscript"/>
              </w:rPr>
              <w:t>2</w:t>
            </w:r>
            <w:r w:rsidRPr="000238A7">
              <w:rPr>
                <w:rFonts w:cstheme="minorHAnsi"/>
                <w:sz w:val="20"/>
                <w:szCs w:val="20"/>
              </w:rPr>
              <w:t xml:space="preserve"> emissions according to the requirements in § 98.503(b)(2), monthly material quantity consumed, used, or produced for each material included for the calculations of annual process CO</w:t>
            </w:r>
            <w:r w:rsidRPr="000238A7">
              <w:rPr>
                <w:rFonts w:cstheme="minorHAnsi"/>
                <w:sz w:val="20"/>
                <w:szCs w:val="20"/>
                <w:vertAlign w:val="subscript"/>
              </w:rPr>
              <w:t>2</w:t>
            </w:r>
            <w:r w:rsidRPr="000238A7">
              <w:rPr>
                <w:rFonts w:cstheme="minorHAnsi"/>
                <w:sz w:val="20"/>
                <w:szCs w:val="20"/>
              </w:rPr>
              <w:t xml:space="preserve"> emissions (tons).</w:t>
            </w:r>
          </w:p>
        </w:tc>
      </w:tr>
      <w:tr w14:paraId="5F257793" w14:textId="77777777" w:rsidTr="004863F4">
        <w:tblPrEx>
          <w:tblW w:w="9625" w:type="dxa"/>
          <w:tblLook w:val="04A0"/>
        </w:tblPrEx>
        <w:trPr>
          <w:trHeight w:val="563"/>
        </w:trPr>
        <w:tc>
          <w:tcPr>
            <w:tcW w:w="1526" w:type="dxa"/>
            <w:vMerge/>
          </w:tcPr>
          <w:p w:rsidR="009646B0" w:rsidRPr="000238A7" w:rsidP="004863F4" w14:paraId="479DE65F" w14:textId="77777777">
            <w:pPr>
              <w:pStyle w:val="BodyText"/>
              <w:spacing w:after="0"/>
              <w:rPr>
                <w:rFonts w:asciiTheme="minorHAnsi" w:hAnsiTheme="minorHAnsi" w:cstheme="minorHAnsi"/>
                <w:sz w:val="20"/>
                <w:szCs w:val="20"/>
              </w:rPr>
            </w:pPr>
          </w:p>
        </w:tc>
        <w:tc>
          <w:tcPr>
            <w:tcW w:w="8099" w:type="dxa"/>
          </w:tcPr>
          <w:p w:rsidR="009646B0" w:rsidRPr="000238A7" w:rsidP="004863F4" w14:paraId="0F9B9811" w14:textId="77777777">
            <w:pPr>
              <w:spacing w:before="100" w:beforeAutospacing="1" w:after="100" w:afterAutospacing="1"/>
              <w:rPr>
                <w:rFonts w:cstheme="minorHAnsi"/>
                <w:sz w:val="20"/>
                <w:szCs w:val="20"/>
              </w:rPr>
            </w:pPr>
            <w:r w:rsidRPr="000238A7">
              <w:rPr>
                <w:rFonts w:cstheme="minorHAnsi"/>
                <w:sz w:val="20"/>
                <w:szCs w:val="20"/>
              </w:rPr>
              <w:t>If the carbon mass balance procedure is used to determine CO</w:t>
            </w:r>
            <w:r w:rsidRPr="000238A7">
              <w:rPr>
                <w:rFonts w:cstheme="minorHAnsi"/>
                <w:sz w:val="20"/>
                <w:szCs w:val="20"/>
                <w:vertAlign w:val="subscript"/>
              </w:rPr>
              <w:t>2</w:t>
            </w:r>
            <w:r w:rsidRPr="000238A7">
              <w:rPr>
                <w:rFonts w:cstheme="minorHAnsi"/>
                <w:sz w:val="20"/>
                <w:szCs w:val="20"/>
              </w:rPr>
              <w:t xml:space="preserve"> emissions according to the requirements in § 98.503(b)(2), average carbon content determined and records of the supplier provided information or analyses used for the determination for each material included for the calculations of annual process CO</w:t>
            </w:r>
            <w:r w:rsidRPr="000238A7">
              <w:rPr>
                <w:rFonts w:cstheme="minorHAnsi"/>
                <w:sz w:val="20"/>
                <w:szCs w:val="20"/>
                <w:vertAlign w:val="subscript"/>
              </w:rPr>
              <w:t>2</w:t>
            </w:r>
            <w:r w:rsidRPr="000238A7">
              <w:rPr>
                <w:rFonts w:cstheme="minorHAnsi"/>
                <w:sz w:val="20"/>
                <w:szCs w:val="20"/>
              </w:rPr>
              <w:t xml:space="preserve"> emissions.</w:t>
            </w:r>
          </w:p>
        </w:tc>
      </w:tr>
      <w:tr w14:paraId="66BBB9A8" w14:textId="77777777" w:rsidTr="004863F4">
        <w:tblPrEx>
          <w:tblW w:w="9625" w:type="dxa"/>
          <w:tblLook w:val="04A0"/>
        </w:tblPrEx>
        <w:trPr>
          <w:trHeight w:val="563"/>
        </w:trPr>
        <w:tc>
          <w:tcPr>
            <w:tcW w:w="1526" w:type="dxa"/>
            <w:vMerge/>
          </w:tcPr>
          <w:p w:rsidR="009646B0" w:rsidRPr="000238A7" w:rsidP="004863F4" w14:paraId="3B693378" w14:textId="77777777">
            <w:pPr>
              <w:pStyle w:val="BodyText"/>
              <w:spacing w:after="0"/>
              <w:rPr>
                <w:rFonts w:asciiTheme="minorHAnsi" w:hAnsiTheme="minorHAnsi" w:cstheme="minorHAnsi"/>
                <w:sz w:val="20"/>
                <w:szCs w:val="20"/>
              </w:rPr>
            </w:pPr>
          </w:p>
        </w:tc>
        <w:tc>
          <w:tcPr>
            <w:tcW w:w="8099" w:type="dxa"/>
          </w:tcPr>
          <w:p w:rsidR="009646B0" w:rsidRPr="000238A7" w:rsidP="004863F4" w14:paraId="4DE8601B" w14:textId="7A5B2B30">
            <w:pPr>
              <w:spacing w:before="100" w:beforeAutospacing="1" w:after="100" w:afterAutospacing="1"/>
              <w:rPr>
                <w:rFonts w:cstheme="minorHAnsi"/>
                <w:sz w:val="20"/>
                <w:szCs w:val="20"/>
              </w:rPr>
            </w:pPr>
            <w:r w:rsidRPr="000238A7">
              <w:rPr>
                <w:rFonts w:cstheme="minorHAnsi"/>
                <w:sz w:val="20"/>
                <w:szCs w:val="20"/>
              </w:rPr>
              <w:t xml:space="preserve">Records that include a detailed explanation of how company records of measurements are used to estimate the carbon input and output to each calcium carbide process unit, including </w:t>
            </w:r>
            <w:r w:rsidRPr="000238A7">
              <w:rPr>
                <w:rFonts w:cstheme="minorHAnsi"/>
                <w:sz w:val="20"/>
                <w:szCs w:val="20"/>
              </w:rPr>
              <w:t xml:space="preserve">documentation of specific input or output materials excluded from </w:t>
            </w:r>
            <w:r w:rsidRPr="000238A7" w:rsidR="0054083B">
              <w:rPr>
                <w:rFonts w:cstheme="minorHAnsi"/>
                <w:sz w:val="20"/>
                <w:szCs w:val="20"/>
              </w:rPr>
              <w:t>equation 1 to § 98.503(b)(1)</w:t>
            </w:r>
            <w:r w:rsidRPr="000238A7">
              <w:rPr>
                <w:rFonts w:cstheme="minorHAnsi"/>
                <w:sz w:val="20"/>
                <w:szCs w:val="20"/>
              </w:rPr>
              <w:t xml:space="preserve"> that contribute less than 1 percent of the total carbon into or out of the process. Records documenting the procedures used to ensure the accuracy of the measurements of materials fed, charged, or placed in a calcium carbide process unit including, but not limited to, calibration of weighing equipment and other measurement devices; the estimated accuracy of measurements made with these devices; and the technical basis of the estimates.</w:t>
            </w:r>
          </w:p>
        </w:tc>
      </w:tr>
      <w:tr w14:paraId="2A61A767" w14:textId="77777777" w:rsidTr="004863F4">
        <w:tblPrEx>
          <w:tblW w:w="9625" w:type="dxa"/>
          <w:tblLook w:val="04A0"/>
        </w:tblPrEx>
        <w:trPr>
          <w:trHeight w:val="563"/>
        </w:trPr>
        <w:tc>
          <w:tcPr>
            <w:tcW w:w="1526" w:type="dxa"/>
            <w:vMerge/>
          </w:tcPr>
          <w:p w:rsidR="009646B0" w:rsidRPr="000238A7" w:rsidP="004863F4" w14:paraId="4ACE57AB" w14:textId="77777777">
            <w:pPr>
              <w:pStyle w:val="BodyText"/>
              <w:spacing w:after="0"/>
              <w:rPr>
                <w:rFonts w:asciiTheme="minorHAnsi" w:hAnsiTheme="minorHAnsi" w:cstheme="minorHAnsi"/>
                <w:sz w:val="20"/>
                <w:szCs w:val="20"/>
              </w:rPr>
            </w:pPr>
          </w:p>
        </w:tc>
        <w:tc>
          <w:tcPr>
            <w:tcW w:w="8099" w:type="dxa"/>
          </w:tcPr>
          <w:p w:rsidR="009646B0" w:rsidRPr="000238A7" w:rsidP="004863F4" w14:paraId="69061BB4" w14:textId="0C654FA7">
            <w:pPr>
              <w:spacing w:before="100" w:beforeAutospacing="1" w:after="100" w:afterAutospacing="1"/>
              <w:rPr>
                <w:rFonts w:cstheme="minorHAnsi"/>
                <w:sz w:val="20"/>
                <w:szCs w:val="20"/>
              </w:rPr>
            </w:pPr>
            <w:r w:rsidRPr="000238A7">
              <w:rPr>
                <w:rFonts w:cstheme="minorHAnsi"/>
                <w:sz w:val="20"/>
                <w:szCs w:val="20"/>
              </w:rPr>
              <w:t>A record of the file generated by the verification software specified in § 98.5(b) for carbon content in reducing agent (percent by weight, expressed as a decimal fraction) (Equation 1 of § 98.503).</w:t>
            </w:r>
          </w:p>
        </w:tc>
      </w:tr>
      <w:tr w14:paraId="4F061CE5" w14:textId="77777777" w:rsidTr="004863F4">
        <w:tblPrEx>
          <w:tblW w:w="9625" w:type="dxa"/>
          <w:tblLook w:val="04A0"/>
        </w:tblPrEx>
        <w:trPr>
          <w:trHeight w:val="563"/>
        </w:trPr>
        <w:tc>
          <w:tcPr>
            <w:tcW w:w="1526" w:type="dxa"/>
            <w:vMerge/>
          </w:tcPr>
          <w:p w:rsidR="009646B0" w:rsidRPr="000238A7" w:rsidP="004863F4" w14:paraId="7F5FDA2E" w14:textId="77777777">
            <w:pPr>
              <w:pStyle w:val="BodyText"/>
              <w:spacing w:after="0"/>
              <w:rPr>
                <w:rFonts w:asciiTheme="minorHAnsi" w:hAnsiTheme="minorHAnsi" w:cstheme="minorHAnsi"/>
                <w:sz w:val="20"/>
                <w:szCs w:val="20"/>
              </w:rPr>
            </w:pPr>
          </w:p>
        </w:tc>
        <w:tc>
          <w:tcPr>
            <w:tcW w:w="8099" w:type="dxa"/>
          </w:tcPr>
          <w:p w:rsidR="009646B0" w:rsidRPr="000238A7" w:rsidP="004863F4" w14:paraId="1B4206A8" w14:textId="4286D702">
            <w:pPr>
              <w:spacing w:before="100" w:beforeAutospacing="1" w:after="100" w:afterAutospacing="1"/>
              <w:rPr>
                <w:rFonts w:cstheme="minorHAnsi"/>
                <w:sz w:val="20"/>
                <w:szCs w:val="20"/>
              </w:rPr>
            </w:pPr>
            <w:r w:rsidRPr="000238A7">
              <w:rPr>
                <w:rFonts w:cstheme="minorHAnsi"/>
                <w:sz w:val="20"/>
                <w:szCs w:val="20"/>
              </w:rPr>
              <w:t>A record of the file generated by the verification software specified in § 98.5(b) for annual mass of reducing agent fed, charged, or otherwise introduced into the calcium carbide process unit (tons) (</w:t>
            </w:r>
            <w:r w:rsidRPr="000238A7" w:rsidR="00BD5F8C">
              <w:rPr>
                <w:rFonts w:cstheme="minorHAnsi"/>
                <w:sz w:val="20"/>
                <w:szCs w:val="20"/>
              </w:rPr>
              <w:t>e</w:t>
            </w:r>
            <w:r w:rsidRPr="000238A7">
              <w:rPr>
                <w:rFonts w:cstheme="minorHAnsi"/>
                <w:sz w:val="20"/>
                <w:szCs w:val="20"/>
              </w:rPr>
              <w:t xml:space="preserve">quation 1 </w:t>
            </w:r>
            <w:r w:rsidRPr="000238A7" w:rsidR="00BD5F8C">
              <w:rPr>
                <w:rFonts w:cstheme="minorHAnsi"/>
                <w:sz w:val="20"/>
                <w:szCs w:val="20"/>
              </w:rPr>
              <w:t>to</w:t>
            </w:r>
            <w:r w:rsidRPr="000238A7">
              <w:rPr>
                <w:rFonts w:cstheme="minorHAnsi"/>
                <w:sz w:val="20"/>
                <w:szCs w:val="20"/>
              </w:rPr>
              <w:t xml:space="preserve"> § 98.503</w:t>
            </w:r>
            <w:r w:rsidRPr="000238A7" w:rsidR="00BD5F8C">
              <w:rPr>
                <w:rFonts w:cstheme="minorHAnsi"/>
                <w:sz w:val="20"/>
                <w:szCs w:val="20"/>
              </w:rPr>
              <w:t>(b)(1)</w:t>
            </w:r>
            <w:r w:rsidRPr="000238A7">
              <w:rPr>
                <w:rFonts w:cstheme="minorHAnsi"/>
                <w:sz w:val="20"/>
                <w:szCs w:val="20"/>
              </w:rPr>
              <w:t>).</w:t>
            </w:r>
          </w:p>
        </w:tc>
      </w:tr>
      <w:tr w14:paraId="23033B13" w14:textId="77777777" w:rsidTr="004863F4">
        <w:tblPrEx>
          <w:tblW w:w="9625" w:type="dxa"/>
          <w:tblLook w:val="04A0"/>
        </w:tblPrEx>
        <w:trPr>
          <w:trHeight w:val="563"/>
        </w:trPr>
        <w:tc>
          <w:tcPr>
            <w:tcW w:w="1526" w:type="dxa"/>
            <w:vMerge/>
          </w:tcPr>
          <w:p w:rsidR="009646B0" w:rsidRPr="000238A7" w:rsidP="004863F4" w14:paraId="388F4A12" w14:textId="77777777">
            <w:pPr>
              <w:pStyle w:val="BodyText"/>
              <w:spacing w:after="0"/>
              <w:rPr>
                <w:rFonts w:asciiTheme="minorHAnsi" w:hAnsiTheme="minorHAnsi" w:cstheme="minorHAnsi"/>
                <w:sz w:val="20"/>
                <w:szCs w:val="20"/>
              </w:rPr>
            </w:pPr>
          </w:p>
        </w:tc>
        <w:tc>
          <w:tcPr>
            <w:tcW w:w="8099" w:type="dxa"/>
          </w:tcPr>
          <w:p w:rsidR="009646B0" w:rsidRPr="000238A7" w:rsidP="004863F4" w14:paraId="6C1955F3" w14:textId="66FEFA3A">
            <w:pPr>
              <w:spacing w:before="100" w:beforeAutospacing="1" w:after="100" w:afterAutospacing="1"/>
              <w:rPr>
                <w:rFonts w:cstheme="minorHAnsi"/>
                <w:sz w:val="20"/>
                <w:szCs w:val="20"/>
              </w:rPr>
            </w:pPr>
            <w:r w:rsidRPr="000238A7">
              <w:rPr>
                <w:rFonts w:cstheme="minorHAnsi"/>
                <w:sz w:val="20"/>
                <w:szCs w:val="20"/>
              </w:rPr>
              <w:t>A record of the file generated by the verification software specified in § 98.5(b) for carbon content of carbon electrode (percent by weight, expressed as a decimal fraction) (</w:t>
            </w:r>
            <w:r w:rsidRPr="000238A7" w:rsidR="00BD5F8C">
              <w:rPr>
                <w:rFonts w:cstheme="minorHAnsi"/>
                <w:sz w:val="20"/>
                <w:szCs w:val="20"/>
              </w:rPr>
              <w:t>equation</w:t>
            </w:r>
            <w:r w:rsidRPr="000238A7">
              <w:rPr>
                <w:rFonts w:cstheme="minorHAnsi"/>
                <w:sz w:val="20"/>
                <w:szCs w:val="20"/>
              </w:rPr>
              <w:t xml:space="preserve"> 1 </w:t>
            </w:r>
            <w:r w:rsidRPr="000238A7" w:rsidR="00BD5F8C">
              <w:rPr>
                <w:rFonts w:cstheme="minorHAnsi"/>
                <w:sz w:val="20"/>
                <w:szCs w:val="20"/>
              </w:rPr>
              <w:t>to</w:t>
            </w:r>
            <w:r w:rsidRPr="000238A7">
              <w:rPr>
                <w:rFonts w:cstheme="minorHAnsi"/>
                <w:sz w:val="20"/>
                <w:szCs w:val="20"/>
              </w:rPr>
              <w:t xml:space="preserve"> § 98.503</w:t>
            </w:r>
            <w:r w:rsidRPr="000238A7" w:rsidR="00BD5F8C">
              <w:rPr>
                <w:rFonts w:cstheme="minorHAnsi"/>
                <w:sz w:val="20"/>
                <w:szCs w:val="20"/>
              </w:rPr>
              <w:t>(b)(1)</w:t>
            </w:r>
            <w:r w:rsidRPr="000238A7">
              <w:rPr>
                <w:rFonts w:cstheme="minorHAnsi"/>
                <w:sz w:val="20"/>
                <w:szCs w:val="20"/>
              </w:rPr>
              <w:t>).</w:t>
            </w:r>
          </w:p>
        </w:tc>
      </w:tr>
      <w:tr w14:paraId="404E3099" w14:textId="77777777" w:rsidTr="004863F4">
        <w:tblPrEx>
          <w:tblW w:w="9625" w:type="dxa"/>
          <w:tblLook w:val="04A0"/>
        </w:tblPrEx>
        <w:trPr>
          <w:trHeight w:val="563"/>
        </w:trPr>
        <w:tc>
          <w:tcPr>
            <w:tcW w:w="1526" w:type="dxa"/>
            <w:vMerge/>
          </w:tcPr>
          <w:p w:rsidR="009646B0" w:rsidRPr="000238A7" w:rsidP="004863F4" w14:paraId="4DFDFBAD" w14:textId="77777777">
            <w:pPr>
              <w:pStyle w:val="BodyText"/>
              <w:spacing w:after="0"/>
              <w:rPr>
                <w:rFonts w:asciiTheme="minorHAnsi" w:hAnsiTheme="minorHAnsi" w:cstheme="minorHAnsi"/>
                <w:sz w:val="20"/>
                <w:szCs w:val="20"/>
              </w:rPr>
            </w:pPr>
          </w:p>
        </w:tc>
        <w:tc>
          <w:tcPr>
            <w:tcW w:w="8099" w:type="dxa"/>
          </w:tcPr>
          <w:p w:rsidR="009646B0" w:rsidRPr="000238A7" w:rsidP="004863F4" w14:paraId="23AD0965" w14:textId="560A81C9">
            <w:pPr>
              <w:spacing w:before="100" w:beforeAutospacing="1" w:after="100" w:afterAutospacing="1"/>
              <w:rPr>
                <w:rFonts w:cstheme="minorHAnsi"/>
                <w:sz w:val="20"/>
                <w:szCs w:val="20"/>
              </w:rPr>
            </w:pPr>
            <w:r w:rsidRPr="000238A7">
              <w:rPr>
                <w:rFonts w:cstheme="minorHAnsi"/>
                <w:sz w:val="20"/>
                <w:szCs w:val="20"/>
              </w:rPr>
              <w:t>A record of the file generated by the verification software specified in § 98.5(b) for annual mass of carbon electrode consumed in the calcium carbide process unit (tons) (</w:t>
            </w:r>
            <w:r w:rsidRPr="000238A7" w:rsidR="00BD5F8C">
              <w:rPr>
                <w:rFonts w:cstheme="minorHAnsi"/>
                <w:sz w:val="20"/>
                <w:szCs w:val="20"/>
              </w:rPr>
              <w:t>equation</w:t>
            </w:r>
            <w:r w:rsidRPr="000238A7">
              <w:rPr>
                <w:rFonts w:cstheme="minorHAnsi"/>
                <w:sz w:val="20"/>
                <w:szCs w:val="20"/>
              </w:rPr>
              <w:t xml:space="preserve"> 1 </w:t>
            </w:r>
            <w:r w:rsidRPr="000238A7" w:rsidR="00BD5F8C">
              <w:rPr>
                <w:rFonts w:cstheme="minorHAnsi"/>
                <w:sz w:val="20"/>
                <w:szCs w:val="20"/>
              </w:rPr>
              <w:t>to</w:t>
            </w:r>
            <w:r w:rsidRPr="000238A7">
              <w:rPr>
                <w:rFonts w:cstheme="minorHAnsi"/>
                <w:sz w:val="20"/>
                <w:szCs w:val="20"/>
              </w:rPr>
              <w:t xml:space="preserve"> § 98.503</w:t>
            </w:r>
            <w:r w:rsidRPr="000238A7" w:rsidR="00BD5F8C">
              <w:rPr>
                <w:rFonts w:cstheme="minorHAnsi"/>
                <w:sz w:val="20"/>
                <w:szCs w:val="20"/>
              </w:rPr>
              <w:t>(b)(1)</w:t>
            </w:r>
            <w:r w:rsidRPr="000238A7">
              <w:rPr>
                <w:rFonts w:cstheme="minorHAnsi"/>
                <w:sz w:val="20"/>
                <w:szCs w:val="20"/>
              </w:rPr>
              <w:t>).</w:t>
            </w:r>
          </w:p>
        </w:tc>
      </w:tr>
      <w:tr w14:paraId="349FF56F" w14:textId="77777777" w:rsidTr="004863F4">
        <w:tblPrEx>
          <w:tblW w:w="9625" w:type="dxa"/>
          <w:tblLook w:val="04A0"/>
        </w:tblPrEx>
        <w:trPr>
          <w:trHeight w:val="563"/>
        </w:trPr>
        <w:tc>
          <w:tcPr>
            <w:tcW w:w="1526" w:type="dxa"/>
            <w:vMerge/>
          </w:tcPr>
          <w:p w:rsidR="009646B0" w:rsidRPr="000238A7" w:rsidP="004863F4" w14:paraId="12AB2D4F" w14:textId="77777777">
            <w:pPr>
              <w:pStyle w:val="BodyText"/>
              <w:spacing w:after="0"/>
              <w:rPr>
                <w:rFonts w:asciiTheme="minorHAnsi" w:hAnsiTheme="minorHAnsi" w:cstheme="minorHAnsi"/>
                <w:sz w:val="20"/>
                <w:szCs w:val="20"/>
              </w:rPr>
            </w:pPr>
          </w:p>
        </w:tc>
        <w:tc>
          <w:tcPr>
            <w:tcW w:w="8099" w:type="dxa"/>
          </w:tcPr>
          <w:p w:rsidR="009646B0" w:rsidRPr="000238A7" w:rsidP="004863F4" w14:paraId="4BF5ED5D" w14:textId="66C9785D">
            <w:pPr>
              <w:spacing w:before="100" w:beforeAutospacing="1" w:after="100" w:afterAutospacing="1"/>
              <w:rPr>
                <w:rFonts w:cstheme="minorHAnsi"/>
                <w:sz w:val="20"/>
                <w:szCs w:val="20"/>
              </w:rPr>
            </w:pPr>
            <w:r w:rsidRPr="000238A7">
              <w:rPr>
                <w:rFonts w:cstheme="minorHAnsi"/>
                <w:sz w:val="20"/>
                <w:szCs w:val="20"/>
              </w:rPr>
              <w:t>A record of the file generated by the verification software specified in § 98.5(b) for carbon content in product (percent by weight, expressed as a decimal fraction) (</w:t>
            </w:r>
            <w:r w:rsidRPr="000238A7" w:rsidR="00BD5F8C">
              <w:rPr>
                <w:rFonts w:cstheme="minorHAnsi"/>
                <w:sz w:val="20"/>
                <w:szCs w:val="20"/>
              </w:rPr>
              <w:t>equation</w:t>
            </w:r>
            <w:r w:rsidRPr="000238A7">
              <w:rPr>
                <w:rFonts w:cstheme="minorHAnsi"/>
                <w:sz w:val="20"/>
                <w:szCs w:val="20"/>
              </w:rPr>
              <w:t xml:space="preserve"> 1 </w:t>
            </w:r>
            <w:r w:rsidRPr="000238A7" w:rsidR="00BD5F8C">
              <w:rPr>
                <w:rFonts w:cstheme="minorHAnsi"/>
                <w:sz w:val="20"/>
                <w:szCs w:val="20"/>
              </w:rPr>
              <w:t>to</w:t>
            </w:r>
            <w:r w:rsidRPr="000238A7">
              <w:rPr>
                <w:rFonts w:cstheme="minorHAnsi"/>
                <w:sz w:val="20"/>
                <w:szCs w:val="20"/>
              </w:rPr>
              <w:t xml:space="preserve"> § 98.503</w:t>
            </w:r>
            <w:r w:rsidRPr="000238A7" w:rsidR="00BD5F8C">
              <w:rPr>
                <w:rFonts w:cstheme="minorHAnsi"/>
                <w:sz w:val="20"/>
                <w:szCs w:val="20"/>
              </w:rPr>
              <w:t>(b)(1)</w:t>
            </w:r>
            <w:r w:rsidRPr="000238A7">
              <w:rPr>
                <w:rFonts w:cstheme="minorHAnsi"/>
                <w:sz w:val="20"/>
                <w:szCs w:val="20"/>
              </w:rPr>
              <w:t>).</w:t>
            </w:r>
          </w:p>
        </w:tc>
      </w:tr>
      <w:tr w14:paraId="4C0C4B9E" w14:textId="77777777" w:rsidTr="004863F4">
        <w:tblPrEx>
          <w:tblW w:w="9625" w:type="dxa"/>
          <w:tblLook w:val="04A0"/>
        </w:tblPrEx>
        <w:trPr>
          <w:trHeight w:val="563"/>
        </w:trPr>
        <w:tc>
          <w:tcPr>
            <w:tcW w:w="1526" w:type="dxa"/>
            <w:vMerge/>
          </w:tcPr>
          <w:p w:rsidR="009646B0" w:rsidRPr="000238A7" w:rsidP="004863F4" w14:paraId="77976555" w14:textId="77777777">
            <w:pPr>
              <w:pStyle w:val="BodyText"/>
              <w:spacing w:after="0"/>
              <w:rPr>
                <w:rFonts w:asciiTheme="minorHAnsi" w:hAnsiTheme="minorHAnsi" w:cstheme="minorHAnsi"/>
                <w:sz w:val="20"/>
                <w:szCs w:val="20"/>
              </w:rPr>
            </w:pPr>
          </w:p>
        </w:tc>
        <w:tc>
          <w:tcPr>
            <w:tcW w:w="8099" w:type="dxa"/>
          </w:tcPr>
          <w:p w:rsidR="009646B0" w:rsidRPr="000238A7" w:rsidP="004863F4" w14:paraId="06176F0F" w14:textId="01113989">
            <w:pPr>
              <w:spacing w:before="100" w:beforeAutospacing="1" w:after="100" w:afterAutospacing="1"/>
              <w:rPr>
                <w:rFonts w:cstheme="minorHAnsi"/>
                <w:sz w:val="20"/>
                <w:szCs w:val="20"/>
              </w:rPr>
            </w:pPr>
            <w:r w:rsidRPr="000238A7">
              <w:rPr>
                <w:rFonts w:cstheme="minorHAnsi"/>
                <w:sz w:val="20"/>
                <w:szCs w:val="20"/>
              </w:rPr>
              <w:t>A record of the file generated by the verification software specified in § 98.5(b) for annual mass of product produced/tapped in the calcium carbide process unit (tons) (</w:t>
            </w:r>
            <w:r w:rsidRPr="000238A7" w:rsidR="00BD5F8C">
              <w:rPr>
                <w:rFonts w:cstheme="minorHAnsi"/>
                <w:sz w:val="20"/>
                <w:szCs w:val="20"/>
              </w:rPr>
              <w:t>equation</w:t>
            </w:r>
            <w:r w:rsidRPr="000238A7">
              <w:rPr>
                <w:rFonts w:cstheme="minorHAnsi"/>
                <w:sz w:val="20"/>
                <w:szCs w:val="20"/>
              </w:rPr>
              <w:t xml:space="preserve"> 1 </w:t>
            </w:r>
            <w:r w:rsidRPr="000238A7" w:rsidR="00BD5F8C">
              <w:rPr>
                <w:rFonts w:cstheme="minorHAnsi"/>
                <w:sz w:val="20"/>
                <w:szCs w:val="20"/>
              </w:rPr>
              <w:t>to</w:t>
            </w:r>
            <w:r w:rsidRPr="000238A7">
              <w:rPr>
                <w:rFonts w:cstheme="minorHAnsi"/>
                <w:sz w:val="20"/>
                <w:szCs w:val="20"/>
              </w:rPr>
              <w:t xml:space="preserve"> § 98.503</w:t>
            </w:r>
            <w:r w:rsidRPr="000238A7" w:rsidR="00BD5F8C">
              <w:rPr>
                <w:rFonts w:cstheme="minorHAnsi"/>
                <w:sz w:val="20"/>
                <w:szCs w:val="20"/>
              </w:rPr>
              <w:t>(b)(1)</w:t>
            </w:r>
            <w:r w:rsidRPr="000238A7">
              <w:rPr>
                <w:rFonts w:cstheme="minorHAnsi"/>
                <w:sz w:val="20"/>
                <w:szCs w:val="20"/>
              </w:rPr>
              <w:t>).</w:t>
            </w:r>
          </w:p>
        </w:tc>
      </w:tr>
      <w:tr w14:paraId="220A90A4" w14:textId="77777777" w:rsidTr="004863F4">
        <w:tblPrEx>
          <w:tblW w:w="9625" w:type="dxa"/>
          <w:tblLook w:val="04A0"/>
        </w:tblPrEx>
        <w:trPr>
          <w:trHeight w:val="563"/>
        </w:trPr>
        <w:tc>
          <w:tcPr>
            <w:tcW w:w="1526" w:type="dxa"/>
            <w:vMerge/>
          </w:tcPr>
          <w:p w:rsidR="009646B0" w:rsidRPr="000238A7" w:rsidP="004863F4" w14:paraId="0EBDDCF2" w14:textId="77777777">
            <w:pPr>
              <w:pStyle w:val="BodyText"/>
              <w:spacing w:after="0"/>
              <w:rPr>
                <w:rFonts w:asciiTheme="minorHAnsi" w:hAnsiTheme="minorHAnsi" w:cstheme="minorHAnsi"/>
                <w:sz w:val="20"/>
                <w:szCs w:val="20"/>
              </w:rPr>
            </w:pPr>
          </w:p>
        </w:tc>
        <w:tc>
          <w:tcPr>
            <w:tcW w:w="8099" w:type="dxa"/>
          </w:tcPr>
          <w:p w:rsidR="009646B0" w:rsidRPr="000238A7" w:rsidP="004863F4" w14:paraId="24D1DCA6" w14:textId="325404B5">
            <w:pPr>
              <w:spacing w:before="100" w:beforeAutospacing="1" w:after="100" w:afterAutospacing="1"/>
              <w:rPr>
                <w:rFonts w:cstheme="minorHAnsi"/>
                <w:sz w:val="20"/>
                <w:szCs w:val="20"/>
              </w:rPr>
            </w:pPr>
            <w:r w:rsidRPr="000238A7">
              <w:rPr>
                <w:rFonts w:cstheme="minorHAnsi"/>
                <w:sz w:val="20"/>
                <w:szCs w:val="20"/>
              </w:rPr>
              <w:t>A record of the file generated by the verification software specified in § 98.5(b) for carbon content in non-product outgoing material (percent by weight, expressed as a decimal fraction) (</w:t>
            </w:r>
            <w:r w:rsidRPr="000238A7" w:rsidR="00BD5F8C">
              <w:rPr>
                <w:rFonts w:cstheme="minorHAnsi"/>
                <w:sz w:val="20"/>
                <w:szCs w:val="20"/>
              </w:rPr>
              <w:t>equation</w:t>
            </w:r>
            <w:r w:rsidRPr="000238A7">
              <w:rPr>
                <w:rFonts w:cstheme="minorHAnsi"/>
                <w:sz w:val="20"/>
                <w:szCs w:val="20"/>
              </w:rPr>
              <w:t xml:space="preserve"> 1 </w:t>
            </w:r>
            <w:r w:rsidRPr="000238A7" w:rsidR="00BD5F8C">
              <w:rPr>
                <w:rFonts w:cstheme="minorHAnsi"/>
                <w:sz w:val="20"/>
                <w:szCs w:val="20"/>
              </w:rPr>
              <w:t>to</w:t>
            </w:r>
            <w:r w:rsidRPr="000238A7">
              <w:rPr>
                <w:rFonts w:cstheme="minorHAnsi"/>
                <w:sz w:val="20"/>
                <w:szCs w:val="20"/>
              </w:rPr>
              <w:t xml:space="preserve"> § 98.503</w:t>
            </w:r>
            <w:r w:rsidRPr="000238A7" w:rsidR="00BD5F8C">
              <w:rPr>
                <w:rFonts w:cstheme="minorHAnsi"/>
                <w:sz w:val="20"/>
                <w:szCs w:val="20"/>
              </w:rPr>
              <w:t>(b)(1)</w:t>
            </w:r>
            <w:r w:rsidRPr="000238A7">
              <w:rPr>
                <w:rFonts w:cstheme="minorHAnsi"/>
                <w:sz w:val="20"/>
                <w:szCs w:val="20"/>
              </w:rPr>
              <w:t>).</w:t>
            </w:r>
          </w:p>
        </w:tc>
      </w:tr>
      <w:tr w14:paraId="4C207821" w14:textId="77777777" w:rsidTr="004863F4">
        <w:tblPrEx>
          <w:tblW w:w="9625" w:type="dxa"/>
          <w:tblLook w:val="04A0"/>
        </w:tblPrEx>
        <w:trPr>
          <w:trHeight w:val="563"/>
        </w:trPr>
        <w:tc>
          <w:tcPr>
            <w:tcW w:w="1526" w:type="dxa"/>
            <w:vMerge/>
          </w:tcPr>
          <w:p w:rsidR="009646B0" w:rsidRPr="000238A7" w:rsidP="004863F4" w14:paraId="0A5BB03C" w14:textId="77777777">
            <w:pPr>
              <w:pStyle w:val="BodyText"/>
              <w:spacing w:after="0"/>
              <w:rPr>
                <w:rFonts w:asciiTheme="minorHAnsi" w:hAnsiTheme="minorHAnsi" w:cstheme="minorHAnsi"/>
                <w:sz w:val="20"/>
                <w:szCs w:val="20"/>
              </w:rPr>
            </w:pPr>
          </w:p>
        </w:tc>
        <w:tc>
          <w:tcPr>
            <w:tcW w:w="8099" w:type="dxa"/>
          </w:tcPr>
          <w:p w:rsidR="009646B0" w:rsidRPr="000238A7" w:rsidP="004863F4" w14:paraId="7A849A4D" w14:textId="03B642B3">
            <w:pPr>
              <w:spacing w:before="100" w:beforeAutospacing="1" w:after="100" w:afterAutospacing="1"/>
              <w:rPr>
                <w:rFonts w:cstheme="minorHAnsi"/>
                <w:sz w:val="20"/>
                <w:szCs w:val="20"/>
              </w:rPr>
            </w:pPr>
            <w:r w:rsidRPr="000238A7">
              <w:rPr>
                <w:rFonts w:cstheme="minorHAnsi"/>
                <w:sz w:val="20"/>
                <w:szCs w:val="20"/>
              </w:rPr>
              <w:t>A record of the file generated by the verification software specified in § 98.5(b) for annual mass of non-product outgoing material removed from calcium carbide process unit (tons) (</w:t>
            </w:r>
            <w:r w:rsidRPr="000238A7" w:rsidR="00BD5F8C">
              <w:rPr>
                <w:rFonts w:cstheme="minorHAnsi"/>
                <w:sz w:val="20"/>
                <w:szCs w:val="20"/>
              </w:rPr>
              <w:t>equation</w:t>
            </w:r>
            <w:r w:rsidRPr="000238A7">
              <w:rPr>
                <w:rFonts w:cstheme="minorHAnsi"/>
                <w:sz w:val="20"/>
                <w:szCs w:val="20"/>
              </w:rPr>
              <w:t xml:space="preserve"> 1 </w:t>
            </w:r>
            <w:r w:rsidRPr="000238A7" w:rsidR="00BD5F8C">
              <w:rPr>
                <w:rFonts w:cstheme="minorHAnsi"/>
                <w:sz w:val="20"/>
                <w:szCs w:val="20"/>
              </w:rPr>
              <w:t>to</w:t>
            </w:r>
            <w:r w:rsidRPr="000238A7">
              <w:rPr>
                <w:rFonts w:cstheme="minorHAnsi"/>
                <w:sz w:val="20"/>
                <w:szCs w:val="20"/>
              </w:rPr>
              <w:t xml:space="preserve"> § 98.503</w:t>
            </w:r>
            <w:r w:rsidRPr="000238A7" w:rsidR="00BD5F8C">
              <w:rPr>
                <w:rFonts w:cstheme="minorHAnsi"/>
                <w:sz w:val="20"/>
                <w:szCs w:val="20"/>
              </w:rPr>
              <w:t>(b)(1)</w:t>
            </w:r>
            <w:r w:rsidRPr="000238A7">
              <w:rPr>
                <w:rFonts w:cstheme="minorHAnsi"/>
                <w:sz w:val="20"/>
                <w:szCs w:val="20"/>
              </w:rPr>
              <w:t>).</w:t>
            </w:r>
          </w:p>
        </w:tc>
      </w:tr>
      <w:tr w14:paraId="65174F6B" w14:textId="77777777" w:rsidTr="004863F4">
        <w:tblPrEx>
          <w:tblW w:w="9625" w:type="dxa"/>
          <w:tblLook w:val="04A0"/>
        </w:tblPrEx>
        <w:trPr>
          <w:trHeight w:val="563"/>
        </w:trPr>
        <w:tc>
          <w:tcPr>
            <w:tcW w:w="1526" w:type="dxa"/>
            <w:vMerge w:val="restart"/>
          </w:tcPr>
          <w:p w:rsidR="009646B0" w:rsidRPr="000238A7" w:rsidP="004863F4" w14:paraId="14AD6315"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YY –  Caprolactam,  Glyoxal, and Glyoxylic Acid Production</w:t>
            </w:r>
          </w:p>
        </w:tc>
        <w:tc>
          <w:tcPr>
            <w:tcW w:w="8099" w:type="dxa"/>
          </w:tcPr>
          <w:p w:rsidR="009646B0" w:rsidRPr="000238A7" w:rsidP="004863F4" w14:paraId="5ABECEFB" w14:textId="77777777">
            <w:pPr>
              <w:spacing w:before="100" w:beforeAutospacing="1" w:after="100" w:afterAutospacing="1"/>
              <w:rPr>
                <w:rFonts w:cstheme="minorHAnsi"/>
                <w:sz w:val="20"/>
                <w:szCs w:val="20"/>
              </w:rPr>
            </w:pPr>
            <w:r w:rsidRPr="000238A7">
              <w:rPr>
                <w:rFonts w:cstheme="minorHAnsi"/>
                <w:sz w:val="20"/>
                <w:szCs w:val="20"/>
              </w:rPr>
              <w:t>Documentation of how accounting procedures were used to estimate production rate.</w:t>
            </w:r>
          </w:p>
        </w:tc>
      </w:tr>
      <w:tr w14:paraId="314A7335" w14:textId="77777777" w:rsidTr="004863F4">
        <w:tblPrEx>
          <w:tblW w:w="9625" w:type="dxa"/>
          <w:tblLook w:val="04A0"/>
        </w:tblPrEx>
        <w:trPr>
          <w:trHeight w:val="563"/>
        </w:trPr>
        <w:tc>
          <w:tcPr>
            <w:tcW w:w="1526" w:type="dxa"/>
            <w:vMerge/>
          </w:tcPr>
          <w:p w:rsidR="009646B0" w:rsidRPr="000238A7" w:rsidP="004863F4" w14:paraId="4A4EACB6" w14:textId="77777777">
            <w:pPr>
              <w:pStyle w:val="BodyText"/>
              <w:spacing w:after="0"/>
              <w:rPr>
                <w:rFonts w:asciiTheme="minorHAnsi" w:hAnsiTheme="minorHAnsi" w:cstheme="minorHAnsi"/>
                <w:sz w:val="20"/>
                <w:szCs w:val="20"/>
              </w:rPr>
            </w:pPr>
          </w:p>
        </w:tc>
        <w:tc>
          <w:tcPr>
            <w:tcW w:w="8099" w:type="dxa"/>
          </w:tcPr>
          <w:p w:rsidR="009646B0" w:rsidRPr="000238A7" w:rsidP="004863F4" w14:paraId="4744B116" w14:textId="77777777">
            <w:pPr>
              <w:spacing w:before="100" w:beforeAutospacing="1" w:after="100" w:afterAutospacing="1"/>
              <w:rPr>
                <w:rFonts w:cstheme="minorHAnsi"/>
                <w:sz w:val="20"/>
                <w:szCs w:val="20"/>
              </w:rPr>
            </w:pPr>
            <w:r w:rsidRPr="000238A7">
              <w:rPr>
                <w:rFonts w:cstheme="minorHAnsi"/>
                <w:sz w:val="20"/>
                <w:szCs w:val="20"/>
              </w:rPr>
              <w:t>Documentation of how process knowledge was used to estimate abatement technology destruction efficiency (if applicable).</w:t>
            </w:r>
          </w:p>
        </w:tc>
      </w:tr>
      <w:tr w14:paraId="286472C7" w14:textId="77777777" w:rsidTr="004863F4">
        <w:tblPrEx>
          <w:tblW w:w="9625" w:type="dxa"/>
          <w:tblLook w:val="04A0"/>
        </w:tblPrEx>
        <w:trPr>
          <w:trHeight w:val="563"/>
        </w:trPr>
        <w:tc>
          <w:tcPr>
            <w:tcW w:w="1526" w:type="dxa"/>
            <w:vMerge/>
          </w:tcPr>
          <w:p w:rsidR="009646B0" w:rsidRPr="000238A7" w:rsidP="004863F4" w14:paraId="10328668" w14:textId="77777777">
            <w:pPr>
              <w:pStyle w:val="BodyText"/>
              <w:spacing w:after="0"/>
              <w:rPr>
                <w:rFonts w:asciiTheme="minorHAnsi" w:hAnsiTheme="minorHAnsi" w:cstheme="minorHAnsi"/>
                <w:sz w:val="20"/>
                <w:szCs w:val="20"/>
              </w:rPr>
            </w:pPr>
          </w:p>
        </w:tc>
        <w:tc>
          <w:tcPr>
            <w:tcW w:w="8099" w:type="dxa"/>
          </w:tcPr>
          <w:p w:rsidR="009646B0" w:rsidRPr="000238A7" w:rsidP="004863F4" w14:paraId="7D5B0890" w14:textId="77777777">
            <w:pPr>
              <w:spacing w:before="100" w:beforeAutospacing="1" w:after="100" w:afterAutospacing="1"/>
              <w:rPr>
                <w:rFonts w:cstheme="minorHAnsi"/>
                <w:sz w:val="20"/>
                <w:szCs w:val="20"/>
              </w:rPr>
            </w:pPr>
            <w:r w:rsidRPr="000238A7">
              <w:rPr>
                <w:rFonts w:cstheme="minorHAnsi"/>
                <w:sz w:val="20"/>
                <w:szCs w:val="20"/>
              </w:rPr>
              <w:t>Documentation of the procedures used to ensure the accuracy of the measurements of all reported parameters, including but not limited to, calibration of weighing equipment, flow meters, and other measurement devices; the estimated accuracy of measurements made with these devices; and the technical basis for these estimates.</w:t>
            </w:r>
          </w:p>
        </w:tc>
      </w:tr>
      <w:tr w14:paraId="33BC79B6" w14:textId="77777777" w:rsidTr="004863F4">
        <w:tblPrEx>
          <w:tblW w:w="9625" w:type="dxa"/>
          <w:tblLook w:val="04A0"/>
        </w:tblPrEx>
        <w:trPr>
          <w:trHeight w:val="563"/>
        </w:trPr>
        <w:tc>
          <w:tcPr>
            <w:tcW w:w="1526" w:type="dxa"/>
            <w:vMerge/>
          </w:tcPr>
          <w:p w:rsidR="009646B0" w:rsidRPr="000238A7" w:rsidP="004863F4" w14:paraId="3093F683" w14:textId="77777777">
            <w:pPr>
              <w:pStyle w:val="BodyText"/>
              <w:spacing w:after="0"/>
              <w:rPr>
                <w:rFonts w:asciiTheme="minorHAnsi" w:hAnsiTheme="minorHAnsi" w:cstheme="minorHAnsi"/>
                <w:sz w:val="20"/>
                <w:szCs w:val="20"/>
              </w:rPr>
            </w:pPr>
          </w:p>
        </w:tc>
        <w:tc>
          <w:tcPr>
            <w:tcW w:w="8099" w:type="dxa"/>
          </w:tcPr>
          <w:p w:rsidR="009646B0" w:rsidRPr="000238A7" w:rsidP="004863F4" w14:paraId="3764DE9A" w14:textId="77777777">
            <w:pPr>
              <w:spacing w:before="100" w:beforeAutospacing="1" w:after="100" w:afterAutospacing="1"/>
              <w:rPr>
                <w:rFonts w:cstheme="minorHAnsi"/>
                <w:sz w:val="20"/>
                <w:szCs w:val="20"/>
              </w:rPr>
            </w:pPr>
            <w:r w:rsidRPr="000238A7">
              <w:rPr>
                <w:rFonts w:cstheme="minorHAnsi"/>
                <w:sz w:val="20"/>
                <w:szCs w:val="20"/>
              </w:rPr>
              <w:t>A record of the file generated by the verification software specified in § 98.5(b) for monthly production quantity of caprolactam from each process line at the caprolactam, glyoxal, or glyoxylic acid production facility (metric tons).</w:t>
            </w:r>
          </w:p>
        </w:tc>
      </w:tr>
      <w:tr w14:paraId="6B3F1FF6" w14:textId="77777777" w:rsidTr="004863F4">
        <w:tblPrEx>
          <w:tblW w:w="9625" w:type="dxa"/>
          <w:tblLook w:val="04A0"/>
        </w:tblPrEx>
        <w:trPr>
          <w:trHeight w:val="563"/>
        </w:trPr>
        <w:tc>
          <w:tcPr>
            <w:tcW w:w="1526" w:type="dxa"/>
            <w:vMerge/>
          </w:tcPr>
          <w:p w:rsidR="009646B0" w:rsidRPr="000238A7" w:rsidP="004863F4" w14:paraId="609604B2" w14:textId="77777777">
            <w:pPr>
              <w:pStyle w:val="BodyText"/>
              <w:spacing w:after="0"/>
              <w:rPr>
                <w:rFonts w:asciiTheme="minorHAnsi" w:hAnsiTheme="minorHAnsi" w:cstheme="minorHAnsi"/>
                <w:sz w:val="20"/>
                <w:szCs w:val="20"/>
              </w:rPr>
            </w:pPr>
          </w:p>
        </w:tc>
        <w:tc>
          <w:tcPr>
            <w:tcW w:w="8099" w:type="dxa"/>
          </w:tcPr>
          <w:p w:rsidR="009646B0" w:rsidRPr="000238A7" w:rsidP="004863F4" w14:paraId="763F08BD" w14:textId="77777777">
            <w:pPr>
              <w:spacing w:before="100" w:beforeAutospacing="1" w:after="100" w:afterAutospacing="1"/>
              <w:rPr>
                <w:rFonts w:cstheme="minorHAnsi"/>
                <w:sz w:val="20"/>
                <w:szCs w:val="20"/>
              </w:rPr>
            </w:pPr>
            <w:r w:rsidRPr="000238A7">
              <w:rPr>
                <w:rFonts w:cstheme="minorHAnsi"/>
                <w:sz w:val="20"/>
                <w:szCs w:val="20"/>
              </w:rPr>
              <w:t>A record of the file generated by the verification software specified in § 98.5(b) for monthly production quantity of glyoxal from each process line at the caprolactam, glyoxal, or glyoxylic acid production facility (metric tons).</w:t>
            </w:r>
          </w:p>
        </w:tc>
      </w:tr>
      <w:tr w14:paraId="148B7112" w14:textId="77777777" w:rsidTr="004863F4">
        <w:tblPrEx>
          <w:tblW w:w="9625" w:type="dxa"/>
          <w:tblLook w:val="04A0"/>
        </w:tblPrEx>
        <w:trPr>
          <w:trHeight w:val="563"/>
        </w:trPr>
        <w:tc>
          <w:tcPr>
            <w:tcW w:w="1526" w:type="dxa"/>
            <w:vMerge/>
          </w:tcPr>
          <w:p w:rsidR="009646B0" w:rsidRPr="000238A7" w:rsidP="004863F4" w14:paraId="6FBA1062" w14:textId="77777777">
            <w:pPr>
              <w:pStyle w:val="BodyText"/>
              <w:spacing w:after="0"/>
              <w:rPr>
                <w:rFonts w:asciiTheme="minorHAnsi" w:hAnsiTheme="minorHAnsi" w:cstheme="minorHAnsi"/>
                <w:sz w:val="20"/>
                <w:szCs w:val="20"/>
              </w:rPr>
            </w:pPr>
          </w:p>
        </w:tc>
        <w:tc>
          <w:tcPr>
            <w:tcW w:w="8099" w:type="dxa"/>
          </w:tcPr>
          <w:p w:rsidR="009646B0" w:rsidRPr="000238A7" w:rsidP="004863F4" w14:paraId="50136EB8" w14:textId="77777777">
            <w:pPr>
              <w:spacing w:before="100" w:beforeAutospacing="1" w:after="100" w:afterAutospacing="1"/>
              <w:rPr>
                <w:rFonts w:cstheme="minorHAnsi"/>
                <w:sz w:val="20"/>
                <w:szCs w:val="20"/>
              </w:rPr>
            </w:pPr>
            <w:r w:rsidRPr="000238A7">
              <w:rPr>
                <w:rFonts w:cstheme="minorHAnsi"/>
                <w:sz w:val="20"/>
                <w:szCs w:val="20"/>
              </w:rPr>
              <w:t>A record of the file generated by the verification software specified in § 98.5(b) for monthly production quantity of glyoxylic acid from each process line at the caprolactam, glyoxal, or glyoxylic acid production facility (metric tons).</w:t>
            </w:r>
          </w:p>
        </w:tc>
      </w:tr>
      <w:tr w14:paraId="257807F4" w14:textId="77777777" w:rsidTr="004863F4">
        <w:tblPrEx>
          <w:tblW w:w="9625" w:type="dxa"/>
          <w:tblLook w:val="04A0"/>
        </w:tblPrEx>
        <w:trPr>
          <w:trHeight w:val="563"/>
        </w:trPr>
        <w:tc>
          <w:tcPr>
            <w:tcW w:w="1526" w:type="dxa"/>
            <w:vMerge/>
          </w:tcPr>
          <w:p w:rsidR="009646B0" w:rsidRPr="000238A7" w:rsidP="004863F4" w14:paraId="447D8C6A" w14:textId="77777777">
            <w:pPr>
              <w:pStyle w:val="BodyText"/>
              <w:spacing w:after="0"/>
              <w:rPr>
                <w:rFonts w:asciiTheme="minorHAnsi" w:hAnsiTheme="minorHAnsi" w:cstheme="minorHAnsi"/>
                <w:sz w:val="20"/>
                <w:szCs w:val="20"/>
              </w:rPr>
            </w:pPr>
          </w:p>
        </w:tc>
        <w:tc>
          <w:tcPr>
            <w:tcW w:w="8099" w:type="dxa"/>
          </w:tcPr>
          <w:p w:rsidR="009646B0" w:rsidRPr="000238A7" w:rsidP="004863F4" w14:paraId="1F80A649" w14:textId="77777777">
            <w:pPr>
              <w:spacing w:before="100" w:beforeAutospacing="1" w:after="100" w:afterAutospacing="1"/>
              <w:rPr>
                <w:rFonts w:cstheme="minorHAnsi"/>
                <w:sz w:val="20"/>
                <w:szCs w:val="20"/>
              </w:rPr>
            </w:pPr>
            <w:r w:rsidRPr="000238A7">
              <w:rPr>
                <w:rFonts w:cstheme="minorHAnsi"/>
                <w:sz w:val="20"/>
                <w:szCs w:val="20"/>
              </w:rPr>
              <w:t>A record of the file generated by the verification software specified in § 98.5(b) for</w:t>
            </w:r>
            <w:r w:rsidRPr="000238A7">
              <w:rPr>
                <w:rFonts w:cstheme="minorHAnsi"/>
              </w:rPr>
              <w:t xml:space="preserve"> </w:t>
            </w:r>
            <w:r w:rsidRPr="000238A7">
              <w:rPr>
                <w:rFonts w:cstheme="minorHAnsi"/>
                <w:sz w:val="20"/>
                <w:szCs w:val="20"/>
              </w:rPr>
              <w:t>destruction efficiency of N</w:t>
            </w:r>
            <w:r w:rsidRPr="000238A7">
              <w:rPr>
                <w:rFonts w:cstheme="minorHAnsi"/>
                <w:sz w:val="20"/>
                <w:szCs w:val="20"/>
                <w:vertAlign w:val="subscript"/>
              </w:rPr>
              <w:t>2</w:t>
            </w:r>
            <w:r w:rsidRPr="000238A7">
              <w:rPr>
                <w:rFonts w:cstheme="minorHAnsi"/>
                <w:sz w:val="20"/>
                <w:szCs w:val="20"/>
              </w:rPr>
              <w:t>O abatement technology from each process line, fraction (decimal fraction of N</w:t>
            </w:r>
            <w:r w:rsidRPr="000238A7">
              <w:rPr>
                <w:rFonts w:cstheme="minorHAnsi"/>
                <w:sz w:val="20"/>
                <w:szCs w:val="20"/>
                <w:vertAlign w:val="subscript"/>
              </w:rPr>
              <w:t>2</w:t>
            </w:r>
            <w:r w:rsidRPr="000238A7">
              <w:rPr>
                <w:rFonts w:cstheme="minorHAnsi"/>
                <w:sz w:val="20"/>
                <w:szCs w:val="20"/>
              </w:rPr>
              <w:t>O removed from vent stream).</w:t>
            </w:r>
          </w:p>
        </w:tc>
      </w:tr>
      <w:tr w14:paraId="7618F8FD" w14:textId="77777777" w:rsidTr="004863F4">
        <w:tblPrEx>
          <w:tblW w:w="9625" w:type="dxa"/>
          <w:tblLook w:val="04A0"/>
        </w:tblPrEx>
        <w:trPr>
          <w:trHeight w:val="563"/>
        </w:trPr>
        <w:tc>
          <w:tcPr>
            <w:tcW w:w="1526" w:type="dxa"/>
            <w:vMerge w:val="restart"/>
          </w:tcPr>
          <w:p w:rsidR="009646B0" w:rsidRPr="000238A7" w:rsidP="004863F4" w14:paraId="08D5CF6B" w14:textId="77777777">
            <w:pPr>
              <w:pStyle w:val="BodyText"/>
              <w:spacing w:after="0"/>
              <w:rPr>
                <w:rFonts w:asciiTheme="minorHAnsi" w:hAnsiTheme="minorHAnsi" w:cstheme="minorHAnsi"/>
                <w:sz w:val="20"/>
                <w:szCs w:val="20"/>
              </w:rPr>
            </w:pPr>
            <w:r w:rsidRPr="000238A7">
              <w:rPr>
                <w:rFonts w:asciiTheme="minorHAnsi" w:hAnsiTheme="minorHAnsi" w:cstheme="minorHAnsi"/>
                <w:sz w:val="20"/>
                <w:szCs w:val="20"/>
              </w:rPr>
              <w:t>ZZ – Ceramics Manufacturing</w:t>
            </w:r>
          </w:p>
        </w:tc>
        <w:tc>
          <w:tcPr>
            <w:tcW w:w="8099" w:type="dxa"/>
          </w:tcPr>
          <w:p w:rsidR="009646B0" w:rsidRPr="000238A7" w:rsidP="004863F4" w14:paraId="0D83030E" w14:textId="77777777">
            <w:pPr>
              <w:spacing w:before="100" w:beforeAutospacing="1" w:after="100" w:afterAutospacing="1"/>
              <w:rPr>
                <w:rFonts w:cstheme="minorHAnsi"/>
                <w:sz w:val="20"/>
                <w:szCs w:val="20"/>
              </w:rPr>
            </w:pPr>
            <w:r w:rsidRPr="000238A7">
              <w:rPr>
                <w:rFonts w:cstheme="minorHAnsi"/>
                <w:sz w:val="20"/>
                <w:szCs w:val="20"/>
              </w:rPr>
              <w:t>If a CEMS is used to measure CO</w:t>
            </w:r>
            <w:r w:rsidRPr="000238A7">
              <w:rPr>
                <w:rFonts w:cstheme="minorHAnsi"/>
                <w:sz w:val="20"/>
                <w:szCs w:val="20"/>
                <w:vertAlign w:val="subscript"/>
              </w:rPr>
              <w:t>2</w:t>
            </w:r>
            <w:r w:rsidRPr="000238A7">
              <w:rPr>
                <w:rFonts w:cstheme="minorHAnsi"/>
                <w:sz w:val="20"/>
                <w:szCs w:val="20"/>
              </w:rPr>
              <w:t xml:space="preserve"> emissions according to the requirements in § 98.523(a), the records required under § 98.37 for the Tier 4 Calculation Methodology.</w:t>
            </w:r>
          </w:p>
        </w:tc>
      </w:tr>
      <w:tr w14:paraId="1563C768" w14:textId="77777777" w:rsidTr="004863F4">
        <w:tblPrEx>
          <w:tblW w:w="9625" w:type="dxa"/>
          <w:tblLook w:val="04A0"/>
        </w:tblPrEx>
        <w:trPr>
          <w:trHeight w:val="563"/>
        </w:trPr>
        <w:tc>
          <w:tcPr>
            <w:tcW w:w="1526" w:type="dxa"/>
            <w:vMerge/>
          </w:tcPr>
          <w:p w:rsidR="009646B0" w:rsidRPr="000238A7" w:rsidP="004863F4" w14:paraId="3714F7FF" w14:textId="77777777">
            <w:pPr>
              <w:pStyle w:val="BodyText"/>
              <w:spacing w:after="0"/>
              <w:rPr>
                <w:rFonts w:asciiTheme="minorHAnsi" w:hAnsiTheme="minorHAnsi" w:cstheme="minorHAnsi"/>
                <w:sz w:val="20"/>
                <w:szCs w:val="20"/>
              </w:rPr>
            </w:pPr>
          </w:p>
        </w:tc>
        <w:tc>
          <w:tcPr>
            <w:tcW w:w="8099" w:type="dxa"/>
          </w:tcPr>
          <w:p w:rsidR="009646B0" w:rsidRPr="000238A7" w:rsidP="004863F4" w14:paraId="3A7AD5AB" w14:textId="77777777">
            <w:pPr>
              <w:spacing w:before="100" w:beforeAutospacing="1" w:after="100" w:afterAutospacing="1"/>
              <w:rPr>
                <w:rFonts w:cstheme="minorHAnsi"/>
                <w:sz w:val="20"/>
                <w:szCs w:val="20"/>
              </w:rPr>
            </w:pPr>
            <w:r w:rsidRPr="000238A7">
              <w:rPr>
                <w:rFonts w:cstheme="minorHAnsi"/>
                <w:sz w:val="20"/>
                <w:szCs w:val="20"/>
              </w:rPr>
              <w:t>If a CEMS is used to measure CO</w:t>
            </w:r>
            <w:r w:rsidRPr="000238A7">
              <w:rPr>
                <w:rFonts w:cstheme="minorHAnsi"/>
                <w:sz w:val="20"/>
                <w:szCs w:val="20"/>
                <w:vertAlign w:val="subscript"/>
              </w:rPr>
              <w:t>2</w:t>
            </w:r>
            <w:r w:rsidRPr="000238A7">
              <w:rPr>
                <w:rFonts w:cstheme="minorHAnsi"/>
                <w:sz w:val="20"/>
                <w:szCs w:val="20"/>
              </w:rPr>
              <w:t xml:space="preserve"> emissions according to the requirements in § 98.523(a), records of the monthly ceramics production rate for each ceramics process unit (tons).</w:t>
            </w:r>
          </w:p>
        </w:tc>
      </w:tr>
      <w:tr w14:paraId="6824ED7B" w14:textId="77777777" w:rsidTr="004863F4">
        <w:tblPrEx>
          <w:tblW w:w="9625" w:type="dxa"/>
          <w:tblLook w:val="04A0"/>
        </w:tblPrEx>
        <w:trPr>
          <w:trHeight w:val="563"/>
        </w:trPr>
        <w:tc>
          <w:tcPr>
            <w:tcW w:w="1526" w:type="dxa"/>
            <w:vMerge/>
          </w:tcPr>
          <w:p w:rsidR="009646B0" w:rsidRPr="000238A7" w:rsidP="004863F4" w14:paraId="2FE5A2CB" w14:textId="77777777">
            <w:pPr>
              <w:pStyle w:val="BodyText"/>
              <w:spacing w:after="0"/>
              <w:rPr>
                <w:rFonts w:asciiTheme="minorHAnsi" w:hAnsiTheme="minorHAnsi" w:cstheme="minorHAnsi"/>
                <w:sz w:val="20"/>
                <w:szCs w:val="20"/>
              </w:rPr>
            </w:pPr>
          </w:p>
        </w:tc>
        <w:tc>
          <w:tcPr>
            <w:tcW w:w="8099" w:type="dxa"/>
          </w:tcPr>
          <w:p w:rsidR="009646B0" w:rsidRPr="000238A7" w:rsidP="004863F4" w14:paraId="17A32090" w14:textId="77777777">
            <w:pPr>
              <w:spacing w:before="100" w:beforeAutospacing="1" w:after="100" w:afterAutospacing="1"/>
              <w:rPr>
                <w:rFonts w:cstheme="minorHAnsi"/>
                <w:sz w:val="20"/>
                <w:szCs w:val="20"/>
              </w:rPr>
            </w:pPr>
            <w:r w:rsidRPr="000238A7">
              <w:rPr>
                <w:rFonts w:cstheme="minorHAnsi"/>
                <w:sz w:val="20"/>
                <w:szCs w:val="20"/>
              </w:rPr>
              <w:t>If a CEMS is used to measure CO2 emissions according to the requirements in § 98.523(a), records of the monthly amount of each carbonate-based raw material charged to each ceramics process unit (tons).</w:t>
            </w:r>
          </w:p>
        </w:tc>
      </w:tr>
      <w:tr w14:paraId="32216208" w14:textId="77777777" w:rsidTr="004863F4">
        <w:tblPrEx>
          <w:tblW w:w="9625" w:type="dxa"/>
          <w:tblLook w:val="04A0"/>
        </w:tblPrEx>
        <w:trPr>
          <w:trHeight w:val="563"/>
        </w:trPr>
        <w:tc>
          <w:tcPr>
            <w:tcW w:w="1526" w:type="dxa"/>
            <w:vMerge/>
          </w:tcPr>
          <w:p w:rsidR="009646B0" w:rsidRPr="000238A7" w:rsidP="004863F4" w14:paraId="6BB77839" w14:textId="77777777">
            <w:pPr>
              <w:pStyle w:val="BodyText"/>
              <w:spacing w:after="0"/>
              <w:rPr>
                <w:rFonts w:asciiTheme="minorHAnsi" w:hAnsiTheme="minorHAnsi" w:cstheme="minorHAnsi"/>
                <w:sz w:val="20"/>
                <w:szCs w:val="20"/>
              </w:rPr>
            </w:pPr>
          </w:p>
        </w:tc>
        <w:tc>
          <w:tcPr>
            <w:tcW w:w="8099" w:type="dxa"/>
          </w:tcPr>
          <w:p w:rsidR="009646B0" w:rsidRPr="000238A7" w:rsidP="004863F4" w14:paraId="788C1C2A" w14:textId="77777777">
            <w:pPr>
              <w:spacing w:before="100" w:beforeAutospacing="1" w:after="100" w:afterAutospacing="1"/>
              <w:rPr>
                <w:rFonts w:cstheme="minorHAnsi"/>
                <w:sz w:val="20"/>
                <w:szCs w:val="20"/>
              </w:rPr>
            </w:pPr>
            <w:r w:rsidRPr="000238A7">
              <w:rPr>
                <w:rFonts w:cstheme="minorHAnsi"/>
                <w:sz w:val="20"/>
                <w:szCs w:val="20"/>
              </w:rPr>
              <w:t>If process CO</w:t>
            </w:r>
            <w:r w:rsidRPr="000238A7">
              <w:rPr>
                <w:rFonts w:cstheme="minorHAnsi"/>
                <w:sz w:val="20"/>
                <w:szCs w:val="20"/>
                <w:vertAlign w:val="subscript"/>
              </w:rPr>
              <w:t>2</w:t>
            </w:r>
            <w:r w:rsidRPr="000238A7">
              <w:rPr>
                <w:rFonts w:cstheme="minorHAnsi"/>
                <w:sz w:val="20"/>
                <w:szCs w:val="20"/>
              </w:rPr>
              <w:t xml:space="preserve"> emissions are calculated according to the procedures specified in § 98.523(b), records of monthly ceramics production rate for each ceramics process unit (metric tons).</w:t>
            </w:r>
          </w:p>
        </w:tc>
      </w:tr>
      <w:tr w14:paraId="336F90CE" w14:textId="77777777" w:rsidTr="004863F4">
        <w:tblPrEx>
          <w:tblW w:w="9625" w:type="dxa"/>
          <w:tblLook w:val="04A0"/>
        </w:tblPrEx>
        <w:trPr>
          <w:trHeight w:val="563"/>
        </w:trPr>
        <w:tc>
          <w:tcPr>
            <w:tcW w:w="1526" w:type="dxa"/>
            <w:vMerge/>
          </w:tcPr>
          <w:p w:rsidR="009646B0" w:rsidRPr="000238A7" w:rsidP="004863F4" w14:paraId="45BAA09A" w14:textId="77777777">
            <w:pPr>
              <w:pStyle w:val="BodyText"/>
              <w:spacing w:after="0"/>
              <w:rPr>
                <w:rFonts w:asciiTheme="minorHAnsi" w:hAnsiTheme="minorHAnsi" w:cstheme="minorHAnsi"/>
                <w:sz w:val="20"/>
                <w:szCs w:val="20"/>
              </w:rPr>
            </w:pPr>
          </w:p>
        </w:tc>
        <w:tc>
          <w:tcPr>
            <w:tcW w:w="8099" w:type="dxa"/>
          </w:tcPr>
          <w:p w:rsidR="009646B0" w:rsidRPr="000238A7" w:rsidP="004863F4" w14:paraId="23B009AA" w14:textId="77777777">
            <w:pPr>
              <w:spacing w:before="100" w:beforeAutospacing="1" w:after="100" w:afterAutospacing="1"/>
              <w:rPr>
                <w:rFonts w:cstheme="minorHAnsi"/>
                <w:sz w:val="20"/>
                <w:szCs w:val="20"/>
              </w:rPr>
            </w:pPr>
            <w:r w:rsidRPr="000238A7">
              <w:rPr>
                <w:rFonts w:cstheme="minorHAnsi"/>
                <w:sz w:val="20"/>
                <w:szCs w:val="20"/>
              </w:rPr>
              <w:t>If process CO</w:t>
            </w:r>
            <w:r w:rsidRPr="000238A7">
              <w:rPr>
                <w:rFonts w:cstheme="minorHAnsi"/>
                <w:sz w:val="20"/>
                <w:szCs w:val="20"/>
                <w:vertAlign w:val="subscript"/>
              </w:rPr>
              <w:t>2</w:t>
            </w:r>
            <w:r w:rsidRPr="000238A7">
              <w:rPr>
                <w:rFonts w:cstheme="minorHAnsi"/>
                <w:sz w:val="20"/>
                <w:szCs w:val="20"/>
              </w:rPr>
              <w:t xml:space="preserve"> emissions are calculated according to the procedures specified in § 98.523(b), records of the monthly amount of each carbonate-based raw material charged to each ceramics process unit (metric tons).</w:t>
            </w:r>
          </w:p>
        </w:tc>
      </w:tr>
      <w:tr w14:paraId="21AD2981" w14:textId="77777777" w:rsidTr="004863F4">
        <w:tblPrEx>
          <w:tblW w:w="9625" w:type="dxa"/>
          <w:tblLook w:val="04A0"/>
        </w:tblPrEx>
        <w:trPr>
          <w:trHeight w:val="563"/>
        </w:trPr>
        <w:tc>
          <w:tcPr>
            <w:tcW w:w="1526" w:type="dxa"/>
            <w:vMerge/>
          </w:tcPr>
          <w:p w:rsidR="009646B0" w:rsidRPr="000238A7" w:rsidP="004863F4" w14:paraId="5A1304B4" w14:textId="77777777">
            <w:pPr>
              <w:pStyle w:val="BodyText"/>
              <w:spacing w:after="0"/>
              <w:rPr>
                <w:rFonts w:asciiTheme="minorHAnsi" w:hAnsiTheme="minorHAnsi" w:cstheme="minorHAnsi"/>
                <w:sz w:val="20"/>
                <w:szCs w:val="20"/>
              </w:rPr>
            </w:pPr>
          </w:p>
        </w:tc>
        <w:tc>
          <w:tcPr>
            <w:tcW w:w="8099" w:type="dxa"/>
          </w:tcPr>
          <w:p w:rsidR="009646B0" w:rsidRPr="000238A7" w:rsidP="004863F4" w14:paraId="26A84D60" w14:textId="056D3503">
            <w:pPr>
              <w:spacing w:before="100" w:beforeAutospacing="1" w:after="100" w:afterAutospacing="1"/>
              <w:rPr>
                <w:rFonts w:cstheme="minorHAnsi"/>
                <w:sz w:val="20"/>
                <w:szCs w:val="20"/>
              </w:rPr>
            </w:pPr>
            <w:r w:rsidRPr="000238A7">
              <w:rPr>
                <w:rFonts w:cstheme="minorHAnsi"/>
                <w:sz w:val="20"/>
                <w:szCs w:val="20"/>
              </w:rPr>
              <w:t>If process CO</w:t>
            </w:r>
            <w:r w:rsidRPr="000238A7">
              <w:rPr>
                <w:rFonts w:cstheme="minorHAnsi"/>
                <w:sz w:val="20"/>
                <w:szCs w:val="20"/>
                <w:vertAlign w:val="subscript"/>
              </w:rPr>
              <w:t>2</w:t>
            </w:r>
            <w:r w:rsidRPr="000238A7">
              <w:rPr>
                <w:rFonts w:cstheme="minorHAnsi"/>
                <w:sz w:val="20"/>
                <w:szCs w:val="20"/>
              </w:rPr>
              <w:t xml:space="preserve"> emissions are calculated according to the procedures specified in § 98.523(b), </w:t>
            </w:r>
            <w:r w:rsidRPr="000238A7">
              <w:rPr>
                <w:rFonts w:cstheme="minorHAnsi"/>
              </w:rPr>
              <w:t xml:space="preserve"> </w:t>
            </w:r>
            <w:r w:rsidRPr="000238A7">
              <w:rPr>
                <w:rFonts w:cstheme="minorHAnsi"/>
                <w:sz w:val="20"/>
                <w:szCs w:val="20"/>
              </w:rPr>
              <w:t xml:space="preserve">data on carbonate-based mineral mass fractions provided by the raw material supplier for all raw materials consumed annually and included in calculating process emissions in </w:t>
            </w:r>
            <w:r w:rsidRPr="000238A7" w:rsidR="002631A8">
              <w:rPr>
                <w:rFonts w:cstheme="minorHAnsi"/>
                <w:sz w:val="20"/>
                <w:szCs w:val="20"/>
              </w:rPr>
              <w:t>e</w:t>
            </w:r>
            <w:r w:rsidRPr="000238A7">
              <w:rPr>
                <w:rFonts w:cstheme="minorHAnsi"/>
                <w:sz w:val="20"/>
                <w:szCs w:val="20"/>
              </w:rPr>
              <w:t>quation 1</w:t>
            </w:r>
            <w:r w:rsidRPr="000238A7" w:rsidR="002415DA">
              <w:rPr>
                <w:rFonts w:cstheme="minorHAnsi"/>
                <w:sz w:val="20"/>
                <w:szCs w:val="20"/>
              </w:rPr>
              <w:t xml:space="preserve"> to § 98.523</w:t>
            </w:r>
            <w:r w:rsidRPr="000238A7" w:rsidR="002631A8">
              <w:rPr>
                <w:rFonts w:cstheme="minorHAnsi"/>
                <w:sz w:val="20"/>
                <w:szCs w:val="20"/>
              </w:rPr>
              <w:t>(b)(4)</w:t>
            </w:r>
            <w:r w:rsidRPr="000238A7">
              <w:rPr>
                <w:rFonts w:cstheme="minorHAnsi"/>
                <w:sz w:val="20"/>
                <w:szCs w:val="20"/>
              </w:rPr>
              <w:t>, if applicable.</w:t>
            </w:r>
          </w:p>
        </w:tc>
      </w:tr>
      <w:tr w14:paraId="13C4A379" w14:textId="77777777" w:rsidTr="004863F4">
        <w:tblPrEx>
          <w:tblW w:w="9625" w:type="dxa"/>
          <w:tblLook w:val="04A0"/>
        </w:tblPrEx>
        <w:trPr>
          <w:trHeight w:val="563"/>
        </w:trPr>
        <w:tc>
          <w:tcPr>
            <w:tcW w:w="1526" w:type="dxa"/>
            <w:vMerge/>
          </w:tcPr>
          <w:p w:rsidR="009646B0" w:rsidRPr="000238A7" w:rsidP="004863F4" w14:paraId="0B1DF43C" w14:textId="77777777">
            <w:pPr>
              <w:pStyle w:val="BodyText"/>
              <w:spacing w:after="0"/>
              <w:rPr>
                <w:rFonts w:asciiTheme="minorHAnsi" w:hAnsiTheme="minorHAnsi" w:cstheme="minorHAnsi"/>
                <w:sz w:val="20"/>
                <w:szCs w:val="20"/>
              </w:rPr>
            </w:pPr>
          </w:p>
        </w:tc>
        <w:tc>
          <w:tcPr>
            <w:tcW w:w="8099" w:type="dxa"/>
          </w:tcPr>
          <w:p w:rsidR="009646B0" w:rsidRPr="000238A7" w:rsidP="004863F4" w14:paraId="172F6862" w14:textId="77777777">
            <w:pPr>
              <w:rPr>
                <w:rFonts w:cstheme="minorHAnsi"/>
                <w:sz w:val="20"/>
                <w:szCs w:val="20"/>
              </w:rPr>
            </w:pPr>
            <w:r w:rsidRPr="000238A7">
              <w:rPr>
                <w:rFonts w:cstheme="minorHAnsi"/>
                <w:sz w:val="20"/>
                <w:szCs w:val="20"/>
              </w:rPr>
              <w:t>If process CO</w:t>
            </w:r>
            <w:r w:rsidRPr="000238A7">
              <w:rPr>
                <w:rFonts w:cstheme="minorHAnsi"/>
                <w:sz w:val="20"/>
                <w:szCs w:val="20"/>
                <w:vertAlign w:val="subscript"/>
              </w:rPr>
              <w:t>2</w:t>
            </w:r>
            <w:r w:rsidRPr="000238A7">
              <w:rPr>
                <w:rFonts w:cstheme="minorHAnsi"/>
                <w:sz w:val="20"/>
                <w:szCs w:val="20"/>
              </w:rPr>
              <w:t xml:space="preserve"> emissions are calculated according to the procedures specified in § 98.523(b), </w:t>
            </w:r>
            <w:r w:rsidRPr="000238A7">
              <w:rPr>
                <w:rFonts w:cstheme="minorHAnsi"/>
              </w:rPr>
              <w:t xml:space="preserve"> </w:t>
            </w:r>
            <w:r w:rsidRPr="000238A7">
              <w:rPr>
                <w:rFonts w:cstheme="minorHAnsi"/>
                <w:sz w:val="20"/>
                <w:szCs w:val="20"/>
              </w:rPr>
              <w:t>results of all tests, if applicable, used to verify the carbonate-based mineral mass fraction for each carbonate-based raw material charged to a ceramics process unit, including the data specified in paragraphs (</w:t>
            </w:r>
            <w:r w:rsidRPr="000238A7">
              <w:rPr>
                <w:rFonts w:cstheme="minorHAnsi"/>
                <w:sz w:val="20"/>
                <w:szCs w:val="20"/>
              </w:rPr>
              <w:t>i</w:t>
            </w:r>
            <w:r w:rsidRPr="000238A7">
              <w:rPr>
                <w:rFonts w:cstheme="minorHAnsi"/>
                <w:sz w:val="20"/>
                <w:szCs w:val="20"/>
              </w:rPr>
              <w:t>) through (v).</w:t>
            </w:r>
          </w:p>
          <w:p w:rsidR="009646B0" w:rsidRPr="000238A7" w:rsidP="004863F4" w14:paraId="10C42F20" w14:textId="77777777">
            <w:pPr>
              <w:rPr>
                <w:rFonts w:cstheme="minorHAnsi"/>
                <w:sz w:val="20"/>
                <w:szCs w:val="20"/>
              </w:rPr>
            </w:pPr>
            <w:r w:rsidRPr="000238A7">
              <w:rPr>
                <w:rFonts w:cstheme="minorHAnsi"/>
                <w:sz w:val="20"/>
                <w:szCs w:val="20"/>
              </w:rPr>
              <w:t>(</w:t>
            </w:r>
            <w:r w:rsidRPr="000238A7">
              <w:rPr>
                <w:rFonts w:cstheme="minorHAnsi"/>
                <w:sz w:val="20"/>
                <w:szCs w:val="20"/>
              </w:rPr>
              <w:t>i</w:t>
            </w:r>
            <w:r w:rsidRPr="000238A7">
              <w:rPr>
                <w:rFonts w:cstheme="minorHAnsi"/>
                <w:sz w:val="20"/>
                <w:szCs w:val="20"/>
              </w:rPr>
              <w:t>) Date of test.</w:t>
            </w:r>
          </w:p>
          <w:p w:rsidR="009646B0" w:rsidRPr="000238A7" w:rsidP="004863F4" w14:paraId="5150A8F4" w14:textId="77777777">
            <w:pPr>
              <w:rPr>
                <w:rFonts w:cstheme="minorHAnsi"/>
                <w:sz w:val="20"/>
                <w:szCs w:val="20"/>
              </w:rPr>
            </w:pPr>
            <w:r w:rsidRPr="000238A7">
              <w:rPr>
                <w:rFonts w:cstheme="minorHAnsi"/>
                <w:sz w:val="20"/>
                <w:szCs w:val="20"/>
              </w:rPr>
              <w:t>(ii) Method(s), and any variations of methods, used in the analyses.</w:t>
            </w:r>
          </w:p>
          <w:p w:rsidR="009646B0" w:rsidRPr="000238A7" w:rsidP="004863F4" w14:paraId="1E6E79AD" w14:textId="77777777">
            <w:pPr>
              <w:rPr>
                <w:rFonts w:cstheme="minorHAnsi"/>
                <w:sz w:val="20"/>
                <w:szCs w:val="20"/>
              </w:rPr>
            </w:pPr>
            <w:r w:rsidRPr="000238A7">
              <w:rPr>
                <w:rFonts w:cstheme="minorHAnsi"/>
                <w:sz w:val="20"/>
                <w:szCs w:val="20"/>
              </w:rPr>
              <w:t>(iii) Mass fraction of each sample analyzed.</w:t>
            </w:r>
          </w:p>
          <w:p w:rsidR="009646B0" w:rsidRPr="000238A7" w:rsidP="004863F4" w14:paraId="0F3E9DF2" w14:textId="77777777">
            <w:pPr>
              <w:rPr>
                <w:rFonts w:cstheme="minorHAnsi"/>
                <w:sz w:val="20"/>
                <w:szCs w:val="20"/>
              </w:rPr>
            </w:pPr>
            <w:r w:rsidRPr="000238A7">
              <w:rPr>
                <w:rFonts w:cstheme="minorHAnsi"/>
                <w:sz w:val="20"/>
                <w:szCs w:val="20"/>
              </w:rPr>
              <w:t>(iv) Relevant calibration data for the instrument(s) used in the analyses.</w:t>
            </w:r>
          </w:p>
          <w:p w:rsidR="009646B0" w:rsidRPr="000238A7" w:rsidP="004863F4" w14:paraId="703DF3F3" w14:textId="77777777">
            <w:pPr>
              <w:rPr>
                <w:rFonts w:cstheme="minorHAnsi"/>
                <w:sz w:val="20"/>
                <w:szCs w:val="20"/>
              </w:rPr>
            </w:pPr>
            <w:r w:rsidRPr="000238A7">
              <w:rPr>
                <w:rFonts w:cstheme="minorHAnsi"/>
                <w:sz w:val="20"/>
                <w:szCs w:val="20"/>
              </w:rPr>
              <w:t>(v) Name and address of laboratory that conducted the tests.</w:t>
            </w:r>
          </w:p>
        </w:tc>
      </w:tr>
      <w:tr w14:paraId="074F353D" w14:textId="77777777" w:rsidTr="004863F4">
        <w:tblPrEx>
          <w:tblW w:w="9625" w:type="dxa"/>
          <w:tblLook w:val="04A0"/>
        </w:tblPrEx>
        <w:trPr>
          <w:trHeight w:val="563"/>
        </w:trPr>
        <w:tc>
          <w:tcPr>
            <w:tcW w:w="1526" w:type="dxa"/>
            <w:vMerge/>
          </w:tcPr>
          <w:p w:rsidR="009646B0" w:rsidRPr="000238A7" w:rsidP="004863F4" w14:paraId="79C00589" w14:textId="77777777">
            <w:pPr>
              <w:pStyle w:val="BodyText"/>
              <w:spacing w:after="0"/>
              <w:rPr>
                <w:rFonts w:asciiTheme="minorHAnsi" w:hAnsiTheme="minorHAnsi" w:cstheme="minorHAnsi"/>
                <w:sz w:val="20"/>
                <w:szCs w:val="20"/>
              </w:rPr>
            </w:pPr>
          </w:p>
        </w:tc>
        <w:tc>
          <w:tcPr>
            <w:tcW w:w="8099" w:type="dxa"/>
          </w:tcPr>
          <w:p w:rsidR="009646B0" w:rsidRPr="000238A7" w:rsidP="004863F4" w14:paraId="56A15BE5" w14:textId="77777777">
            <w:pPr>
              <w:spacing w:before="100" w:beforeAutospacing="1" w:after="100" w:afterAutospacing="1"/>
              <w:rPr>
                <w:rFonts w:cstheme="minorHAnsi"/>
                <w:sz w:val="20"/>
                <w:szCs w:val="20"/>
              </w:rPr>
            </w:pPr>
            <w:r w:rsidRPr="000238A7">
              <w:rPr>
                <w:rFonts w:cstheme="minorHAnsi"/>
                <w:sz w:val="20"/>
                <w:szCs w:val="20"/>
              </w:rPr>
              <w:t>If process CO</w:t>
            </w:r>
            <w:r w:rsidRPr="000238A7">
              <w:rPr>
                <w:rFonts w:cstheme="minorHAnsi"/>
                <w:sz w:val="20"/>
                <w:szCs w:val="20"/>
                <w:vertAlign w:val="subscript"/>
              </w:rPr>
              <w:t>2</w:t>
            </w:r>
            <w:r w:rsidRPr="000238A7">
              <w:rPr>
                <w:rFonts w:cstheme="minorHAnsi"/>
                <w:sz w:val="20"/>
                <w:szCs w:val="20"/>
              </w:rPr>
              <w:t xml:space="preserve"> emissions are calculated according to the procedures specified in § 98.523(b), records of each carbonate-based mineral mass fraction for each carbonate-based raw </w:t>
            </w:r>
            <w:r w:rsidRPr="000238A7">
              <w:rPr>
                <w:rFonts w:cstheme="minorHAnsi"/>
                <w:sz w:val="20"/>
                <w:szCs w:val="20"/>
              </w:rPr>
              <w:t>material, if</w:t>
            </w:r>
            <w:r w:rsidRPr="000238A7">
              <w:rPr>
                <w:rFonts w:cstheme="minorHAnsi"/>
                <w:sz w:val="20"/>
                <w:szCs w:val="20"/>
              </w:rPr>
              <w:t xml:space="preserve"> a value other than 1.0 is used to calculate process mass emissions of CO</w:t>
            </w:r>
            <w:r w:rsidRPr="000238A7">
              <w:rPr>
                <w:rFonts w:cstheme="minorHAnsi"/>
                <w:sz w:val="20"/>
                <w:szCs w:val="20"/>
                <w:vertAlign w:val="subscript"/>
              </w:rPr>
              <w:t>2</w:t>
            </w:r>
            <w:r w:rsidRPr="000238A7">
              <w:rPr>
                <w:rFonts w:cstheme="minorHAnsi"/>
                <w:sz w:val="20"/>
                <w:szCs w:val="20"/>
              </w:rPr>
              <w:t>.</w:t>
            </w:r>
          </w:p>
        </w:tc>
      </w:tr>
      <w:tr w14:paraId="419390C8" w14:textId="77777777" w:rsidTr="004863F4">
        <w:tblPrEx>
          <w:tblW w:w="9625" w:type="dxa"/>
          <w:tblLook w:val="04A0"/>
        </w:tblPrEx>
        <w:trPr>
          <w:trHeight w:val="563"/>
        </w:trPr>
        <w:tc>
          <w:tcPr>
            <w:tcW w:w="1526" w:type="dxa"/>
            <w:vMerge/>
          </w:tcPr>
          <w:p w:rsidR="009646B0" w:rsidRPr="000238A7" w:rsidP="004863F4" w14:paraId="04BA1EDC" w14:textId="77777777">
            <w:pPr>
              <w:pStyle w:val="BodyText"/>
              <w:spacing w:after="0"/>
              <w:rPr>
                <w:rFonts w:asciiTheme="minorHAnsi" w:hAnsiTheme="minorHAnsi" w:cstheme="minorHAnsi"/>
                <w:sz w:val="20"/>
                <w:szCs w:val="20"/>
              </w:rPr>
            </w:pPr>
          </w:p>
        </w:tc>
        <w:tc>
          <w:tcPr>
            <w:tcW w:w="8099" w:type="dxa"/>
          </w:tcPr>
          <w:p w:rsidR="009646B0" w:rsidRPr="000238A7" w:rsidP="004863F4" w14:paraId="733E8C26" w14:textId="77777777">
            <w:pPr>
              <w:spacing w:before="100" w:beforeAutospacing="1" w:after="100" w:afterAutospacing="1"/>
              <w:rPr>
                <w:rFonts w:cstheme="minorHAnsi"/>
                <w:sz w:val="20"/>
                <w:szCs w:val="20"/>
              </w:rPr>
            </w:pPr>
            <w:r w:rsidRPr="000238A7">
              <w:rPr>
                <w:rFonts w:cstheme="minorHAnsi"/>
                <w:sz w:val="20"/>
                <w:szCs w:val="20"/>
              </w:rPr>
              <w:t>If process CO</w:t>
            </w:r>
            <w:r w:rsidRPr="000238A7">
              <w:rPr>
                <w:rFonts w:cstheme="minorHAnsi"/>
                <w:sz w:val="20"/>
                <w:szCs w:val="20"/>
                <w:vertAlign w:val="subscript"/>
              </w:rPr>
              <w:t>2</w:t>
            </w:r>
            <w:r w:rsidRPr="000238A7">
              <w:rPr>
                <w:rFonts w:cstheme="minorHAnsi"/>
                <w:sz w:val="20"/>
                <w:szCs w:val="20"/>
              </w:rPr>
              <w:t xml:space="preserve"> emissions are calculated according to the procedures specified in § 98.523(b), the number of annual operating hours of each ceramics process unit.</w:t>
            </w:r>
          </w:p>
        </w:tc>
      </w:tr>
      <w:tr w14:paraId="02AE2925" w14:textId="77777777" w:rsidTr="004863F4">
        <w:tblPrEx>
          <w:tblW w:w="9625" w:type="dxa"/>
          <w:tblLook w:val="04A0"/>
        </w:tblPrEx>
        <w:trPr>
          <w:trHeight w:val="270"/>
        </w:trPr>
        <w:tc>
          <w:tcPr>
            <w:tcW w:w="1526" w:type="dxa"/>
            <w:vMerge/>
          </w:tcPr>
          <w:p w:rsidR="009646B0" w:rsidRPr="000238A7" w:rsidP="004863F4" w14:paraId="55260F9D" w14:textId="77777777">
            <w:pPr>
              <w:pStyle w:val="BodyText"/>
              <w:spacing w:after="0"/>
              <w:rPr>
                <w:rFonts w:asciiTheme="minorHAnsi" w:hAnsiTheme="minorHAnsi" w:cstheme="minorHAnsi"/>
                <w:sz w:val="20"/>
                <w:szCs w:val="20"/>
              </w:rPr>
            </w:pPr>
          </w:p>
        </w:tc>
        <w:tc>
          <w:tcPr>
            <w:tcW w:w="8099" w:type="dxa"/>
          </w:tcPr>
          <w:p w:rsidR="009646B0" w:rsidRPr="000238A7" w:rsidP="004863F4" w14:paraId="3031D466" w14:textId="77777777">
            <w:pPr>
              <w:spacing w:before="100" w:beforeAutospacing="1" w:after="100" w:afterAutospacing="1"/>
              <w:rPr>
                <w:rFonts w:cstheme="minorHAnsi"/>
                <w:sz w:val="20"/>
                <w:szCs w:val="20"/>
              </w:rPr>
            </w:pPr>
            <w:r w:rsidRPr="000238A7">
              <w:rPr>
                <w:rFonts w:cstheme="minorHAnsi"/>
                <w:sz w:val="20"/>
                <w:szCs w:val="20"/>
              </w:rPr>
              <w:t>Records of all other documentation used to support the reported GHG emissions.</w:t>
            </w:r>
          </w:p>
        </w:tc>
      </w:tr>
      <w:tr w14:paraId="1FA76329" w14:textId="77777777" w:rsidTr="004863F4">
        <w:tblPrEx>
          <w:tblW w:w="9625" w:type="dxa"/>
          <w:tblLook w:val="04A0"/>
        </w:tblPrEx>
        <w:trPr>
          <w:trHeight w:val="563"/>
        </w:trPr>
        <w:tc>
          <w:tcPr>
            <w:tcW w:w="1526" w:type="dxa"/>
            <w:vMerge/>
          </w:tcPr>
          <w:p w:rsidR="009646B0" w:rsidRPr="000238A7" w:rsidP="004863F4" w14:paraId="6E6D2CFB" w14:textId="77777777">
            <w:pPr>
              <w:pStyle w:val="BodyText"/>
              <w:spacing w:after="0"/>
              <w:rPr>
                <w:rFonts w:asciiTheme="minorHAnsi" w:hAnsiTheme="minorHAnsi" w:cstheme="minorHAnsi"/>
                <w:sz w:val="20"/>
                <w:szCs w:val="20"/>
              </w:rPr>
            </w:pPr>
          </w:p>
        </w:tc>
        <w:tc>
          <w:tcPr>
            <w:tcW w:w="8099" w:type="dxa"/>
          </w:tcPr>
          <w:p w:rsidR="009646B0" w:rsidRPr="000238A7" w:rsidP="004863F4" w14:paraId="6D639065" w14:textId="504B4894">
            <w:pPr>
              <w:spacing w:before="100" w:beforeAutospacing="1" w:after="100" w:afterAutospacing="1"/>
              <w:rPr>
                <w:rFonts w:cstheme="minorHAnsi"/>
                <w:sz w:val="20"/>
                <w:szCs w:val="20"/>
              </w:rPr>
            </w:pPr>
            <w:r w:rsidRPr="000238A7">
              <w:rPr>
                <w:rFonts w:cstheme="minorHAnsi"/>
                <w:sz w:val="20"/>
                <w:szCs w:val="20"/>
              </w:rPr>
              <w:t>A record of the file generated by the verification software specified in § 98.5(b) for the annual average decimal mass fraction of each carbonate-based mineral in each carbonate-based raw material for each ceramics process unit (specify the default value, if used, or the value determined according to § 98.524) (percent by weight, expressed as a decimal fraction) (</w:t>
            </w:r>
            <w:r w:rsidRPr="000238A7" w:rsidR="002631A8">
              <w:rPr>
                <w:rFonts w:cstheme="minorHAnsi"/>
                <w:sz w:val="20"/>
                <w:szCs w:val="20"/>
              </w:rPr>
              <w:t>equation 1 to § 98.523(b)(4)</w:t>
            </w:r>
            <w:r w:rsidRPr="000238A7">
              <w:rPr>
                <w:rFonts w:cstheme="minorHAnsi"/>
                <w:sz w:val="20"/>
                <w:szCs w:val="20"/>
              </w:rPr>
              <w:t>).</w:t>
            </w:r>
          </w:p>
        </w:tc>
      </w:tr>
      <w:tr w14:paraId="6EA10161" w14:textId="77777777" w:rsidTr="004863F4">
        <w:tblPrEx>
          <w:tblW w:w="9625" w:type="dxa"/>
          <w:tblLook w:val="04A0"/>
        </w:tblPrEx>
        <w:trPr>
          <w:trHeight w:val="563"/>
        </w:trPr>
        <w:tc>
          <w:tcPr>
            <w:tcW w:w="1526" w:type="dxa"/>
            <w:vMerge/>
          </w:tcPr>
          <w:p w:rsidR="009646B0" w:rsidRPr="000238A7" w:rsidP="004863F4" w14:paraId="7393E818" w14:textId="77777777">
            <w:pPr>
              <w:pStyle w:val="BodyText"/>
              <w:spacing w:after="0"/>
              <w:rPr>
                <w:rFonts w:asciiTheme="minorHAnsi" w:hAnsiTheme="minorHAnsi" w:cstheme="minorHAnsi"/>
                <w:sz w:val="20"/>
                <w:szCs w:val="20"/>
              </w:rPr>
            </w:pPr>
          </w:p>
        </w:tc>
        <w:tc>
          <w:tcPr>
            <w:tcW w:w="8099" w:type="dxa"/>
          </w:tcPr>
          <w:p w:rsidR="009646B0" w:rsidRPr="000238A7" w:rsidP="004863F4" w14:paraId="0C3BD682" w14:textId="032908B8">
            <w:pPr>
              <w:spacing w:before="100" w:beforeAutospacing="1" w:after="100" w:afterAutospacing="1"/>
              <w:rPr>
                <w:rFonts w:cstheme="minorHAnsi"/>
                <w:sz w:val="20"/>
                <w:szCs w:val="20"/>
              </w:rPr>
            </w:pPr>
            <w:r w:rsidRPr="000238A7">
              <w:rPr>
                <w:rFonts w:cstheme="minorHAnsi"/>
                <w:sz w:val="20"/>
                <w:szCs w:val="20"/>
              </w:rPr>
              <w:t>A record of the file generated by the verification software specified in § 98.5(b) for the annual mass of each carbonate-based raw material charged to each ceramics process unit (tons) (</w:t>
            </w:r>
            <w:r w:rsidRPr="000238A7" w:rsidR="002631A8">
              <w:rPr>
                <w:rFonts w:cstheme="minorHAnsi"/>
                <w:sz w:val="20"/>
                <w:szCs w:val="20"/>
              </w:rPr>
              <w:t>equation 1 to § 98.523(b)(4)</w:t>
            </w:r>
            <w:r w:rsidRPr="000238A7">
              <w:rPr>
                <w:rFonts w:cstheme="minorHAnsi"/>
                <w:sz w:val="20"/>
                <w:szCs w:val="20"/>
              </w:rPr>
              <w:t>).</w:t>
            </w:r>
          </w:p>
        </w:tc>
      </w:tr>
      <w:tr w14:paraId="4EE6B2D2" w14:textId="77777777" w:rsidTr="004863F4">
        <w:tblPrEx>
          <w:tblW w:w="9625" w:type="dxa"/>
          <w:tblLook w:val="04A0"/>
        </w:tblPrEx>
        <w:trPr>
          <w:trHeight w:val="563"/>
        </w:trPr>
        <w:tc>
          <w:tcPr>
            <w:tcW w:w="1526" w:type="dxa"/>
            <w:vMerge/>
          </w:tcPr>
          <w:p w:rsidR="009646B0" w:rsidRPr="000238A7" w:rsidP="004863F4" w14:paraId="31BEE35F" w14:textId="77777777">
            <w:pPr>
              <w:pStyle w:val="BodyText"/>
              <w:spacing w:after="0"/>
              <w:rPr>
                <w:rFonts w:asciiTheme="minorHAnsi" w:hAnsiTheme="minorHAnsi" w:cstheme="minorHAnsi"/>
                <w:sz w:val="20"/>
                <w:szCs w:val="20"/>
              </w:rPr>
            </w:pPr>
          </w:p>
        </w:tc>
        <w:tc>
          <w:tcPr>
            <w:tcW w:w="8099" w:type="dxa"/>
          </w:tcPr>
          <w:p w:rsidR="009646B0" w:rsidRPr="000238A7" w:rsidP="004863F4" w14:paraId="0325742E" w14:textId="17AB3120">
            <w:pPr>
              <w:spacing w:before="100" w:beforeAutospacing="1" w:after="100" w:afterAutospacing="1"/>
              <w:rPr>
                <w:rFonts w:cstheme="minorHAnsi"/>
                <w:sz w:val="20"/>
                <w:szCs w:val="20"/>
              </w:rPr>
            </w:pPr>
            <w:r w:rsidRPr="000238A7">
              <w:rPr>
                <w:rFonts w:cstheme="minorHAnsi"/>
                <w:sz w:val="20"/>
                <w:szCs w:val="20"/>
              </w:rPr>
              <w:t>A record of the file generated by the verification software specified in § 98.5(b) for the decimal fraction of calcination achieved for each carbonate-based raw material for each ceramics process unit (specify the default value, if used, or the value determined according to § 98.524) (percent by weight, expressed as a decimal fraction) (</w:t>
            </w:r>
            <w:r w:rsidRPr="000238A7" w:rsidR="002631A8">
              <w:rPr>
                <w:rFonts w:cstheme="minorHAnsi"/>
                <w:sz w:val="20"/>
                <w:szCs w:val="20"/>
              </w:rPr>
              <w:t>equation 1 to § 98.523(b)(4)</w:t>
            </w:r>
            <w:r w:rsidRPr="000238A7">
              <w:rPr>
                <w:rFonts w:cstheme="minorHAnsi"/>
                <w:sz w:val="20"/>
                <w:szCs w:val="20"/>
              </w:rPr>
              <w:t>).</w:t>
            </w:r>
          </w:p>
        </w:tc>
      </w:tr>
    </w:tbl>
    <w:p w:rsidR="009646B0" w:rsidRPr="005D0593" w:rsidP="009646B0" w14:paraId="0366FF48" w14:textId="77777777">
      <w:pPr>
        <w:sectPr w:rsidSect="005100FD">
          <w:headerReference w:type="default" r:id="rId15"/>
          <w:pgSz w:w="12240" w:h="15840" w:code="1"/>
          <w:pgMar w:top="1440" w:right="1440" w:bottom="1440" w:left="1440" w:header="720" w:footer="432" w:gutter="0"/>
          <w:cols w:space="720"/>
          <w:docGrid w:linePitch="360"/>
        </w:sectPr>
      </w:pPr>
    </w:p>
    <w:p w:rsidR="009646B0" w:rsidRPr="005D0593" w:rsidP="009646B0" w14:paraId="215C213C" w14:textId="77777777"/>
    <w:p w:rsidR="009646B0" w:rsidRPr="005D0593" w:rsidP="009646B0" w14:paraId="6673B77D" w14:textId="77777777"/>
    <w:p w:rsidR="009646B0" w:rsidRPr="005D0593" w:rsidP="000238A7" w14:paraId="00531533" w14:textId="77777777">
      <w:pPr>
        <w:spacing w:after="0"/>
        <w:jc w:val="center"/>
        <w:rPr>
          <w:b/>
        </w:rPr>
      </w:pPr>
      <w:r w:rsidRPr="005D0593">
        <w:rPr>
          <w:b/>
        </w:rPr>
        <w:t xml:space="preserve">SUPPORTING STATEMENT: </w:t>
      </w:r>
    </w:p>
    <w:p w:rsidR="009646B0" w:rsidRPr="005D0593" w:rsidP="000238A7" w14:paraId="0E60F064" w14:textId="77777777">
      <w:pPr>
        <w:spacing w:after="0"/>
        <w:jc w:val="center"/>
        <w:rPr>
          <w:b/>
        </w:rPr>
      </w:pPr>
      <w:r w:rsidRPr="005D0593">
        <w:rPr>
          <w:b/>
        </w:rPr>
        <w:t>ENVIRONMENTAL PROTECTION AGENCY</w:t>
      </w:r>
    </w:p>
    <w:p w:rsidR="009646B0" w:rsidRPr="005D0593" w:rsidP="000238A7" w14:paraId="37F2DBE9" w14:textId="7AA33DF7">
      <w:pPr>
        <w:spacing w:after="0"/>
        <w:jc w:val="center"/>
        <w:rPr>
          <w:b/>
        </w:rPr>
      </w:pPr>
      <w:r w:rsidRPr="005D0593">
        <w:rPr>
          <w:b/>
        </w:rPr>
        <w:t>OMB control number 2060-0</w:t>
      </w:r>
      <w:r w:rsidR="00982BC5">
        <w:rPr>
          <w:b/>
        </w:rPr>
        <w:t>748</w:t>
      </w:r>
      <w:r w:rsidRPr="005D0593">
        <w:rPr>
          <w:b/>
        </w:rPr>
        <w:t xml:space="preserve">; ICR number </w:t>
      </w:r>
      <w:r w:rsidR="00982BC5">
        <w:rPr>
          <w:b/>
        </w:rPr>
        <w:t>2773.02</w:t>
      </w:r>
    </w:p>
    <w:p w:rsidR="009646B0" w:rsidRPr="001B0264" w:rsidP="000238A7" w14:paraId="7AEB4899" w14:textId="217AA9FF">
      <w:pPr>
        <w:spacing w:after="0"/>
        <w:jc w:val="center"/>
        <w:rPr>
          <w:b/>
        </w:rPr>
      </w:pPr>
      <w:r w:rsidRPr="005D0593">
        <w:rPr>
          <w:b/>
        </w:rPr>
        <w:t>Attachment 2</w:t>
      </w:r>
      <w:r>
        <w:rPr>
          <w:b/>
        </w:rPr>
        <w:t xml:space="preserve"> (Excel File)</w:t>
      </w:r>
    </w:p>
    <w:p w:rsidR="009646B0" w:rsidRPr="001B0264" w:rsidP="009646B0" w14:paraId="2F4D0886" w14:textId="77777777">
      <w:pPr>
        <w:rPr>
          <w:b/>
        </w:rPr>
      </w:pPr>
    </w:p>
    <w:p w:rsidR="009646B0" w:rsidRPr="001B0264" w:rsidP="009646B0" w14:paraId="394CC8BC" w14:textId="77777777"/>
    <w:p w:rsidR="00BB3410" w:rsidRPr="00BB3410" w:rsidP="00BB3410" w14:paraId="02BFB1B4" w14:textId="77777777">
      <w:pPr>
        <w:pStyle w:val="ListParagraph"/>
        <w:spacing w:before="240"/>
        <w:ind w:left="0"/>
        <w:rPr>
          <w:rFonts w:cstheme="minorHAnsi"/>
          <w:sz w:val="24"/>
          <w:szCs w:val="24"/>
        </w:rPr>
      </w:pPr>
    </w:p>
    <w:sectPr w:rsidSect="005100FD">
      <w:headerReference w:type="default" r:id="rId16"/>
      <w:pgSz w:w="12240" w:h="15840" w:code="1"/>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87FEA5C">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5AEA" w14:paraId="1C62E5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029F" w:rsidP="002335AB" w14:paraId="4DAF6B99" w14:textId="77777777">
      <w:pPr>
        <w:spacing w:after="0" w:line="240" w:lineRule="auto"/>
      </w:pPr>
      <w:r>
        <w:separator/>
      </w:r>
    </w:p>
  </w:footnote>
  <w:footnote w:type="continuationSeparator" w:id="1">
    <w:p w:rsidR="00AA029F" w:rsidP="002335AB" w14:paraId="1EF8680A" w14:textId="77777777">
      <w:pPr>
        <w:spacing w:after="0" w:line="240" w:lineRule="auto"/>
      </w:pPr>
      <w:r>
        <w:continuationSeparator/>
      </w:r>
    </w:p>
  </w:footnote>
  <w:footnote w:type="continuationNotice" w:id="2">
    <w:p w:rsidR="00AA029F" w14:paraId="584136FB" w14:textId="77777777">
      <w:pPr>
        <w:spacing w:after="0" w:line="240" w:lineRule="auto"/>
      </w:pPr>
    </w:p>
  </w:footnote>
  <w:footnote w:id="3">
    <w:p w:rsidR="00717707" w:rsidRPr="00B340C0" w:rsidP="00717707" w14:paraId="23ED7600" w14:textId="77777777">
      <w:pPr>
        <w:pStyle w:val="FootnoteText"/>
        <w:rPr>
          <w:rFonts w:asciiTheme="majorBidi" w:hAnsiTheme="majorBidi" w:cstheme="majorBidi"/>
        </w:rPr>
      </w:pPr>
      <w:r w:rsidRPr="00B340C0">
        <w:rPr>
          <w:rStyle w:val="FootnoteReference"/>
          <w:rFonts w:asciiTheme="majorBidi" w:hAnsiTheme="majorBidi" w:cstheme="majorBidi"/>
        </w:rPr>
        <w:footnoteRef/>
      </w:r>
      <w:r w:rsidRPr="00B340C0">
        <w:rPr>
          <w:rFonts w:asciiTheme="majorBidi" w:hAnsiTheme="majorBidi" w:cstheme="majorBidi"/>
        </w:rPr>
        <w:t xml:space="preserve"> </w:t>
      </w:r>
      <w:r w:rsidRPr="000238A7">
        <w:rPr>
          <w:rFonts w:asciiTheme="majorBidi" w:hAnsiTheme="majorBidi" w:cstheme="majorBidi"/>
          <w:i/>
          <w:iCs/>
        </w:rPr>
        <w:t>https://www.opm.gov/policy-data-oversight/pay-leave/salaries-wages/salary-tables/pdf/2018/GS_h.pdf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6B0" w:rsidP="000238A7" w14:paraId="0CD281CA" w14:textId="77777777">
    <w:pPr>
      <w:spacing w:after="0" w:line="240" w:lineRule="auto"/>
      <w:jc w:val="center"/>
      <w:rPr>
        <w:b/>
      </w:rPr>
    </w:pPr>
    <w:bookmarkStart w:id="41" w:name="_Hlk162006794"/>
    <w:r w:rsidRPr="001D53EB">
      <w:rPr>
        <w:b/>
      </w:rPr>
      <w:t>SUPPORTING STATEMENT</w:t>
    </w:r>
    <w:r>
      <w:rPr>
        <w:b/>
      </w:rPr>
      <w:t xml:space="preserve">: </w:t>
    </w:r>
  </w:p>
  <w:p w:rsidR="009646B0" w:rsidP="000238A7" w14:paraId="02C9CA06" w14:textId="77777777">
    <w:pPr>
      <w:spacing w:after="0" w:line="240" w:lineRule="auto"/>
      <w:jc w:val="center"/>
      <w:rPr>
        <w:b/>
      </w:rPr>
    </w:pPr>
    <w:r w:rsidRPr="001D53EB">
      <w:rPr>
        <w:b/>
      </w:rPr>
      <w:t>ENVIRONMENTAL PROTECTION AGENCY</w:t>
    </w:r>
  </w:p>
  <w:p w:rsidR="009646B0" w:rsidRPr="001D53EB" w:rsidP="000238A7" w14:paraId="1257FF08" w14:textId="77777777">
    <w:pPr>
      <w:spacing w:after="0" w:line="240" w:lineRule="auto"/>
      <w:jc w:val="center"/>
      <w:rPr>
        <w:b/>
      </w:rPr>
    </w:pPr>
    <w:r w:rsidRPr="001D53EB">
      <w:rPr>
        <w:b/>
      </w:rPr>
      <w:t>OMB control number 2060-0</w:t>
    </w:r>
    <w:r>
      <w:rPr>
        <w:b/>
      </w:rPr>
      <w:t>748</w:t>
    </w:r>
    <w:r w:rsidRPr="001D53EB">
      <w:rPr>
        <w:b/>
      </w:rPr>
      <w:t xml:space="preserve">; </w:t>
    </w:r>
    <w:r w:rsidRPr="00B92BCF">
      <w:rPr>
        <w:b/>
      </w:rPr>
      <w:t xml:space="preserve">ICR number </w:t>
    </w:r>
    <w:r>
      <w:rPr>
        <w:b/>
      </w:rPr>
      <w:t>2773.02</w:t>
    </w:r>
  </w:p>
  <w:p w:rsidR="009646B0" w:rsidRPr="001D53EB" w:rsidP="000238A7" w14:paraId="1E6CDFDE" w14:textId="6D139886">
    <w:pPr>
      <w:spacing w:after="0" w:line="240" w:lineRule="auto"/>
      <w:jc w:val="center"/>
      <w:rPr>
        <w:b/>
      </w:rPr>
    </w:pPr>
    <w:r>
      <w:rPr>
        <w:b/>
      </w:rPr>
      <w:t>Attachment 1</w:t>
    </w:r>
    <w:bookmarkEnd w:id="41"/>
  </w:p>
  <w:p w:rsidR="009646B0" w14:paraId="51D4F74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2A8E" w:rsidP="00B22A8E" w14:paraId="5A1B8786" w14:textId="77777777">
    <w:pPr>
      <w:spacing w:after="0" w:line="240" w:lineRule="auto"/>
      <w:jc w:val="center"/>
      <w:rPr>
        <w:b/>
      </w:rPr>
    </w:pPr>
    <w:r w:rsidRPr="001D53EB">
      <w:rPr>
        <w:b/>
      </w:rPr>
      <w:t>SUPPORTING STATEMENT</w:t>
    </w:r>
    <w:r>
      <w:rPr>
        <w:b/>
      </w:rPr>
      <w:t xml:space="preserve">: </w:t>
    </w:r>
  </w:p>
  <w:p w:rsidR="00B22A8E" w:rsidP="00B22A8E" w14:paraId="243A7A6C" w14:textId="77777777">
    <w:pPr>
      <w:spacing w:after="0" w:line="240" w:lineRule="auto"/>
      <w:jc w:val="center"/>
      <w:rPr>
        <w:b/>
      </w:rPr>
    </w:pPr>
    <w:r w:rsidRPr="001D53EB">
      <w:rPr>
        <w:b/>
      </w:rPr>
      <w:t>ENVIRONMENTAL PROTECTION AGENCY</w:t>
    </w:r>
  </w:p>
  <w:p w:rsidR="00B22A8E" w:rsidRPr="001D53EB" w:rsidP="00B22A8E" w14:paraId="650DDAAE" w14:textId="77777777">
    <w:pPr>
      <w:spacing w:after="0" w:line="240" w:lineRule="auto"/>
      <w:jc w:val="center"/>
      <w:rPr>
        <w:b/>
      </w:rPr>
    </w:pPr>
    <w:r w:rsidRPr="001D53EB">
      <w:rPr>
        <w:b/>
      </w:rPr>
      <w:t>OMB control number 2060-0</w:t>
    </w:r>
    <w:r>
      <w:rPr>
        <w:b/>
      </w:rPr>
      <w:t>748</w:t>
    </w:r>
    <w:r w:rsidRPr="001D53EB">
      <w:rPr>
        <w:b/>
      </w:rPr>
      <w:t xml:space="preserve">; </w:t>
    </w:r>
    <w:r w:rsidRPr="00B92BCF">
      <w:rPr>
        <w:b/>
      </w:rPr>
      <w:t xml:space="preserve">ICR number </w:t>
    </w:r>
    <w:r>
      <w:rPr>
        <w:b/>
      </w:rPr>
      <w:t>2773.02</w:t>
    </w:r>
  </w:p>
  <w:p w:rsidR="009646B0" w:rsidP="000238A7" w14:paraId="0E2BAD6B" w14:textId="71F40EB4">
    <w:pPr>
      <w:jc w:val="center"/>
    </w:pPr>
    <w:r>
      <w:rPr>
        <w:b/>
      </w:rPr>
      <w:t>Attachment 1</w:t>
    </w:r>
  </w:p>
  <w:p w:rsidR="009646B0" w14:paraId="3CA8A070" w14:textId="77777777">
    <w:pPr>
      <w:pStyle w:val="Header"/>
      <w:rPr>
        <w:b/>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2A8E" w:rsidP="000238A7" w14:paraId="15D50EC7" w14:textId="77777777">
    <w:pPr>
      <w:jc w:val="center"/>
    </w:pPr>
  </w:p>
  <w:p w:rsidR="00565AEA" w14:paraId="29A4AC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62B57"/>
    <w:multiLevelType w:val="hybridMultilevel"/>
    <w:tmpl w:val="7C9273F6"/>
    <w:lvl w:ilvl="0">
      <w:start w:val="1"/>
      <w:numFmt w:val="bullet"/>
      <w:pStyle w:val="Bullet-GHGPreamble"/>
      <w:lvlText w:val=""/>
      <w:lvlJc w:val="left"/>
      <w:pPr>
        <w:tabs>
          <w:tab w:val="num" w:pos="720"/>
        </w:tabs>
        <w:ind w:left="720" w:hanging="720"/>
      </w:pPr>
      <w:rPr>
        <w:rFonts w:ascii="WP MathA" w:hAnsi="WP MathA" w:hint="default"/>
        <w:sz w:val="24"/>
      </w:rPr>
    </w:lvl>
    <w:lvl w:ilvl="1">
      <w:start w:val="1"/>
      <w:numFmt w:val="lowerLetter"/>
      <w:lvlText w:val="%2."/>
      <w:lvlJc w:val="left"/>
      <w:pPr>
        <w:tabs>
          <w:tab w:val="num" w:pos="2340"/>
        </w:tabs>
        <w:ind w:left="2340" w:hanging="360"/>
      </w:p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
    <w:nsid w:val="18856A84"/>
    <w:multiLevelType w:val="hybridMultilevel"/>
    <w:tmpl w:val="41E8DD42"/>
    <w:lvl w:ilvl="0">
      <w:start w:val="1"/>
      <w:numFmt w:val="bullet"/>
      <w:pStyle w:val="bullets-3rdlevel"/>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Helv"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Helv"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Helv"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1F7462F5"/>
    <w:multiLevelType w:val="hybridMultilevel"/>
    <w:tmpl w:val="B8840E48"/>
    <w:lvl w:ilvl="0">
      <w:start w:val="1"/>
      <w:numFmt w:val="bullet"/>
      <w:pStyle w:val="Bullet-GHGPreamblelast"/>
      <w:lvlText w:val=""/>
      <w:lvlJc w:val="left"/>
      <w:pPr>
        <w:ind w:left="720" w:hanging="360"/>
      </w:pPr>
      <w:rPr>
        <w:rFonts w:ascii="Symbol" w:hAnsi="Symbol" w:hint="default"/>
        <w:b w:val="0"/>
        <w:i w:val="0"/>
        <w:caps w:val="0"/>
        <w:strike w:val="0"/>
        <w:dstrike w:val="0"/>
        <w:vanish w:val="0"/>
        <w:color w:val="auto"/>
        <w:spacing w:val="52"/>
        <w:w w:val="100"/>
        <w:kern w:val="0"/>
        <w:position w:val="0"/>
        <w:sz w:val="24"/>
        <w:u w:val="none"/>
        <w:vertAlign w:val="baselin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4C05CEB"/>
    <w:multiLevelType w:val="hybridMultilevel"/>
    <w:tmpl w:val="16FC3C90"/>
    <w:lvl w:ilvl="0">
      <w:start w:val="0"/>
      <w:numFmt w:val="bullet"/>
      <w:lvlText w:val="•"/>
      <w:lvlJc w:val="left"/>
      <w:pPr>
        <w:ind w:left="1440" w:hanging="72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7DC3647"/>
    <w:multiLevelType w:val="multilevel"/>
    <w:tmpl w:val="BE82302C"/>
    <w:lvl w:ilvl="0">
      <w:start w:val="1"/>
      <w:numFmt w:val="decimal"/>
      <w:pStyle w:val="List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3CF003DA"/>
    <w:multiLevelType w:val="hybridMultilevel"/>
    <w:tmpl w:val="454621B6"/>
    <w:lvl w:ilvl="0">
      <w:start w:val="1"/>
      <w:numFmt w:val="bullet"/>
      <w:pStyle w:val="GHGPreamble-level4"/>
      <w:lvlText w:val=""/>
      <w:lvlJc w:val="left"/>
      <w:pPr>
        <w:tabs>
          <w:tab w:val="num" w:pos="360"/>
        </w:tabs>
        <w:ind w:left="360" w:hanging="360"/>
      </w:pPr>
      <w:rPr>
        <w:rFonts w:ascii="WP MathA" w:hAnsi="WP MathA" w:hint="default"/>
      </w:r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pStyle w:val="GHGPreamble-level4"/>
      <w:lvlText w:val="%6."/>
      <w:lvlJc w:val="right"/>
      <w:pPr>
        <w:tabs>
          <w:tab w:val="num" w:pos="3240"/>
        </w:tabs>
        <w:ind w:left="3240" w:hanging="180"/>
      </w:pPr>
    </w:lvl>
    <w:lvl w:ilvl="6">
      <w:start w:val="1"/>
      <w:numFmt w:val="bullet"/>
      <w:lvlText w:val=""/>
      <w:lvlJc w:val="left"/>
      <w:pPr>
        <w:tabs>
          <w:tab w:val="num" w:pos="3960"/>
        </w:tabs>
        <w:ind w:left="3960" w:hanging="360"/>
      </w:pPr>
      <w:rPr>
        <w:rFonts w:ascii="Symbol" w:hAnsi="Symbol" w:hint="default"/>
      </w:r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7">
    <w:nsid w:val="457C6CE4"/>
    <w:multiLevelType w:val="hybridMultilevel"/>
    <w:tmpl w:val="52FCF9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4503E0C"/>
    <w:multiLevelType w:val="multilevel"/>
    <w:tmpl w:val="F9BE7FB2"/>
    <w:lvl w:ilvl="0">
      <w:start w:val="1"/>
      <w:numFmt w:val="lowerLetter"/>
      <w:pStyle w:val="GHGLevels"/>
      <w:lvlText w:val="(%1)"/>
      <w:lvlJc w:val="left"/>
      <w:pPr>
        <w:tabs>
          <w:tab w:val="num" w:pos="1152"/>
        </w:tabs>
        <w:ind w:left="0" w:firstLine="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il"/>
        <w:shd w:val="clear" w:color="000000" w:fill="000000"/>
        <w:vertAlign w:val="baseline"/>
        <w:specVanish w:val="0"/>
      </w:rPr>
    </w:lvl>
    <w:lvl w:ilvl="1">
      <w:start w:val="1"/>
      <w:numFmt w:val="decimal"/>
      <w:lvlText w:val="(%2)  "/>
      <w:lvlJc w:val="left"/>
      <w:pPr>
        <w:tabs>
          <w:tab w:val="num" w:pos="2049"/>
        </w:tabs>
        <w:ind w:left="903" w:firstLine="717"/>
      </w:pPr>
      <w:rPr>
        <w:rFonts w:ascii="Times New Roman" w:hAnsi="Times New Roman" w:hint="default"/>
        <w:b w:val="0"/>
        <w:i w:val="0"/>
        <w:sz w:val="24"/>
        <w:u w:val="none"/>
      </w:rPr>
    </w:lvl>
    <w:lvl w:ilvl="2">
      <w:start w:val="1"/>
      <w:numFmt w:val="lowerRoman"/>
      <w:lvlText w:val="(%3)"/>
      <w:lvlJc w:val="left"/>
      <w:pPr>
        <w:tabs>
          <w:tab w:val="num" w:pos="1152"/>
        </w:tabs>
        <w:ind w:left="3" w:firstLine="717"/>
      </w:pPr>
      <w:rPr>
        <w:rFonts w:ascii="Times New Roman" w:hAnsi="Times New Roman" w:hint="default"/>
        <w:sz w:val="24"/>
      </w:rPr>
    </w:lvl>
    <w:lvl w:ilvl="3">
      <w:start w:val="1"/>
      <w:numFmt w:val="upperLetter"/>
      <w:lvlText w:val="(%4)"/>
      <w:lvlJc w:val="left"/>
      <w:pPr>
        <w:tabs>
          <w:tab w:val="num" w:pos="1152"/>
        </w:tabs>
        <w:ind w:left="3" w:firstLine="720"/>
      </w:pPr>
      <w:rPr>
        <w:rFonts w:hint="default"/>
      </w:rPr>
    </w:lvl>
    <w:lvl w:ilvl="4">
      <w:start w:val="1"/>
      <w:numFmt w:val="decimal"/>
      <w:lvlText w:val="(%5)"/>
      <w:lvlJc w:val="left"/>
      <w:pPr>
        <w:tabs>
          <w:tab w:val="num" w:pos="1152"/>
        </w:tabs>
        <w:ind w:left="3" w:firstLine="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5">
      <w:start w:val="1"/>
      <w:numFmt w:val="lowerRoman"/>
      <w:suff w:val="space"/>
      <w:lvlText w:val="(%6)"/>
      <w:lvlJc w:val="left"/>
      <w:pPr>
        <w:ind w:left="2166" w:hanging="360"/>
      </w:pPr>
      <w:rPr>
        <w:rFonts w:ascii="Times New Roman" w:hAnsi="Times New Roman" w:cs="Times New Roman" w:hint="default"/>
        <w:b w:val="0"/>
        <w:bCs w:val="0"/>
        <w:i/>
        <w:iCs w:val="0"/>
        <w:caps w:val="0"/>
        <w:smallCaps w:val="0"/>
        <w:strike w:val="0"/>
        <w:dstrike w:val="0"/>
        <w:noProof w:val="0"/>
        <w:snapToGrid w:val="0"/>
        <w:vanish w:val="0"/>
        <w:color w:val="000000"/>
        <w:spacing w:val="0"/>
        <w:w w:val="0"/>
        <w:kern w:val="0"/>
        <w:position w:val="0"/>
        <w:sz w:val="24"/>
        <w:szCs w:val="0"/>
        <w:u w:val="none" w:color="000000"/>
        <w:effect w:val="none"/>
        <w:bdr w:val="nil"/>
        <w:shd w:val="clear" w:color="000000" w:fill="000000"/>
        <w:vertAlign w:val="baseline"/>
        <w:specVanish w:val="0"/>
      </w:rPr>
    </w:lvl>
    <w:lvl w:ilvl="6">
      <w:start w:val="1"/>
      <w:numFmt w:val="decimal"/>
      <w:suff w:val="space"/>
      <w:lvlText w:val="%7."/>
      <w:lvlJc w:val="left"/>
      <w:pPr>
        <w:ind w:left="2526" w:hanging="360"/>
      </w:pPr>
      <w:rPr>
        <w:rFonts w:hint="default"/>
        <w:b w:val="0"/>
        <w:i/>
      </w:rPr>
    </w:lvl>
    <w:lvl w:ilvl="7">
      <w:start w:val="1"/>
      <w:numFmt w:val="lowerLetter"/>
      <w:lvlText w:val="%8."/>
      <w:lvlJc w:val="left"/>
      <w:pPr>
        <w:tabs>
          <w:tab w:val="num" w:pos="2886"/>
        </w:tabs>
        <w:ind w:left="2886" w:hanging="360"/>
      </w:pPr>
      <w:rPr>
        <w:rFonts w:hint="default"/>
      </w:rPr>
    </w:lvl>
    <w:lvl w:ilvl="8">
      <w:start w:val="1"/>
      <w:numFmt w:val="lowerRoman"/>
      <w:lvlText w:val="%9."/>
      <w:lvlJc w:val="left"/>
      <w:pPr>
        <w:tabs>
          <w:tab w:val="num" w:pos="3246"/>
        </w:tabs>
        <w:ind w:left="3246" w:hanging="360"/>
      </w:pPr>
      <w:rPr>
        <w:rFonts w:hint="default"/>
      </w:rPr>
    </w:lvl>
  </w:abstractNum>
  <w:abstractNum w:abstractNumId="10">
    <w:nsid w:val="66522B2D"/>
    <w:multiLevelType w:val="multilevel"/>
    <w:tmpl w:val="D0F02B5C"/>
    <w:lvl w:ilvl="0">
      <w:start w:val="1"/>
      <w:numFmt w:val="upperRoman"/>
      <w:pStyle w:val="Level3-GHGPreamble"/>
      <w:suff w:val="space"/>
      <w:lvlText w:val="%1. "/>
      <w:lvlJc w:val="left"/>
      <w:pPr>
        <w:ind w:left="-180" w:firstLine="0"/>
      </w:pPr>
      <w:rPr>
        <w:rFonts w:ascii="Courier New" w:hAnsi="Courier New" w:hint="default"/>
        <w:b/>
        <w:i w:val="0"/>
        <w:sz w:val="24"/>
      </w:rPr>
    </w:lvl>
    <w:lvl w:ilvl="1">
      <w:start w:val="1"/>
      <w:numFmt w:val="upperLetter"/>
      <w:pStyle w:val="Level2-GHGPreamble"/>
      <w:suff w:val="space"/>
      <w:lvlText w:val="%2. "/>
      <w:lvlJc w:val="left"/>
      <w:pPr>
        <w:ind w:left="0" w:firstLine="0"/>
      </w:pPr>
      <w:rPr>
        <w:rFonts w:ascii="Courier New" w:hAnsi="Courier New" w:hint="default"/>
        <w:color w:val="auto"/>
        <w:sz w:val="24"/>
      </w:rPr>
    </w:lvl>
    <w:lvl w:ilvl="2">
      <w:start w:val="1"/>
      <w:numFmt w:val="decimal"/>
      <w:pStyle w:val="Level3-GHGPreamble"/>
      <w:suff w:val="space"/>
      <w:lvlText w:val="%3. "/>
      <w:lvlJc w:val="left"/>
      <w:pPr>
        <w:ind w:left="0" w:firstLine="0"/>
      </w:pPr>
      <w:rPr>
        <w:rFonts w:ascii="Courier New" w:hAnsi="Courier New" w:hint="default"/>
        <w:sz w:val="24"/>
      </w:rPr>
    </w:lvl>
    <w:lvl w:ilvl="3">
      <w:start w:val="1"/>
      <w:numFmt w:val="lowerLetter"/>
      <w:pStyle w:val="Level4-GHGPreamble"/>
      <w:suff w:val="space"/>
      <w:lvlText w:val="%4. "/>
      <w:lvlJc w:val="left"/>
      <w:pPr>
        <w:ind w:left="0" w:firstLine="0"/>
      </w:pPr>
      <w:rPr>
        <w:rFonts w:hint="default"/>
        <w:b w:val="0"/>
        <w:i w:val="0"/>
      </w:rPr>
    </w:lvl>
    <w:lvl w:ilvl="4">
      <w:start w:val="1"/>
      <w:numFmt w:val="lowerRoman"/>
      <w:pStyle w:val="Level5-GHGPreamble"/>
      <w:suff w:val="space"/>
      <w:lvlText w:val="%5. "/>
      <w:lvlJc w:val="left"/>
      <w:pPr>
        <w:ind w:left="-180" w:firstLine="0"/>
      </w:pPr>
      <w:rPr>
        <w:rFonts w:ascii="Courier New" w:hAnsi="Courier New" w:hint="default"/>
        <w:b w:val="0"/>
        <w:i w:val="0"/>
        <w:color w:val="auto"/>
        <w:sz w:val="24"/>
      </w:rPr>
    </w:lvl>
    <w:lvl w:ilvl="5">
      <w:start w:val="1"/>
      <w:numFmt w:val="decimal"/>
      <w:lvlText w:val="%1.%2.%3.%4.%5.%6"/>
      <w:lvlJc w:val="left"/>
      <w:pPr>
        <w:tabs>
          <w:tab w:val="num" w:pos="4500"/>
        </w:tabs>
        <w:ind w:left="4500" w:hanging="108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6300"/>
        </w:tabs>
        <w:ind w:left="6300" w:hanging="1440"/>
      </w:pPr>
      <w:rPr>
        <w:rFonts w:hint="default"/>
      </w:rPr>
    </w:lvl>
    <w:lvl w:ilvl="8">
      <w:start w:val="1"/>
      <w:numFmt w:val="decimal"/>
      <w:lvlText w:val="%1.%2.%3.%4.%5.%6.%7.%8.%9"/>
      <w:lvlJc w:val="left"/>
      <w:pPr>
        <w:tabs>
          <w:tab w:val="num" w:pos="7380"/>
        </w:tabs>
        <w:ind w:left="7380" w:hanging="1800"/>
      </w:pPr>
      <w:rPr>
        <w:rFonts w:hint="default"/>
      </w:rPr>
    </w:lvl>
  </w:abstractNum>
  <w:abstractNum w:abstractNumId="1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DB162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39490726">
    <w:abstractNumId w:val="3"/>
  </w:num>
  <w:num w:numId="2" w16cid:durableId="258569098">
    <w:abstractNumId w:val="8"/>
  </w:num>
  <w:num w:numId="3" w16cid:durableId="1015961391">
    <w:abstractNumId w:val="11"/>
  </w:num>
  <w:num w:numId="4" w16cid:durableId="1587689430">
    <w:abstractNumId w:val="4"/>
  </w:num>
  <w:num w:numId="5" w16cid:durableId="1003582202">
    <w:abstractNumId w:val="7"/>
  </w:num>
  <w:num w:numId="6" w16cid:durableId="2006207916">
    <w:abstractNumId w:val="5"/>
  </w:num>
  <w:num w:numId="7" w16cid:durableId="2009824976">
    <w:abstractNumId w:val="10"/>
  </w:num>
  <w:num w:numId="8" w16cid:durableId="1301424098">
    <w:abstractNumId w:val="0"/>
  </w:num>
  <w:num w:numId="9" w16cid:durableId="196427864">
    <w:abstractNumId w:val="6"/>
  </w:num>
  <w:num w:numId="10" w16cid:durableId="342175176">
    <w:abstractNumId w:val="12"/>
  </w:num>
  <w:num w:numId="11" w16cid:durableId="1423725473">
    <w:abstractNumId w:val="9"/>
  </w:num>
  <w:num w:numId="12" w16cid:durableId="1448696570">
    <w:abstractNumId w:val="1"/>
  </w:num>
  <w:num w:numId="13" w16cid:durableId="56545546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674F"/>
    <w:rsid w:val="00017B90"/>
    <w:rsid w:val="00020791"/>
    <w:rsid w:val="000238A7"/>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4D"/>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87ADC"/>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0E12"/>
    <w:rsid w:val="000B3576"/>
    <w:rsid w:val="000B461B"/>
    <w:rsid w:val="000B7A41"/>
    <w:rsid w:val="000B7BBA"/>
    <w:rsid w:val="000C41A7"/>
    <w:rsid w:val="000C43C8"/>
    <w:rsid w:val="000C608D"/>
    <w:rsid w:val="000D224E"/>
    <w:rsid w:val="000D251E"/>
    <w:rsid w:val="000D2D5D"/>
    <w:rsid w:val="000D3C22"/>
    <w:rsid w:val="000D45B2"/>
    <w:rsid w:val="000D516A"/>
    <w:rsid w:val="000D5863"/>
    <w:rsid w:val="000D6FA4"/>
    <w:rsid w:val="000D7CFB"/>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4D36"/>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676C5"/>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5E9C"/>
    <w:rsid w:val="00197A23"/>
    <w:rsid w:val="001A20B0"/>
    <w:rsid w:val="001A21A7"/>
    <w:rsid w:val="001A3351"/>
    <w:rsid w:val="001A53A7"/>
    <w:rsid w:val="001A76B3"/>
    <w:rsid w:val="001A7DEF"/>
    <w:rsid w:val="001B0264"/>
    <w:rsid w:val="001B1773"/>
    <w:rsid w:val="001B1962"/>
    <w:rsid w:val="001B2D25"/>
    <w:rsid w:val="001B4565"/>
    <w:rsid w:val="001B46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3EB"/>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B2F"/>
    <w:rsid w:val="00210D83"/>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5DA"/>
    <w:rsid w:val="0024175E"/>
    <w:rsid w:val="002420F2"/>
    <w:rsid w:val="002455F0"/>
    <w:rsid w:val="0024599B"/>
    <w:rsid w:val="00246A7E"/>
    <w:rsid w:val="00247198"/>
    <w:rsid w:val="0025051F"/>
    <w:rsid w:val="00251151"/>
    <w:rsid w:val="00252A4E"/>
    <w:rsid w:val="0025319A"/>
    <w:rsid w:val="002538B8"/>
    <w:rsid w:val="0025617C"/>
    <w:rsid w:val="0026050F"/>
    <w:rsid w:val="00260FB7"/>
    <w:rsid w:val="002631A8"/>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1BF5"/>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364B0"/>
    <w:rsid w:val="00336B35"/>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E7F81"/>
    <w:rsid w:val="003F0A11"/>
    <w:rsid w:val="003F36DC"/>
    <w:rsid w:val="003F506B"/>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0B11"/>
    <w:rsid w:val="00441783"/>
    <w:rsid w:val="004420DA"/>
    <w:rsid w:val="00444707"/>
    <w:rsid w:val="004455F6"/>
    <w:rsid w:val="00445751"/>
    <w:rsid w:val="004468C2"/>
    <w:rsid w:val="00446B8D"/>
    <w:rsid w:val="00450C44"/>
    <w:rsid w:val="00456E33"/>
    <w:rsid w:val="004600ED"/>
    <w:rsid w:val="004620CA"/>
    <w:rsid w:val="00463285"/>
    <w:rsid w:val="004647B0"/>
    <w:rsid w:val="00465846"/>
    <w:rsid w:val="00466349"/>
    <w:rsid w:val="00466B43"/>
    <w:rsid w:val="00470E22"/>
    <w:rsid w:val="00472D33"/>
    <w:rsid w:val="00475BA6"/>
    <w:rsid w:val="00477D70"/>
    <w:rsid w:val="004831CC"/>
    <w:rsid w:val="00485567"/>
    <w:rsid w:val="004855BE"/>
    <w:rsid w:val="004863F4"/>
    <w:rsid w:val="00486860"/>
    <w:rsid w:val="00491CC3"/>
    <w:rsid w:val="00491ED9"/>
    <w:rsid w:val="00493564"/>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0FD"/>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066"/>
    <w:rsid w:val="00535D3D"/>
    <w:rsid w:val="00536768"/>
    <w:rsid w:val="005372F7"/>
    <w:rsid w:val="00537322"/>
    <w:rsid w:val="0054083B"/>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5AEA"/>
    <w:rsid w:val="00566F71"/>
    <w:rsid w:val="00570AE4"/>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593"/>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099C"/>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2E30"/>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2FEC"/>
    <w:rsid w:val="006C4CAA"/>
    <w:rsid w:val="006C59C8"/>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5FA"/>
    <w:rsid w:val="006F4946"/>
    <w:rsid w:val="00700070"/>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17707"/>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2E04"/>
    <w:rsid w:val="007B41DD"/>
    <w:rsid w:val="007B5199"/>
    <w:rsid w:val="007B74AA"/>
    <w:rsid w:val="007C1447"/>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4E06"/>
    <w:rsid w:val="00836050"/>
    <w:rsid w:val="008366EC"/>
    <w:rsid w:val="00840AE4"/>
    <w:rsid w:val="008416DF"/>
    <w:rsid w:val="00843BB5"/>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57B4"/>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4ED2"/>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46B0"/>
    <w:rsid w:val="0096508A"/>
    <w:rsid w:val="00965ABF"/>
    <w:rsid w:val="00971A41"/>
    <w:rsid w:val="00975BE8"/>
    <w:rsid w:val="00976A58"/>
    <w:rsid w:val="00977AA1"/>
    <w:rsid w:val="00980058"/>
    <w:rsid w:val="00982445"/>
    <w:rsid w:val="00982777"/>
    <w:rsid w:val="00982BC5"/>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2699"/>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4374"/>
    <w:rsid w:val="009E5EDB"/>
    <w:rsid w:val="009F06DE"/>
    <w:rsid w:val="009F1184"/>
    <w:rsid w:val="009F1E00"/>
    <w:rsid w:val="009F3011"/>
    <w:rsid w:val="009F37D9"/>
    <w:rsid w:val="009F45ED"/>
    <w:rsid w:val="00A0039C"/>
    <w:rsid w:val="00A02D1A"/>
    <w:rsid w:val="00A03078"/>
    <w:rsid w:val="00A0627A"/>
    <w:rsid w:val="00A10781"/>
    <w:rsid w:val="00A10C30"/>
    <w:rsid w:val="00A11AFC"/>
    <w:rsid w:val="00A12BD8"/>
    <w:rsid w:val="00A15F64"/>
    <w:rsid w:val="00A166B7"/>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1F79"/>
    <w:rsid w:val="00A82647"/>
    <w:rsid w:val="00A8542E"/>
    <w:rsid w:val="00A8593A"/>
    <w:rsid w:val="00A9188B"/>
    <w:rsid w:val="00A91EFC"/>
    <w:rsid w:val="00A945E1"/>
    <w:rsid w:val="00A955EC"/>
    <w:rsid w:val="00A9734E"/>
    <w:rsid w:val="00A975AC"/>
    <w:rsid w:val="00A97EE9"/>
    <w:rsid w:val="00AA029F"/>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D622C"/>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557"/>
    <w:rsid w:val="00B027C5"/>
    <w:rsid w:val="00B02874"/>
    <w:rsid w:val="00B04655"/>
    <w:rsid w:val="00B06750"/>
    <w:rsid w:val="00B07337"/>
    <w:rsid w:val="00B11B2A"/>
    <w:rsid w:val="00B13545"/>
    <w:rsid w:val="00B13DEC"/>
    <w:rsid w:val="00B15AEE"/>
    <w:rsid w:val="00B15B9E"/>
    <w:rsid w:val="00B222EC"/>
    <w:rsid w:val="00B22810"/>
    <w:rsid w:val="00B22A8E"/>
    <w:rsid w:val="00B22F84"/>
    <w:rsid w:val="00B2326A"/>
    <w:rsid w:val="00B23E0D"/>
    <w:rsid w:val="00B24852"/>
    <w:rsid w:val="00B26757"/>
    <w:rsid w:val="00B31C31"/>
    <w:rsid w:val="00B340C0"/>
    <w:rsid w:val="00B35F8D"/>
    <w:rsid w:val="00B37C28"/>
    <w:rsid w:val="00B400AE"/>
    <w:rsid w:val="00B434D7"/>
    <w:rsid w:val="00B45BEF"/>
    <w:rsid w:val="00B47058"/>
    <w:rsid w:val="00B5068E"/>
    <w:rsid w:val="00B51024"/>
    <w:rsid w:val="00B524A9"/>
    <w:rsid w:val="00B603E4"/>
    <w:rsid w:val="00B62988"/>
    <w:rsid w:val="00B63B97"/>
    <w:rsid w:val="00B63F7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2BCF"/>
    <w:rsid w:val="00B9379D"/>
    <w:rsid w:val="00B93F50"/>
    <w:rsid w:val="00B9424F"/>
    <w:rsid w:val="00B9504D"/>
    <w:rsid w:val="00B957FA"/>
    <w:rsid w:val="00B95BD0"/>
    <w:rsid w:val="00B9602F"/>
    <w:rsid w:val="00BA1A18"/>
    <w:rsid w:val="00BA45E6"/>
    <w:rsid w:val="00BA5E6F"/>
    <w:rsid w:val="00BB0164"/>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5F8C"/>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4D"/>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E7B01"/>
    <w:rsid w:val="00CF23B4"/>
    <w:rsid w:val="00CF242E"/>
    <w:rsid w:val="00CF413A"/>
    <w:rsid w:val="00CF4631"/>
    <w:rsid w:val="00CF5A3C"/>
    <w:rsid w:val="00CF5EFF"/>
    <w:rsid w:val="00D00106"/>
    <w:rsid w:val="00D00D33"/>
    <w:rsid w:val="00D01A8F"/>
    <w:rsid w:val="00D04072"/>
    <w:rsid w:val="00D043F3"/>
    <w:rsid w:val="00D06F06"/>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5A3B"/>
    <w:rsid w:val="00DE60DC"/>
    <w:rsid w:val="00DE68CB"/>
    <w:rsid w:val="00DF0955"/>
    <w:rsid w:val="00DF3AA1"/>
    <w:rsid w:val="00DF4973"/>
    <w:rsid w:val="00DF5B6A"/>
    <w:rsid w:val="00DF6030"/>
    <w:rsid w:val="00DF7E5D"/>
    <w:rsid w:val="00E00589"/>
    <w:rsid w:val="00E0220E"/>
    <w:rsid w:val="00E034D9"/>
    <w:rsid w:val="00E03FC8"/>
    <w:rsid w:val="00E04947"/>
    <w:rsid w:val="00E076DF"/>
    <w:rsid w:val="00E10927"/>
    <w:rsid w:val="00E128B1"/>
    <w:rsid w:val="00E14467"/>
    <w:rsid w:val="00E14BF3"/>
    <w:rsid w:val="00E14CEC"/>
    <w:rsid w:val="00E16410"/>
    <w:rsid w:val="00E205A3"/>
    <w:rsid w:val="00E2389F"/>
    <w:rsid w:val="00E24461"/>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1F2F"/>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08E4"/>
    <w:rsid w:val="00EE1504"/>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A09"/>
    <w:rsid w:val="00F43533"/>
    <w:rsid w:val="00F440BC"/>
    <w:rsid w:val="00F462DB"/>
    <w:rsid w:val="00F47EAC"/>
    <w:rsid w:val="00F5019F"/>
    <w:rsid w:val="00F50C29"/>
    <w:rsid w:val="00F51F05"/>
    <w:rsid w:val="00F532D6"/>
    <w:rsid w:val="00F56114"/>
    <w:rsid w:val="00F56CF7"/>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aliases w:val="TOC 2-GHG Preamble"/>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nhideWhenUsed/>
    <w:rsid w:val="00F17F8C"/>
    <w:rPr>
      <w:color w:val="954F72" w:themeColor="followedHyperlink"/>
      <w:u w:val="single"/>
    </w:rPr>
  </w:style>
  <w:style w:type="paragraph" w:styleId="BalloonText">
    <w:name w:val="Balloon Text"/>
    <w:basedOn w:val="Normal"/>
    <w:link w:val="BalloonTextChar"/>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nhideWhenUsed/>
    <w:rsid w:val="00427079"/>
    <w:rPr>
      <w:b/>
      <w:bCs/>
    </w:rPr>
  </w:style>
  <w:style w:type="character" w:customStyle="1" w:styleId="CommentSubjectChar">
    <w:name w:val="Comment Subject Char"/>
    <w:basedOn w:val="CommentTextChar"/>
    <w:link w:val="CommentSubject"/>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aliases w:val=" Char, Char4,ALTS FOOTNOTE,Char,Char4,Footnote Text - Preamble,Footnote Text Char Char,Footnote Text Char Char Char Char,Footnote Text Char Char1,Footnote Text Char1,Footnote Text Char1 Char Char,fn"/>
    <w:basedOn w:val="Normal"/>
    <w:link w:val="FootnoteTextChar"/>
    <w:unhideWhenUsed/>
    <w:rsid w:val="005723B9"/>
    <w:pPr>
      <w:spacing w:after="0" w:line="240" w:lineRule="auto"/>
    </w:pPr>
    <w:rPr>
      <w:sz w:val="20"/>
      <w:szCs w:val="20"/>
    </w:rPr>
  </w:style>
  <w:style w:type="character" w:customStyle="1" w:styleId="FootnoteTextChar">
    <w:name w:val="Footnote Text Char"/>
    <w:aliases w:val=" Char Char, Char4 Char,ALTS FOOTNOTE Char,Char Char,Char4 Char,Footnote Text - Preamble Char,Footnote Text Char Char Char,Footnote Text Char Char Char Char Char,Footnote Text Char1 Char,Footnote Text Char1 Char Char Char,fn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qFormat/>
    <w:rsid w:val="005E588F"/>
    <w:rPr>
      <w:b/>
      <w:bCs/>
    </w:rPr>
  </w:style>
  <w:style w:type="character" w:styleId="Emphasis">
    <w:name w:val="Emphasis"/>
    <w:basedOn w:val="DefaultParagraphFont"/>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5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styleId="BodyText">
    <w:name w:val="Body Text"/>
    <w:basedOn w:val="Normal"/>
    <w:link w:val="BodyTextChar"/>
    <w:uiPriority w:val="99"/>
    <w:unhideWhenUsed/>
    <w:rsid w:val="00336B3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36B35"/>
    <w:rPr>
      <w:rFonts w:ascii="Times New Roman" w:eastAsia="Times New Roman" w:hAnsi="Times New Roman" w:cs="Times New Roman"/>
      <w:sz w:val="24"/>
      <w:szCs w:val="24"/>
    </w:rPr>
  </w:style>
  <w:style w:type="paragraph" w:customStyle="1" w:styleId="Default">
    <w:name w:val="Default"/>
    <w:rsid w:val="00DF5B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HGPARAGRAPH">
    <w:name w:val="___GHG PARAGRAPH"/>
    <w:link w:val="GHGPARAGRAPHCharChar"/>
    <w:uiPriority w:val="99"/>
    <w:qFormat/>
    <w:rsid w:val="00DF5B6A"/>
    <w:pPr>
      <w:spacing w:after="0" w:line="480" w:lineRule="auto"/>
      <w:ind w:firstLine="720"/>
    </w:pPr>
    <w:rPr>
      <w:rFonts w:ascii="Times New Roman" w:eastAsia="Times New Roman" w:hAnsi="Times New Roman" w:cs="Times New Roman"/>
      <w:bCs/>
      <w:sz w:val="24"/>
      <w:szCs w:val="24"/>
    </w:rPr>
  </w:style>
  <w:style w:type="character" w:customStyle="1" w:styleId="GHGPARAGRAPHCharChar">
    <w:name w:val="___GHG PARAGRAPH Char Char"/>
    <w:link w:val="GHGPARAGRAPH"/>
    <w:uiPriority w:val="99"/>
    <w:locked/>
    <w:rsid w:val="00DF5B6A"/>
    <w:rPr>
      <w:rFonts w:ascii="Times New Roman" w:eastAsia="Times New Roman" w:hAnsi="Times New Roman" w:cs="Times New Roman"/>
      <w:bCs/>
      <w:sz w:val="24"/>
      <w:szCs w:val="24"/>
    </w:rPr>
  </w:style>
  <w:style w:type="paragraph" w:customStyle="1" w:styleId="List1">
    <w:name w:val="List 1"/>
    <w:basedOn w:val="Heading1"/>
    <w:rsid w:val="009646B0"/>
    <w:pPr>
      <w:keepNext w:val="0"/>
      <w:keepLines w:val="0"/>
      <w:numPr>
        <w:numId w:val="6"/>
      </w:numPr>
      <w:spacing w:before="0"/>
      <w:ind w:left="0" w:firstLine="0"/>
      <w:jc w:val="center"/>
    </w:pPr>
    <w:rPr>
      <w:rFonts w:ascii="Times New Roman" w:eastAsia="Times New Roman" w:hAnsi="Times New Roman" w:cs="Times New Roman"/>
      <w:b/>
      <w:color w:val="auto"/>
      <w:sz w:val="28"/>
      <w:szCs w:val="24"/>
    </w:rPr>
  </w:style>
  <w:style w:type="paragraph" w:customStyle="1" w:styleId="Level2-GHGPreamble">
    <w:name w:val="_Level 2-GHG Preamble"/>
    <w:link w:val="Level2-GHGPreambleCharChar"/>
    <w:autoRedefine/>
    <w:uiPriority w:val="99"/>
    <w:rsid w:val="009646B0"/>
    <w:pPr>
      <w:numPr>
        <w:ilvl w:val="1"/>
        <w:numId w:val="7"/>
      </w:numPr>
      <w:spacing w:after="100" w:line="240" w:lineRule="auto"/>
    </w:pPr>
    <w:rPr>
      <w:rFonts w:ascii="Courier New" w:eastAsia="Times New Roman" w:hAnsi="Courier New" w:cs="Courier New"/>
      <w:b/>
      <w:sz w:val="24"/>
      <w:szCs w:val="24"/>
      <w:u w:val="single"/>
    </w:rPr>
  </w:style>
  <w:style w:type="paragraph" w:customStyle="1" w:styleId="Level3-GHGPreamble">
    <w:name w:val="_Level 3-GHG Preamble"/>
    <w:link w:val="Level3-GHGPreambleCharChar"/>
    <w:autoRedefine/>
    <w:rsid w:val="009646B0"/>
    <w:pPr>
      <w:numPr>
        <w:ilvl w:val="2"/>
        <w:numId w:val="7"/>
      </w:numPr>
      <w:tabs>
        <w:tab w:val="num" w:pos="360"/>
      </w:tabs>
      <w:spacing w:after="100" w:line="240" w:lineRule="auto"/>
    </w:pPr>
    <w:rPr>
      <w:rFonts w:ascii="Courier New" w:eastAsia="Times New Roman" w:hAnsi="Courier New" w:cs="Courier New"/>
      <w:noProof/>
      <w:sz w:val="24"/>
      <w:szCs w:val="24"/>
      <w:u w:val="single"/>
    </w:rPr>
  </w:style>
  <w:style w:type="paragraph" w:customStyle="1" w:styleId="Level5-GHGPreamble">
    <w:name w:val="_Level 5-GHG Preamble"/>
    <w:rsid w:val="009646B0"/>
    <w:pPr>
      <w:numPr>
        <w:ilvl w:val="4"/>
        <w:numId w:val="7"/>
      </w:numPr>
      <w:spacing w:after="0" w:line="240" w:lineRule="auto"/>
    </w:pPr>
    <w:rPr>
      <w:rFonts w:ascii="Courier New" w:eastAsia="Times New Roman" w:hAnsi="Courier New" w:cs="Times New Roman"/>
      <w:color w:val="000000"/>
      <w:sz w:val="24"/>
      <w:szCs w:val="24"/>
      <w:u w:val="single"/>
    </w:rPr>
  </w:style>
  <w:style w:type="paragraph" w:customStyle="1" w:styleId="Level4-GHGPreamble">
    <w:name w:val="_Level 4-GHG Preamble"/>
    <w:autoRedefine/>
    <w:rsid w:val="009646B0"/>
    <w:pPr>
      <w:numPr>
        <w:ilvl w:val="3"/>
        <w:numId w:val="7"/>
      </w:numPr>
      <w:tabs>
        <w:tab w:val="num" w:pos="360"/>
      </w:tabs>
      <w:spacing w:after="100" w:line="240" w:lineRule="auto"/>
    </w:pPr>
    <w:rPr>
      <w:rFonts w:ascii="Courier New" w:eastAsia="Times New Roman" w:hAnsi="Courier New" w:cs="Times New Roman"/>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9646B0"/>
    <w:pPr>
      <w:ind w:left="360"/>
    </w:pPr>
  </w:style>
  <w:style w:type="character" w:customStyle="1" w:styleId="StyleGHGPreamble-level2CourierNewUnderlineChar">
    <w:name w:val="Style _GHG Preamble-level2 + Courier New Underline Char"/>
    <w:link w:val="StyleGHGPreamble-level2CourierNewUnderline"/>
    <w:semiHidden/>
    <w:rsid w:val="009646B0"/>
    <w:rPr>
      <w:rFonts w:ascii="Courier New" w:eastAsia="Times New Roman" w:hAnsi="Courier New" w:cs="Courier New"/>
      <w:b/>
      <w:sz w:val="24"/>
      <w:szCs w:val="24"/>
      <w:u w:val="single"/>
    </w:rPr>
  </w:style>
  <w:style w:type="paragraph" w:customStyle="1" w:styleId="Paragraph-Format-GHGPreamble">
    <w:name w:val="_Paragraph-Format-GHG Preamble"/>
    <w:link w:val="Paragraph-Format-GHGPreambleChar"/>
    <w:autoRedefine/>
    <w:rsid w:val="009646B0"/>
    <w:pPr>
      <w:spacing w:after="100" w:line="240" w:lineRule="auto"/>
      <w:ind w:firstLine="720"/>
    </w:pPr>
    <w:rPr>
      <w:rFonts w:ascii="Courier New" w:eastAsia="Times New Roman" w:hAnsi="Courier New" w:cs="Courier New"/>
      <w:sz w:val="24"/>
      <w:szCs w:val="24"/>
    </w:rPr>
  </w:style>
  <w:style w:type="character" w:customStyle="1" w:styleId="Paragraph-Format-GHGPreambleChar">
    <w:name w:val="_Paragraph-Format-GHG Preamble Char"/>
    <w:link w:val="Paragraph-Format-GHGPreamble"/>
    <w:rsid w:val="009646B0"/>
    <w:rPr>
      <w:rFonts w:ascii="Courier New" w:eastAsia="Times New Roman" w:hAnsi="Courier New" w:cs="Courier New"/>
      <w:sz w:val="24"/>
      <w:szCs w:val="24"/>
    </w:rPr>
  </w:style>
  <w:style w:type="paragraph" w:customStyle="1" w:styleId="Bullet-GHGPreamble">
    <w:name w:val="_Bullet-GHG Preamble"/>
    <w:link w:val="Bullet-GHGPreambleCharChar"/>
    <w:uiPriority w:val="99"/>
    <w:rsid w:val="009646B0"/>
    <w:pPr>
      <w:numPr>
        <w:numId w:val="8"/>
      </w:numPr>
      <w:spacing w:after="100" w:line="240" w:lineRule="auto"/>
    </w:pPr>
    <w:rPr>
      <w:rFonts w:ascii="Courier New" w:eastAsia="Times New Roman" w:hAnsi="Courier New" w:cs="Times New Roman"/>
      <w:sz w:val="24"/>
      <w:szCs w:val="24"/>
    </w:rPr>
  </w:style>
  <w:style w:type="character" w:customStyle="1" w:styleId="Bullet-GHGPreambleCharChar">
    <w:name w:val="_Bullet-GHG Preamble Char Char"/>
    <w:link w:val="Bullet-GHGPreamble"/>
    <w:uiPriority w:val="99"/>
    <w:rsid w:val="009646B0"/>
    <w:rPr>
      <w:rFonts w:ascii="Courier New" w:eastAsia="Times New Roman" w:hAnsi="Courier New" w:cs="Times New Roman"/>
      <w:sz w:val="24"/>
      <w:szCs w:val="24"/>
    </w:rPr>
  </w:style>
  <w:style w:type="character" w:customStyle="1" w:styleId="Level3-GHGPreambleCharChar">
    <w:name w:val="_Level 3-GHG Preamble Char Char"/>
    <w:link w:val="Level3-GHGPreamble"/>
    <w:rsid w:val="009646B0"/>
    <w:rPr>
      <w:rFonts w:ascii="Courier New" w:eastAsia="Times New Roman" w:hAnsi="Courier New" w:cs="Courier New"/>
      <w:noProof/>
      <w:sz w:val="24"/>
      <w:szCs w:val="24"/>
      <w:u w:val="single"/>
    </w:rPr>
  </w:style>
  <w:style w:type="paragraph" w:customStyle="1" w:styleId="LightList-Accent31">
    <w:name w:val="Light List - Accent 31"/>
    <w:hidden/>
    <w:uiPriority w:val="99"/>
    <w:semiHidden/>
    <w:rsid w:val="009646B0"/>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9646B0"/>
  </w:style>
  <w:style w:type="paragraph" w:customStyle="1" w:styleId="GHGPreamble-level4">
    <w:name w:val="_GHG Preamble-level4"/>
    <w:semiHidden/>
    <w:rsid w:val="009646B0"/>
    <w:pPr>
      <w:numPr>
        <w:ilvl w:val="5"/>
        <w:numId w:val="9"/>
      </w:numPr>
      <w:tabs>
        <w:tab w:val="num" w:pos="1440"/>
      </w:tabs>
      <w:spacing w:after="0" w:line="240" w:lineRule="auto"/>
      <w:ind w:left="1440" w:hanging="360"/>
    </w:pPr>
    <w:rPr>
      <w:rFonts w:ascii="Times New Roman" w:eastAsia="Times New Roman" w:hAnsi="Times New Roman" w:cs="Times New Roman"/>
      <w:color w:val="000000"/>
      <w:sz w:val="24"/>
      <w:szCs w:val="24"/>
    </w:rPr>
  </w:style>
  <w:style w:type="numbering" w:styleId="111111">
    <w:name w:val="Outline List 2"/>
    <w:basedOn w:val="NoList"/>
    <w:semiHidden/>
    <w:rsid w:val="009646B0"/>
    <w:pPr>
      <w:numPr>
        <w:numId w:val="10"/>
      </w:numPr>
    </w:pPr>
  </w:style>
  <w:style w:type="paragraph" w:customStyle="1" w:styleId="GHGLevels">
    <w:name w:val="GHG Levels"/>
    <w:basedOn w:val="Normal"/>
    <w:link w:val="GHGLevelsCharChar"/>
    <w:rsid w:val="009646B0"/>
    <w:pPr>
      <w:numPr>
        <w:numId w:val="11"/>
      </w:numPr>
      <w:spacing w:before="80" w:after="80" w:line="240" w:lineRule="auto"/>
    </w:pPr>
    <w:rPr>
      <w:rFonts w:ascii="Times New Roman" w:eastAsia="Times New Roman" w:hAnsi="Times New Roman" w:cs="Times New Roman"/>
      <w:bCs/>
      <w:sz w:val="24"/>
      <w:szCs w:val="24"/>
    </w:rPr>
  </w:style>
  <w:style w:type="character" w:customStyle="1" w:styleId="GHGLevelsCharChar">
    <w:name w:val="GHG Levels Char Char"/>
    <w:link w:val="GHGLevels"/>
    <w:rsid w:val="009646B0"/>
    <w:rPr>
      <w:rFonts w:ascii="Times New Roman" w:eastAsia="Times New Roman" w:hAnsi="Times New Roman" w:cs="Times New Roman"/>
      <w:bCs/>
      <w:sz w:val="24"/>
      <w:szCs w:val="24"/>
    </w:rPr>
  </w:style>
  <w:style w:type="paragraph" w:styleId="BodyText3">
    <w:name w:val="Body Text 3"/>
    <w:basedOn w:val="Normal"/>
    <w:link w:val="BodyText3Char"/>
    <w:semiHidden/>
    <w:rsid w:val="009646B0"/>
    <w:pPr>
      <w:spacing w:after="120" w:line="240" w:lineRule="auto"/>
    </w:pPr>
    <w:rPr>
      <w:rFonts w:ascii="Courier New" w:eastAsia="Times New Roman" w:hAnsi="Courier New" w:cs="Courier New"/>
      <w:sz w:val="16"/>
      <w:szCs w:val="16"/>
    </w:rPr>
  </w:style>
  <w:style w:type="character" w:customStyle="1" w:styleId="BodyText3Char">
    <w:name w:val="Body Text 3 Char"/>
    <w:basedOn w:val="DefaultParagraphFont"/>
    <w:link w:val="BodyText3"/>
    <w:semiHidden/>
    <w:rsid w:val="009646B0"/>
    <w:rPr>
      <w:rFonts w:ascii="Courier New" w:eastAsia="Times New Roman" w:hAnsi="Courier New" w:cs="Courier New"/>
      <w:sz w:val="16"/>
      <w:szCs w:val="16"/>
    </w:rPr>
  </w:style>
  <w:style w:type="paragraph" w:customStyle="1" w:styleId="ExhibitTitle">
    <w:name w:val="Exhibit Title"/>
    <w:basedOn w:val="Normal"/>
    <w:link w:val="ExhibitTitleChar"/>
    <w:qFormat/>
    <w:rsid w:val="009646B0"/>
    <w:pPr>
      <w:keepLines/>
      <w:autoSpaceDE w:val="0"/>
      <w:autoSpaceDN w:val="0"/>
      <w:adjustRightInd w:val="0"/>
      <w:spacing w:after="0" w:line="240" w:lineRule="auto"/>
      <w:ind w:left="720"/>
      <w:jc w:val="center"/>
    </w:pPr>
    <w:rPr>
      <w:rFonts w:ascii="Arial" w:eastAsia="Times New Roman" w:hAnsi="Arial" w:cs="Arial"/>
      <w:b/>
      <w:sz w:val="24"/>
      <w:szCs w:val="28"/>
    </w:rPr>
  </w:style>
  <w:style w:type="character" w:customStyle="1" w:styleId="ExhibitTitleChar">
    <w:name w:val="Exhibit Title Char"/>
    <w:link w:val="ExhibitTitle"/>
    <w:rsid w:val="009646B0"/>
    <w:rPr>
      <w:rFonts w:ascii="Arial" w:eastAsia="Times New Roman" w:hAnsi="Arial" w:cs="Arial"/>
      <w:b/>
      <w:sz w:val="24"/>
      <w:szCs w:val="28"/>
    </w:rPr>
  </w:style>
  <w:style w:type="paragraph" w:customStyle="1" w:styleId="GHGPARAGRAPH0">
    <w:name w:val="GHG PARAGRAPH"/>
    <w:link w:val="GHGPARAGRAPHCharChar0"/>
    <w:rsid w:val="009646B0"/>
    <w:pPr>
      <w:spacing w:before="80" w:after="80" w:line="240" w:lineRule="auto"/>
      <w:ind w:firstLine="720"/>
    </w:pPr>
    <w:rPr>
      <w:rFonts w:ascii="Courier New" w:eastAsia="Times New Roman" w:hAnsi="Courier New" w:cs="Courier New"/>
      <w:bCs/>
      <w:noProof/>
      <w:sz w:val="24"/>
      <w:szCs w:val="24"/>
    </w:rPr>
  </w:style>
  <w:style w:type="character" w:customStyle="1" w:styleId="GHGPARAGRAPHCharChar0">
    <w:name w:val="GHG PARAGRAPH Char Char"/>
    <w:link w:val="GHGPARAGRAPH0"/>
    <w:rsid w:val="009646B0"/>
    <w:rPr>
      <w:rFonts w:ascii="Courier New" w:eastAsia="Times New Roman" w:hAnsi="Courier New" w:cs="Courier New"/>
      <w:bCs/>
      <w:noProof/>
      <w:sz w:val="24"/>
      <w:szCs w:val="24"/>
    </w:rPr>
  </w:style>
  <w:style w:type="paragraph" w:customStyle="1" w:styleId="BodyText1">
    <w:name w:val="Body Text1"/>
    <w:aliases w:val="body tx,bt,flush,indent,memo body text"/>
    <w:basedOn w:val="Normal"/>
    <w:link w:val="bodytextChar0"/>
    <w:uiPriority w:val="99"/>
    <w:rsid w:val="009646B0"/>
    <w:pPr>
      <w:spacing w:after="240" w:line="360" w:lineRule="atLeast"/>
      <w:ind w:firstLine="720"/>
    </w:pPr>
    <w:rPr>
      <w:rFonts w:ascii="Times New Roman" w:eastAsia="Times New Roman" w:hAnsi="Times New Roman" w:cs="Times New Roman"/>
      <w:sz w:val="24"/>
      <w:szCs w:val="20"/>
    </w:rPr>
  </w:style>
  <w:style w:type="paragraph" w:customStyle="1" w:styleId="bullets-3rdlevel">
    <w:name w:val="bullets-3rd level"/>
    <w:uiPriority w:val="99"/>
    <w:rsid w:val="009646B0"/>
    <w:pPr>
      <w:numPr>
        <w:numId w:val="12"/>
      </w:numPr>
      <w:tabs>
        <w:tab w:val="clear" w:pos="2160"/>
      </w:tabs>
      <w:spacing w:after="120" w:line="240" w:lineRule="auto"/>
      <w:ind w:left="1800"/>
    </w:pPr>
    <w:rPr>
      <w:rFonts w:ascii="Times New Roman" w:eastAsia="Times New Roman" w:hAnsi="Times New Roman" w:cs="Times New Roman"/>
      <w:sz w:val="24"/>
      <w:szCs w:val="20"/>
    </w:rPr>
  </w:style>
  <w:style w:type="character" w:customStyle="1" w:styleId="bodytextChar0">
    <w:name w:val="body text Char"/>
    <w:aliases w:val="body tx Char,bt Char,flush Char,indent Char"/>
    <w:link w:val="BodyText1"/>
    <w:uiPriority w:val="99"/>
    <w:rsid w:val="009646B0"/>
    <w:rPr>
      <w:rFonts w:ascii="Times New Roman" w:eastAsia="Times New Roman" w:hAnsi="Times New Roman" w:cs="Times New Roman"/>
      <w:sz w:val="24"/>
      <w:szCs w:val="20"/>
    </w:rPr>
  </w:style>
  <w:style w:type="paragraph" w:customStyle="1" w:styleId="GHGPARAGRAPH1">
    <w:name w:val="__GHG PARAGRAPH"/>
    <w:link w:val="GHGPARAGRAPHCharChar1"/>
    <w:rsid w:val="009646B0"/>
    <w:pPr>
      <w:spacing w:after="0" w:line="480" w:lineRule="auto"/>
      <w:ind w:firstLine="720"/>
    </w:pPr>
    <w:rPr>
      <w:rFonts w:ascii="Courier New" w:eastAsia="Times New Roman" w:hAnsi="Courier New" w:cs="Courier New"/>
      <w:bCs/>
      <w:noProof/>
      <w:sz w:val="24"/>
      <w:szCs w:val="24"/>
    </w:rPr>
  </w:style>
  <w:style w:type="character" w:customStyle="1" w:styleId="GHGPARAGRAPHCharChar1">
    <w:name w:val="__GHG PARAGRAPH Char Char"/>
    <w:link w:val="GHGPARAGRAPH1"/>
    <w:rsid w:val="009646B0"/>
    <w:rPr>
      <w:rFonts w:ascii="Courier New" w:eastAsia="Times New Roman" w:hAnsi="Courier New" w:cs="Courier New"/>
      <w:bCs/>
      <w:noProof/>
      <w:sz w:val="24"/>
      <w:szCs w:val="24"/>
    </w:rPr>
  </w:style>
  <w:style w:type="character" w:customStyle="1" w:styleId="CommentTextChar1">
    <w:name w:val="Comment Text Char1"/>
    <w:uiPriority w:val="99"/>
    <w:rsid w:val="009646B0"/>
    <w:rPr>
      <w:rFonts w:ascii="Courier New" w:hAnsi="Courier New" w:cs="Courier New"/>
    </w:rPr>
  </w:style>
  <w:style w:type="paragraph" w:customStyle="1" w:styleId="LightGrid-Accent31">
    <w:name w:val="Light Grid - Accent 31"/>
    <w:basedOn w:val="Normal"/>
    <w:uiPriority w:val="34"/>
    <w:qFormat/>
    <w:rsid w:val="009646B0"/>
    <w:pPr>
      <w:spacing w:after="0" w:line="240" w:lineRule="auto"/>
      <w:ind w:left="720"/>
    </w:pPr>
    <w:rPr>
      <w:rFonts w:ascii="Times New Roman" w:eastAsia="Times New Roman" w:hAnsi="Times New Roman" w:cs="Times New Roman"/>
      <w:sz w:val="24"/>
      <w:szCs w:val="24"/>
    </w:rPr>
  </w:style>
  <w:style w:type="paragraph" w:styleId="DocumentMap">
    <w:name w:val="Document Map"/>
    <w:basedOn w:val="Normal"/>
    <w:link w:val="DocumentMapChar"/>
    <w:rsid w:val="009646B0"/>
    <w:pPr>
      <w:spacing w:after="0" w:line="240" w:lineRule="auto"/>
    </w:pPr>
    <w:rPr>
      <w:rFonts w:ascii="Tahoma" w:eastAsia="Times New Roman" w:hAnsi="Tahoma" w:cs="Times New Roman"/>
      <w:sz w:val="16"/>
      <w:szCs w:val="16"/>
    </w:rPr>
  </w:style>
  <w:style w:type="character" w:customStyle="1" w:styleId="DocumentMapChar">
    <w:name w:val="Document Map Char"/>
    <w:basedOn w:val="DefaultParagraphFont"/>
    <w:link w:val="DocumentMap"/>
    <w:rsid w:val="009646B0"/>
    <w:rPr>
      <w:rFonts w:ascii="Tahoma" w:eastAsia="Times New Roman" w:hAnsi="Tahoma" w:cs="Times New Roman"/>
      <w:sz w:val="16"/>
      <w:szCs w:val="16"/>
    </w:rPr>
  </w:style>
  <w:style w:type="paragraph" w:customStyle="1" w:styleId="LightGrid-Accent310">
    <w:name w:val="Light Grid - Accent 310"/>
    <w:basedOn w:val="Normal"/>
    <w:uiPriority w:val="34"/>
    <w:qFormat/>
    <w:rsid w:val="009646B0"/>
    <w:pPr>
      <w:spacing w:after="0" w:line="240" w:lineRule="auto"/>
      <w:ind w:left="720"/>
    </w:pPr>
    <w:rPr>
      <w:rFonts w:ascii="Times New Roman" w:eastAsia="Times New Roman" w:hAnsi="Times New Roman" w:cs="Times New Roman"/>
      <w:sz w:val="24"/>
      <w:szCs w:val="24"/>
    </w:rPr>
  </w:style>
  <w:style w:type="character" w:customStyle="1" w:styleId="Level2-GHGPreambleCharChar">
    <w:name w:val="_Level 2-GHG Preamble Char Char"/>
    <w:link w:val="Level2-GHGPreamble"/>
    <w:uiPriority w:val="99"/>
    <w:rsid w:val="009646B0"/>
    <w:rPr>
      <w:rFonts w:ascii="Courier New" w:eastAsia="Times New Roman" w:hAnsi="Courier New" w:cs="Courier New"/>
      <w:b/>
      <w:sz w:val="24"/>
      <w:szCs w:val="24"/>
      <w:u w:val="single"/>
    </w:rPr>
  </w:style>
  <w:style w:type="paragraph" w:customStyle="1" w:styleId="MediumGrid1-Accent21">
    <w:name w:val="Medium Grid 1 - Accent 21"/>
    <w:basedOn w:val="Normal"/>
    <w:uiPriority w:val="34"/>
    <w:qFormat/>
    <w:rsid w:val="009646B0"/>
    <w:pPr>
      <w:spacing w:after="0" w:line="240" w:lineRule="auto"/>
      <w:ind w:left="720"/>
    </w:pPr>
    <w:rPr>
      <w:rFonts w:ascii="Times New Roman" w:eastAsia="Times New Roman" w:hAnsi="Times New Roman" w:cs="Times New Roman"/>
      <w:sz w:val="24"/>
      <w:szCs w:val="24"/>
    </w:rPr>
  </w:style>
  <w:style w:type="paragraph" w:customStyle="1" w:styleId="CM5">
    <w:name w:val="CM5"/>
    <w:basedOn w:val="Default"/>
    <w:next w:val="Default"/>
    <w:uiPriority w:val="99"/>
    <w:rsid w:val="009646B0"/>
    <w:rPr>
      <w:color w:val="auto"/>
    </w:rPr>
  </w:style>
  <w:style w:type="paragraph" w:customStyle="1" w:styleId="CM65">
    <w:name w:val="CM65"/>
    <w:basedOn w:val="Default"/>
    <w:next w:val="Default"/>
    <w:uiPriority w:val="99"/>
    <w:rsid w:val="009646B0"/>
    <w:rPr>
      <w:rFonts w:ascii="Candara" w:hAnsi="Candara"/>
      <w:color w:val="auto"/>
    </w:rPr>
  </w:style>
  <w:style w:type="paragraph" w:customStyle="1" w:styleId="CM63">
    <w:name w:val="CM63"/>
    <w:basedOn w:val="Default"/>
    <w:next w:val="Default"/>
    <w:uiPriority w:val="99"/>
    <w:rsid w:val="009646B0"/>
    <w:rPr>
      <w:rFonts w:ascii="Candara" w:hAnsi="Candara"/>
      <w:color w:val="auto"/>
    </w:rPr>
  </w:style>
  <w:style w:type="paragraph" w:customStyle="1" w:styleId="MediumList2-Accent21">
    <w:name w:val="Medium List 2 - Accent 21"/>
    <w:hidden/>
    <w:uiPriority w:val="99"/>
    <w:semiHidden/>
    <w:rsid w:val="009646B0"/>
    <w:pPr>
      <w:spacing w:after="0" w:line="240" w:lineRule="auto"/>
    </w:pPr>
    <w:rPr>
      <w:rFonts w:ascii="Times New Roman" w:eastAsia="Times New Roman" w:hAnsi="Times New Roman" w:cs="Times New Roman"/>
      <w:sz w:val="24"/>
      <w:szCs w:val="24"/>
    </w:rPr>
  </w:style>
  <w:style w:type="paragraph" w:customStyle="1" w:styleId="1">
    <w:name w:val="1"/>
    <w:basedOn w:val="Normal"/>
    <w:link w:val="1Char"/>
    <w:qFormat/>
    <w:rsid w:val="009646B0"/>
    <w:pPr>
      <w:spacing w:after="0" w:line="240" w:lineRule="auto"/>
    </w:pPr>
    <w:rPr>
      <w:rFonts w:ascii="Times New Roman" w:eastAsia="Times New Roman" w:hAnsi="Times New Roman" w:cs="Times New Roman"/>
      <w:b/>
      <w:sz w:val="24"/>
      <w:szCs w:val="24"/>
    </w:rPr>
  </w:style>
  <w:style w:type="character" w:customStyle="1" w:styleId="1Char">
    <w:name w:val="1 Char"/>
    <w:link w:val="1"/>
    <w:rsid w:val="009646B0"/>
    <w:rPr>
      <w:rFonts w:ascii="Times New Roman" w:eastAsia="Times New Roman" w:hAnsi="Times New Roman" w:cs="Times New Roman"/>
      <w:b/>
      <w:sz w:val="24"/>
      <w:szCs w:val="24"/>
    </w:rPr>
  </w:style>
  <w:style w:type="paragraph" w:customStyle="1" w:styleId="ColorfulShading-Accent11">
    <w:name w:val="Colorful Shading - Accent 11"/>
    <w:hidden/>
    <w:uiPriority w:val="99"/>
    <w:semiHidden/>
    <w:rsid w:val="009646B0"/>
    <w:pPr>
      <w:spacing w:after="0" w:line="240" w:lineRule="auto"/>
    </w:pPr>
    <w:rPr>
      <w:rFonts w:ascii="Times New Roman" w:eastAsia="Times New Roman" w:hAnsi="Times New Roman" w:cs="Times New Roman"/>
      <w:sz w:val="24"/>
      <w:szCs w:val="24"/>
    </w:rPr>
  </w:style>
  <w:style w:type="paragraph" w:customStyle="1" w:styleId="GHGPARAGRAPH2">
    <w:name w:val="____GHG PARAGRAPH"/>
    <w:basedOn w:val="Normal"/>
    <w:next w:val="Normal"/>
    <w:link w:val="GHGPARAGRAPHChar"/>
    <w:qFormat/>
    <w:rsid w:val="009646B0"/>
    <w:pPr>
      <w:spacing w:after="0" w:line="480" w:lineRule="auto"/>
      <w:ind w:firstLine="720"/>
    </w:pPr>
    <w:rPr>
      <w:rFonts w:ascii="Courier New" w:eastAsia="Times New Roman" w:hAnsi="Courier New" w:cs="Courier New"/>
      <w:bCs/>
      <w:sz w:val="24"/>
      <w:szCs w:val="24"/>
    </w:rPr>
  </w:style>
  <w:style w:type="paragraph" w:customStyle="1" w:styleId="TABLEFOOTNOTES">
    <w:name w:val="TABLE FOOTNOTES"/>
    <w:basedOn w:val="Normal"/>
    <w:link w:val="TABLEFOOTNOTESChar"/>
    <w:qFormat/>
    <w:rsid w:val="009646B0"/>
    <w:pPr>
      <w:tabs>
        <w:tab w:val="left" w:pos="360"/>
      </w:tabs>
      <w:spacing w:after="40" w:line="240" w:lineRule="auto"/>
      <w:ind w:left="216" w:hanging="216"/>
    </w:pPr>
    <w:rPr>
      <w:rFonts w:ascii="Times New Roman" w:eastAsia="Times New Roman" w:hAnsi="Times New Roman" w:cs="Times New Roman"/>
      <w:sz w:val="20"/>
      <w:szCs w:val="20"/>
    </w:rPr>
  </w:style>
  <w:style w:type="character" w:customStyle="1" w:styleId="TABLEFOOTNOTESChar">
    <w:name w:val="TABLE FOOTNOTES Char"/>
    <w:basedOn w:val="DefaultParagraphFont"/>
    <w:link w:val="TABLEFOOTNOTES"/>
    <w:rsid w:val="009646B0"/>
    <w:rPr>
      <w:rFonts w:ascii="Times New Roman" w:eastAsia="Times New Roman" w:hAnsi="Times New Roman" w:cs="Times New Roman"/>
      <w:sz w:val="20"/>
      <w:szCs w:val="20"/>
    </w:rPr>
  </w:style>
  <w:style w:type="paragraph" w:customStyle="1" w:styleId="TableHeader">
    <w:name w:val="Table Header"/>
    <w:next w:val="Default"/>
    <w:uiPriority w:val="99"/>
    <w:rsid w:val="009646B0"/>
    <w:pPr>
      <w:keepNext/>
      <w:spacing w:before="60" w:after="60" w:line="240" w:lineRule="auto"/>
      <w:jc w:val="center"/>
    </w:pPr>
    <w:rPr>
      <w:rFonts w:ascii="Times New Roman" w:hAnsi="Times New Roman" w:eastAsiaTheme="minorHAnsi" w:cs="Times New Roman"/>
      <w:b/>
      <w:szCs w:val="24"/>
    </w:rPr>
  </w:style>
  <w:style w:type="paragraph" w:customStyle="1" w:styleId="footnote">
    <w:name w:val="footnote"/>
    <w:basedOn w:val="Normal"/>
    <w:link w:val="footnoteChar"/>
    <w:rsid w:val="009646B0"/>
    <w:pPr>
      <w:autoSpaceDE w:val="0"/>
      <w:autoSpaceDN w:val="0"/>
      <w:adjustRightInd w:val="0"/>
      <w:spacing w:after="40" w:line="240" w:lineRule="auto"/>
    </w:pPr>
    <w:rPr>
      <w:rFonts w:ascii="Courier New" w:eastAsia="Times New Roman" w:hAnsi="Courier New" w:cs="Courier New"/>
      <w:sz w:val="20"/>
      <w:szCs w:val="24"/>
    </w:rPr>
  </w:style>
  <w:style w:type="character" w:customStyle="1" w:styleId="footnoteChar">
    <w:name w:val="footnote Char"/>
    <w:basedOn w:val="DefaultParagraphFont"/>
    <w:link w:val="footnote"/>
    <w:locked/>
    <w:rsid w:val="009646B0"/>
    <w:rPr>
      <w:rFonts w:ascii="Courier New" w:eastAsia="Times New Roman" w:hAnsi="Courier New" w:cs="Courier New"/>
      <w:sz w:val="20"/>
      <w:szCs w:val="24"/>
    </w:rPr>
  </w:style>
  <w:style w:type="character" w:customStyle="1" w:styleId="Bullet-GHGPreambleChar">
    <w:name w:val="_Bullet-GHG Preamble Char"/>
    <w:basedOn w:val="DefaultParagraphFont"/>
    <w:locked/>
    <w:rsid w:val="009646B0"/>
    <w:rPr>
      <w:rFonts w:ascii="Courier New" w:hAnsi="Courier New"/>
      <w:sz w:val="24"/>
      <w:szCs w:val="24"/>
    </w:rPr>
  </w:style>
  <w:style w:type="paragraph" w:customStyle="1" w:styleId="Bullet-GHGPreamblelast">
    <w:name w:val="_Bullet-GHG Preamble_last"/>
    <w:qFormat/>
    <w:rsid w:val="009646B0"/>
    <w:pPr>
      <w:numPr>
        <w:numId w:val="13"/>
      </w:numPr>
      <w:spacing w:before="80" w:after="240" w:line="240" w:lineRule="auto"/>
    </w:pPr>
    <w:rPr>
      <w:rFonts w:ascii="Courier New" w:eastAsia="Times New Roman" w:hAnsi="Courier New" w:cs="Times New Roman"/>
      <w:sz w:val="24"/>
      <w:szCs w:val="24"/>
    </w:rPr>
  </w:style>
  <w:style w:type="paragraph" w:styleId="EndnoteText">
    <w:name w:val="endnote text"/>
    <w:basedOn w:val="Normal"/>
    <w:link w:val="EndnoteTextChar"/>
    <w:rsid w:val="009646B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9646B0"/>
    <w:rPr>
      <w:rFonts w:ascii="Times New Roman" w:eastAsia="Times New Roman" w:hAnsi="Times New Roman" w:cs="Times New Roman"/>
      <w:sz w:val="20"/>
      <w:szCs w:val="20"/>
    </w:rPr>
  </w:style>
  <w:style w:type="character" w:styleId="EndnoteReference">
    <w:name w:val="endnote reference"/>
    <w:basedOn w:val="DefaultParagraphFont"/>
    <w:rsid w:val="009646B0"/>
    <w:rPr>
      <w:vertAlign w:val="superscript"/>
    </w:rPr>
  </w:style>
  <w:style w:type="character" w:customStyle="1" w:styleId="GHGPARAGRAPHChar">
    <w:name w:val="____GHG PARAGRAPH Char"/>
    <w:link w:val="GHGPARAGRAPH2"/>
    <w:locked/>
    <w:rsid w:val="009646B0"/>
    <w:rPr>
      <w:rFonts w:ascii="Courier New" w:eastAsia="Times New Roman" w:hAnsi="Courier New" w:cs="Courier New"/>
      <w:bCs/>
      <w:sz w:val="24"/>
      <w:szCs w:val="24"/>
    </w:rPr>
  </w:style>
  <w:style w:type="character" w:customStyle="1" w:styleId="CommentTextChar4">
    <w:name w:val="Comment Text Char4"/>
    <w:basedOn w:val="DefaultParagraphFont"/>
    <w:uiPriority w:val="99"/>
    <w:locked/>
    <w:rsid w:val="009646B0"/>
    <w:rPr>
      <w:rFonts w:ascii="Courier New" w:hAnsi="Courier New" w:cs="Courier New"/>
      <w:lang w:val="en-US" w:eastAsia="en-US" w:bidi="ar-SA"/>
    </w:rPr>
  </w:style>
  <w:style w:type="paragraph" w:customStyle="1" w:styleId="EquationFormat">
    <w:name w:val="Equation Format"/>
    <w:uiPriority w:val="99"/>
    <w:rsid w:val="009646B0"/>
    <w:pPr>
      <w:keepLines/>
      <w:tabs>
        <w:tab w:val="center" w:pos="5040"/>
        <w:tab w:val="right" w:pos="9360"/>
      </w:tabs>
      <w:spacing w:after="0" w:line="36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9646B0"/>
  </w:style>
  <w:style w:type="paragraph" w:customStyle="1" w:styleId="LightGrid-Accent3100">
    <w:name w:val="Light Grid - Accent 3100"/>
    <w:basedOn w:val="Normal"/>
    <w:uiPriority w:val="34"/>
    <w:qFormat/>
    <w:rsid w:val="009646B0"/>
    <w:pPr>
      <w:spacing w:after="0" w:line="240" w:lineRule="auto"/>
      <w:ind w:left="720"/>
    </w:pPr>
    <w:rPr>
      <w:rFonts w:ascii="Times New Roman" w:eastAsia="Times New Roman" w:hAnsi="Times New Roman" w:cs="Times New Roman"/>
      <w:sz w:val="24"/>
      <w:szCs w:val="24"/>
    </w:rPr>
  </w:style>
  <w:style w:type="character" w:customStyle="1" w:styleId="findhit">
    <w:name w:val="findhit"/>
    <w:basedOn w:val="DefaultParagraphFont"/>
    <w:rsid w:val="009646B0"/>
  </w:style>
  <w:style w:type="character" w:styleId="Mention">
    <w:name w:val="Mention"/>
    <w:basedOn w:val="DefaultParagraphFont"/>
    <w:uiPriority w:val="99"/>
    <w:unhideWhenUsed/>
    <w:rsid w:val="009646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hgdata.epa.gov/ghgp/main.do" TargetMode="External" /><Relationship Id="rId11" Type="http://schemas.openxmlformats.org/officeDocument/2006/relationships/hyperlink" Target="https://www.epa.gov/enviro/"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e3f09c3df709400db2417a7161762d62 xmlns="4ffa91fb-a0ff-4ac5-b2db-65c790d184a4">
      <Terms xmlns="http://schemas.microsoft.com/office/infopath/2007/PartnerControls"/>
    </e3f09c3df709400db2417a7161762d62>
    <lcf76f155ced4ddcb4097134ff3c332f xmlns="087b91ec-619e-477b-bd8f-cfe4d0d60d9e">
      <Terms xmlns="http://schemas.microsoft.com/office/infopath/2007/PartnerControls"/>
    </lcf76f155ced4ddcb4097134ff3c332f>
    <SharedWithUsers xmlns="7d8dd676-26ca-4e08-b90f-b4e0026a58ac">
      <UserInfo>
        <DisplayName>Tracy Curtis</DisplayName>
        <AccountId>10507</AccountId>
        <AccountType/>
      </UserInfo>
      <UserInfo>
        <DisplayName>Roy Oommen</DisplayName>
        <AccountId>15284</AccountId>
        <AccountType/>
      </UserInfo>
      <UserInfo>
        <DisplayName>Bohman, Jennifer</DisplayName>
        <AccountId>5245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871530DDF837140B12EE7A89A24DB8D" ma:contentTypeVersion="17" ma:contentTypeDescription="Create a new document." ma:contentTypeScope="" ma:versionID="1ec8837da1300ab94ffa942832440e4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87b91ec-619e-477b-bd8f-cfe4d0d60d9e" xmlns:ns6="7d8dd676-26ca-4e08-b90f-b4e0026a58ac" targetNamespace="http://schemas.microsoft.com/office/2006/metadata/properties" ma:root="true" ma:fieldsID="05a8afe1a8e84f47247f7efc3db10931" ns1:_="" ns2:_="" ns3:_="" ns4:_="" ns5:_="" ns6:_="">
    <xsd:import namespace="http://schemas.microsoft.com/sharepoint/v3"/>
    <xsd:import namespace="4ffa91fb-a0ff-4ac5-b2db-65c790d184a4"/>
    <xsd:import namespace="http://schemas.microsoft.com/sharepoint.v3"/>
    <xsd:import namespace="http://schemas.microsoft.com/sharepoint/v3/fields"/>
    <xsd:import namespace="087b91ec-619e-477b-bd8f-cfe4d0d60d9e"/>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5:lcf76f155ced4ddcb4097134ff3c332f" minOccurs="0"/>
                <xsd:element ref="ns5:MediaServiceGenerationTime" minOccurs="0"/>
                <xsd:element ref="ns5:MediaServiceEventHashCode" minOccurs="0"/>
                <xsd:element ref="ns5:MediaServiceObjectDetectorVersions" minOccurs="0"/>
                <xsd:element ref="ns5:MediaServiceOCR"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7b91ec-619e-477b-bd8f-cfe4d0d60d9e"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3.xml><?xml version="1.0" encoding="utf-8"?>
<ds:datastoreItem xmlns:ds="http://schemas.openxmlformats.org/officeDocument/2006/customXml" ds:itemID="{E5033098-BF7F-4D78-8529-0AFBF5D8899C}">
  <ds:schemaRefs>
    <ds:schemaRef ds:uri="http://schemas.microsoft.com/sharepoint/v3/fields"/>
    <ds:schemaRef ds:uri="4ffa91fb-a0ff-4ac5-b2db-65c790d184a4"/>
    <ds:schemaRef ds:uri="http://schemas.microsoft.com/office/infopath/2007/PartnerControls"/>
    <ds:schemaRef ds:uri="http://schemas.microsoft.com/office/2006/documentManagement/types"/>
    <ds:schemaRef ds:uri="087b91ec-619e-477b-bd8f-cfe4d0d60d9e"/>
    <ds:schemaRef ds:uri="http://purl.org/dc/dcmitype/"/>
    <ds:schemaRef ds:uri="http://schemas.openxmlformats.org/package/2006/metadata/core-properties"/>
    <ds:schemaRef ds:uri="http://www.w3.org/XML/1998/namespace"/>
    <ds:schemaRef ds:uri="http://schemas.microsoft.com/sharepoint/v3"/>
    <ds:schemaRef ds:uri="http://purl.org/dc/terms/"/>
    <ds:schemaRef ds:uri="http://purl.org/dc/elements/1.1/"/>
    <ds:schemaRef ds:uri="7d8dd676-26ca-4e08-b90f-b4e0026a58ac"/>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A43B0D78-7C8A-41F8-8B61-D736097A4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87b91ec-619e-477b-bd8f-cfe4d0d60d9e"/>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94</Pages>
  <Words>32786</Words>
  <Characters>182907</Characters>
  <Application>Microsoft Office Word</Application>
  <DocSecurity>0</DocSecurity>
  <Lines>3810</Lines>
  <Paragraphs>2246</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213447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2</cp:revision>
  <dcterms:created xsi:type="dcterms:W3CDTF">2024-11-04T22:14:00Z</dcterms:created>
  <dcterms:modified xsi:type="dcterms:W3CDTF">2024-11-04T22:14:00Z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0x010100F871530DDF837140B12EE7A89A24DB8D</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MediaServiceImageTags">
    <vt:lpwstr/>
  </property>
  <property fmtid="{D5CDD505-2E9C-101B-9397-08002B2CF9AE}" pid="8" name="TaxKeyword">
    <vt:lpwstr/>
  </property>
  <property fmtid="{D5CDD505-2E9C-101B-9397-08002B2CF9AE}" pid="9" name="_ExtendedDescription">
    <vt:lpwstr/>
  </property>
</Properties>
</file>