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61EE6A4">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9005F" w:rsidR="0049005F">
        <w:rPr>
          <w:rFonts w:cstheme="minorHAnsi"/>
        </w:rPr>
        <w:t>National Emission Standards for Hazardous Air Pollutants from Hazardous Waste Combustors Removal of Malfunction Exemptions and e-Reporting</w:t>
      </w:r>
    </w:p>
    <w:p w:rsidR="00EE2403" w:rsidRPr="00BB3410" w:rsidP="00BB432F" w14:paraId="71D5121E" w14:textId="352E9519">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49005F" w:rsidR="0049005F">
        <w:rPr>
          <w:rFonts w:cstheme="minorHAnsi"/>
        </w:rPr>
        <w:t>2060-NEW</w:t>
      </w:r>
    </w:p>
    <w:p w:rsidR="00EE2403" w:rsidRPr="00BB3410" w:rsidP="00ED57A4" w14:paraId="4FB77BCA" w14:textId="22272E01">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49005F" w:rsidR="0049005F">
        <w:rPr>
          <w:rFonts w:cstheme="minorHAnsi"/>
        </w:rPr>
        <w:t>2803.01</w:t>
      </w:r>
    </w:p>
    <w:p w:rsidR="00BB432F" w:rsidRPr="00BB3410" w:rsidP="4BDBF0A0" w14:paraId="6A3E928D" w14:textId="5700FD29">
      <w:pPr>
        <w:spacing w:before="240"/>
        <w:rPr>
          <w:color w:val="000000"/>
        </w:rPr>
      </w:pPr>
      <w:r w:rsidRPr="4BDBF0A0">
        <w:rPr>
          <w:b/>
          <w:bCs/>
        </w:rPr>
        <w:t>Abstract:</w:t>
      </w:r>
      <w:r w:rsidRPr="4BDBF0A0">
        <w:t xml:space="preserve"> </w:t>
      </w:r>
      <w:r w:rsidR="00E37D23">
        <w:t xml:space="preserve">As part of the EPA’s effort to update 40 CFR 63, </w:t>
      </w:r>
      <w:r w:rsidRPr="0049005F" w:rsidR="00E37D23">
        <w:rPr>
          <w:rFonts w:cstheme="minorHAnsi"/>
        </w:rPr>
        <w:t>Subpart EEE, National Emission Standards for Hazardous Air Pollutants from Hazardous Waste Combustors</w:t>
      </w:r>
      <w:r w:rsidR="002E7A4F">
        <w:rPr>
          <w:rFonts w:cstheme="minorHAnsi"/>
        </w:rPr>
        <w:t xml:space="preserve">, additional information </w:t>
      </w:r>
      <w:r w:rsidR="00824087">
        <w:rPr>
          <w:rFonts w:cstheme="minorHAnsi"/>
        </w:rPr>
        <w:t xml:space="preserve">and electronic reporting </w:t>
      </w:r>
      <w:r w:rsidR="002E7A4F">
        <w:rPr>
          <w:rFonts w:cstheme="minorHAnsi"/>
        </w:rPr>
        <w:t xml:space="preserve">will be required </w:t>
      </w:r>
      <w:r w:rsidR="00824087">
        <w:rPr>
          <w:rFonts w:cstheme="minorHAnsi"/>
        </w:rPr>
        <w:t>of</w:t>
      </w:r>
      <w:r w:rsidR="002E7A4F">
        <w:rPr>
          <w:rFonts w:cstheme="minorHAnsi"/>
        </w:rPr>
        <w:t xml:space="preserve"> sources. This supporting statement </w:t>
      </w:r>
      <w:r w:rsidR="00E3129E">
        <w:rPr>
          <w:rFonts w:cstheme="minorHAnsi"/>
        </w:rPr>
        <w:t xml:space="preserve">describes the updates to this subpart, </w:t>
      </w:r>
      <w:r w:rsidR="002E7A4F">
        <w:rPr>
          <w:rFonts w:cstheme="minorHAnsi"/>
        </w:rPr>
        <w:t>explains the rationale behind th</w:t>
      </w:r>
      <w:r w:rsidR="00313724">
        <w:rPr>
          <w:rFonts w:cstheme="minorHAnsi"/>
        </w:rPr>
        <w:t>is information collection request</w:t>
      </w:r>
      <w:r w:rsidR="00E3129E">
        <w:rPr>
          <w:rFonts w:cstheme="minorHAnsi"/>
        </w:rPr>
        <w:t xml:space="preserve"> and</w:t>
      </w:r>
      <w:r w:rsidR="00176461">
        <w:rPr>
          <w:rFonts w:cstheme="minorHAnsi"/>
        </w:rPr>
        <w:t xml:space="preserve"> </w:t>
      </w:r>
      <w:r w:rsidR="00313724">
        <w:rPr>
          <w:rFonts w:cstheme="minorHAnsi"/>
        </w:rPr>
        <w:t xml:space="preserve">quantifies the </w:t>
      </w:r>
      <w:r w:rsidR="00A57158">
        <w:rPr>
          <w:rFonts w:cstheme="minorHAnsi"/>
        </w:rPr>
        <w:t xml:space="preserve">cost </w:t>
      </w:r>
      <w:r w:rsidR="00313724">
        <w:rPr>
          <w:rFonts w:cstheme="minorHAnsi"/>
        </w:rPr>
        <w:t>to</w:t>
      </w:r>
      <w:r w:rsidR="00C2783D">
        <w:rPr>
          <w:rFonts w:cstheme="minorHAnsi"/>
        </w:rPr>
        <w:t xml:space="preserve"> </w:t>
      </w:r>
      <w:r w:rsidR="002A3910">
        <w:rPr>
          <w:rFonts w:cstheme="minorHAnsi"/>
        </w:rPr>
        <w:t xml:space="preserve">both the </w:t>
      </w:r>
      <w:r w:rsidR="00C2783D">
        <w:rPr>
          <w:rFonts w:cstheme="minorHAnsi"/>
        </w:rPr>
        <w:t xml:space="preserve">affected sources and </w:t>
      </w:r>
      <w:r w:rsidR="002A3910">
        <w:rPr>
          <w:rFonts w:cstheme="minorHAnsi"/>
        </w:rPr>
        <w:t xml:space="preserve">the agency. </w:t>
      </w:r>
    </w:p>
    <w:p w:rsidR="00DE4E0C" w:rsidRPr="00BB3410" w:rsidP="4BDBF0A0" w14:paraId="12DA0580" w14:textId="3A9EBC77">
      <w:pPr>
        <w:rPr>
          <w:b/>
          <w:bCs/>
          <w:u w:val="single"/>
        </w:rPr>
      </w:pPr>
      <w:r w:rsidRPr="4BDBF0A0">
        <w:rPr>
          <w:b/>
          <w:bCs/>
          <w:u w:val="single"/>
        </w:rPr>
        <w:t>Supporting Statement A</w:t>
      </w:r>
      <w:bookmarkEnd w:id="0"/>
    </w:p>
    <w:p w:rsidR="00D47CB3" w:rsidRPr="00736453" w:rsidP="00736453" w14:paraId="73FF37C3" w14:textId="77C3FA07">
      <w:pPr>
        <w:pStyle w:val="Heading1"/>
      </w:pPr>
      <w:bookmarkStart w:id="1" w:name="_Toc156593368"/>
      <w:r w:rsidRPr="00736453">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B432F" w:rsidRPr="00BB3410" w:rsidP="00854AAE" w14:paraId="61662F16" w14:textId="237F95DB">
      <w:pPr>
        <w:keepNext/>
        <w:rPr>
          <w:rFonts w:cstheme="minorHAnsi"/>
        </w:rPr>
      </w:pPr>
      <w:r w:rsidRPr="0049005F">
        <w:rPr>
          <w:rFonts w:cstheme="minorHAnsi"/>
        </w:rPr>
        <w:t>The goal of this information collection request (ICR) is to collect new monitoring, reporting and recordkeeping data from hazardous waste combustors (HWC) subject to emission standards under 40 CFR 63, Subpart EEE, National Emission Standards for Hazardous Air Pollutants from Hazardous Waste Combustors. The statutory authority for this action is provided by sections 112 and 301 of the Clean Air Act (CAA), as amended (42 U.S.C. 7401 et seq.). The key revisions to this subpart are the removal of exemptions for emissions during malfunction periods in response to Sierra Club v. EPA, 551 F.3d 1019, 1028 (D.C. Cir. 2008) and the addition of e-reporting using EPA’s Compliance and Emissions Data Reporting Interface (CEDRI) to replace physically mailing many of the reports and notifications required under this subpart.</w:t>
      </w:r>
    </w:p>
    <w:p w:rsidR="00D47CB3" w:rsidRPr="00E3122D" w:rsidP="00736453" w14:paraId="24F38A28" w14:textId="345BCCC4">
      <w:pPr>
        <w:pStyle w:val="Heading1"/>
      </w:pPr>
      <w:bookmarkStart w:id="2" w:name="_Toc156593369"/>
      <w:r w:rsidRPr="00E3122D">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432F" w:rsidRPr="00BB3410" w:rsidP="00854AAE" w14:paraId="1E879A61" w14:textId="32602AE8">
      <w:pPr>
        <w:pBdr>
          <w:top w:val="single" w:sz="6" w:space="0" w:color="FFFFFF"/>
          <w:left w:val="single" w:sz="6" w:space="0" w:color="FFFFFF"/>
          <w:bottom w:val="single" w:sz="6" w:space="0" w:color="FFFFFF"/>
          <w:right w:val="single" w:sz="6" w:space="0" w:color="FFFFFF"/>
        </w:pBdr>
        <w:rPr>
          <w:rFonts w:cstheme="minorHAnsi"/>
          <w:color w:val="FF0000"/>
        </w:rPr>
      </w:pPr>
      <w:r w:rsidRPr="0049005F">
        <w:rPr>
          <w:rFonts w:cstheme="minorHAnsi"/>
        </w:rPr>
        <w:t xml:space="preserve">The revision of 40 CFR 63 Subpart EEE will require affected sources to conduct additional monitoring, recordkeeping and reporting due to the removal of the malfunction emission limit exemptions to confirm compliance with the emission limits and may result in additional excess emission reporting if affected sources exceed the emission limits during periods of malfunction. The EPA estimates that there are currently 173 emission units at 94 facilities subject to this subpart. Affected sources will be required to submit additional notifications due to emergency safety vent (ESV) openings due to malfunction, where before this was not a requirement during malfunctions. The updated rule may require modifications to current continuous monitoring systems (CMS) programming at affected sources that </w:t>
      </w:r>
      <w:r w:rsidRPr="0049005F">
        <w:rPr>
          <w:rFonts w:cstheme="minorHAnsi"/>
        </w:rPr>
        <w:t>must change their CMS to send additional excess emission notifications or trigger automatic waste feed cutoffs or other events to remain in compliance with the updated rule. Some CMS systems may already be operating in compliance with the updated rule. The revision to the rule also adds the requirement for electronic reporting of performance test reports and performance evaluation reports through the use of the Electronic Reporting Tool (ERT) and subsequent submission to the EPA electronically through the Compliance and Emissions Data Reporting Interface (CEDRI) at the EPA’s Central Data Exchange (CDX). The revision to the rule also requires the electronic submission of certain other reports and notifications electronically to CEDRI. The additional monitoring reporting and recordkeeping added in response to this update will be collected electronically. The new data collection associated with this and subsequent rulemaking will be used to ensure compliance with emission limits.</w:t>
      </w:r>
    </w:p>
    <w:p w:rsidR="00074917" w:rsidRPr="00E3122D" w:rsidP="00736453" w14:paraId="1522D565" w14:textId="553E3A2D">
      <w:pPr>
        <w:pStyle w:val="Heading1"/>
      </w:pPr>
      <w:bookmarkStart w:id="3" w:name="_Toc156593370"/>
      <w:r w:rsidRPr="00E3122D">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357EC39A">
      <w:pPr>
        <w:pBdr>
          <w:top w:val="single" w:sz="6" w:space="0" w:color="FFFFFF"/>
          <w:left w:val="single" w:sz="6" w:space="0" w:color="FFFFFF"/>
          <w:bottom w:val="single" w:sz="6" w:space="0" w:color="FFFFFF"/>
          <w:right w:val="single" w:sz="6" w:space="0" w:color="FFFFFF"/>
        </w:pBdr>
        <w:rPr>
          <w:rFonts w:cstheme="minorHAnsi"/>
        </w:rPr>
      </w:pPr>
      <w:r w:rsidRPr="0049005F">
        <w:rPr>
          <w:rFonts w:cstheme="minorHAnsi"/>
          <w:color w:val="000000"/>
        </w:rPr>
        <w:t>The EPA will transition many report and notification submittals to e-reporting using CEDRI, instead of using physical postmarked reports and notifications. This transition will reduce the amount of paper consumed, reduce the elapsed time between affected sources submitting reports and the EPA receiving reports, reduce the processing time by having conveniently searchable files and reduce the cost of submitting reports via mail. Once affected sources familiarize themselves with CEDRI it should also improve the convenience and reduce the time it takes to prepare and submit reports. The EPA is also updating a 2005 database to collect comprehensive performance test data and improve data collection and analysis to develop understanding and insights of new data as it is received.</w:t>
      </w:r>
    </w:p>
    <w:p w:rsidR="005263EC" w:rsidRPr="00E3122D" w:rsidP="00736453" w14:paraId="2CB3B868" w14:textId="58CBB947">
      <w:pPr>
        <w:pStyle w:val="Heading1"/>
      </w:pPr>
      <w:bookmarkStart w:id="4" w:name="_Toc156593371"/>
      <w:r w:rsidRPr="00E3122D">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9005F" w:rsidRPr="0049005F" w:rsidP="0049005F" w14:paraId="35D8A5A8" w14:textId="77777777">
      <w:pPr>
        <w:rPr>
          <w:rFonts w:cstheme="minorHAnsi"/>
        </w:rPr>
      </w:pPr>
      <w:r w:rsidRPr="0049005F">
        <w:rPr>
          <w:rFonts w:cstheme="minorHAnsi"/>
        </w:rPr>
        <w:t xml:space="preserve">For reports proposed to be required to be submitted electronically, the information is sent through the EPA's Central Data Exchange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49005F" w:rsidRPr="0049005F" w:rsidP="0049005F" w14:paraId="5357E55D" w14:textId="77777777">
      <w:pPr>
        <w:rPr>
          <w:rFonts w:cstheme="minorHAnsi"/>
        </w:rPr>
      </w:pPr>
    </w:p>
    <w:p w:rsidR="00ED57A4" w:rsidRPr="00BB3410" w:rsidP="0049005F" w14:paraId="0E470EF3" w14:textId="6E06F7A0">
      <w:pPr>
        <w:rPr>
          <w:rFonts w:cstheme="minorHAnsi"/>
          <w:shd w:val="clear" w:color="auto" w:fill="FFFFFF"/>
        </w:rPr>
      </w:pPr>
      <w:r w:rsidRPr="0049005F">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either the state or local agency can be sent to the Administrator in lieu of the report required by the Federal standards. Therefore, duplication does not exist.</w:t>
      </w:r>
    </w:p>
    <w:p w:rsidR="00251151" w:rsidRPr="00E3122D" w:rsidP="00736453" w14:paraId="79D36B3F" w14:textId="440DD77F">
      <w:pPr>
        <w:pStyle w:val="Heading1"/>
      </w:pPr>
      <w:bookmarkStart w:id="5" w:name="_Toc156593372"/>
      <w:r w:rsidRPr="4BDBF0A0">
        <w:t xml:space="preserve">MINIMIZING BURDEN ON SMALL </w:t>
      </w:r>
      <w:r w:rsidRPr="4BDBF0A0" w:rsidR="0F43C128">
        <w:t xml:space="preserve">BUSINESSES AND SMALL </w:t>
      </w:r>
      <w:r w:rsidRPr="4BDBF0A0">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6242A4BF">
      <w:pPr>
        <w:rPr>
          <w:rFonts w:cstheme="minorHAnsi"/>
        </w:rPr>
      </w:pPr>
      <w:r w:rsidRPr="0049005F">
        <w:rPr>
          <w:rFonts w:cstheme="minorHAnsi"/>
        </w:rPr>
        <w:t>Minimizing the information collection burden for all sizes of organizations is a continuing effort for the EPA. The EPA is not proposing to make any changes to who is required to report and what they are required to report, only the way the information is reported, and this proposed change is expected to result in an overall reduction in burden. The EPA does not believe the NESHAP will have a significant impact on many small entities. Furthermore, although the recordkeeping and reporting requirements are the same for small and larger businesses, these requirements are considered the minimum needed to ensure compliance and, therefore, cannot be reduced further for small businesses.</w:t>
      </w:r>
    </w:p>
    <w:p w:rsidR="004252C1" w:rsidRPr="00E3122D" w:rsidP="00736453" w14:paraId="1FF5A778" w14:textId="02F91DFF">
      <w:pPr>
        <w:pStyle w:val="Heading1"/>
      </w:pPr>
      <w:bookmarkStart w:id="6" w:name="_Toc156593373"/>
      <w:r w:rsidRPr="4BDBF0A0">
        <w:t>CONSEQUENCES</w:t>
      </w:r>
      <w:r w:rsidRPr="4BDBF0A0" w:rsidR="00061A77">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7590A083">
      <w:pPr>
        <w:pBdr>
          <w:top w:val="single" w:sz="6" w:space="0" w:color="FFFFFF"/>
          <w:left w:val="single" w:sz="6" w:space="0" w:color="FFFFFF"/>
          <w:bottom w:val="single" w:sz="6" w:space="0" w:color="FFFFFF"/>
          <w:right w:val="single" w:sz="6" w:space="0" w:color="FFFFFF"/>
        </w:pBdr>
        <w:rPr>
          <w:rFonts w:cstheme="minorHAnsi"/>
          <w:color w:val="000000"/>
        </w:rPr>
      </w:pPr>
      <w:r w:rsidRPr="0049005F">
        <w:rPr>
          <w:rFonts w:cstheme="minorHAnsi"/>
        </w:rPr>
        <w:t>The removal of malfunction exemptions from 40 CFR 63 Subpart EEE triggers emission limits during periods when previously they did not apply to affected sources. The monitoring, recordkeeping and reporting requirements associated with this ICR will be required by the revised rule. Without the information of this ICR, affected sources cannot demonstrate compliance with the emission limits and the EPA would not receive communications detailing the required compliance demonstrations. Affected sources will also need to have records readily available for onsite inspections and other compliance evaluations conducted by the EPA or state regulators.</w:t>
      </w:r>
    </w:p>
    <w:p w:rsidR="00A233E0" w:rsidRPr="00E3122D" w:rsidP="00736453" w14:paraId="27596CC0" w14:textId="77777777">
      <w:pPr>
        <w:pStyle w:val="Heading1"/>
      </w:pPr>
      <w:bookmarkStart w:id="7" w:name="_Toc156593374"/>
      <w:r w:rsidRPr="00E3122D">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0FEB9984">
      <w:pPr>
        <w:pBdr>
          <w:top w:val="single" w:sz="6" w:space="0" w:color="FFFFFF"/>
          <w:left w:val="single" w:sz="6" w:space="0" w:color="FFFFFF"/>
          <w:bottom w:val="single" w:sz="6" w:space="0" w:color="FFFFFF"/>
          <w:right w:val="single" w:sz="6" w:space="0" w:color="FFFFFF"/>
        </w:pBdr>
        <w:rPr>
          <w:rFonts w:cstheme="minorHAnsi"/>
          <w:color w:val="000000"/>
        </w:rPr>
      </w:pPr>
      <w:r w:rsidRPr="0049005F">
        <w:rPr>
          <w:rFonts w:cstheme="minorHAnsi"/>
          <w:color w:val="000000"/>
        </w:rPr>
        <w:t>There are no special circumstances. The collection of information is conducted in a manner consistent with the guidelines in 5 CFR §1320.5(d)(2).</w:t>
      </w:r>
    </w:p>
    <w:p w:rsidR="006036CD" w:rsidRPr="00E3122D" w:rsidP="00736453" w14:paraId="02EE9B8D" w14:textId="77777777">
      <w:pPr>
        <w:pStyle w:val="Heading1"/>
      </w:pPr>
      <w:bookmarkStart w:id="8" w:name="_Toc156593375"/>
      <w:r w:rsidRPr="00E3122D">
        <w:t>PUBLIC COMMENT AND CONSULTATIONS</w:t>
      </w:r>
      <w:bookmarkStart w:id="9" w:name="_Toc156593376"/>
      <w:bookmarkEnd w:id="8"/>
    </w:p>
    <w:p w:rsidR="00DD2682" w:rsidRPr="00E3122D" w:rsidP="00736453" w14:paraId="4922639E" w14:textId="016E742A">
      <w:pPr>
        <w:pStyle w:val="Heading2"/>
      </w:pPr>
      <w:r w:rsidRPr="00E3122D">
        <w:t xml:space="preserve">8a. </w:t>
      </w:r>
      <w:r w:rsidRPr="00E3122D" w:rsidR="00A82647">
        <w:t xml:space="preserve">Public </w:t>
      </w:r>
      <w:r w:rsidRPr="00736453" w:rsidR="00A82647">
        <w:t>Comment</w:t>
      </w:r>
      <w:bookmarkStart w:id="10" w:name="_Toc156593377"/>
      <w:bookmarkEnd w:id="9"/>
    </w:p>
    <w:p w:rsidR="003A749A" w:rsidRPr="003A749A" w:rsidP="00736453" w14:paraId="60A2BDB1" w14:textId="7FB493B0">
      <w:pPr>
        <w:pStyle w:val="Heading2"/>
        <w:rPr>
          <w:b w:val="0"/>
          <w:bCs w:val="0"/>
        </w:rPr>
      </w:pPr>
      <w:r w:rsidRPr="003A749A">
        <w:rPr>
          <w:b w:val="0"/>
          <w:bCs w:val="0"/>
        </w:rPr>
        <w:t xml:space="preserve">EPA is soliciting public comment on this information collection via the Notice of Proposed Rulemaking.  This ICR will be updated to respond to any public comments received prior to the Final </w:t>
      </w:r>
      <w:r w:rsidRPr="003A749A">
        <w:rPr>
          <w:b w:val="0"/>
          <w:bCs w:val="0"/>
        </w:rPr>
        <w:t>Rulemaing</w:t>
      </w:r>
      <w:r w:rsidRPr="003A749A">
        <w:rPr>
          <w:b w:val="0"/>
          <w:bCs w:val="0"/>
        </w:rPr>
        <w:t>.</w:t>
      </w:r>
    </w:p>
    <w:p w:rsidR="00DB7775" w:rsidRPr="00E3122D" w:rsidP="00736453" w14:paraId="71A9B3CC" w14:textId="118CC65E">
      <w:pPr>
        <w:pStyle w:val="Heading2"/>
      </w:pPr>
      <w:r w:rsidRPr="00E3122D">
        <w:t xml:space="preserve">8b. </w:t>
      </w:r>
      <w:r w:rsidRPr="00E3122D" w:rsidR="0061689C">
        <w:t>C</w:t>
      </w:r>
      <w:bookmarkEnd w:id="10"/>
      <w:r w:rsidRPr="00E3122D" w:rsidR="005D140B">
        <w:t>onsultations</w:t>
      </w:r>
    </w:p>
    <w:p w:rsidR="00242350" w:rsidP="00854AAE" w14:paraId="621F8571" w14:textId="77777777">
      <w:pPr>
        <w:rPr>
          <w:rFonts w:cstheme="minorHAnsi"/>
          <w:i/>
          <w:iCs/>
        </w:rPr>
      </w:pPr>
    </w:p>
    <w:p w:rsidR="00A233E0" w:rsidRPr="00242350" w:rsidP="00854AAE" w14:paraId="04F99483" w14:textId="19C628FF">
      <w:pPr>
        <w:rPr>
          <w:rFonts w:cstheme="minorHAnsi"/>
        </w:rPr>
      </w:pPr>
      <w:r w:rsidRPr="00242350">
        <w:rPr>
          <w:rFonts w:cstheme="minorHAnsi"/>
        </w:rPr>
        <w:t xml:space="preserve">Under 5 CFR 1320.8(d)(1), OMB requires agencies to consult with potential ICR respondents and data users about specific aspects of ICRs before submitting an original or renewal ICR to OMB for review and approval.  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these standards, is the Integrated Compliance Information System (ICIS). ICIS is EPA’s database for the collection, </w:t>
      </w:r>
      <w:r w:rsidRPr="00242350">
        <w:rPr>
          <w:rFonts w:cstheme="minorHAnsi"/>
        </w:rPr>
        <w:t>maintenance, and retrieval of compliance data for industrial and government-owned facilities. The growth rate for the industry is based on our consultations with the Agency’s internal industry experts.</w:t>
      </w:r>
    </w:p>
    <w:p w:rsidR="00111663" w:rsidRPr="00BB3410" w:rsidP="00854AAE" w14:paraId="5E198479" w14:textId="08CAC962">
      <w:pPr>
        <w:rPr>
          <w:rFonts w:cstheme="minorHAnsi"/>
        </w:rPr>
      </w:pPr>
    </w:p>
    <w:p w:rsidR="00A233E0" w:rsidRPr="00E3122D" w:rsidP="00736453" w14:paraId="191560B2" w14:textId="77777777">
      <w:pPr>
        <w:pStyle w:val="Heading1"/>
      </w:pPr>
      <w:bookmarkStart w:id="11" w:name="_Toc156593378"/>
      <w:r w:rsidRPr="00E3122D">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824087" w:rsidP="00854AAE" w14:paraId="0D75D3D3" w14:textId="00F147AA">
      <w:pPr>
        <w:rPr>
          <w:rFonts w:cstheme="minorHAnsi"/>
        </w:rPr>
      </w:pPr>
      <w:r w:rsidRPr="00824087">
        <w:rPr>
          <w:rFonts w:cstheme="minorHAnsi"/>
        </w:rPr>
        <w:t>No payments or gifts are provided to respondents.</w:t>
      </w:r>
    </w:p>
    <w:p w:rsidR="4C04BBF2" w:rsidP="00736453" w14:paraId="333FE36D" w14:textId="45DEA41F">
      <w:pPr>
        <w:pStyle w:val="Heading1"/>
      </w:pPr>
      <w:r w:rsidRPr="4BDBF0A0">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824087" w:rsidP="00854AAE" w14:paraId="3676EBC5" w14:textId="4055FA8F">
      <w:pPr>
        <w:pBdr>
          <w:top w:val="single" w:sz="6" w:space="0" w:color="FFFFFF"/>
          <w:left w:val="single" w:sz="6" w:space="0" w:color="FFFFFF"/>
          <w:bottom w:val="single" w:sz="6" w:space="0" w:color="FFFFFF"/>
          <w:right w:val="single" w:sz="6" w:space="0" w:color="FFFFFF"/>
        </w:pBdr>
        <w:rPr>
          <w:rFonts w:cstheme="minorHAnsi"/>
          <w:color w:val="000000"/>
        </w:rPr>
      </w:pPr>
      <w:r w:rsidRPr="00824087">
        <w:rPr>
          <w:rFonts w:cstheme="minorHAnsi"/>
        </w:rPr>
        <w:t>All information submitted to the agency in response to the ICR will be managed in accordance with applicable laws and EPA’s regulations governing treatment of confidential business information at 40 CFR Part 2, Subpart B. Any information determined to constitute a trade secret will be protected under 18 U.S.C. § 1905.</w:t>
      </w:r>
    </w:p>
    <w:p w:rsidR="00A233E0" w:rsidRPr="00E3122D" w:rsidP="00736453" w14:paraId="36FBAEFB" w14:textId="77777777">
      <w:pPr>
        <w:pStyle w:val="Heading1"/>
      </w:pPr>
      <w:bookmarkStart w:id="12" w:name="_Toc156593380"/>
      <w:r w:rsidRPr="4BDBF0A0">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36011778">
      <w:pPr>
        <w:pBdr>
          <w:top w:val="single" w:sz="6" w:space="0" w:color="FFFFFF"/>
          <w:left w:val="single" w:sz="6" w:space="0" w:color="FFFFFF"/>
          <w:bottom w:val="single" w:sz="6" w:space="0" w:color="FFFFFF"/>
          <w:right w:val="single" w:sz="6" w:space="0" w:color="FFFFFF"/>
        </w:pBdr>
        <w:rPr>
          <w:rFonts w:cstheme="minorHAnsi"/>
          <w:color w:val="000000"/>
        </w:rPr>
      </w:pPr>
      <w:r w:rsidRPr="0049005F">
        <w:rPr>
          <w:rFonts w:cstheme="minorHAnsi"/>
          <w:color w:val="000000"/>
        </w:rPr>
        <w:t>This collection does not include any data or information of a sensitive nature.</w:t>
      </w:r>
    </w:p>
    <w:p w:rsidR="001172FE" w:rsidRPr="00E3122D" w:rsidP="00736453" w14:paraId="637A8E82" w14:textId="77777777">
      <w:pPr>
        <w:pStyle w:val="Heading1"/>
      </w:pPr>
      <w:bookmarkStart w:id="13" w:name="_Toc156593381"/>
      <w:r w:rsidRPr="4BDBF0A0">
        <w:t>RESPONDENT BURDEN HOURS</w:t>
      </w:r>
      <w:r w:rsidRPr="4BDBF0A0" w:rsidR="00DB799B">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736453" w14:paraId="571186E5" w14:textId="6A2751C8">
      <w:pPr>
        <w:pStyle w:val="Heading2"/>
      </w:pPr>
      <w:r w:rsidRPr="00685F10">
        <w:t xml:space="preserve">12a. </w:t>
      </w:r>
      <w:r w:rsidRPr="00685F10" w:rsidR="00557E8F">
        <w:t>Respondents/NAICS Codes</w:t>
      </w:r>
      <w:bookmarkStart w:id="15" w:name="_Toc156593383"/>
      <w:bookmarkEnd w:id="14"/>
    </w:p>
    <w:p w:rsidR="00BB3410" w:rsidRPr="00BB3410" w:rsidP="00854AAE" w14:paraId="0DA69975" w14:textId="058CE0E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 xml:space="preserve">The respondents to this information request will be those subject to </w:t>
      </w:r>
      <w:r w:rsidRPr="007F341E">
        <w:rPr>
          <w:rFonts w:cstheme="minorHAnsi"/>
          <w:color w:val="000000"/>
        </w:rPr>
        <w:t>40 CFR 63 Subpart EEE</w:t>
      </w:r>
      <w:r>
        <w:rPr>
          <w:rFonts w:cstheme="minorHAnsi"/>
          <w:color w:val="000000"/>
        </w:rPr>
        <w:t xml:space="preserve">. This includes </w:t>
      </w:r>
      <w:bookmarkStart w:id="16" w:name="_Hlk162853177"/>
      <w:r>
        <w:rPr>
          <w:rFonts w:cstheme="minorHAnsi"/>
          <w:color w:val="000000"/>
        </w:rPr>
        <w:t>hazardous waste</w:t>
      </w:r>
      <w:bookmarkEnd w:id="16"/>
      <w:r>
        <w:rPr>
          <w:rFonts w:cstheme="minorHAnsi"/>
          <w:color w:val="000000"/>
        </w:rPr>
        <w:t xml:space="preserve"> incinerators, hazardous waste cement kilns, hazardous waste lightweight </w:t>
      </w:r>
      <w:r>
        <w:rPr>
          <w:rFonts w:cstheme="minorHAnsi"/>
          <w:color w:val="000000"/>
        </w:rPr>
        <w:t>aggregate kilns, hazardous waste solid fuel boilers, hazardous waste liquid fuel boilers and hazardous waste hydrochloric acid production furnaces</w:t>
      </w:r>
      <w:r w:rsidR="00736453">
        <w:rPr>
          <w:rFonts w:cstheme="minorHAnsi"/>
          <w:color w:val="000000"/>
        </w:rPr>
        <w:t>.</w:t>
      </w:r>
    </w:p>
    <w:p w:rsidR="00ED57A4" w:rsidRPr="00163C69" w:rsidP="00736453" w14:paraId="24D360E5" w14:textId="6DF33794">
      <w:pPr>
        <w:pStyle w:val="Heading2"/>
      </w:pPr>
      <w:r w:rsidRPr="00163C69">
        <w:t xml:space="preserve">12b. </w:t>
      </w:r>
      <w:r w:rsidRPr="00163C69" w:rsidR="00BB7DA0">
        <w:t>Information Requested</w:t>
      </w:r>
      <w:bookmarkStart w:id="17" w:name="_Toc156593384"/>
      <w:bookmarkEnd w:id="15"/>
    </w:p>
    <w:p w:rsidR="007F341E" w:rsidRPr="007F341E" w:rsidP="007F341E" w14:paraId="75CE4D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To develop the burden estimates, the EPA estimated the number of hours required to complete one occurrence of each newly added activity, including learning CEDRI, reviewing instructions, gathering data, entering the information requested, reviewing responses, and submission (if necessary). For some of the activities the EPA assumed more time required in year 1 than in subsequent years to allocate time for learning the new work practices associated with e-reporting, changing staff at affected sources’ understanding of what now constitutes an excess emission report and a one-time reprogramming of CMS systems. The EPA estimated new occurrences based on the rule change. The EPA has not differentiated the hours that will be spent by or the number of occurrences at distinct types of facilities and instead this burden estimate assumes that all facilities will have the same number of occurrences and hours spent. This burden estimate is based on the following assumptions:</w:t>
      </w:r>
    </w:p>
    <w:p w:rsidR="007F341E" w:rsidRPr="007F341E" w:rsidP="007F341E" w14:paraId="34072866" w14:textId="77777777">
      <w:pPr>
        <w:pStyle w:val="ListParagraph"/>
        <w:numPr>
          <w:ilvl w:val="0"/>
          <w:numId w:val="28"/>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Every facility will have to familiarize themselves with regulatory requirements in greater detail than they normally would in the first year after the rule is finalized.</w:t>
      </w:r>
    </w:p>
    <w:p w:rsidR="007F341E" w:rsidRPr="007F341E" w:rsidP="007F341E" w14:paraId="6533A922" w14:textId="77777777">
      <w:pPr>
        <w:pStyle w:val="ListParagraph"/>
        <w:numPr>
          <w:ilvl w:val="0"/>
          <w:numId w:val="28"/>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Every facility will have to reprogram their CEMS in the first year after the rule is finalized.</w:t>
      </w:r>
    </w:p>
    <w:p w:rsidR="007F341E" w:rsidRPr="007F341E" w:rsidP="007F341E" w14:paraId="7561D875" w14:textId="77777777">
      <w:pPr>
        <w:pStyle w:val="ListParagraph"/>
        <w:numPr>
          <w:ilvl w:val="0"/>
          <w:numId w:val="28"/>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Each year every facility will have one new report (notification, ESV opening, excessive exceedance etc.).</w:t>
      </w:r>
    </w:p>
    <w:p w:rsidR="007F341E" w:rsidRPr="007F341E" w:rsidP="007F341E" w14:paraId="7A76B7A7" w14:textId="77777777">
      <w:pPr>
        <w:pStyle w:val="ListParagraph"/>
        <w:numPr>
          <w:ilvl w:val="0"/>
          <w:numId w:val="28"/>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 xml:space="preserve">Every facility will have to familiarize themselves with CEDRI. Time is allocated for this in each of the first three years but more time is allocated for the first occurrence in year 1. </w:t>
      </w:r>
    </w:p>
    <w:p w:rsidR="007F341E" w:rsidRPr="007F341E" w:rsidP="007F341E" w14:paraId="47ADD11F" w14:textId="77777777">
      <w:pPr>
        <w:pStyle w:val="ListParagraph"/>
        <w:numPr>
          <w:ilvl w:val="0"/>
          <w:numId w:val="28"/>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Every facility will have three new electronic submittals each year.</w:t>
      </w:r>
    </w:p>
    <w:p w:rsidR="007F341E" w:rsidRPr="007F341E" w:rsidP="007F341E" w14:paraId="507B71E6" w14:textId="01201AB9">
      <w:pPr>
        <w:pStyle w:val="ListParagraph"/>
        <w:numPr>
          <w:ilvl w:val="0"/>
          <w:numId w:val="28"/>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 xml:space="preserve">Every facility will have to review and update their operations manuals to ensure compliance with the revised rule. Time is allocated in all three years with more time in the first year after the rule is finalized. Time in subsequent years is for facilities to make additional updates and respond to feedback both internally and externally from EPA or state agencies. </w:t>
      </w:r>
    </w:p>
    <w:p w:rsidR="00BB3410" w:rsidRPr="00BB3410" w:rsidP="007F341E" w14:paraId="42074A5E" w14:textId="26DB75A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341E">
        <w:rPr>
          <w:rFonts w:cstheme="minorHAnsi"/>
          <w:color w:val="000000"/>
        </w:rPr>
        <w:t>The second major revision to 40 CFR 63 Subpart EEE is the addition of e-reporting. In the first year, the expectation is that there will be some additional time required for affected sources to familiarize themselves with CEDRI and the e-reporting system but after that the burden should be the same as current reporting. The following conditions add e-reporting specifically or as a definition:</w:t>
      </w:r>
    </w:p>
    <w:p w:rsidR="001172FE" w:rsidRPr="00163C69" w:rsidP="00736453" w14:paraId="7B8A0ACD" w14:textId="27119692">
      <w:pPr>
        <w:pStyle w:val="Heading2"/>
      </w:pPr>
      <w:r w:rsidRPr="00163C69">
        <w:t xml:space="preserve">12c. </w:t>
      </w:r>
      <w:r w:rsidRPr="00163C69" w:rsidR="00DD718B">
        <w:t>Respondent Activities</w:t>
      </w:r>
      <w:bookmarkStart w:id="18" w:name="_Toc156593385"/>
      <w:bookmarkEnd w:id="17"/>
    </w:p>
    <w:p w:rsidR="009F1E00" w:rsidP="00854AAE" w14:paraId="3C4B52CA" w14:textId="1D64F329">
      <w:pPr>
        <w:spacing w:before="60"/>
        <w:rPr>
          <w:rFonts w:cstheme="minorHAnsi"/>
        </w:rPr>
      </w:pPr>
      <w:r w:rsidRPr="0049005F">
        <w:rPr>
          <w:rFonts w:cstheme="minorHAnsi"/>
        </w:rPr>
        <w:t>The burden estimate of the new reporting involves quantifying new monitoring activities that will be required to demonstrate compliance and additional new reporting and notification activities that are a possibility depending on the results of the new monitoring activities to communicate the compliance demonstrations to the EPA or state regulators. The calculation of the burden estimate was based on an analysis of the first three years of the new rule. The table below shows the conditions that result in new monitoring, reporting and recordkeeping and may result in increased excess emissions.</w:t>
      </w:r>
    </w:p>
    <w:p w:rsidR="0049005F" w:rsidP="00854AAE" w14:paraId="00F5455D" w14:textId="77777777">
      <w:pPr>
        <w:spacing w:before="60"/>
        <w:rPr>
          <w:rFonts w:cstheme="minorHAnsi"/>
        </w:rPr>
      </w:pPr>
    </w:p>
    <w:tbl>
      <w:tblPr>
        <w:tblW w:w="8540" w:type="dxa"/>
        <w:jc w:val="center"/>
        <w:tblLook w:val="04A0"/>
      </w:tblPr>
      <w:tblGrid>
        <w:gridCol w:w="2740"/>
        <w:gridCol w:w="5800"/>
      </w:tblGrid>
      <w:tr w14:paraId="0622662A" w14:textId="77777777" w:rsidTr="007F331E">
        <w:tblPrEx>
          <w:tblW w:w="8540" w:type="dxa"/>
          <w:jc w:val="center"/>
          <w:tblLook w:val="04A0"/>
        </w:tblPrEx>
        <w:trPr>
          <w:cantSplit/>
          <w:trHeight w:val="510"/>
          <w:tblHeade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05F" w:rsidRPr="007F341E" w:rsidP="007F331E" w14:paraId="212F5C9D" w14:textId="77777777">
            <w:pPr>
              <w:spacing w:line="240" w:lineRule="auto"/>
              <w:jc w:val="center"/>
              <w:rPr>
                <w:rFonts w:cstheme="minorHAnsi"/>
                <w:b/>
                <w:color w:val="000000"/>
              </w:rPr>
            </w:pPr>
            <w:r w:rsidRPr="007F341E">
              <w:rPr>
                <w:rFonts w:cstheme="minorHAnsi"/>
                <w:b/>
                <w:color w:val="000000"/>
              </w:rPr>
              <w:t>Conditions requiring new activities</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49005F" w:rsidRPr="007F341E" w:rsidP="007F331E" w14:paraId="3100C8C1" w14:textId="77777777">
            <w:pPr>
              <w:spacing w:line="240" w:lineRule="auto"/>
              <w:jc w:val="center"/>
              <w:rPr>
                <w:rFonts w:cstheme="minorHAnsi"/>
                <w:b/>
                <w:color w:val="000000"/>
              </w:rPr>
            </w:pPr>
            <w:r w:rsidRPr="007F341E">
              <w:rPr>
                <w:rFonts w:cstheme="minorHAnsi"/>
                <w:b/>
                <w:color w:val="000000"/>
              </w:rPr>
              <w:t>Description</w:t>
            </w:r>
          </w:p>
        </w:tc>
      </w:tr>
      <w:tr w14:paraId="13DB6C5B" w14:textId="77777777" w:rsidTr="007F331E">
        <w:tblPrEx>
          <w:tblW w:w="8540" w:type="dxa"/>
          <w:jc w:val="center"/>
          <w:tblLook w:val="04A0"/>
        </w:tblPrEx>
        <w:trPr>
          <w:cantSplit/>
          <w:trHeight w:val="576"/>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70B608C2" w14:textId="77777777">
            <w:pPr>
              <w:spacing w:line="240" w:lineRule="auto"/>
              <w:jc w:val="center"/>
              <w:rPr>
                <w:rFonts w:cstheme="minorHAnsi"/>
                <w:color w:val="000000"/>
              </w:rPr>
            </w:pPr>
            <w:r w:rsidRPr="007F341E">
              <w:rPr>
                <w:rFonts w:cstheme="minorHAnsi"/>
                <w:color w:val="000000"/>
              </w:rPr>
              <w:t>63.1206(b)(1)(</w:t>
            </w:r>
            <w:r w:rsidRPr="007F341E">
              <w:rPr>
                <w:rFonts w:cstheme="minorHAnsi"/>
                <w:color w:val="000000"/>
              </w:rPr>
              <w:t>i</w:t>
            </w:r>
            <w:r w:rsidRPr="007F341E">
              <w:rPr>
                <w:rFonts w:cstheme="minorHAnsi"/>
                <w:color w:val="000000"/>
              </w:rPr>
              <w:t>)</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127B00D3" w14:textId="77777777">
            <w:pPr>
              <w:spacing w:line="240" w:lineRule="auto"/>
              <w:rPr>
                <w:rFonts w:cstheme="minorHAnsi"/>
                <w:color w:val="000000"/>
              </w:rPr>
            </w:pPr>
            <w:r w:rsidRPr="007F341E">
              <w:rPr>
                <w:rFonts w:cstheme="minorHAnsi"/>
                <w:color w:val="000000"/>
              </w:rPr>
              <w:t xml:space="preserve">The removal of this condition may create additional excess emission events. </w:t>
            </w:r>
          </w:p>
        </w:tc>
      </w:tr>
      <w:tr w14:paraId="51284536" w14:textId="77777777" w:rsidTr="007F331E">
        <w:tblPrEx>
          <w:tblW w:w="8540" w:type="dxa"/>
          <w:jc w:val="center"/>
          <w:tblLook w:val="04A0"/>
        </w:tblPrEx>
        <w:trPr>
          <w:cantSplit/>
          <w:trHeight w:val="576"/>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63D8A065" w14:textId="77777777">
            <w:pPr>
              <w:spacing w:line="240" w:lineRule="auto"/>
              <w:jc w:val="center"/>
              <w:rPr>
                <w:rFonts w:cstheme="minorHAnsi"/>
                <w:color w:val="000000"/>
              </w:rPr>
            </w:pPr>
            <w:r w:rsidRPr="007F341E">
              <w:rPr>
                <w:rFonts w:cstheme="minorHAnsi"/>
                <w:color w:val="000000"/>
              </w:rPr>
              <w:t>63.1206(c)(2)(v)(A)(1)</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088E2B85" w14:textId="77777777">
            <w:pPr>
              <w:spacing w:line="240" w:lineRule="auto"/>
              <w:rPr>
                <w:rFonts w:cstheme="minorHAnsi"/>
                <w:color w:val="000000"/>
              </w:rPr>
            </w:pPr>
            <w:r w:rsidRPr="007F341E">
              <w:rPr>
                <w:rFonts w:cstheme="minorHAnsi"/>
                <w:color w:val="000000"/>
              </w:rPr>
              <w:t>Removes the exemption from (c)(3)(v) and (vi) during malfunction. This adds additional investigation during malfunction.</w:t>
            </w:r>
          </w:p>
        </w:tc>
      </w:tr>
      <w:tr w14:paraId="0C7C9388" w14:textId="77777777" w:rsidTr="007F331E">
        <w:tblPrEx>
          <w:tblW w:w="8540" w:type="dxa"/>
          <w:jc w:val="center"/>
          <w:tblLook w:val="04A0"/>
        </w:tblPrEx>
        <w:trPr>
          <w:cantSplit/>
          <w:trHeight w:val="576"/>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10F415CA" w14:textId="77777777">
            <w:pPr>
              <w:spacing w:line="240" w:lineRule="auto"/>
              <w:jc w:val="center"/>
              <w:rPr>
                <w:rFonts w:cstheme="minorHAnsi"/>
                <w:color w:val="000000"/>
              </w:rPr>
            </w:pPr>
            <w:r w:rsidRPr="007F341E">
              <w:rPr>
                <w:rFonts w:cstheme="minorHAnsi"/>
                <w:color w:val="000000"/>
              </w:rPr>
              <w:t xml:space="preserve">63.1206(c)(2)(v)(A)(2) </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7EF4B2CE" w14:textId="77777777">
            <w:pPr>
              <w:spacing w:line="240" w:lineRule="auto"/>
              <w:rPr>
                <w:rFonts w:cstheme="minorHAnsi"/>
                <w:color w:val="000000"/>
              </w:rPr>
            </w:pPr>
            <w:r w:rsidRPr="007F341E">
              <w:rPr>
                <w:rFonts w:cstheme="minorHAnsi"/>
                <w:color w:val="000000" w:themeColor="text1"/>
              </w:rPr>
              <w:t>The removal of this condition may create additional excess emission events.</w:t>
            </w:r>
          </w:p>
        </w:tc>
      </w:tr>
      <w:tr w14:paraId="06EBFF14" w14:textId="77777777" w:rsidTr="007F331E">
        <w:tblPrEx>
          <w:tblW w:w="8540" w:type="dxa"/>
          <w:jc w:val="center"/>
          <w:tblLook w:val="04A0"/>
        </w:tblPrEx>
        <w:trPr>
          <w:cantSplit/>
          <w:trHeight w:val="576"/>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22348447" w14:textId="77777777">
            <w:pPr>
              <w:spacing w:line="240" w:lineRule="auto"/>
              <w:jc w:val="center"/>
              <w:rPr>
                <w:rFonts w:cstheme="minorHAnsi"/>
                <w:color w:val="000000"/>
              </w:rPr>
            </w:pPr>
            <w:r w:rsidRPr="007F341E">
              <w:rPr>
                <w:rFonts w:cstheme="minorHAnsi"/>
                <w:color w:val="000000"/>
              </w:rPr>
              <w:t>63.1206(c)(4)(</w:t>
            </w:r>
            <w:r w:rsidRPr="007F341E">
              <w:rPr>
                <w:rFonts w:cstheme="minorHAnsi"/>
                <w:color w:val="000000"/>
              </w:rPr>
              <w:t>i</w:t>
            </w:r>
            <w:r w:rsidRPr="007F341E">
              <w:rPr>
                <w:rFonts w:cstheme="minorHAnsi"/>
                <w:color w:val="000000"/>
              </w:rPr>
              <w:t>)</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53C3504A" w14:textId="77777777">
            <w:pPr>
              <w:spacing w:line="240" w:lineRule="auto"/>
              <w:rPr>
                <w:rFonts w:cstheme="minorHAnsi"/>
                <w:color w:val="000000"/>
              </w:rPr>
            </w:pPr>
            <w:r w:rsidRPr="007F341E">
              <w:rPr>
                <w:rFonts w:cstheme="minorHAnsi"/>
                <w:color w:val="000000"/>
              </w:rPr>
              <w:t>The removal of this exemption adds recordkeeping if an ESV opens during malfunctions.</w:t>
            </w:r>
          </w:p>
        </w:tc>
      </w:tr>
      <w:tr w14:paraId="5545E2C0" w14:textId="77777777" w:rsidTr="007F331E">
        <w:tblPrEx>
          <w:tblW w:w="8540" w:type="dxa"/>
          <w:jc w:val="center"/>
          <w:tblLook w:val="04A0"/>
        </w:tblPrEx>
        <w:trPr>
          <w:cantSplit/>
          <w:trHeight w:val="1008"/>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26A54DBA" w14:textId="77777777">
            <w:pPr>
              <w:spacing w:line="240" w:lineRule="auto"/>
              <w:jc w:val="center"/>
              <w:rPr>
                <w:rFonts w:cstheme="minorHAnsi"/>
                <w:color w:val="000000"/>
              </w:rPr>
            </w:pPr>
            <w:r w:rsidRPr="007F341E">
              <w:rPr>
                <w:rFonts w:cstheme="minorHAnsi"/>
                <w:color w:val="000000"/>
              </w:rPr>
              <w:t>63.1207(j)(3)</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2EA39989" w14:textId="77777777">
            <w:pPr>
              <w:spacing w:line="240" w:lineRule="auto"/>
              <w:rPr>
                <w:rFonts w:cstheme="minorHAnsi"/>
                <w:color w:val="000000"/>
              </w:rPr>
            </w:pPr>
            <w:r w:rsidRPr="007F341E">
              <w:rPr>
                <w:rFonts w:cstheme="minorHAnsi"/>
                <w:color w:val="000000"/>
              </w:rPr>
              <w:t xml:space="preserve">Replaced requiring performance test results with summary of performance test results in the Notification of Compliance. This may require additional processing but after an adjustment may result in a decreased burden. </w:t>
            </w:r>
          </w:p>
        </w:tc>
      </w:tr>
      <w:tr w14:paraId="49AC7746" w14:textId="77777777" w:rsidTr="007F331E">
        <w:tblPrEx>
          <w:tblW w:w="8540" w:type="dxa"/>
          <w:jc w:val="center"/>
          <w:tblLook w:val="04A0"/>
        </w:tblPrEx>
        <w:trPr>
          <w:cantSplit/>
          <w:trHeight w:val="1008"/>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7518D29D" w14:textId="77777777">
            <w:pPr>
              <w:spacing w:line="240" w:lineRule="auto"/>
              <w:jc w:val="center"/>
              <w:rPr>
                <w:rFonts w:cstheme="minorHAnsi"/>
                <w:color w:val="000000"/>
              </w:rPr>
            </w:pPr>
            <w:r w:rsidRPr="007F341E">
              <w:rPr>
                <w:rFonts w:cstheme="minorHAnsi"/>
                <w:color w:val="000000"/>
              </w:rPr>
              <w:t>63.1209(a)(1)(ii)(C) and</w:t>
            </w:r>
          </w:p>
          <w:p w:rsidR="0049005F" w:rsidRPr="007F341E" w:rsidP="007F331E" w14:paraId="5454BC55" w14:textId="77777777">
            <w:pPr>
              <w:spacing w:line="240" w:lineRule="auto"/>
              <w:jc w:val="center"/>
              <w:rPr>
                <w:rFonts w:cstheme="minorHAnsi"/>
                <w:color w:val="000000"/>
              </w:rPr>
            </w:pPr>
            <w:r w:rsidRPr="007F341E">
              <w:rPr>
                <w:rFonts w:cstheme="minorHAnsi"/>
                <w:color w:val="000000"/>
              </w:rPr>
              <w:t>63.1209(f)(4)</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51C9E6EA" w14:textId="77777777">
            <w:pPr>
              <w:spacing w:line="240" w:lineRule="auto"/>
              <w:rPr>
                <w:rFonts w:cstheme="minorHAnsi"/>
                <w:color w:val="000000"/>
              </w:rPr>
            </w:pPr>
            <w:r w:rsidRPr="007F341E">
              <w:rPr>
                <w:rFonts w:cstheme="minorHAnsi"/>
                <w:color w:val="000000" w:themeColor="text1"/>
              </w:rPr>
              <w:t xml:space="preserve">Changes </w:t>
            </w:r>
            <w:bookmarkStart w:id="19" w:name="_Int_NHTUBPJn"/>
            <w:r w:rsidRPr="007F341E">
              <w:rPr>
                <w:rFonts w:cstheme="minorHAnsi"/>
                <w:color w:val="000000" w:themeColor="text1"/>
              </w:rPr>
              <w:t>COMS</w:t>
            </w:r>
            <w:bookmarkEnd w:id="19"/>
            <w:r w:rsidRPr="007F341E">
              <w:rPr>
                <w:rFonts w:cstheme="minorHAnsi"/>
                <w:color w:val="000000" w:themeColor="text1"/>
              </w:rPr>
              <w:t xml:space="preserve"> and CMS compliance requirements to specific terms in this subpart from general terms. This should not result in more continuous monitoring, but it does not exempt any times from meeting emission limits and may require programming update.</w:t>
            </w:r>
          </w:p>
        </w:tc>
      </w:tr>
      <w:tr w14:paraId="7F309C1B" w14:textId="77777777" w:rsidTr="007F331E">
        <w:tblPrEx>
          <w:tblW w:w="8540" w:type="dxa"/>
          <w:jc w:val="center"/>
          <w:tblLook w:val="04A0"/>
        </w:tblPrEx>
        <w:trPr>
          <w:cantSplit/>
          <w:trHeight w:val="864"/>
          <w:jc w:val="center"/>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49005F" w:rsidRPr="007F341E" w:rsidP="007F331E" w14:paraId="78689137" w14:textId="77777777">
            <w:pPr>
              <w:spacing w:line="240" w:lineRule="auto"/>
              <w:jc w:val="center"/>
              <w:rPr>
                <w:rFonts w:cstheme="minorHAnsi"/>
                <w:color w:val="000000" w:themeColor="text1"/>
              </w:rPr>
            </w:pPr>
            <w:r w:rsidRPr="007F341E">
              <w:rPr>
                <w:rFonts w:cstheme="minorHAnsi"/>
                <w:color w:val="000000" w:themeColor="text1"/>
              </w:rPr>
              <w:t>63.1211(a)(1)</w:t>
            </w:r>
          </w:p>
        </w:tc>
        <w:tc>
          <w:tcPr>
            <w:tcW w:w="5800" w:type="dxa"/>
            <w:tcBorders>
              <w:top w:val="nil"/>
              <w:left w:val="nil"/>
              <w:bottom w:val="single" w:sz="4" w:space="0" w:color="auto"/>
              <w:right w:val="single" w:sz="4" w:space="0" w:color="auto"/>
            </w:tcBorders>
            <w:shd w:val="clear" w:color="auto" w:fill="auto"/>
            <w:vAlign w:val="center"/>
            <w:hideMark/>
          </w:tcPr>
          <w:p w:rsidR="0049005F" w:rsidRPr="007F341E" w:rsidP="007F331E" w14:paraId="5E97F48C" w14:textId="77777777">
            <w:pPr>
              <w:spacing w:line="240" w:lineRule="auto"/>
              <w:rPr>
                <w:rFonts w:cstheme="minorHAnsi"/>
                <w:color w:val="000000" w:themeColor="text1"/>
              </w:rPr>
            </w:pPr>
            <w:r w:rsidRPr="007F341E">
              <w:rPr>
                <w:rFonts w:cstheme="minorHAnsi"/>
                <w:color w:val="000000" w:themeColor="text1"/>
              </w:rPr>
              <w:t>Report information about failures to meet an applicable standard in the excessive emissions and continuous monitoring system performance report.</w:t>
            </w:r>
          </w:p>
          <w:p w:rsidR="0049005F" w:rsidRPr="007F341E" w:rsidP="007F331E" w14:paraId="068D8B96" w14:textId="77777777">
            <w:pPr>
              <w:spacing w:line="240" w:lineRule="auto"/>
              <w:jc w:val="center"/>
              <w:rPr>
                <w:rFonts w:cstheme="minorHAnsi"/>
                <w:color w:val="000000" w:themeColor="text1"/>
              </w:rPr>
            </w:pPr>
          </w:p>
        </w:tc>
      </w:tr>
      <w:tr w14:paraId="239ABEB2" w14:textId="77777777" w:rsidTr="007F331E">
        <w:tblPrEx>
          <w:tblW w:w="8540" w:type="dxa"/>
          <w:jc w:val="center"/>
          <w:tblLook w:val="04A0"/>
        </w:tblPrEx>
        <w:trPr>
          <w:cantSplit/>
          <w:trHeight w:val="576"/>
          <w:jc w:val="center"/>
        </w:trPr>
        <w:tc>
          <w:tcPr>
            <w:tcW w:w="2740" w:type="dxa"/>
            <w:tcBorders>
              <w:top w:val="nil"/>
              <w:left w:val="single" w:sz="4" w:space="0" w:color="auto"/>
              <w:bottom w:val="single" w:sz="4" w:space="0" w:color="auto"/>
              <w:right w:val="single" w:sz="4" w:space="0" w:color="auto"/>
            </w:tcBorders>
            <w:shd w:val="clear" w:color="auto" w:fill="auto"/>
            <w:vAlign w:val="center"/>
          </w:tcPr>
          <w:p w:rsidR="0049005F" w:rsidRPr="007F341E" w:rsidP="007F331E" w14:paraId="06E1B4DE" w14:textId="77777777">
            <w:pPr>
              <w:spacing w:line="240" w:lineRule="auto"/>
              <w:jc w:val="center"/>
              <w:rPr>
                <w:rFonts w:cstheme="minorHAnsi"/>
                <w:color w:val="000000" w:themeColor="text1"/>
              </w:rPr>
            </w:pPr>
            <w:r w:rsidRPr="007F341E">
              <w:rPr>
                <w:rFonts w:cstheme="minorHAnsi"/>
                <w:color w:val="000000" w:themeColor="text1"/>
              </w:rPr>
              <w:t>63.1211(e)</w:t>
            </w:r>
          </w:p>
        </w:tc>
        <w:tc>
          <w:tcPr>
            <w:tcW w:w="5800" w:type="dxa"/>
            <w:tcBorders>
              <w:top w:val="nil"/>
              <w:left w:val="nil"/>
              <w:bottom w:val="single" w:sz="4" w:space="0" w:color="auto"/>
              <w:right w:val="single" w:sz="4" w:space="0" w:color="auto"/>
            </w:tcBorders>
            <w:shd w:val="clear" w:color="auto" w:fill="auto"/>
            <w:vAlign w:val="center"/>
          </w:tcPr>
          <w:p w:rsidR="0049005F" w:rsidRPr="007F341E" w:rsidP="007F331E" w14:paraId="1BE46245" w14:textId="77777777">
            <w:pPr>
              <w:spacing w:line="240" w:lineRule="auto"/>
              <w:rPr>
                <w:rFonts w:cstheme="minorHAnsi"/>
                <w:color w:val="000000" w:themeColor="text1"/>
              </w:rPr>
            </w:pPr>
            <w:r w:rsidRPr="007F341E">
              <w:rPr>
                <w:rFonts w:cstheme="minorHAnsi"/>
                <w:color w:val="000000" w:themeColor="text1"/>
              </w:rPr>
              <w:t>Other recordkeeping requirements</w:t>
            </w:r>
          </w:p>
        </w:tc>
      </w:tr>
    </w:tbl>
    <w:p w:rsidR="0049005F" w:rsidRPr="00BB3410" w:rsidP="00854AAE" w14:paraId="36CAE7E7" w14:textId="77777777">
      <w:pPr>
        <w:spacing w:before="60"/>
        <w:rPr>
          <w:rFonts w:cstheme="minorHAnsi"/>
        </w:rPr>
      </w:pPr>
    </w:p>
    <w:p w:rsidR="00D92ED6" w:rsidRPr="00163C69" w:rsidP="00736453" w14:paraId="0B6BE1C2" w14:textId="3F49A8F0">
      <w:pPr>
        <w:pStyle w:val="Heading2"/>
      </w:pPr>
      <w:r w:rsidRPr="00163C69">
        <w:t xml:space="preserve">12d. </w:t>
      </w:r>
      <w:r w:rsidRPr="00163C69">
        <w:t xml:space="preserve">Respondent </w:t>
      </w:r>
      <w:r w:rsidRPr="00163C69" w:rsidR="00BB2B15">
        <w:t xml:space="preserve">Burden </w:t>
      </w:r>
      <w:r w:rsidRPr="00163C69" w:rsidR="00B666CD">
        <w:t>Hour</w:t>
      </w:r>
      <w:r w:rsidRPr="00163C69" w:rsidR="00BB2B15">
        <w:t>s</w:t>
      </w:r>
      <w:r w:rsidRPr="00163C69" w:rsidR="00B666CD">
        <w:t xml:space="preserve"> and Labor </w:t>
      </w:r>
      <w:bookmarkEnd w:id="18"/>
      <w:r w:rsidRPr="00163C69" w:rsidR="00BB2B15">
        <w:t>Costs</w:t>
      </w:r>
    </w:p>
    <w:p w:rsidR="0049005F" w:rsidRPr="0049005F" w:rsidP="0049005F" w14:paraId="37E4EE26" w14:textId="01BFFFE7">
      <w:pPr>
        <w:spacing w:before="60"/>
        <w:rPr>
          <w:rFonts w:cstheme="minorHAnsi"/>
          <w:color w:val="000000"/>
        </w:rPr>
      </w:pPr>
      <w:r w:rsidRPr="0049005F">
        <w:rPr>
          <w:rFonts w:cstheme="minorHAnsi"/>
          <w:color w:val="000000"/>
        </w:rPr>
        <w:t>Total Annual Responses Burden Estimate: $25</w:t>
      </w:r>
      <w:r w:rsidR="00736453">
        <w:rPr>
          <w:rFonts w:cstheme="minorHAnsi"/>
          <w:color w:val="000000"/>
        </w:rPr>
        <w:t>7</w:t>
      </w:r>
      <w:r w:rsidRPr="0049005F">
        <w:rPr>
          <w:rFonts w:cstheme="minorHAnsi"/>
          <w:color w:val="000000"/>
        </w:rPr>
        <w:t>,000 (average of years 1 to 3)</w:t>
      </w:r>
    </w:p>
    <w:p w:rsidR="00ED57A4" w:rsidP="0049005F" w14:paraId="68F435BE" w14:textId="338532CE">
      <w:pPr>
        <w:spacing w:before="60"/>
        <w:rPr>
          <w:rFonts w:cstheme="minorHAnsi"/>
          <w:color w:val="000000"/>
        </w:rPr>
      </w:pPr>
      <w:r w:rsidRPr="0049005F">
        <w:rPr>
          <w:rFonts w:cstheme="minorHAnsi"/>
          <w:color w:val="000000"/>
        </w:rPr>
        <w:t>Total Annual Hour Burden Estimate: 2,</w:t>
      </w:r>
      <w:r w:rsidR="00736453">
        <w:rPr>
          <w:rFonts w:cstheme="minorHAnsi"/>
          <w:color w:val="000000"/>
        </w:rPr>
        <w:t>56</w:t>
      </w:r>
      <w:r w:rsidRPr="0049005F">
        <w:rPr>
          <w:rFonts w:cstheme="minorHAnsi"/>
          <w:color w:val="000000"/>
        </w:rPr>
        <w:t>0 (average of years 1 to 3)</w:t>
      </w:r>
    </w:p>
    <w:p w:rsidR="0049005F" w:rsidP="0049005F" w14:paraId="4737AE33" w14:textId="77777777">
      <w:pPr>
        <w:spacing w:before="60"/>
        <w:rPr>
          <w:rFonts w:cstheme="minorHAnsi"/>
        </w:rPr>
      </w:pPr>
    </w:p>
    <w:p w:rsidR="00736453" w:rsidP="0049005F" w14:paraId="4AC2F107" w14:textId="62C8D875">
      <w:pPr>
        <w:spacing w:before="60"/>
        <w:rPr>
          <w:rFonts w:cstheme="minorHAnsi"/>
        </w:rPr>
      </w:pPr>
      <w:r w:rsidRPr="00736453">
        <w:rPr>
          <w:rFonts w:cstheme="minorHAnsi"/>
        </w:rPr>
        <w:t>The following table summarizes the estimate of response burden for the revised rule for 9</w:t>
      </w:r>
      <w:r w:rsidR="005240E7">
        <w:rPr>
          <w:rFonts w:cstheme="minorHAnsi"/>
        </w:rPr>
        <w:t>6</w:t>
      </w:r>
      <w:r w:rsidRPr="00736453">
        <w:rPr>
          <w:rFonts w:cstheme="minorHAnsi"/>
        </w:rPr>
        <w:t xml:space="preserve"> facilities and 177 emission units with the expectation that one new facility will open in year two and again in year three:</w:t>
      </w:r>
    </w:p>
    <w:tbl>
      <w:tblPr>
        <w:tblW w:w="9653" w:type="dxa"/>
        <w:jc w:val="center"/>
        <w:tblLayout w:type="fixed"/>
        <w:tblLook w:val="04A0"/>
      </w:tblPr>
      <w:tblGrid>
        <w:gridCol w:w="1374"/>
        <w:gridCol w:w="1421"/>
        <w:gridCol w:w="1852"/>
        <w:gridCol w:w="2970"/>
        <w:gridCol w:w="2036"/>
      </w:tblGrid>
      <w:tr w14:paraId="647EC219" w14:textId="77777777" w:rsidTr="00736453">
        <w:tblPrEx>
          <w:tblW w:w="9653" w:type="dxa"/>
          <w:jc w:val="center"/>
          <w:tblLayout w:type="fixed"/>
          <w:tblLook w:val="04A0"/>
        </w:tblPrEx>
        <w:trPr>
          <w:cantSplit/>
          <w:trHeight w:val="780"/>
          <w:tblHeader/>
          <w:jc w:val="center"/>
        </w:trPr>
        <w:tc>
          <w:tcPr>
            <w:tcW w:w="13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36453" w:rsidRPr="00736453" w:rsidP="007F331E" w14:paraId="65AB6127" w14:textId="77777777">
            <w:pPr>
              <w:spacing w:line="240" w:lineRule="auto"/>
              <w:jc w:val="center"/>
              <w:rPr>
                <w:rFonts w:cstheme="minorHAnsi"/>
                <w:b/>
                <w:bCs/>
              </w:rPr>
            </w:pPr>
            <w:r w:rsidRPr="00736453">
              <w:rPr>
                <w:rFonts w:cstheme="minorHAnsi"/>
                <w:b/>
                <w:bCs/>
              </w:rPr>
              <w:t>Year</w:t>
            </w:r>
          </w:p>
        </w:tc>
        <w:tc>
          <w:tcPr>
            <w:tcW w:w="1421" w:type="dxa"/>
            <w:tcBorders>
              <w:top w:val="single" w:sz="4" w:space="0" w:color="auto"/>
              <w:left w:val="nil"/>
              <w:bottom w:val="single" w:sz="4" w:space="0" w:color="auto"/>
              <w:right w:val="single" w:sz="4" w:space="0" w:color="auto"/>
            </w:tcBorders>
            <w:shd w:val="clear" w:color="auto" w:fill="FFFFFF" w:themeFill="background1"/>
            <w:vAlign w:val="center"/>
            <w:hideMark/>
          </w:tcPr>
          <w:p w:rsidR="00736453" w:rsidRPr="00736453" w:rsidP="007F331E" w14:paraId="7ABB12F8" w14:textId="77777777">
            <w:pPr>
              <w:spacing w:line="240" w:lineRule="auto"/>
              <w:jc w:val="center"/>
              <w:rPr>
                <w:rFonts w:cstheme="minorHAnsi"/>
                <w:b/>
                <w:bCs/>
              </w:rPr>
            </w:pPr>
            <w:r w:rsidRPr="00736453">
              <w:rPr>
                <w:rFonts w:cstheme="minorHAnsi"/>
                <w:b/>
                <w:bCs/>
              </w:rPr>
              <w:t>Total Labor Hours</w:t>
            </w:r>
          </w:p>
        </w:tc>
        <w:tc>
          <w:tcPr>
            <w:tcW w:w="1852" w:type="dxa"/>
            <w:tcBorders>
              <w:top w:val="single" w:sz="4" w:space="0" w:color="auto"/>
              <w:left w:val="nil"/>
              <w:bottom w:val="single" w:sz="4" w:space="0" w:color="auto"/>
              <w:right w:val="single" w:sz="4" w:space="0" w:color="auto"/>
            </w:tcBorders>
            <w:shd w:val="clear" w:color="auto" w:fill="FFFFFF" w:themeFill="background1"/>
            <w:vAlign w:val="center"/>
            <w:hideMark/>
          </w:tcPr>
          <w:p w:rsidR="00736453" w:rsidRPr="00736453" w:rsidP="007F331E" w14:paraId="75D3B352" w14:textId="77777777">
            <w:pPr>
              <w:spacing w:line="240" w:lineRule="auto"/>
              <w:jc w:val="center"/>
              <w:rPr>
                <w:rFonts w:cstheme="minorHAnsi"/>
                <w:b/>
                <w:bCs/>
              </w:rPr>
            </w:pPr>
            <w:r w:rsidRPr="00736453">
              <w:rPr>
                <w:rFonts w:cstheme="minorHAnsi"/>
                <w:b/>
                <w:bCs/>
              </w:rPr>
              <w:t>Labor Costs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736453" w:rsidRPr="00736453" w:rsidP="007F331E" w14:paraId="55933B1C" w14:textId="77777777">
            <w:pPr>
              <w:spacing w:line="240" w:lineRule="auto"/>
              <w:jc w:val="center"/>
              <w:rPr>
                <w:rFonts w:cstheme="minorHAnsi"/>
                <w:b/>
                <w:bCs/>
              </w:rPr>
            </w:pPr>
            <w:r w:rsidRPr="00736453">
              <w:rPr>
                <w:rFonts w:cstheme="minorHAnsi"/>
                <w:b/>
                <w:bCs/>
              </w:rPr>
              <w:t>Non-Labor (Capital/Startup and O&amp;M) Costs</w:t>
            </w:r>
          </w:p>
        </w:tc>
        <w:tc>
          <w:tcPr>
            <w:tcW w:w="2036" w:type="dxa"/>
            <w:tcBorders>
              <w:top w:val="single" w:sz="4" w:space="0" w:color="auto"/>
              <w:left w:val="nil"/>
              <w:bottom w:val="single" w:sz="4" w:space="0" w:color="auto"/>
              <w:right w:val="single" w:sz="4" w:space="0" w:color="auto"/>
            </w:tcBorders>
            <w:shd w:val="clear" w:color="auto" w:fill="FFFFFF" w:themeFill="background1"/>
            <w:vAlign w:val="center"/>
            <w:hideMark/>
          </w:tcPr>
          <w:p w:rsidR="00736453" w:rsidRPr="00736453" w:rsidP="007F331E" w14:paraId="0C4F97C9" w14:textId="77777777">
            <w:pPr>
              <w:spacing w:line="240" w:lineRule="auto"/>
              <w:jc w:val="center"/>
              <w:rPr>
                <w:rFonts w:cstheme="minorHAnsi"/>
                <w:b/>
                <w:bCs/>
              </w:rPr>
            </w:pPr>
            <w:r w:rsidRPr="00736453">
              <w:rPr>
                <w:rFonts w:cstheme="minorHAnsi"/>
                <w:b/>
                <w:bCs/>
              </w:rPr>
              <w:t>Total Costs</w:t>
            </w:r>
          </w:p>
        </w:tc>
      </w:tr>
      <w:tr w14:paraId="776E941F" w14:textId="77777777" w:rsidTr="006B7D7F">
        <w:tblPrEx>
          <w:tblW w:w="9653" w:type="dxa"/>
          <w:jc w:val="center"/>
          <w:tblLayout w:type="fixed"/>
          <w:tblLook w:val="04A0"/>
        </w:tblPrEx>
        <w:trPr>
          <w:cantSplit/>
          <w:trHeight w:val="300"/>
          <w:jc w:val="center"/>
        </w:trPr>
        <w:tc>
          <w:tcPr>
            <w:tcW w:w="1374" w:type="dxa"/>
            <w:tcBorders>
              <w:top w:val="nil"/>
              <w:left w:val="single" w:sz="4" w:space="0" w:color="auto"/>
              <w:bottom w:val="single" w:sz="4" w:space="0" w:color="auto"/>
              <w:right w:val="single" w:sz="4" w:space="0" w:color="auto"/>
            </w:tcBorders>
            <w:shd w:val="clear" w:color="auto" w:fill="FFFFFF" w:themeFill="background1"/>
            <w:noWrap/>
            <w:hideMark/>
          </w:tcPr>
          <w:p w:rsidR="005240E7" w:rsidRPr="00736453" w:rsidP="005240E7" w14:paraId="6DE92F3E" w14:textId="77777777">
            <w:pPr>
              <w:spacing w:line="240" w:lineRule="auto"/>
              <w:jc w:val="center"/>
              <w:rPr>
                <w:rFonts w:cstheme="minorHAnsi"/>
              </w:rPr>
            </w:pPr>
            <w:r w:rsidRPr="00736453">
              <w:rPr>
                <w:rFonts w:cstheme="minorHAnsi"/>
              </w:rPr>
              <w:t>1</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25C64886" w14:textId="0B216E9D">
            <w:pPr>
              <w:spacing w:after="0" w:line="240" w:lineRule="auto"/>
              <w:jc w:val="center"/>
              <w:rPr>
                <w:rFonts w:cstheme="minorHAnsi"/>
              </w:rPr>
            </w:pPr>
            <w:r w:rsidRPr="001A5B2D">
              <w:t>4,637</w:t>
            </w:r>
          </w:p>
        </w:tc>
        <w:tc>
          <w:tcPr>
            <w:tcW w:w="1852"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42D8FED7" w14:textId="57FB8500">
            <w:pPr>
              <w:spacing w:after="0" w:line="240" w:lineRule="auto"/>
              <w:jc w:val="center"/>
              <w:rPr>
                <w:rFonts w:cstheme="minorHAnsi"/>
              </w:rPr>
            </w:pPr>
            <w:r w:rsidRPr="001A5B2D">
              <w:t>$472,618</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19B566DC" w14:textId="56DFD59B">
            <w:pPr>
              <w:spacing w:after="0" w:line="240" w:lineRule="auto"/>
              <w:jc w:val="center"/>
              <w:rPr>
                <w:rFonts w:cstheme="minorHAnsi"/>
              </w:rPr>
            </w:pPr>
            <w:r w:rsidRPr="001A5B2D">
              <w:t>$0</w:t>
            </w:r>
          </w:p>
        </w:tc>
        <w:tc>
          <w:tcPr>
            <w:tcW w:w="2036"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5F37B6D9" w14:textId="34053A64">
            <w:pPr>
              <w:spacing w:after="0" w:line="240" w:lineRule="auto"/>
              <w:jc w:val="center"/>
              <w:rPr>
                <w:rFonts w:cstheme="minorHAnsi"/>
              </w:rPr>
            </w:pPr>
            <w:r w:rsidRPr="001A5B2D">
              <w:t>$468,728</w:t>
            </w:r>
          </w:p>
        </w:tc>
      </w:tr>
      <w:tr w14:paraId="7344BCC1" w14:textId="77777777" w:rsidTr="006B7D7F">
        <w:tblPrEx>
          <w:tblW w:w="9653" w:type="dxa"/>
          <w:jc w:val="center"/>
          <w:tblLayout w:type="fixed"/>
          <w:tblLook w:val="04A0"/>
        </w:tblPrEx>
        <w:trPr>
          <w:cantSplit/>
          <w:trHeight w:val="300"/>
          <w:jc w:val="center"/>
        </w:trPr>
        <w:tc>
          <w:tcPr>
            <w:tcW w:w="1374" w:type="dxa"/>
            <w:tcBorders>
              <w:top w:val="nil"/>
              <w:left w:val="single" w:sz="4" w:space="0" w:color="auto"/>
              <w:bottom w:val="single" w:sz="4" w:space="0" w:color="auto"/>
              <w:right w:val="single" w:sz="4" w:space="0" w:color="auto"/>
            </w:tcBorders>
            <w:shd w:val="clear" w:color="auto" w:fill="FFFFFF" w:themeFill="background1"/>
            <w:noWrap/>
            <w:hideMark/>
          </w:tcPr>
          <w:p w:rsidR="005240E7" w:rsidRPr="00736453" w:rsidP="005240E7" w14:paraId="68355BAD" w14:textId="77777777">
            <w:pPr>
              <w:spacing w:line="240" w:lineRule="auto"/>
              <w:jc w:val="center"/>
              <w:rPr>
                <w:rFonts w:cstheme="minorHAnsi"/>
              </w:rPr>
            </w:pPr>
            <w:r w:rsidRPr="00736453">
              <w:rPr>
                <w:rFonts w:cstheme="minorHAnsi"/>
              </w:rPr>
              <w:t>2</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620AE3C5" w14:textId="0DA1A529">
            <w:pPr>
              <w:spacing w:after="0" w:line="240" w:lineRule="auto"/>
              <w:jc w:val="center"/>
              <w:rPr>
                <w:rFonts w:cstheme="minorHAnsi"/>
              </w:rPr>
            </w:pPr>
            <w:r w:rsidRPr="001A5B2D">
              <w:t>1,507</w:t>
            </w:r>
          </w:p>
        </w:tc>
        <w:tc>
          <w:tcPr>
            <w:tcW w:w="1852"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56D0FA4C" w14:textId="6576B3E2">
            <w:pPr>
              <w:spacing w:after="0" w:line="240" w:lineRule="auto"/>
              <w:jc w:val="center"/>
              <w:rPr>
                <w:rFonts w:cstheme="minorHAnsi"/>
              </w:rPr>
            </w:pPr>
            <w:r w:rsidRPr="001A5B2D">
              <w:t>$153,554</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2A1F0782" w14:textId="49613386">
            <w:pPr>
              <w:spacing w:after="0" w:line="240" w:lineRule="auto"/>
              <w:jc w:val="center"/>
              <w:rPr>
                <w:rFonts w:cstheme="minorHAnsi"/>
              </w:rPr>
            </w:pPr>
            <w:r w:rsidRPr="001A5B2D">
              <w:t>$0</w:t>
            </w:r>
          </w:p>
        </w:tc>
        <w:tc>
          <w:tcPr>
            <w:tcW w:w="2036"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036FCE29" w14:textId="48CA6550">
            <w:pPr>
              <w:spacing w:after="0" w:line="240" w:lineRule="auto"/>
              <w:jc w:val="center"/>
              <w:rPr>
                <w:rFonts w:cstheme="minorHAnsi"/>
              </w:rPr>
            </w:pPr>
            <w:r w:rsidRPr="001A5B2D">
              <w:t>$149,664</w:t>
            </w:r>
          </w:p>
        </w:tc>
      </w:tr>
      <w:tr w14:paraId="63620BEA" w14:textId="77777777" w:rsidTr="006B7D7F">
        <w:tblPrEx>
          <w:tblW w:w="9653" w:type="dxa"/>
          <w:jc w:val="center"/>
          <w:tblLayout w:type="fixed"/>
          <w:tblLook w:val="04A0"/>
        </w:tblPrEx>
        <w:trPr>
          <w:cantSplit/>
          <w:trHeight w:val="300"/>
          <w:jc w:val="center"/>
        </w:trPr>
        <w:tc>
          <w:tcPr>
            <w:tcW w:w="1374" w:type="dxa"/>
            <w:tcBorders>
              <w:top w:val="nil"/>
              <w:left w:val="single" w:sz="4" w:space="0" w:color="auto"/>
              <w:bottom w:val="single" w:sz="4" w:space="0" w:color="auto"/>
              <w:right w:val="single" w:sz="4" w:space="0" w:color="auto"/>
            </w:tcBorders>
            <w:shd w:val="clear" w:color="auto" w:fill="FFFFFF" w:themeFill="background1"/>
            <w:noWrap/>
            <w:hideMark/>
          </w:tcPr>
          <w:p w:rsidR="005240E7" w:rsidRPr="00736453" w:rsidP="005240E7" w14:paraId="2F0A2B5B" w14:textId="77777777">
            <w:pPr>
              <w:spacing w:line="240" w:lineRule="auto"/>
              <w:jc w:val="center"/>
              <w:rPr>
                <w:rFonts w:cstheme="minorHAnsi"/>
              </w:rPr>
            </w:pPr>
            <w:r w:rsidRPr="00736453">
              <w:rPr>
                <w:rFonts w:cstheme="minorHAnsi"/>
              </w:rPr>
              <w:t>3</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342E039F" w14:textId="11737A98">
            <w:pPr>
              <w:spacing w:after="0" w:line="240" w:lineRule="auto"/>
              <w:jc w:val="center"/>
              <w:rPr>
                <w:rFonts w:cstheme="minorHAnsi"/>
              </w:rPr>
            </w:pPr>
            <w:r w:rsidRPr="001A5B2D">
              <w:t>1,522</w:t>
            </w:r>
          </w:p>
        </w:tc>
        <w:tc>
          <w:tcPr>
            <w:tcW w:w="1852"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644DC220" w14:textId="35D25B1D">
            <w:pPr>
              <w:spacing w:after="0" w:line="240" w:lineRule="auto"/>
              <w:jc w:val="center"/>
              <w:rPr>
                <w:rFonts w:cstheme="minorHAnsi"/>
              </w:rPr>
            </w:pPr>
            <w:r w:rsidRPr="001A5B2D">
              <w:t>$155,136</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161D3DE3" w14:textId="700269DC">
            <w:pPr>
              <w:spacing w:after="0" w:line="240" w:lineRule="auto"/>
              <w:jc w:val="center"/>
              <w:rPr>
                <w:rFonts w:cstheme="minorHAnsi"/>
              </w:rPr>
            </w:pPr>
            <w:r w:rsidRPr="001A5B2D">
              <w:t>$0</w:t>
            </w:r>
          </w:p>
        </w:tc>
        <w:tc>
          <w:tcPr>
            <w:tcW w:w="2036"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7ADBF565" w14:textId="594C9C6E">
            <w:pPr>
              <w:spacing w:after="0" w:line="240" w:lineRule="auto"/>
              <w:jc w:val="center"/>
              <w:rPr>
                <w:rFonts w:cstheme="minorHAnsi"/>
              </w:rPr>
            </w:pPr>
            <w:r w:rsidRPr="001A5B2D">
              <w:t>$151,246</w:t>
            </w:r>
          </w:p>
        </w:tc>
      </w:tr>
      <w:tr w14:paraId="13C40015" w14:textId="77777777" w:rsidTr="006B7D7F">
        <w:tblPrEx>
          <w:tblW w:w="9653" w:type="dxa"/>
          <w:jc w:val="center"/>
          <w:tblLayout w:type="fixed"/>
          <w:tblLook w:val="04A0"/>
        </w:tblPrEx>
        <w:trPr>
          <w:cantSplit/>
          <w:trHeight w:val="300"/>
          <w:jc w:val="center"/>
        </w:trPr>
        <w:tc>
          <w:tcPr>
            <w:tcW w:w="1374" w:type="dxa"/>
            <w:tcBorders>
              <w:top w:val="nil"/>
              <w:left w:val="single" w:sz="4" w:space="0" w:color="auto"/>
              <w:bottom w:val="single" w:sz="4" w:space="0" w:color="auto"/>
              <w:right w:val="single" w:sz="4" w:space="0" w:color="auto"/>
            </w:tcBorders>
            <w:shd w:val="clear" w:color="auto" w:fill="FFFFFF" w:themeFill="background1"/>
            <w:noWrap/>
            <w:vAlign w:val="center"/>
          </w:tcPr>
          <w:p w:rsidR="005240E7" w:rsidRPr="00736453" w:rsidP="005240E7" w14:paraId="43700353" w14:textId="77777777">
            <w:pPr>
              <w:spacing w:line="240" w:lineRule="auto"/>
              <w:jc w:val="center"/>
              <w:rPr>
                <w:rFonts w:cstheme="minorHAnsi"/>
                <w:b/>
                <w:bCs/>
              </w:rPr>
            </w:pPr>
            <w:r w:rsidRPr="00736453">
              <w:rPr>
                <w:rFonts w:cstheme="minorHAnsi"/>
                <w:b/>
                <w:bCs/>
              </w:rPr>
              <w:t>Annual Burden Reduction due to e-reporting*</w:t>
            </w:r>
          </w:p>
        </w:tc>
        <w:tc>
          <w:tcPr>
            <w:tcW w:w="8279" w:type="dxa"/>
            <w:gridSpan w:val="4"/>
            <w:tcBorders>
              <w:top w:val="nil"/>
              <w:left w:val="nil"/>
              <w:bottom w:val="single" w:sz="4" w:space="0" w:color="auto"/>
              <w:right w:val="single" w:sz="4" w:space="0" w:color="auto"/>
            </w:tcBorders>
            <w:shd w:val="clear" w:color="auto" w:fill="auto"/>
            <w:noWrap/>
            <w:vAlign w:val="center"/>
          </w:tcPr>
          <w:p w:rsidR="005240E7" w:rsidRPr="00736453" w:rsidP="006B7D7F" w14:paraId="3B3C4F89" w14:textId="602E425C">
            <w:pPr>
              <w:spacing w:after="0" w:line="240" w:lineRule="auto"/>
              <w:jc w:val="center"/>
              <w:rPr>
                <w:rFonts w:cstheme="minorHAnsi"/>
                <w:b/>
                <w:bCs/>
              </w:rPr>
            </w:pPr>
            <w:r w:rsidRPr="001A5B2D">
              <w:t>$3,890</w:t>
            </w:r>
          </w:p>
        </w:tc>
      </w:tr>
      <w:tr w14:paraId="37009975" w14:textId="77777777" w:rsidTr="006B7D7F">
        <w:tblPrEx>
          <w:tblW w:w="9653" w:type="dxa"/>
          <w:jc w:val="center"/>
          <w:tblLayout w:type="fixed"/>
          <w:tblLook w:val="04A0"/>
        </w:tblPrEx>
        <w:trPr>
          <w:cantSplit/>
          <w:trHeight w:val="300"/>
          <w:jc w:val="center"/>
        </w:trPr>
        <w:tc>
          <w:tcPr>
            <w:tcW w:w="1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40E7" w:rsidRPr="00736453" w:rsidP="005240E7" w14:paraId="6143D9C7" w14:textId="77777777">
            <w:pPr>
              <w:spacing w:line="240" w:lineRule="auto"/>
              <w:jc w:val="center"/>
              <w:rPr>
                <w:rFonts w:cstheme="minorHAnsi"/>
                <w:b/>
                <w:bCs/>
              </w:rPr>
            </w:pPr>
            <w:r w:rsidRPr="00736453">
              <w:rPr>
                <w:rFonts w:cstheme="minorHAnsi"/>
                <w:b/>
                <w:bCs/>
              </w:rPr>
              <w:t>Total (rounded)</w:t>
            </w:r>
          </w:p>
        </w:tc>
        <w:tc>
          <w:tcPr>
            <w:tcW w:w="1421" w:type="dxa"/>
            <w:tcBorders>
              <w:top w:val="nil"/>
              <w:left w:val="nil"/>
              <w:bottom w:val="single" w:sz="4" w:space="0" w:color="auto"/>
              <w:right w:val="single" w:sz="4" w:space="0" w:color="auto"/>
            </w:tcBorders>
            <w:shd w:val="clear" w:color="auto" w:fill="auto"/>
            <w:noWrap/>
            <w:vAlign w:val="center"/>
            <w:hideMark/>
          </w:tcPr>
          <w:p w:rsidR="005240E7" w:rsidRPr="00736453" w:rsidP="006B7D7F" w14:paraId="03069152" w14:textId="5118E3FA">
            <w:pPr>
              <w:spacing w:after="0" w:line="240" w:lineRule="auto"/>
              <w:jc w:val="center"/>
              <w:rPr>
                <w:rFonts w:cstheme="minorHAnsi"/>
                <w:b/>
                <w:bCs/>
              </w:rPr>
            </w:pPr>
            <w:r w:rsidRPr="001A5B2D">
              <w:t>7,670</w:t>
            </w:r>
          </w:p>
        </w:tc>
        <w:tc>
          <w:tcPr>
            <w:tcW w:w="1852" w:type="dxa"/>
            <w:tcBorders>
              <w:top w:val="nil"/>
              <w:left w:val="nil"/>
              <w:bottom w:val="single" w:sz="4" w:space="0" w:color="auto"/>
              <w:right w:val="single" w:sz="4" w:space="0" w:color="auto"/>
            </w:tcBorders>
            <w:shd w:val="clear" w:color="auto" w:fill="auto"/>
            <w:noWrap/>
            <w:vAlign w:val="center"/>
            <w:hideMark/>
          </w:tcPr>
          <w:p w:rsidR="005240E7" w:rsidRPr="00736453" w:rsidP="006B7D7F" w14:paraId="2E01AB17" w14:textId="5E2C2788">
            <w:pPr>
              <w:spacing w:after="0" w:line="240" w:lineRule="auto"/>
              <w:jc w:val="center"/>
              <w:rPr>
                <w:rFonts w:cstheme="minorHAnsi"/>
                <w:b/>
                <w:bCs/>
              </w:rPr>
            </w:pPr>
            <w:r w:rsidRPr="001A5B2D">
              <w:t>$781,000</w:t>
            </w:r>
          </w:p>
        </w:tc>
        <w:tc>
          <w:tcPr>
            <w:tcW w:w="2970" w:type="dxa"/>
            <w:tcBorders>
              <w:top w:val="nil"/>
              <w:left w:val="nil"/>
              <w:bottom w:val="single" w:sz="4" w:space="0" w:color="auto"/>
              <w:right w:val="single" w:sz="4" w:space="0" w:color="auto"/>
            </w:tcBorders>
            <w:shd w:val="clear" w:color="auto" w:fill="auto"/>
            <w:noWrap/>
            <w:vAlign w:val="center"/>
            <w:hideMark/>
          </w:tcPr>
          <w:p w:rsidR="005240E7" w:rsidRPr="00736453" w:rsidP="006B7D7F" w14:paraId="110D62F5" w14:textId="06CAD74A">
            <w:pPr>
              <w:spacing w:after="0" w:line="240" w:lineRule="auto"/>
              <w:jc w:val="center"/>
              <w:rPr>
                <w:rFonts w:cstheme="minorHAnsi"/>
                <w:b/>
                <w:bCs/>
              </w:rPr>
            </w:pPr>
            <w:r w:rsidRPr="001A5B2D">
              <w:t>$0</w:t>
            </w:r>
          </w:p>
        </w:tc>
        <w:tc>
          <w:tcPr>
            <w:tcW w:w="2036"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499A1411" w14:textId="77462849">
            <w:pPr>
              <w:spacing w:after="0" w:line="240" w:lineRule="auto"/>
              <w:jc w:val="center"/>
              <w:rPr>
                <w:rFonts w:cstheme="minorHAnsi"/>
                <w:b/>
                <w:bCs/>
              </w:rPr>
            </w:pPr>
            <w:r w:rsidRPr="001A5B2D">
              <w:t>$770,000</w:t>
            </w:r>
          </w:p>
        </w:tc>
      </w:tr>
      <w:tr w14:paraId="58310080" w14:textId="77777777" w:rsidTr="006B7D7F">
        <w:tblPrEx>
          <w:tblW w:w="9653" w:type="dxa"/>
          <w:jc w:val="center"/>
          <w:tblLayout w:type="fixed"/>
          <w:tblLook w:val="04A0"/>
        </w:tblPrEx>
        <w:trPr>
          <w:cantSplit/>
          <w:trHeight w:val="300"/>
          <w:jc w:val="center"/>
        </w:trPr>
        <w:tc>
          <w:tcPr>
            <w:tcW w:w="137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40E7" w:rsidRPr="00736453" w:rsidP="005240E7" w14:paraId="2D0BE9B5" w14:textId="77777777">
            <w:pPr>
              <w:spacing w:line="240" w:lineRule="auto"/>
              <w:jc w:val="center"/>
              <w:rPr>
                <w:rFonts w:cstheme="minorHAnsi"/>
                <w:b/>
                <w:bCs/>
              </w:rPr>
            </w:pPr>
            <w:r w:rsidRPr="00736453">
              <w:rPr>
                <w:rFonts w:cstheme="minorHAnsi"/>
                <w:b/>
                <w:bCs/>
              </w:rPr>
              <w:t>Annual Average (rounded)</w:t>
            </w:r>
          </w:p>
        </w:tc>
        <w:tc>
          <w:tcPr>
            <w:tcW w:w="1421"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3D11942E" w14:textId="46AE4A45">
            <w:pPr>
              <w:spacing w:after="0" w:line="240" w:lineRule="auto"/>
              <w:jc w:val="center"/>
              <w:rPr>
                <w:rFonts w:cstheme="minorHAnsi"/>
                <w:b/>
                <w:bCs/>
              </w:rPr>
            </w:pPr>
            <w:r w:rsidRPr="001A5B2D">
              <w:t>2,560</w:t>
            </w:r>
          </w:p>
        </w:tc>
        <w:tc>
          <w:tcPr>
            <w:tcW w:w="1852"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666E70DD" w14:textId="44364B77">
            <w:pPr>
              <w:spacing w:after="0" w:line="240" w:lineRule="auto"/>
              <w:jc w:val="center"/>
              <w:rPr>
                <w:rFonts w:cstheme="minorHAnsi"/>
                <w:b/>
                <w:bCs/>
              </w:rPr>
            </w:pPr>
            <w:r w:rsidRPr="001A5B2D">
              <w:t>$260,000</w:t>
            </w:r>
          </w:p>
        </w:tc>
        <w:tc>
          <w:tcPr>
            <w:tcW w:w="2970"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35ECCB6B" w14:textId="1996F816">
            <w:pPr>
              <w:spacing w:after="0" w:line="240" w:lineRule="auto"/>
              <w:jc w:val="center"/>
              <w:rPr>
                <w:rFonts w:cstheme="minorHAnsi"/>
                <w:b/>
                <w:bCs/>
              </w:rPr>
            </w:pPr>
            <w:r w:rsidRPr="001A5B2D">
              <w:t>$0</w:t>
            </w:r>
          </w:p>
        </w:tc>
        <w:tc>
          <w:tcPr>
            <w:tcW w:w="2036" w:type="dxa"/>
            <w:tcBorders>
              <w:top w:val="nil"/>
              <w:left w:val="nil"/>
              <w:bottom w:val="single" w:sz="4" w:space="0" w:color="auto"/>
              <w:right w:val="single" w:sz="4" w:space="0" w:color="auto"/>
            </w:tcBorders>
            <w:shd w:val="clear" w:color="auto" w:fill="FFFFFF" w:themeFill="background1"/>
            <w:noWrap/>
            <w:vAlign w:val="center"/>
            <w:hideMark/>
          </w:tcPr>
          <w:p w:rsidR="005240E7" w:rsidRPr="00736453" w:rsidP="006B7D7F" w14:paraId="58448862" w14:textId="690972FB">
            <w:pPr>
              <w:spacing w:after="0" w:line="240" w:lineRule="auto"/>
              <w:jc w:val="center"/>
              <w:rPr>
                <w:rFonts w:cstheme="minorHAnsi"/>
                <w:b/>
                <w:bCs/>
              </w:rPr>
            </w:pPr>
            <w:r w:rsidRPr="001A5B2D">
              <w:t>$257,000</w:t>
            </w:r>
          </w:p>
        </w:tc>
      </w:tr>
    </w:tbl>
    <w:p w:rsidR="00736453" w:rsidP="00736453" w14:paraId="01B7D376" w14:textId="1B6FBC1B">
      <w:pPr>
        <w:tabs>
          <w:tab w:val="left" w:pos="3543"/>
        </w:tabs>
        <w:spacing w:before="60"/>
        <w:rPr>
          <w:rFonts w:cstheme="minorHAnsi"/>
        </w:rPr>
      </w:pPr>
      <w:r w:rsidRPr="00736453">
        <w:rPr>
          <w:rFonts w:cstheme="minorHAnsi"/>
        </w:rPr>
        <w:t>*Described in Estimates of Cost Burden for Collection of Information section</w:t>
      </w:r>
    </w:p>
    <w:p w:rsidR="00736453" w:rsidRPr="00BB3410" w:rsidP="0049005F" w14:paraId="132B7455" w14:textId="77777777">
      <w:pPr>
        <w:spacing w:before="60"/>
        <w:rPr>
          <w:rFonts w:cstheme="minorHAnsi"/>
        </w:rPr>
      </w:pPr>
    </w:p>
    <w:p w:rsidR="00BB2B15" w:rsidRPr="00163C69" w:rsidP="00736453" w14:paraId="5D1B71A2" w14:textId="756DED71">
      <w:pPr>
        <w:pStyle w:val="Heading1"/>
      </w:pPr>
      <w:bookmarkStart w:id="20" w:name="_Toc156593386"/>
      <w:r>
        <w:t>RESPONDENT CAPITAL AND O&amp;M COSTS</w:t>
      </w:r>
      <w:bookmarkEnd w:id="20"/>
      <w:r w:rsidRPr="4BDBF0A0" w:rsidR="004E3CB0">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6453" w:rsidP="00736453" w14:paraId="646F46AD" w14:textId="451A07F8">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The t</w:t>
      </w:r>
      <w:r w:rsidRPr="00736453">
        <w:rPr>
          <w:rFonts w:cstheme="minorHAnsi"/>
          <w:color w:val="000000"/>
        </w:rPr>
        <w:t xml:space="preserve">otal </w:t>
      </w:r>
      <w:r>
        <w:rPr>
          <w:rFonts w:cstheme="minorHAnsi"/>
          <w:color w:val="000000"/>
        </w:rPr>
        <w:t>a</w:t>
      </w:r>
      <w:r w:rsidRPr="00736453">
        <w:rPr>
          <w:rFonts w:cstheme="minorHAnsi"/>
          <w:color w:val="000000"/>
        </w:rPr>
        <w:t xml:space="preserve">nnual (non-Labor) </w:t>
      </w:r>
      <w:r>
        <w:rPr>
          <w:rFonts w:cstheme="minorHAnsi"/>
          <w:color w:val="000000"/>
        </w:rPr>
        <w:t>c</w:t>
      </w:r>
      <w:r w:rsidRPr="00736453">
        <w:rPr>
          <w:rFonts w:cstheme="minorHAnsi"/>
          <w:color w:val="000000"/>
        </w:rPr>
        <w:t xml:space="preserve">ost </w:t>
      </w:r>
      <w:r>
        <w:rPr>
          <w:rFonts w:cstheme="minorHAnsi"/>
          <w:color w:val="000000"/>
        </w:rPr>
        <w:t>b</w:t>
      </w:r>
      <w:r w:rsidRPr="00736453">
        <w:rPr>
          <w:rFonts w:cstheme="minorHAnsi"/>
          <w:color w:val="000000"/>
        </w:rPr>
        <w:t xml:space="preserve">urden </w:t>
      </w:r>
      <w:r>
        <w:rPr>
          <w:rFonts w:cstheme="minorHAnsi"/>
          <w:color w:val="000000"/>
        </w:rPr>
        <w:t>e</w:t>
      </w:r>
      <w:r w:rsidRPr="00736453">
        <w:rPr>
          <w:rFonts w:cstheme="minorHAnsi"/>
          <w:color w:val="000000"/>
        </w:rPr>
        <w:t>stimate</w:t>
      </w:r>
      <w:r>
        <w:rPr>
          <w:rFonts w:cstheme="minorHAnsi"/>
          <w:color w:val="000000"/>
        </w:rPr>
        <w:t xml:space="preserve"> is</w:t>
      </w:r>
      <w:r w:rsidRPr="00736453">
        <w:rPr>
          <w:rFonts w:cstheme="minorHAnsi"/>
          <w:color w:val="000000"/>
        </w:rPr>
        <w:t xml:space="preserve"> $3,8</w:t>
      </w:r>
      <w:r w:rsidR="005240E7">
        <w:rPr>
          <w:rFonts w:cstheme="minorHAnsi"/>
          <w:color w:val="000000"/>
        </w:rPr>
        <w:t>90</w:t>
      </w:r>
      <w:r>
        <w:rPr>
          <w:rFonts w:cstheme="minorHAnsi"/>
          <w:color w:val="000000"/>
        </w:rPr>
        <w:t xml:space="preserve">.  </w:t>
      </w:r>
      <w:r w:rsidRPr="00736453">
        <w:rPr>
          <w:rFonts w:cstheme="minorHAnsi"/>
          <w:color w:val="000000"/>
        </w:rPr>
        <w:t xml:space="preserve">The EPA estimates there will be minimal other direct costs associated with new reporting requirements. All information should be available via existing monitoring methods and requires an increase in frequency but not a notable change in how the </w:t>
      </w:r>
      <w:r w:rsidRPr="00736453">
        <w:rPr>
          <w:rFonts w:cstheme="minorHAnsi"/>
          <w:color w:val="000000"/>
        </w:rPr>
        <w:t>information is collected. There will be a decrease (monetarily) in burden with the reduction in printing and shipping comprehensive performance tests (CPT), confirmatory performance tests (</w:t>
      </w:r>
      <w:r w:rsidRPr="00736453">
        <w:rPr>
          <w:rFonts w:cstheme="minorHAnsi"/>
          <w:color w:val="000000"/>
        </w:rPr>
        <w:t>CfPT</w:t>
      </w:r>
      <w:r w:rsidRPr="00736453">
        <w:rPr>
          <w:rFonts w:cstheme="minorHAnsi"/>
          <w:color w:val="000000"/>
        </w:rPr>
        <w:t xml:space="preserve">), excess emission and CMS reports, and any other notifications and infrequent reports. This analysis assumes CPTs will be 100 pages, </w:t>
      </w:r>
      <w:r w:rsidRPr="00736453">
        <w:rPr>
          <w:rFonts w:cstheme="minorHAnsi"/>
          <w:color w:val="000000"/>
        </w:rPr>
        <w:t>CfPTs</w:t>
      </w:r>
      <w:r w:rsidRPr="00736453">
        <w:rPr>
          <w:rFonts w:cstheme="minorHAnsi"/>
          <w:color w:val="000000"/>
        </w:rPr>
        <w:t xml:space="preserve"> will be 50 pages and excess emissions and CMS reports will be 20 pages and any other notifications will be 5 pages. The number of pages in CPT can vary drastically depending on the complexity of the unit, facility, type of waste received and how much supporting data a company chooses to send, with some reports being less than 100 pages but others being close to 1,000 pages. The EPA assumes that prior to e-reporting respondents incurred a printing rate of $0.10 per page for printing and $8.90 per package.</w:t>
      </w:r>
    </w:p>
    <w:p w:rsidR="00736453" w:rsidP="00854AAE" w14:paraId="7847F79A" w14:textId="77777777">
      <w:pPr>
        <w:pBdr>
          <w:top w:val="single" w:sz="6" w:space="0" w:color="FFFFFF"/>
          <w:left w:val="single" w:sz="6" w:space="0" w:color="FFFFFF"/>
          <w:bottom w:val="single" w:sz="6" w:space="0" w:color="FFFFFF"/>
          <w:right w:val="single" w:sz="6" w:space="0" w:color="FFFFFF"/>
        </w:pBdr>
        <w:rPr>
          <w:rFonts w:cstheme="minorHAnsi"/>
          <w:color w:val="000000"/>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9"/>
        <w:gridCol w:w="1404"/>
        <w:gridCol w:w="991"/>
        <w:gridCol w:w="1135"/>
        <w:gridCol w:w="1156"/>
        <w:gridCol w:w="1327"/>
        <w:gridCol w:w="1360"/>
        <w:gridCol w:w="1360"/>
      </w:tblGrid>
      <w:tr w14:paraId="4F851B4A" w14:textId="77777777" w:rsidTr="006B7D7F">
        <w:tblPrEx>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00"/>
          <w:tblHeader/>
          <w:jc w:val="center"/>
        </w:trPr>
        <w:tc>
          <w:tcPr>
            <w:tcW w:w="1769" w:type="dxa"/>
            <w:shd w:val="clear" w:color="auto" w:fill="auto"/>
            <w:vAlign w:val="center"/>
            <w:hideMark/>
          </w:tcPr>
          <w:p w:rsidR="00736453" w:rsidRPr="00736453" w:rsidP="007F331E" w14:paraId="78F50E85" w14:textId="77777777">
            <w:pPr>
              <w:spacing w:line="240" w:lineRule="auto"/>
              <w:jc w:val="center"/>
              <w:rPr>
                <w:rFonts w:cstheme="minorHAnsi"/>
                <w:b/>
                <w:color w:val="000000"/>
              </w:rPr>
            </w:pPr>
            <w:r w:rsidRPr="00736453">
              <w:rPr>
                <w:rFonts w:cstheme="minorHAnsi"/>
                <w:b/>
                <w:color w:val="000000"/>
              </w:rPr>
              <w:t>Activity</w:t>
            </w:r>
          </w:p>
        </w:tc>
        <w:tc>
          <w:tcPr>
            <w:tcW w:w="1404" w:type="dxa"/>
            <w:shd w:val="clear" w:color="auto" w:fill="auto"/>
            <w:vAlign w:val="center"/>
            <w:hideMark/>
          </w:tcPr>
          <w:p w:rsidR="00736453" w:rsidRPr="00736453" w:rsidP="007F331E" w14:paraId="6C3B01F8" w14:textId="77777777">
            <w:pPr>
              <w:spacing w:line="240" w:lineRule="auto"/>
              <w:jc w:val="center"/>
              <w:rPr>
                <w:rFonts w:cstheme="minorHAnsi"/>
                <w:b/>
                <w:color w:val="000000"/>
              </w:rPr>
            </w:pPr>
            <w:r w:rsidRPr="00736453">
              <w:rPr>
                <w:rFonts w:cstheme="minorHAnsi"/>
                <w:b/>
                <w:color w:val="000000"/>
              </w:rPr>
              <w:t>Number of Respondents</w:t>
            </w:r>
          </w:p>
        </w:tc>
        <w:tc>
          <w:tcPr>
            <w:tcW w:w="991" w:type="dxa"/>
            <w:shd w:val="clear" w:color="auto" w:fill="auto"/>
            <w:vAlign w:val="center"/>
            <w:hideMark/>
          </w:tcPr>
          <w:p w:rsidR="00736453" w:rsidRPr="00736453" w:rsidP="007F331E" w14:paraId="2EC77876" w14:textId="77777777">
            <w:pPr>
              <w:spacing w:line="240" w:lineRule="auto"/>
              <w:jc w:val="center"/>
              <w:rPr>
                <w:rFonts w:cstheme="minorHAnsi"/>
                <w:b/>
                <w:color w:val="000000"/>
              </w:rPr>
            </w:pPr>
            <w:r w:rsidRPr="00736453">
              <w:rPr>
                <w:rFonts w:cstheme="minorHAnsi"/>
                <w:b/>
                <w:color w:val="000000"/>
              </w:rPr>
              <w:t>Pages per report</w:t>
            </w:r>
          </w:p>
        </w:tc>
        <w:tc>
          <w:tcPr>
            <w:tcW w:w="1135" w:type="dxa"/>
            <w:shd w:val="clear" w:color="auto" w:fill="auto"/>
            <w:vAlign w:val="center"/>
            <w:hideMark/>
          </w:tcPr>
          <w:p w:rsidR="00736453" w:rsidRPr="00736453" w:rsidP="007F331E" w14:paraId="356519F7" w14:textId="77777777">
            <w:pPr>
              <w:spacing w:line="240" w:lineRule="auto"/>
              <w:jc w:val="center"/>
              <w:rPr>
                <w:rFonts w:cstheme="minorHAnsi"/>
                <w:b/>
                <w:color w:val="000000"/>
              </w:rPr>
            </w:pPr>
            <w:r w:rsidRPr="00736453">
              <w:rPr>
                <w:rFonts w:cstheme="minorHAnsi"/>
                <w:b/>
                <w:color w:val="000000"/>
              </w:rPr>
              <w:t>Total Printing Costs</w:t>
            </w:r>
          </w:p>
        </w:tc>
        <w:tc>
          <w:tcPr>
            <w:tcW w:w="1156" w:type="dxa"/>
            <w:shd w:val="clear" w:color="auto" w:fill="auto"/>
            <w:vAlign w:val="center"/>
            <w:hideMark/>
          </w:tcPr>
          <w:p w:rsidR="00736453" w:rsidRPr="00736453" w:rsidP="007F331E" w14:paraId="02A1DD12" w14:textId="77777777">
            <w:pPr>
              <w:spacing w:line="240" w:lineRule="auto"/>
              <w:jc w:val="center"/>
              <w:rPr>
                <w:rFonts w:cstheme="minorHAnsi"/>
                <w:b/>
                <w:color w:val="000000"/>
              </w:rPr>
            </w:pPr>
            <w:r w:rsidRPr="00736453">
              <w:rPr>
                <w:rFonts w:cstheme="minorHAnsi"/>
                <w:b/>
                <w:color w:val="000000"/>
              </w:rPr>
              <w:t>Total Shipping Costs</w:t>
            </w:r>
          </w:p>
        </w:tc>
        <w:tc>
          <w:tcPr>
            <w:tcW w:w="1327" w:type="dxa"/>
            <w:vAlign w:val="center"/>
          </w:tcPr>
          <w:p w:rsidR="00736453" w:rsidRPr="00736453" w:rsidP="007F331E" w14:paraId="16AAA1D5" w14:textId="77777777">
            <w:pPr>
              <w:spacing w:line="240" w:lineRule="auto"/>
              <w:jc w:val="center"/>
              <w:rPr>
                <w:rFonts w:cstheme="minorHAnsi"/>
                <w:b/>
                <w:color w:val="000000"/>
              </w:rPr>
            </w:pPr>
            <w:r w:rsidRPr="00736453">
              <w:rPr>
                <w:rFonts w:cstheme="minorHAnsi"/>
                <w:b/>
                <w:color w:val="000000"/>
              </w:rPr>
              <w:t>Time between submissions (years)</w:t>
            </w:r>
          </w:p>
        </w:tc>
        <w:tc>
          <w:tcPr>
            <w:tcW w:w="1360" w:type="dxa"/>
            <w:shd w:val="clear" w:color="auto" w:fill="auto"/>
            <w:noWrap/>
            <w:vAlign w:val="center"/>
            <w:hideMark/>
          </w:tcPr>
          <w:p w:rsidR="00736453" w:rsidRPr="00736453" w:rsidP="007F331E" w14:paraId="2B0F14E4" w14:textId="77777777">
            <w:pPr>
              <w:spacing w:line="240" w:lineRule="auto"/>
              <w:jc w:val="center"/>
              <w:rPr>
                <w:rFonts w:cstheme="minorHAnsi"/>
                <w:b/>
                <w:color w:val="000000"/>
              </w:rPr>
            </w:pPr>
            <w:r w:rsidRPr="00736453">
              <w:rPr>
                <w:rFonts w:cstheme="minorHAnsi"/>
                <w:b/>
                <w:color w:val="000000"/>
              </w:rPr>
              <w:t>Total costs</w:t>
            </w:r>
          </w:p>
        </w:tc>
        <w:tc>
          <w:tcPr>
            <w:tcW w:w="1360" w:type="dxa"/>
            <w:shd w:val="clear" w:color="auto" w:fill="auto"/>
            <w:vAlign w:val="center"/>
            <w:hideMark/>
          </w:tcPr>
          <w:p w:rsidR="00736453" w:rsidRPr="00736453" w:rsidP="007F331E" w14:paraId="7CA13542" w14:textId="77777777">
            <w:pPr>
              <w:spacing w:line="240" w:lineRule="auto"/>
              <w:jc w:val="center"/>
              <w:rPr>
                <w:rFonts w:cstheme="minorHAnsi"/>
                <w:b/>
                <w:color w:val="000000"/>
              </w:rPr>
            </w:pPr>
            <w:r w:rsidRPr="00736453">
              <w:rPr>
                <w:rFonts w:cstheme="minorHAnsi"/>
                <w:b/>
                <w:color w:val="000000" w:themeColor="text1"/>
              </w:rPr>
              <w:t>Annual costs</w:t>
            </w:r>
          </w:p>
        </w:tc>
      </w:tr>
      <w:tr w14:paraId="64B6432E" w14:textId="77777777" w:rsidTr="006B7D7F">
        <w:tblPrEx>
          <w:tblW w:w="10502" w:type="dxa"/>
          <w:jc w:val="center"/>
          <w:tblLook w:val="04A0"/>
        </w:tblPrEx>
        <w:trPr>
          <w:trHeight w:val="900"/>
          <w:jc w:val="center"/>
        </w:trPr>
        <w:tc>
          <w:tcPr>
            <w:tcW w:w="1769" w:type="dxa"/>
            <w:shd w:val="clear" w:color="auto" w:fill="auto"/>
            <w:vAlign w:val="center"/>
          </w:tcPr>
          <w:p w:rsidR="006B7D7F" w:rsidRPr="00736453" w:rsidP="006B7D7F" w14:paraId="4074B887" w14:textId="77777777">
            <w:pPr>
              <w:spacing w:line="240" w:lineRule="auto"/>
              <w:jc w:val="center"/>
              <w:rPr>
                <w:rFonts w:cstheme="minorHAnsi"/>
                <w:color w:val="000000"/>
              </w:rPr>
            </w:pPr>
            <w:r w:rsidRPr="00736453">
              <w:rPr>
                <w:rFonts w:cstheme="minorHAnsi"/>
              </w:rPr>
              <w:t>Comprehensive Performance Test</w:t>
            </w:r>
          </w:p>
        </w:tc>
        <w:tc>
          <w:tcPr>
            <w:tcW w:w="1404" w:type="dxa"/>
            <w:shd w:val="clear" w:color="auto" w:fill="auto"/>
            <w:vAlign w:val="center"/>
          </w:tcPr>
          <w:p w:rsidR="006B7D7F" w:rsidRPr="00736453" w:rsidP="006B7D7F" w14:paraId="58D7FA4B" w14:textId="0BD05E5C">
            <w:pPr>
              <w:spacing w:after="0" w:line="240" w:lineRule="auto"/>
              <w:jc w:val="center"/>
              <w:rPr>
                <w:rFonts w:cstheme="minorHAnsi"/>
                <w:color w:val="000000"/>
              </w:rPr>
            </w:pPr>
            <w:r w:rsidRPr="0071238E">
              <w:t>154</w:t>
            </w:r>
          </w:p>
        </w:tc>
        <w:tc>
          <w:tcPr>
            <w:tcW w:w="991" w:type="dxa"/>
            <w:shd w:val="clear" w:color="auto" w:fill="auto"/>
            <w:vAlign w:val="center"/>
          </w:tcPr>
          <w:p w:rsidR="006B7D7F" w:rsidRPr="00736453" w:rsidP="006B7D7F" w14:paraId="70A9F49F" w14:textId="20A91E0E">
            <w:pPr>
              <w:spacing w:after="0" w:line="240" w:lineRule="auto"/>
              <w:jc w:val="center"/>
              <w:rPr>
                <w:rFonts w:cstheme="minorHAnsi"/>
                <w:color w:val="000000"/>
              </w:rPr>
            </w:pPr>
            <w:r w:rsidRPr="0071238E">
              <w:t>100</w:t>
            </w:r>
          </w:p>
        </w:tc>
        <w:tc>
          <w:tcPr>
            <w:tcW w:w="1135" w:type="dxa"/>
            <w:shd w:val="clear" w:color="auto" w:fill="auto"/>
            <w:vAlign w:val="center"/>
          </w:tcPr>
          <w:p w:rsidR="006B7D7F" w:rsidRPr="00736453" w:rsidP="006B7D7F" w14:paraId="431A6EBF" w14:textId="2C5BC5FF">
            <w:pPr>
              <w:spacing w:after="0" w:line="240" w:lineRule="auto"/>
              <w:jc w:val="center"/>
              <w:rPr>
                <w:rFonts w:cstheme="minorHAnsi"/>
                <w:color w:val="000000"/>
              </w:rPr>
            </w:pPr>
            <w:r w:rsidRPr="0071238E">
              <w:t>$1,540.00</w:t>
            </w:r>
          </w:p>
        </w:tc>
        <w:tc>
          <w:tcPr>
            <w:tcW w:w="1156" w:type="dxa"/>
            <w:shd w:val="clear" w:color="auto" w:fill="auto"/>
            <w:vAlign w:val="center"/>
          </w:tcPr>
          <w:p w:rsidR="006B7D7F" w:rsidRPr="00736453" w:rsidP="006B7D7F" w14:paraId="6817804F" w14:textId="57C77F9B">
            <w:pPr>
              <w:spacing w:after="0" w:line="240" w:lineRule="auto"/>
              <w:jc w:val="center"/>
              <w:rPr>
                <w:rFonts w:cstheme="minorHAnsi"/>
                <w:color w:val="000000"/>
              </w:rPr>
            </w:pPr>
            <w:r w:rsidRPr="0071238E">
              <w:t>$1,370.60</w:t>
            </w:r>
          </w:p>
        </w:tc>
        <w:tc>
          <w:tcPr>
            <w:tcW w:w="1327" w:type="dxa"/>
            <w:vAlign w:val="center"/>
          </w:tcPr>
          <w:p w:rsidR="006B7D7F" w:rsidRPr="00736453" w:rsidP="006B7D7F" w14:paraId="68A23841" w14:textId="2E7B48F1">
            <w:pPr>
              <w:spacing w:after="0" w:line="240" w:lineRule="auto"/>
              <w:jc w:val="center"/>
              <w:rPr>
                <w:rFonts w:cstheme="minorHAnsi"/>
                <w:color w:val="000000"/>
              </w:rPr>
            </w:pPr>
            <w:r w:rsidRPr="0071238E">
              <w:t>5</w:t>
            </w:r>
          </w:p>
        </w:tc>
        <w:tc>
          <w:tcPr>
            <w:tcW w:w="1360" w:type="dxa"/>
            <w:shd w:val="clear" w:color="auto" w:fill="auto"/>
            <w:noWrap/>
            <w:vAlign w:val="center"/>
          </w:tcPr>
          <w:p w:rsidR="006B7D7F" w:rsidRPr="00736453" w:rsidP="006B7D7F" w14:paraId="3255027C" w14:textId="1B775173">
            <w:pPr>
              <w:spacing w:after="0" w:line="240" w:lineRule="auto"/>
              <w:jc w:val="center"/>
              <w:rPr>
                <w:rFonts w:cstheme="minorHAnsi"/>
                <w:color w:val="000000"/>
              </w:rPr>
            </w:pPr>
            <w:r w:rsidRPr="0071238E">
              <w:t>$2,910.00</w:t>
            </w:r>
          </w:p>
        </w:tc>
        <w:tc>
          <w:tcPr>
            <w:tcW w:w="1360" w:type="dxa"/>
            <w:shd w:val="clear" w:color="auto" w:fill="auto"/>
            <w:noWrap/>
            <w:vAlign w:val="center"/>
          </w:tcPr>
          <w:p w:rsidR="006B7D7F" w:rsidRPr="00736453" w:rsidP="006B7D7F" w14:paraId="024D25F8" w14:textId="4B7C7115">
            <w:pPr>
              <w:spacing w:after="0" w:line="240" w:lineRule="auto"/>
              <w:jc w:val="center"/>
              <w:rPr>
                <w:rFonts w:cstheme="minorHAnsi"/>
                <w:color w:val="000000"/>
              </w:rPr>
            </w:pPr>
            <w:r w:rsidRPr="0071238E">
              <w:t>$582.00</w:t>
            </w:r>
          </w:p>
        </w:tc>
      </w:tr>
      <w:tr w14:paraId="35C04A09" w14:textId="77777777" w:rsidTr="006B7D7F">
        <w:tblPrEx>
          <w:tblW w:w="10502" w:type="dxa"/>
          <w:jc w:val="center"/>
          <w:tblLook w:val="04A0"/>
        </w:tblPrEx>
        <w:trPr>
          <w:trHeight w:val="900"/>
          <w:jc w:val="center"/>
        </w:trPr>
        <w:tc>
          <w:tcPr>
            <w:tcW w:w="1769" w:type="dxa"/>
            <w:shd w:val="clear" w:color="auto" w:fill="auto"/>
            <w:vAlign w:val="center"/>
          </w:tcPr>
          <w:p w:rsidR="006B7D7F" w:rsidRPr="00736453" w:rsidP="006B7D7F" w14:paraId="3F3C1C5F" w14:textId="77777777">
            <w:pPr>
              <w:spacing w:line="240" w:lineRule="auto"/>
              <w:jc w:val="center"/>
              <w:rPr>
                <w:rFonts w:cstheme="minorHAnsi"/>
                <w:color w:val="000000"/>
              </w:rPr>
            </w:pPr>
            <w:r w:rsidRPr="00736453">
              <w:rPr>
                <w:rFonts w:cstheme="minorHAnsi"/>
              </w:rPr>
              <w:t>Confirmatory Performance Test</w:t>
            </w:r>
          </w:p>
        </w:tc>
        <w:tc>
          <w:tcPr>
            <w:tcW w:w="1404" w:type="dxa"/>
            <w:shd w:val="clear" w:color="auto" w:fill="auto"/>
            <w:vAlign w:val="center"/>
          </w:tcPr>
          <w:p w:rsidR="006B7D7F" w:rsidRPr="00736453" w:rsidP="006B7D7F" w14:paraId="00193F22" w14:textId="6CB7B862">
            <w:pPr>
              <w:spacing w:after="0" w:line="240" w:lineRule="auto"/>
              <w:jc w:val="center"/>
              <w:rPr>
                <w:rFonts w:cstheme="minorHAnsi"/>
                <w:color w:val="000000"/>
              </w:rPr>
            </w:pPr>
            <w:r w:rsidRPr="0071238E">
              <w:t>154</w:t>
            </w:r>
          </w:p>
        </w:tc>
        <w:tc>
          <w:tcPr>
            <w:tcW w:w="991" w:type="dxa"/>
            <w:shd w:val="clear" w:color="auto" w:fill="auto"/>
            <w:vAlign w:val="center"/>
          </w:tcPr>
          <w:p w:rsidR="006B7D7F" w:rsidRPr="00736453" w:rsidP="006B7D7F" w14:paraId="6397ADED" w14:textId="5554B224">
            <w:pPr>
              <w:spacing w:after="0" w:line="240" w:lineRule="auto"/>
              <w:jc w:val="center"/>
              <w:rPr>
                <w:rFonts w:cstheme="minorHAnsi"/>
                <w:color w:val="000000"/>
              </w:rPr>
            </w:pPr>
            <w:r w:rsidRPr="0071238E">
              <w:t>50</w:t>
            </w:r>
          </w:p>
        </w:tc>
        <w:tc>
          <w:tcPr>
            <w:tcW w:w="1135" w:type="dxa"/>
            <w:shd w:val="clear" w:color="auto" w:fill="auto"/>
            <w:vAlign w:val="center"/>
          </w:tcPr>
          <w:p w:rsidR="006B7D7F" w:rsidRPr="00736453" w:rsidP="006B7D7F" w14:paraId="4CF84E3E" w14:textId="000B1756">
            <w:pPr>
              <w:spacing w:after="0" w:line="240" w:lineRule="auto"/>
              <w:jc w:val="center"/>
              <w:rPr>
                <w:rFonts w:cstheme="minorHAnsi"/>
                <w:color w:val="000000"/>
              </w:rPr>
            </w:pPr>
            <w:r w:rsidRPr="0071238E">
              <w:t>$770.00</w:t>
            </w:r>
          </w:p>
        </w:tc>
        <w:tc>
          <w:tcPr>
            <w:tcW w:w="1156" w:type="dxa"/>
            <w:shd w:val="clear" w:color="auto" w:fill="auto"/>
            <w:vAlign w:val="center"/>
          </w:tcPr>
          <w:p w:rsidR="006B7D7F" w:rsidRPr="00736453" w:rsidP="006B7D7F" w14:paraId="6CDE6C46" w14:textId="448AF683">
            <w:pPr>
              <w:spacing w:after="0" w:line="240" w:lineRule="auto"/>
              <w:jc w:val="center"/>
              <w:rPr>
                <w:rFonts w:cstheme="minorHAnsi"/>
                <w:color w:val="000000"/>
              </w:rPr>
            </w:pPr>
            <w:r w:rsidRPr="0071238E">
              <w:t>$1,370.60</w:t>
            </w:r>
          </w:p>
        </w:tc>
        <w:tc>
          <w:tcPr>
            <w:tcW w:w="1327" w:type="dxa"/>
            <w:vAlign w:val="center"/>
          </w:tcPr>
          <w:p w:rsidR="006B7D7F" w:rsidRPr="00736453" w:rsidP="006B7D7F" w14:paraId="2BECABC6" w14:textId="0E89ADC4">
            <w:pPr>
              <w:spacing w:after="0" w:line="240" w:lineRule="auto"/>
              <w:jc w:val="center"/>
              <w:rPr>
                <w:rFonts w:cstheme="minorHAnsi"/>
                <w:color w:val="000000"/>
              </w:rPr>
            </w:pPr>
            <w:r w:rsidRPr="0071238E">
              <w:t>5</w:t>
            </w:r>
          </w:p>
        </w:tc>
        <w:tc>
          <w:tcPr>
            <w:tcW w:w="1360" w:type="dxa"/>
            <w:shd w:val="clear" w:color="auto" w:fill="auto"/>
            <w:noWrap/>
            <w:vAlign w:val="center"/>
          </w:tcPr>
          <w:p w:rsidR="006B7D7F" w:rsidRPr="00736453" w:rsidP="006B7D7F" w14:paraId="3186859A" w14:textId="221FE93E">
            <w:pPr>
              <w:spacing w:after="0" w:line="240" w:lineRule="auto"/>
              <w:jc w:val="center"/>
              <w:rPr>
                <w:rFonts w:cstheme="minorHAnsi"/>
                <w:color w:val="000000"/>
              </w:rPr>
            </w:pPr>
            <w:r w:rsidRPr="0071238E">
              <w:t>$2,140.00</w:t>
            </w:r>
          </w:p>
        </w:tc>
        <w:tc>
          <w:tcPr>
            <w:tcW w:w="1360" w:type="dxa"/>
            <w:shd w:val="clear" w:color="auto" w:fill="auto"/>
            <w:noWrap/>
            <w:vAlign w:val="center"/>
          </w:tcPr>
          <w:p w:rsidR="006B7D7F" w:rsidRPr="00736453" w:rsidP="006B7D7F" w14:paraId="10C0210A" w14:textId="3D43B4FC">
            <w:pPr>
              <w:spacing w:after="0" w:line="240" w:lineRule="auto"/>
              <w:jc w:val="center"/>
              <w:rPr>
                <w:rFonts w:cstheme="minorHAnsi"/>
                <w:color w:val="000000"/>
              </w:rPr>
            </w:pPr>
            <w:r w:rsidRPr="0071238E">
              <w:t>$428.00</w:t>
            </w:r>
          </w:p>
        </w:tc>
      </w:tr>
      <w:tr w14:paraId="5B00604D" w14:textId="77777777" w:rsidTr="006B7D7F">
        <w:tblPrEx>
          <w:tblW w:w="10502" w:type="dxa"/>
          <w:jc w:val="center"/>
          <w:tblLook w:val="04A0"/>
        </w:tblPrEx>
        <w:trPr>
          <w:trHeight w:val="900"/>
          <w:jc w:val="center"/>
        </w:trPr>
        <w:tc>
          <w:tcPr>
            <w:tcW w:w="1769" w:type="dxa"/>
            <w:shd w:val="clear" w:color="auto" w:fill="auto"/>
            <w:vAlign w:val="center"/>
          </w:tcPr>
          <w:p w:rsidR="006B7D7F" w:rsidRPr="00736453" w:rsidP="006B7D7F" w14:paraId="2CE50719" w14:textId="77777777">
            <w:pPr>
              <w:spacing w:line="240" w:lineRule="auto"/>
              <w:jc w:val="center"/>
              <w:rPr>
                <w:rFonts w:cstheme="minorHAnsi"/>
                <w:color w:val="000000"/>
              </w:rPr>
            </w:pPr>
            <w:r w:rsidRPr="00736453">
              <w:rPr>
                <w:rFonts w:cstheme="minorHAnsi"/>
              </w:rPr>
              <w:t>Excess Emission-CMS report</w:t>
            </w:r>
          </w:p>
        </w:tc>
        <w:tc>
          <w:tcPr>
            <w:tcW w:w="1404" w:type="dxa"/>
            <w:shd w:val="clear" w:color="auto" w:fill="auto"/>
            <w:vAlign w:val="center"/>
          </w:tcPr>
          <w:p w:rsidR="006B7D7F" w:rsidRPr="00736453" w:rsidP="006B7D7F" w14:paraId="694E1D07" w14:textId="5DF05EBB">
            <w:pPr>
              <w:spacing w:after="0" w:line="240" w:lineRule="auto"/>
              <w:jc w:val="center"/>
              <w:rPr>
                <w:rFonts w:cstheme="minorHAnsi"/>
                <w:color w:val="000000"/>
              </w:rPr>
            </w:pPr>
            <w:r w:rsidRPr="0071238E">
              <w:t>97</w:t>
            </w:r>
          </w:p>
        </w:tc>
        <w:tc>
          <w:tcPr>
            <w:tcW w:w="991" w:type="dxa"/>
            <w:shd w:val="clear" w:color="auto" w:fill="auto"/>
            <w:vAlign w:val="center"/>
          </w:tcPr>
          <w:p w:rsidR="006B7D7F" w:rsidRPr="00736453" w:rsidP="006B7D7F" w14:paraId="74BC724D" w14:textId="675C3F23">
            <w:pPr>
              <w:spacing w:after="0" w:line="240" w:lineRule="auto"/>
              <w:jc w:val="center"/>
              <w:rPr>
                <w:rFonts w:cstheme="minorHAnsi"/>
                <w:color w:val="000000"/>
              </w:rPr>
            </w:pPr>
            <w:r w:rsidRPr="0071238E">
              <w:t>20</w:t>
            </w:r>
          </w:p>
        </w:tc>
        <w:tc>
          <w:tcPr>
            <w:tcW w:w="1135" w:type="dxa"/>
            <w:shd w:val="clear" w:color="auto" w:fill="auto"/>
            <w:vAlign w:val="center"/>
          </w:tcPr>
          <w:p w:rsidR="006B7D7F" w:rsidRPr="00736453" w:rsidP="006B7D7F" w14:paraId="7C79EF3A" w14:textId="6982E9A2">
            <w:pPr>
              <w:spacing w:after="0" w:line="240" w:lineRule="auto"/>
              <w:jc w:val="center"/>
              <w:rPr>
                <w:rFonts w:cstheme="minorHAnsi"/>
                <w:color w:val="000000"/>
              </w:rPr>
            </w:pPr>
            <w:r w:rsidRPr="0071238E">
              <w:t>$194.00</w:t>
            </w:r>
          </w:p>
        </w:tc>
        <w:tc>
          <w:tcPr>
            <w:tcW w:w="1156" w:type="dxa"/>
            <w:shd w:val="clear" w:color="auto" w:fill="auto"/>
            <w:vAlign w:val="center"/>
          </w:tcPr>
          <w:p w:rsidR="006B7D7F" w:rsidRPr="00736453" w:rsidP="006B7D7F" w14:paraId="6CDB7CA1" w14:textId="5E49CDA2">
            <w:pPr>
              <w:spacing w:after="0" w:line="240" w:lineRule="auto"/>
              <w:jc w:val="center"/>
              <w:rPr>
                <w:rFonts w:cstheme="minorHAnsi"/>
                <w:color w:val="000000"/>
              </w:rPr>
            </w:pPr>
            <w:r w:rsidRPr="0071238E">
              <w:t>$863.30</w:t>
            </w:r>
          </w:p>
        </w:tc>
        <w:tc>
          <w:tcPr>
            <w:tcW w:w="1327" w:type="dxa"/>
            <w:vAlign w:val="center"/>
          </w:tcPr>
          <w:p w:rsidR="006B7D7F" w:rsidRPr="00736453" w:rsidP="006B7D7F" w14:paraId="3B49105E" w14:textId="774CA76D">
            <w:pPr>
              <w:spacing w:after="0" w:line="240" w:lineRule="auto"/>
              <w:jc w:val="center"/>
              <w:rPr>
                <w:rFonts w:cstheme="minorHAnsi"/>
                <w:color w:val="000000"/>
              </w:rPr>
            </w:pPr>
            <w:r w:rsidRPr="0071238E">
              <w:t>0.5</w:t>
            </w:r>
          </w:p>
        </w:tc>
        <w:tc>
          <w:tcPr>
            <w:tcW w:w="1360" w:type="dxa"/>
            <w:shd w:val="clear" w:color="auto" w:fill="auto"/>
            <w:noWrap/>
            <w:vAlign w:val="center"/>
          </w:tcPr>
          <w:p w:rsidR="006B7D7F" w:rsidRPr="00736453" w:rsidP="006B7D7F" w14:paraId="7D05C4EE" w14:textId="50629B43">
            <w:pPr>
              <w:spacing w:after="0" w:line="240" w:lineRule="auto"/>
              <w:jc w:val="center"/>
              <w:rPr>
                <w:rFonts w:cstheme="minorHAnsi"/>
                <w:color w:val="000000"/>
              </w:rPr>
            </w:pPr>
            <w:r w:rsidRPr="0071238E">
              <w:t>$1,060.00</w:t>
            </w:r>
          </w:p>
        </w:tc>
        <w:tc>
          <w:tcPr>
            <w:tcW w:w="1360" w:type="dxa"/>
            <w:shd w:val="clear" w:color="auto" w:fill="auto"/>
            <w:noWrap/>
            <w:vAlign w:val="center"/>
          </w:tcPr>
          <w:p w:rsidR="006B7D7F" w:rsidRPr="00736453" w:rsidP="006B7D7F" w14:paraId="6160D60B" w14:textId="71EB4A41">
            <w:pPr>
              <w:spacing w:after="0" w:line="240" w:lineRule="auto"/>
              <w:jc w:val="center"/>
              <w:rPr>
                <w:rFonts w:cstheme="minorHAnsi"/>
                <w:color w:val="000000"/>
              </w:rPr>
            </w:pPr>
            <w:r w:rsidRPr="0071238E">
              <w:t>$2,120.00</w:t>
            </w:r>
          </w:p>
        </w:tc>
      </w:tr>
      <w:tr w14:paraId="5F9900EE" w14:textId="77777777" w:rsidTr="006B7D7F">
        <w:tblPrEx>
          <w:tblW w:w="10502" w:type="dxa"/>
          <w:jc w:val="center"/>
          <w:tblLook w:val="04A0"/>
        </w:tblPrEx>
        <w:trPr>
          <w:trHeight w:val="900"/>
          <w:jc w:val="center"/>
        </w:trPr>
        <w:tc>
          <w:tcPr>
            <w:tcW w:w="1769" w:type="dxa"/>
            <w:shd w:val="clear" w:color="auto" w:fill="auto"/>
            <w:vAlign w:val="center"/>
          </w:tcPr>
          <w:p w:rsidR="006B7D7F" w:rsidRPr="00736453" w:rsidP="006B7D7F" w14:paraId="387B50ED" w14:textId="77777777">
            <w:pPr>
              <w:spacing w:line="240" w:lineRule="auto"/>
              <w:jc w:val="center"/>
              <w:rPr>
                <w:rFonts w:cstheme="minorHAnsi"/>
                <w:color w:val="000000"/>
              </w:rPr>
            </w:pPr>
            <w:r w:rsidRPr="00736453">
              <w:rPr>
                <w:rFonts w:cstheme="minorHAnsi"/>
              </w:rPr>
              <w:t>Notifications and infrequent reports</w:t>
            </w:r>
          </w:p>
        </w:tc>
        <w:tc>
          <w:tcPr>
            <w:tcW w:w="1404" w:type="dxa"/>
            <w:shd w:val="clear" w:color="auto" w:fill="auto"/>
            <w:vAlign w:val="center"/>
          </w:tcPr>
          <w:p w:rsidR="006B7D7F" w:rsidRPr="00736453" w:rsidP="006B7D7F" w14:paraId="6DDC5D9A" w14:textId="0716944E">
            <w:pPr>
              <w:spacing w:after="0" w:line="240" w:lineRule="auto"/>
              <w:jc w:val="center"/>
              <w:rPr>
                <w:rFonts w:cstheme="minorHAnsi"/>
                <w:color w:val="000000"/>
              </w:rPr>
            </w:pPr>
            <w:r w:rsidRPr="0071238E">
              <w:t>97</w:t>
            </w:r>
          </w:p>
        </w:tc>
        <w:tc>
          <w:tcPr>
            <w:tcW w:w="991" w:type="dxa"/>
            <w:shd w:val="clear" w:color="auto" w:fill="auto"/>
            <w:vAlign w:val="center"/>
          </w:tcPr>
          <w:p w:rsidR="006B7D7F" w:rsidRPr="00736453" w:rsidP="006B7D7F" w14:paraId="39FFBE0E" w14:textId="3C7E284B">
            <w:pPr>
              <w:spacing w:after="0" w:line="240" w:lineRule="auto"/>
              <w:jc w:val="center"/>
              <w:rPr>
                <w:rFonts w:cstheme="minorHAnsi"/>
                <w:color w:val="000000"/>
              </w:rPr>
            </w:pPr>
            <w:r w:rsidRPr="0071238E">
              <w:t>5</w:t>
            </w:r>
          </w:p>
        </w:tc>
        <w:tc>
          <w:tcPr>
            <w:tcW w:w="1135" w:type="dxa"/>
            <w:shd w:val="clear" w:color="auto" w:fill="auto"/>
            <w:vAlign w:val="center"/>
          </w:tcPr>
          <w:p w:rsidR="006B7D7F" w:rsidRPr="00736453" w:rsidP="006B7D7F" w14:paraId="232AE226" w14:textId="6A8C958C">
            <w:pPr>
              <w:spacing w:after="0" w:line="240" w:lineRule="auto"/>
              <w:jc w:val="center"/>
              <w:rPr>
                <w:rFonts w:cstheme="minorHAnsi"/>
                <w:color w:val="000000"/>
              </w:rPr>
            </w:pPr>
            <w:r w:rsidRPr="0071238E">
              <w:t>$40.50</w:t>
            </w:r>
          </w:p>
        </w:tc>
        <w:tc>
          <w:tcPr>
            <w:tcW w:w="1156" w:type="dxa"/>
            <w:shd w:val="clear" w:color="auto" w:fill="auto"/>
            <w:vAlign w:val="center"/>
          </w:tcPr>
          <w:p w:rsidR="006B7D7F" w:rsidRPr="00736453" w:rsidP="006B7D7F" w14:paraId="3F329516" w14:textId="2E521877">
            <w:pPr>
              <w:spacing w:after="0" w:line="240" w:lineRule="auto"/>
              <w:jc w:val="center"/>
              <w:rPr>
                <w:rFonts w:cstheme="minorHAnsi"/>
                <w:color w:val="000000"/>
              </w:rPr>
            </w:pPr>
            <w:r w:rsidRPr="0071238E">
              <w:t>$720.90</w:t>
            </w:r>
          </w:p>
        </w:tc>
        <w:tc>
          <w:tcPr>
            <w:tcW w:w="1327" w:type="dxa"/>
            <w:vAlign w:val="center"/>
          </w:tcPr>
          <w:p w:rsidR="006B7D7F" w:rsidRPr="00736453" w:rsidP="006B7D7F" w14:paraId="128E3933" w14:textId="107D4D42">
            <w:pPr>
              <w:spacing w:after="0" w:line="240" w:lineRule="auto"/>
              <w:jc w:val="center"/>
              <w:rPr>
                <w:rFonts w:cstheme="minorHAnsi"/>
                <w:color w:val="000000"/>
              </w:rPr>
            </w:pPr>
            <w:r w:rsidRPr="0071238E">
              <w:t>1</w:t>
            </w:r>
          </w:p>
        </w:tc>
        <w:tc>
          <w:tcPr>
            <w:tcW w:w="1360" w:type="dxa"/>
            <w:shd w:val="clear" w:color="auto" w:fill="auto"/>
            <w:noWrap/>
            <w:vAlign w:val="center"/>
          </w:tcPr>
          <w:p w:rsidR="006B7D7F" w:rsidRPr="00736453" w:rsidP="006B7D7F" w14:paraId="75350296" w14:textId="1E8169B2">
            <w:pPr>
              <w:spacing w:after="0" w:line="240" w:lineRule="auto"/>
              <w:jc w:val="center"/>
              <w:rPr>
                <w:rFonts w:cstheme="minorHAnsi"/>
                <w:color w:val="000000"/>
              </w:rPr>
            </w:pPr>
            <w:r w:rsidRPr="0071238E">
              <w:t>$760.00</w:t>
            </w:r>
          </w:p>
        </w:tc>
        <w:tc>
          <w:tcPr>
            <w:tcW w:w="1360" w:type="dxa"/>
            <w:shd w:val="clear" w:color="auto" w:fill="auto"/>
            <w:noWrap/>
            <w:vAlign w:val="center"/>
          </w:tcPr>
          <w:p w:rsidR="006B7D7F" w:rsidRPr="00736453" w:rsidP="006B7D7F" w14:paraId="0DB12304" w14:textId="65C08AAF">
            <w:pPr>
              <w:spacing w:after="0" w:line="240" w:lineRule="auto"/>
              <w:jc w:val="center"/>
              <w:rPr>
                <w:rFonts w:cstheme="minorHAnsi"/>
                <w:color w:val="000000"/>
              </w:rPr>
            </w:pPr>
            <w:r w:rsidRPr="0071238E">
              <w:t>$760.00</w:t>
            </w:r>
          </w:p>
        </w:tc>
      </w:tr>
    </w:tbl>
    <w:p w:rsidR="00736453" w:rsidRPr="00BB3410" w:rsidP="00854AAE" w14:paraId="2CCE147F"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023EFE" w:rsidRPr="00163C69" w:rsidP="00736453" w14:paraId="7D2BF7DE" w14:textId="77777777">
      <w:pPr>
        <w:pStyle w:val="Heading1"/>
      </w:pPr>
      <w:bookmarkStart w:id="21" w:name="_Toc156593387"/>
      <w:r w:rsidRPr="4BDBF0A0">
        <w:t xml:space="preserve">AGENCY </w:t>
      </w:r>
      <w:bookmarkStart w:id="22" w:name="_Toc156593388"/>
      <w:bookmarkEnd w:id="21"/>
      <w:r w:rsidRPr="4BDBF0A0" w:rsidR="00BB2B15">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736453" w14:paraId="1D8BBDEC" w14:textId="7D3333D9">
      <w:pPr>
        <w:pStyle w:val="Heading2"/>
      </w:pPr>
      <w:r w:rsidRPr="00163C69">
        <w:t xml:space="preserve">14a. </w:t>
      </w:r>
      <w:r w:rsidRPr="00163C69" w:rsidR="00BB2B15">
        <w:t>Agency Activities</w:t>
      </w:r>
    </w:p>
    <w:p w:rsidR="009F1E00" w:rsidRPr="00BB3410" w:rsidP="00854AAE" w14:paraId="647FDC77" w14:textId="19938212">
      <w:pPr>
        <w:keepNext/>
        <w:keepLines/>
        <w:spacing w:before="60"/>
        <w:rPr>
          <w:rFonts w:cstheme="minorHAnsi"/>
        </w:rPr>
      </w:pPr>
      <w:r>
        <w:rPr>
          <w:rFonts w:cstheme="minorHAnsi"/>
        </w:rPr>
        <w:t xml:space="preserve">As a result of this ICR, the </w:t>
      </w:r>
      <w:r w:rsidR="003A749A">
        <w:rPr>
          <w:rFonts w:cstheme="minorHAnsi"/>
        </w:rPr>
        <w:t>A</w:t>
      </w:r>
      <w:r>
        <w:rPr>
          <w:rFonts w:cstheme="minorHAnsi"/>
        </w:rPr>
        <w:t xml:space="preserve">gency will </w:t>
      </w:r>
      <w:r w:rsidR="00824087">
        <w:rPr>
          <w:rFonts w:cstheme="minorHAnsi"/>
        </w:rPr>
        <w:t xml:space="preserve">likely </w:t>
      </w:r>
      <w:r>
        <w:rPr>
          <w:rFonts w:cstheme="minorHAnsi"/>
        </w:rPr>
        <w:t xml:space="preserve">conduct additional report reviews of excessive exceedance reports due to an increased number of excess emission events, and notifications of CEMS updates when respondents report on the changes to remove exemptions from counting emissions during periods of malfunction. </w:t>
      </w:r>
    </w:p>
    <w:p w:rsidR="00023EFE" w:rsidRPr="00163C69" w:rsidP="00736453" w14:paraId="30F74537" w14:textId="3975E491">
      <w:pPr>
        <w:pStyle w:val="Heading2"/>
      </w:pPr>
      <w:r w:rsidRPr="00163C69">
        <w:t xml:space="preserve">14b. </w:t>
      </w:r>
      <w:r w:rsidRPr="00163C69" w:rsidR="00BB2B15">
        <w:t>Agency Labor Cost</w:t>
      </w:r>
    </w:p>
    <w:p w:rsidR="00BB3410" w:rsidP="00854AAE" w14:paraId="5BA12778" w14:textId="412FD2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36453">
        <w:rPr>
          <w:rFonts w:cstheme="minorHAnsi"/>
          <w:color w:val="000000"/>
        </w:rPr>
        <w:t>This ICR uses the following labor rates: $73.46 for managerial, $54.51 for technical, and $29.50 for clerical labor at the EPA. These rates are from the Office of Personnel Management (OPM), 2023 General Schedule, which excludes locality rates of pay. The rates have been increased by 60 percent to account for the benefit packages available to government employees. In the first year of the revised rule, the EPA expects up to 4 additional applications for new affected sources and conservatively assumes that all sources will have to update their continuous monitoring systems and submit a notification to the EPA stating as much.</w:t>
      </w:r>
    </w:p>
    <w:p w:rsidR="005240E7" w:rsidP="00854AAE" w14:paraId="4234E66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0" w:type="auto"/>
        <w:jc w:val="center"/>
        <w:tblLayout w:type="fixed"/>
        <w:tblLook w:val="06A0"/>
      </w:tblPr>
      <w:tblGrid>
        <w:gridCol w:w="1815"/>
        <w:gridCol w:w="1140"/>
        <w:gridCol w:w="1140"/>
        <w:gridCol w:w="1140"/>
        <w:gridCol w:w="1140"/>
      </w:tblGrid>
      <w:tr w14:paraId="3F7EFE81" w14:textId="77777777" w:rsidTr="007F331E">
        <w:tblPrEx>
          <w:tblW w:w="0" w:type="auto"/>
          <w:jc w:val="center"/>
          <w:tblLayout w:type="fixed"/>
          <w:tblLook w:val="06A0"/>
        </w:tblPrEx>
        <w:trPr>
          <w:trHeight w:val="810"/>
          <w:jc w:val="center"/>
        </w:trPr>
        <w:tc>
          <w:tcPr>
            <w:tcW w:w="1815"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7F331E" w14:paraId="0A956CC0" w14:textId="77777777">
            <w:pPr>
              <w:jc w:val="center"/>
              <w:rPr>
                <w:rFonts w:cstheme="minorHAnsi"/>
                <w:b/>
                <w:bCs/>
              </w:rPr>
            </w:pPr>
            <w:r w:rsidRPr="005240E7">
              <w:rPr>
                <w:rFonts w:cstheme="minorHAnsi"/>
                <w:b/>
                <w:bCs/>
              </w:rPr>
              <w:t>Year</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7F331E" w14:paraId="2179B2AE" w14:textId="77777777">
            <w:pPr>
              <w:jc w:val="center"/>
              <w:rPr>
                <w:rFonts w:cstheme="minorHAnsi"/>
                <w:b/>
                <w:bCs/>
              </w:rPr>
            </w:pPr>
            <w:r w:rsidRPr="005240E7">
              <w:rPr>
                <w:rFonts w:cstheme="minorHAnsi"/>
                <w:b/>
                <w:bCs/>
              </w:rPr>
              <w:t>Total Hours</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7F331E" w14:paraId="54C88823" w14:textId="77777777">
            <w:pPr>
              <w:jc w:val="center"/>
              <w:rPr>
                <w:rFonts w:cstheme="minorHAnsi"/>
                <w:b/>
                <w:bCs/>
              </w:rPr>
            </w:pPr>
            <w:r w:rsidRPr="005240E7">
              <w:rPr>
                <w:rFonts w:cstheme="minorHAnsi"/>
                <w:b/>
                <w:bCs/>
              </w:rPr>
              <w:t>Labor Costs</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7F331E" w14:paraId="2C1B9922" w14:textId="77777777">
            <w:pPr>
              <w:jc w:val="center"/>
              <w:rPr>
                <w:rFonts w:cstheme="minorHAnsi"/>
                <w:b/>
                <w:bCs/>
              </w:rPr>
            </w:pPr>
            <w:r w:rsidRPr="005240E7">
              <w:rPr>
                <w:rFonts w:cstheme="minorHAnsi"/>
                <w:b/>
                <w:bCs/>
              </w:rPr>
              <w:t>Non-Labor Costs</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7F331E" w14:paraId="39CE6ED7" w14:textId="77777777">
            <w:pPr>
              <w:jc w:val="center"/>
              <w:rPr>
                <w:rFonts w:cstheme="minorHAnsi"/>
                <w:b/>
                <w:bCs/>
              </w:rPr>
            </w:pPr>
            <w:r w:rsidRPr="005240E7">
              <w:rPr>
                <w:rFonts w:cstheme="minorHAnsi"/>
                <w:b/>
                <w:bCs/>
              </w:rPr>
              <w:t>Total Costs</w:t>
            </w:r>
          </w:p>
        </w:tc>
      </w:tr>
      <w:tr w14:paraId="7A32DB6A" w14:textId="77777777" w:rsidTr="006B7D7F">
        <w:tblPrEx>
          <w:tblW w:w="0" w:type="auto"/>
          <w:jc w:val="center"/>
          <w:tblLayout w:type="fixed"/>
          <w:tblLook w:val="06A0"/>
        </w:tblPrEx>
        <w:trPr>
          <w:trHeight w:val="300"/>
          <w:jc w:val="center"/>
        </w:trPr>
        <w:tc>
          <w:tcPr>
            <w:tcW w:w="1815"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005240E7" w:rsidRPr="005240E7" w:rsidP="007F331E" w14:paraId="05F670E3" w14:textId="77777777">
            <w:pPr>
              <w:jc w:val="center"/>
              <w:rPr>
                <w:rFonts w:cstheme="minorHAnsi"/>
              </w:rPr>
            </w:pPr>
            <w:r w:rsidRPr="005240E7">
              <w:rPr>
                <w:rFonts w:cstheme="minorHAnsi"/>
              </w:rPr>
              <w:t xml:space="preserve">1 </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5A5555A8" w14:textId="77777777">
            <w:pPr>
              <w:spacing w:after="0"/>
              <w:jc w:val="center"/>
              <w:rPr>
                <w:rFonts w:cstheme="minorHAnsi"/>
              </w:rPr>
            </w:pPr>
            <w:r w:rsidRPr="005240E7">
              <w:rPr>
                <w:rFonts w:cstheme="minorHAnsi"/>
              </w:rPr>
              <w:t>649</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16C3F9C8" w14:textId="77777777">
            <w:pPr>
              <w:spacing w:after="0"/>
              <w:jc w:val="center"/>
              <w:rPr>
                <w:rFonts w:cstheme="minorHAnsi"/>
              </w:rPr>
            </w:pPr>
            <w:r w:rsidRPr="005240E7">
              <w:rPr>
                <w:rFonts w:cstheme="minorHAnsi"/>
              </w:rPr>
              <w:t>$34,480</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775228C6" w14:textId="77777777">
            <w:pPr>
              <w:spacing w:after="0"/>
              <w:jc w:val="center"/>
              <w:rPr>
                <w:rFonts w:cstheme="minorHAnsi"/>
              </w:rPr>
            </w:pPr>
            <w:r w:rsidRPr="005240E7">
              <w:rPr>
                <w:rFonts w:cstheme="minorHAnsi"/>
              </w:rPr>
              <w:t>$0</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25F319D6" w14:textId="77777777">
            <w:pPr>
              <w:spacing w:after="0"/>
              <w:jc w:val="center"/>
              <w:rPr>
                <w:rFonts w:cstheme="minorHAnsi"/>
              </w:rPr>
            </w:pPr>
            <w:r w:rsidRPr="005240E7">
              <w:rPr>
                <w:rFonts w:cstheme="minorHAnsi"/>
              </w:rPr>
              <w:t>$34,480</w:t>
            </w:r>
          </w:p>
        </w:tc>
      </w:tr>
      <w:tr w14:paraId="29BD88ED" w14:textId="77777777" w:rsidTr="006B7D7F">
        <w:tblPrEx>
          <w:tblW w:w="0" w:type="auto"/>
          <w:jc w:val="center"/>
          <w:tblLayout w:type="fixed"/>
          <w:tblLook w:val="06A0"/>
        </w:tblPrEx>
        <w:trPr>
          <w:trHeight w:val="285"/>
          <w:jc w:val="center"/>
        </w:trPr>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005240E7" w:rsidRPr="005240E7" w:rsidP="007F331E" w14:paraId="0C1865F3" w14:textId="77777777">
            <w:pPr>
              <w:jc w:val="center"/>
              <w:rPr>
                <w:rFonts w:cstheme="minorHAnsi"/>
              </w:rPr>
            </w:pPr>
            <w:r w:rsidRPr="005240E7">
              <w:rPr>
                <w:rFonts w:cstheme="minorHAnsi"/>
              </w:rPr>
              <w:t xml:space="preserve">2 </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1F0BD93F" w14:textId="77777777">
            <w:pPr>
              <w:spacing w:after="0"/>
              <w:jc w:val="center"/>
              <w:rPr>
                <w:rFonts w:cstheme="minorHAnsi"/>
              </w:rPr>
            </w:pPr>
            <w:r w:rsidRPr="005240E7">
              <w:rPr>
                <w:rFonts w:cstheme="minorHAnsi"/>
              </w:rPr>
              <w:t>437</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249A01AE" w14:textId="77777777">
            <w:pPr>
              <w:spacing w:after="0"/>
              <w:jc w:val="center"/>
              <w:rPr>
                <w:rFonts w:cstheme="minorHAnsi"/>
              </w:rPr>
            </w:pPr>
            <w:r w:rsidRPr="005240E7">
              <w:rPr>
                <w:rFonts w:cstheme="minorHAnsi"/>
              </w:rPr>
              <w:t>$23,230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433F481A" w14:textId="77777777">
            <w:pPr>
              <w:spacing w:after="0"/>
              <w:jc w:val="center"/>
              <w:rPr>
                <w:rFonts w:cstheme="minorHAnsi"/>
              </w:rPr>
            </w:pPr>
            <w:r w:rsidRPr="005240E7">
              <w:rPr>
                <w:rFonts w:cstheme="minorHAnsi"/>
              </w:rPr>
              <w:t>$0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6DBDE9C1" w14:textId="77777777">
            <w:pPr>
              <w:spacing w:after="0"/>
              <w:jc w:val="center"/>
              <w:rPr>
                <w:rFonts w:cstheme="minorHAnsi"/>
              </w:rPr>
            </w:pPr>
            <w:r w:rsidRPr="005240E7">
              <w:rPr>
                <w:rFonts w:cstheme="minorHAnsi"/>
              </w:rPr>
              <w:t>$23,230</w:t>
            </w:r>
          </w:p>
        </w:tc>
      </w:tr>
      <w:tr w14:paraId="3FCF3AC4" w14:textId="77777777" w:rsidTr="006B7D7F">
        <w:tblPrEx>
          <w:tblW w:w="0" w:type="auto"/>
          <w:jc w:val="center"/>
          <w:tblLayout w:type="fixed"/>
          <w:tblLook w:val="06A0"/>
        </w:tblPrEx>
        <w:trPr>
          <w:trHeight w:val="300"/>
          <w:jc w:val="center"/>
        </w:trPr>
        <w:tc>
          <w:tcPr>
            <w:tcW w:w="1815"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bottom"/>
          </w:tcPr>
          <w:p w:rsidR="005240E7" w:rsidRPr="005240E7" w:rsidP="007F331E" w14:paraId="673AB0A8" w14:textId="77777777">
            <w:pPr>
              <w:jc w:val="center"/>
              <w:rPr>
                <w:rFonts w:cstheme="minorHAnsi"/>
              </w:rPr>
            </w:pPr>
            <w:r w:rsidRPr="005240E7">
              <w:rPr>
                <w:rFonts w:cstheme="minorHAnsi"/>
              </w:rPr>
              <w:t xml:space="preserve">3 </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5197FE96" w14:textId="77777777">
            <w:pPr>
              <w:spacing w:after="0"/>
              <w:jc w:val="center"/>
              <w:rPr>
                <w:rFonts w:cstheme="minorHAnsi"/>
              </w:rPr>
            </w:pPr>
            <w:r w:rsidRPr="005240E7">
              <w:rPr>
                <w:rFonts w:cstheme="minorHAnsi"/>
              </w:rPr>
              <w:t>442</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4F0EAD5D" w14:textId="77777777">
            <w:pPr>
              <w:spacing w:after="0"/>
              <w:jc w:val="center"/>
              <w:rPr>
                <w:rFonts w:cstheme="minorHAnsi"/>
              </w:rPr>
            </w:pPr>
            <w:r w:rsidRPr="005240E7">
              <w:rPr>
                <w:rFonts w:cstheme="minorHAnsi"/>
              </w:rPr>
              <w:t>$23,480</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011D9FB5" w14:textId="77777777">
            <w:pPr>
              <w:spacing w:after="0"/>
              <w:jc w:val="center"/>
              <w:rPr>
                <w:rFonts w:cstheme="minorHAnsi"/>
              </w:rPr>
            </w:pPr>
            <w:r w:rsidRPr="005240E7">
              <w:rPr>
                <w:rFonts w:cstheme="minorHAnsi"/>
              </w:rPr>
              <w:t>$0</w:t>
            </w:r>
          </w:p>
        </w:tc>
        <w:tc>
          <w:tcPr>
            <w:tcW w:w="1140" w:type="dxa"/>
            <w:tcBorders>
              <w:top w:val="single" w:sz="4" w:space="0" w:color="auto"/>
              <w:left w:val="single" w:sz="4" w:space="0" w:color="auto"/>
              <w:bottom w:val="double" w:sz="5"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68848AD7" w14:textId="77777777">
            <w:pPr>
              <w:spacing w:after="0"/>
              <w:jc w:val="center"/>
              <w:rPr>
                <w:rFonts w:cstheme="minorHAnsi"/>
              </w:rPr>
            </w:pPr>
            <w:r w:rsidRPr="005240E7">
              <w:rPr>
                <w:rFonts w:cstheme="minorHAnsi"/>
              </w:rPr>
              <w:t>$23,480</w:t>
            </w:r>
          </w:p>
        </w:tc>
      </w:tr>
      <w:tr w14:paraId="1B7C059F" w14:textId="77777777" w:rsidTr="006B7D7F">
        <w:tblPrEx>
          <w:tblW w:w="0" w:type="auto"/>
          <w:jc w:val="center"/>
          <w:tblLayout w:type="fixed"/>
          <w:tblLook w:val="06A0"/>
        </w:tblPrEx>
        <w:trPr>
          <w:trHeight w:val="300"/>
          <w:jc w:val="center"/>
        </w:trPr>
        <w:tc>
          <w:tcPr>
            <w:tcW w:w="1815"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005240E7" w:rsidRPr="005240E7" w:rsidP="007F331E" w14:paraId="0C0E3C49" w14:textId="77777777">
            <w:pPr>
              <w:jc w:val="center"/>
              <w:rPr>
                <w:rFonts w:cstheme="minorHAnsi"/>
                <w:b/>
                <w:bCs/>
              </w:rPr>
            </w:pPr>
            <w:r w:rsidRPr="005240E7">
              <w:rPr>
                <w:rFonts w:cstheme="minorHAnsi"/>
                <w:b/>
                <w:bCs/>
              </w:rPr>
              <w:t>Total (Rounded)</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192B7026" w14:textId="77777777">
            <w:pPr>
              <w:spacing w:after="0"/>
              <w:jc w:val="center"/>
              <w:rPr>
                <w:rFonts w:cstheme="minorHAnsi"/>
              </w:rPr>
            </w:pPr>
            <w:r w:rsidRPr="005240E7">
              <w:rPr>
                <w:rFonts w:cstheme="minorHAnsi"/>
              </w:rPr>
              <w:t>1,528</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327A1B0D" w14:textId="77777777">
            <w:pPr>
              <w:spacing w:after="0"/>
              <w:jc w:val="center"/>
              <w:rPr>
                <w:rFonts w:cstheme="minorHAnsi"/>
              </w:rPr>
            </w:pPr>
            <w:r w:rsidRPr="005240E7">
              <w:rPr>
                <w:rFonts w:cstheme="minorHAnsi"/>
              </w:rPr>
              <w:t>$81,190</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116C92E0" w14:textId="77777777">
            <w:pPr>
              <w:spacing w:after="0"/>
              <w:jc w:val="center"/>
              <w:rPr>
                <w:rFonts w:cstheme="minorHAnsi"/>
              </w:rPr>
            </w:pPr>
            <w:r w:rsidRPr="005240E7">
              <w:rPr>
                <w:rFonts w:cstheme="minorHAnsi"/>
              </w:rPr>
              <w:t>$0</w:t>
            </w:r>
          </w:p>
        </w:tc>
        <w:tc>
          <w:tcPr>
            <w:tcW w:w="1140" w:type="dxa"/>
            <w:tcBorders>
              <w:top w:val="double" w:sz="5"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0D4B43FD" w14:textId="77777777">
            <w:pPr>
              <w:spacing w:after="0"/>
              <w:jc w:val="center"/>
              <w:rPr>
                <w:rFonts w:cstheme="minorHAnsi"/>
              </w:rPr>
            </w:pPr>
            <w:r w:rsidRPr="005240E7">
              <w:rPr>
                <w:rFonts w:cstheme="minorHAnsi"/>
              </w:rPr>
              <w:t>$81,190</w:t>
            </w:r>
          </w:p>
        </w:tc>
      </w:tr>
      <w:tr w14:paraId="04DE49A5" w14:textId="77777777" w:rsidTr="006B7D7F">
        <w:tblPrEx>
          <w:tblW w:w="0" w:type="auto"/>
          <w:jc w:val="center"/>
          <w:tblLayout w:type="fixed"/>
          <w:tblLook w:val="06A0"/>
        </w:tblPrEx>
        <w:trPr>
          <w:trHeight w:val="285"/>
          <w:jc w:val="center"/>
        </w:trPr>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005240E7" w:rsidRPr="005240E7" w:rsidP="007F331E" w14:paraId="7FF06DE3" w14:textId="77777777">
            <w:pPr>
              <w:jc w:val="center"/>
              <w:rPr>
                <w:rFonts w:cstheme="minorHAnsi"/>
                <w:b/>
                <w:bCs/>
              </w:rPr>
            </w:pPr>
            <w:r w:rsidRPr="005240E7">
              <w:rPr>
                <w:rFonts w:cstheme="minorHAnsi"/>
                <w:b/>
                <w:bCs/>
              </w:rPr>
              <w:t>Average (Rounded)</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45B4A875" w14:textId="77777777">
            <w:pPr>
              <w:spacing w:after="0"/>
              <w:jc w:val="center"/>
              <w:rPr>
                <w:rFonts w:cstheme="minorHAnsi"/>
              </w:rPr>
            </w:pPr>
            <w:r w:rsidRPr="005240E7">
              <w:rPr>
                <w:rFonts w:cstheme="minorHAnsi"/>
              </w:rPr>
              <w:t>509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3EAF683F" w14:textId="77777777">
            <w:pPr>
              <w:spacing w:after="0"/>
              <w:jc w:val="center"/>
              <w:rPr>
                <w:rFonts w:cstheme="minorHAnsi"/>
              </w:rPr>
            </w:pPr>
            <w:r w:rsidRPr="005240E7">
              <w:rPr>
                <w:rFonts w:cstheme="minorHAnsi"/>
              </w:rPr>
              <w:t>$27,063</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6A3F0742" w14:textId="77777777">
            <w:pPr>
              <w:spacing w:after="0"/>
              <w:jc w:val="center"/>
              <w:rPr>
                <w:rFonts w:cstheme="minorHAnsi"/>
              </w:rPr>
            </w:pPr>
            <w:r w:rsidRPr="005240E7">
              <w:rPr>
                <w:rFonts w:cstheme="minorHAnsi"/>
              </w:rPr>
              <w:t>$0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5240E7" w:rsidRPr="005240E7" w:rsidP="006B7D7F" w14:paraId="0F066F08" w14:textId="77777777">
            <w:pPr>
              <w:spacing w:after="0"/>
              <w:jc w:val="center"/>
              <w:rPr>
                <w:rFonts w:cstheme="minorHAnsi"/>
              </w:rPr>
            </w:pPr>
            <w:r w:rsidRPr="005240E7">
              <w:rPr>
                <w:rFonts w:cstheme="minorHAnsi"/>
              </w:rPr>
              <w:t>$27,060</w:t>
            </w:r>
          </w:p>
        </w:tc>
      </w:tr>
    </w:tbl>
    <w:p w:rsidR="005240E7" w:rsidRPr="00BB3410" w:rsidP="00854AAE" w14:paraId="794296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163C69" w:rsidP="00736453" w14:paraId="164B7E2B" w14:textId="2BCAACF4">
      <w:pPr>
        <w:pStyle w:val="Heading2"/>
      </w:pPr>
      <w:r w:rsidRPr="00163C69">
        <w:t xml:space="preserve">14c. </w:t>
      </w:r>
      <w:r w:rsidRPr="00163C69">
        <w:t>Agency Non-Labor Costs</w:t>
      </w:r>
    </w:p>
    <w:p w:rsidR="00BB3410" w:rsidRPr="00BB3410" w:rsidP="00854AAE" w14:paraId="7FCA1ABF" w14:textId="43F1C0F4">
      <w:pPr>
        <w:spacing w:before="60"/>
        <w:rPr>
          <w:rFonts w:cstheme="minorHAnsi"/>
        </w:rPr>
      </w:pPr>
      <w:r>
        <w:rPr>
          <w:rFonts w:cstheme="minorHAnsi"/>
        </w:rPr>
        <w:t>There will be no non-labor costs for the Agency</w:t>
      </w:r>
    </w:p>
    <w:p w:rsidR="004620CA" w:rsidRPr="005240E7" w:rsidP="005240E7" w14:paraId="3144CC9D" w14:textId="72F4E703">
      <w:pPr>
        <w:pStyle w:val="Heading1"/>
      </w:pPr>
      <w:r w:rsidRPr="005240E7">
        <w:t xml:space="preserve">REASONS FOR </w:t>
      </w:r>
      <w:r w:rsidRPr="005240E7" w:rsidR="00AD46F7">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4D20AFED">
      <w:pPr>
        <w:pBdr>
          <w:top w:val="single" w:sz="6" w:space="0" w:color="FFFFFF"/>
          <w:left w:val="single" w:sz="6" w:space="0" w:color="FFFFFF"/>
          <w:bottom w:val="single" w:sz="6" w:space="0" w:color="FFFFFF"/>
          <w:right w:val="single" w:sz="6" w:space="0" w:color="FFFFFF"/>
        </w:pBdr>
        <w:rPr>
          <w:rFonts w:cstheme="minorHAnsi"/>
          <w:color w:val="FF0000"/>
        </w:rPr>
      </w:pPr>
      <w:r w:rsidRPr="00681CA7">
        <w:rPr>
          <w:rFonts w:cstheme="minorHAnsi"/>
        </w:rPr>
        <w:t>This is a new information collection request, therefore there is no change in burden.</w:t>
      </w:r>
    </w:p>
    <w:p w:rsidR="005D140B" w:rsidRPr="00163C69" w:rsidP="005240E7" w14:paraId="3604F417" w14:textId="5D0F3160">
      <w:pPr>
        <w:pStyle w:val="Heading1"/>
      </w:pPr>
      <w:bookmarkStart w:id="23" w:name="_Toc156593389"/>
      <w:r w:rsidRPr="4BDBF0A0">
        <w:t xml:space="preserve">PUBLICATION OF </w:t>
      </w:r>
      <w:bookmarkStart w:id="24" w:name="_Toc156593390"/>
      <w:bookmarkEnd w:id="23"/>
      <w:r w:rsidR="00E73E81">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370B010D">
      <w:pPr>
        <w:pBdr>
          <w:top w:val="single" w:sz="6" w:space="0" w:color="FFFFFF"/>
          <w:left w:val="single" w:sz="6" w:space="0" w:color="FFFFFF"/>
          <w:bottom w:val="single" w:sz="6" w:space="0" w:color="FFFFFF"/>
          <w:right w:val="single" w:sz="6" w:space="0" w:color="FFFFFF"/>
        </w:pBdr>
      </w:pPr>
      <w:r w:rsidRPr="00681CA7">
        <w:t>EPA will not be publishing the information gathered under the auspices of this collection.</w:t>
      </w:r>
    </w:p>
    <w:p w:rsidR="00627768" w:rsidRPr="00163C69" w:rsidP="005240E7" w14:paraId="54E9D2D0" w14:textId="67124984">
      <w:pPr>
        <w:pStyle w:val="Heading1"/>
      </w:pPr>
      <w:r w:rsidRPr="4BDBF0A0">
        <w:t xml:space="preserve">DISPLAY </w:t>
      </w:r>
      <w:r w:rsidRPr="4BDBF0A0" w:rsidR="00644EBE">
        <w:t xml:space="preserve">OF </w:t>
      </w:r>
      <w:r w:rsidRPr="4BDBF0A0" w:rsidR="000D5863">
        <w:t>EXPIRATION DATE</w:t>
      </w:r>
      <w:bookmarkEnd w:id="24"/>
      <w:r w:rsidRPr="4BDBF0A0" w:rsidR="00644EBE">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7A471681">
      <w:pPr>
        <w:pBdr>
          <w:top w:val="single" w:sz="6" w:space="0" w:color="FFFFFF"/>
          <w:left w:val="single" w:sz="6" w:space="0" w:color="FFFFFF"/>
          <w:bottom w:val="single" w:sz="6" w:space="0" w:color="FFFFFF"/>
          <w:right w:val="single" w:sz="6" w:space="0" w:color="FFFFFF"/>
        </w:pBdr>
      </w:pPr>
      <w:r w:rsidRPr="00681CA7">
        <w:t>No exemptions are being sought.</w:t>
      </w:r>
    </w:p>
    <w:p w:rsidR="00691828" w:rsidRPr="00163C69" w:rsidP="005240E7" w14:paraId="7CCB26DD" w14:textId="4CB12282">
      <w:pPr>
        <w:pStyle w:val="Heading1"/>
      </w:pPr>
      <w:bookmarkStart w:id="25" w:name="_Toc156593391"/>
      <w:r w:rsidRPr="00163C69">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824087" w14:paraId="02BFB1B4" w14:textId="19739D7E">
      <w:pPr>
        <w:pBdr>
          <w:top w:val="single" w:sz="6" w:space="0" w:color="FFFFFF"/>
          <w:left w:val="single" w:sz="6" w:space="0" w:color="FFFFFF"/>
          <w:bottom w:val="single" w:sz="6" w:space="0" w:color="FFFFFF"/>
          <w:right w:val="single" w:sz="6" w:space="0" w:color="FFFFFF"/>
        </w:pBdr>
        <w:rPr>
          <w:rFonts w:cstheme="minorHAnsi"/>
          <w:sz w:val="24"/>
          <w:szCs w:val="24"/>
        </w:rPr>
      </w:pPr>
      <w:r w:rsidRPr="00681CA7">
        <w:t>No exceptions to the certification statement are being sought.</w:t>
      </w:r>
    </w:p>
    <w:sectPr w:rsidSect="00824087">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9C3C509A"/>
    <w:lvl w:ilvl="0">
      <w:start w:val="1"/>
      <w:numFmt w:val="decimal"/>
      <w:pStyle w:val="Heading1"/>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0EC28C4"/>
    <w:multiLevelType w:val="hybridMultilevel"/>
    <w:tmpl w:val="5CC67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212580925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461"/>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5B2D"/>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2350"/>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3910"/>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E7A4F"/>
    <w:rsid w:val="002F0614"/>
    <w:rsid w:val="002F077A"/>
    <w:rsid w:val="002F10BE"/>
    <w:rsid w:val="002F13DA"/>
    <w:rsid w:val="002F15EB"/>
    <w:rsid w:val="002F3CE0"/>
    <w:rsid w:val="002F6A76"/>
    <w:rsid w:val="003005BB"/>
    <w:rsid w:val="00303DE5"/>
    <w:rsid w:val="00304842"/>
    <w:rsid w:val="00305071"/>
    <w:rsid w:val="00307411"/>
    <w:rsid w:val="00310FDB"/>
    <w:rsid w:val="00312370"/>
    <w:rsid w:val="00312F28"/>
    <w:rsid w:val="003132A5"/>
    <w:rsid w:val="00313724"/>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A749A"/>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005F"/>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40E7"/>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1CA7"/>
    <w:rsid w:val="0068304A"/>
    <w:rsid w:val="00683207"/>
    <w:rsid w:val="00685F10"/>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B7D7F"/>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1432"/>
    <w:rsid w:val="0071238E"/>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6453"/>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200"/>
    <w:rsid w:val="007E6E0D"/>
    <w:rsid w:val="007F1FD4"/>
    <w:rsid w:val="007F246C"/>
    <w:rsid w:val="007F2A90"/>
    <w:rsid w:val="007F331E"/>
    <w:rsid w:val="007F341E"/>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87"/>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57158"/>
    <w:rsid w:val="00A60384"/>
    <w:rsid w:val="00A6282F"/>
    <w:rsid w:val="00A62AFA"/>
    <w:rsid w:val="00A64B54"/>
    <w:rsid w:val="00A67FC6"/>
    <w:rsid w:val="00A68791"/>
    <w:rsid w:val="00A71397"/>
    <w:rsid w:val="00A71F84"/>
    <w:rsid w:val="00A72623"/>
    <w:rsid w:val="00A73CBD"/>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C5509"/>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064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2783D"/>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29E"/>
    <w:rsid w:val="00E33FC1"/>
    <w:rsid w:val="00E3518D"/>
    <w:rsid w:val="00E35BF8"/>
    <w:rsid w:val="00E37A2B"/>
    <w:rsid w:val="00E37D23"/>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6CB4"/>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ListParagraph"/>
    <w:next w:val="Normal"/>
    <w:link w:val="Heading1Char"/>
    <w:uiPriority w:val="9"/>
    <w:qFormat/>
    <w:rsid w:val="005240E7"/>
    <w:pPr>
      <w:numPr>
        <w:numId w:val="25"/>
      </w:numPr>
      <w:spacing w:before="240" w:after="0"/>
      <w:outlineLvl w:val="0"/>
    </w:pPr>
    <w:rPr>
      <w:rFonts w:cstheme="minorHAnsi"/>
      <w:b/>
      <w:bCs/>
    </w:rPr>
  </w:style>
  <w:style w:type="paragraph" w:styleId="Heading2">
    <w:name w:val="heading 2"/>
    <w:basedOn w:val="Normal"/>
    <w:next w:val="Normal"/>
    <w:link w:val="Heading2Char"/>
    <w:uiPriority w:val="9"/>
    <w:unhideWhenUsed/>
    <w:qFormat/>
    <w:rsid w:val="00736453"/>
    <w:pPr>
      <w:spacing w:before="120" w:after="0"/>
      <w:outlineLvl w:val="1"/>
    </w:pPr>
    <w:rPr>
      <w:rFonts w:cstheme="minorHAnsi"/>
      <w:b/>
      <w:bCs/>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240E7"/>
    <w:rPr>
      <w:rFonts w:cstheme="minorHAnsi"/>
      <w:b/>
      <w:bCs/>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736453"/>
    <w:rPr>
      <w:rFonts w:cstheme="minorHAnsi"/>
      <w:b/>
      <w:bCs/>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LastSyncTimeStamp="2016-08-25T00:16:07.24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2" ma:contentTypeDescription="Create a new document." ma:contentTypeScope="" ma:versionID="ddce83a1123e3f805a168e7356f0a747">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208e3e8c8670a5f7f6fc510f3ffac5d1"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2021-04-13T04:00:00+00:00</Document_x0020_Creation_x0020_Date>
    <TaxCatchAll xmlns="4ffa91fb-a0ff-4ac5-b2db-65c790d184a4" xsi:nil="true"/>
    <SharedWithUsers xmlns="8cbedb01-7036-4fa4-9d83-78abe0166c2f">
      <UserInfo>
        <DisplayName/>
        <AccountId xsi:nil="true"/>
        <AccountType/>
      </UserInfo>
    </SharedWithUsers>
    <ProjectID xmlns="3541802f-c9a7-4423-ad70-861189f520b0" xsi:nil="true"/>
    <Action_x0020_Type xmlns="3541802f-c9a7-4423-ad70-861189f520b0">Proposal</Action_x0020_Type>
    <Lead xmlns="3541802f-c9a7-4423-ad70-861189f520b0">
      <UserInfo>
        <DisplayName>Smoak, Rachel (she/her/hers)</DisplayName>
        <AccountId>202</AccountId>
        <AccountType/>
      </UserInfo>
    </Lead>
    <AlternateLead xmlns="3541802f-c9a7-4423-ad70-861189f520b0">
      <UserInfo>
        <DisplayName/>
        <AccountId xsi:nil="true"/>
        <AccountType/>
      </UserInfo>
    </AlternateLead>
    <Review_x0020_Type xmlns="3541802f-c9a7-4423-ad70-861189f520b0">Other/Multiple</Review_x0020_Type>
    <Court_x0020_Order xmlns="3541802f-c9a7-4423-ad70-861189f520b0">true</Court_x0020_Order>
    <DocumentSetDescription xmlns="http://schemas.microsoft.com/sharepoint/v3">The Environmental Protection Agency (EPA) is proposing to amend the National Emissions Standards for Hazardous Air Pollutants (NESHAP) from Hazardous Waste Combustors (HWCs) to remove or revise the provisions associated with emission standard exemptions for periods of malfunction, to add electronic reporting provisions, to amend emergency safety vent provisions, and to correct other minor provisions.</DocumentSetDescription>
    <Package_x0020_Type xmlns="3541802f-c9a7-4423-ad70-861189f520b0">Signature Package</Package_x0020_Type>
    <Group xmlns="3541802f-c9a7-4423-ad70-861189f520b0">FIG</Group>
    <SPPDPhase xmlns="3541802f-c9a7-4423-ad70-861189f520b0">8- Out of eBF (OAR/OP/OMB)</SPPDPhase>
    <Signature_x0020_Date xmlns="3541802f-c9a7-4423-ad70-861189f520b0">2024-02-15T08:00:00+00:00</Signature_x0020_Date>
  </documentManagement>
</p:properties>
</file>

<file path=customXml/itemProps1.xml><?xml version="1.0" encoding="utf-8"?>
<ds:datastoreItem xmlns:ds="http://schemas.openxmlformats.org/officeDocument/2006/customXml" ds:itemID="{683BD0FE-8D82-4906-B3C7-8166A32C964D}">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7BD3AA08-75F9-4941-BA12-757B06044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ffa91fb-a0ff-4ac5-b2db-65c790d184a4"/>
    <ds:schemaRef ds:uri="8cbedb01-7036-4fa4-9d83-78abe0166c2f"/>
    <ds:schemaRef ds:uri="3541802f-c9a7-4423-ad70-861189f520b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cp:revision>
  <dcterms:created xsi:type="dcterms:W3CDTF">2024-11-19T12:32:00Z</dcterms:created>
  <dcterms:modified xsi:type="dcterms:W3CDTF">2024-11-19T12:32:00Z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0x01010072CA672D8D94254FADDAEF98B91C497A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docset_NoMedatataSyncRequired">
    <vt:lpwstr>True</vt:lpwstr>
  </property>
  <property fmtid="{D5CDD505-2E9C-101B-9397-08002B2CF9AE}" pid="9" name="_ExtendedDescription">
    <vt:lpwstr/>
  </property>
</Properties>
</file>