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761D536F" w14:textId="77777777">
      <w:pPr>
        <w:spacing w:after="0"/>
        <w:jc w:val="center"/>
        <w:rPr>
          <w:sz w:val="32"/>
          <w:szCs w:val="32"/>
        </w:rPr>
      </w:pPr>
      <w:bookmarkStart w:id="0" w:name="_Toc49148152"/>
      <w:r w:rsidRPr="11AB4B38">
        <w:rPr>
          <w:sz w:val="32"/>
          <w:szCs w:val="32"/>
        </w:rPr>
        <w:t>U.S. Environmental Protection Agency</w:t>
      </w:r>
    </w:p>
    <w:p w:rsidR="00DE4E0C" w:rsidRPr="00CB038B" w:rsidP="11AB4B38" w14:paraId="5E16CC5F" w14:textId="77777777">
      <w:pPr>
        <w:jc w:val="center"/>
        <w:rPr>
          <w:sz w:val="32"/>
          <w:szCs w:val="32"/>
        </w:rPr>
      </w:pPr>
      <w:r w:rsidRPr="11AB4B38">
        <w:rPr>
          <w:sz w:val="32"/>
          <w:szCs w:val="32"/>
        </w:rPr>
        <w:t>Information Collection Request</w:t>
      </w:r>
    </w:p>
    <w:p w:rsidR="00EA0D20" w:rsidP="00BB432F" w14:paraId="2BAB4CE0" w14:textId="77777777">
      <w:pPr>
        <w:rPr>
          <w:rFonts w:cstheme="minorHAnsi"/>
          <w:b/>
          <w:bCs/>
        </w:rPr>
      </w:pPr>
    </w:p>
    <w:p w:rsidR="00BB432F" w:rsidRPr="00BB3410" w:rsidP="00BB432F" w14:paraId="65B10A95" w14:textId="6CA7C8E4">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911EF1" w:rsidR="00911EF1">
        <w:rPr>
          <w:rFonts w:cstheme="minorHAnsi"/>
        </w:rPr>
        <w:t>NESHAP for Beryllium (40 CFR Part 61, Subpart C) (Renewal)</w:t>
      </w:r>
    </w:p>
    <w:p w:rsidR="00EE2403" w:rsidRPr="00BB3410" w:rsidP="00BB432F" w14:paraId="53EFF4D5" w14:textId="627BEBB7">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911EF1" w:rsidR="00911EF1">
        <w:rPr>
          <w:rFonts w:cstheme="minorHAnsi"/>
        </w:rPr>
        <w:t>2060-0092</w:t>
      </w:r>
    </w:p>
    <w:p w:rsidR="00EE2403" w:rsidRPr="00BB3410" w:rsidP="00ED57A4" w14:paraId="37906F23" w14:textId="14D91D5F">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911EF1" w:rsidR="00911EF1">
        <w:rPr>
          <w:rFonts w:cstheme="minorHAnsi"/>
        </w:rPr>
        <w:t>0193.14</w:t>
      </w:r>
    </w:p>
    <w:p w:rsidR="00911EF1" w:rsidP="00911EF1" w14:paraId="36E4A3D7" w14:textId="75D87A73">
      <w:pPr>
        <w:spacing w:before="240"/>
      </w:pPr>
      <w:r w:rsidRPr="4BDBF0A0">
        <w:rPr>
          <w:b/>
          <w:bCs/>
        </w:rPr>
        <w:t>Abstract:</w:t>
      </w:r>
      <w:r w:rsidRPr="4BDBF0A0" w:rsidR="00BB432F">
        <w:t xml:space="preserve"> </w:t>
      </w:r>
      <w:r>
        <w:t>The Emission Standards for Hazardous Air Pollutants (NESHAP) for the regulations published at 40 CFR Part 61, Subpart C were proposed on December 7, 1971; promulgated on April 6, 1973; and amended on February 27, 2014. These regulations apply to all extraction plants, ceramic plants, foundries, incinerators, and propellant plants which process beryllium ore, beryllium, beryllium oxides, beryllium alloys, or beryllium-containing waste. All sources known to have either caused, or to have the potential to cause, dangerous levels of beryllium in the ambient air are covered by this standard. New facilities include those that commenced construction, modification, or reconstruction after the date of proposal. This information is being collected to assure compliance with 40 CFR Part 61, Subpart C.</w:t>
      </w:r>
    </w:p>
    <w:p w:rsidR="00911EF1" w:rsidP="00911EF1" w14:paraId="2DB4E04E" w14:textId="1EC765AD">
      <w:pPr>
        <w:spacing w:before="240"/>
      </w:pPr>
      <w: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911EF1" w:rsidP="00911EF1" w14:paraId="1F8803F1" w14:textId="6F3FEBFA">
      <w:pPr>
        <w:spacing w:before="240"/>
      </w:pPr>
      <w:r>
        <w:t xml:space="preserve">Any owner/operator subject to the provisions of this part shall maintain a file of these measurements and retain the file for at least two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In the event that there is no such delegated authority, the EPA regional office can review them. All other reports are sent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911EF1" w:rsidP="00911EF1" w14:paraId="266C0837" w14:textId="7237E352">
      <w:pPr>
        <w:spacing w:before="240"/>
      </w:pPr>
      <w:r>
        <w:t xml:space="preserve">All of the beryllium industry facilities in the United States are owned and operated by the Beryllium industry (aka: the “Affected Public). The “burden” to the Affected Public may be found at the end of this document in Table 1: Annual Respondent Burden and Cost – NESHAP for Beryllium (40 CFR Part 61, Subpart C) (Renewal). The “burden” to the Federal Government is attributed entirely to work performed by either Federal employees or government contractors. This burden may be found at the end of this </w:t>
      </w:r>
      <w:r>
        <w:t xml:space="preserve">document in Table 2: Average Annual EPA Burden and Cost –NESHAP for Beryllium (40 CFR Part 61, Subpart C) (Renewal). </w:t>
      </w:r>
    </w:p>
    <w:p w:rsidR="00BB432F" w:rsidRPr="00BB3410" w:rsidP="00911EF1" w14:paraId="3B0470CD" w14:textId="1983DC02">
      <w:pPr>
        <w:spacing w:before="240"/>
        <w:rPr>
          <w:color w:val="000000"/>
        </w:rPr>
      </w:pPr>
      <w:r>
        <w:t>There are approximately 33 beryllium facilities subject to these standards, and no additional respondents per year are expected to become subject to these same standards. None of the 33 facilities in the United States are owned by state, local, tribal or the Federal government. They are all owned and operated by privately-owned, for-profit businesses. We assume that they will all respond.</w:t>
      </w:r>
    </w:p>
    <w:p w:rsidR="00DE4E0C" w:rsidRPr="00BB3410" w:rsidP="4BDBF0A0" w14:paraId="34682F35" w14:textId="77777777">
      <w:pPr>
        <w:rPr>
          <w:b/>
          <w:bCs/>
          <w:u w:val="single"/>
        </w:rPr>
      </w:pPr>
      <w:r w:rsidRPr="4BDBF0A0">
        <w:rPr>
          <w:b/>
          <w:bCs/>
          <w:u w:val="single"/>
        </w:rPr>
        <w:t>Supporting Statement A</w:t>
      </w:r>
      <w:bookmarkEnd w:id="0"/>
    </w:p>
    <w:p w:rsidR="00D47CB3" w:rsidRPr="00E3122D" w:rsidP="00854AAE" w14:paraId="1BE7C9B7" w14:textId="7777777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26323392" w14:textId="77777777">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1D39B0" w:rsidRPr="001D39B0" w:rsidP="001D39B0" w14:paraId="0E3F4754" w14:textId="2BDD9AAE">
      <w:pPr>
        <w:keepNext/>
        <w:rPr>
          <w:rFonts w:cstheme="minorHAnsi"/>
        </w:rPr>
      </w:pPr>
      <w:r w:rsidRPr="001D39B0">
        <w:rPr>
          <w:rFonts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1D39B0" w:rsidRPr="001D39B0" w:rsidP="001D39B0" w14:paraId="13BCACAC" w14:textId="4AD85505">
      <w:pPr>
        <w:keepNext/>
        <w:ind w:left="720"/>
        <w:rPr>
          <w:rFonts w:cstheme="minorHAnsi"/>
        </w:rPr>
      </w:pPr>
      <w:r w:rsidRPr="001D39B0">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BB3410" w:rsidP="001D39B0" w14:paraId="6EF12374" w14:textId="114CD9A4">
      <w:pPr>
        <w:keepNext/>
        <w:rPr>
          <w:rFonts w:cstheme="minorHAnsi"/>
        </w:rPr>
      </w:pPr>
      <w:r w:rsidRPr="001D39B0">
        <w:rPr>
          <w:rFonts w:cstheme="minorHAnsi"/>
        </w:rPr>
        <w:t xml:space="preserve">In the Administrator's judgment beryllium emissions from extraction plants, ceramic plants, foundries, incinerators, propellant plants, and machine shops which process beryllium ore, beryllium, beryllium oxide, beryllium alloys, or beryllium-containing waste either cause or contribute to air pollution that may reasonably be anticipated to endanger public health and/or welfare. Therefore, the NESHAP were promulgated for this source category at </w:t>
      </w:r>
      <w:hyperlink r:id="rId9" w:history="1">
        <w:r w:rsidRPr="002E27FD">
          <w:rPr>
            <w:rStyle w:val="Hyperlink"/>
            <w:rFonts w:cstheme="minorHAnsi"/>
          </w:rPr>
          <w:t>40 CFR Part 61, Subpart C</w:t>
        </w:r>
      </w:hyperlink>
      <w:r w:rsidRPr="001D39B0">
        <w:rPr>
          <w:rFonts w:cstheme="minorHAnsi"/>
        </w:rPr>
        <w:t>.</w:t>
      </w:r>
    </w:p>
    <w:p w:rsidR="00D47CB3" w:rsidRPr="00E3122D" w:rsidP="00854AAE" w14:paraId="33EA1AEB" w14:textId="77777777">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71773ED"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0D7981" w:rsidRPr="000D7981" w:rsidP="000D7981" w14:paraId="445332B5" w14:textId="1DE7E4E3">
      <w:pPr>
        <w:pBdr>
          <w:top w:val="single" w:sz="6" w:space="0" w:color="FFFFFF"/>
          <w:left w:val="single" w:sz="6" w:space="0" w:color="FFFFFF"/>
          <w:bottom w:val="single" w:sz="6" w:space="0" w:color="FFFFFF"/>
          <w:right w:val="single" w:sz="6" w:space="0" w:color="FFFFFF"/>
        </w:pBdr>
        <w:rPr>
          <w:rFonts w:cstheme="minorHAnsi"/>
        </w:rPr>
      </w:pPr>
      <w:r w:rsidRPr="000D7981">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0D7981" w:rsidRPr="000D7981" w:rsidP="000D7981" w14:paraId="44406DE5" w14:textId="324EB409">
      <w:pPr>
        <w:pBdr>
          <w:top w:val="single" w:sz="6" w:space="0" w:color="FFFFFF"/>
          <w:left w:val="single" w:sz="6" w:space="0" w:color="FFFFFF"/>
          <w:bottom w:val="single" w:sz="6" w:space="0" w:color="FFFFFF"/>
          <w:right w:val="single" w:sz="6" w:space="0" w:color="FFFFFF"/>
        </w:pBdr>
        <w:rPr>
          <w:rFonts w:cstheme="minorHAnsi"/>
        </w:rPr>
      </w:pPr>
      <w:r w:rsidRPr="000D7981">
        <w:rPr>
          <w:rFonts w:cstheme="minorHAnsi"/>
        </w:rPr>
        <w:t xml:space="preserve">Performance tests are required in order to determine an affected facility’s initial capability to comply with the emission standards. Continuous emission monitors are used to ensure compliance with the </w:t>
      </w:r>
      <w:r w:rsidRPr="000D7981">
        <w:rPr>
          <w:rFonts w:cstheme="minorHAnsi"/>
        </w:rPr>
        <w:t xml:space="preserve">standards at all times. During the performance test a record of the operating parameters under which compliance was achieved may be recorded and used to determine compliance in place of a continuous emission monitor. </w:t>
      </w:r>
    </w:p>
    <w:p w:rsidR="000D7981" w:rsidRPr="000D7981" w:rsidP="000D7981" w14:paraId="751CFE86" w14:textId="02D4947B">
      <w:pPr>
        <w:pBdr>
          <w:top w:val="single" w:sz="6" w:space="0" w:color="FFFFFF"/>
          <w:left w:val="single" w:sz="6" w:space="0" w:color="FFFFFF"/>
          <w:bottom w:val="single" w:sz="6" w:space="0" w:color="FFFFFF"/>
          <w:right w:val="single" w:sz="6" w:space="0" w:color="FFFFFF"/>
        </w:pBdr>
        <w:rPr>
          <w:rFonts w:cstheme="minorHAnsi"/>
        </w:rPr>
      </w:pPr>
      <w:r w:rsidRPr="000D7981">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BB432F" w:rsidRPr="00BB3410" w:rsidP="000D7981" w14:paraId="19C71AAD" w14:textId="745D582F">
      <w:pPr>
        <w:pBdr>
          <w:top w:val="single" w:sz="6" w:space="0" w:color="FFFFFF"/>
          <w:left w:val="single" w:sz="6" w:space="0" w:color="FFFFFF"/>
          <w:bottom w:val="single" w:sz="6" w:space="0" w:color="FFFFFF"/>
          <w:right w:val="single" w:sz="6" w:space="0" w:color="FFFFFF"/>
        </w:pBdr>
        <w:rPr>
          <w:rFonts w:cstheme="minorHAnsi"/>
          <w:color w:val="FF0000"/>
        </w:rPr>
      </w:pPr>
      <w:r w:rsidRPr="000D7981">
        <w:rPr>
          <w:rFonts w:cstheme="minorHAnsi"/>
        </w:rPr>
        <w:t>The required monthly reports are used to determine periods of excess emissions, identify problems at the facility, verify operation/maintenance procedures and for compliance determinations.</w:t>
      </w:r>
    </w:p>
    <w:p w:rsidR="00074917" w:rsidRPr="00E3122D" w:rsidP="00854AAE" w14:paraId="06570E95" w14:textId="77777777">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4D7124A"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D0375" w:rsidRPr="008D0375" w:rsidP="008D0375" w14:paraId="764B63FC" w14:textId="1FB0AC6C">
      <w:pPr>
        <w:pBdr>
          <w:top w:val="single" w:sz="6" w:space="0" w:color="FFFFFF"/>
          <w:left w:val="single" w:sz="6" w:space="0" w:color="FFFFFF"/>
          <w:bottom w:val="single" w:sz="6" w:space="0" w:color="FFFFFF"/>
          <w:right w:val="single" w:sz="6" w:space="0" w:color="FFFFFF"/>
        </w:pBdr>
        <w:rPr>
          <w:rFonts w:cstheme="minorHAnsi"/>
          <w:color w:val="000000"/>
        </w:rPr>
      </w:pPr>
      <w:r w:rsidRPr="008D0375">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293125" w:rsidP="00C57C7A" w14:paraId="1F2A435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884F86">
        <w:rPr>
          <w:rFonts w:cstheme="minorHAnsi"/>
          <w:color w:val="000000"/>
        </w:rPr>
        <w:t xml:space="preserve">A separate document was created citing recordkeeping and reporting requirements. This NESHAP does not require electronic reporting, and the Agency has not developed specific reporting forms for this subpart for use within CEDRI. The list of rules and required reports available in CEDRI are available at </w:t>
      </w:r>
      <w:hyperlink r:id="rId10" w:history="1">
        <w:r w:rsidRPr="008D0375" w:rsidR="008D0375">
          <w:rPr>
            <w:rStyle w:val="Hyperlink"/>
            <w:rFonts w:cstheme="minorHAnsi"/>
          </w:rPr>
          <w:t>https://www.epa.gov/electronic-reporting-air-emissions/paperwork-reduction-act-pra-cedri-and-ert</w:t>
        </w:r>
      </w:hyperlink>
      <w:r w:rsidRPr="00884F86">
        <w:rPr>
          <w:rFonts w:cstheme="minorHAnsi"/>
          <w:color w:val="000000"/>
        </w:rPr>
        <w:t xml:space="preserve">. </w:t>
      </w:r>
    </w:p>
    <w:p w:rsidR="00884F86" w:rsidRPr="00C57C7A" w:rsidP="00C57C7A" w14:paraId="765CA5D4" w14:textId="13B8448B">
      <w:pPr>
        <w:pBdr>
          <w:top w:val="single" w:sz="6" w:space="0" w:color="FFFFFF"/>
          <w:left w:val="single" w:sz="6" w:space="0" w:color="FFFFFF"/>
          <w:bottom w:val="single" w:sz="6" w:space="0" w:color="FFFFFF"/>
          <w:right w:val="single" w:sz="6" w:space="0" w:color="FFFFFF"/>
        </w:pBdr>
        <w:rPr>
          <w:rFonts w:cstheme="minorHAnsi"/>
          <w:color w:val="000000"/>
        </w:rPr>
      </w:pPr>
      <w:r w:rsidRPr="00884F86">
        <w:rPr>
          <w:rFonts w:cstheme="minorHAnsi"/>
          <w:color w:val="000000"/>
        </w:rPr>
        <w:t>The notifications and reports required of respondents may be submitted to the authority by any appropriate method such as paper letter or electronic data file. Because there are no standardized forms, the required reports are mostly likely submitted via paper copy or email. Reports for which there are no standardized forms are typically submitted on company letterhead and may be accompanied by one or more appendices providing the data required by the rule.</w:t>
      </w:r>
    </w:p>
    <w:p w:rsidR="005263EC" w:rsidRPr="00E3122D" w:rsidP="00293125" w14:paraId="55B2C515" w14:textId="4E4CA355">
      <w:pPr>
        <w:pBdr>
          <w:top w:val="single" w:sz="6" w:space="0" w:color="FFFFFF"/>
          <w:left w:val="single" w:sz="6" w:space="0" w:color="FFFFFF"/>
          <w:bottom w:val="single" w:sz="6" w:space="0" w:color="FFFFFF"/>
          <w:right w:val="single" w:sz="6" w:space="0" w:color="FFFFFF"/>
        </w:pBdr>
        <w:rPr>
          <w:rFonts w:cstheme="minorHAnsi"/>
          <w:b/>
          <w:bCs/>
        </w:rPr>
      </w:pPr>
      <w:r w:rsidRPr="00C57C7A">
        <w:rPr>
          <w:rFonts w:cstheme="minorHAnsi"/>
          <w:color w:val="000000"/>
        </w:rPr>
        <w:t xml:space="preserve"> </w:t>
      </w:r>
      <w:bookmarkStart w:id="4" w:name="_Toc156593371"/>
      <w:r w:rsidRPr="00E3122D" w:rsidR="000E1FE8">
        <w:rPr>
          <w:rFonts w:cstheme="minorHAnsi"/>
          <w:b/>
          <w:bCs/>
        </w:rPr>
        <w:t>EFFORTS TO IDENTIFY DUPLICATION</w:t>
      </w:r>
      <w:bookmarkEnd w:id="4"/>
    </w:p>
    <w:p w:rsidR="00D47CB3" w:rsidRPr="001F0834" w:rsidP="00854AAE" w14:paraId="463F9902"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461D0F" w:rsidRPr="00461D0F" w:rsidP="00461D0F" w14:paraId="4D9689DE" w14:textId="463E3A55">
      <w:pPr>
        <w:rPr>
          <w:rFonts w:cstheme="minorHAnsi"/>
        </w:rPr>
      </w:pPr>
      <w:r w:rsidRPr="00461D0F">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BB3410" w:rsidP="00461D0F" w14:paraId="10DDCE87" w14:textId="2333EB5B">
      <w:pPr>
        <w:rPr>
          <w:rFonts w:cstheme="minorHAnsi"/>
          <w:shd w:val="clear" w:color="auto" w:fill="FFFFFF"/>
        </w:rPr>
      </w:pPr>
      <w:r w:rsidRPr="00461D0F">
        <w:rPr>
          <w:rFonts w:cstheme="minorHAnsi"/>
        </w:rPr>
        <w:tab/>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E3122D" w:rsidP="4BDBF0A0" w14:paraId="2848BAA1" w14:textId="77777777">
      <w:pPr>
        <w:pStyle w:val="ListParagraph"/>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092C8510"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0BF970BC" w14:textId="2175F977">
      <w:pPr>
        <w:rPr>
          <w:rFonts w:cstheme="minorHAnsi"/>
        </w:rPr>
      </w:pPr>
      <w:r w:rsidRPr="002D4D52">
        <w:rPr>
          <w:rFonts w:cstheme="minorHAnsi"/>
        </w:rPr>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7B669F6E" w14:textId="77777777">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2AFF3593"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1BB71090" w14:textId="126135FF">
      <w:pPr>
        <w:pBdr>
          <w:top w:val="single" w:sz="6" w:space="0" w:color="FFFFFF"/>
          <w:left w:val="single" w:sz="6" w:space="0" w:color="FFFFFF"/>
          <w:bottom w:val="single" w:sz="6" w:space="0" w:color="FFFFFF"/>
          <w:right w:val="single" w:sz="6" w:space="0" w:color="FFFFFF"/>
        </w:pBdr>
        <w:rPr>
          <w:rFonts w:cstheme="minorHAnsi"/>
          <w:color w:val="000000"/>
        </w:rPr>
      </w:pPr>
      <w:r w:rsidRPr="008B7109">
        <w:rPr>
          <w:rFonts w:cstheme="minorHAnsi"/>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590314B7"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663E975B"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BB3410" w:rsidP="00854AAE" w14:paraId="0A4166F6" w14:textId="5E5A7581">
      <w:pPr>
        <w:pBdr>
          <w:top w:val="single" w:sz="6" w:space="0" w:color="FFFFFF"/>
          <w:left w:val="single" w:sz="6" w:space="0" w:color="FFFFFF"/>
          <w:bottom w:val="single" w:sz="6" w:space="0" w:color="FFFFFF"/>
          <w:right w:val="single" w:sz="6" w:space="0" w:color="FFFFFF"/>
        </w:pBdr>
        <w:rPr>
          <w:rFonts w:cstheme="minorHAnsi"/>
          <w:color w:val="000000"/>
        </w:rPr>
      </w:pPr>
      <w:r w:rsidRPr="006A0B3D">
        <w:rPr>
          <w:rFonts w:cstheme="minorHAnsi"/>
          <w:color w:val="000000"/>
        </w:rPr>
        <w:t>The information collection is consistent with the guidelines set forth in 5 CFR 1320(d)(2) of the Paperwork Reduction Act guidelines.</w:t>
      </w:r>
    </w:p>
    <w:p w:rsidR="006036CD" w:rsidRPr="00E3122D" w:rsidP="00854AAE" w14:paraId="0A17AA3C" w14:textId="77777777">
      <w:pPr>
        <w:pStyle w:val="ListParagraph"/>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48EA827C" w14:textId="77777777">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679C9BD9" w14:textId="77777777">
      <w:pPr>
        <w:spacing w:line="240" w:lineRule="auto"/>
        <w:rPr>
          <w:rFonts w:cstheme="minorHAnsi"/>
          <w:i/>
          <w:iCs/>
        </w:rPr>
      </w:pPr>
      <w:r w:rsidRPr="00A233E0">
        <w:rPr>
          <w:rFonts w:cstheme="minorHAnsi"/>
          <w:i/>
          <w:iCs/>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w:t>
      </w:r>
      <w:r w:rsidRPr="00A233E0">
        <w:rPr>
          <w:rFonts w:cstheme="minorHAnsi"/>
          <w:i/>
          <w:iCs/>
        </w:rPr>
        <w:t>describe actions taken by the Agency in response to these comments. Specifically address comments received on cost and hour burden.</w:t>
      </w:r>
    </w:p>
    <w:p w:rsidR="00ED57A4" w:rsidP="00854AAE" w14:paraId="7E13B4A3" w14:textId="41BBB5C2">
      <w:pPr>
        <w:pBdr>
          <w:top w:val="single" w:sz="6" w:space="0" w:color="FFFFFF"/>
          <w:left w:val="single" w:sz="6" w:space="0" w:color="FFFFFF"/>
          <w:bottom w:val="single" w:sz="6" w:space="0" w:color="FFFFFF"/>
          <w:right w:val="single" w:sz="6" w:space="0" w:color="FFFFFF"/>
        </w:pBdr>
        <w:rPr>
          <w:rFonts w:cstheme="minorHAnsi"/>
          <w:color w:val="000000"/>
        </w:rPr>
      </w:pPr>
      <w:r w:rsidRPr="00066124">
        <w:rPr>
          <w:rFonts w:cstheme="minorHAnsi"/>
          <w:color w:val="000000"/>
        </w:rPr>
        <w:t>An announcement of a public comment period for the renewal of this ICR was published in the Federal Register (88 FR 31748) on May 18, 2023. No comments were received on the burden published in the Federal Register for this renewal.</w:t>
      </w:r>
    </w:p>
    <w:p w:rsidR="00DB7775" w:rsidRPr="00E3122D" w:rsidP="00854AAE" w14:paraId="5505C521" w14:textId="77777777">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59685CD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86B27" w:rsidRPr="00286B27" w:rsidP="00286B27" w14:paraId="6BEE3260" w14:textId="31540E6D">
      <w:pPr>
        <w:rPr>
          <w:rFonts w:cstheme="minorHAnsi"/>
        </w:rPr>
      </w:pPr>
      <w:r w:rsidRPr="00286B27">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33 respondents will be subject to the standard over the three-year period covered by this ICR.</w:t>
      </w:r>
    </w:p>
    <w:p w:rsidR="00286B27" w:rsidRPr="00286B27" w:rsidP="00286B27" w14:paraId="6BBB08FA" w14:textId="13D4D640">
      <w:pPr>
        <w:rPr>
          <w:rFonts w:cstheme="minorHAnsi"/>
        </w:rPr>
      </w:pPr>
      <w:r w:rsidRPr="00286B27">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Society for Mining, Metallurgy, &amp; Exploration at (303) 948-4200 and the National Mining Association at (202) 463-2600.</w:t>
      </w:r>
    </w:p>
    <w:p w:rsidR="00884F86" w:rsidRPr="00884F86" w:rsidP="00286B27" w14:paraId="543D4D55" w14:textId="01544494">
      <w:pPr>
        <w:rPr>
          <w:rFonts w:cstheme="minorHAnsi"/>
        </w:rPr>
      </w:pPr>
      <w:r w:rsidRPr="00286B27">
        <w:rPr>
          <w:rFonts w:cstheme="minorHAnsi"/>
        </w:rPr>
        <w:t xml:space="preserve">It is our policy to respond after a thorough review of comments received since the last ICR renewal as well as those submitted in response to the first Federal Register notice. In this case, no comments were received. </w:t>
      </w:r>
      <w:r w:rsidRPr="00884F86">
        <w:rPr>
          <w:rFonts w:cstheme="minorHAnsi"/>
        </w:rPr>
        <w:t>Based on our consultations with industry representatives, there is an average of one affected facility at each plant site and each plant site has only one respondent (i.e., the owner/operator of the plant site).</w:t>
      </w:r>
    </w:p>
    <w:p w:rsidR="00111663" w:rsidRPr="00BB3410" w:rsidP="00884F86" w14:paraId="13BE02B1" w14:textId="4ECCA7D8">
      <w:pPr>
        <w:rPr>
          <w:rFonts w:cstheme="minorHAnsi"/>
        </w:rPr>
      </w:pPr>
      <w:r w:rsidRPr="00884F86">
        <w:rPr>
          <w:rFonts w:cstheme="minorHAnsi"/>
        </w:rPr>
        <w:t>Over the next three years, approximately 33 respondents per year will be subject to the standard, and no additional respondents per year will become subject to the standard. Note that of a total of approximately 236 existing sources, we assume approximately 10 sources have elected to comply with the rule by monitoring ambient air beryllium concentrations, while the remaining 226 sources have elected to comply by conducting a one-time-only stack test. We also have assumed that 10 percent of the 226 sources (i.e., 23 respondents) will engage in operational changes that will require them to repeat stack testing and to carry out subsequent recordkeeping and reporting requirements.</w:t>
      </w:r>
    </w:p>
    <w:p w:rsidR="00A233E0" w:rsidRPr="00E3122D" w:rsidP="00854AAE" w14:paraId="7B79F353"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1078ABBE"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06163C8" w14:textId="7849F0C4">
      <w:pPr>
        <w:rPr>
          <w:rFonts w:cstheme="minorHAnsi"/>
        </w:rPr>
      </w:pPr>
      <w:r>
        <w:rPr>
          <w:rStyle w:val="normaltextrun"/>
          <w:color w:val="000000"/>
          <w:bdr w:val="none" w:sz="0" w:space="0" w:color="auto" w:frame="1"/>
        </w:rPr>
        <w:t>N</w:t>
      </w:r>
      <w:r w:rsidRPr="00286B27">
        <w:rPr>
          <w:rStyle w:val="normaltextrun"/>
          <w:color w:val="000000"/>
          <w:bdr w:val="none" w:sz="0" w:space="0" w:color="auto" w:frame="1"/>
        </w:rPr>
        <w:t>o payments or gifts are provided to respondents.</w:t>
      </w:r>
    </w:p>
    <w:p w:rsidR="4C04BBF2" w:rsidP="4BDBF0A0" w14:paraId="333D9545"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5C9458F3" w14:textId="77777777">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4225452F" w14:textId="1A0A0381">
      <w:pPr>
        <w:pBdr>
          <w:top w:val="single" w:sz="6" w:space="0" w:color="FFFFFF"/>
          <w:left w:val="single" w:sz="6" w:space="0" w:color="FFFFFF"/>
          <w:bottom w:val="single" w:sz="6" w:space="0" w:color="FFFFFF"/>
          <w:right w:val="single" w:sz="6" w:space="0" w:color="FFFFFF"/>
        </w:pBdr>
        <w:rPr>
          <w:rFonts w:cstheme="minorHAnsi"/>
          <w:color w:val="000000"/>
        </w:rPr>
      </w:pPr>
      <w:r w:rsidRPr="006C1F70">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2ADBECEC"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521CF333"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3BAAC0B9" w14:textId="2466B87A">
      <w:pPr>
        <w:pBdr>
          <w:top w:val="single" w:sz="6" w:space="0" w:color="FFFFFF"/>
          <w:left w:val="single" w:sz="6" w:space="0" w:color="FFFFFF"/>
          <w:bottom w:val="single" w:sz="6" w:space="0" w:color="FFFFFF"/>
          <w:right w:val="single" w:sz="6" w:space="0" w:color="FFFFFF"/>
        </w:pBdr>
        <w:rPr>
          <w:rFonts w:cstheme="minorHAnsi"/>
          <w:color w:val="000000"/>
        </w:rPr>
      </w:pPr>
      <w:r w:rsidRPr="00E53C99">
        <w:rPr>
          <w:rFonts w:cstheme="minorHAnsi"/>
          <w:color w:val="000000"/>
        </w:rPr>
        <w:t>Questions about sensitive issues that are normally considered private (e.g., religious beliefs, sexual attitudes, and behavior) will not be included in the information collections covered by this ICR.</w:t>
      </w:r>
    </w:p>
    <w:p w:rsidR="001172FE" w:rsidRPr="00E3122D" w:rsidP="00854AAE" w14:paraId="20B040D7" w14:textId="77777777">
      <w:pPr>
        <w:pStyle w:val="ListParagraph"/>
        <w:numPr>
          <w:ilvl w:val="0"/>
          <w:numId w:val="25"/>
        </w:numPr>
        <w:spacing w:before="240" w:after="0"/>
        <w:rPr>
          <w:rFonts w:cstheme="minorHAnsi"/>
          <w:b/>
          <w:bCs/>
        </w:rPr>
      </w:pPr>
      <w:bookmarkStart w:id="13" w:name="_Toc156593381"/>
      <w:bookmarkStart w:id="14" w:name="_Hlk162363270"/>
      <w:r w:rsidRPr="4BDBF0A0">
        <w:rPr>
          <w:b/>
          <w:bCs/>
        </w:rPr>
        <w:t>RESPONDENT BURDEN HOURS</w:t>
      </w:r>
      <w:r w:rsidRPr="4BDBF0A0" w:rsidR="00DB799B">
        <w:rPr>
          <w:b/>
          <w:bCs/>
        </w:rPr>
        <w:t xml:space="preserve"> &amp; LABOR COSTS</w:t>
      </w:r>
      <w:bookmarkStart w:id="15" w:name="_Toc156593382"/>
      <w:bookmarkEnd w:id="13"/>
    </w:p>
    <w:p w:rsidR="00A233E0" w:rsidRPr="00F532D6" w:rsidP="00163C69" w14:paraId="24B44476"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32B319DE"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1BF41991"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8580D3"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bookmarkEnd w:id="14"/>
    <w:p w:rsidR="001172FE" w:rsidP="00854AAE" w14:paraId="62AC24D9" w14:textId="77777777">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D150BB" w:rsidRPr="00E3122D" w:rsidP="00854AAE" w14:paraId="0EEF01C7" w14:textId="1A064C79">
      <w:pPr>
        <w:spacing w:before="120" w:after="0"/>
        <w:rPr>
          <w:rFonts w:cstheme="minorHAnsi"/>
          <w:b/>
          <w:bCs/>
        </w:rPr>
      </w:pPr>
      <w:r>
        <w:rPr>
          <w:rFonts w:cstheme="minorHAnsi"/>
          <w:b/>
          <w:bCs/>
        </w:rPr>
        <w:t xml:space="preserve">*Special Note: </w:t>
      </w:r>
      <w:r w:rsidRPr="00241874">
        <w:rPr>
          <w:rFonts w:cstheme="minorHAnsi"/>
          <w:b/>
          <w:bCs/>
        </w:rPr>
        <w:t>“Table 1” and “Table 2,” (as subsequently identified), are located in the Appendices section of this document.</w:t>
      </w:r>
    </w:p>
    <w:p w:rsidR="00BB3410" w:rsidP="00854AAE" w14:paraId="010E7EF7" w14:textId="76F628B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D740D">
        <w:rPr>
          <w:rFonts w:cstheme="minorHAnsi"/>
          <w:color w:val="000000"/>
        </w:rPr>
        <w:t xml:space="preserve">The respondents to the recordkeeping and reporting requirements are sources which process beryllium and its derivatives. The United States Standard Industrial Classification (SIC) codes and the </w:t>
      </w:r>
      <w:r w:rsidRPr="006D740D">
        <w:rPr>
          <w:rFonts w:cstheme="minorHAnsi"/>
          <w:color w:val="000000"/>
        </w:rPr>
        <w:t>corresponding North American Industry Classification System (NAICS) codes for the respondents affected by the standard are provided in the following table:</w:t>
      </w:r>
    </w:p>
    <w:tbl>
      <w:tblPr>
        <w:tblStyle w:val="TableGrid1"/>
        <w:tblW w:w="9509" w:type="dxa"/>
        <w:tblInd w:w="-5" w:type="dxa"/>
        <w:tblLayout w:type="fixed"/>
        <w:tblLook w:val="0000"/>
      </w:tblPr>
      <w:tblGrid>
        <w:gridCol w:w="5820"/>
        <w:gridCol w:w="1646"/>
        <w:gridCol w:w="2043"/>
      </w:tblGrid>
      <w:tr w14:paraId="7620D5BD" w14:textId="77777777" w:rsidTr="006D740D">
        <w:tblPrEx>
          <w:tblW w:w="9509" w:type="dxa"/>
          <w:tblInd w:w="-5" w:type="dxa"/>
          <w:tblLayout w:type="fixed"/>
          <w:tblLook w:val="0000"/>
        </w:tblPrEx>
        <w:tc>
          <w:tcPr>
            <w:tcW w:w="5820" w:type="dxa"/>
          </w:tcPr>
          <w:p w:rsidR="006D740D" w:rsidRPr="006D740D" w:rsidP="006D740D" w14:paraId="2D4BDDF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b/>
                <w:bCs/>
                <w:color w:val="000000"/>
                <w:sz w:val="24"/>
                <w:szCs w:val="24"/>
              </w:rPr>
            </w:pPr>
            <w:r w:rsidRPr="006D740D">
              <w:rPr>
                <w:b/>
                <w:bCs/>
                <w:color w:val="000000"/>
                <w:sz w:val="24"/>
                <w:szCs w:val="24"/>
              </w:rPr>
              <w:t>Standard (40 CFR, Part 61, Subpart C)</w:t>
            </w:r>
          </w:p>
        </w:tc>
        <w:tc>
          <w:tcPr>
            <w:tcW w:w="1646" w:type="dxa"/>
          </w:tcPr>
          <w:p w:rsidR="006D740D" w:rsidRPr="006D740D" w:rsidP="006D740D" w14:paraId="528E4F3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b/>
                <w:bCs/>
                <w:color w:val="000000"/>
                <w:sz w:val="24"/>
                <w:szCs w:val="24"/>
              </w:rPr>
            </w:pPr>
            <w:r w:rsidRPr="006D740D">
              <w:rPr>
                <w:b/>
                <w:bCs/>
                <w:color w:val="000000"/>
                <w:sz w:val="24"/>
                <w:szCs w:val="24"/>
              </w:rPr>
              <w:t>SIC Codes</w:t>
            </w:r>
          </w:p>
        </w:tc>
        <w:tc>
          <w:tcPr>
            <w:tcW w:w="2043" w:type="dxa"/>
          </w:tcPr>
          <w:p w:rsidR="006D740D" w:rsidRPr="006D740D" w:rsidP="006D740D" w14:paraId="3882346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b/>
                <w:bCs/>
                <w:color w:val="000000"/>
                <w:sz w:val="24"/>
                <w:szCs w:val="24"/>
              </w:rPr>
            </w:pPr>
            <w:r w:rsidRPr="006D740D">
              <w:rPr>
                <w:b/>
                <w:bCs/>
                <w:color w:val="000000"/>
                <w:sz w:val="24"/>
                <w:szCs w:val="24"/>
              </w:rPr>
              <w:t>NAICS Codes</w:t>
            </w:r>
          </w:p>
        </w:tc>
      </w:tr>
      <w:tr w14:paraId="456CDA3D" w14:textId="77777777" w:rsidTr="006D740D">
        <w:tblPrEx>
          <w:tblW w:w="9509" w:type="dxa"/>
          <w:tblInd w:w="-5" w:type="dxa"/>
          <w:tblLayout w:type="fixed"/>
          <w:tblLook w:val="0000"/>
        </w:tblPrEx>
        <w:tc>
          <w:tcPr>
            <w:tcW w:w="5820" w:type="dxa"/>
          </w:tcPr>
          <w:p w:rsidR="006D740D" w:rsidRPr="006D740D" w:rsidP="006D740D" w14:paraId="64B4A5B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24"/>
                <w:szCs w:val="24"/>
              </w:rPr>
            </w:pPr>
            <w:r w:rsidRPr="006D740D">
              <w:rPr>
                <w:color w:val="000000"/>
                <w:sz w:val="24"/>
                <w:szCs w:val="24"/>
              </w:rPr>
              <w:t>Other Basic Inorganic Chemical Manufacturing</w:t>
            </w:r>
          </w:p>
        </w:tc>
        <w:tc>
          <w:tcPr>
            <w:tcW w:w="1646" w:type="dxa"/>
          </w:tcPr>
          <w:p w:rsidR="006D740D" w:rsidRPr="006D740D" w:rsidP="006D740D" w14:paraId="0145AF8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p>
          <w:p w:rsidR="006D740D" w:rsidRPr="006D740D" w:rsidP="006D740D" w14:paraId="696C80C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r w:rsidRPr="006D740D">
              <w:rPr>
                <w:color w:val="000000"/>
                <w:sz w:val="24"/>
                <w:szCs w:val="24"/>
              </w:rPr>
              <w:t>2819</w:t>
            </w:r>
          </w:p>
        </w:tc>
        <w:tc>
          <w:tcPr>
            <w:tcW w:w="2043" w:type="dxa"/>
          </w:tcPr>
          <w:p w:rsidR="006D740D" w:rsidRPr="006D740D" w:rsidP="006D740D" w14:paraId="0296046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p>
          <w:p w:rsidR="006D740D" w:rsidRPr="006D740D" w:rsidP="006D740D" w14:paraId="5032BC4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r w:rsidRPr="006D740D">
              <w:rPr>
                <w:color w:val="000000"/>
                <w:sz w:val="24"/>
                <w:szCs w:val="24"/>
              </w:rPr>
              <w:t>325180</w:t>
            </w:r>
          </w:p>
        </w:tc>
      </w:tr>
      <w:tr w14:paraId="3A7DB822" w14:textId="77777777" w:rsidTr="006D740D">
        <w:tblPrEx>
          <w:tblW w:w="9509" w:type="dxa"/>
          <w:tblInd w:w="-5" w:type="dxa"/>
          <w:tblLayout w:type="fixed"/>
          <w:tblLook w:val="0000"/>
        </w:tblPrEx>
        <w:tc>
          <w:tcPr>
            <w:tcW w:w="5820" w:type="dxa"/>
          </w:tcPr>
          <w:p w:rsidR="006D740D" w:rsidRPr="006D740D" w:rsidP="006D740D" w14:paraId="7BFD31B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24"/>
                <w:szCs w:val="24"/>
              </w:rPr>
            </w:pPr>
            <w:r w:rsidRPr="006D740D">
              <w:rPr>
                <w:color w:val="000000"/>
                <w:sz w:val="24"/>
                <w:szCs w:val="24"/>
              </w:rPr>
              <w:t>Nonferrous Metal (except Aluminum) Smelting and Refining</w:t>
            </w:r>
          </w:p>
        </w:tc>
        <w:tc>
          <w:tcPr>
            <w:tcW w:w="1646" w:type="dxa"/>
          </w:tcPr>
          <w:p w:rsidR="006D740D" w:rsidRPr="006D740D" w:rsidP="006D740D" w14:paraId="3B695EB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p>
          <w:p w:rsidR="006D740D" w:rsidRPr="006D740D" w:rsidP="006D740D" w14:paraId="5462C06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r w:rsidRPr="006D740D">
              <w:rPr>
                <w:color w:val="000000"/>
                <w:sz w:val="24"/>
                <w:szCs w:val="24"/>
              </w:rPr>
              <w:t>3339</w:t>
            </w:r>
          </w:p>
        </w:tc>
        <w:tc>
          <w:tcPr>
            <w:tcW w:w="2043" w:type="dxa"/>
          </w:tcPr>
          <w:p w:rsidR="006D740D" w:rsidRPr="006D740D" w:rsidP="006D740D" w14:paraId="6B7D402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p>
          <w:p w:rsidR="006D740D" w:rsidRPr="006D740D" w:rsidP="006D740D" w14:paraId="3F12421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r w:rsidRPr="006D740D">
              <w:rPr>
                <w:color w:val="000000"/>
                <w:sz w:val="24"/>
                <w:szCs w:val="24"/>
              </w:rPr>
              <w:t>331410</w:t>
            </w:r>
          </w:p>
        </w:tc>
      </w:tr>
      <w:tr w14:paraId="397B5E47" w14:textId="77777777" w:rsidTr="006D740D">
        <w:tblPrEx>
          <w:tblW w:w="9509" w:type="dxa"/>
          <w:tblInd w:w="-5" w:type="dxa"/>
          <w:tblLayout w:type="fixed"/>
          <w:tblLook w:val="0000"/>
        </w:tblPrEx>
        <w:tc>
          <w:tcPr>
            <w:tcW w:w="5820" w:type="dxa"/>
          </w:tcPr>
          <w:p w:rsidR="006D740D" w:rsidRPr="006D740D" w:rsidP="006D740D" w14:paraId="040DB30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24"/>
                <w:szCs w:val="24"/>
              </w:rPr>
            </w:pPr>
            <w:r w:rsidRPr="006D740D">
              <w:rPr>
                <w:color w:val="000000"/>
                <w:sz w:val="24"/>
                <w:szCs w:val="24"/>
              </w:rPr>
              <w:t>Other Nonferrous Metal Foundries (except Die-Casting)</w:t>
            </w:r>
          </w:p>
        </w:tc>
        <w:tc>
          <w:tcPr>
            <w:tcW w:w="1646" w:type="dxa"/>
          </w:tcPr>
          <w:p w:rsidR="006D740D" w:rsidRPr="006D740D" w:rsidP="006D740D" w14:paraId="1C9A537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p>
          <w:p w:rsidR="006D740D" w:rsidRPr="006D740D" w:rsidP="006D740D" w14:paraId="677FAA2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r w:rsidRPr="006D740D">
              <w:rPr>
                <w:color w:val="000000"/>
                <w:sz w:val="24"/>
                <w:szCs w:val="24"/>
              </w:rPr>
              <w:t>3369</w:t>
            </w:r>
          </w:p>
        </w:tc>
        <w:tc>
          <w:tcPr>
            <w:tcW w:w="2043" w:type="dxa"/>
          </w:tcPr>
          <w:p w:rsidR="006D740D" w:rsidRPr="006D740D" w:rsidP="006D740D" w14:paraId="27AEA7E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p>
          <w:p w:rsidR="006D740D" w:rsidRPr="006D740D" w:rsidP="006D740D" w14:paraId="726C22A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r w:rsidRPr="006D740D">
              <w:rPr>
                <w:color w:val="000000"/>
                <w:sz w:val="24"/>
                <w:szCs w:val="24"/>
              </w:rPr>
              <w:t>331529</w:t>
            </w:r>
          </w:p>
        </w:tc>
      </w:tr>
      <w:tr w14:paraId="0BDF7B4F" w14:textId="77777777" w:rsidTr="006D740D">
        <w:tblPrEx>
          <w:tblW w:w="9509" w:type="dxa"/>
          <w:tblInd w:w="-5" w:type="dxa"/>
          <w:tblLayout w:type="fixed"/>
          <w:tblLook w:val="0000"/>
        </w:tblPrEx>
        <w:tc>
          <w:tcPr>
            <w:tcW w:w="5820" w:type="dxa"/>
          </w:tcPr>
          <w:p w:rsidR="006D740D" w:rsidRPr="006D740D" w:rsidP="006D740D" w14:paraId="4CDCA76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24"/>
                <w:szCs w:val="24"/>
              </w:rPr>
            </w:pPr>
            <w:r w:rsidRPr="006D740D">
              <w:rPr>
                <w:color w:val="000000"/>
                <w:sz w:val="24"/>
                <w:szCs w:val="24"/>
              </w:rPr>
              <w:t>Machine Shops</w:t>
            </w:r>
          </w:p>
        </w:tc>
        <w:tc>
          <w:tcPr>
            <w:tcW w:w="1646" w:type="dxa"/>
          </w:tcPr>
          <w:p w:rsidR="006D740D" w:rsidRPr="006D740D" w:rsidP="006D740D" w14:paraId="480E090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p>
          <w:p w:rsidR="006D740D" w:rsidRPr="006D740D" w:rsidP="006D740D" w14:paraId="5D7E4F9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r w:rsidRPr="006D740D">
              <w:rPr>
                <w:color w:val="000000"/>
                <w:sz w:val="24"/>
                <w:szCs w:val="24"/>
              </w:rPr>
              <w:t>3599</w:t>
            </w:r>
          </w:p>
        </w:tc>
        <w:tc>
          <w:tcPr>
            <w:tcW w:w="2043" w:type="dxa"/>
          </w:tcPr>
          <w:p w:rsidR="006D740D" w:rsidRPr="006D740D" w:rsidP="006D740D" w14:paraId="51C0A7E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p>
          <w:p w:rsidR="006D740D" w:rsidRPr="006D740D" w:rsidP="006D740D" w14:paraId="66F6246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r w:rsidRPr="006D740D">
              <w:rPr>
                <w:color w:val="000000"/>
                <w:sz w:val="24"/>
                <w:szCs w:val="24"/>
              </w:rPr>
              <w:t>332710</w:t>
            </w:r>
          </w:p>
        </w:tc>
      </w:tr>
      <w:tr w14:paraId="2733C1A1" w14:textId="77777777" w:rsidTr="006D740D">
        <w:tblPrEx>
          <w:tblW w:w="9509" w:type="dxa"/>
          <w:tblInd w:w="-5" w:type="dxa"/>
          <w:tblLayout w:type="fixed"/>
          <w:tblLook w:val="0000"/>
        </w:tblPrEx>
        <w:tc>
          <w:tcPr>
            <w:tcW w:w="5820" w:type="dxa"/>
          </w:tcPr>
          <w:p w:rsidR="006D740D" w:rsidRPr="006D740D" w:rsidP="006D740D" w14:paraId="178A2AC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24"/>
                <w:szCs w:val="24"/>
              </w:rPr>
            </w:pPr>
            <w:r w:rsidRPr="006D740D">
              <w:rPr>
                <w:color w:val="000000"/>
                <w:sz w:val="24"/>
                <w:szCs w:val="24"/>
              </w:rPr>
              <w:t>Hazardous Waste Treatment and Disposal</w:t>
            </w:r>
          </w:p>
        </w:tc>
        <w:tc>
          <w:tcPr>
            <w:tcW w:w="1646" w:type="dxa"/>
          </w:tcPr>
          <w:p w:rsidR="006D740D" w:rsidRPr="006D740D" w:rsidP="006D740D" w14:paraId="2A985DD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p>
          <w:p w:rsidR="006D740D" w:rsidRPr="006D740D" w:rsidP="006D740D" w14:paraId="32553F3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r w:rsidRPr="006D740D">
              <w:rPr>
                <w:color w:val="000000"/>
                <w:sz w:val="24"/>
                <w:szCs w:val="24"/>
              </w:rPr>
              <w:t>4953</w:t>
            </w:r>
          </w:p>
        </w:tc>
        <w:tc>
          <w:tcPr>
            <w:tcW w:w="2043" w:type="dxa"/>
          </w:tcPr>
          <w:p w:rsidR="006D740D" w:rsidRPr="006D740D" w:rsidP="006D740D" w14:paraId="0B665A8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p>
          <w:p w:rsidR="006D740D" w:rsidRPr="006D740D" w:rsidP="006D740D" w14:paraId="70AC909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r w:rsidRPr="006D740D">
              <w:rPr>
                <w:color w:val="000000"/>
                <w:sz w:val="24"/>
                <w:szCs w:val="24"/>
              </w:rPr>
              <w:t>562211</w:t>
            </w:r>
          </w:p>
        </w:tc>
      </w:tr>
      <w:tr w14:paraId="3BFD3CDA" w14:textId="77777777" w:rsidTr="006D740D">
        <w:tblPrEx>
          <w:tblW w:w="9509" w:type="dxa"/>
          <w:tblInd w:w="-5" w:type="dxa"/>
          <w:tblLayout w:type="fixed"/>
          <w:tblLook w:val="0000"/>
        </w:tblPrEx>
        <w:tc>
          <w:tcPr>
            <w:tcW w:w="5820" w:type="dxa"/>
          </w:tcPr>
          <w:p w:rsidR="006D740D" w:rsidRPr="006D740D" w:rsidP="006D740D" w14:paraId="0798102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rPr>
                <w:color w:val="000000"/>
                <w:sz w:val="24"/>
                <w:szCs w:val="24"/>
              </w:rPr>
            </w:pPr>
            <w:r w:rsidRPr="006D740D">
              <w:rPr>
                <w:color w:val="000000"/>
                <w:sz w:val="24"/>
                <w:szCs w:val="24"/>
              </w:rPr>
              <w:t>Materials Recovery Facilities</w:t>
            </w:r>
          </w:p>
        </w:tc>
        <w:tc>
          <w:tcPr>
            <w:tcW w:w="1646" w:type="dxa"/>
          </w:tcPr>
          <w:p w:rsidR="006D740D" w:rsidRPr="006D740D" w:rsidP="006D740D" w14:paraId="6FAFCF9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r w:rsidRPr="006D740D">
              <w:rPr>
                <w:color w:val="000000"/>
                <w:sz w:val="24"/>
                <w:szCs w:val="24"/>
              </w:rPr>
              <w:t>4953</w:t>
            </w:r>
          </w:p>
        </w:tc>
        <w:tc>
          <w:tcPr>
            <w:tcW w:w="2043" w:type="dxa"/>
          </w:tcPr>
          <w:p w:rsidR="006D740D" w:rsidRPr="006D740D" w:rsidP="006D740D" w14:paraId="46BC2C5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rPr>
                <w:color w:val="000000"/>
                <w:sz w:val="24"/>
                <w:szCs w:val="24"/>
              </w:rPr>
            </w:pPr>
            <w:r w:rsidRPr="006D740D">
              <w:rPr>
                <w:color w:val="000000"/>
                <w:sz w:val="24"/>
                <w:szCs w:val="24"/>
              </w:rPr>
              <w:t>562920</w:t>
            </w:r>
          </w:p>
        </w:tc>
      </w:tr>
    </w:tbl>
    <w:p w:rsidR="006D740D" w:rsidRPr="006D740D" w:rsidP="006D740D" w14:paraId="64448BFD" w14:textId="1036463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D740D">
        <w:rPr>
          <w:rFonts w:cstheme="minorHAnsi"/>
          <w:color w:val="000000"/>
        </w:rPr>
        <w:t xml:space="preserve">Based on our research for this ICR, on average over the next three years, approximately 33 existing respondents will be subject to the standard. It is estimated that no additional respondents per year will become subject. The overall average number of respondents, as shown in the table below, is 33 per year. </w:t>
      </w:r>
    </w:p>
    <w:p w:rsidR="006D740D" w:rsidP="006D740D" w14:paraId="10A6C176" w14:textId="34BB5F2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D740D">
        <w:rPr>
          <w:rFonts w:cstheme="minorHAnsi"/>
          <w:color w:val="000000"/>
        </w:rPr>
        <w:t>The number of respondents is calculated using the following table that addresses the three years covered by this ICR.</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15ACCCBA" w14:textId="77777777" w:rsidTr="00110E1F">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6D740D" w:rsidRPr="006D740D" w:rsidP="006D740D" w14:paraId="66E23512" w14:textId="77777777">
            <w:pPr>
              <w:widowControl w:val="0"/>
              <w:autoSpaceDE w:val="0"/>
              <w:autoSpaceDN w:val="0"/>
              <w:adjustRightInd w:val="0"/>
              <w:spacing w:after="0" w:line="120" w:lineRule="exact"/>
              <w:rPr>
                <w:rFonts w:ascii="Times New Roman" w:eastAsia="Times New Roman" w:hAnsi="Times New Roman" w:cs="Times New Roman"/>
                <w:sz w:val="24"/>
                <w:szCs w:val="24"/>
              </w:rPr>
            </w:pPr>
          </w:p>
          <w:p w:rsidR="006D740D" w:rsidRPr="006D740D" w:rsidP="006D740D" w14:paraId="0F1AE41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b/>
                <w:bCs/>
                <w:sz w:val="24"/>
                <w:szCs w:val="24"/>
              </w:rPr>
            </w:pPr>
            <w:r w:rsidRPr="006D740D">
              <w:rPr>
                <w:rFonts w:ascii="Times New Roman" w:eastAsia="Times New Roman" w:hAnsi="Times New Roman" w:cs="Times New Roman"/>
                <w:b/>
                <w:bCs/>
                <w:sz w:val="24"/>
                <w:szCs w:val="24"/>
              </w:rPr>
              <w:t>Number of Respondents</w:t>
            </w:r>
          </w:p>
        </w:tc>
      </w:tr>
      <w:tr w14:paraId="2DF8B33A" w14:textId="77777777" w:rsidTr="00110E1F">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6D740D" w:rsidRPr="006D740D" w:rsidP="006D740D" w14:paraId="2136BFE8" w14:textId="77777777">
            <w:pPr>
              <w:widowControl w:val="0"/>
              <w:autoSpaceDE w:val="0"/>
              <w:autoSpaceDN w:val="0"/>
              <w:adjustRightInd w:val="0"/>
              <w:spacing w:after="0" w:line="120" w:lineRule="exact"/>
              <w:rPr>
                <w:rFonts w:ascii="Times New Roman" w:eastAsia="Times New Roman" w:hAnsi="Times New Roman" w:cs="Times New Roman"/>
                <w:b/>
                <w:bCs/>
                <w:sz w:val="24"/>
                <w:szCs w:val="24"/>
              </w:rPr>
            </w:pPr>
          </w:p>
          <w:p w:rsidR="006D740D" w:rsidRPr="006D740D" w:rsidP="006D740D" w14:paraId="4C6CF3E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ascii="Times New Roman" w:eastAsia="Times New Roman" w:hAnsi="Times New Roman" w:cs="Times New Roman"/>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6D740D" w:rsidRPr="006D740D" w:rsidP="006D740D" w14:paraId="0AD6EAB3" w14:textId="77777777">
            <w:pPr>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71F6847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6D740D" w:rsidRPr="006D740D" w:rsidP="006D740D" w14:paraId="19445585" w14:textId="77777777">
            <w:pPr>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6D91A11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6D740D" w:rsidRPr="006D740D" w:rsidP="006D740D" w14:paraId="06DCC32D" w14:textId="77777777">
            <w:pPr>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5E38393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ascii="Times New Roman" w:eastAsia="Times New Roman" w:hAnsi="Times New Roman" w:cs="Times New Roman"/>
                <w:sz w:val="18"/>
                <w:szCs w:val="18"/>
              </w:rPr>
            </w:pPr>
          </w:p>
        </w:tc>
      </w:tr>
      <w:tr w14:paraId="53A3D540" w14:textId="77777777" w:rsidTr="00110E1F">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6D740D" w:rsidRPr="006D740D" w:rsidP="006D740D" w14:paraId="39007849" w14:textId="77777777">
            <w:pPr>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6213558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Times New Roman" w:eastAsia="Times New Roman" w:hAnsi="Times New Roman" w:cs="Times New Roman"/>
                <w:sz w:val="20"/>
                <w:szCs w:val="20"/>
              </w:rPr>
            </w:pPr>
          </w:p>
          <w:p w:rsidR="006D740D" w:rsidRPr="006D740D" w:rsidP="006D740D" w14:paraId="1AC5AB3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sz w:val="20"/>
                <w:szCs w:val="20"/>
              </w:rPr>
            </w:pPr>
            <w:r w:rsidRPr="006D740D">
              <w:rPr>
                <w:rFonts w:ascii="Times New Roman" w:eastAsia="Times New Roman" w:hAnsi="Times New Roman" w:cs="Times New Roman"/>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6D740D" w:rsidRPr="006D740D" w:rsidP="006D740D" w14:paraId="2C45F7CE"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6D740D" w:rsidRPr="006D740D" w:rsidP="006D740D" w14:paraId="134074B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6D740D">
              <w:rPr>
                <w:rFonts w:ascii="Times New Roman" w:eastAsia="Times New Roman" w:hAnsi="Times New Roman" w:cs="Times New Roman"/>
                <w:sz w:val="20"/>
                <w:szCs w:val="20"/>
              </w:rPr>
              <w:t>(A)</w:t>
            </w:r>
          </w:p>
          <w:p w:rsidR="006D740D" w:rsidRPr="006D740D" w:rsidP="006D740D" w14:paraId="2ACAC3B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ascii="Times New Roman" w:eastAsia="Times New Roman" w:hAnsi="Times New Roman" w:cs="Times New Roman"/>
                <w:sz w:val="20"/>
                <w:szCs w:val="20"/>
              </w:rPr>
            </w:pPr>
            <w:r w:rsidRPr="006D740D">
              <w:rPr>
                <w:rFonts w:ascii="Times New Roman" w:eastAsia="Times New Roman" w:hAnsi="Times New Roman" w:cs="Times New Roman"/>
                <w:sz w:val="20"/>
                <w:szCs w:val="20"/>
              </w:rPr>
              <w:t xml:space="preserve">Number of New Respondents </w:t>
            </w:r>
            <w:r w:rsidRPr="006D740D">
              <w:rPr>
                <w:rFonts w:ascii="Times New Roman" w:eastAsia="Times New Roman" w:hAnsi="Times New Roman" w:cs="Times New Roman"/>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6D740D" w:rsidRPr="006D740D" w:rsidP="006D740D" w14:paraId="3FC2E32D"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6D740D" w:rsidRPr="006D740D" w:rsidP="006D740D" w14:paraId="329208D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6D740D">
              <w:rPr>
                <w:rFonts w:ascii="Times New Roman" w:eastAsia="Times New Roman" w:hAnsi="Times New Roman" w:cs="Times New Roman"/>
                <w:sz w:val="20"/>
                <w:szCs w:val="20"/>
              </w:rPr>
              <w:t>(B)</w:t>
            </w:r>
          </w:p>
          <w:p w:rsidR="006D740D" w:rsidRPr="006D740D" w:rsidP="006D740D" w14:paraId="2769211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ascii="Times New Roman" w:eastAsia="Times New Roman" w:hAnsi="Times New Roman" w:cs="Times New Roman"/>
                <w:sz w:val="20"/>
                <w:szCs w:val="20"/>
              </w:rPr>
            </w:pPr>
            <w:r w:rsidRPr="006D740D">
              <w:rPr>
                <w:rFonts w:ascii="Times New Roman" w:eastAsia="Times New Roman" w:hAnsi="Times New Roman" w:cs="Times New Roman"/>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6D740D" w:rsidRPr="006D740D" w:rsidP="006D740D" w14:paraId="0727C0DC"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6D740D" w:rsidRPr="006D740D" w:rsidP="006D740D" w14:paraId="1B1E664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6D740D">
              <w:rPr>
                <w:rFonts w:ascii="Times New Roman" w:eastAsia="Times New Roman" w:hAnsi="Times New Roman" w:cs="Times New Roman"/>
                <w:sz w:val="20"/>
                <w:szCs w:val="20"/>
              </w:rPr>
              <w:t>(C)</w:t>
            </w:r>
          </w:p>
          <w:p w:rsidR="006D740D" w:rsidRPr="006D740D" w:rsidP="006D740D" w14:paraId="7847828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ascii="Times New Roman" w:eastAsia="Times New Roman" w:hAnsi="Times New Roman" w:cs="Times New Roman"/>
                <w:sz w:val="20"/>
                <w:szCs w:val="20"/>
              </w:rPr>
            </w:pPr>
            <w:r w:rsidRPr="006D740D">
              <w:rPr>
                <w:rFonts w:ascii="Times New Roman" w:eastAsia="Times New Roman" w:hAnsi="Times New Roman" w:cs="Times New Roman"/>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6D740D" w:rsidRPr="006D740D" w:rsidP="006D740D" w14:paraId="6A670D64"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6D740D" w:rsidRPr="006D740D" w:rsidP="006D740D" w14:paraId="0E79B6E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6D740D">
              <w:rPr>
                <w:rFonts w:ascii="Times New Roman" w:eastAsia="Times New Roman" w:hAnsi="Times New Roman" w:cs="Times New Roman"/>
                <w:sz w:val="20"/>
                <w:szCs w:val="20"/>
              </w:rPr>
              <w:t>(D)</w:t>
            </w:r>
          </w:p>
          <w:p w:rsidR="006D740D" w:rsidRPr="006D740D" w:rsidP="006D740D" w14:paraId="6E69B1B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ascii="Times New Roman" w:eastAsia="Times New Roman" w:hAnsi="Times New Roman" w:cs="Times New Roman"/>
                <w:sz w:val="20"/>
                <w:szCs w:val="20"/>
              </w:rPr>
            </w:pPr>
            <w:r w:rsidRPr="006D740D">
              <w:rPr>
                <w:rFonts w:ascii="Times New Roman" w:eastAsia="Times New Roman" w:hAnsi="Times New Roman" w:cs="Times New Roman"/>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6D740D" w:rsidRPr="006D740D" w:rsidP="006D740D" w14:paraId="67D4EEAF" w14:textId="77777777">
            <w:pPr>
              <w:widowControl w:val="0"/>
              <w:autoSpaceDE w:val="0"/>
              <w:autoSpaceDN w:val="0"/>
              <w:adjustRightInd w:val="0"/>
              <w:spacing w:after="0" w:line="120" w:lineRule="exact"/>
              <w:rPr>
                <w:rFonts w:ascii="Times New Roman" w:eastAsia="Times New Roman" w:hAnsi="Times New Roman" w:cs="Times New Roman"/>
                <w:sz w:val="20"/>
                <w:szCs w:val="20"/>
              </w:rPr>
            </w:pPr>
          </w:p>
          <w:p w:rsidR="006D740D" w:rsidRPr="006D740D" w:rsidP="006D740D" w14:paraId="6ED5AAF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6D740D">
              <w:rPr>
                <w:rFonts w:ascii="Times New Roman" w:eastAsia="Times New Roman" w:hAnsi="Times New Roman" w:cs="Times New Roman"/>
                <w:sz w:val="20"/>
                <w:szCs w:val="20"/>
              </w:rPr>
              <w:t>(E)</w:t>
            </w:r>
          </w:p>
          <w:p w:rsidR="006D740D" w:rsidRPr="006D740D" w:rsidP="006D740D" w14:paraId="160D3F3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Times New Roman" w:eastAsia="Times New Roman" w:hAnsi="Times New Roman" w:cs="Times New Roman"/>
                <w:sz w:val="20"/>
                <w:szCs w:val="20"/>
              </w:rPr>
            </w:pPr>
            <w:r w:rsidRPr="006D740D">
              <w:rPr>
                <w:rFonts w:ascii="Times New Roman" w:eastAsia="Times New Roman" w:hAnsi="Times New Roman" w:cs="Times New Roman"/>
                <w:sz w:val="20"/>
                <w:szCs w:val="20"/>
              </w:rPr>
              <w:t>Number of Respondents</w:t>
            </w:r>
          </w:p>
          <w:p w:rsidR="006D740D" w:rsidRPr="006D740D" w:rsidP="006D740D" w14:paraId="1540024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ascii="Times New Roman" w:eastAsia="Times New Roman" w:hAnsi="Times New Roman" w:cs="Times New Roman"/>
                <w:sz w:val="20"/>
                <w:szCs w:val="20"/>
              </w:rPr>
            </w:pPr>
            <w:r w:rsidRPr="006D740D">
              <w:rPr>
                <w:rFonts w:ascii="Times New Roman" w:eastAsia="Times New Roman" w:hAnsi="Times New Roman" w:cs="Times New Roman"/>
                <w:sz w:val="20"/>
                <w:szCs w:val="20"/>
              </w:rPr>
              <w:t>(E=A+B+C-D)</w:t>
            </w:r>
          </w:p>
        </w:tc>
      </w:tr>
      <w:tr w14:paraId="2B30B389" w14:textId="77777777" w:rsidTr="00110E1F">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6D740D" w:rsidRPr="006D740D" w:rsidP="006D740D" w14:paraId="4F38DD5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6D740D" w:rsidRPr="006D740D" w:rsidP="006D740D" w14:paraId="538FBAA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6D740D" w:rsidRPr="006D740D" w:rsidP="006D740D" w14:paraId="4BF7878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33</w:t>
            </w:r>
          </w:p>
        </w:tc>
        <w:tc>
          <w:tcPr>
            <w:tcW w:w="2070" w:type="dxa"/>
            <w:tcBorders>
              <w:top w:val="single" w:sz="8" w:space="0" w:color="000000"/>
              <w:left w:val="single" w:sz="6" w:space="0" w:color="000000"/>
              <w:bottom w:val="single" w:sz="6" w:space="0" w:color="000000"/>
              <w:right w:val="single" w:sz="6" w:space="0" w:color="000000"/>
            </w:tcBorders>
            <w:vAlign w:val="center"/>
          </w:tcPr>
          <w:p w:rsidR="006D740D" w:rsidRPr="006D740D" w:rsidP="006D740D" w14:paraId="72174C7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6D740D" w:rsidRPr="006D740D" w:rsidP="006D740D" w14:paraId="02DD45D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6D740D" w:rsidRPr="006D740D" w:rsidP="006D740D" w14:paraId="7DCC8C5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33</w:t>
            </w:r>
          </w:p>
        </w:tc>
      </w:tr>
      <w:tr w14:paraId="613ED88E" w14:textId="77777777" w:rsidTr="00110E1F">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6D740D" w:rsidRPr="006D740D" w:rsidP="006D740D" w14:paraId="066455B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6D740D" w:rsidRPr="006D740D" w:rsidP="006D740D" w14:paraId="52399AE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6D740D" w:rsidRPr="006D740D" w:rsidP="006D740D" w14:paraId="06F99EE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33</w:t>
            </w:r>
          </w:p>
        </w:tc>
        <w:tc>
          <w:tcPr>
            <w:tcW w:w="2070" w:type="dxa"/>
            <w:tcBorders>
              <w:top w:val="single" w:sz="6" w:space="0" w:color="000000"/>
              <w:left w:val="single" w:sz="6" w:space="0" w:color="000000"/>
              <w:bottom w:val="single" w:sz="6" w:space="0" w:color="000000"/>
              <w:right w:val="single" w:sz="6" w:space="0" w:color="000000"/>
            </w:tcBorders>
            <w:vAlign w:val="center"/>
          </w:tcPr>
          <w:p w:rsidR="006D740D" w:rsidRPr="006D740D" w:rsidP="006D740D" w14:paraId="3152338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740D" w:rsidRPr="006D740D" w:rsidP="006D740D" w14:paraId="3990791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6D740D" w:rsidRPr="006D740D" w:rsidP="006D740D" w14:paraId="7681810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33</w:t>
            </w:r>
          </w:p>
        </w:tc>
      </w:tr>
      <w:tr w14:paraId="78F08DCB" w14:textId="77777777" w:rsidTr="00110E1F">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6D740D" w:rsidRPr="006D740D" w:rsidP="006D740D" w14:paraId="4306ADA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6D740D" w:rsidRPr="006D740D" w:rsidP="006D740D" w14:paraId="7240D95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6D740D" w:rsidRPr="006D740D" w:rsidP="006D740D" w14:paraId="3CDF2AE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33</w:t>
            </w:r>
          </w:p>
        </w:tc>
        <w:tc>
          <w:tcPr>
            <w:tcW w:w="2070" w:type="dxa"/>
            <w:tcBorders>
              <w:top w:val="single" w:sz="6" w:space="0" w:color="000000"/>
              <w:left w:val="single" w:sz="6" w:space="0" w:color="000000"/>
              <w:bottom w:val="single" w:sz="6" w:space="0" w:color="000000"/>
              <w:right w:val="single" w:sz="6" w:space="0" w:color="000000"/>
            </w:tcBorders>
            <w:vAlign w:val="center"/>
          </w:tcPr>
          <w:p w:rsidR="006D740D" w:rsidRPr="006D740D" w:rsidP="006D740D" w14:paraId="587EF98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740D" w:rsidRPr="006D740D" w:rsidP="006D740D" w14:paraId="1A38713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6D740D" w:rsidRPr="006D740D" w:rsidP="006D740D" w14:paraId="025B058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33</w:t>
            </w:r>
          </w:p>
        </w:tc>
      </w:tr>
      <w:tr w14:paraId="5769C3E5" w14:textId="77777777" w:rsidTr="00110E1F">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6D740D" w:rsidRPr="006D740D" w:rsidP="006D740D" w14:paraId="3F7C9EF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6D740D" w:rsidRPr="006D740D" w:rsidP="006D740D" w14:paraId="2AEAF14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6D740D" w:rsidRPr="006D740D" w:rsidP="006D740D" w14:paraId="1237D7B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33</w:t>
            </w:r>
          </w:p>
        </w:tc>
        <w:tc>
          <w:tcPr>
            <w:tcW w:w="2070" w:type="dxa"/>
            <w:tcBorders>
              <w:top w:val="single" w:sz="6" w:space="0" w:color="000000"/>
              <w:left w:val="single" w:sz="6" w:space="0" w:color="000000"/>
              <w:bottom w:val="single" w:sz="8" w:space="0" w:color="000000"/>
              <w:right w:val="single" w:sz="6" w:space="0" w:color="000000"/>
            </w:tcBorders>
            <w:vAlign w:val="center"/>
          </w:tcPr>
          <w:p w:rsidR="006D740D" w:rsidRPr="006D740D" w:rsidP="006D740D" w14:paraId="035B389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6D740D" w:rsidRPr="006D740D" w:rsidP="006D740D" w14:paraId="5D959ED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6D740D" w:rsidRPr="006D740D" w:rsidP="006D740D" w14:paraId="4FFA7BB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33</w:t>
            </w:r>
          </w:p>
        </w:tc>
      </w:tr>
    </w:tbl>
    <w:p w:rsidR="006D740D" w:rsidRPr="006D740D" w:rsidP="006D740D" w14:paraId="01A2CE4D" w14:textId="690C8631">
      <w:pPr>
        <w:pBdr>
          <w:top w:val="single" w:sz="6" w:space="0" w:color="FFFFFF"/>
          <w:left w:val="single" w:sz="6" w:space="0" w:color="FFFFFF"/>
          <w:bottom w:val="single" w:sz="6" w:space="0" w:color="FFFFFF"/>
          <w:right w:val="single" w:sz="6" w:space="0" w:color="FFFFFF"/>
        </w:pBdr>
        <w:spacing w:before="60"/>
        <w:jc w:val="center"/>
        <w:rPr>
          <w:rFonts w:cstheme="minorHAnsi"/>
          <w:color w:val="000000"/>
          <w:sz w:val="20"/>
          <w:szCs w:val="20"/>
        </w:rPr>
      </w:pPr>
      <w:r>
        <w:rPr>
          <w:rFonts w:cstheme="minorHAnsi"/>
          <w:color w:val="000000"/>
          <w:sz w:val="20"/>
          <w:szCs w:val="20"/>
        </w:rPr>
        <w:t>*</w:t>
      </w:r>
      <w:r w:rsidRPr="006D740D">
        <w:rPr>
          <w:rFonts w:cstheme="minorHAnsi"/>
          <w:color w:val="000000"/>
          <w:sz w:val="20"/>
          <w:szCs w:val="20"/>
        </w:rPr>
        <w:t>New respondents include sources with constructed, reconstructed and modified affected facilities.</w:t>
      </w:r>
    </w:p>
    <w:p w:rsidR="006D740D" w:rsidRPr="006D740D" w:rsidP="006D740D" w14:paraId="0010A98B" w14:textId="2795550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D740D">
        <w:rPr>
          <w:rFonts w:cstheme="minorHAnsi"/>
          <w:color w:val="000000"/>
        </w:rPr>
        <w:t xml:space="preserve">Column D is subtracted to avoid double-counting respondents. As shown above, the average Number of Respondents over the three-year period of this ICR is 33. </w:t>
      </w:r>
    </w:p>
    <w:p w:rsidR="006D740D" w:rsidP="006D740D" w14:paraId="1DA80D75" w14:textId="1A44DB4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D740D">
        <w:rPr>
          <w:rFonts w:cstheme="minorHAnsi"/>
          <w:color w:val="000000"/>
        </w:rPr>
        <w:t>The total number of annual responses per year is calculated using the following table:</w:t>
      </w:r>
    </w:p>
    <w:tbl>
      <w:tblPr>
        <w:tblW w:w="9419"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4019"/>
        <w:gridCol w:w="1139"/>
        <w:gridCol w:w="990"/>
        <w:gridCol w:w="1890"/>
        <w:gridCol w:w="1381"/>
      </w:tblGrid>
      <w:tr w14:paraId="07A9E400" w14:textId="77777777" w:rsidTr="00110E1F">
        <w:tblPrEx>
          <w:tblW w:w="9419"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419" w:type="dxa"/>
            <w:gridSpan w:val="5"/>
          </w:tcPr>
          <w:p w:rsidR="006D740D" w:rsidRPr="006D740D" w:rsidP="006D740D" w14:paraId="27E88FF4" w14:textId="77777777">
            <w:pPr>
              <w:widowControl w:val="0"/>
              <w:autoSpaceDE w:val="0"/>
              <w:autoSpaceDN w:val="0"/>
              <w:adjustRightInd w:val="0"/>
              <w:spacing w:after="0" w:line="120" w:lineRule="exact"/>
              <w:rPr>
                <w:rFonts w:ascii="Times New Roman" w:eastAsia="Times New Roman" w:hAnsi="Times New Roman" w:cs="Times New Roman"/>
                <w:sz w:val="24"/>
                <w:szCs w:val="24"/>
              </w:rPr>
            </w:pPr>
          </w:p>
          <w:p w:rsidR="006D740D" w:rsidRPr="006D740D" w:rsidP="006D740D" w14:paraId="1FE74E0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b/>
                <w:bCs/>
                <w:sz w:val="18"/>
                <w:szCs w:val="18"/>
              </w:rPr>
            </w:pPr>
            <w:r w:rsidRPr="006D740D">
              <w:rPr>
                <w:rFonts w:ascii="Times New Roman" w:eastAsia="Times New Roman" w:hAnsi="Times New Roman" w:cs="Times New Roman"/>
                <w:b/>
                <w:bCs/>
                <w:sz w:val="24"/>
                <w:szCs w:val="24"/>
              </w:rPr>
              <w:t>Total Annual Responses</w:t>
            </w:r>
          </w:p>
        </w:tc>
      </w:tr>
      <w:tr w14:paraId="7C27A585" w14:textId="77777777" w:rsidTr="00110E1F">
        <w:tblPrEx>
          <w:tblW w:w="9419" w:type="dxa"/>
          <w:tblInd w:w="201" w:type="dxa"/>
          <w:tblLayout w:type="fixed"/>
          <w:tblCellMar>
            <w:left w:w="111" w:type="dxa"/>
            <w:right w:w="111" w:type="dxa"/>
          </w:tblCellMar>
          <w:tblLook w:val="0000"/>
        </w:tblPrEx>
        <w:tc>
          <w:tcPr>
            <w:tcW w:w="4019" w:type="dxa"/>
          </w:tcPr>
          <w:p w:rsidR="006D740D" w:rsidRPr="006D740D" w:rsidP="006D740D" w14:paraId="1B9C8BF9" w14:textId="77777777">
            <w:pPr>
              <w:widowControl w:val="0"/>
              <w:autoSpaceDE w:val="0"/>
              <w:autoSpaceDN w:val="0"/>
              <w:adjustRightInd w:val="0"/>
              <w:spacing w:after="0" w:line="120" w:lineRule="exact"/>
              <w:jc w:val="center"/>
              <w:rPr>
                <w:rFonts w:ascii="Times New Roman" w:eastAsia="Times New Roman" w:hAnsi="Times New Roman" w:cs="Times New Roman"/>
                <w:b/>
                <w:bCs/>
                <w:sz w:val="18"/>
                <w:szCs w:val="18"/>
              </w:rPr>
            </w:pPr>
          </w:p>
          <w:p w:rsidR="006D740D" w:rsidRPr="006D740D" w:rsidP="006D740D" w14:paraId="5FB29D3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(A)</w:t>
            </w:r>
          </w:p>
          <w:p w:rsidR="006D740D" w:rsidRPr="006D740D" w:rsidP="006D740D" w14:paraId="6246CF1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p>
          <w:p w:rsidR="006D740D" w:rsidRPr="006D740D" w:rsidP="006D740D" w14:paraId="5183FD2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Information Collection Activity</w:t>
            </w:r>
          </w:p>
        </w:tc>
        <w:tc>
          <w:tcPr>
            <w:tcW w:w="1139" w:type="dxa"/>
          </w:tcPr>
          <w:p w:rsidR="006D740D" w:rsidRPr="006D740D" w:rsidP="006D740D" w14:paraId="4F937970" w14:textId="77777777">
            <w:pPr>
              <w:widowControl w:val="0"/>
              <w:autoSpaceDE w:val="0"/>
              <w:autoSpaceDN w:val="0"/>
              <w:adjustRightInd w:val="0"/>
              <w:spacing w:after="0" w:line="120" w:lineRule="exact"/>
              <w:jc w:val="center"/>
              <w:rPr>
                <w:rFonts w:ascii="Times New Roman" w:eastAsia="Times New Roman" w:hAnsi="Times New Roman" w:cs="Times New Roman"/>
                <w:sz w:val="18"/>
                <w:szCs w:val="18"/>
              </w:rPr>
            </w:pPr>
          </w:p>
          <w:p w:rsidR="006D740D" w:rsidRPr="006D740D" w:rsidP="006D740D" w14:paraId="67A6A75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(B)</w:t>
            </w:r>
          </w:p>
          <w:p w:rsidR="006D740D" w:rsidRPr="006D740D" w:rsidP="006D740D" w14:paraId="7F6E6C6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p>
          <w:p w:rsidR="006D740D" w:rsidRPr="006D740D" w:rsidP="006D740D" w14:paraId="4A4277C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Number of Respondents</w:t>
            </w:r>
          </w:p>
        </w:tc>
        <w:tc>
          <w:tcPr>
            <w:tcW w:w="990" w:type="dxa"/>
          </w:tcPr>
          <w:p w:rsidR="006D740D" w:rsidRPr="006D740D" w:rsidP="006D740D" w14:paraId="72FAC405" w14:textId="77777777">
            <w:pPr>
              <w:widowControl w:val="0"/>
              <w:autoSpaceDE w:val="0"/>
              <w:autoSpaceDN w:val="0"/>
              <w:adjustRightInd w:val="0"/>
              <w:spacing w:after="0" w:line="120" w:lineRule="exact"/>
              <w:jc w:val="center"/>
              <w:rPr>
                <w:rFonts w:ascii="Times New Roman" w:eastAsia="Times New Roman" w:hAnsi="Times New Roman" w:cs="Times New Roman"/>
                <w:sz w:val="18"/>
                <w:szCs w:val="18"/>
              </w:rPr>
            </w:pPr>
          </w:p>
          <w:p w:rsidR="006D740D" w:rsidRPr="006D740D" w:rsidP="006D740D" w14:paraId="193ED7C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(C)</w:t>
            </w:r>
          </w:p>
          <w:p w:rsidR="006D740D" w:rsidRPr="006D740D" w:rsidP="006D740D" w14:paraId="1AE8866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p>
          <w:p w:rsidR="006D740D" w:rsidRPr="006D740D" w:rsidP="006D740D" w14:paraId="6578A4C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Number of Responses</w:t>
            </w:r>
          </w:p>
        </w:tc>
        <w:tc>
          <w:tcPr>
            <w:tcW w:w="1890" w:type="dxa"/>
          </w:tcPr>
          <w:p w:rsidR="006D740D" w:rsidRPr="006D740D" w:rsidP="006D740D" w14:paraId="60559F09" w14:textId="77777777">
            <w:pPr>
              <w:widowControl w:val="0"/>
              <w:autoSpaceDE w:val="0"/>
              <w:autoSpaceDN w:val="0"/>
              <w:adjustRightInd w:val="0"/>
              <w:spacing w:after="0" w:line="120" w:lineRule="exact"/>
              <w:jc w:val="center"/>
              <w:rPr>
                <w:rFonts w:ascii="Times New Roman" w:eastAsia="Times New Roman" w:hAnsi="Times New Roman" w:cs="Times New Roman"/>
                <w:sz w:val="18"/>
                <w:szCs w:val="18"/>
              </w:rPr>
            </w:pPr>
          </w:p>
          <w:p w:rsidR="006D740D" w:rsidRPr="006D740D" w:rsidP="006D740D" w14:paraId="4FC3001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(D)</w:t>
            </w:r>
          </w:p>
          <w:p w:rsidR="006D740D" w:rsidRPr="006D740D" w:rsidP="006D740D" w14:paraId="06E6B0A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Number of Existing Respondents That Keep Records But Do Not Submit Reports</w:t>
            </w:r>
          </w:p>
        </w:tc>
        <w:tc>
          <w:tcPr>
            <w:tcW w:w="1381" w:type="dxa"/>
          </w:tcPr>
          <w:p w:rsidR="006D740D" w:rsidRPr="006D740D" w:rsidP="006D740D" w14:paraId="5B137851" w14:textId="77777777">
            <w:pPr>
              <w:widowControl w:val="0"/>
              <w:autoSpaceDE w:val="0"/>
              <w:autoSpaceDN w:val="0"/>
              <w:adjustRightInd w:val="0"/>
              <w:spacing w:after="0" w:line="120" w:lineRule="exact"/>
              <w:jc w:val="center"/>
              <w:rPr>
                <w:rFonts w:ascii="Times New Roman" w:eastAsia="Times New Roman" w:hAnsi="Times New Roman" w:cs="Times New Roman"/>
                <w:sz w:val="18"/>
                <w:szCs w:val="18"/>
              </w:rPr>
            </w:pPr>
          </w:p>
          <w:p w:rsidR="006D740D" w:rsidRPr="006D740D" w:rsidP="006D740D" w14:paraId="14FB951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(E)</w:t>
            </w:r>
          </w:p>
          <w:p w:rsidR="006D740D" w:rsidRPr="006D740D" w:rsidP="006D740D" w14:paraId="129463A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Total Annual Responses</w:t>
            </w:r>
          </w:p>
          <w:p w:rsidR="006D740D" w:rsidRPr="006D740D" w:rsidP="006D740D" w14:paraId="61BF1F7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E=(</w:t>
            </w:r>
            <w:r w:rsidRPr="006D740D">
              <w:rPr>
                <w:rFonts w:ascii="Times New Roman" w:eastAsia="Times New Roman" w:hAnsi="Times New Roman" w:cs="Times New Roman"/>
                <w:sz w:val="18"/>
                <w:szCs w:val="18"/>
              </w:rPr>
              <w:t>BxC</w:t>
            </w:r>
            <w:r w:rsidRPr="006D740D">
              <w:rPr>
                <w:rFonts w:ascii="Times New Roman" w:eastAsia="Times New Roman" w:hAnsi="Times New Roman" w:cs="Times New Roman"/>
                <w:sz w:val="18"/>
                <w:szCs w:val="18"/>
              </w:rPr>
              <w:t>)+D</w:t>
            </w:r>
          </w:p>
        </w:tc>
      </w:tr>
      <w:tr w14:paraId="4176BF2D" w14:textId="77777777" w:rsidTr="00110E1F">
        <w:tblPrEx>
          <w:tblW w:w="9419" w:type="dxa"/>
          <w:tblInd w:w="201" w:type="dxa"/>
          <w:tblLayout w:type="fixed"/>
          <w:tblCellMar>
            <w:left w:w="111" w:type="dxa"/>
            <w:right w:w="111" w:type="dxa"/>
          </w:tblCellMar>
          <w:tblLook w:val="0000"/>
        </w:tblPrEx>
        <w:trPr>
          <w:trHeight w:val="366"/>
        </w:trPr>
        <w:tc>
          <w:tcPr>
            <w:tcW w:w="4019" w:type="dxa"/>
          </w:tcPr>
          <w:p w:rsidR="006D740D" w:rsidRPr="006D740D" w:rsidP="006D740D" w14:paraId="1805D87A" w14:textId="77777777">
            <w:pPr>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334E8F3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Notification of stack test</w:t>
            </w:r>
          </w:p>
        </w:tc>
        <w:tc>
          <w:tcPr>
            <w:tcW w:w="1139" w:type="dxa"/>
          </w:tcPr>
          <w:p w:rsidR="006D740D" w:rsidRPr="006D740D" w:rsidP="006D740D" w14:paraId="67D93B72" w14:textId="77777777">
            <w:pPr>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13CA780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23</w:t>
            </w:r>
          </w:p>
        </w:tc>
        <w:tc>
          <w:tcPr>
            <w:tcW w:w="990" w:type="dxa"/>
          </w:tcPr>
          <w:p w:rsidR="006D740D" w:rsidRPr="006D740D" w:rsidP="006D740D" w14:paraId="596B88CC" w14:textId="77777777">
            <w:pPr>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0D6BD54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1</w:t>
            </w:r>
          </w:p>
        </w:tc>
        <w:tc>
          <w:tcPr>
            <w:tcW w:w="1890" w:type="dxa"/>
          </w:tcPr>
          <w:p w:rsidR="006D740D" w:rsidRPr="006D740D" w:rsidP="006D740D" w14:paraId="7CE2A09E" w14:textId="77777777">
            <w:pPr>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1D38CFB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0</w:t>
            </w:r>
          </w:p>
        </w:tc>
        <w:tc>
          <w:tcPr>
            <w:tcW w:w="1381" w:type="dxa"/>
          </w:tcPr>
          <w:p w:rsidR="006D740D" w:rsidRPr="006D740D" w:rsidP="006D740D" w14:paraId="2784DB13" w14:textId="77777777">
            <w:pPr>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2ED5219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23</w:t>
            </w:r>
          </w:p>
        </w:tc>
      </w:tr>
      <w:tr w14:paraId="6A0F32A9" w14:textId="77777777" w:rsidTr="00110E1F">
        <w:tblPrEx>
          <w:tblW w:w="9419" w:type="dxa"/>
          <w:tblInd w:w="201" w:type="dxa"/>
          <w:tblLayout w:type="fixed"/>
          <w:tblCellMar>
            <w:left w:w="111" w:type="dxa"/>
            <w:right w:w="111" w:type="dxa"/>
          </w:tblCellMar>
          <w:tblLook w:val="0000"/>
        </w:tblPrEx>
        <w:trPr>
          <w:trHeight w:val="366"/>
        </w:trPr>
        <w:tc>
          <w:tcPr>
            <w:tcW w:w="4019" w:type="dxa"/>
          </w:tcPr>
          <w:p w:rsidR="006D740D" w:rsidRPr="006D740D" w:rsidP="006D740D" w14:paraId="0390FDF7" w14:textId="77777777">
            <w:pPr>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6C6B8D5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Emission level/operational changes</w:t>
            </w:r>
          </w:p>
        </w:tc>
        <w:tc>
          <w:tcPr>
            <w:tcW w:w="1139" w:type="dxa"/>
          </w:tcPr>
          <w:p w:rsidR="006D740D" w:rsidRPr="006D740D" w:rsidP="006D740D" w14:paraId="75198383" w14:textId="77777777">
            <w:pPr>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6ED73B3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23</w:t>
            </w:r>
          </w:p>
        </w:tc>
        <w:tc>
          <w:tcPr>
            <w:tcW w:w="990" w:type="dxa"/>
          </w:tcPr>
          <w:p w:rsidR="006D740D" w:rsidRPr="006D740D" w:rsidP="006D740D" w14:paraId="5206915B" w14:textId="77777777">
            <w:pPr>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61031FB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1</w:t>
            </w:r>
          </w:p>
        </w:tc>
        <w:tc>
          <w:tcPr>
            <w:tcW w:w="1890" w:type="dxa"/>
          </w:tcPr>
          <w:p w:rsidR="006D740D" w:rsidRPr="006D740D" w:rsidP="006D740D" w14:paraId="4FE43FD0" w14:textId="77777777">
            <w:pPr>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0270FF5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0</w:t>
            </w:r>
          </w:p>
        </w:tc>
        <w:tc>
          <w:tcPr>
            <w:tcW w:w="1381" w:type="dxa"/>
          </w:tcPr>
          <w:p w:rsidR="006D740D" w:rsidRPr="006D740D" w:rsidP="006D740D" w14:paraId="44002184" w14:textId="77777777">
            <w:pPr>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5412A34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23</w:t>
            </w:r>
          </w:p>
        </w:tc>
      </w:tr>
      <w:tr w14:paraId="6C2E1DD3" w14:textId="77777777" w:rsidTr="00110E1F">
        <w:tblPrEx>
          <w:tblW w:w="9419" w:type="dxa"/>
          <w:tblInd w:w="201" w:type="dxa"/>
          <w:tblLayout w:type="fixed"/>
          <w:tblCellMar>
            <w:left w:w="111" w:type="dxa"/>
            <w:right w:w="111" w:type="dxa"/>
          </w:tblCellMar>
          <w:tblLook w:val="0000"/>
        </w:tblPrEx>
        <w:trPr>
          <w:trHeight w:val="366"/>
        </w:trPr>
        <w:tc>
          <w:tcPr>
            <w:tcW w:w="4019" w:type="dxa"/>
          </w:tcPr>
          <w:p w:rsidR="006D740D" w:rsidRPr="006D740D" w:rsidP="006D740D" w14:paraId="641762FF" w14:textId="77777777">
            <w:pPr>
              <w:keepNext/>
              <w:keepLines/>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703DB62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Monthly ambient concentrations</w:t>
            </w:r>
          </w:p>
        </w:tc>
        <w:tc>
          <w:tcPr>
            <w:tcW w:w="1139" w:type="dxa"/>
          </w:tcPr>
          <w:p w:rsidR="006D740D" w:rsidRPr="006D740D" w:rsidP="006D740D" w14:paraId="0A8247D2" w14:textId="77777777">
            <w:pPr>
              <w:keepNext/>
              <w:keepLines/>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4309FFC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10</w:t>
            </w:r>
          </w:p>
        </w:tc>
        <w:tc>
          <w:tcPr>
            <w:tcW w:w="990" w:type="dxa"/>
          </w:tcPr>
          <w:p w:rsidR="006D740D" w:rsidRPr="006D740D" w:rsidP="006D740D" w14:paraId="71A57F5A" w14:textId="77777777">
            <w:pPr>
              <w:keepNext/>
              <w:keepLines/>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7513A3A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12</w:t>
            </w:r>
          </w:p>
        </w:tc>
        <w:tc>
          <w:tcPr>
            <w:tcW w:w="1890" w:type="dxa"/>
          </w:tcPr>
          <w:p w:rsidR="006D740D" w:rsidRPr="006D740D" w:rsidP="006D740D" w14:paraId="0D79C5D7" w14:textId="77777777">
            <w:pPr>
              <w:keepNext/>
              <w:keepLines/>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13A774F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0</w:t>
            </w:r>
          </w:p>
        </w:tc>
        <w:tc>
          <w:tcPr>
            <w:tcW w:w="1381" w:type="dxa"/>
          </w:tcPr>
          <w:p w:rsidR="006D740D" w:rsidRPr="006D740D" w:rsidP="006D740D" w14:paraId="1A3DFEFF" w14:textId="77777777">
            <w:pPr>
              <w:keepNext/>
              <w:keepLines/>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576C2E0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120</w:t>
            </w:r>
          </w:p>
        </w:tc>
      </w:tr>
      <w:tr w14:paraId="68389F1F" w14:textId="77777777" w:rsidTr="00110E1F">
        <w:tblPrEx>
          <w:tblW w:w="9419" w:type="dxa"/>
          <w:tblInd w:w="201" w:type="dxa"/>
          <w:tblLayout w:type="fixed"/>
          <w:tblCellMar>
            <w:left w:w="111" w:type="dxa"/>
            <w:right w:w="111" w:type="dxa"/>
          </w:tblCellMar>
          <w:tblLook w:val="0000"/>
        </w:tblPrEx>
        <w:trPr>
          <w:trHeight w:val="366"/>
        </w:trPr>
        <w:tc>
          <w:tcPr>
            <w:tcW w:w="4019" w:type="dxa"/>
          </w:tcPr>
          <w:p w:rsidR="006D740D" w:rsidRPr="006D740D" w:rsidP="006D740D" w14:paraId="403B27B5" w14:textId="77777777">
            <w:pPr>
              <w:keepNext/>
              <w:keepLines/>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386F0E9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Times New Roman" w:eastAsia="Times New Roman" w:hAnsi="Times New Roman" w:cs="Times New Roman"/>
                <w:sz w:val="18"/>
                <w:szCs w:val="18"/>
              </w:rPr>
            </w:pPr>
          </w:p>
        </w:tc>
        <w:tc>
          <w:tcPr>
            <w:tcW w:w="1139" w:type="dxa"/>
          </w:tcPr>
          <w:p w:rsidR="006D740D" w:rsidRPr="006D740D" w:rsidP="006D740D" w14:paraId="178E92EA" w14:textId="77777777">
            <w:pPr>
              <w:keepNext/>
              <w:keepLines/>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53A6E45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p>
        </w:tc>
        <w:tc>
          <w:tcPr>
            <w:tcW w:w="990" w:type="dxa"/>
          </w:tcPr>
          <w:p w:rsidR="006D740D" w:rsidRPr="006D740D" w:rsidP="006D740D" w14:paraId="449396F5" w14:textId="77777777">
            <w:pPr>
              <w:keepNext/>
              <w:keepLines/>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6D13004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p>
        </w:tc>
        <w:tc>
          <w:tcPr>
            <w:tcW w:w="1890" w:type="dxa"/>
          </w:tcPr>
          <w:p w:rsidR="006D740D" w:rsidRPr="006D740D" w:rsidP="006D740D" w14:paraId="0CFF9F3C" w14:textId="77777777">
            <w:pPr>
              <w:keepNext/>
              <w:keepLines/>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458C6DA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Total</w:t>
            </w:r>
          </w:p>
        </w:tc>
        <w:tc>
          <w:tcPr>
            <w:tcW w:w="1381" w:type="dxa"/>
          </w:tcPr>
          <w:p w:rsidR="006D740D" w:rsidRPr="006D740D" w:rsidP="006D740D" w14:paraId="37587E7C" w14:textId="77777777">
            <w:pPr>
              <w:keepNext/>
              <w:keepLines/>
              <w:widowControl w:val="0"/>
              <w:autoSpaceDE w:val="0"/>
              <w:autoSpaceDN w:val="0"/>
              <w:adjustRightInd w:val="0"/>
              <w:spacing w:after="0" w:line="120" w:lineRule="exact"/>
              <w:rPr>
                <w:rFonts w:ascii="Times New Roman" w:eastAsia="Times New Roman" w:hAnsi="Times New Roman" w:cs="Times New Roman"/>
                <w:sz w:val="18"/>
                <w:szCs w:val="18"/>
              </w:rPr>
            </w:pPr>
          </w:p>
          <w:p w:rsidR="006D740D" w:rsidRPr="006D740D" w:rsidP="006D740D" w14:paraId="58F91F7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18"/>
                <w:szCs w:val="18"/>
              </w:rPr>
            </w:pPr>
            <w:r w:rsidRPr="006D740D">
              <w:rPr>
                <w:rFonts w:ascii="Times New Roman" w:eastAsia="Times New Roman" w:hAnsi="Times New Roman" w:cs="Times New Roman"/>
                <w:sz w:val="18"/>
                <w:szCs w:val="18"/>
              </w:rPr>
              <w:t>166</w:t>
            </w:r>
          </w:p>
        </w:tc>
      </w:tr>
    </w:tbl>
    <w:p w:rsidR="006D740D" w:rsidP="006D740D" w14:paraId="36AD0416" w14:textId="40F6BA3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D740D">
        <w:rPr>
          <w:rFonts w:cstheme="minorHAnsi"/>
          <w:color w:val="000000"/>
        </w:rPr>
        <w:t>The number of Total Annual Responses is 166.</w:t>
      </w:r>
    </w:p>
    <w:p w:rsidR="006B0AC5" w:rsidRPr="00BB3410" w:rsidP="006B0AC5" w14:paraId="61567966" w14:textId="5E94D3E2">
      <w:pPr>
        <w:pBdr>
          <w:top w:val="single" w:sz="6" w:space="0" w:color="FFFFFF"/>
          <w:left w:val="single" w:sz="6" w:space="0" w:color="FFFFFF"/>
          <w:bottom w:val="single" w:sz="6" w:space="0" w:color="FFFFFF"/>
          <w:right w:val="single" w:sz="6" w:space="0" w:color="FFFFFF"/>
        </w:pBdr>
        <w:rPr>
          <w:rFonts w:cstheme="minorHAnsi"/>
          <w:color w:val="000000"/>
        </w:rPr>
      </w:pPr>
      <w:r w:rsidRPr="00286FDD">
        <w:rPr>
          <w:rFonts w:cstheme="minorHAnsi"/>
          <w:color w:val="000000"/>
        </w:rPr>
        <w:t>Furthermore, the annual public reporting and recordkeeping burden for this collection of information is estimated to average 16 hours per response.</w:t>
      </w:r>
    </w:p>
    <w:p w:rsidR="00ED57A4" w:rsidRPr="00163C69" w:rsidP="00854AAE" w14:paraId="24296CF3" w14:textId="77777777">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7" w:name="_Toc156593384"/>
      <w:bookmarkEnd w:id="16"/>
    </w:p>
    <w:p w:rsidR="008D0375" w:rsidRPr="008D0375" w:rsidP="008D0375" w14:paraId="5B0908E6" w14:textId="1AABD48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D0375">
        <w:rPr>
          <w:rFonts w:cstheme="minorHAnsi"/>
          <w:color w:val="000000"/>
        </w:rPr>
        <w:t>In this ICR, all the data that are recorded or reported is required by the NESHAP for Beryllium (40 CFR Part 61, Subpart C).</w:t>
      </w:r>
    </w:p>
    <w:p w:rsidR="00BB3410" w:rsidP="008D0375" w14:paraId="644567FD" w14:textId="04A7470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D0375">
        <w:rPr>
          <w:rFonts w:cstheme="minorHAnsi"/>
          <w:color w:val="000000"/>
        </w:rPr>
        <w:t>A source must make the following reports:</w:t>
      </w:r>
    </w:p>
    <w:tbl>
      <w:tblPr>
        <w:tblW w:w="9360" w:type="dxa"/>
        <w:jc w:val="center"/>
        <w:tblLayout w:type="fixed"/>
        <w:tblCellMar>
          <w:left w:w="120" w:type="dxa"/>
          <w:right w:w="120" w:type="dxa"/>
        </w:tblCellMar>
        <w:tblLook w:val="0000"/>
      </w:tblPr>
      <w:tblGrid>
        <w:gridCol w:w="6831"/>
        <w:gridCol w:w="459"/>
        <w:gridCol w:w="2070"/>
      </w:tblGrid>
      <w:tr w14:paraId="6563464C" w14:textId="77777777" w:rsidTr="00110E1F">
        <w:tblPrEx>
          <w:tblW w:w="9360" w:type="dxa"/>
          <w:jc w:val="center"/>
          <w:tblLayout w:type="fixed"/>
          <w:tblCellMar>
            <w:left w:w="120" w:type="dxa"/>
            <w:right w:w="120" w:type="dxa"/>
          </w:tblCellMar>
          <w:tblLook w:val="0000"/>
        </w:tblPrEx>
        <w:trPr>
          <w:tblHeader/>
          <w:jc w:val="center"/>
        </w:trPr>
        <w:tc>
          <w:tcPr>
            <w:tcW w:w="9360" w:type="dxa"/>
            <w:gridSpan w:val="3"/>
            <w:tcBorders>
              <w:top w:val="single" w:sz="7" w:space="0" w:color="000000"/>
              <w:left w:val="single" w:sz="7" w:space="0" w:color="000000"/>
              <w:bottom w:val="single" w:sz="7" w:space="0" w:color="000000"/>
              <w:right w:val="single" w:sz="7" w:space="0" w:color="000000"/>
            </w:tcBorders>
          </w:tcPr>
          <w:p w:rsidR="008D0375" w:rsidRPr="008D0375" w:rsidP="008D0375" w14:paraId="4D840891" w14:textId="77777777">
            <w:pPr>
              <w:widowControl w:val="0"/>
              <w:autoSpaceDE w:val="0"/>
              <w:autoSpaceDN w:val="0"/>
              <w:adjustRightInd w:val="0"/>
              <w:spacing w:after="0" w:line="120" w:lineRule="exact"/>
              <w:rPr>
                <w:rFonts w:ascii="Times New Roman" w:eastAsia="Times New Roman" w:hAnsi="Times New Roman" w:cs="Times New Roman"/>
                <w:sz w:val="24"/>
                <w:szCs w:val="24"/>
              </w:rPr>
            </w:pPr>
          </w:p>
          <w:p w:rsidR="008D0375" w:rsidRPr="008D0375" w:rsidP="008D0375" w14:paraId="5D49703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jc w:val="center"/>
              <w:rPr>
                <w:rFonts w:ascii="Times New Roman" w:eastAsia="Times New Roman" w:hAnsi="Times New Roman" w:cs="Times New Roman"/>
                <w:b/>
                <w:sz w:val="24"/>
                <w:szCs w:val="24"/>
              </w:rPr>
            </w:pPr>
            <w:r w:rsidRPr="008D0375">
              <w:rPr>
                <w:rFonts w:ascii="Times New Roman" w:eastAsia="Times New Roman" w:hAnsi="Times New Roman" w:cs="Times New Roman"/>
                <w:b/>
                <w:sz w:val="24"/>
                <w:szCs w:val="24"/>
              </w:rPr>
              <w:t>Notifications</w:t>
            </w:r>
          </w:p>
        </w:tc>
      </w:tr>
      <w:tr w14:paraId="467E08F9" w14:textId="77777777" w:rsidTr="00110E1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D0375" w:rsidRPr="008D0375" w:rsidP="008D0375" w14:paraId="2C8CBAA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b/>
                <w:bCs/>
                <w:sz w:val="24"/>
                <w:szCs w:val="24"/>
              </w:rPr>
            </w:pPr>
            <w:r w:rsidRPr="008D0375">
              <w:rPr>
                <w:rFonts w:ascii="Times New Roman" w:eastAsia="Times New Roman" w:hAnsi="Times New Roman" w:cs="Times New Roman"/>
                <w:sz w:val="24"/>
                <w:szCs w:val="24"/>
              </w:rPr>
              <w:t>Notification and application of construction or modification</w:t>
            </w:r>
          </w:p>
        </w:tc>
        <w:tc>
          <w:tcPr>
            <w:tcW w:w="2529" w:type="dxa"/>
            <w:gridSpan w:val="2"/>
            <w:tcBorders>
              <w:top w:val="single" w:sz="7" w:space="0" w:color="000000"/>
              <w:left w:val="single" w:sz="7" w:space="0" w:color="000000"/>
              <w:bottom w:val="single" w:sz="7" w:space="0" w:color="000000"/>
              <w:right w:val="single" w:sz="7" w:space="0" w:color="000000"/>
            </w:tcBorders>
          </w:tcPr>
          <w:p w:rsidR="008D0375" w:rsidRPr="008D0375" w:rsidP="008D0375" w14:paraId="2DE1B23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b/>
                <w:bCs/>
                <w:sz w:val="24"/>
                <w:szCs w:val="24"/>
              </w:rPr>
            </w:pPr>
            <w:r w:rsidRPr="008D0375">
              <w:rPr>
                <w:rFonts w:ascii="Times New Roman" w:eastAsia="Times New Roman" w:hAnsi="Times New Roman" w:cs="Times New Roman"/>
                <w:sz w:val="24"/>
                <w:szCs w:val="24"/>
              </w:rPr>
              <w:t>§61.07</w:t>
            </w:r>
          </w:p>
        </w:tc>
      </w:tr>
      <w:tr w14:paraId="0DC030A1" w14:textId="77777777" w:rsidTr="00110E1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D0375" w:rsidRPr="008D0375" w:rsidP="008D0375" w14:paraId="6C2B060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sz w:val="24"/>
                <w:szCs w:val="24"/>
              </w:rPr>
            </w:pPr>
            <w:r w:rsidRPr="008D0375">
              <w:rPr>
                <w:rFonts w:ascii="Times New Roman" w:eastAsia="Times New Roman" w:hAnsi="Times New Roman" w:cs="Times New Roman"/>
                <w:sz w:val="24"/>
                <w:szCs w:val="24"/>
              </w:rPr>
              <w:t>Notification of actual startup</w:t>
            </w:r>
          </w:p>
        </w:tc>
        <w:tc>
          <w:tcPr>
            <w:tcW w:w="2529" w:type="dxa"/>
            <w:gridSpan w:val="2"/>
            <w:tcBorders>
              <w:top w:val="single" w:sz="7" w:space="0" w:color="000000"/>
              <w:left w:val="single" w:sz="7" w:space="0" w:color="000000"/>
              <w:bottom w:val="single" w:sz="7" w:space="0" w:color="000000"/>
              <w:right w:val="single" w:sz="7" w:space="0" w:color="000000"/>
            </w:tcBorders>
          </w:tcPr>
          <w:p w:rsidR="008D0375" w:rsidRPr="008D0375" w:rsidP="008D0375" w14:paraId="4992547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sz w:val="24"/>
                <w:szCs w:val="24"/>
              </w:rPr>
            </w:pPr>
            <w:r w:rsidRPr="008D0375">
              <w:rPr>
                <w:rFonts w:ascii="Times New Roman" w:eastAsia="Times New Roman" w:hAnsi="Times New Roman" w:cs="Times New Roman"/>
                <w:sz w:val="24"/>
                <w:szCs w:val="24"/>
              </w:rPr>
              <w:t>§61.09(a)(2)</w:t>
            </w:r>
          </w:p>
        </w:tc>
      </w:tr>
      <w:tr w14:paraId="0369791E" w14:textId="77777777" w:rsidTr="00110E1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D0375" w:rsidRPr="008D0375" w:rsidP="008D0375" w14:paraId="2116559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sz w:val="24"/>
                <w:szCs w:val="24"/>
              </w:rPr>
            </w:pPr>
            <w:r w:rsidRPr="008D0375">
              <w:rPr>
                <w:rFonts w:ascii="Times New Roman" w:eastAsia="Times New Roman" w:hAnsi="Times New Roman" w:cs="Times New Roman"/>
                <w:sz w:val="24"/>
                <w:szCs w:val="24"/>
              </w:rPr>
              <w:t>Notification of emission test</w:t>
            </w:r>
          </w:p>
        </w:tc>
        <w:tc>
          <w:tcPr>
            <w:tcW w:w="2529" w:type="dxa"/>
            <w:gridSpan w:val="2"/>
            <w:tcBorders>
              <w:top w:val="single" w:sz="7" w:space="0" w:color="000000"/>
              <w:left w:val="single" w:sz="7" w:space="0" w:color="000000"/>
              <w:bottom w:val="single" w:sz="7" w:space="0" w:color="000000"/>
              <w:right w:val="single" w:sz="7" w:space="0" w:color="000000"/>
            </w:tcBorders>
          </w:tcPr>
          <w:p w:rsidR="008D0375" w:rsidRPr="008D0375" w:rsidP="008D0375" w14:paraId="70DDAE0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sz w:val="24"/>
                <w:szCs w:val="24"/>
              </w:rPr>
            </w:pPr>
            <w:r w:rsidRPr="008D0375">
              <w:rPr>
                <w:rFonts w:ascii="Times New Roman" w:eastAsia="Times New Roman" w:hAnsi="Times New Roman" w:cs="Times New Roman"/>
                <w:sz w:val="24"/>
                <w:szCs w:val="24"/>
              </w:rPr>
              <w:t>§61.13(c), §61.33(b)</w:t>
            </w:r>
          </w:p>
        </w:tc>
      </w:tr>
      <w:tr w14:paraId="37A3AFB0" w14:textId="77777777" w:rsidTr="00110E1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D0375" w:rsidRPr="008D0375" w:rsidP="008D0375" w14:paraId="0058271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sz w:val="24"/>
                <w:szCs w:val="24"/>
              </w:rPr>
            </w:pPr>
            <w:r w:rsidRPr="008D0375">
              <w:rPr>
                <w:rFonts w:ascii="Times New Roman" w:eastAsia="Times New Roman" w:hAnsi="Times New Roman" w:cs="Times New Roman"/>
                <w:sz w:val="24"/>
                <w:szCs w:val="24"/>
              </w:rPr>
              <w:t>Notification requesting approval to meet an ambient concentration limit on beryllium in the vicinity of the stationary source (alternative standard)</w:t>
            </w:r>
          </w:p>
        </w:tc>
        <w:tc>
          <w:tcPr>
            <w:tcW w:w="2529" w:type="dxa"/>
            <w:gridSpan w:val="2"/>
            <w:tcBorders>
              <w:top w:val="single" w:sz="7" w:space="0" w:color="000000"/>
              <w:left w:val="single" w:sz="7" w:space="0" w:color="000000"/>
              <w:bottom w:val="single" w:sz="7" w:space="0" w:color="000000"/>
              <w:right w:val="single" w:sz="7" w:space="0" w:color="000000"/>
            </w:tcBorders>
          </w:tcPr>
          <w:p w:rsidR="008D0375" w:rsidRPr="008D0375" w:rsidP="008D0375" w14:paraId="50DFE01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sz w:val="24"/>
                <w:szCs w:val="24"/>
              </w:rPr>
            </w:pPr>
            <w:r w:rsidRPr="008D0375">
              <w:rPr>
                <w:rFonts w:ascii="Times New Roman" w:eastAsia="Times New Roman" w:hAnsi="Times New Roman" w:cs="Times New Roman"/>
                <w:sz w:val="24"/>
                <w:szCs w:val="24"/>
              </w:rPr>
              <w:t>§61.32(b)</w:t>
            </w:r>
          </w:p>
        </w:tc>
      </w:tr>
      <w:tr w14:paraId="6EC38A36" w14:textId="77777777" w:rsidTr="008D0375">
        <w:tblPrEx>
          <w:tblW w:w="9360" w:type="dxa"/>
          <w:jc w:val="center"/>
          <w:tblLayout w:type="fixed"/>
          <w:tblCellMar>
            <w:left w:w="120" w:type="dxa"/>
            <w:right w:w="120" w:type="dxa"/>
          </w:tblCellMar>
          <w:tblLook w:val="0000"/>
        </w:tblPrEx>
        <w:trPr>
          <w:tblHeader/>
          <w:jc w:val="center"/>
        </w:trPr>
        <w:tc>
          <w:tcPr>
            <w:tcW w:w="9360" w:type="dxa"/>
            <w:gridSpan w:val="3"/>
            <w:tcBorders>
              <w:top w:val="single" w:sz="7" w:space="0" w:color="000000"/>
              <w:left w:val="single" w:sz="7" w:space="0" w:color="000000"/>
              <w:bottom w:val="single" w:sz="7" w:space="0" w:color="000000"/>
              <w:right w:val="single" w:sz="7" w:space="0" w:color="000000"/>
            </w:tcBorders>
          </w:tcPr>
          <w:p w:rsidR="008D0375" w:rsidRPr="008D0375" w:rsidP="008D0375" w14:paraId="76D90288" w14:textId="77777777">
            <w:pPr>
              <w:widowControl w:val="0"/>
              <w:autoSpaceDE w:val="0"/>
              <w:autoSpaceDN w:val="0"/>
              <w:adjustRightInd w:val="0"/>
              <w:spacing w:after="0" w:line="120" w:lineRule="exact"/>
              <w:rPr>
                <w:rFonts w:ascii="Times New Roman" w:eastAsia="Times New Roman" w:hAnsi="Times New Roman" w:cs="Times New Roman"/>
                <w:sz w:val="24"/>
                <w:szCs w:val="24"/>
              </w:rPr>
            </w:pPr>
          </w:p>
          <w:p w:rsidR="008D0375" w:rsidRPr="008D0375" w:rsidP="008D0375" w14:paraId="7E43168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jc w:val="center"/>
              <w:rPr>
                <w:rFonts w:ascii="Times New Roman" w:eastAsia="Times New Roman" w:hAnsi="Times New Roman" w:cs="Times New Roman"/>
                <w:b/>
                <w:sz w:val="24"/>
                <w:szCs w:val="24"/>
              </w:rPr>
            </w:pPr>
            <w:r w:rsidRPr="008D0375">
              <w:rPr>
                <w:rFonts w:ascii="Times New Roman" w:eastAsia="Times New Roman" w:hAnsi="Times New Roman" w:cs="Times New Roman"/>
                <w:b/>
                <w:sz w:val="24"/>
                <w:szCs w:val="24"/>
              </w:rPr>
              <w:t>Reports</w:t>
            </w:r>
          </w:p>
        </w:tc>
      </w:tr>
      <w:tr w14:paraId="459601EE" w14:textId="77777777" w:rsidTr="00110E1F">
        <w:tblPrEx>
          <w:tblW w:w="9360" w:type="dxa"/>
          <w:jc w:val="center"/>
          <w:tblLayout w:type="fixed"/>
          <w:tblCellMar>
            <w:left w:w="120" w:type="dxa"/>
            <w:right w:w="120" w:type="dxa"/>
          </w:tblCellMar>
          <w:tblLook w:val="0000"/>
        </w:tblPrEx>
        <w:trPr>
          <w:jc w:val="center"/>
        </w:trPr>
        <w:tc>
          <w:tcPr>
            <w:tcW w:w="7290" w:type="dxa"/>
            <w:gridSpan w:val="2"/>
            <w:tcBorders>
              <w:top w:val="single" w:sz="7" w:space="0" w:color="000000"/>
              <w:left w:val="single" w:sz="7" w:space="0" w:color="000000"/>
              <w:bottom w:val="single" w:sz="7" w:space="0" w:color="000000"/>
              <w:right w:val="single" w:sz="7" w:space="0" w:color="000000"/>
            </w:tcBorders>
          </w:tcPr>
          <w:p w:rsidR="008D0375" w:rsidRPr="008D0375" w:rsidP="008D0375" w14:paraId="5E9A25B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sz w:val="24"/>
                <w:szCs w:val="24"/>
              </w:rPr>
            </w:pPr>
            <w:r w:rsidRPr="008D0375">
              <w:rPr>
                <w:rFonts w:ascii="Times New Roman" w:eastAsia="Times New Roman" w:hAnsi="Times New Roman" w:cs="Times New Roman"/>
                <w:sz w:val="24"/>
                <w:szCs w:val="24"/>
              </w:rPr>
              <w:t>Report of emission test results</w:t>
            </w:r>
          </w:p>
        </w:tc>
        <w:tc>
          <w:tcPr>
            <w:tcW w:w="2070" w:type="dxa"/>
            <w:tcBorders>
              <w:top w:val="single" w:sz="7" w:space="0" w:color="000000"/>
              <w:left w:val="single" w:sz="7" w:space="0" w:color="000000"/>
              <w:bottom w:val="single" w:sz="7" w:space="0" w:color="000000"/>
              <w:right w:val="single" w:sz="7" w:space="0" w:color="000000"/>
            </w:tcBorders>
          </w:tcPr>
          <w:p w:rsidR="008D0375" w:rsidRPr="008D0375" w:rsidP="008D0375" w14:paraId="5AA6A1B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sz w:val="24"/>
                <w:szCs w:val="24"/>
              </w:rPr>
            </w:pPr>
            <w:r w:rsidRPr="008D0375">
              <w:rPr>
                <w:rFonts w:ascii="Times New Roman" w:eastAsia="Times New Roman" w:hAnsi="Times New Roman" w:cs="Times New Roman"/>
                <w:sz w:val="24"/>
                <w:szCs w:val="24"/>
              </w:rPr>
              <w:t>§61.13(f), §61.33(d)</w:t>
            </w:r>
          </w:p>
        </w:tc>
      </w:tr>
      <w:tr w14:paraId="0EE880DD" w14:textId="77777777" w:rsidTr="00110E1F">
        <w:tblPrEx>
          <w:tblW w:w="9360" w:type="dxa"/>
          <w:jc w:val="center"/>
          <w:tblLayout w:type="fixed"/>
          <w:tblCellMar>
            <w:left w:w="120" w:type="dxa"/>
            <w:right w:w="120" w:type="dxa"/>
          </w:tblCellMar>
          <w:tblLook w:val="0000"/>
        </w:tblPrEx>
        <w:trPr>
          <w:jc w:val="center"/>
        </w:trPr>
        <w:tc>
          <w:tcPr>
            <w:tcW w:w="7290" w:type="dxa"/>
            <w:gridSpan w:val="2"/>
            <w:tcBorders>
              <w:top w:val="single" w:sz="7" w:space="0" w:color="000000"/>
              <w:left w:val="single" w:sz="7" w:space="0" w:color="000000"/>
              <w:bottom w:val="single" w:sz="7" w:space="0" w:color="000000"/>
              <w:right w:val="single" w:sz="7" w:space="0" w:color="000000"/>
            </w:tcBorders>
          </w:tcPr>
          <w:p w:rsidR="008D0375" w:rsidRPr="008D0375" w:rsidP="008D0375" w14:paraId="26D4E04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sz w:val="24"/>
                <w:szCs w:val="24"/>
              </w:rPr>
            </w:pPr>
            <w:r w:rsidRPr="008D0375">
              <w:rPr>
                <w:rFonts w:ascii="Times New Roman" w:eastAsia="Times New Roman" w:hAnsi="Times New Roman" w:cs="Times New Roman"/>
                <w:sz w:val="24"/>
                <w:szCs w:val="24"/>
              </w:rPr>
              <w:t>Source status report for facilities complying by ambient monitoring, a monthly report of all measured beryllium concentrations shall be submitted to the administrator</w:t>
            </w:r>
          </w:p>
        </w:tc>
        <w:tc>
          <w:tcPr>
            <w:tcW w:w="2070" w:type="dxa"/>
            <w:tcBorders>
              <w:top w:val="single" w:sz="7" w:space="0" w:color="000000"/>
              <w:left w:val="single" w:sz="7" w:space="0" w:color="000000"/>
              <w:bottom w:val="single" w:sz="7" w:space="0" w:color="000000"/>
              <w:right w:val="single" w:sz="7" w:space="0" w:color="000000"/>
            </w:tcBorders>
          </w:tcPr>
          <w:p w:rsidR="008D0375" w:rsidRPr="008D0375" w:rsidP="008D0375" w14:paraId="4FABDA7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sz w:val="24"/>
                <w:szCs w:val="24"/>
              </w:rPr>
            </w:pPr>
            <w:r w:rsidRPr="008D0375">
              <w:rPr>
                <w:rFonts w:ascii="Times New Roman" w:eastAsia="Times New Roman" w:hAnsi="Times New Roman" w:cs="Times New Roman"/>
                <w:sz w:val="24"/>
                <w:szCs w:val="24"/>
              </w:rPr>
              <w:t>§61.10(a), §61.34(d)</w:t>
            </w:r>
          </w:p>
        </w:tc>
      </w:tr>
    </w:tbl>
    <w:p w:rsidR="008D0375" w:rsidP="008D0375" w14:paraId="23EA7647" w14:textId="613F301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D0375">
        <w:rPr>
          <w:rFonts w:cstheme="minorHAnsi"/>
          <w:color w:val="000000"/>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757137A2" w14:textId="77777777" w:rsidTr="00110E1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8D0375" w:rsidRPr="008D0375" w:rsidP="008D0375" w14:paraId="6D383551" w14:textId="77777777">
            <w:pPr>
              <w:widowControl w:val="0"/>
              <w:autoSpaceDE w:val="0"/>
              <w:autoSpaceDN w:val="0"/>
              <w:adjustRightInd w:val="0"/>
              <w:spacing w:after="0" w:line="120" w:lineRule="exact"/>
              <w:rPr>
                <w:rFonts w:ascii="Times New Roman" w:eastAsia="Times New Roman" w:hAnsi="Times New Roman" w:cs="Times New Roman"/>
                <w:sz w:val="24"/>
                <w:szCs w:val="24"/>
              </w:rPr>
            </w:pPr>
          </w:p>
          <w:p w:rsidR="008D0375" w:rsidRPr="008D0375" w:rsidP="008D0375" w14:paraId="2062480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jc w:val="center"/>
              <w:rPr>
                <w:rFonts w:ascii="Times New Roman" w:eastAsia="Times New Roman" w:hAnsi="Times New Roman" w:cs="Times New Roman"/>
                <w:b/>
                <w:sz w:val="24"/>
                <w:szCs w:val="24"/>
              </w:rPr>
            </w:pPr>
            <w:r w:rsidRPr="008D0375">
              <w:rPr>
                <w:rFonts w:ascii="Times New Roman" w:eastAsia="Times New Roman" w:hAnsi="Times New Roman" w:cs="Times New Roman"/>
                <w:b/>
                <w:sz w:val="24"/>
                <w:szCs w:val="24"/>
              </w:rPr>
              <w:t>Recordkeeping</w:t>
            </w:r>
          </w:p>
        </w:tc>
      </w:tr>
      <w:tr w14:paraId="43102E63" w14:textId="77777777" w:rsidTr="00110E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D0375" w:rsidRPr="008D0375" w:rsidP="008D0375" w14:paraId="137049E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sz w:val="24"/>
                <w:szCs w:val="24"/>
              </w:rPr>
            </w:pPr>
            <w:r w:rsidRPr="008D0375">
              <w:rPr>
                <w:rFonts w:ascii="Times New Roman" w:eastAsia="Times New Roman" w:hAnsi="Times New Roman" w:cs="Times New Roman"/>
                <w:sz w:val="24"/>
                <w:szCs w:val="24"/>
              </w:rPr>
              <w:t xml:space="preserve">Maintain records of monitoring data, monitoring system calibration checks, and any periods when the monitoring system is malfunctioning </w:t>
            </w:r>
            <w:r w:rsidRPr="008D0375">
              <w:rPr>
                <w:rFonts w:ascii="Times New Roman" w:eastAsia="Times New Roman" w:hAnsi="Times New Roman" w:cs="Times New Roman"/>
                <w:sz w:val="24"/>
                <w:szCs w:val="24"/>
              </w:rPr>
              <w:t>or inoperative for two years.</w:t>
            </w:r>
          </w:p>
        </w:tc>
        <w:tc>
          <w:tcPr>
            <w:tcW w:w="2250" w:type="dxa"/>
            <w:tcBorders>
              <w:top w:val="single" w:sz="7" w:space="0" w:color="000000"/>
              <w:left w:val="single" w:sz="7" w:space="0" w:color="000000"/>
              <w:bottom w:val="single" w:sz="7" w:space="0" w:color="000000"/>
              <w:right w:val="single" w:sz="7" w:space="0" w:color="000000"/>
            </w:tcBorders>
          </w:tcPr>
          <w:p w:rsidR="008D0375" w:rsidRPr="008D0375" w:rsidP="008D0375" w14:paraId="55D0B72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sz w:val="24"/>
                <w:szCs w:val="24"/>
              </w:rPr>
            </w:pPr>
            <w:r w:rsidRPr="008D0375">
              <w:rPr>
                <w:rFonts w:ascii="Times New Roman" w:eastAsia="Times New Roman" w:hAnsi="Times New Roman" w:cs="Times New Roman"/>
                <w:sz w:val="24"/>
                <w:szCs w:val="24"/>
              </w:rPr>
              <w:t>§61.14(f)</w:t>
            </w:r>
          </w:p>
        </w:tc>
      </w:tr>
      <w:tr w14:paraId="7240D524" w14:textId="77777777" w:rsidTr="00110E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D0375" w:rsidRPr="008D0375" w:rsidP="008D0375" w14:paraId="5ED05B2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sz w:val="24"/>
                <w:szCs w:val="24"/>
              </w:rPr>
            </w:pPr>
            <w:r w:rsidRPr="008D0375">
              <w:rPr>
                <w:rFonts w:ascii="Times New Roman" w:eastAsia="Times New Roman" w:hAnsi="Times New Roman" w:cs="Times New Roman"/>
                <w:sz w:val="24"/>
                <w:szCs w:val="24"/>
              </w:rPr>
              <w:t>Maintain records of emission test results and other data needed to determine emissions and air concentrations for two years</w:t>
            </w:r>
          </w:p>
        </w:tc>
        <w:tc>
          <w:tcPr>
            <w:tcW w:w="2250" w:type="dxa"/>
            <w:tcBorders>
              <w:top w:val="single" w:sz="7" w:space="0" w:color="000000"/>
              <w:left w:val="single" w:sz="7" w:space="0" w:color="000000"/>
              <w:bottom w:val="single" w:sz="7" w:space="0" w:color="000000"/>
              <w:right w:val="single" w:sz="7" w:space="0" w:color="000000"/>
            </w:tcBorders>
          </w:tcPr>
          <w:p w:rsidR="008D0375" w:rsidRPr="008D0375" w:rsidP="008D0375" w14:paraId="7A4633D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8" w:line="240" w:lineRule="auto"/>
              <w:rPr>
                <w:rFonts w:ascii="Times New Roman" w:eastAsia="Times New Roman" w:hAnsi="Times New Roman" w:cs="Times New Roman"/>
                <w:sz w:val="24"/>
                <w:szCs w:val="24"/>
              </w:rPr>
            </w:pPr>
            <w:r w:rsidRPr="008D0375">
              <w:rPr>
                <w:rFonts w:ascii="Times New Roman" w:eastAsia="Times New Roman" w:hAnsi="Times New Roman" w:cs="Times New Roman"/>
                <w:sz w:val="24"/>
                <w:szCs w:val="24"/>
              </w:rPr>
              <w:t>§61.13(g), §61.33(e), §61.34(c)</w:t>
            </w:r>
          </w:p>
        </w:tc>
      </w:tr>
    </w:tbl>
    <w:p w:rsidR="008D0375" w:rsidRPr="00BB3410" w:rsidP="008D0375" w14:paraId="192CB87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P="00854AAE" w14:paraId="55B345B7" w14:textId="77777777">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8" w:name="_Toc156593385"/>
      <w:bookmarkEnd w:id="17"/>
    </w:p>
    <w:p w:rsidR="008749DF" w:rsidP="00854AAE" w14:paraId="4EB1C560" w14:textId="7E3341AE">
      <w:pPr>
        <w:spacing w:before="120" w:after="0"/>
        <w:rPr>
          <w:rFonts w:cstheme="minorHAnsi"/>
        </w:rPr>
      </w:pPr>
      <w:r w:rsidRPr="000E4254">
        <w:rPr>
          <w:rFonts w:cstheme="minorHAnsi"/>
        </w:rPr>
        <w:t>The specific frequency for each information collection activity within this request is shown at the end of this document in Table 1: Annual Respondent Burden and Cost – NESHAP for Beryllium (40 CFR Part 61, Subpart C) (Renewal).</w:t>
      </w:r>
    </w:p>
    <w:p w:rsidR="000E4254" w:rsidRPr="000E4254" w:rsidP="00854AAE" w14:paraId="662DD095" w14:textId="77777777">
      <w:pPr>
        <w:spacing w:before="120" w:after="0"/>
        <w:rPr>
          <w:rFonts w:cstheme="minorHAnsi"/>
        </w:rPr>
      </w:pPr>
    </w:p>
    <w:tbl>
      <w:tblPr>
        <w:tblStyle w:val="TableGrid2"/>
        <w:tblW w:w="9445" w:type="dxa"/>
        <w:tblLook w:val="04A0"/>
      </w:tblPr>
      <w:tblGrid>
        <w:gridCol w:w="9445"/>
      </w:tblGrid>
      <w:tr w14:paraId="77FFB7E5" w14:textId="77777777" w:rsidTr="00110E1F">
        <w:tblPrEx>
          <w:tblW w:w="9445" w:type="dxa"/>
          <w:tblLook w:val="04A0"/>
        </w:tblPrEx>
        <w:trPr>
          <w:cantSplit/>
          <w:trHeight w:val="521"/>
          <w:tblHeader/>
        </w:trPr>
        <w:tc>
          <w:tcPr>
            <w:tcW w:w="9445" w:type="dxa"/>
          </w:tcPr>
          <w:p w:rsidR="008749DF" w:rsidRPr="008749DF" w:rsidP="008749DF" w14:paraId="24C6C1A6" w14:textId="77777777">
            <w:pPr>
              <w:widowControl w:val="0"/>
              <w:autoSpaceDE w:val="0"/>
              <w:autoSpaceDN w:val="0"/>
              <w:adjustRightInd w:val="0"/>
              <w:jc w:val="center"/>
              <w:outlineLvl w:val="0"/>
              <w:rPr>
                <w:b/>
                <w:bCs/>
                <w:color w:val="000000"/>
                <w:sz w:val="24"/>
                <w:szCs w:val="24"/>
              </w:rPr>
            </w:pPr>
            <w:r w:rsidRPr="008749DF">
              <w:rPr>
                <w:b/>
                <w:bCs/>
                <w:color w:val="000000"/>
                <w:sz w:val="24"/>
                <w:szCs w:val="24"/>
              </w:rPr>
              <w:t>Respondent Activities</w:t>
            </w:r>
          </w:p>
        </w:tc>
      </w:tr>
      <w:tr w14:paraId="0C734D99" w14:textId="77777777" w:rsidTr="00110E1F">
        <w:tblPrEx>
          <w:tblW w:w="9445" w:type="dxa"/>
          <w:tblLook w:val="04A0"/>
        </w:tblPrEx>
        <w:trPr>
          <w:trHeight w:val="432"/>
        </w:trPr>
        <w:tc>
          <w:tcPr>
            <w:tcW w:w="9445" w:type="dxa"/>
            <w:vAlign w:val="center"/>
          </w:tcPr>
          <w:p w:rsidR="008749DF" w:rsidRPr="008749DF" w:rsidP="008749DF" w14:paraId="283ECE0B" w14:textId="77777777">
            <w:pPr>
              <w:widowControl w:val="0"/>
              <w:autoSpaceDE w:val="0"/>
              <w:autoSpaceDN w:val="0"/>
              <w:adjustRightInd w:val="0"/>
              <w:outlineLvl w:val="0"/>
              <w:rPr>
                <w:color w:val="000000"/>
                <w:sz w:val="24"/>
                <w:szCs w:val="24"/>
              </w:rPr>
            </w:pPr>
            <w:r w:rsidRPr="008749DF">
              <w:rPr>
                <w:sz w:val="24"/>
                <w:szCs w:val="24"/>
              </w:rPr>
              <w:t>Familiarization with the regulatory requirements.</w:t>
            </w:r>
          </w:p>
        </w:tc>
      </w:tr>
      <w:tr w14:paraId="0C14A27B" w14:textId="77777777" w:rsidTr="00110E1F">
        <w:tblPrEx>
          <w:tblW w:w="9445" w:type="dxa"/>
          <w:tblLook w:val="04A0"/>
        </w:tblPrEx>
        <w:trPr>
          <w:trHeight w:val="719"/>
        </w:trPr>
        <w:tc>
          <w:tcPr>
            <w:tcW w:w="9445" w:type="dxa"/>
          </w:tcPr>
          <w:p w:rsidR="008749DF" w:rsidRPr="008749DF" w:rsidP="008749DF" w14:paraId="3E7492A4" w14:textId="77777777">
            <w:pPr>
              <w:keepNext/>
              <w:keepLines/>
              <w:widowControl w:val="0"/>
              <w:autoSpaceDE w:val="0"/>
              <w:autoSpaceDN w:val="0"/>
              <w:adjustRightInd w:val="0"/>
              <w:spacing w:line="120" w:lineRule="exact"/>
              <w:rPr>
                <w:sz w:val="24"/>
                <w:szCs w:val="24"/>
              </w:rPr>
            </w:pPr>
          </w:p>
          <w:p w:rsidR="008749DF" w:rsidRPr="008749DF" w:rsidP="008749DF" w14:paraId="192A6FED" w14:textId="77777777">
            <w:pPr>
              <w:widowControl w:val="0"/>
              <w:autoSpaceDE w:val="0"/>
              <w:autoSpaceDN w:val="0"/>
              <w:adjustRightInd w:val="0"/>
              <w:outlineLvl w:val="0"/>
              <w:rPr>
                <w:color w:val="000000"/>
                <w:sz w:val="24"/>
                <w:szCs w:val="24"/>
              </w:rPr>
            </w:pPr>
            <w:r w:rsidRPr="008749DF">
              <w:rPr>
                <w:sz w:val="24"/>
                <w:szCs w:val="24"/>
              </w:rPr>
              <w:t>For facilities that have elected to comply with an alternative ambient air quality limit, install, calibrate, maintain, and operate a continuous monitor in the vicinity of the affected facility to measure beryllium concentrations.</w:t>
            </w:r>
          </w:p>
        </w:tc>
      </w:tr>
      <w:tr w14:paraId="5617B927" w14:textId="77777777" w:rsidTr="00110E1F">
        <w:tblPrEx>
          <w:tblW w:w="9445" w:type="dxa"/>
          <w:tblLook w:val="04A0"/>
        </w:tblPrEx>
        <w:trPr>
          <w:trHeight w:val="701"/>
        </w:trPr>
        <w:tc>
          <w:tcPr>
            <w:tcW w:w="9445" w:type="dxa"/>
          </w:tcPr>
          <w:p w:rsidR="008749DF" w:rsidRPr="008749DF" w:rsidP="008749DF" w14:paraId="0EA9F1D3" w14:textId="77777777">
            <w:pPr>
              <w:keepNext/>
              <w:keepLines/>
              <w:widowControl w:val="0"/>
              <w:autoSpaceDE w:val="0"/>
              <w:autoSpaceDN w:val="0"/>
              <w:adjustRightInd w:val="0"/>
              <w:spacing w:line="120" w:lineRule="exact"/>
              <w:rPr>
                <w:sz w:val="24"/>
                <w:szCs w:val="24"/>
              </w:rPr>
            </w:pPr>
          </w:p>
          <w:p w:rsidR="008749DF" w:rsidRPr="008749DF" w:rsidP="008749DF" w14:paraId="28AED46A" w14:textId="77777777">
            <w:pPr>
              <w:widowControl w:val="0"/>
              <w:autoSpaceDE w:val="0"/>
              <w:autoSpaceDN w:val="0"/>
              <w:adjustRightInd w:val="0"/>
              <w:outlineLvl w:val="0"/>
              <w:rPr>
                <w:color w:val="000000"/>
                <w:sz w:val="24"/>
                <w:szCs w:val="24"/>
              </w:rPr>
            </w:pPr>
            <w:r w:rsidRPr="008749DF">
              <w:rPr>
                <w:sz w:val="24"/>
                <w:szCs w:val="24"/>
              </w:rPr>
              <w:t>For facilities complying by ambient monitoring, perform emission testing to determine beryllium emissions to the atmosphere according to Method 104 or Method 103 (an alternative method needing approval) of appendix B to Part 61 or Method 29 of Part 60.</w:t>
            </w:r>
          </w:p>
        </w:tc>
      </w:tr>
      <w:tr w14:paraId="5C7B923F" w14:textId="77777777" w:rsidTr="00110E1F">
        <w:tblPrEx>
          <w:tblW w:w="9445" w:type="dxa"/>
          <w:tblLook w:val="04A0"/>
        </w:tblPrEx>
        <w:trPr>
          <w:trHeight w:val="432"/>
        </w:trPr>
        <w:tc>
          <w:tcPr>
            <w:tcW w:w="9445" w:type="dxa"/>
            <w:vAlign w:val="center"/>
          </w:tcPr>
          <w:p w:rsidR="008749DF" w:rsidRPr="008749DF" w:rsidP="008749DF" w14:paraId="6726F46B" w14:textId="77777777">
            <w:pPr>
              <w:widowControl w:val="0"/>
              <w:autoSpaceDE w:val="0"/>
              <w:autoSpaceDN w:val="0"/>
              <w:adjustRightInd w:val="0"/>
              <w:outlineLvl w:val="0"/>
              <w:rPr>
                <w:color w:val="000000"/>
                <w:sz w:val="24"/>
                <w:szCs w:val="24"/>
              </w:rPr>
            </w:pPr>
            <w:r w:rsidRPr="008749DF">
              <w:rPr>
                <w:sz w:val="24"/>
                <w:szCs w:val="24"/>
              </w:rPr>
              <w:t>Write the notifications and reports listed above.</w:t>
            </w:r>
          </w:p>
        </w:tc>
      </w:tr>
      <w:tr w14:paraId="0B6B62F0" w14:textId="77777777" w:rsidTr="00110E1F">
        <w:tblPrEx>
          <w:tblW w:w="9445" w:type="dxa"/>
          <w:tblLook w:val="04A0"/>
        </w:tblPrEx>
        <w:trPr>
          <w:trHeight w:val="432"/>
        </w:trPr>
        <w:tc>
          <w:tcPr>
            <w:tcW w:w="9445" w:type="dxa"/>
            <w:vAlign w:val="center"/>
          </w:tcPr>
          <w:p w:rsidR="008749DF" w:rsidRPr="008749DF" w:rsidP="008749DF" w14:paraId="0BA671E0" w14:textId="77777777">
            <w:pPr>
              <w:widowControl w:val="0"/>
              <w:autoSpaceDE w:val="0"/>
              <w:autoSpaceDN w:val="0"/>
              <w:adjustRightInd w:val="0"/>
              <w:outlineLvl w:val="0"/>
              <w:rPr>
                <w:color w:val="000000"/>
                <w:sz w:val="24"/>
                <w:szCs w:val="24"/>
              </w:rPr>
            </w:pPr>
            <w:r w:rsidRPr="008749DF">
              <w:rPr>
                <w:sz w:val="24"/>
                <w:szCs w:val="24"/>
              </w:rPr>
              <w:t>Enter information required to be recorded above.</w:t>
            </w:r>
          </w:p>
        </w:tc>
      </w:tr>
      <w:tr w14:paraId="12E2121D" w14:textId="77777777" w:rsidTr="00110E1F">
        <w:tblPrEx>
          <w:tblW w:w="9445" w:type="dxa"/>
          <w:tblLook w:val="04A0"/>
        </w:tblPrEx>
        <w:trPr>
          <w:trHeight w:val="692"/>
        </w:trPr>
        <w:tc>
          <w:tcPr>
            <w:tcW w:w="9445" w:type="dxa"/>
            <w:vAlign w:val="center"/>
          </w:tcPr>
          <w:p w:rsidR="008749DF" w:rsidRPr="008749DF" w:rsidP="008749DF" w14:paraId="31BF4C62" w14:textId="77777777">
            <w:pPr>
              <w:widowControl w:val="0"/>
              <w:autoSpaceDE w:val="0"/>
              <w:autoSpaceDN w:val="0"/>
              <w:adjustRightInd w:val="0"/>
              <w:outlineLvl w:val="0"/>
              <w:rPr>
                <w:color w:val="000000"/>
                <w:sz w:val="24"/>
                <w:szCs w:val="24"/>
              </w:rPr>
            </w:pPr>
            <w:r w:rsidRPr="008749DF">
              <w:rPr>
                <w:sz w:val="24"/>
                <w:szCs w:val="24"/>
              </w:rPr>
              <w:t>Submit the required reports developing, acquiring, installing, and utilizing technology and systems for collecting, validating, and verifying information.</w:t>
            </w:r>
          </w:p>
        </w:tc>
      </w:tr>
      <w:tr w14:paraId="2060A7CF" w14:textId="77777777" w:rsidTr="00110E1F">
        <w:tblPrEx>
          <w:tblW w:w="9445" w:type="dxa"/>
          <w:tblLook w:val="04A0"/>
        </w:tblPrEx>
        <w:trPr>
          <w:trHeight w:val="764"/>
        </w:trPr>
        <w:tc>
          <w:tcPr>
            <w:tcW w:w="9445" w:type="dxa"/>
            <w:vAlign w:val="center"/>
          </w:tcPr>
          <w:p w:rsidR="008749DF" w:rsidRPr="008749DF" w:rsidP="008749DF" w14:paraId="05DD9318" w14:textId="77777777">
            <w:pPr>
              <w:widowControl w:val="0"/>
              <w:autoSpaceDE w:val="0"/>
              <w:autoSpaceDN w:val="0"/>
              <w:adjustRightInd w:val="0"/>
              <w:outlineLvl w:val="0"/>
              <w:rPr>
                <w:color w:val="000000"/>
                <w:sz w:val="24"/>
                <w:szCs w:val="24"/>
              </w:rPr>
            </w:pPr>
            <w:r w:rsidRPr="008749DF">
              <w:rPr>
                <w:sz w:val="24"/>
                <w:szCs w:val="24"/>
              </w:rPr>
              <w:t>Develop, acquire, install, and utilize technology and systems for processing and maintaining information.</w:t>
            </w:r>
          </w:p>
        </w:tc>
      </w:tr>
      <w:tr w14:paraId="588C49C0" w14:textId="77777777" w:rsidTr="00110E1F">
        <w:tblPrEx>
          <w:tblW w:w="9445" w:type="dxa"/>
          <w:tblLook w:val="04A0"/>
        </w:tblPrEx>
        <w:trPr>
          <w:trHeight w:val="728"/>
        </w:trPr>
        <w:tc>
          <w:tcPr>
            <w:tcW w:w="9445" w:type="dxa"/>
            <w:vAlign w:val="center"/>
          </w:tcPr>
          <w:p w:rsidR="008749DF" w:rsidRPr="008749DF" w:rsidP="008749DF" w14:paraId="37126A7F" w14:textId="77777777">
            <w:pPr>
              <w:widowControl w:val="0"/>
              <w:autoSpaceDE w:val="0"/>
              <w:autoSpaceDN w:val="0"/>
              <w:adjustRightInd w:val="0"/>
              <w:outlineLvl w:val="0"/>
              <w:rPr>
                <w:color w:val="000000"/>
                <w:sz w:val="24"/>
                <w:szCs w:val="24"/>
              </w:rPr>
            </w:pPr>
            <w:r w:rsidRPr="008749DF">
              <w:rPr>
                <w:sz w:val="24"/>
                <w:szCs w:val="24"/>
              </w:rPr>
              <w:t>Develop, acquire, install, and utilize technology and systems for disclosing and providing information.</w:t>
            </w:r>
          </w:p>
        </w:tc>
      </w:tr>
      <w:tr w14:paraId="371FD86F" w14:textId="77777777" w:rsidTr="00110E1F">
        <w:tblPrEx>
          <w:tblW w:w="9445" w:type="dxa"/>
          <w:tblLook w:val="04A0"/>
        </w:tblPrEx>
        <w:trPr>
          <w:trHeight w:val="432"/>
        </w:trPr>
        <w:tc>
          <w:tcPr>
            <w:tcW w:w="9445" w:type="dxa"/>
            <w:vAlign w:val="center"/>
          </w:tcPr>
          <w:p w:rsidR="008749DF" w:rsidRPr="008749DF" w:rsidP="008749DF" w14:paraId="18F62CC2" w14:textId="77777777">
            <w:pPr>
              <w:widowControl w:val="0"/>
              <w:autoSpaceDE w:val="0"/>
              <w:autoSpaceDN w:val="0"/>
              <w:adjustRightInd w:val="0"/>
              <w:outlineLvl w:val="0"/>
              <w:rPr>
                <w:color w:val="000000"/>
                <w:sz w:val="24"/>
                <w:szCs w:val="24"/>
              </w:rPr>
            </w:pPr>
            <w:r w:rsidRPr="008749DF">
              <w:rPr>
                <w:sz w:val="24"/>
                <w:szCs w:val="24"/>
              </w:rPr>
              <w:t>Train personnel to be able to respond to a collection of information.</w:t>
            </w:r>
          </w:p>
        </w:tc>
      </w:tr>
      <w:tr w14:paraId="438510A7" w14:textId="77777777" w:rsidTr="00110E1F">
        <w:tblPrEx>
          <w:tblW w:w="9445" w:type="dxa"/>
          <w:tblLook w:val="04A0"/>
        </w:tblPrEx>
        <w:trPr>
          <w:trHeight w:val="432"/>
        </w:trPr>
        <w:tc>
          <w:tcPr>
            <w:tcW w:w="9445" w:type="dxa"/>
          </w:tcPr>
          <w:p w:rsidR="008749DF" w:rsidRPr="008749DF" w:rsidP="008749DF" w14:paraId="5BBED883" w14:textId="77777777">
            <w:pPr>
              <w:widowControl w:val="0"/>
              <w:autoSpaceDE w:val="0"/>
              <w:autoSpaceDN w:val="0"/>
              <w:adjustRightInd w:val="0"/>
              <w:outlineLvl w:val="0"/>
              <w:rPr>
                <w:color w:val="000000"/>
                <w:sz w:val="24"/>
                <w:szCs w:val="24"/>
              </w:rPr>
            </w:pPr>
            <w:r w:rsidRPr="008749DF">
              <w:rPr>
                <w:sz w:val="24"/>
                <w:szCs w:val="24"/>
              </w:rPr>
              <w:t>Transmit, or otherwise disclose the information.</w:t>
            </w:r>
          </w:p>
        </w:tc>
      </w:tr>
    </w:tbl>
    <w:p w:rsidR="009F1E00" w:rsidRPr="00BB3410" w:rsidP="00854AAE" w14:paraId="598655BF" w14:textId="5781AC95">
      <w:pPr>
        <w:spacing w:before="60"/>
        <w:rPr>
          <w:rFonts w:cstheme="minorHAnsi"/>
        </w:rPr>
      </w:pPr>
    </w:p>
    <w:p w:rsidR="00D92ED6" w:rsidRPr="00163C69" w:rsidP="00854AAE" w14:paraId="1194592E" w14:textId="77777777">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8"/>
      <w:r w:rsidRPr="00163C69" w:rsidR="00BB2B15">
        <w:rPr>
          <w:rFonts w:cstheme="minorHAnsi"/>
          <w:b/>
          <w:bCs/>
        </w:rPr>
        <w:t>Costs</w:t>
      </w:r>
    </w:p>
    <w:p w:rsidR="00ED57A4" w:rsidP="00854AAE" w14:paraId="032DF68F" w14:textId="1ED97615">
      <w:pPr>
        <w:spacing w:before="60"/>
        <w:rPr>
          <w:rFonts w:cstheme="minorHAnsi"/>
          <w:color w:val="000000"/>
        </w:rPr>
      </w:pPr>
      <w:r w:rsidRPr="00286FDD">
        <w:rPr>
          <w:rFonts w:cstheme="minorHAnsi"/>
          <w:color w:val="000000"/>
        </w:rPr>
        <w:t xml:space="preserve">The average annual burden to industry over the next three years from these recordkeeping and reporting requirements is estimated to be 2,670 (Total Labor Hours from Table 1). These hours are based on Agency studies and background documents from the development of the regulation, Agency </w:t>
      </w:r>
      <w:r w:rsidRPr="00286FDD">
        <w:rPr>
          <w:rFonts w:cstheme="minorHAnsi"/>
          <w:color w:val="000000"/>
        </w:rPr>
        <w:t>knowledge and experience with the NESHAP program, the previously approved ICR, and any comments received.</w:t>
      </w:r>
    </w:p>
    <w:p w:rsidR="00286FDD" w:rsidRPr="00286FDD" w:rsidP="00286FDD" w14:paraId="6AB212ED" w14:textId="67D74ED5">
      <w:pPr>
        <w:spacing w:before="60"/>
        <w:rPr>
          <w:rFonts w:cstheme="minorHAnsi"/>
        </w:rPr>
      </w:pPr>
      <w:r w:rsidRPr="00286FDD">
        <w:rPr>
          <w:rFonts w:cstheme="minorHAnsi"/>
        </w:rPr>
        <w:t xml:space="preserve">This ICR uses the following labor rates: </w:t>
      </w:r>
    </w:p>
    <w:p w:rsidR="00286FDD" w:rsidRPr="00286FDD" w:rsidP="00286FDD" w14:paraId="4C8D01A3" w14:textId="77777777">
      <w:pPr>
        <w:pStyle w:val="ListParagraph"/>
        <w:numPr>
          <w:ilvl w:val="0"/>
          <w:numId w:val="28"/>
        </w:numPr>
        <w:spacing w:before="60"/>
        <w:rPr>
          <w:rFonts w:cstheme="minorHAnsi"/>
        </w:rPr>
      </w:pPr>
      <w:r w:rsidRPr="00286FDD">
        <w:rPr>
          <w:rFonts w:cstheme="minorHAnsi"/>
        </w:rPr>
        <w:t>Managerial</w:t>
      </w:r>
      <w:r w:rsidRPr="00286FDD">
        <w:rPr>
          <w:rFonts w:cstheme="minorHAnsi"/>
        </w:rPr>
        <w:tab/>
        <w:t>$163.17 ($77.70 + 110%)</w:t>
      </w:r>
    </w:p>
    <w:p w:rsidR="00286FDD" w:rsidRPr="00286FDD" w:rsidP="00286FDD" w14:paraId="5884A780" w14:textId="77777777">
      <w:pPr>
        <w:pStyle w:val="ListParagraph"/>
        <w:numPr>
          <w:ilvl w:val="0"/>
          <w:numId w:val="28"/>
        </w:numPr>
        <w:spacing w:before="60"/>
        <w:rPr>
          <w:rFonts w:cstheme="minorHAnsi"/>
        </w:rPr>
      </w:pPr>
      <w:r w:rsidRPr="00286FDD">
        <w:rPr>
          <w:rFonts w:cstheme="minorHAnsi"/>
        </w:rPr>
        <w:t>Technical</w:t>
      </w:r>
      <w:r w:rsidRPr="00286FDD">
        <w:rPr>
          <w:rFonts w:cstheme="minorHAnsi"/>
        </w:rPr>
        <w:tab/>
        <w:t>$130.28 ($62.04 + 110%)</w:t>
      </w:r>
    </w:p>
    <w:p w:rsidR="00286FDD" w:rsidRPr="00286FDD" w:rsidP="00286FDD" w14:paraId="4030B8D6" w14:textId="1AECFEE3">
      <w:pPr>
        <w:pStyle w:val="ListParagraph"/>
        <w:numPr>
          <w:ilvl w:val="0"/>
          <w:numId w:val="28"/>
        </w:numPr>
        <w:spacing w:before="60"/>
        <w:rPr>
          <w:rFonts w:cstheme="minorHAnsi"/>
        </w:rPr>
      </w:pPr>
      <w:r w:rsidRPr="00286FDD">
        <w:rPr>
          <w:rFonts w:cstheme="minorHAnsi"/>
        </w:rPr>
        <w:t>Clerical</w:t>
      </w:r>
      <w:r w:rsidRPr="00286FDD">
        <w:rPr>
          <w:rFonts w:cstheme="minorHAnsi"/>
        </w:rPr>
        <w:tab/>
      </w:r>
      <w:r>
        <w:rPr>
          <w:rFonts w:cstheme="minorHAnsi"/>
        </w:rPr>
        <w:tab/>
      </w:r>
      <w:r w:rsidRPr="00286FDD">
        <w:rPr>
          <w:rFonts w:cstheme="minorHAnsi"/>
        </w:rPr>
        <w:t>$65.71 ($31.29 + 110%)</w:t>
      </w:r>
    </w:p>
    <w:p w:rsidR="00286FDD" w:rsidP="00286FDD" w14:paraId="18EFD7F7" w14:textId="282FC947">
      <w:pPr>
        <w:spacing w:before="60"/>
        <w:rPr>
          <w:rFonts w:cstheme="minorHAnsi"/>
        </w:rPr>
      </w:pPr>
      <w:r w:rsidRPr="00286FDD">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286FDD" w:rsidP="00286FDD" w14:paraId="5B629F98" w14:textId="09552FC4">
      <w:pPr>
        <w:spacing w:before="60"/>
        <w:rPr>
          <w:rFonts w:cstheme="minorHAnsi"/>
        </w:rPr>
      </w:pPr>
      <w:r w:rsidRPr="00286FDD">
        <w:rPr>
          <w:rFonts w:cstheme="minorHAnsi"/>
        </w:rPr>
        <w:t>The total annual labor costs are $336,000. Details regarding these estimates may be found at the end of this document in Table 1: Annual Respondent Burden and Cost – NESHAP for Beryllium (40 CFR Part 61, Subpart C) (Renewal).</w:t>
      </w:r>
    </w:p>
    <w:p w:rsidR="00286FDD" w:rsidRPr="00286FDD" w:rsidP="00286FDD" w14:paraId="2BA8FF4C" w14:textId="2AD840A8">
      <w:pPr>
        <w:spacing w:before="60"/>
        <w:rPr>
          <w:rFonts w:cstheme="minorHAnsi"/>
        </w:rPr>
      </w:pPr>
      <w:r w:rsidRPr="00286FDD">
        <w:rPr>
          <w:rFonts w:cstheme="minorHAnsi"/>
        </w:rPr>
        <w:t xml:space="preserve">The total annual labor hours are 2,670. Details regarding these estimates may be found in Table 1: Annual Respondent Burden and Cost – NESHAP for Beryllium (40 CFR Part 61, Subpart C) (Renewal). </w:t>
      </w:r>
    </w:p>
    <w:p w:rsidR="00286FDD" w:rsidRPr="00286FDD" w:rsidP="00286FDD" w14:paraId="544762FD" w14:textId="5F8A8802">
      <w:pPr>
        <w:spacing w:before="60"/>
        <w:rPr>
          <w:rFonts w:cstheme="minorHAnsi"/>
        </w:rPr>
      </w:pPr>
      <w:r w:rsidRPr="00286FDD">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15586BF2" w14:textId="77777777">
      <w:pPr>
        <w:pStyle w:val="ListParagraph"/>
        <w:numPr>
          <w:ilvl w:val="0"/>
          <w:numId w:val="25"/>
        </w:numPr>
        <w:spacing w:before="240" w:after="0"/>
        <w:rPr>
          <w:rFonts w:cstheme="minorHAnsi"/>
          <w:b/>
          <w:bCs/>
          <w:caps/>
        </w:rPr>
      </w:pPr>
      <w:bookmarkStart w:id="19"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19"/>
      <w:r w:rsidRPr="4BDBF0A0" w:rsidR="004E3CB0">
        <w:rPr>
          <w:b/>
          <w:bCs/>
          <w:caps/>
        </w:rPr>
        <w:t xml:space="preserve"> </w:t>
      </w:r>
    </w:p>
    <w:p w:rsidR="00F92596" w:rsidRPr="00F92596" w:rsidP="00F92596" w14:paraId="7C31EBE5"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22339DE3"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313CE44F"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080F722F"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39C337D"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64F49" w:rsidP="00286FDD" w14:paraId="755B021E" w14:textId="79883E74">
      <w:pPr>
        <w:pBdr>
          <w:top w:val="single" w:sz="6" w:space="0" w:color="FFFFFF"/>
          <w:left w:val="single" w:sz="6" w:space="0" w:color="FFFFFF"/>
          <w:bottom w:val="single" w:sz="6" w:space="0" w:color="FFFFFF"/>
          <w:right w:val="single" w:sz="6" w:space="0" w:color="FFFFFF"/>
        </w:pBdr>
        <w:rPr>
          <w:rFonts w:cstheme="minorHAnsi"/>
          <w:color w:val="000000"/>
        </w:rPr>
      </w:pPr>
      <w:r w:rsidRPr="00164F49">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tbl>
      <w:tblPr>
        <w:tblW w:w="9420" w:type="dxa"/>
        <w:tblInd w:w="111" w:type="dxa"/>
        <w:tblLayout w:type="fixed"/>
        <w:tblCellMar>
          <w:left w:w="111" w:type="dxa"/>
          <w:right w:w="111" w:type="dxa"/>
        </w:tblCellMar>
        <w:tblLook w:val="0000"/>
      </w:tblPr>
      <w:tblGrid>
        <w:gridCol w:w="1590"/>
        <w:gridCol w:w="1530"/>
        <w:gridCol w:w="1260"/>
        <w:gridCol w:w="1440"/>
        <w:gridCol w:w="1350"/>
        <w:gridCol w:w="1260"/>
        <w:gridCol w:w="990"/>
      </w:tblGrid>
      <w:tr w14:paraId="6FA62583" w14:textId="77777777" w:rsidTr="00110E1F">
        <w:tblPrEx>
          <w:tblW w:w="9420" w:type="dxa"/>
          <w:tblInd w:w="111" w:type="dxa"/>
          <w:tblLayout w:type="fixed"/>
          <w:tblCellMar>
            <w:left w:w="111" w:type="dxa"/>
            <w:right w:w="111" w:type="dxa"/>
          </w:tblCellMar>
          <w:tblLook w:val="0000"/>
        </w:tblPrEx>
        <w:trPr>
          <w:tblHeader/>
        </w:trPr>
        <w:tc>
          <w:tcPr>
            <w:tcW w:w="9420" w:type="dxa"/>
            <w:gridSpan w:val="7"/>
            <w:tcBorders>
              <w:top w:val="single" w:sz="7" w:space="0" w:color="000000"/>
              <w:left w:val="single" w:sz="7" w:space="0" w:color="000000"/>
              <w:bottom w:val="single" w:sz="6" w:space="0" w:color="FFFFFF"/>
              <w:right w:val="single" w:sz="7" w:space="0" w:color="000000"/>
            </w:tcBorders>
          </w:tcPr>
          <w:p w:rsidR="00164F49" w:rsidRPr="00164F49" w:rsidP="00164F49" w14:paraId="4036E793" w14:textId="77777777">
            <w:pPr>
              <w:widowControl w:val="0"/>
              <w:autoSpaceDE w:val="0"/>
              <w:autoSpaceDN w:val="0"/>
              <w:adjustRightInd w:val="0"/>
              <w:spacing w:after="0" w:line="120" w:lineRule="exact"/>
              <w:rPr>
                <w:rFonts w:ascii="Times New Roman" w:eastAsia="Times New Roman" w:hAnsi="Times New Roman" w:cs="Times New Roman"/>
                <w:sz w:val="24"/>
                <w:szCs w:val="24"/>
              </w:rPr>
            </w:pPr>
          </w:p>
          <w:p w:rsidR="00164F49" w:rsidRPr="00164F49" w:rsidP="00164F49" w14:paraId="155EC48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b/>
                <w:bCs/>
                <w:sz w:val="24"/>
                <w:szCs w:val="24"/>
              </w:rPr>
            </w:pPr>
            <w:r w:rsidRPr="00164F49">
              <w:rPr>
                <w:rFonts w:ascii="Times New Roman" w:eastAsia="Times New Roman" w:hAnsi="Times New Roman" w:cs="Times New Roman"/>
                <w:b/>
                <w:bCs/>
                <w:sz w:val="24"/>
                <w:szCs w:val="24"/>
              </w:rPr>
              <w:t>Capital/Startup vs. Operation and Maintenance (O&amp;M) Costs</w:t>
            </w:r>
          </w:p>
        </w:tc>
      </w:tr>
      <w:tr w14:paraId="711E8573" w14:textId="77777777" w:rsidTr="00110E1F">
        <w:tblPrEx>
          <w:tblW w:w="9420" w:type="dxa"/>
          <w:tblInd w:w="111" w:type="dxa"/>
          <w:tblLayout w:type="fixed"/>
          <w:tblCellMar>
            <w:left w:w="111" w:type="dxa"/>
            <w:right w:w="111" w:type="dxa"/>
          </w:tblCellMar>
          <w:tblLook w:val="0000"/>
        </w:tblPrEx>
        <w:tc>
          <w:tcPr>
            <w:tcW w:w="1590" w:type="dxa"/>
            <w:tcBorders>
              <w:top w:val="single" w:sz="7" w:space="0" w:color="000000"/>
              <w:left w:val="single" w:sz="7" w:space="0" w:color="000000"/>
              <w:bottom w:val="single" w:sz="6" w:space="0" w:color="FFFFFF"/>
              <w:right w:val="single" w:sz="6" w:space="0" w:color="FFFFFF"/>
            </w:tcBorders>
            <w:vAlign w:val="center"/>
          </w:tcPr>
          <w:p w:rsidR="00164F49" w:rsidRPr="00164F49" w:rsidP="00164F49" w14:paraId="53FA14D0" w14:textId="77777777">
            <w:pPr>
              <w:widowControl w:val="0"/>
              <w:autoSpaceDE w:val="0"/>
              <w:autoSpaceDN w:val="0"/>
              <w:adjustRightInd w:val="0"/>
              <w:spacing w:after="0" w:line="120" w:lineRule="exact"/>
              <w:jc w:val="center"/>
              <w:rPr>
                <w:rFonts w:ascii="Times New Roman" w:eastAsia="Times New Roman" w:hAnsi="Times New Roman" w:cs="Times New Roman"/>
                <w:b/>
                <w:bCs/>
                <w:sz w:val="24"/>
                <w:szCs w:val="24"/>
              </w:rPr>
            </w:pPr>
          </w:p>
          <w:p w:rsidR="00164F49" w:rsidRPr="00164F49" w:rsidP="00164F49" w14:paraId="3BFD641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sz w:val="20"/>
                <w:szCs w:val="20"/>
              </w:rPr>
              <w:t>(A)</w:t>
            </w:r>
          </w:p>
          <w:p w:rsidR="00164F49" w:rsidRPr="00164F49" w:rsidP="00164F49" w14:paraId="02F5180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sz w:val="20"/>
                <w:szCs w:val="20"/>
              </w:rPr>
              <w:t>Continuous Monitoring Device</w:t>
            </w:r>
          </w:p>
        </w:tc>
        <w:tc>
          <w:tcPr>
            <w:tcW w:w="1530" w:type="dxa"/>
            <w:tcBorders>
              <w:top w:val="single" w:sz="7" w:space="0" w:color="000000"/>
              <w:left w:val="single" w:sz="7" w:space="0" w:color="000000"/>
              <w:bottom w:val="single" w:sz="6" w:space="0" w:color="FFFFFF"/>
              <w:right w:val="single" w:sz="6" w:space="0" w:color="FFFFFF"/>
            </w:tcBorders>
            <w:vAlign w:val="center"/>
          </w:tcPr>
          <w:p w:rsidR="00164F49" w:rsidRPr="00164F49" w:rsidP="00164F49" w14:paraId="0FA87AD3" w14:textId="7777777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64F49" w:rsidRPr="00164F49" w:rsidP="00164F49" w14:paraId="4D7CAAC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sz w:val="20"/>
                <w:szCs w:val="20"/>
              </w:rPr>
              <w:t>(B)</w:t>
            </w:r>
          </w:p>
          <w:p w:rsidR="00164F49" w:rsidRPr="00164F49" w:rsidP="00164F49" w14:paraId="42B1432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rsidR="00164F49" w:rsidRPr="00164F49" w:rsidP="00164F49" w14:paraId="256A105A" w14:textId="7777777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64F49" w:rsidRPr="00164F49" w:rsidP="00164F49" w14:paraId="710216B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sz w:val="20"/>
                <w:szCs w:val="20"/>
              </w:rPr>
              <w:t>(C)</w:t>
            </w:r>
          </w:p>
          <w:p w:rsidR="00164F49" w:rsidRPr="00164F49" w:rsidP="00164F49" w14:paraId="782EA2B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vAlign w:val="center"/>
          </w:tcPr>
          <w:p w:rsidR="00164F49" w:rsidRPr="00164F49" w:rsidP="00164F49" w14:paraId="3025AC96" w14:textId="7777777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64F49" w:rsidRPr="00164F49" w:rsidP="00164F49" w14:paraId="305AC97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sz w:val="20"/>
                <w:szCs w:val="20"/>
              </w:rPr>
              <w:t>(D)</w:t>
            </w:r>
          </w:p>
          <w:p w:rsidR="00164F49" w:rsidRPr="00164F49" w:rsidP="00164F49" w14:paraId="25EEAA7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vAlign w:val="center"/>
          </w:tcPr>
          <w:p w:rsidR="00164F49" w:rsidRPr="00164F49" w:rsidP="00164F49" w14:paraId="500DD2AC" w14:textId="7777777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64F49" w:rsidRPr="00164F49" w:rsidP="00164F49" w14:paraId="3D57E29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sz w:val="20"/>
                <w:szCs w:val="20"/>
              </w:rPr>
              <w:t>(E)</w:t>
            </w:r>
          </w:p>
          <w:p w:rsidR="00164F49" w:rsidRPr="00164F49" w:rsidP="00164F49" w14:paraId="6F9D312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rsidR="00164F49" w:rsidRPr="00164F49" w:rsidP="00164F49" w14:paraId="7C73344D" w14:textId="7777777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64F49" w:rsidRPr="00164F49" w:rsidP="00164F49" w14:paraId="6AAA627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sz w:val="20"/>
                <w:szCs w:val="20"/>
              </w:rPr>
              <w:t>(F)</w:t>
            </w:r>
          </w:p>
          <w:p w:rsidR="00164F49" w:rsidRPr="00164F49" w:rsidP="00164F49" w14:paraId="25911A4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sz w:val="20"/>
                <w:szCs w:val="20"/>
              </w:rPr>
              <w:t>Number of Respondents with O&amp;M</w:t>
            </w:r>
            <w:r w:rsidRPr="00164F49">
              <w:rPr>
                <w:rFonts w:ascii="Times New Roman" w:eastAsia="Times New Roman" w:hAnsi="Times New Roman" w:cs="Times New Roman"/>
                <w:sz w:val="20"/>
                <w:szCs w:val="20"/>
                <w:vertAlign w:val="superscript"/>
              </w:rPr>
              <w:t>1</w:t>
            </w:r>
          </w:p>
        </w:tc>
        <w:tc>
          <w:tcPr>
            <w:tcW w:w="990" w:type="dxa"/>
            <w:tcBorders>
              <w:top w:val="single" w:sz="7" w:space="0" w:color="000000"/>
              <w:left w:val="single" w:sz="7" w:space="0" w:color="000000"/>
              <w:bottom w:val="single" w:sz="6" w:space="0" w:color="FFFFFF"/>
              <w:right w:val="single" w:sz="7" w:space="0" w:color="000000"/>
            </w:tcBorders>
            <w:vAlign w:val="center"/>
          </w:tcPr>
          <w:p w:rsidR="00164F49" w:rsidRPr="00164F49" w:rsidP="00164F49" w14:paraId="4AA9A022" w14:textId="7777777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164F49" w:rsidRPr="00164F49" w:rsidP="00164F49" w14:paraId="687114B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sz w:val="20"/>
                <w:szCs w:val="20"/>
              </w:rPr>
              <w:t>(G)</w:t>
            </w:r>
          </w:p>
          <w:p w:rsidR="00164F49" w:rsidRPr="00164F49" w:rsidP="00164F49" w14:paraId="55356F1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sz w:val="20"/>
                <w:szCs w:val="20"/>
              </w:rPr>
              <w:t>Total O&amp;M,</w:t>
            </w:r>
          </w:p>
          <w:p w:rsidR="00164F49" w:rsidRPr="00164F49" w:rsidP="00164F49" w14:paraId="7DF312A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sz w:val="20"/>
                <w:szCs w:val="20"/>
              </w:rPr>
              <w:t>(E X F)</w:t>
            </w:r>
          </w:p>
        </w:tc>
      </w:tr>
      <w:tr w14:paraId="72409C78" w14:textId="77777777" w:rsidTr="00110E1F">
        <w:tblPrEx>
          <w:tblW w:w="9420" w:type="dxa"/>
          <w:tblInd w:w="111" w:type="dxa"/>
          <w:tblLayout w:type="fixed"/>
          <w:tblCellMar>
            <w:left w:w="111" w:type="dxa"/>
            <w:right w:w="111" w:type="dxa"/>
          </w:tblCellMar>
          <w:tblLook w:val="0000"/>
        </w:tblPrEx>
        <w:tc>
          <w:tcPr>
            <w:tcW w:w="1590" w:type="dxa"/>
            <w:tcBorders>
              <w:top w:val="single" w:sz="7" w:space="0" w:color="000000"/>
              <w:left w:val="single" w:sz="7" w:space="0" w:color="000000"/>
              <w:bottom w:val="single" w:sz="6" w:space="0" w:color="FFFFFF"/>
              <w:right w:val="single" w:sz="6" w:space="0" w:color="FFFFFF"/>
            </w:tcBorders>
            <w:vAlign w:val="center"/>
          </w:tcPr>
          <w:p w:rsidR="00164F49" w:rsidRPr="00164F49" w:rsidP="00164F49" w14:paraId="3AF27A6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Times New Roman" w:eastAsia="Times New Roman" w:hAnsi="Times New Roman" w:cs="Times New Roman"/>
                <w:sz w:val="20"/>
                <w:szCs w:val="20"/>
              </w:rPr>
            </w:pPr>
            <w:r w:rsidRPr="00164F49">
              <w:rPr>
                <w:rFonts w:ascii="Times New Roman" w:eastAsia="Times New Roman" w:hAnsi="Times New Roman" w:cs="Times New Roman"/>
                <w:color w:val="000000"/>
                <w:sz w:val="20"/>
                <w:szCs w:val="20"/>
              </w:rPr>
              <w:t>Ambient monitor</w:t>
            </w:r>
          </w:p>
        </w:tc>
        <w:tc>
          <w:tcPr>
            <w:tcW w:w="1530" w:type="dxa"/>
            <w:tcBorders>
              <w:top w:val="single" w:sz="7" w:space="0" w:color="000000"/>
              <w:left w:val="single" w:sz="7" w:space="0" w:color="000000"/>
              <w:bottom w:val="single" w:sz="6" w:space="0" w:color="FFFFFF"/>
              <w:right w:val="single" w:sz="6" w:space="0" w:color="FFFFFF"/>
            </w:tcBorders>
            <w:vAlign w:val="center"/>
          </w:tcPr>
          <w:p w:rsidR="00164F49" w:rsidRPr="00164F49" w:rsidP="00164F49" w14:paraId="034E6B0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color w:val="000000"/>
                <w:sz w:val="20"/>
                <w:szCs w:val="20"/>
              </w:rPr>
              <w:t xml:space="preserve">$0 </w:t>
            </w:r>
          </w:p>
        </w:tc>
        <w:tc>
          <w:tcPr>
            <w:tcW w:w="1260" w:type="dxa"/>
            <w:tcBorders>
              <w:top w:val="single" w:sz="7" w:space="0" w:color="000000"/>
              <w:left w:val="single" w:sz="7" w:space="0" w:color="000000"/>
              <w:bottom w:val="single" w:sz="6" w:space="0" w:color="FFFFFF"/>
              <w:right w:val="single" w:sz="6" w:space="0" w:color="FFFFFF"/>
            </w:tcBorders>
            <w:vAlign w:val="center"/>
          </w:tcPr>
          <w:p w:rsidR="00164F49" w:rsidRPr="00164F49" w:rsidP="00164F49" w14:paraId="726BD7E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164F49" w:rsidRPr="00164F49" w:rsidP="00164F49" w14:paraId="2E47CC1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164F49" w:rsidRPr="00164F49" w:rsidP="00164F49" w14:paraId="136E285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color w:val="000000"/>
                <w:sz w:val="20"/>
                <w:szCs w:val="20"/>
              </w:rPr>
              <w:t xml:space="preserve">$7,243 </w:t>
            </w:r>
          </w:p>
        </w:tc>
        <w:tc>
          <w:tcPr>
            <w:tcW w:w="1260" w:type="dxa"/>
            <w:tcBorders>
              <w:top w:val="single" w:sz="7" w:space="0" w:color="000000"/>
              <w:left w:val="single" w:sz="7" w:space="0" w:color="000000"/>
              <w:bottom w:val="single" w:sz="6" w:space="0" w:color="FFFFFF"/>
              <w:right w:val="single" w:sz="6" w:space="0" w:color="FFFFFF"/>
            </w:tcBorders>
            <w:vAlign w:val="center"/>
          </w:tcPr>
          <w:p w:rsidR="00164F49" w:rsidRPr="00164F49" w:rsidP="00164F49" w14:paraId="040D4C4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color w:val="000000"/>
                <w:sz w:val="20"/>
                <w:szCs w:val="20"/>
              </w:rPr>
              <w:t>10</w:t>
            </w:r>
          </w:p>
        </w:tc>
        <w:tc>
          <w:tcPr>
            <w:tcW w:w="990" w:type="dxa"/>
            <w:tcBorders>
              <w:top w:val="single" w:sz="7" w:space="0" w:color="000000"/>
              <w:left w:val="single" w:sz="7" w:space="0" w:color="000000"/>
              <w:bottom w:val="single" w:sz="6" w:space="0" w:color="FFFFFF"/>
              <w:right w:val="single" w:sz="7" w:space="0" w:color="000000"/>
            </w:tcBorders>
            <w:vAlign w:val="center"/>
          </w:tcPr>
          <w:p w:rsidR="00164F49" w:rsidRPr="00164F49" w:rsidP="00164F49" w14:paraId="0D32D5C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color w:val="000000"/>
                <w:sz w:val="20"/>
                <w:szCs w:val="20"/>
              </w:rPr>
              <w:t xml:space="preserve">$72,432 </w:t>
            </w:r>
          </w:p>
        </w:tc>
      </w:tr>
      <w:tr w14:paraId="0B7FAA36" w14:textId="77777777" w:rsidTr="00110E1F">
        <w:tblPrEx>
          <w:tblW w:w="9420" w:type="dxa"/>
          <w:tblInd w:w="111" w:type="dxa"/>
          <w:tblLayout w:type="fixed"/>
          <w:tblCellMar>
            <w:left w:w="111" w:type="dxa"/>
            <w:right w:w="111" w:type="dxa"/>
          </w:tblCellMar>
          <w:tblLook w:val="0000"/>
        </w:tblPrEx>
        <w:tc>
          <w:tcPr>
            <w:tcW w:w="1590" w:type="dxa"/>
            <w:tcBorders>
              <w:top w:val="single" w:sz="7" w:space="0" w:color="000000"/>
              <w:left w:val="single" w:sz="7" w:space="0" w:color="000000"/>
              <w:bottom w:val="single" w:sz="7" w:space="0" w:color="000000"/>
              <w:right w:val="single" w:sz="6" w:space="0" w:color="FFFFFF"/>
            </w:tcBorders>
            <w:vAlign w:val="center"/>
          </w:tcPr>
          <w:p w:rsidR="00164F49" w:rsidRPr="00164F49" w:rsidP="00164F49" w14:paraId="33BF8BA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ascii="Times New Roman" w:eastAsia="Times New Roman" w:hAnsi="Times New Roman" w:cs="Times New Roman"/>
                <w:sz w:val="20"/>
                <w:szCs w:val="20"/>
              </w:rPr>
            </w:pPr>
            <w:r w:rsidRPr="00164F49">
              <w:rPr>
                <w:rFonts w:ascii="Times New Roman" w:eastAsia="Times New Roman" w:hAnsi="Times New Roman" w:cs="Times New Roman"/>
                <w:b/>
                <w:bCs/>
                <w:color w:val="000000"/>
                <w:sz w:val="20"/>
                <w:szCs w:val="20"/>
              </w:rPr>
              <w:t>Totals</w:t>
            </w:r>
            <w:r w:rsidRPr="00164F49">
              <w:rPr>
                <w:rFonts w:ascii="Times New Roman" w:eastAsia="Times New Roman" w:hAnsi="Times New Roman" w:cs="Times New Roman"/>
                <w:color w:val="000000"/>
                <w:sz w:val="20"/>
                <w:szCs w:val="20"/>
              </w:rPr>
              <w:t xml:space="preserve"> (rounded)</w:t>
            </w:r>
            <w:r w:rsidRPr="00164F49">
              <w:rPr>
                <w:rFonts w:ascii="Times New Roman" w:eastAsia="Times New Roman" w:hAnsi="Times New Roman" w:cs="Times New Roman"/>
                <w:b/>
                <w:bCs/>
                <w:color w:val="000000"/>
                <w:sz w:val="20"/>
                <w:szCs w:val="20"/>
              </w:rPr>
              <w:t xml:space="preserve"> </w:t>
            </w:r>
            <w:r w:rsidRPr="00164F49">
              <w:rPr>
                <w:rFonts w:ascii="Times New Roman" w:eastAsia="Times New Roman" w:hAnsi="Times New Roman" w:cs="Times New Roman"/>
                <w:b/>
                <w:bCs/>
                <w:color w:val="000000"/>
                <w:sz w:val="20"/>
                <w:szCs w:val="20"/>
                <w:vertAlign w:val="superscript"/>
              </w:rPr>
              <w:t>c</w:t>
            </w:r>
          </w:p>
        </w:tc>
        <w:tc>
          <w:tcPr>
            <w:tcW w:w="1530" w:type="dxa"/>
            <w:tcBorders>
              <w:top w:val="single" w:sz="7" w:space="0" w:color="000000"/>
              <w:left w:val="single" w:sz="7" w:space="0" w:color="000000"/>
              <w:bottom w:val="single" w:sz="7" w:space="0" w:color="000000"/>
              <w:right w:val="single" w:sz="6" w:space="0" w:color="FFFFFF"/>
            </w:tcBorders>
            <w:vAlign w:val="center"/>
          </w:tcPr>
          <w:p w:rsidR="00164F49" w:rsidRPr="00164F49" w:rsidP="00164F49" w14:paraId="565C3F7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rsidR="00164F49" w:rsidRPr="00164F49" w:rsidP="00164F49" w14:paraId="2BFC410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center"/>
          </w:tcPr>
          <w:p w:rsidR="00164F49" w:rsidRPr="00164F49" w:rsidP="00164F49" w14:paraId="0757803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b/>
                <w:bCs/>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164F49" w:rsidRPr="00164F49" w:rsidP="00164F49" w14:paraId="42DF5DB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rsidR="00164F49" w:rsidRPr="00164F49" w:rsidP="00164F49" w14:paraId="0E1AAF6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0"/>
                <w:szCs w:val="20"/>
              </w:rPr>
            </w:pPr>
            <w:r w:rsidRPr="00164F49">
              <w:rPr>
                <w:rFonts w:ascii="Times New Roman" w:eastAsia="Times New Roman" w:hAnsi="Times New Roman" w:cs="Times New Roman"/>
                <w:color w:val="000000"/>
                <w:sz w:val="20"/>
                <w:szCs w:val="20"/>
              </w:rPr>
              <w:t> </w:t>
            </w:r>
          </w:p>
        </w:tc>
        <w:tc>
          <w:tcPr>
            <w:tcW w:w="990" w:type="dxa"/>
            <w:tcBorders>
              <w:top w:val="single" w:sz="7" w:space="0" w:color="000000"/>
              <w:left w:val="single" w:sz="7" w:space="0" w:color="000000"/>
              <w:bottom w:val="single" w:sz="7" w:space="0" w:color="000000"/>
              <w:right w:val="single" w:sz="7" w:space="0" w:color="000000"/>
            </w:tcBorders>
            <w:vAlign w:val="center"/>
          </w:tcPr>
          <w:p w:rsidR="00164F49" w:rsidRPr="00164F49" w:rsidP="00164F49" w14:paraId="30C8340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4"/>
                <w:szCs w:val="24"/>
              </w:rPr>
            </w:pPr>
            <w:r w:rsidRPr="00164F49">
              <w:rPr>
                <w:rFonts w:ascii="Times New Roman" w:eastAsia="Times New Roman" w:hAnsi="Times New Roman" w:cs="Times New Roman"/>
                <w:b/>
                <w:bCs/>
                <w:color w:val="000000"/>
                <w:sz w:val="20"/>
                <w:szCs w:val="20"/>
              </w:rPr>
              <w:t xml:space="preserve">$72,400 </w:t>
            </w:r>
          </w:p>
        </w:tc>
      </w:tr>
    </w:tbl>
    <w:p w:rsidR="00164F49" w:rsidRPr="007315ED" w:rsidP="007315ED" w14:paraId="784A346B" w14:textId="77777777">
      <w:pPr>
        <w:pStyle w:val="NoSpacing"/>
        <w:ind w:left="720"/>
        <w:rPr>
          <w:sz w:val="20"/>
          <w:szCs w:val="20"/>
        </w:rPr>
      </w:pPr>
      <w:r w:rsidRPr="007315ED">
        <w:rPr>
          <w:sz w:val="20"/>
          <w:szCs w:val="20"/>
          <w:vertAlign w:val="superscript"/>
        </w:rPr>
        <w:t>a</w:t>
      </w:r>
      <w:r w:rsidRPr="007315ED">
        <w:rPr>
          <w:sz w:val="20"/>
          <w:szCs w:val="20"/>
        </w:rPr>
        <w:t xml:space="preserve"> Costs have been increased from 2001 to 2022 $ using the CEPCI Equipment Cost Index.</w:t>
      </w:r>
    </w:p>
    <w:p w:rsidR="00164F49" w:rsidRPr="007315ED" w:rsidP="007315ED" w14:paraId="51C9E20F" w14:textId="7D4262A6">
      <w:pPr>
        <w:pStyle w:val="NoSpacing"/>
        <w:ind w:left="720"/>
        <w:rPr>
          <w:sz w:val="20"/>
          <w:szCs w:val="20"/>
        </w:rPr>
      </w:pPr>
      <w:r w:rsidRPr="007315ED">
        <w:rPr>
          <w:sz w:val="20"/>
          <w:szCs w:val="20"/>
          <w:vertAlign w:val="superscript"/>
        </w:rPr>
        <w:t>b</w:t>
      </w:r>
      <w:r w:rsidRPr="007315ED">
        <w:rPr>
          <w:sz w:val="20"/>
          <w:szCs w:val="20"/>
        </w:rPr>
        <w:t xml:space="preserve"> We have assumed approximately 10 sources have elected to comply with the rule by monitoring ambient air beryllium concentrations and that the remaining 226 sources have complied by conducting a one-time-only stack test.</w:t>
      </w:r>
    </w:p>
    <w:p w:rsidR="007315ED" w:rsidRPr="007315ED" w:rsidP="007315ED" w14:paraId="0DB9816E" w14:textId="33A28A4E">
      <w:pPr>
        <w:pStyle w:val="NoSpacing"/>
        <w:ind w:left="720"/>
        <w:rPr>
          <w:sz w:val="20"/>
          <w:szCs w:val="20"/>
        </w:rPr>
      </w:pPr>
      <w:r w:rsidRPr="007315ED">
        <w:rPr>
          <w:sz w:val="20"/>
          <w:szCs w:val="20"/>
          <w:vertAlign w:val="superscript"/>
        </w:rPr>
        <w:t xml:space="preserve">c </w:t>
      </w:r>
      <w:r w:rsidRPr="007315ED">
        <w:rPr>
          <w:sz w:val="20"/>
          <w:szCs w:val="20"/>
        </w:rPr>
        <w:t>Totals have been rounded to 3 significant figures. Figures may not add exactly due to rounding.</w:t>
      </w:r>
    </w:p>
    <w:p w:rsidR="007315ED" w:rsidRPr="007315ED" w:rsidP="007315ED" w14:paraId="1428B7FE" w14:textId="77777777">
      <w:pPr>
        <w:pStyle w:val="NoSpacing"/>
      </w:pPr>
    </w:p>
    <w:p w:rsidR="006B0AC5" w:rsidRPr="006B0AC5" w:rsidP="006B0AC5" w14:paraId="679B4C51" w14:textId="6559762D">
      <w:pPr>
        <w:pBdr>
          <w:top w:val="single" w:sz="6" w:space="0" w:color="FFFFFF"/>
          <w:left w:val="single" w:sz="6" w:space="0" w:color="FFFFFF"/>
          <w:bottom w:val="single" w:sz="6" w:space="0" w:color="FFFFFF"/>
          <w:right w:val="single" w:sz="6" w:space="0" w:color="FFFFFF"/>
        </w:pBdr>
        <w:rPr>
          <w:rFonts w:cstheme="minorHAnsi"/>
          <w:color w:val="000000"/>
        </w:rPr>
      </w:pPr>
      <w:r w:rsidRPr="006B0AC5">
        <w:rPr>
          <w:rFonts w:cstheme="minorHAnsi"/>
          <w:color w:val="000000"/>
        </w:rPr>
        <w:t xml:space="preserve">The total capital/startup costs for this ICR are $0. This is the total of column D in the above table. </w:t>
      </w:r>
    </w:p>
    <w:p w:rsidR="006B0AC5" w:rsidRPr="006B0AC5" w:rsidP="006B0AC5" w14:paraId="6260D6B6" w14:textId="7C7C5B1A">
      <w:pPr>
        <w:pBdr>
          <w:top w:val="single" w:sz="6" w:space="0" w:color="FFFFFF"/>
          <w:left w:val="single" w:sz="6" w:space="0" w:color="FFFFFF"/>
          <w:bottom w:val="single" w:sz="6" w:space="0" w:color="FFFFFF"/>
          <w:right w:val="single" w:sz="6" w:space="0" w:color="FFFFFF"/>
        </w:pBdr>
        <w:rPr>
          <w:rFonts w:cstheme="minorHAnsi"/>
          <w:color w:val="000000"/>
        </w:rPr>
      </w:pPr>
      <w:r w:rsidRPr="006B0AC5">
        <w:rPr>
          <w:rFonts w:cstheme="minorHAnsi"/>
          <w:color w:val="000000"/>
        </w:rPr>
        <w:t xml:space="preserve">The total operation and maintenance (O&amp;M) costs for this ICR are $72,400. This is the total of column G. </w:t>
      </w:r>
    </w:p>
    <w:p w:rsidR="00164F49" w:rsidP="00286FDD" w14:paraId="5F7CB52E" w14:textId="79D26242">
      <w:pPr>
        <w:pBdr>
          <w:top w:val="single" w:sz="6" w:space="0" w:color="FFFFFF"/>
          <w:left w:val="single" w:sz="6" w:space="0" w:color="FFFFFF"/>
          <w:bottom w:val="single" w:sz="6" w:space="0" w:color="FFFFFF"/>
          <w:right w:val="single" w:sz="6" w:space="0" w:color="FFFFFF"/>
        </w:pBdr>
        <w:rPr>
          <w:rFonts w:cstheme="minorHAnsi"/>
          <w:color w:val="000000"/>
        </w:rPr>
      </w:pPr>
      <w:r w:rsidRPr="006B0AC5">
        <w:rPr>
          <w:rFonts w:cstheme="minorHAnsi"/>
          <w:color w:val="000000"/>
        </w:rPr>
        <w:t xml:space="preserve">The average annual cost for capital/startup and operation and maintenance costs to industry over the next three years of the ICR is estimated to be $72,400. These are recordkeeping costs. </w:t>
      </w:r>
    </w:p>
    <w:p w:rsidR="00BB3410" w:rsidRPr="00BB3410" w:rsidP="00286FDD" w14:paraId="2A702804" w14:textId="37B57418">
      <w:pPr>
        <w:pBdr>
          <w:top w:val="single" w:sz="6" w:space="0" w:color="FFFFFF"/>
          <w:left w:val="single" w:sz="6" w:space="0" w:color="FFFFFF"/>
          <w:bottom w:val="single" w:sz="6" w:space="0" w:color="FFFFFF"/>
          <w:right w:val="single" w:sz="6" w:space="0" w:color="FFFFFF"/>
        </w:pBdr>
        <w:rPr>
          <w:rFonts w:cstheme="minorHAnsi"/>
          <w:color w:val="000000"/>
        </w:rPr>
      </w:pPr>
      <w:r w:rsidRPr="00286FDD">
        <w:rPr>
          <w:rFonts w:cstheme="minorHAnsi"/>
          <w:color w:val="000000"/>
        </w:rPr>
        <w:t xml:space="preserve">The total annual capital/startup and O&amp;M costs to the regulated entity are $72,400. </w:t>
      </w:r>
    </w:p>
    <w:p w:rsidR="00023EFE" w:rsidRPr="00163C69" w:rsidP="00854AAE" w14:paraId="2BBBE09F" w14:textId="77777777">
      <w:pPr>
        <w:pStyle w:val="ListParagraph"/>
        <w:numPr>
          <w:ilvl w:val="0"/>
          <w:numId w:val="25"/>
        </w:numPr>
        <w:pBdr>
          <w:bottom w:val="single" w:sz="4" w:space="1" w:color="auto"/>
        </w:pBdr>
        <w:spacing w:before="240" w:after="0"/>
        <w:rPr>
          <w:rFonts w:cstheme="minorHAnsi"/>
          <w:b/>
          <w:bCs/>
        </w:rPr>
      </w:pPr>
      <w:bookmarkStart w:id="20" w:name="_Toc156593387"/>
      <w:r w:rsidRPr="4BDBF0A0">
        <w:rPr>
          <w:b/>
          <w:bCs/>
        </w:rPr>
        <w:t xml:space="preserve">AGENCY </w:t>
      </w:r>
      <w:bookmarkStart w:id="21" w:name="_Toc156593388"/>
      <w:bookmarkEnd w:id="20"/>
      <w:r w:rsidRPr="4BDBF0A0" w:rsidR="00BB2B15">
        <w:rPr>
          <w:b/>
          <w:bCs/>
        </w:rPr>
        <w:t>COSTS</w:t>
      </w:r>
    </w:p>
    <w:p w:rsidR="001F0834" w:rsidRPr="001F0834" w:rsidP="00854AAE" w14:paraId="61A4EBF5"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0EFCF8B0" w14:textId="77777777">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F1E00" w:rsidP="00854AAE" w14:paraId="19DD33E2" w14:textId="6B7DD839">
      <w:pPr>
        <w:keepNext/>
        <w:keepLines/>
        <w:spacing w:before="60"/>
        <w:rPr>
          <w:rFonts w:cstheme="minorHAnsi"/>
        </w:rPr>
      </w:pPr>
      <w:r w:rsidRPr="00293125">
        <w:rPr>
          <w:rFonts w:cstheme="minorHAnsi"/>
        </w:rPr>
        <w:t>EPA conducts the following activities in connection with the acquisition, analysis, storage, and distribution of the required information.</w:t>
      </w:r>
    </w:p>
    <w:tbl>
      <w:tblPr>
        <w:tblStyle w:val="TableGrid3"/>
        <w:tblW w:w="9625" w:type="dxa"/>
        <w:tblLook w:val="04A0"/>
      </w:tblPr>
      <w:tblGrid>
        <w:gridCol w:w="9625"/>
      </w:tblGrid>
      <w:tr w14:paraId="5406B57F" w14:textId="77777777" w:rsidTr="00110E1F">
        <w:tblPrEx>
          <w:tblW w:w="9625" w:type="dxa"/>
          <w:tblLook w:val="04A0"/>
        </w:tblPrEx>
        <w:trPr>
          <w:trHeight w:val="432"/>
        </w:trPr>
        <w:tc>
          <w:tcPr>
            <w:tcW w:w="9625" w:type="dxa"/>
          </w:tcPr>
          <w:p w:rsidR="00293125" w:rsidRPr="00293125" w:rsidP="00293125" w14:paraId="3503209B" w14:textId="77777777">
            <w:pPr>
              <w:widowControl w:val="0"/>
              <w:autoSpaceDE w:val="0"/>
              <w:autoSpaceDN w:val="0"/>
              <w:adjustRightInd w:val="0"/>
              <w:jc w:val="center"/>
              <w:rPr>
                <w:b/>
                <w:bCs/>
                <w:color w:val="000000"/>
                <w:sz w:val="24"/>
                <w:szCs w:val="24"/>
              </w:rPr>
            </w:pPr>
            <w:r w:rsidRPr="00293125">
              <w:rPr>
                <w:b/>
                <w:bCs/>
                <w:color w:val="000000"/>
                <w:sz w:val="24"/>
                <w:szCs w:val="24"/>
              </w:rPr>
              <w:t>Agency Activities</w:t>
            </w:r>
          </w:p>
        </w:tc>
      </w:tr>
      <w:tr w14:paraId="29657EBE" w14:textId="77777777" w:rsidTr="00110E1F">
        <w:tblPrEx>
          <w:tblW w:w="9625" w:type="dxa"/>
          <w:tblLook w:val="04A0"/>
        </w:tblPrEx>
        <w:trPr>
          <w:trHeight w:val="701"/>
        </w:trPr>
        <w:tc>
          <w:tcPr>
            <w:tcW w:w="9625" w:type="dxa"/>
            <w:vAlign w:val="center"/>
          </w:tcPr>
          <w:p w:rsidR="00293125" w:rsidRPr="00293125" w:rsidP="00293125" w14:paraId="206DA527" w14:textId="77777777">
            <w:pPr>
              <w:widowControl w:val="0"/>
              <w:autoSpaceDE w:val="0"/>
              <w:autoSpaceDN w:val="0"/>
              <w:adjustRightInd w:val="0"/>
              <w:rPr>
                <w:color w:val="000000"/>
                <w:sz w:val="24"/>
                <w:szCs w:val="24"/>
              </w:rPr>
            </w:pPr>
            <w:r w:rsidRPr="00293125">
              <w:rPr>
                <w:color w:val="000000"/>
                <w:sz w:val="24"/>
                <w:szCs w:val="24"/>
              </w:rPr>
              <w:t>Review notifications and reports, including performance test reports, and excess emissions reports, required to be submitted by industry.</w:t>
            </w:r>
          </w:p>
        </w:tc>
      </w:tr>
      <w:tr w14:paraId="0B57D05E" w14:textId="77777777" w:rsidTr="00110E1F">
        <w:tblPrEx>
          <w:tblW w:w="9625" w:type="dxa"/>
          <w:tblLook w:val="04A0"/>
        </w:tblPrEx>
        <w:trPr>
          <w:trHeight w:val="432"/>
        </w:trPr>
        <w:tc>
          <w:tcPr>
            <w:tcW w:w="9625" w:type="dxa"/>
            <w:vAlign w:val="center"/>
          </w:tcPr>
          <w:p w:rsidR="00293125" w:rsidRPr="00293125" w:rsidP="00293125" w14:paraId="35BC13FE" w14:textId="77777777">
            <w:pPr>
              <w:widowControl w:val="0"/>
              <w:autoSpaceDE w:val="0"/>
              <w:autoSpaceDN w:val="0"/>
              <w:adjustRightInd w:val="0"/>
              <w:rPr>
                <w:color w:val="000000"/>
                <w:sz w:val="24"/>
                <w:szCs w:val="24"/>
              </w:rPr>
            </w:pPr>
            <w:r w:rsidRPr="00293125">
              <w:rPr>
                <w:color w:val="000000"/>
                <w:sz w:val="24"/>
                <w:szCs w:val="24"/>
              </w:rPr>
              <w:t>Audit facility records.</w:t>
            </w:r>
          </w:p>
        </w:tc>
      </w:tr>
      <w:tr w14:paraId="5A0D02BC" w14:textId="77777777" w:rsidTr="00110E1F">
        <w:tblPrEx>
          <w:tblW w:w="9625" w:type="dxa"/>
          <w:tblLook w:val="04A0"/>
        </w:tblPrEx>
        <w:trPr>
          <w:trHeight w:val="692"/>
        </w:trPr>
        <w:tc>
          <w:tcPr>
            <w:tcW w:w="9625" w:type="dxa"/>
            <w:vAlign w:val="center"/>
          </w:tcPr>
          <w:p w:rsidR="00293125" w:rsidRPr="00293125" w:rsidP="00293125" w14:paraId="42E15880" w14:textId="77777777">
            <w:pPr>
              <w:widowControl w:val="0"/>
              <w:autoSpaceDE w:val="0"/>
              <w:autoSpaceDN w:val="0"/>
              <w:adjustRightInd w:val="0"/>
              <w:rPr>
                <w:color w:val="000000"/>
                <w:sz w:val="24"/>
                <w:szCs w:val="24"/>
              </w:rPr>
            </w:pPr>
            <w:r w:rsidRPr="00293125">
              <w:rPr>
                <w:color w:val="000000"/>
                <w:sz w:val="24"/>
                <w:szCs w:val="24"/>
              </w:rPr>
              <w:t>Input, analyze, and maintain data in the Enforcement and Compliance History Online (ECHO) and ICIS.</w:t>
            </w:r>
          </w:p>
        </w:tc>
      </w:tr>
    </w:tbl>
    <w:p w:rsidR="00FB0A69" w:rsidRPr="00FB0A69" w:rsidP="00FB0A69" w14:paraId="5CBE71C9" w14:textId="186A9F22">
      <w:pPr>
        <w:keepNext/>
        <w:keepLines/>
        <w:spacing w:before="60"/>
        <w:rPr>
          <w:rFonts w:cstheme="minorHAnsi"/>
        </w:rPr>
      </w:pPr>
      <w:r w:rsidRPr="00FB0A69">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monthly reports are used for problem identification, as a check on source operation and maintenance, and for compliance determinations.</w:t>
      </w:r>
    </w:p>
    <w:p w:rsidR="00FB0A69" w:rsidRPr="00FB0A69" w:rsidP="00FB0A69" w14:paraId="192DE550" w14:textId="77AABC44">
      <w:pPr>
        <w:keepNext/>
        <w:keepLines/>
        <w:spacing w:before="60"/>
        <w:rPr>
          <w:rFonts w:cstheme="minorHAnsi"/>
        </w:rPr>
      </w:pPr>
      <w:r w:rsidRPr="00FB0A6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293125" w:rsidRPr="00BB3410" w:rsidP="00FB0A69" w14:paraId="1B24520D" w14:textId="10C2FD91">
      <w:pPr>
        <w:keepNext/>
        <w:keepLines/>
        <w:spacing w:before="60"/>
        <w:rPr>
          <w:rFonts w:cstheme="minorHAnsi"/>
        </w:rPr>
      </w:pPr>
      <w:r w:rsidRPr="00FB0A69">
        <w:rPr>
          <w:rFonts w:cstheme="minorHAnsi"/>
        </w:rPr>
        <w:t xml:space="preserve"> The records required by this regulation must be retained by the owner/operator for two years.</w:t>
      </w:r>
    </w:p>
    <w:p w:rsidR="00023EFE" w:rsidRPr="00163C69" w:rsidP="00854AAE" w14:paraId="561C2491" w14:textId="3EA8AAB0">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Cost</w:t>
      </w:r>
      <w:r w:rsidR="008703C8">
        <w:rPr>
          <w:rFonts w:eastAsiaTheme="majorEastAsia" w:cstheme="minorHAnsi"/>
          <w:b/>
          <w:bCs/>
        </w:rPr>
        <w:t>s</w:t>
      </w:r>
    </w:p>
    <w:p w:rsidR="008703C8" w:rsidRPr="008703C8" w:rsidP="008703C8" w14:paraId="1F205580" w14:textId="18B9883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703C8">
        <w:rPr>
          <w:rFonts w:cstheme="minorHAnsi"/>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8703C8" w:rsidRPr="008703C8" w:rsidP="008703C8" w14:paraId="6F7B3282" w14:textId="742875E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703C8">
        <w:rPr>
          <w:rFonts w:cstheme="minorHAnsi"/>
          <w:color w:val="000000"/>
        </w:rPr>
        <w:t xml:space="preserve">The average annual Agency cost during the three years of the ICR is estimated to be $73,700. </w:t>
      </w:r>
    </w:p>
    <w:p w:rsidR="008703C8" w:rsidRPr="008703C8" w:rsidP="008703C8" w14:paraId="129695B6" w14:textId="2F4AA24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703C8">
        <w:rPr>
          <w:rFonts w:cstheme="minorHAnsi"/>
          <w:color w:val="000000"/>
        </w:rPr>
        <w:t>This cost is based on the average hourly labor rate as follows:</w:t>
      </w:r>
    </w:p>
    <w:p w:rsidR="008703C8" w:rsidRPr="008703C8" w:rsidP="008703C8" w14:paraId="35FA30B3" w14:textId="16F8E245">
      <w:pPr>
        <w:pStyle w:val="ListParagraph"/>
        <w:numPr>
          <w:ilvl w:val="0"/>
          <w:numId w:val="30"/>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703C8">
        <w:rPr>
          <w:rFonts w:cstheme="minorHAnsi"/>
          <w:color w:val="000000"/>
        </w:rPr>
        <w:t>Managerial</w:t>
      </w:r>
      <w:r w:rsidRPr="008703C8">
        <w:rPr>
          <w:rFonts w:cstheme="minorHAnsi"/>
          <w:color w:val="000000"/>
        </w:rPr>
        <w:tab/>
        <w:t xml:space="preserve"> $73.46 (GS-13, Step 5, $45.91 + 60%)</w:t>
      </w:r>
      <w:r w:rsidRPr="008703C8">
        <w:rPr>
          <w:rFonts w:cstheme="minorHAnsi"/>
          <w:color w:val="000000"/>
        </w:rPr>
        <w:tab/>
      </w:r>
      <w:r w:rsidRPr="008703C8">
        <w:rPr>
          <w:rFonts w:cstheme="minorHAnsi"/>
          <w:color w:val="000000"/>
        </w:rPr>
        <w:tab/>
      </w:r>
    </w:p>
    <w:p w:rsidR="008703C8" w:rsidRPr="008703C8" w:rsidP="008703C8" w14:paraId="5A2B04BD" w14:textId="77777777">
      <w:pPr>
        <w:pStyle w:val="ListParagraph"/>
        <w:numPr>
          <w:ilvl w:val="0"/>
          <w:numId w:val="30"/>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703C8">
        <w:rPr>
          <w:rFonts w:cstheme="minorHAnsi"/>
          <w:color w:val="000000"/>
        </w:rPr>
        <w:t>Technical</w:t>
      </w:r>
      <w:r w:rsidRPr="008703C8">
        <w:rPr>
          <w:rFonts w:cstheme="minorHAnsi"/>
          <w:color w:val="000000"/>
        </w:rPr>
        <w:tab/>
        <w:t xml:space="preserve"> $54.51 (GS-12, Step 1, $34.07 + 60%)</w:t>
      </w:r>
    </w:p>
    <w:p w:rsidR="008703C8" w:rsidRPr="008703C8" w:rsidP="008703C8" w14:paraId="210EEC63" w14:textId="1A749D9C">
      <w:pPr>
        <w:pStyle w:val="ListParagraph"/>
        <w:numPr>
          <w:ilvl w:val="0"/>
          <w:numId w:val="30"/>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703C8">
        <w:rPr>
          <w:rFonts w:cstheme="minorHAnsi"/>
          <w:color w:val="000000"/>
        </w:rPr>
        <w:t>Clerical</w:t>
      </w:r>
      <w:r w:rsidRPr="008703C8">
        <w:rPr>
          <w:rFonts w:cstheme="minorHAnsi"/>
          <w:color w:val="000000"/>
        </w:rPr>
        <w:tab/>
        <w:t xml:space="preserve"> </w:t>
      </w:r>
      <w:r>
        <w:rPr>
          <w:rFonts w:cstheme="minorHAnsi"/>
          <w:color w:val="000000"/>
        </w:rPr>
        <w:tab/>
      </w:r>
      <w:r w:rsidRPr="008703C8">
        <w:rPr>
          <w:rFonts w:cstheme="minorHAnsi"/>
          <w:color w:val="000000"/>
        </w:rPr>
        <w:t>$29.50 (GS-6, Step 3, $18.44 + 60%)</w:t>
      </w:r>
    </w:p>
    <w:p w:rsidR="00BB3410" w:rsidP="008703C8" w14:paraId="10B3A2C0" w14:textId="548F5AA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703C8">
        <w:rPr>
          <w:rFonts w:cstheme="minorHAnsi"/>
          <w:color w:val="000000"/>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NESHAP for Beryllium (40 CFR Part 61, Subpart C) (Renewal).</w:t>
      </w:r>
    </w:p>
    <w:p w:rsidR="008703C8" w:rsidRPr="008703C8" w:rsidP="008703C8" w14:paraId="4C6257DC" w14:textId="0E5C4A7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703C8">
        <w:rPr>
          <w:rFonts w:cstheme="minorHAnsi"/>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r w:rsidRPr="008703C8">
        <w:rPr>
          <w:rFonts w:cstheme="minorHAnsi"/>
          <w:color w:val="000000"/>
        </w:rPr>
        <w:tab/>
      </w:r>
    </w:p>
    <w:p w:rsidR="004620CA" w:rsidRPr="00163C69" w:rsidP="4BDBF0A0" w14:paraId="1C2E8691" w14:textId="77777777">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1"/>
    </w:p>
    <w:p w:rsidR="001F0834" w:rsidRPr="001F0834" w:rsidP="00854AAE" w14:paraId="3FED370D"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BB3410" w:rsidP="00854AAE" w14:paraId="0A65C76A" w14:textId="7F3BB3B9">
      <w:pPr>
        <w:pBdr>
          <w:top w:val="single" w:sz="6" w:space="0" w:color="FFFFFF"/>
          <w:left w:val="single" w:sz="6" w:space="0" w:color="FFFFFF"/>
          <w:bottom w:val="single" w:sz="6" w:space="0" w:color="FFFFFF"/>
          <w:right w:val="single" w:sz="6" w:space="0" w:color="FFFFFF"/>
        </w:pBdr>
        <w:rPr>
          <w:rFonts w:cstheme="minorHAnsi"/>
          <w:color w:val="FF0000"/>
        </w:rPr>
      </w:pPr>
      <w:r w:rsidRPr="002769BD">
        <w:rPr>
          <w:rFonts w:cstheme="minorHAnsi"/>
        </w:rPr>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There is a slight increase in costs, which is wholly due to the use of updated labor rates. This ICR uses labor rates from the most recent Bureau of Labor Statistics report (September 2022) to calculate respondent burden costs. There is an increase in operation &amp; maintenance costs due to an adjustment to increase from 2001 to 2022 $ using the CEPCI Equipment Cost Index.</w:t>
      </w:r>
    </w:p>
    <w:p w:rsidR="005D140B" w:rsidRPr="00163C69" w:rsidP="4BDBF0A0" w14:paraId="7D9FF13D" w14:textId="77777777">
      <w:pPr>
        <w:pStyle w:val="ListParagraph"/>
        <w:numPr>
          <w:ilvl w:val="0"/>
          <w:numId w:val="27"/>
        </w:numPr>
        <w:spacing w:before="240" w:after="0"/>
        <w:rPr>
          <w:b/>
          <w:bCs/>
        </w:rPr>
      </w:pPr>
      <w:bookmarkStart w:id="22" w:name="_Toc156593389"/>
      <w:r w:rsidRPr="4BDBF0A0">
        <w:rPr>
          <w:b/>
          <w:bCs/>
        </w:rPr>
        <w:t xml:space="preserve">PUBLICATION OF </w:t>
      </w:r>
      <w:bookmarkStart w:id="23" w:name="_Toc156593390"/>
      <w:bookmarkEnd w:id="22"/>
      <w:r w:rsidR="00E73E81">
        <w:rPr>
          <w:b/>
          <w:bCs/>
        </w:rPr>
        <w:t>DATA</w:t>
      </w:r>
    </w:p>
    <w:p w:rsidR="001F0834" w:rsidRPr="001F0834" w:rsidP="00854AAE" w14:paraId="7BF6B927"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432A0115" w14:textId="114CB8C2">
      <w:pPr>
        <w:pBdr>
          <w:top w:val="single" w:sz="6" w:space="0" w:color="FFFFFF"/>
          <w:left w:val="single" w:sz="6" w:space="0" w:color="FFFFFF"/>
          <w:bottom w:val="single" w:sz="6" w:space="0" w:color="FFFFFF"/>
          <w:right w:val="single" w:sz="6" w:space="0" w:color="FFFFFF"/>
        </w:pBdr>
      </w:pPr>
      <w:r w:rsidRPr="007E64E7">
        <w:t>Results from this ICR are not published formally. They are used to calculate agency-level accomplishments and site-specific impacts on publicly available EPA websites.</w:t>
      </w:r>
    </w:p>
    <w:p w:rsidR="00627768" w:rsidRPr="00163C69" w:rsidP="4BDBF0A0" w14:paraId="3D785C78" w14:textId="77777777">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3"/>
      <w:r w:rsidRPr="4BDBF0A0" w:rsidR="00644EBE">
        <w:rPr>
          <w:b/>
          <w:bCs/>
        </w:rPr>
        <w:t xml:space="preserve"> </w:t>
      </w:r>
    </w:p>
    <w:p w:rsidR="001F0834" w:rsidRPr="00F532D6" w:rsidP="00854AAE" w14:paraId="4D803944"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4B21BF18" w14:textId="5C323F8E">
      <w:pPr>
        <w:pBdr>
          <w:top w:val="single" w:sz="6" w:space="0" w:color="FFFFFF"/>
          <w:left w:val="single" w:sz="6" w:space="0" w:color="FFFFFF"/>
          <w:bottom w:val="single" w:sz="6" w:space="0" w:color="FFFFFF"/>
          <w:right w:val="single" w:sz="6" w:space="0" w:color="FFFFFF"/>
        </w:pBdr>
      </w:pPr>
      <w:r w:rsidRPr="007E64E7">
        <w:t>The agency plans to display the expiration date for OMB approval of the information collection on all instruments.</w:t>
      </w:r>
    </w:p>
    <w:p w:rsidR="00691828" w:rsidRPr="00163C69" w:rsidP="00854AAE" w14:paraId="68ACC9F1" w14:textId="77777777">
      <w:pPr>
        <w:pStyle w:val="ListParagraph"/>
        <w:numPr>
          <w:ilvl w:val="0"/>
          <w:numId w:val="27"/>
        </w:numPr>
        <w:spacing w:before="240" w:after="0"/>
        <w:rPr>
          <w:rFonts w:cstheme="minorHAnsi"/>
          <w:b/>
          <w:bCs/>
        </w:rPr>
      </w:pPr>
      <w:bookmarkStart w:id="24" w:name="_Toc156593391"/>
      <w:r w:rsidRPr="00163C69">
        <w:rPr>
          <w:rFonts w:cstheme="minorHAnsi"/>
          <w:b/>
          <w:bCs/>
        </w:rPr>
        <w:t>CERTIFICATION STATEMENT</w:t>
      </w:r>
      <w:bookmarkEnd w:id="24"/>
    </w:p>
    <w:p w:rsidR="001F0834" w:rsidRPr="001F0834" w:rsidP="00854AAE" w14:paraId="47CC14AB"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P="00DE7D97" w14:paraId="7B41B018" w14:textId="5DC2838D">
      <w:pPr>
        <w:pBdr>
          <w:top w:val="single" w:sz="6" w:space="0" w:color="FFFFFF"/>
          <w:left w:val="single" w:sz="6" w:space="0" w:color="FFFFFF"/>
          <w:bottom w:val="single" w:sz="6" w:space="0" w:color="FFFFFF"/>
          <w:right w:val="single" w:sz="6" w:space="0" w:color="FFFFFF"/>
        </w:pBdr>
      </w:pPr>
      <w:r w:rsidRPr="007E64E7">
        <w:t>EPA does not seek any exceptions to the topics for the certification statement identified in the “Certification for Paperwork Reduction Act Submissions.”</w:t>
      </w:r>
    </w:p>
    <w:p w:rsidR="000119B9" w14:paraId="6882F868" w14:textId="0C1FEC39">
      <w:r>
        <w:br w:type="page"/>
      </w:r>
    </w:p>
    <w:p w:rsidR="004B7A7D" w:rsidRPr="000119B9" w:rsidP="000119B9" w14:paraId="3FB60319" w14:textId="644BF3D1">
      <w:pPr>
        <w:pBdr>
          <w:top w:val="single" w:sz="6" w:space="0" w:color="FFFFFF"/>
          <w:left w:val="single" w:sz="6" w:space="0" w:color="FFFFFF"/>
          <w:bottom w:val="single" w:sz="6" w:space="0" w:color="FFFFFF"/>
          <w:right w:val="single" w:sz="6" w:space="0" w:color="FFFFFF"/>
        </w:pBdr>
        <w:jc w:val="center"/>
        <w:rPr>
          <w:b/>
          <w:bCs/>
        </w:rPr>
      </w:pPr>
      <w:r w:rsidRPr="000119B9">
        <w:rPr>
          <w:b/>
          <w:bCs/>
        </w:rPr>
        <w:t>Appendix</w:t>
      </w:r>
    </w:p>
    <w:p w:rsidR="000119B9" w:rsidRPr="00037ED4" w:rsidP="00DE7D97" w14:paraId="5FC8433C" w14:textId="77777777">
      <w:pPr>
        <w:pBdr>
          <w:top w:val="single" w:sz="6" w:space="0" w:color="FFFFFF"/>
          <w:left w:val="single" w:sz="6" w:space="0" w:color="FFFFFF"/>
          <w:bottom w:val="single" w:sz="6" w:space="0" w:color="FFFFFF"/>
          <w:right w:val="single" w:sz="6" w:space="0" w:color="FFFFFF"/>
        </w:pBdr>
        <w:rPr>
          <w:b/>
          <w:bCs/>
        </w:rPr>
      </w:pPr>
      <w:r w:rsidRPr="00037ED4">
        <w:rPr>
          <w:b/>
          <w:bCs/>
        </w:rPr>
        <w:t>Table 1: Annual Respondent Burden and Cost – NESHAP for Beryllium (40 CFR Part 61, Subpart C) (Renewal)</w:t>
      </w:r>
    </w:p>
    <w:tbl>
      <w:tblPr>
        <w:tblW w:w="0" w:type="auto"/>
        <w:tblLook w:val="04A0"/>
      </w:tblPr>
      <w:tblGrid>
        <w:gridCol w:w="1952"/>
        <w:gridCol w:w="897"/>
        <w:gridCol w:w="954"/>
        <w:gridCol w:w="906"/>
        <w:gridCol w:w="1003"/>
        <w:gridCol w:w="818"/>
        <w:gridCol w:w="1026"/>
        <w:gridCol w:w="856"/>
        <w:gridCol w:w="938"/>
      </w:tblGrid>
      <w:tr w14:paraId="0DB06C26" w14:textId="77777777" w:rsidTr="000119B9">
        <w:tblPrEx>
          <w:tblW w:w="0" w:type="auto"/>
          <w:tblLook w:val="04A0"/>
        </w:tblPrEx>
        <w:trPr>
          <w:trHeight w:val="16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119B9" w:rsidRPr="000119B9" w:rsidP="000119B9" w14:paraId="42960CCF"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Burden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19B9" w:rsidRPr="000119B9" w:rsidP="000119B9" w14:paraId="11764A8D"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xml:space="preserve">(A) </w:t>
            </w:r>
            <w:r w:rsidRPr="000119B9">
              <w:rPr>
                <w:rFonts w:ascii="Times New Roman" w:eastAsia="Times New Roman" w:hAnsi="Times New Roman" w:cs="Times New Roman"/>
                <w:b/>
                <w:bCs/>
                <w:color w:val="000000"/>
                <w:sz w:val="20"/>
                <w:szCs w:val="20"/>
              </w:rPr>
              <w:br/>
              <w:t>Person hours per occurrence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19B9" w:rsidRPr="000119B9" w:rsidP="000119B9" w14:paraId="0216C58A"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(B)</w:t>
            </w:r>
            <w:r w:rsidRPr="000119B9">
              <w:rPr>
                <w:rFonts w:ascii="Times New Roman" w:eastAsia="Times New Roman" w:hAnsi="Times New Roman" w:cs="Times New Roman"/>
                <w:b/>
                <w:bCs/>
                <w:color w:val="000000"/>
                <w:sz w:val="20"/>
                <w:szCs w:val="20"/>
              </w:rPr>
              <w:br/>
              <w:t>No. of occurrences per respondent per year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19B9" w:rsidRPr="000119B9" w:rsidP="000119B9" w14:paraId="3EA4E918"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(C)</w:t>
            </w:r>
            <w:r w:rsidRPr="000119B9">
              <w:rPr>
                <w:rFonts w:ascii="Times New Roman" w:eastAsia="Times New Roman" w:hAnsi="Times New Roman" w:cs="Times New Roman"/>
                <w:b/>
                <w:bCs/>
                <w:color w:val="000000"/>
                <w:sz w:val="20"/>
                <w:szCs w:val="20"/>
              </w:rPr>
              <w:br/>
              <w:t>Person hours per respondent per year</w:t>
            </w:r>
            <w:r w:rsidRPr="000119B9">
              <w:rPr>
                <w:rFonts w:ascii="Times New Roman" w:eastAsia="Times New Roman" w:hAnsi="Times New Roman" w:cs="Times New Roman"/>
                <w:b/>
                <w:bCs/>
                <w:color w:val="000000"/>
                <w:sz w:val="20"/>
                <w:szCs w:val="20"/>
              </w:rPr>
              <w:br/>
              <w:t>(C=</w:t>
            </w:r>
            <w:r w:rsidRPr="000119B9">
              <w:rPr>
                <w:rFonts w:ascii="Times New Roman" w:eastAsia="Times New Roman" w:hAnsi="Times New Roman" w:cs="Times New Roman"/>
                <w:b/>
                <w:bCs/>
                <w:color w:val="000000"/>
                <w:sz w:val="20"/>
                <w:szCs w:val="20"/>
              </w:rPr>
              <w:t>AxB</w:t>
            </w:r>
            <w:r w:rsidRPr="000119B9">
              <w:rPr>
                <w:rFonts w:ascii="Times New Roman" w:eastAsia="Times New Roman" w:hAnsi="Times New Roman" w:cs="Times New Roman"/>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19B9" w:rsidRPr="000119B9" w:rsidP="000119B9" w14:paraId="578F0CC5"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(D)</w:t>
            </w:r>
            <w:r w:rsidRPr="000119B9">
              <w:rPr>
                <w:rFonts w:ascii="Times New Roman" w:eastAsia="Times New Roman" w:hAnsi="Times New Roman" w:cs="Times New Roman"/>
                <w:b/>
                <w:bCs/>
                <w:color w:val="000000"/>
                <w:sz w:val="20"/>
                <w:szCs w:val="20"/>
              </w:rPr>
              <w:br/>
              <w:t xml:space="preserve">Respondents per year </w:t>
            </w:r>
            <w:r w:rsidRPr="000119B9">
              <w:rPr>
                <w:rFonts w:ascii="Times New Roman" w:eastAsia="Times New Roman" w:hAnsi="Times New Roman" w:cs="Times New Roman"/>
                <w:b/>
                <w:bCs/>
                <w:color w:val="000000"/>
                <w:sz w:val="20"/>
                <w:szCs w:val="20"/>
                <w:vertAlign w:val="superscript"/>
              </w:rPr>
              <w: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19B9" w:rsidRPr="000119B9" w:rsidP="000119B9" w14:paraId="25E9C440"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(E)</w:t>
            </w:r>
            <w:r w:rsidRPr="000119B9">
              <w:rPr>
                <w:rFonts w:ascii="Times New Roman" w:eastAsia="Times New Roman" w:hAnsi="Times New Roman" w:cs="Times New Roman"/>
                <w:b/>
                <w:bCs/>
                <w:color w:val="000000"/>
                <w:sz w:val="20"/>
                <w:szCs w:val="20"/>
              </w:rPr>
              <w:br/>
              <w:t xml:space="preserve">Technical hours per year </w:t>
            </w:r>
            <w:r w:rsidRPr="000119B9">
              <w:rPr>
                <w:rFonts w:ascii="Times New Roman" w:eastAsia="Times New Roman" w:hAnsi="Times New Roman" w:cs="Times New Roman"/>
                <w:b/>
                <w:bCs/>
                <w:color w:val="000000"/>
                <w:sz w:val="20"/>
                <w:szCs w:val="20"/>
              </w:rPr>
              <w:br/>
              <w:t>(E=</w:t>
            </w:r>
            <w:r w:rsidRPr="000119B9">
              <w:rPr>
                <w:rFonts w:ascii="Times New Roman" w:eastAsia="Times New Roman" w:hAnsi="Times New Roman" w:cs="Times New Roman"/>
                <w:b/>
                <w:bCs/>
                <w:color w:val="000000"/>
                <w:sz w:val="20"/>
                <w:szCs w:val="20"/>
              </w:rPr>
              <w:t>CxD</w:t>
            </w:r>
            <w:r w:rsidRPr="000119B9">
              <w:rPr>
                <w:rFonts w:ascii="Times New Roman" w:eastAsia="Times New Roman" w:hAnsi="Times New Roman" w:cs="Times New Roman"/>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19B9" w:rsidRPr="000119B9" w:rsidP="000119B9" w14:paraId="141A8732"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(F)</w:t>
            </w:r>
            <w:r w:rsidRPr="000119B9">
              <w:rPr>
                <w:rFonts w:ascii="Times New Roman" w:eastAsia="Times New Roman" w:hAnsi="Times New Roman" w:cs="Times New Roman"/>
                <w:b/>
                <w:bCs/>
                <w:color w:val="000000"/>
                <w:sz w:val="20"/>
                <w:szCs w:val="20"/>
              </w:rPr>
              <w:br/>
              <w:t>Management hours per year</w:t>
            </w:r>
            <w:r w:rsidRPr="000119B9">
              <w:rPr>
                <w:rFonts w:ascii="Times New Roman" w:eastAsia="Times New Roman" w:hAnsi="Times New Roman" w:cs="Times New Roman"/>
                <w:b/>
                <w:bCs/>
                <w:color w:val="000000"/>
                <w:sz w:val="20"/>
                <w:szCs w:val="20"/>
              </w:rPr>
              <w:br/>
              <w:t>(F=Ex0.05)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19B9" w:rsidRPr="000119B9" w:rsidP="000119B9" w14:paraId="58C148A1"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(G)</w:t>
            </w:r>
            <w:r w:rsidRPr="000119B9">
              <w:rPr>
                <w:rFonts w:ascii="Times New Roman" w:eastAsia="Times New Roman" w:hAnsi="Times New Roman" w:cs="Times New Roman"/>
                <w:b/>
                <w:bCs/>
                <w:color w:val="000000"/>
                <w:sz w:val="20"/>
                <w:szCs w:val="20"/>
              </w:rPr>
              <w:br/>
              <w:t xml:space="preserve">Clerical hours per year </w:t>
            </w:r>
            <w:r w:rsidRPr="000119B9">
              <w:rPr>
                <w:rFonts w:ascii="Times New Roman" w:eastAsia="Times New Roman" w:hAnsi="Times New Roman" w:cs="Times New Roman"/>
                <w:b/>
                <w:bCs/>
                <w:color w:val="000000"/>
                <w:sz w:val="20"/>
                <w:szCs w:val="20"/>
              </w:rPr>
              <w:br/>
              <w:t>(G=Ex0.1)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19B9" w:rsidRPr="000119B9" w:rsidP="000119B9" w14:paraId="0A0C1C90"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(H)</w:t>
            </w:r>
            <w:r w:rsidRPr="000119B9">
              <w:rPr>
                <w:rFonts w:ascii="Times New Roman" w:eastAsia="Times New Roman" w:hAnsi="Times New Roman" w:cs="Times New Roman"/>
                <w:b/>
                <w:bCs/>
                <w:color w:val="000000"/>
                <w:sz w:val="20"/>
                <w:szCs w:val="20"/>
              </w:rPr>
              <w:br/>
              <w:t xml:space="preserve">Total cost per year </w:t>
            </w:r>
            <w:r w:rsidRPr="000119B9">
              <w:rPr>
                <w:rFonts w:ascii="Times New Roman" w:eastAsia="Times New Roman" w:hAnsi="Times New Roman" w:cs="Times New Roman"/>
                <w:b/>
                <w:bCs/>
                <w:color w:val="000000"/>
                <w:sz w:val="20"/>
                <w:szCs w:val="20"/>
                <w:vertAlign w:val="superscript"/>
              </w:rPr>
              <w:t>b</w:t>
            </w:r>
            <w:r w:rsidRPr="000119B9">
              <w:rPr>
                <w:rFonts w:ascii="Times New Roman" w:eastAsia="Times New Roman" w:hAnsi="Times New Roman" w:cs="Times New Roman"/>
                <w:b/>
                <w:bCs/>
                <w:color w:val="000000"/>
                <w:sz w:val="20"/>
                <w:szCs w:val="20"/>
              </w:rPr>
              <w:t xml:space="preserve"> ($)</w:t>
            </w:r>
          </w:p>
        </w:tc>
      </w:tr>
      <w:tr w14:paraId="5BF2E3FE"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4431AB3F"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 Applications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119B9" w:rsidRPr="000119B9" w:rsidP="000119B9" w14:paraId="408367A1"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119B9" w:rsidRPr="000119B9" w:rsidP="000119B9" w14:paraId="0C2B59DE"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119B9" w:rsidRPr="000119B9" w:rsidP="000119B9" w14:paraId="76234CF9"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119B9" w:rsidRPr="000119B9" w:rsidP="000119B9" w14:paraId="434CD68E"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119B9" w:rsidRPr="000119B9" w:rsidP="000119B9" w14:paraId="75CFE737"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119B9" w:rsidRPr="000119B9" w:rsidP="000119B9" w14:paraId="43E61CD2"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119B9" w:rsidRPr="000119B9" w:rsidP="000119B9" w14:paraId="6DEC773B"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119B9" w:rsidRPr="000119B9" w:rsidP="000119B9" w14:paraId="23A7158F"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r>
      <w:tr w14:paraId="3FBC8634"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10216756" w14:textId="77777777">
            <w:pPr>
              <w:spacing w:after="0" w:line="240" w:lineRule="auto"/>
              <w:ind w:left="159" w:firstLine="40" w:firstLineChars="2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A. Application for approval of construction/modification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6C85FC78"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B338A91"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357C9FF"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9ED1613"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774B9F6"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40ECACA"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0686789C"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FCDA840"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$0 </w:t>
            </w:r>
          </w:p>
        </w:tc>
      </w:tr>
      <w:tr w14:paraId="473A4598"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3E75428C" w14:textId="77777777">
            <w:pPr>
              <w:spacing w:after="0" w:line="240" w:lineRule="auto"/>
              <w:ind w:left="159" w:firstLine="40" w:firstLineChars="2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B. Request for ambient air monitoring alternative</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3386BD8A"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3223850"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2D74574"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77905EA9"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788C6C55"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E24EB4B"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963842C"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9D26359"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$0 </w:t>
            </w:r>
          </w:p>
        </w:tc>
      </w:tr>
      <w:tr w14:paraId="04C81C2A"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218CA027"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2. Surveys and studies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2AE8BA08"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3D3591C8"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B268D6E"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210CA4C2"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7D195A40"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0A836CB"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04AF92A"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7459DEB"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r>
      <w:tr w14:paraId="68DE5724"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0BED17EE"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3. Reporting requirements</w:t>
            </w:r>
          </w:p>
        </w:tc>
        <w:tc>
          <w:tcPr>
            <w:tcW w:w="0" w:type="auto"/>
            <w:tcBorders>
              <w:top w:val="nil"/>
              <w:left w:val="single" w:sz="4" w:space="0" w:color="auto"/>
              <w:bottom w:val="single" w:sz="4" w:space="0" w:color="auto"/>
              <w:right w:val="single" w:sz="4" w:space="0" w:color="auto"/>
            </w:tcBorders>
            <w:shd w:val="clear" w:color="auto" w:fill="auto"/>
            <w:hideMark/>
          </w:tcPr>
          <w:p w:rsidR="000119B9" w:rsidRPr="000119B9" w:rsidP="000119B9" w14:paraId="21BBC06F"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3AD213ED"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8534E61"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1EF2AC91"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ED2FB89"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F088DD6"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6362720"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687F567"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r>
      <w:tr w14:paraId="7BFC32F6" w14:textId="77777777" w:rsidTr="000119B9">
        <w:tblPrEx>
          <w:tblW w:w="0" w:type="auto"/>
          <w:tblLook w:val="04A0"/>
        </w:tblPrEx>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34C20168" w14:textId="77777777">
            <w:pPr>
              <w:spacing w:after="0" w:line="240" w:lineRule="auto"/>
              <w:ind w:left="159" w:firstLine="40" w:firstLineChars="2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A. Familiarize with regulatory requirements </w:t>
            </w:r>
            <w:r w:rsidRPr="000119B9">
              <w:rPr>
                <w:rFonts w:ascii="Times New Roman" w:eastAsia="Times New Roman" w:hAnsi="Times New Roman" w:cs="Times New Roman"/>
                <w:color w:val="000000"/>
                <w:sz w:val="20"/>
                <w:szCs w:val="20"/>
                <w:vertAlign w:val="superscript"/>
              </w:rPr>
              <w:t>c</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11BCB9E4"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103421C5"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B00300C"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11402004"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4190341"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E9ED198"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1DDB8D29"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0AC328AD"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$4,785.31 </w:t>
            </w:r>
          </w:p>
        </w:tc>
      </w:tr>
      <w:tr w14:paraId="196C0CB3"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153BF776" w14:textId="77777777">
            <w:pPr>
              <w:spacing w:after="0" w:line="240" w:lineRule="auto"/>
              <w:ind w:firstLine="200" w:firstLineChars="1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B. Required activities </w:t>
            </w:r>
          </w:p>
        </w:tc>
        <w:tc>
          <w:tcPr>
            <w:tcW w:w="0" w:type="auto"/>
            <w:tcBorders>
              <w:top w:val="nil"/>
              <w:left w:val="single" w:sz="4" w:space="0" w:color="auto"/>
              <w:bottom w:val="single" w:sz="4" w:space="0" w:color="auto"/>
              <w:right w:val="single" w:sz="4" w:space="0" w:color="auto"/>
            </w:tcBorders>
            <w:shd w:val="clear" w:color="auto" w:fill="auto"/>
            <w:hideMark/>
          </w:tcPr>
          <w:p w:rsidR="000119B9" w:rsidRPr="000119B9" w:rsidP="000119B9" w14:paraId="38913984"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36585A04"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768215DB"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778D5A8E"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04D7FE4A"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D43045E"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F0B7FC9"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73222C1"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r>
      <w:tr w14:paraId="64EB1CB0"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612FE68C" w14:textId="77777777">
            <w:pPr>
              <w:spacing w:after="0" w:line="240" w:lineRule="auto"/>
              <w:ind w:firstLine="400" w:firstLineChars="2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i</w:t>
            </w:r>
            <w:r w:rsidRPr="000119B9">
              <w:rPr>
                <w:rFonts w:ascii="Times New Roman" w:eastAsia="Times New Roman" w:hAnsi="Times New Roman" w:cs="Times New Roman"/>
                <w:color w:val="000000"/>
                <w:sz w:val="20"/>
                <w:szCs w:val="20"/>
              </w:rPr>
              <w:t>. Initial emissions test</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05AC798E"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20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4BFF741"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137D5B12"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20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B1B8EF1"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7B477F60"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00EE7F30"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8920AE9"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75B96881"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$0 </w:t>
            </w:r>
          </w:p>
        </w:tc>
      </w:tr>
      <w:tr w14:paraId="5A7835BA" w14:textId="77777777" w:rsidTr="000119B9">
        <w:tblPrEx>
          <w:tblW w:w="0" w:type="auto"/>
          <w:tblLook w:val="04A0"/>
        </w:tblPrEx>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2AB887A5" w14:textId="77777777">
            <w:pPr>
              <w:spacing w:after="0" w:line="240" w:lineRule="auto"/>
              <w:ind w:left="339" w:firstLine="60" w:firstLineChars="3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ii. Determine emission level from stack test </w:t>
            </w:r>
            <w:r w:rsidRPr="000119B9">
              <w:rPr>
                <w:rFonts w:ascii="Times New Roman" w:eastAsia="Times New Roman" w:hAnsi="Times New Roman" w:cs="Times New Roman"/>
                <w:color w:val="000000"/>
                <w:sz w:val="20"/>
                <w:szCs w:val="20"/>
                <w:vertAlign w:val="superscript"/>
              </w:rPr>
              <w:t>d</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04389A83"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0A8C57B4"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50D4C23"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A2EB9F3"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DA073F2"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184</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F8CEE7E"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9.2</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0CA640FA"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18.4</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1176B32"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$26,681.75 </w:t>
            </w:r>
          </w:p>
        </w:tc>
      </w:tr>
      <w:tr w14:paraId="5956E424"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50B2153C" w14:textId="77777777">
            <w:pPr>
              <w:spacing w:after="0" w:line="240" w:lineRule="auto"/>
              <w:ind w:left="339" w:firstLine="60" w:firstLineChars="3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iii. Monitoring of ambient beryllium concentrations</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5AE57184"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See 3E</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2F40C32D"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28C503D"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3BEF2B86"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16574B7"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0C3B83CC"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23BF17D"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0AC3415"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r>
      <w:tr w14:paraId="495EFA08"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757B2319" w14:textId="77777777">
            <w:pPr>
              <w:spacing w:after="0" w:line="240" w:lineRule="auto"/>
              <w:ind w:firstLine="200" w:firstLineChars="1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C. Create information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0FFE771D"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See 3E</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302C3EEC"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C769DBB"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5D8DD909"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5CC20C3"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311A14C"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7665ACE2"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5A656DC"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r>
      <w:tr w14:paraId="519A49F1"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5BAAE304" w14:textId="77777777">
            <w:pPr>
              <w:spacing w:after="0" w:line="240" w:lineRule="auto"/>
              <w:ind w:firstLine="200" w:firstLineChars="1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D. Gather existing information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45D3EFB0"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See 3E</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6E9F079B"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5F3A8E3"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4FA2F5BD"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9BA355E"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79E2B98"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9FB34E5"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5290464"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r>
      <w:tr w14:paraId="1A407C75"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271385AF" w14:textId="77777777">
            <w:pPr>
              <w:spacing w:after="0" w:line="240" w:lineRule="auto"/>
              <w:ind w:firstLine="200" w:firstLineChars="1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E. Write report</w:t>
            </w:r>
          </w:p>
        </w:tc>
        <w:tc>
          <w:tcPr>
            <w:tcW w:w="0" w:type="auto"/>
            <w:tcBorders>
              <w:top w:val="nil"/>
              <w:left w:val="single" w:sz="4" w:space="0" w:color="auto"/>
              <w:bottom w:val="single" w:sz="4" w:space="0" w:color="auto"/>
              <w:right w:val="single" w:sz="4" w:space="0" w:color="auto"/>
            </w:tcBorders>
            <w:shd w:val="clear" w:color="auto" w:fill="auto"/>
            <w:hideMark/>
          </w:tcPr>
          <w:p w:rsidR="000119B9" w:rsidRPr="000119B9" w:rsidP="000119B9" w14:paraId="32FC49F7"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13AE55D6"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21FA2B3"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32B16A18"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B3FF5FB"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FCC812A"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3840013"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1A03AE40"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r>
      <w:tr w14:paraId="0BEAAB26"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36F3589D" w14:textId="77777777">
            <w:pPr>
              <w:spacing w:after="0" w:line="240" w:lineRule="auto"/>
              <w:ind w:firstLine="400" w:firstLineChars="2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i</w:t>
            </w:r>
            <w:r w:rsidRPr="000119B9">
              <w:rPr>
                <w:rFonts w:ascii="Times New Roman" w:eastAsia="Times New Roman" w:hAnsi="Times New Roman" w:cs="Times New Roman"/>
                <w:color w:val="000000"/>
                <w:sz w:val="20"/>
                <w:szCs w:val="20"/>
              </w:rPr>
              <w:t>. Notification of actual startup</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309B5D25"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35133AD"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D384884"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342D389"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5B9F1AE"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97981EB"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579E8D1"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0E5689A"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$0 </w:t>
            </w:r>
          </w:p>
        </w:tc>
      </w:tr>
      <w:tr w14:paraId="6A524667" w14:textId="77777777" w:rsidTr="000119B9">
        <w:tblPrEx>
          <w:tblW w:w="0" w:type="auto"/>
          <w:tblLook w:val="04A0"/>
        </w:tblPrEx>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44B4840E" w14:textId="77777777">
            <w:pPr>
              <w:spacing w:after="0" w:line="240" w:lineRule="auto"/>
              <w:ind w:firstLine="400" w:firstLineChars="2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ii. Notification of stack test </w:t>
            </w:r>
            <w:r w:rsidRPr="000119B9">
              <w:rPr>
                <w:rFonts w:ascii="Times New Roman" w:eastAsia="Times New Roman" w:hAnsi="Times New Roman" w:cs="Times New Roman"/>
                <w:color w:val="000000"/>
                <w:sz w:val="20"/>
                <w:szCs w:val="20"/>
                <w:vertAlign w:val="superscript"/>
              </w:rPr>
              <w:t>e</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5C3AF037"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C1E53BB"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127F2067"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20ABF60"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15C82F1"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46</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51832D0"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7C62388A"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4.6</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F20044F"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$6,670.44 </w:t>
            </w:r>
          </w:p>
        </w:tc>
      </w:tr>
      <w:tr w14:paraId="514CF081" w14:textId="77777777" w:rsidTr="000119B9">
        <w:tblPrEx>
          <w:tblW w:w="0" w:type="auto"/>
          <w:tblLook w:val="04A0"/>
        </w:tblPrEx>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7163D959" w14:textId="77777777">
            <w:pPr>
              <w:spacing w:after="0" w:line="240" w:lineRule="auto"/>
              <w:ind w:left="339" w:firstLine="60" w:firstLineChars="3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iii. Report of emission level </w:t>
            </w:r>
            <w:r w:rsidRPr="000119B9">
              <w:rPr>
                <w:rFonts w:ascii="Times New Roman" w:eastAsia="Times New Roman" w:hAnsi="Times New Roman" w:cs="Times New Roman"/>
                <w:color w:val="000000"/>
                <w:sz w:val="20"/>
                <w:szCs w:val="20"/>
              </w:rPr>
              <w:t xml:space="preserve">determination/operational change </w:t>
            </w:r>
            <w:r w:rsidRPr="000119B9">
              <w:rPr>
                <w:rFonts w:ascii="Times New Roman" w:eastAsia="Times New Roman" w:hAnsi="Times New Roman" w:cs="Times New Roman"/>
                <w:color w:val="000000"/>
                <w:sz w:val="20"/>
                <w:szCs w:val="20"/>
                <w:vertAlign w:val="superscript"/>
              </w:rPr>
              <w:t>f</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1E9615CF"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7ECF5E04"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7456CC04"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0DDAC5D"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132A4FD1"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184</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944CB35"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9.2</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F3498A1"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18.4</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FD0334D"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$26,681.75 </w:t>
            </w:r>
          </w:p>
        </w:tc>
      </w:tr>
      <w:tr w14:paraId="76D1769D"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0FB37569" w14:textId="77777777">
            <w:pPr>
              <w:spacing w:after="0" w:line="240" w:lineRule="auto"/>
              <w:ind w:firstLine="400" w:firstLineChars="2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iv. Plan for locating monitors</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72ABE9E0"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8382113"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C59A28E"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05BDF476"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358024C"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25CF6A0"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036E29E0"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449305F"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$0 </w:t>
            </w:r>
          </w:p>
        </w:tc>
      </w:tr>
      <w:tr w14:paraId="2CDCCCE5" w14:textId="77777777" w:rsidTr="000119B9">
        <w:tblPrEx>
          <w:tblW w:w="0" w:type="auto"/>
          <w:tblLook w:val="04A0"/>
        </w:tblPrEx>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5CC05786" w14:textId="77777777">
            <w:pPr>
              <w:spacing w:after="0" w:line="240" w:lineRule="auto"/>
              <w:ind w:firstLine="400" w:firstLineChars="2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v. Report monthly ambient concentrations </w:t>
            </w:r>
            <w:r w:rsidRPr="000119B9">
              <w:rPr>
                <w:rFonts w:ascii="Times New Roman" w:eastAsia="Times New Roman" w:hAnsi="Times New Roman" w:cs="Times New Roman"/>
                <w:color w:val="000000"/>
                <w:sz w:val="20"/>
                <w:szCs w:val="20"/>
                <w:vertAlign w:val="superscript"/>
              </w:rPr>
              <w:t>g</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59EA9E7F"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18CF60C8"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6C088AF"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96</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03488BFA"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112EA69A"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5BA1EF0"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48</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1041C87D"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96</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6B51B15"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$139,209.12 </w:t>
            </w:r>
          </w:p>
        </w:tc>
      </w:tr>
      <w:tr w14:paraId="49D7DB82"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2DAD45FC" w14:textId="77777777">
            <w:pPr>
              <w:spacing w:after="0" w:line="240" w:lineRule="auto"/>
              <w:rPr>
                <w:rFonts w:ascii="Times New Roman" w:eastAsia="Times New Roman" w:hAnsi="Times New Roman" w:cs="Times New Roman"/>
                <w:b/>
                <w:bCs/>
                <w:i/>
                <w:iCs/>
                <w:color w:val="000000"/>
                <w:sz w:val="20"/>
                <w:szCs w:val="20"/>
              </w:rPr>
            </w:pPr>
            <w:r w:rsidRPr="000119B9">
              <w:rPr>
                <w:rFonts w:ascii="Times New Roman" w:eastAsia="Times New Roman" w:hAnsi="Times New Roman" w:cs="Times New Roman"/>
                <w:b/>
                <w:bCs/>
                <w:i/>
                <w:iCs/>
                <w:color w:val="000000"/>
                <w:sz w:val="20"/>
                <w:szCs w:val="20"/>
              </w:rPr>
              <w:t>Subtotal for Reporting Requirements</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B629163" w14:textId="77777777">
            <w:pPr>
              <w:spacing w:after="0" w:line="240" w:lineRule="auto"/>
              <w:rPr>
                <w:rFonts w:ascii="Times New Roman" w:eastAsia="Times New Roman" w:hAnsi="Times New Roman" w:cs="Times New Roman"/>
                <w:b/>
                <w:bCs/>
                <w:i/>
                <w:iCs/>
                <w:color w:val="000000"/>
                <w:sz w:val="20"/>
                <w:szCs w:val="20"/>
              </w:rPr>
            </w:pPr>
            <w:r w:rsidRPr="000119B9">
              <w:rPr>
                <w:rFonts w:ascii="Times New Roman" w:eastAsia="Times New Roman" w:hAnsi="Times New Roman" w:cs="Times New Roman"/>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F706FB0" w14:textId="77777777">
            <w:pPr>
              <w:spacing w:after="0" w:line="240" w:lineRule="auto"/>
              <w:rPr>
                <w:rFonts w:ascii="Times New Roman" w:eastAsia="Times New Roman" w:hAnsi="Times New Roman" w:cs="Times New Roman"/>
                <w:b/>
                <w:bCs/>
                <w:i/>
                <w:iCs/>
                <w:color w:val="000000"/>
                <w:sz w:val="20"/>
                <w:szCs w:val="20"/>
              </w:rPr>
            </w:pPr>
            <w:r w:rsidRPr="000119B9">
              <w:rPr>
                <w:rFonts w:ascii="Times New Roman" w:eastAsia="Times New Roman" w:hAnsi="Times New Roman" w:cs="Times New Roman"/>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7797BFE"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A969CEE" w14:textId="77777777">
            <w:pPr>
              <w:spacing w:after="0" w:line="240" w:lineRule="auto"/>
              <w:rPr>
                <w:rFonts w:ascii="Times New Roman" w:eastAsia="Times New Roman" w:hAnsi="Times New Roman" w:cs="Times New Roman"/>
                <w:b/>
                <w:bCs/>
                <w:i/>
                <w:iCs/>
                <w:color w:val="000000"/>
                <w:sz w:val="20"/>
                <w:szCs w:val="20"/>
              </w:rPr>
            </w:pPr>
            <w:r w:rsidRPr="000119B9">
              <w:rPr>
                <w:rFonts w:ascii="Times New Roman" w:eastAsia="Times New Roman" w:hAnsi="Times New Roman" w:cs="Times New Roman"/>
                <w:b/>
                <w:bCs/>
                <w:i/>
                <w:iCs/>
                <w:color w:val="000000"/>
                <w:sz w:val="20"/>
                <w:szCs w:val="20"/>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19B9" w:rsidRPr="000119B9" w:rsidP="000119B9" w14:paraId="2F0F589D" w14:textId="77777777">
            <w:pPr>
              <w:spacing w:after="0" w:line="240" w:lineRule="auto"/>
              <w:jc w:val="center"/>
              <w:rPr>
                <w:rFonts w:ascii="Times New Roman" w:eastAsia="Times New Roman" w:hAnsi="Times New Roman" w:cs="Times New Roman"/>
                <w:b/>
                <w:bCs/>
                <w:i/>
                <w:iCs/>
                <w:color w:val="000000"/>
                <w:sz w:val="20"/>
                <w:szCs w:val="20"/>
              </w:rPr>
            </w:pPr>
            <w:r w:rsidRPr="000119B9">
              <w:rPr>
                <w:rFonts w:ascii="Times New Roman" w:eastAsia="Times New Roman" w:hAnsi="Times New Roman" w:cs="Times New Roman"/>
                <w:b/>
                <w:bCs/>
                <w:i/>
                <w:iCs/>
                <w:color w:val="000000"/>
                <w:sz w:val="20"/>
                <w:szCs w:val="20"/>
              </w:rPr>
              <w:t>1,618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19B9" w:rsidRPr="000119B9" w:rsidP="000119B9" w14:paraId="7AC74610" w14:textId="77777777">
            <w:pPr>
              <w:spacing w:after="0" w:line="240" w:lineRule="auto"/>
              <w:jc w:val="right"/>
              <w:rPr>
                <w:rFonts w:ascii="Times New Roman" w:eastAsia="Times New Roman" w:hAnsi="Times New Roman" w:cs="Times New Roman"/>
                <w:b/>
                <w:bCs/>
                <w:i/>
                <w:iCs/>
                <w:color w:val="000000"/>
                <w:sz w:val="20"/>
                <w:szCs w:val="20"/>
              </w:rPr>
            </w:pPr>
            <w:r w:rsidRPr="000119B9">
              <w:rPr>
                <w:rFonts w:ascii="Times New Roman" w:eastAsia="Times New Roman" w:hAnsi="Times New Roman" w:cs="Times New Roman"/>
                <w:b/>
                <w:bCs/>
                <w:i/>
                <w:iCs/>
                <w:color w:val="000000"/>
                <w:sz w:val="20"/>
                <w:szCs w:val="20"/>
              </w:rPr>
              <w:t xml:space="preserve">$204,028 </w:t>
            </w:r>
          </w:p>
        </w:tc>
      </w:tr>
      <w:tr w14:paraId="47E7B791"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790CE244"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4. Recordkeeping requirements</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7E5134F3"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0C693E00"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C7C32E2"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03B8DA60"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659E5948"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06D41925"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11D548D5"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E57C32F"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r>
      <w:tr w14:paraId="495C5175"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1F7A192F" w14:textId="77777777">
            <w:pPr>
              <w:spacing w:after="0" w:line="240" w:lineRule="auto"/>
              <w:ind w:firstLine="200" w:firstLineChars="1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A. Read instructions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119B9" w:rsidRPr="000119B9" w:rsidP="000119B9" w14:paraId="2A24DBF2"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See 3A</w:t>
            </w:r>
          </w:p>
        </w:tc>
        <w:tc>
          <w:tcPr>
            <w:tcW w:w="0" w:type="auto"/>
            <w:tcBorders>
              <w:top w:val="single" w:sz="4" w:space="0" w:color="auto"/>
              <w:left w:val="nil"/>
              <w:bottom w:val="single" w:sz="4" w:space="0" w:color="auto"/>
              <w:right w:val="single" w:sz="4" w:space="0" w:color="auto"/>
            </w:tcBorders>
            <w:shd w:val="clear" w:color="auto" w:fill="auto"/>
            <w:hideMark/>
          </w:tcPr>
          <w:p w:rsidR="000119B9" w:rsidRPr="000119B9" w:rsidP="000119B9" w14:paraId="63168B68"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19B9" w:rsidRPr="000119B9" w:rsidP="000119B9" w14:paraId="72EF1355"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119B9" w:rsidRPr="000119B9" w:rsidP="000119B9" w14:paraId="58C59C10"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119B9" w:rsidRPr="000119B9" w:rsidP="000119B9" w14:paraId="3000F924"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119B9" w:rsidRPr="000119B9" w:rsidP="000119B9" w14:paraId="3062A010"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119B9" w:rsidRPr="000119B9" w:rsidP="000119B9" w14:paraId="52A35250"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19B9" w:rsidRPr="000119B9" w:rsidP="000119B9" w14:paraId="5E99B25C"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r>
      <w:tr w14:paraId="33E8B996"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75ADCDC4" w14:textId="77777777">
            <w:pPr>
              <w:spacing w:after="0" w:line="240" w:lineRule="auto"/>
              <w:ind w:firstLine="200" w:firstLineChars="1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B. Plan activities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27BBD75C"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See 4C</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6C41A156"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CD753EF"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5BBBBCAF"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4C425CA4"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28E8DBF7"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084B6B26"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05A512B"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r>
      <w:tr w14:paraId="1C89DEA8"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0224769A" w14:textId="77777777">
            <w:pPr>
              <w:spacing w:after="0" w:line="240" w:lineRule="auto"/>
              <w:ind w:firstLine="200" w:firstLineChars="1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C. Implement activities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4BE6B3E2"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See 3B</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6C8FB8F2"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0B71692"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6AE9C637"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25660A64"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56A97312"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3DB06416"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2FC8512"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r>
      <w:tr w14:paraId="55BBB755"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702F81B5" w14:textId="77777777">
            <w:pPr>
              <w:spacing w:after="0" w:line="240" w:lineRule="auto"/>
              <w:ind w:firstLine="200" w:firstLineChars="1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D. Develop record system</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6990032C"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54D6AA17"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A481EE7"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4BD668FF"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7B86D9BF"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7F5C6FCA"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18399EE2"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7590F95F"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r>
      <w:tr w14:paraId="49BA904E"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1D75219B" w14:textId="77777777">
            <w:pPr>
              <w:spacing w:after="0" w:line="240" w:lineRule="auto"/>
              <w:ind w:firstLine="200" w:firstLineChars="1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E. Time to enter information</w:t>
            </w:r>
          </w:p>
        </w:tc>
        <w:tc>
          <w:tcPr>
            <w:tcW w:w="0" w:type="auto"/>
            <w:tcBorders>
              <w:top w:val="nil"/>
              <w:left w:val="single" w:sz="4" w:space="0" w:color="auto"/>
              <w:bottom w:val="single" w:sz="4" w:space="0" w:color="auto"/>
              <w:right w:val="single" w:sz="4" w:space="0" w:color="auto"/>
            </w:tcBorders>
            <w:shd w:val="clear" w:color="auto" w:fill="auto"/>
            <w:hideMark/>
          </w:tcPr>
          <w:p w:rsidR="000119B9" w:rsidRPr="000119B9" w:rsidP="000119B9" w14:paraId="3196F61A"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076BFF2B"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528BF2E"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173B2825"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537FE483"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6C6E63F5"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61FD9D32"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9847648"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r>
      <w:tr w14:paraId="61DFE8F7" w14:textId="77777777" w:rsidTr="000119B9">
        <w:tblPrEx>
          <w:tblW w:w="0" w:type="auto"/>
          <w:tblLook w:val="04A0"/>
        </w:tblPrEx>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153EEC9C" w14:textId="77777777">
            <w:pPr>
              <w:spacing w:after="0" w:line="240" w:lineRule="auto"/>
              <w:ind w:left="339" w:firstLine="60" w:firstLineChars="3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i</w:t>
            </w:r>
            <w:r w:rsidRPr="000119B9">
              <w:rPr>
                <w:rFonts w:ascii="Times New Roman" w:eastAsia="Times New Roman" w:hAnsi="Times New Roman" w:cs="Times New Roman"/>
                <w:color w:val="000000"/>
                <w:sz w:val="20"/>
                <w:szCs w:val="20"/>
              </w:rPr>
              <w:t xml:space="preserve">. Records of operating parameters and emissions </w:t>
            </w:r>
            <w:r w:rsidRPr="000119B9">
              <w:rPr>
                <w:rFonts w:ascii="Times New Roman" w:eastAsia="Times New Roman" w:hAnsi="Times New Roman" w:cs="Times New Roman"/>
                <w:color w:val="000000"/>
                <w:sz w:val="20"/>
                <w:szCs w:val="20"/>
                <w:vertAlign w:val="superscript"/>
              </w:rPr>
              <w:t>h</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2A07E235"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0.25</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0B7DD450"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365</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7546B85B"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91.25</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51B7D36"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7A9F47B9"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912.5</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B8F6C82"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45.63</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8428B12"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91.25</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0BDE1532"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xml:space="preserve">$132,321.17 </w:t>
            </w:r>
          </w:p>
        </w:tc>
      </w:tr>
      <w:tr w14:paraId="571AB206"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65F948B5" w14:textId="77777777">
            <w:pPr>
              <w:spacing w:after="0" w:line="240" w:lineRule="auto"/>
              <w:ind w:firstLine="200" w:firstLineChars="1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F. Time to train personnel</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2767470F"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401DD53A"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5389F68C"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6EC448F3"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7B2F8849"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698C5C04"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48B2FD43"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15AADE31" w14:textId="77777777">
            <w:pPr>
              <w:spacing w:after="0" w:line="240" w:lineRule="auto"/>
              <w:jc w:val="right"/>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r>
      <w:tr w14:paraId="406C2300"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362C812C" w14:textId="77777777">
            <w:pPr>
              <w:spacing w:after="0" w:line="240" w:lineRule="auto"/>
              <w:ind w:firstLine="200" w:firstLineChars="100"/>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G. Time for audits</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64644B86" w14:textId="77777777">
            <w:pPr>
              <w:spacing w:after="0" w:line="240" w:lineRule="auto"/>
              <w:jc w:val="center"/>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76B24C03"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311B045B"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7482D4DF"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5A2D6998"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1B38CC5B"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119B9" w:rsidRPr="000119B9" w:rsidP="000119B9" w14:paraId="6D047441" w14:textId="77777777">
            <w:pPr>
              <w:spacing w:after="0" w:line="240" w:lineRule="auto"/>
              <w:rPr>
                <w:rFonts w:ascii="Times New Roman" w:eastAsia="Times New Roman" w:hAnsi="Times New Roman" w:cs="Times New Roman"/>
                <w:color w:val="000000"/>
                <w:sz w:val="20"/>
                <w:szCs w:val="20"/>
              </w:rPr>
            </w:pPr>
            <w:r w:rsidRPr="000119B9">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EECE077" w14:textId="77777777">
            <w:pPr>
              <w:spacing w:after="0" w:line="240" w:lineRule="auto"/>
              <w:jc w:val="right"/>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r>
      <w:tr w14:paraId="5A8034F7" w14:textId="77777777" w:rsidTr="000119B9">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0F8794D0" w14:textId="77777777">
            <w:pPr>
              <w:spacing w:after="0" w:line="240" w:lineRule="auto"/>
              <w:rPr>
                <w:rFonts w:ascii="Times New Roman" w:eastAsia="Times New Roman" w:hAnsi="Times New Roman" w:cs="Times New Roman"/>
                <w:b/>
                <w:bCs/>
                <w:i/>
                <w:iCs/>
                <w:color w:val="000000"/>
                <w:sz w:val="20"/>
                <w:szCs w:val="20"/>
              </w:rPr>
            </w:pPr>
            <w:r w:rsidRPr="000119B9">
              <w:rPr>
                <w:rFonts w:ascii="Times New Roman" w:eastAsia="Times New Roman" w:hAnsi="Times New Roman" w:cs="Times New Roman"/>
                <w:b/>
                <w:bCs/>
                <w:i/>
                <w:iCs/>
                <w:color w:val="000000"/>
                <w:sz w:val="20"/>
                <w:szCs w:val="20"/>
              </w:rPr>
              <w:t>Subtotal for Recordkeeping Requirements</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F64B2EC" w14:textId="77777777">
            <w:pPr>
              <w:spacing w:after="0" w:line="240" w:lineRule="auto"/>
              <w:rPr>
                <w:rFonts w:ascii="Times New Roman" w:eastAsia="Times New Roman" w:hAnsi="Times New Roman" w:cs="Times New Roman"/>
                <w:b/>
                <w:bCs/>
                <w:i/>
                <w:iCs/>
                <w:color w:val="000000"/>
                <w:sz w:val="20"/>
                <w:szCs w:val="20"/>
              </w:rPr>
            </w:pPr>
            <w:r w:rsidRPr="000119B9">
              <w:rPr>
                <w:rFonts w:ascii="Times New Roman" w:eastAsia="Times New Roman" w:hAnsi="Times New Roman" w:cs="Times New Roman"/>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530ECE3" w14:textId="77777777">
            <w:pPr>
              <w:spacing w:after="0" w:line="240" w:lineRule="auto"/>
              <w:rPr>
                <w:rFonts w:ascii="Times New Roman" w:eastAsia="Times New Roman" w:hAnsi="Times New Roman" w:cs="Times New Roman"/>
                <w:b/>
                <w:bCs/>
                <w:i/>
                <w:iCs/>
                <w:color w:val="000000"/>
                <w:sz w:val="20"/>
                <w:szCs w:val="20"/>
              </w:rPr>
            </w:pPr>
            <w:r w:rsidRPr="000119B9">
              <w:rPr>
                <w:rFonts w:ascii="Times New Roman" w:eastAsia="Times New Roman" w:hAnsi="Times New Roman" w:cs="Times New Roman"/>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0FCA28C" w14:textId="77777777">
            <w:pPr>
              <w:spacing w:after="0" w:line="240" w:lineRule="auto"/>
              <w:rPr>
                <w:rFonts w:ascii="Times New Roman" w:eastAsia="Times New Roman" w:hAnsi="Times New Roman" w:cs="Times New Roman"/>
                <w:b/>
                <w:bCs/>
                <w:i/>
                <w:iCs/>
                <w:color w:val="000000"/>
                <w:sz w:val="20"/>
                <w:szCs w:val="20"/>
              </w:rPr>
            </w:pPr>
            <w:r w:rsidRPr="000119B9">
              <w:rPr>
                <w:rFonts w:ascii="Times New Roman" w:eastAsia="Times New Roman" w:hAnsi="Times New Roman" w:cs="Times New Roman"/>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6F4A5C8" w14:textId="77777777">
            <w:pPr>
              <w:spacing w:after="0" w:line="240" w:lineRule="auto"/>
              <w:rPr>
                <w:rFonts w:ascii="Times New Roman" w:eastAsia="Times New Roman" w:hAnsi="Times New Roman" w:cs="Times New Roman"/>
                <w:b/>
                <w:bCs/>
                <w:i/>
                <w:iCs/>
                <w:color w:val="000000"/>
                <w:sz w:val="20"/>
                <w:szCs w:val="20"/>
              </w:rPr>
            </w:pPr>
            <w:r w:rsidRPr="000119B9">
              <w:rPr>
                <w:rFonts w:ascii="Times New Roman" w:eastAsia="Times New Roman" w:hAnsi="Times New Roman" w:cs="Times New Roman"/>
                <w:b/>
                <w:bCs/>
                <w:i/>
                <w:iCs/>
                <w:color w:val="000000"/>
                <w:sz w:val="20"/>
                <w:szCs w:val="20"/>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19B9" w:rsidRPr="000119B9" w:rsidP="000119B9" w14:paraId="5288CA17" w14:textId="77777777">
            <w:pPr>
              <w:spacing w:after="0" w:line="240" w:lineRule="auto"/>
              <w:jc w:val="center"/>
              <w:rPr>
                <w:rFonts w:ascii="Times New Roman" w:eastAsia="Times New Roman" w:hAnsi="Times New Roman" w:cs="Times New Roman"/>
                <w:b/>
                <w:bCs/>
                <w:i/>
                <w:iCs/>
                <w:color w:val="000000"/>
                <w:sz w:val="20"/>
                <w:szCs w:val="20"/>
              </w:rPr>
            </w:pPr>
            <w:r w:rsidRPr="000119B9">
              <w:rPr>
                <w:rFonts w:ascii="Times New Roman" w:eastAsia="Times New Roman" w:hAnsi="Times New Roman" w:cs="Times New Roman"/>
                <w:b/>
                <w:bCs/>
                <w:i/>
                <w:iCs/>
                <w:color w:val="000000"/>
                <w:sz w:val="20"/>
                <w:szCs w:val="20"/>
              </w:rPr>
              <w:t>1,049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19B9" w:rsidRPr="000119B9" w:rsidP="000119B9" w14:paraId="64BDA56D" w14:textId="77777777">
            <w:pPr>
              <w:spacing w:after="0" w:line="240" w:lineRule="auto"/>
              <w:jc w:val="right"/>
              <w:rPr>
                <w:rFonts w:ascii="Times New Roman" w:eastAsia="Times New Roman" w:hAnsi="Times New Roman" w:cs="Times New Roman"/>
                <w:b/>
                <w:bCs/>
                <w:i/>
                <w:iCs/>
                <w:color w:val="000000"/>
                <w:sz w:val="20"/>
                <w:szCs w:val="20"/>
              </w:rPr>
            </w:pPr>
            <w:r w:rsidRPr="000119B9">
              <w:rPr>
                <w:rFonts w:ascii="Times New Roman" w:eastAsia="Times New Roman" w:hAnsi="Times New Roman" w:cs="Times New Roman"/>
                <w:b/>
                <w:bCs/>
                <w:i/>
                <w:iCs/>
                <w:color w:val="000000"/>
                <w:sz w:val="20"/>
                <w:szCs w:val="20"/>
              </w:rPr>
              <w:t>132,321</w:t>
            </w:r>
          </w:p>
        </w:tc>
      </w:tr>
      <w:tr w14:paraId="5E5B9F9D" w14:textId="77777777" w:rsidTr="000119B9">
        <w:tblPrEx>
          <w:tblW w:w="0" w:type="auto"/>
          <w:tblLook w:val="04A0"/>
        </w:tblPrEx>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037CD6EE" w14:textId="77777777">
            <w:pPr>
              <w:spacing w:after="0" w:line="240" w:lineRule="auto"/>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TOTAL LABOR BURDEN AND COST (rounded)</w:t>
            </w:r>
            <w:r w:rsidRPr="000119B9">
              <w:rPr>
                <w:rFonts w:ascii="Times New Roman" w:eastAsia="Times New Roman" w:hAnsi="Times New Roman" w:cs="Times New Roman"/>
                <w:color w:val="000000"/>
                <w:sz w:val="20"/>
                <w:szCs w:val="20"/>
              </w:rPr>
              <w:t> </w:t>
            </w:r>
            <w:r w:rsidRPr="000119B9">
              <w:rPr>
                <w:rFonts w:ascii="Times New Roman" w:eastAsia="Times New Roman" w:hAnsi="Times New Roman" w:cs="Times New Roman"/>
                <w:color w:val="000000"/>
                <w:sz w:val="20"/>
                <w:szCs w:val="20"/>
                <w:vertAlign w:val="superscript"/>
              </w:rPr>
              <w:t>i</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74E0ADA" w14:textId="77777777">
            <w:pPr>
              <w:spacing w:after="0" w:line="240" w:lineRule="auto"/>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8033559" w14:textId="77777777">
            <w:pPr>
              <w:spacing w:after="0" w:line="240" w:lineRule="auto"/>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E225D3D" w14:textId="77777777">
            <w:pPr>
              <w:spacing w:after="0" w:line="240" w:lineRule="auto"/>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75FD90F" w14:textId="77777777">
            <w:pPr>
              <w:spacing w:after="0" w:line="240" w:lineRule="auto"/>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19B9" w:rsidRPr="000119B9" w:rsidP="000119B9" w14:paraId="7316DD80"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2,670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19B9" w:rsidRPr="000119B9" w:rsidP="000119B9" w14:paraId="4F3C7B86" w14:textId="77777777">
            <w:pPr>
              <w:spacing w:after="0" w:line="240" w:lineRule="auto"/>
              <w:jc w:val="right"/>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xml:space="preserve">$336,000 </w:t>
            </w:r>
          </w:p>
        </w:tc>
      </w:tr>
      <w:tr w14:paraId="35618E7C" w14:textId="77777777" w:rsidTr="000119B9">
        <w:tblPrEx>
          <w:tblW w:w="0" w:type="auto"/>
          <w:tblLook w:val="04A0"/>
        </w:tblPrEx>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7C07455D" w14:textId="77777777">
            <w:pPr>
              <w:spacing w:after="0" w:line="240" w:lineRule="auto"/>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xml:space="preserve">TOTAL CAPITAL AND O&amp;M COST (rounded) </w:t>
            </w:r>
            <w:r w:rsidRPr="000119B9">
              <w:rPr>
                <w:rFonts w:ascii="Times New Roman" w:eastAsia="Times New Roman" w:hAnsi="Times New Roman" w:cs="Times New Roman"/>
                <w:b/>
                <w:bCs/>
                <w:color w:val="000000"/>
                <w:sz w:val="20"/>
                <w:szCs w:val="20"/>
                <w:vertAlign w:val="superscript"/>
              </w:rPr>
              <w:t>i</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3DFD003D" w14:textId="77777777">
            <w:pPr>
              <w:spacing w:after="0" w:line="240" w:lineRule="auto"/>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DFEFCF4" w14:textId="77777777">
            <w:pPr>
              <w:spacing w:after="0" w:line="240" w:lineRule="auto"/>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A3AD97C" w14:textId="77777777">
            <w:pPr>
              <w:spacing w:after="0" w:line="240" w:lineRule="auto"/>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EB63068" w14:textId="77777777">
            <w:pPr>
              <w:spacing w:after="0" w:line="240" w:lineRule="auto"/>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1E6BCEC4"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8E7E589"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635D7250"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119B9" w:rsidRPr="000119B9" w:rsidP="000119B9" w14:paraId="12F75416" w14:textId="77777777">
            <w:pPr>
              <w:spacing w:after="0" w:line="240" w:lineRule="auto"/>
              <w:jc w:val="right"/>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xml:space="preserve">$72,400 </w:t>
            </w:r>
          </w:p>
        </w:tc>
      </w:tr>
      <w:tr w14:paraId="6EA43E04" w14:textId="77777777" w:rsidTr="000119B9">
        <w:tblPrEx>
          <w:tblW w:w="0" w:type="auto"/>
          <w:tblLook w:val="04A0"/>
        </w:tblPrEx>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7AA3F140" w14:textId="77777777">
            <w:pPr>
              <w:spacing w:after="0" w:line="240" w:lineRule="auto"/>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xml:space="preserve">GRAND TOTAL (rounded) </w:t>
            </w:r>
            <w:r w:rsidRPr="000119B9">
              <w:rPr>
                <w:rFonts w:ascii="Times New Roman" w:eastAsia="Times New Roman" w:hAnsi="Times New Roman" w:cs="Times New Roman"/>
                <w:b/>
                <w:bCs/>
                <w:color w:val="000000"/>
                <w:sz w:val="20"/>
                <w:szCs w:val="20"/>
                <w:vertAlign w:val="superscript"/>
              </w:rPr>
              <w:t>i</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7E6B2C04" w14:textId="77777777">
            <w:pPr>
              <w:spacing w:after="0" w:line="240" w:lineRule="auto"/>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70849ABF" w14:textId="77777777">
            <w:pPr>
              <w:spacing w:after="0" w:line="240" w:lineRule="auto"/>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A3196FC" w14:textId="77777777">
            <w:pPr>
              <w:spacing w:after="0" w:line="240" w:lineRule="auto"/>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4B7A164A" w14:textId="77777777">
            <w:pPr>
              <w:spacing w:after="0" w:line="240" w:lineRule="auto"/>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25B5FF6F"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5215040A"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119B9" w:rsidRPr="000119B9" w:rsidP="000119B9" w14:paraId="0B48CEC0" w14:textId="77777777">
            <w:pPr>
              <w:spacing w:after="0" w:line="240" w:lineRule="auto"/>
              <w:jc w:val="center"/>
              <w:rPr>
                <w:rFonts w:ascii="Times New Roman" w:eastAsia="Times New Roman" w:hAnsi="Times New Roman" w:cs="Times New Roman"/>
                <w:b/>
                <w:bCs/>
                <w:color w:val="000000"/>
                <w:sz w:val="20"/>
                <w:szCs w:val="20"/>
              </w:rPr>
            </w:pPr>
            <w:r w:rsidRPr="000119B9">
              <w:rPr>
                <w:rFonts w:ascii="Times New Roman" w:eastAsia="Times New Roman" w:hAnsi="Times New Roman" w:cs="Times New Roman"/>
                <w:b/>
                <w:bCs/>
                <w:color w:val="000000"/>
                <w:sz w:val="20"/>
                <w:szCs w:val="20"/>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119B9" w:rsidRPr="000119B9" w:rsidP="000119B9" w14:paraId="03304A6F" w14:textId="77777777">
            <w:pPr>
              <w:spacing w:after="0" w:line="240" w:lineRule="auto"/>
              <w:jc w:val="right"/>
              <w:rPr>
                <w:rFonts w:ascii="Times New Roman" w:eastAsia="Times New Roman" w:hAnsi="Times New Roman" w:cs="Times New Roman"/>
                <w:b/>
                <w:bCs/>
                <w:color w:val="000000"/>
                <w:sz w:val="20"/>
                <w:szCs w:val="20"/>
              </w:rPr>
            </w:pPr>
            <w:bookmarkStart w:id="25" w:name="_Hlk138074249"/>
            <w:r w:rsidRPr="000119B9">
              <w:rPr>
                <w:rFonts w:ascii="Times New Roman" w:eastAsia="Times New Roman" w:hAnsi="Times New Roman" w:cs="Times New Roman"/>
                <w:b/>
                <w:bCs/>
                <w:color w:val="000000"/>
                <w:sz w:val="20"/>
                <w:szCs w:val="20"/>
              </w:rPr>
              <w:t xml:space="preserve">$408,000 </w:t>
            </w:r>
            <w:bookmarkEnd w:id="25"/>
          </w:p>
        </w:tc>
      </w:tr>
    </w:tbl>
    <w:p w:rsidR="000119B9" w:rsidRPr="000119B9" w:rsidP="000119B9" w14:paraId="7AEA1AC6" w14:textId="77777777">
      <w:pPr>
        <w:pStyle w:val="NoSpacing"/>
        <w:rPr>
          <w:b/>
          <w:bCs/>
          <w:sz w:val="20"/>
          <w:szCs w:val="20"/>
        </w:rPr>
      </w:pPr>
      <w:r w:rsidRPr="000119B9">
        <w:rPr>
          <w:b/>
          <w:bCs/>
          <w:sz w:val="20"/>
          <w:szCs w:val="20"/>
        </w:rPr>
        <w:t>Assumptions:</w:t>
      </w:r>
    </w:p>
    <w:p w:rsidR="000119B9" w:rsidRPr="000119B9" w:rsidP="000119B9" w14:paraId="02120662" w14:textId="77777777">
      <w:pPr>
        <w:pStyle w:val="NoSpacing"/>
        <w:rPr>
          <w:sz w:val="20"/>
          <w:szCs w:val="20"/>
        </w:rPr>
      </w:pPr>
      <w:r w:rsidRPr="000119B9">
        <w:rPr>
          <w:sz w:val="20"/>
          <w:szCs w:val="20"/>
          <w:vertAlign w:val="superscript"/>
        </w:rPr>
        <w:t>a</w:t>
      </w:r>
      <w:r w:rsidRPr="000119B9">
        <w:rPr>
          <w:sz w:val="20"/>
          <w:szCs w:val="20"/>
        </w:rPr>
        <w:t xml:space="preserve"> For the purpose of determining recordkeeping and reporting burdens associated with this rule, we have assumed there are 33 respondents, and that no new additional sources will be subject over the three-year period of this ICR. Of a total of approximately 236 existing sources, we have assumed approximately 10 sources have elected to comply with the rule by monitoring ambient air beryllium concentrations and that the remaining 226 sources have complied by conducting a one-time-only stack test. We also have assumed that 10 percent of the 226 sources (i.e., 23 respondents) will engage in operational changes that will require them to repeat stack testing and to carry out subsequent recordkeeping and reporting requirements.</w:t>
      </w:r>
    </w:p>
    <w:p w:rsidR="000119B9" w:rsidRPr="000119B9" w:rsidP="000119B9" w14:paraId="088B992C" w14:textId="77777777">
      <w:pPr>
        <w:pStyle w:val="NoSpacing"/>
        <w:rPr>
          <w:sz w:val="20"/>
          <w:szCs w:val="20"/>
        </w:rPr>
      </w:pPr>
      <w:r w:rsidRPr="000119B9">
        <w:rPr>
          <w:sz w:val="20"/>
          <w:szCs w:val="20"/>
          <w:vertAlign w:val="superscript"/>
        </w:rPr>
        <w:t>b</w:t>
      </w:r>
      <w:r w:rsidRPr="000119B9">
        <w:rPr>
          <w:sz w:val="20"/>
          <w:szCs w:val="20"/>
        </w:rPr>
        <w:t xml:space="preserve"> This ICR uses the following labor rates: $163.17 ($77.70 + 110%) per hour for Executive, Administrative, and Managerial labor; $130.28 ($62.04 + 110%) per hour for Technical labor, and $65.71 ($31.29 + 110%) per hour for Clerical labor. These rates are from the United States Department of Labor, Bureau of Labor Statistics, September 2022, “Table 2. Civilian workers by occupational and industry group.” The rates are from column 1, “Total </w:t>
      </w:r>
      <w:r w:rsidRPr="000119B9">
        <w:rPr>
          <w:sz w:val="20"/>
          <w:szCs w:val="20"/>
        </w:rPr>
        <w:t>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0119B9" w:rsidRPr="000119B9" w:rsidP="000119B9" w14:paraId="6E7FEFF8" w14:textId="77777777">
      <w:pPr>
        <w:pStyle w:val="NoSpacing"/>
        <w:rPr>
          <w:sz w:val="20"/>
          <w:szCs w:val="20"/>
        </w:rPr>
      </w:pPr>
      <w:r w:rsidRPr="000119B9">
        <w:rPr>
          <w:sz w:val="20"/>
          <w:szCs w:val="20"/>
          <w:vertAlign w:val="superscript"/>
        </w:rPr>
        <w:t>c</w:t>
      </w:r>
      <w:r w:rsidRPr="000119B9">
        <w:rPr>
          <w:sz w:val="20"/>
          <w:szCs w:val="20"/>
        </w:rPr>
        <w:t xml:space="preserve"> We have assumed that all existing respondents will have to familiarize with the regulatory requirements each year.</w:t>
      </w:r>
    </w:p>
    <w:p w:rsidR="000119B9" w:rsidRPr="000119B9" w:rsidP="000119B9" w14:paraId="3D25FCC3" w14:textId="77777777">
      <w:pPr>
        <w:pStyle w:val="NoSpacing"/>
        <w:rPr>
          <w:sz w:val="20"/>
          <w:szCs w:val="20"/>
        </w:rPr>
      </w:pPr>
      <w:r w:rsidRPr="000119B9">
        <w:rPr>
          <w:sz w:val="20"/>
          <w:szCs w:val="20"/>
          <w:vertAlign w:val="superscript"/>
        </w:rPr>
        <w:t>d</w:t>
      </w:r>
      <w:r w:rsidRPr="000119B9">
        <w:rPr>
          <w:sz w:val="20"/>
          <w:szCs w:val="20"/>
        </w:rPr>
        <w:t xml:space="preserve"> We have assumed that each respondent will take eight hours to determine the emission level from the stack test.</w:t>
      </w:r>
    </w:p>
    <w:p w:rsidR="000119B9" w:rsidRPr="000119B9" w:rsidP="000119B9" w14:paraId="755EA352" w14:textId="77777777">
      <w:pPr>
        <w:pStyle w:val="NoSpacing"/>
        <w:rPr>
          <w:sz w:val="20"/>
          <w:szCs w:val="20"/>
        </w:rPr>
      </w:pPr>
      <w:r w:rsidRPr="000119B9">
        <w:rPr>
          <w:sz w:val="20"/>
          <w:szCs w:val="20"/>
          <w:vertAlign w:val="superscript"/>
        </w:rPr>
        <w:t>e</w:t>
      </w:r>
      <w:r w:rsidRPr="000119B9">
        <w:rPr>
          <w:sz w:val="20"/>
          <w:szCs w:val="20"/>
        </w:rPr>
        <w:t xml:space="preserve"> We have assumed that each respondent will take two hours to write notification report of stack test.</w:t>
      </w:r>
    </w:p>
    <w:p w:rsidR="000119B9" w:rsidRPr="000119B9" w:rsidP="000119B9" w14:paraId="4AAC82DD" w14:textId="77777777">
      <w:pPr>
        <w:pStyle w:val="NoSpacing"/>
        <w:rPr>
          <w:sz w:val="20"/>
          <w:szCs w:val="20"/>
        </w:rPr>
      </w:pPr>
      <w:r w:rsidRPr="000119B9">
        <w:rPr>
          <w:sz w:val="20"/>
          <w:szCs w:val="20"/>
          <w:vertAlign w:val="superscript"/>
        </w:rPr>
        <w:t>f</w:t>
      </w:r>
      <w:r w:rsidRPr="000119B9">
        <w:rPr>
          <w:sz w:val="20"/>
          <w:szCs w:val="20"/>
        </w:rPr>
        <w:t xml:space="preserve"> We have assumed that each respondent will take eight hours to complete the report of emission level determination/operational change.</w:t>
      </w:r>
    </w:p>
    <w:p w:rsidR="000119B9" w:rsidRPr="000119B9" w:rsidP="000119B9" w14:paraId="57253EB6" w14:textId="77777777">
      <w:pPr>
        <w:pStyle w:val="NoSpacing"/>
        <w:rPr>
          <w:sz w:val="20"/>
          <w:szCs w:val="20"/>
        </w:rPr>
      </w:pPr>
      <w:r w:rsidRPr="000119B9">
        <w:rPr>
          <w:sz w:val="20"/>
          <w:szCs w:val="20"/>
          <w:vertAlign w:val="superscript"/>
        </w:rPr>
        <w:t>g</w:t>
      </w:r>
      <w:r w:rsidRPr="000119B9">
        <w:rPr>
          <w:sz w:val="20"/>
          <w:szCs w:val="20"/>
        </w:rPr>
        <w:t xml:space="preserve"> We have assumed that each respondent will take eight hours once per month to write the monthly ambient concentrations report.</w:t>
      </w:r>
    </w:p>
    <w:p w:rsidR="000119B9" w:rsidRPr="000119B9" w:rsidP="000119B9" w14:paraId="4AE3B192" w14:textId="77777777">
      <w:pPr>
        <w:pStyle w:val="NoSpacing"/>
        <w:rPr>
          <w:sz w:val="20"/>
          <w:szCs w:val="20"/>
        </w:rPr>
      </w:pPr>
      <w:r w:rsidRPr="000119B9">
        <w:rPr>
          <w:sz w:val="20"/>
          <w:szCs w:val="20"/>
          <w:vertAlign w:val="superscript"/>
        </w:rPr>
        <w:t xml:space="preserve">h </w:t>
      </w:r>
      <w:r w:rsidRPr="000119B9">
        <w:rPr>
          <w:sz w:val="20"/>
          <w:szCs w:val="20"/>
        </w:rPr>
        <w:t>We have assumed that each of the ten respondents will take fifteen minutes each day to enter records of operating parameters and emissions information.</w:t>
      </w:r>
    </w:p>
    <w:p w:rsidR="000119B9" w:rsidRPr="000119B9" w:rsidP="000119B9" w14:paraId="519BE5F4" w14:textId="1C2005A2">
      <w:pPr>
        <w:pStyle w:val="NoSpacing"/>
        <w:rPr>
          <w:sz w:val="20"/>
          <w:szCs w:val="20"/>
        </w:rPr>
      </w:pPr>
      <w:r w:rsidRPr="000119B9">
        <w:rPr>
          <w:sz w:val="20"/>
          <w:szCs w:val="20"/>
          <w:vertAlign w:val="superscript"/>
        </w:rPr>
        <w:t>i</w:t>
      </w:r>
      <w:r w:rsidRPr="000119B9">
        <w:rPr>
          <w:sz w:val="20"/>
          <w:szCs w:val="20"/>
        </w:rPr>
        <w:t xml:space="preserve"> Totals have been rounded to 3 significant figures. Figures may not add exactly due to rounding.</w:t>
      </w:r>
    </w:p>
    <w:p w:rsidR="00037ED4" w14:paraId="5BF67233" w14:textId="5141AE61">
      <w:r>
        <w:br w:type="page"/>
      </w:r>
    </w:p>
    <w:p w:rsidR="000119B9" w:rsidRPr="00037ED4" w:rsidP="00DE7D97" w14:paraId="5FCB9554" w14:textId="255EC908">
      <w:pPr>
        <w:pBdr>
          <w:top w:val="single" w:sz="6" w:space="0" w:color="FFFFFF"/>
          <w:left w:val="single" w:sz="6" w:space="0" w:color="FFFFFF"/>
          <w:bottom w:val="single" w:sz="6" w:space="0" w:color="FFFFFF"/>
          <w:right w:val="single" w:sz="6" w:space="0" w:color="FFFFFF"/>
        </w:pBdr>
        <w:rPr>
          <w:b/>
          <w:bCs/>
        </w:rPr>
      </w:pPr>
      <w:r w:rsidRPr="00037ED4">
        <w:rPr>
          <w:b/>
          <w:bCs/>
        </w:rPr>
        <w:t>Table 2: Average Annual EPA Burden and Cost – NESHAP for Beryllium (40 CFR Part 61, Subpart C) (Renewal)</w:t>
      </w:r>
    </w:p>
    <w:tbl>
      <w:tblPr>
        <w:tblW w:w="0" w:type="auto"/>
        <w:tblInd w:w="-5" w:type="dxa"/>
        <w:tblLook w:val="04A0"/>
      </w:tblPr>
      <w:tblGrid>
        <w:gridCol w:w="1919"/>
        <w:gridCol w:w="911"/>
        <w:gridCol w:w="968"/>
        <w:gridCol w:w="920"/>
        <w:gridCol w:w="1018"/>
        <w:gridCol w:w="830"/>
        <w:gridCol w:w="1042"/>
        <w:gridCol w:w="869"/>
        <w:gridCol w:w="878"/>
      </w:tblGrid>
      <w:tr w14:paraId="445FCDC4" w14:textId="77777777" w:rsidTr="00037ED4">
        <w:tblPrEx>
          <w:tblW w:w="0" w:type="auto"/>
          <w:tblInd w:w="-5" w:type="dxa"/>
          <w:tblLook w:val="04A0"/>
        </w:tblPrEx>
        <w:trPr>
          <w:trHeight w:val="17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37ED4" w:rsidRPr="00037ED4" w:rsidP="00037ED4" w14:paraId="6E9CEC05" w14:textId="77777777">
            <w:pPr>
              <w:spacing w:after="0" w:line="240" w:lineRule="auto"/>
              <w:jc w:val="center"/>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Burden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37ED4" w:rsidRPr="00037ED4" w:rsidP="00037ED4" w14:paraId="15175DE7" w14:textId="77777777">
            <w:pPr>
              <w:spacing w:after="0" w:line="240" w:lineRule="auto"/>
              <w:jc w:val="center"/>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 xml:space="preserve">(A) </w:t>
            </w:r>
            <w:r w:rsidRPr="00037ED4">
              <w:rPr>
                <w:rFonts w:ascii="Times New Roman" w:eastAsia="Times New Roman" w:hAnsi="Times New Roman" w:cs="Times New Roman"/>
                <w:b/>
                <w:bCs/>
                <w:color w:val="000000"/>
                <w:sz w:val="20"/>
                <w:szCs w:val="20"/>
              </w:rPr>
              <w:br/>
              <w:t>Technical person-hours per occurrence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37ED4" w:rsidRPr="00037ED4" w:rsidP="00037ED4" w14:paraId="3C7A118D" w14:textId="77777777">
            <w:pPr>
              <w:spacing w:after="0" w:line="240" w:lineRule="auto"/>
              <w:jc w:val="center"/>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(B)</w:t>
            </w:r>
            <w:r w:rsidRPr="00037ED4">
              <w:rPr>
                <w:rFonts w:ascii="Times New Roman" w:eastAsia="Times New Roman" w:hAnsi="Times New Roman" w:cs="Times New Roman"/>
                <w:b/>
                <w:bCs/>
                <w:color w:val="000000"/>
                <w:sz w:val="20"/>
                <w:szCs w:val="20"/>
              </w:rPr>
              <w:br/>
              <w:t>No. of occurrences per respondent per year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37ED4" w:rsidRPr="00037ED4" w:rsidP="00037ED4" w14:paraId="320035A0" w14:textId="77777777">
            <w:pPr>
              <w:spacing w:after="0" w:line="240" w:lineRule="auto"/>
              <w:jc w:val="center"/>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(C)</w:t>
            </w:r>
            <w:r w:rsidRPr="00037ED4">
              <w:rPr>
                <w:rFonts w:ascii="Times New Roman" w:eastAsia="Times New Roman" w:hAnsi="Times New Roman" w:cs="Times New Roman"/>
                <w:b/>
                <w:bCs/>
                <w:color w:val="000000"/>
                <w:sz w:val="20"/>
                <w:szCs w:val="20"/>
              </w:rPr>
              <w:br/>
              <w:t xml:space="preserve">Technical person-hours per respondent per year </w:t>
            </w:r>
            <w:r w:rsidRPr="00037ED4">
              <w:rPr>
                <w:rFonts w:ascii="Times New Roman" w:eastAsia="Times New Roman" w:hAnsi="Times New Roman" w:cs="Times New Roman"/>
                <w:b/>
                <w:bCs/>
                <w:color w:val="000000"/>
                <w:sz w:val="20"/>
                <w:szCs w:val="20"/>
              </w:rPr>
              <w:br/>
              <w:t>(C=</w:t>
            </w:r>
            <w:r w:rsidRPr="00037ED4">
              <w:rPr>
                <w:rFonts w:ascii="Times New Roman" w:eastAsia="Times New Roman" w:hAnsi="Times New Roman" w:cs="Times New Roman"/>
                <w:b/>
                <w:bCs/>
                <w:color w:val="000000"/>
                <w:sz w:val="20"/>
                <w:szCs w:val="20"/>
              </w:rPr>
              <w:t>AxB</w:t>
            </w:r>
            <w:r w:rsidRPr="00037ED4">
              <w:rPr>
                <w:rFonts w:ascii="Times New Roman" w:eastAsia="Times New Roman" w:hAnsi="Times New Roman" w:cs="Times New Roman"/>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37ED4" w:rsidRPr="00037ED4" w:rsidP="00037ED4" w14:paraId="4D160813" w14:textId="77777777">
            <w:pPr>
              <w:spacing w:after="0" w:line="240" w:lineRule="auto"/>
              <w:jc w:val="center"/>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 xml:space="preserve">(D) </w:t>
            </w:r>
            <w:r w:rsidRPr="00037ED4">
              <w:rPr>
                <w:rFonts w:ascii="Times New Roman" w:eastAsia="Times New Roman" w:hAnsi="Times New Roman" w:cs="Times New Roman"/>
                <w:b/>
                <w:bCs/>
                <w:color w:val="000000"/>
                <w:sz w:val="20"/>
                <w:szCs w:val="20"/>
              </w:rPr>
              <w:br/>
              <w:t xml:space="preserve">Respondents per year </w:t>
            </w:r>
            <w:r w:rsidRPr="00037ED4">
              <w:rPr>
                <w:rFonts w:ascii="Times New Roman" w:eastAsia="Times New Roman" w:hAnsi="Times New Roman" w:cs="Times New Roman"/>
                <w:b/>
                <w:bCs/>
                <w:color w:val="000000"/>
                <w:sz w:val="20"/>
                <w:szCs w:val="20"/>
                <w:vertAlign w:val="superscript"/>
              </w:rPr>
              <w: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37ED4" w:rsidRPr="00037ED4" w:rsidP="00037ED4" w14:paraId="6140AFA5" w14:textId="77777777">
            <w:pPr>
              <w:spacing w:after="0" w:line="240" w:lineRule="auto"/>
              <w:jc w:val="center"/>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(E)</w:t>
            </w:r>
            <w:r w:rsidRPr="00037ED4">
              <w:rPr>
                <w:rFonts w:ascii="Times New Roman" w:eastAsia="Times New Roman" w:hAnsi="Times New Roman" w:cs="Times New Roman"/>
                <w:b/>
                <w:bCs/>
                <w:color w:val="000000"/>
                <w:sz w:val="20"/>
                <w:szCs w:val="20"/>
              </w:rPr>
              <w:br/>
              <w:t xml:space="preserve">Technical hours per year </w:t>
            </w:r>
            <w:r w:rsidRPr="00037ED4">
              <w:rPr>
                <w:rFonts w:ascii="Times New Roman" w:eastAsia="Times New Roman" w:hAnsi="Times New Roman" w:cs="Times New Roman"/>
                <w:b/>
                <w:bCs/>
                <w:color w:val="000000"/>
                <w:sz w:val="20"/>
                <w:szCs w:val="20"/>
              </w:rPr>
              <w:br/>
              <w:t>(E=</w:t>
            </w:r>
            <w:r w:rsidRPr="00037ED4">
              <w:rPr>
                <w:rFonts w:ascii="Times New Roman" w:eastAsia="Times New Roman" w:hAnsi="Times New Roman" w:cs="Times New Roman"/>
                <w:b/>
                <w:bCs/>
                <w:color w:val="000000"/>
                <w:sz w:val="20"/>
                <w:szCs w:val="20"/>
              </w:rPr>
              <w:t>CxD</w:t>
            </w:r>
            <w:r w:rsidRPr="00037ED4">
              <w:rPr>
                <w:rFonts w:ascii="Times New Roman" w:eastAsia="Times New Roman" w:hAnsi="Times New Roman" w:cs="Times New Roman"/>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37ED4" w:rsidRPr="00037ED4" w:rsidP="00037ED4" w14:paraId="099F389E" w14:textId="77777777">
            <w:pPr>
              <w:spacing w:after="0" w:line="240" w:lineRule="auto"/>
              <w:jc w:val="center"/>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(F)</w:t>
            </w:r>
            <w:r w:rsidRPr="00037ED4">
              <w:rPr>
                <w:rFonts w:ascii="Times New Roman" w:eastAsia="Times New Roman" w:hAnsi="Times New Roman" w:cs="Times New Roman"/>
                <w:b/>
                <w:bCs/>
                <w:color w:val="000000"/>
                <w:sz w:val="20"/>
                <w:szCs w:val="20"/>
              </w:rPr>
              <w:br/>
              <w:t xml:space="preserve">Management hours per year </w:t>
            </w:r>
            <w:r w:rsidRPr="00037ED4">
              <w:rPr>
                <w:rFonts w:ascii="Times New Roman" w:eastAsia="Times New Roman" w:hAnsi="Times New Roman" w:cs="Times New Roman"/>
                <w:b/>
                <w:bCs/>
                <w:color w:val="000000"/>
                <w:sz w:val="20"/>
                <w:szCs w:val="20"/>
              </w:rPr>
              <w:br/>
              <w:t>(F=Ex0.05)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37ED4" w:rsidRPr="00037ED4" w:rsidP="00037ED4" w14:paraId="3C4BB98D" w14:textId="77777777">
            <w:pPr>
              <w:spacing w:after="0" w:line="240" w:lineRule="auto"/>
              <w:jc w:val="center"/>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(G)</w:t>
            </w:r>
            <w:r w:rsidRPr="00037ED4">
              <w:rPr>
                <w:rFonts w:ascii="Times New Roman" w:eastAsia="Times New Roman" w:hAnsi="Times New Roman" w:cs="Times New Roman"/>
                <w:b/>
                <w:bCs/>
                <w:color w:val="000000"/>
                <w:sz w:val="20"/>
                <w:szCs w:val="20"/>
              </w:rPr>
              <w:br/>
              <w:t>Clerical hours per year (G=Ex0.1)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37ED4" w:rsidRPr="00037ED4" w:rsidP="00037ED4" w14:paraId="401A19E2" w14:textId="77777777">
            <w:pPr>
              <w:spacing w:after="0" w:line="240" w:lineRule="auto"/>
              <w:jc w:val="center"/>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 xml:space="preserve">Total cost per year ($) </w:t>
            </w:r>
            <w:r w:rsidRPr="00037ED4">
              <w:rPr>
                <w:rFonts w:ascii="Times New Roman" w:eastAsia="Times New Roman" w:hAnsi="Times New Roman" w:cs="Times New Roman"/>
                <w:b/>
                <w:bCs/>
                <w:color w:val="000000"/>
                <w:sz w:val="20"/>
                <w:szCs w:val="20"/>
                <w:vertAlign w:val="superscript"/>
              </w:rPr>
              <w:t>b</w:t>
            </w:r>
            <w:r w:rsidRPr="00037ED4">
              <w:rPr>
                <w:rFonts w:ascii="Times New Roman" w:eastAsia="Times New Roman" w:hAnsi="Times New Roman" w:cs="Times New Roman"/>
                <w:b/>
                <w:bCs/>
                <w:color w:val="000000"/>
                <w:sz w:val="20"/>
                <w:szCs w:val="20"/>
              </w:rPr>
              <w:t xml:space="preserve"> </w:t>
            </w:r>
          </w:p>
        </w:tc>
      </w:tr>
      <w:tr w14:paraId="0364C720" w14:textId="77777777" w:rsidTr="00037ED4">
        <w:tblPrEx>
          <w:tblW w:w="0" w:type="auto"/>
          <w:tblInd w:w="-5" w:type="dxa"/>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2A65A9CD"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Initial performance test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37ED4" w:rsidRPr="00037ED4" w:rsidP="00037ED4" w14:paraId="192FEFE5"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37ED4" w:rsidRPr="00037ED4" w:rsidP="00037ED4" w14:paraId="5F12F689"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37ED4" w:rsidRPr="00037ED4" w:rsidP="00037ED4" w14:paraId="7588D782"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37ED4" w:rsidRPr="00037ED4" w:rsidP="00037ED4" w14:paraId="1DC08C17"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37ED4" w:rsidRPr="00037ED4" w:rsidP="00037ED4" w14:paraId="7ECB1D8D"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37ED4" w:rsidRPr="00037ED4" w:rsidP="00037ED4" w14:paraId="5139AA33"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037ED4" w:rsidRPr="00037ED4" w:rsidP="00037ED4" w14:paraId="2C4349A9"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37ED4" w:rsidRPr="00037ED4" w:rsidP="00037ED4" w14:paraId="2C6D97C9" w14:textId="77777777">
            <w:pPr>
              <w:spacing w:after="0" w:line="240" w:lineRule="auto"/>
              <w:jc w:val="right"/>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r>
      <w:tr w14:paraId="7C9EE906" w14:textId="77777777" w:rsidTr="00037ED4">
        <w:tblPrEx>
          <w:tblW w:w="0" w:type="auto"/>
          <w:tblInd w:w="-5" w:type="dxa"/>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4C37C694"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New plant</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12C9FF33"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6A4FFC6D"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1993C495"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54E93995"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1252DE7A"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102D9D87"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41010827"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5FA29E47" w14:textId="77777777">
            <w:pPr>
              <w:spacing w:after="0" w:line="240" w:lineRule="auto"/>
              <w:jc w:val="right"/>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xml:space="preserve">$0 </w:t>
            </w:r>
          </w:p>
        </w:tc>
      </w:tr>
      <w:tr w14:paraId="4C15DB85" w14:textId="77777777" w:rsidTr="00037ED4">
        <w:tblPrEx>
          <w:tblW w:w="0" w:type="auto"/>
          <w:tblInd w:w="-5" w:type="dxa"/>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775E8635"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Report review</w:t>
            </w:r>
          </w:p>
        </w:tc>
        <w:tc>
          <w:tcPr>
            <w:tcW w:w="0" w:type="auto"/>
            <w:tcBorders>
              <w:top w:val="nil"/>
              <w:left w:val="single" w:sz="4" w:space="0" w:color="auto"/>
              <w:bottom w:val="single" w:sz="4" w:space="0" w:color="auto"/>
              <w:right w:val="single" w:sz="4" w:space="0" w:color="auto"/>
            </w:tcBorders>
            <w:shd w:val="clear" w:color="auto" w:fill="auto"/>
            <w:hideMark/>
          </w:tcPr>
          <w:p w:rsidR="00037ED4" w:rsidRPr="00037ED4" w:rsidP="00037ED4" w14:paraId="004FA95A"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37ED4" w:rsidRPr="00037ED4" w:rsidP="00037ED4" w14:paraId="0B208C2F"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nil"/>
              <w:left w:val="nil"/>
              <w:bottom w:val="nil"/>
              <w:right w:val="nil"/>
            </w:tcBorders>
            <w:shd w:val="clear" w:color="auto" w:fill="auto"/>
            <w:vAlign w:val="bottom"/>
            <w:hideMark/>
          </w:tcPr>
          <w:p w:rsidR="00037ED4" w:rsidRPr="00037ED4" w:rsidP="00037ED4" w14:paraId="7AAE9A2C" w14:textId="77777777">
            <w:pPr>
              <w:spacing w:after="0" w:line="240" w:lineRule="auto"/>
              <w:jc w:val="center"/>
              <w:rPr>
                <w:rFonts w:ascii="Times New Roman" w:eastAsia="Times New Roman" w:hAnsi="Times New Roman" w:cs="Times New Roman"/>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hideMark/>
          </w:tcPr>
          <w:p w:rsidR="00037ED4" w:rsidRPr="00037ED4" w:rsidP="00037ED4" w14:paraId="175D93EC"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7C00785B"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39164108"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25C9A10E"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4334650F" w14:textId="77777777">
            <w:pPr>
              <w:spacing w:after="0" w:line="240" w:lineRule="auto"/>
              <w:jc w:val="right"/>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r>
      <w:tr w14:paraId="15283F97" w14:textId="77777777" w:rsidTr="00037ED4">
        <w:tblPrEx>
          <w:tblW w:w="0" w:type="auto"/>
          <w:tblInd w:w="-5" w:type="dxa"/>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7D936CCE" w14:textId="77777777">
            <w:pPr>
              <w:spacing w:after="0" w:line="240" w:lineRule="auto"/>
              <w:ind w:firstLine="200" w:firstLineChars="100"/>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Notification of construction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1BC225D5"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02320DC3"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37ED4" w:rsidRPr="00037ED4" w:rsidP="00037ED4" w14:paraId="554699DA"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108919E4"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76B2F433"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4A4F4775"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5E7521F4"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4EA46E4C" w14:textId="77777777">
            <w:pPr>
              <w:spacing w:after="0" w:line="240" w:lineRule="auto"/>
              <w:jc w:val="right"/>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xml:space="preserve">$0 </w:t>
            </w:r>
          </w:p>
        </w:tc>
      </w:tr>
      <w:tr w14:paraId="46093134" w14:textId="77777777" w:rsidTr="00037ED4">
        <w:tblPrEx>
          <w:tblW w:w="0" w:type="auto"/>
          <w:tblInd w:w="-5" w:type="dxa"/>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441C3F80" w14:textId="77777777">
            <w:pPr>
              <w:spacing w:after="0" w:line="240" w:lineRule="auto"/>
              <w:ind w:left="159" w:firstLine="40" w:firstLineChars="20"/>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xml:space="preserve">Request to use ambient air concentration alternative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0ABCDB75"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0A3BD5B3"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3481DE5D"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753C614F"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286E1780"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22885076"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628372DE"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67DA8ABC" w14:textId="77777777">
            <w:pPr>
              <w:spacing w:after="0" w:line="240" w:lineRule="auto"/>
              <w:jc w:val="right"/>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xml:space="preserve">$0 </w:t>
            </w:r>
          </w:p>
        </w:tc>
      </w:tr>
      <w:tr w14:paraId="2F2BE34E" w14:textId="77777777" w:rsidTr="00037ED4">
        <w:tblPrEx>
          <w:tblW w:w="0" w:type="auto"/>
          <w:tblInd w:w="-5" w:type="dxa"/>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69B168BC" w14:textId="77777777">
            <w:pPr>
              <w:spacing w:after="0" w:line="240" w:lineRule="auto"/>
              <w:ind w:firstLine="200" w:firstLineChars="100"/>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Notification of actual startup</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560BF420"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0.5</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23A144D2"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7CD9F3EB"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0.5</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506F7116"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5E52366D"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12FEE0D9"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570491DD"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655CAB7E" w14:textId="77777777">
            <w:pPr>
              <w:spacing w:after="0" w:line="240" w:lineRule="auto"/>
              <w:jc w:val="right"/>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xml:space="preserve">$0 </w:t>
            </w:r>
          </w:p>
        </w:tc>
      </w:tr>
      <w:tr w14:paraId="24EBA126" w14:textId="77777777" w:rsidTr="00037ED4">
        <w:tblPrEx>
          <w:tblW w:w="0" w:type="auto"/>
          <w:tblInd w:w="-5" w:type="dxa"/>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41BBFBB5" w14:textId="77777777">
            <w:pPr>
              <w:spacing w:after="0" w:line="240" w:lineRule="auto"/>
              <w:ind w:firstLine="200" w:firstLineChars="100"/>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Notification of initial stack test</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63B41675"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0.5</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0ECE8031"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23188AAE"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0.5</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7F8CF57F"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5DB3037E"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3799EA71"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26C3B995"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3DB35C60" w14:textId="77777777">
            <w:pPr>
              <w:spacing w:after="0" w:line="240" w:lineRule="auto"/>
              <w:jc w:val="right"/>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xml:space="preserve">$0 </w:t>
            </w:r>
          </w:p>
        </w:tc>
      </w:tr>
      <w:tr w14:paraId="10A37A55" w14:textId="77777777" w:rsidTr="00037ED4">
        <w:tblPrEx>
          <w:tblW w:w="0" w:type="auto"/>
          <w:tblInd w:w="-5" w:type="dxa"/>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7E91F336" w14:textId="77777777">
            <w:pPr>
              <w:spacing w:after="0" w:line="240" w:lineRule="auto"/>
              <w:ind w:firstLine="200" w:firstLineChars="100"/>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Report of initial analysis</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402C589A"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004FDAB3"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1285B4D6"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2E7724E0"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2BCE70E3"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29CD7368"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49D1266F"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77BC5F5D" w14:textId="77777777">
            <w:pPr>
              <w:spacing w:after="0" w:line="240" w:lineRule="auto"/>
              <w:jc w:val="right"/>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xml:space="preserve">$0 </w:t>
            </w:r>
          </w:p>
        </w:tc>
      </w:tr>
      <w:tr w14:paraId="1C8F7AB0" w14:textId="77777777" w:rsidTr="00037ED4">
        <w:tblPrEx>
          <w:tblW w:w="0" w:type="auto"/>
          <w:tblInd w:w="-5" w:type="dxa"/>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6A98D8FB"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Existing plant</w:t>
            </w:r>
          </w:p>
        </w:tc>
        <w:tc>
          <w:tcPr>
            <w:tcW w:w="0" w:type="auto"/>
            <w:tcBorders>
              <w:top w:val="nil"/>
              <w:left w:val="single" w:sz="4" w:space="0" w:color="auto"/>
              <w:bottom w:val="single" w:sz="4" w:space="0" w:color="auto"/>
              <w:right w:val="single" w:sz="4" w:space="0" w:color="auto"/>
            </w:tcBorders>
            <w:shd w:val="clear" w:color="auto" w:fill="auto"/>
            <w:hideMark/>
          </w:tcPr>
          <w:p w:rsidR="00037ED4" w:rsidRPr="00037ED4" w:rsidP="00037ED4" w14:paraId="04C907AE"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37ED4" w:rsidRPr="00037ED4" w:rsidP="00037ED4" w14:paraId="2F38404E"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1C07BC9E"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037ED4" w:rsidRPr="00037ED4" w:rsidP="00037ED4" w14:paraId="6FDBA96D" w14:textId="77777777">
            <w:pPr>
              <w:spacing w:after="0" w:line="240" w:lineRule="auto"/>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58FFA4FF"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6269A1C7"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097032A7"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3053DE9A" w14:textId="77777777">
            <w:pPr>
              <w:spacing w:after="0" w:line="240" w:lineRule="auto"/>
              <w:jc w:val="right"/>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w:t>
            </w:r>
          </w:p>
        </w:tc>
      </w:tr>
      <w:tr w14:paraId="0745A6D8" w14:textId="77777777" w:rsidTr="00037ED4">
        <w:tblPrEx>
          <w:tblW w:w="0" w:type="auto"/>
          <w:tblInd w:w="-5" w:type="dxa"/>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47626304" w14:textId="77777777">
            <w:pPr>
              <w:spacing w:after="0" w:line="240" w:lineRule="auto"/>
              <w:ind w:firstLine="200" w:firstLineChars="100"/>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Notification of stack test</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247D6952"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7A3E3299"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3F28002F"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7C9BD46D"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01315323"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920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5C4F0ACE"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46</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5F5E574E"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92</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414821CE" w14:textId="77777777">
            <w:pPr>
              <w:spacing w:after="0" w:line="240" w:lineRule="auto"/>
              <w:jc w:val="right"/>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xml:space="preserve">$56,242.36 </w:t>
            </w:r>
          </w:p>
        </w:tc>
      </w:tr>
      <w:tr w14:paraId="3BB20E73" w14:textId="77777777" w:rsidTr="00037ED4">
        <w:tblPrEx>
          <w:tblW w:w="0" w:type="auto"/>
          <w:tblInd w:w="-5" w:type="dxa"/>
          <w:tblLook w:val="04A0"/>
        </w:tblPrEx>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161E5921" w14:textId="77777777">
            <w:pPr>
              <w:spacing w:after="0" w:line="240" w:lineRule="auto"/>
              <w:ind w:left="249"/>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xml:space="preserve">Report of emission level determination/operational change </w:t>
            </w:r>
            <w:r w:rsidRPr="00037ED4">
              <w:rPr>
                <w:rFonts w:ascii="Times New Roman" w:eastAsia="Times New Roman" w:hAnsi="Times New Roman" w:cs="Times New Roman"/>
                <w:color w:val="000000"/>
                <w:sz w:val="20"/>
                <w:szCs w:val="20"/>
                <w:vertAlign w:val="superscript"/>
              </w:rPr>
              <w:t>c</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254E045B"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3D09E7D5"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400FA8E0"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33CE72B1"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1212B790"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46</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7318B8D2"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16774242"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4.6</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78359C17" w14:textId="77777777">
            <w:pPr>
              <w:spacing w:after="0" w:line="240" w:lineRule="auto"/>
              <w:jc w:val="right"/>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xml:space="preserve">$2,812.12 </w:t>
            </w:r>
          </w:p>
        </w:tc>
      </w:tr>
      <w:tr w14:paraId="641CA789" w14:textId="77777777" w:rsidTr="00037ED4">
        <w:tblPrEx>
          <w:tblW w:w="0" w:type="auto"/>
          <w:tblInd w:w="-5" w:type="dxa"/>
          <w:tblLook w:val="04A0"/>
        </w:tblPrEx>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38E1216D" w14:textId="77777777">
            <w:pPr>
              <w:spacing w:after="0" w:line="240" w:lineRule="auto"/>
              <w:ind w:left="249"/>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xml:space="preserve">Report of monthly ambient concentrations </w:t>
            </w:r>
            <w:r w:rsidRPr="00037ED4">
              <w:rPr>
                <w:rFonts w:ascii="Times New Roman" w:eastAsia="Times New Roman" w:hAnsi="Times New Roman" w:cs="Times New Roman"/>
                <w:color w:val="000000"/>
                <w:sz w:val="20"/>
                <w:szCs w:val="20"/>
                <w:vertAlign w:val="superscript"/>
              </w:rPr>
              <w:t>d</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2FCC2FA9"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474D30CC"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7755EA1B"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36031282"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2EE9D314"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240</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5B53758A"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2BD10FB8" w14:textId="77777777">
            <w:pPr>
              <w:spacing w:after="0" w:line="240" w:lineRule="auto"/>
              <w:jc w:val="center"/>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0E54BE7E" w14:textId="77777777">
            <w:pPr>
              <w:spacing w:after="0" w:line="240" w:lineRule="auto"/>
              <w:jc w:val="right"/>
              <w:rPr>
                <w:rFonts w:ascii="Times New Roman" w:eastAsia="Times New Roman" w:hAnsi="Times New Roman" w:cs="Times New Roman"/>
                <w:color w:val="000000"/>
                <w:sz w:val="20"/>
                <w:szCs w:val="20"/>
              </w:rPr>
            </w:pPr>
            <w:r w:rsidRPr="00037ED4">
              <w:rPr>
                <w:rFonts w:ascii="Times New Roman" w:eastAsia="Times New Roman" w:hAnsi="Times New Roman" w:cs="Times New Roman"/>
                <w:color w:val="000000"/>
                <w:sz w:val="20"/>
                <w:szCs w:val="20"/>
              </w:rPr>
              <w:t xml:space="preserve">$14,671.92 </w:t>
            </w:r>
          </w:p>
        </w:tc>
      </w:tr>
      <w:tr w14:paraId="5BC99E84" w14:textId="77777777" w:rsidTr="00037ED4">
        <w:tblPrEx>
          <w:tblW w:w="0" w:type="auto"/>
          <w:tblInd w:w="-5" w:type="dxa"/>
          <w:tblLook w:val="04A0"/>
        </w:tblPrEx>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7ED4" w:rsidRPr="00037ED4" w:rsidP="00037ED4" w14:paraId="3A5422B7" w14:textId="77777777">
            <w:pPr>
              <w:spacing w:after="0" w:line="240" w:lineRule="auto"/>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 xml:space="preserve">TOTAL (rounded) </w:t>
            </w:r>
            <w:r w:rsidRPr="00037ED4">
              <w:rPr>
                <w:rFonts w:ascii="Times New Roman" w:eastAsia="Times New Roman" w:hAnsi="Times New Roman" w:cs="Times New Roman"/>
                <w:b/>
                <w:bCs/>
                <w:color w:val="000000"/>
                <w:sz w:val="20"/>
                <w:szCs w:val="20"/>
                <w:vertAlign w:val="superscript"/>
              </w:rPr>
              <w:t>e</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48C48831" w14:textId="77777777">
            <w:pPr>
              <w:spacing w:after="0" w:line="240" w:lineRule="auto"/>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36A9A51B" w14:textId="77777777">
            <w:pPr>
              <w:spacing w:after="0" w:line="240" w:lineRule="auto"/>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252FC677" w14:textId="77777777">
            <w:pPr>
              <w:spacing w:after="0" w:line="240" w:lineRule="auto"/>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37ED4" w:rsidRPr="00037ED4" w:rsidP="00037ED4" w14:paraId="34DD8BE9" w14:textId="77777777">
            <w:pPr>
              <w:spacing w:after="0" w:line="240" w:lineRule="auto"/>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37ED4" w:rsidRPr="00037ED4" w:rsidP="00037ED4" w14:paraId="324D4AD4" w14:textId="77777777">
            <w:pPr>
              <w:spacing w:after="0" w:line="240" w:lineRule="auto"/>
              <w:jc w:val="center"/>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1,390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37ED4" w:rsidRPr="00037ED4" w:rsidP="00037ED4" w14:paraId="5A3C710B" w14:textId="77777777">
            <w:pPr>
              <w:spacing w:after="0" w:line="240" w:lineRule="auto"/>
              <w:jc w:val="right"/>
              <w:rPr>
                <w:rFonts w:ascii="Times New Roman" w:eastAsia="Times New Roman" w:hAnsi="Times New Roman" w:cs="Times New Roman"/>
                <w:b/>
                <w:bCs/>
                <w:color w:val="000000"/>
                <w:sz w:val="20"/>
                <w:szCs w:val="20"/>
              </w:rPr>
            </w:pPr>
            <w:r w:rsidRPr="00037ED4">
              <w:rPr>
                <w:rFonts w:ascii="Times New Roman" w:eastAsia="Times New Roman" w:hAnsi="Times New Roman" w:cs="Times New Roman"/>
                <w:b/>
                <w:bCs/>
                <w:color w:val="000000"/>
                <w:sz w:val="20"/>
                <w:szCs w:val="20"/>
              </w:rPr>
              <w:t xml:space="preserve">$73,700 </w:t>
            </w:r>
          </w:p>
        </w:tc>
      </w:tr>
    </w:tbl>
    <w:p w:rsidR="00037ED4" w:rsidRPr="00037ED4" w:rsidP="00037ED4" w14:paraId="750FE773" w14:textId="77777777">
      <w:pPr>
        <w:pStyle w:val="NoSpacing"/>
        <w:rPr>
          <w:b/>
          <w:bCs/>
          <w:sz w:val="20"/>
          <w:szCs w:val="20"/>
        </w:rPr>
      </w:pPr>
      <w:r w:rsidRPr="00037ED4">
        <w:rPr>
          <w:b/>
          <w:bCs/>
          <w:sz w:val="20"/>
          <w:szCs w:val="20"/>
        </w:rPr>
        <w:t>Assumptions:</w:t>
      </w:r>
    </w:p>
    <w:p w:rsidR="00037ED4" w:rsidRPr="00037ED4" w:rsidP="00037ED4" w14:paraId="7E2F14B2" w14:textId="77777777">
      <w:pPr>
        <w:pStyle w:val="NoSpacing"/>
        <w:rPr>
          <w:sz w:val="20"/>
          <w:szCs w:val="20"/>
        </w:rPr>
      </w:pPr>
      <w:r w:rsidRPr="00037ED4">
        <w:rPr>
          <w:sz w:val="20"/>
          <w:szCs w:val="20"/>
          <w:vertAlign w:val="superscript"/>
        </w:rPr>
        <w:t>a</w:t>
      </w:r>
      <w:r w:rsidRPr="00037ED4">
        <w:rPr>
          <w:sz w:val="20"/>
          <w:szCs w:val="20"/>
        </w:rPr>
        <w:t xml:space="preserve"> For the purpose of determining recordkeeping and reporting burdens associated with this rule, we have assumed there are 33 respondents, and that no new additional sources will be subject over the three-year period of this ICR. Of a total of approximately 236 existing sources, we have assumed approximately 10 sources have elected to comply with the rule by monitoring ambient air beryllium concentrations and that the remaining 226 sources have complied by conducting a one-time-only stack test. We also have assumed that 10 percent of the 226 sources (i.e., 23 respondents) will engage in operational changes that will require them to repeat stack testing and to carry out subsequent recordkeeping and reporting requirements.</w:t>
      </w:r>
    </w:p>
    <w:p w:rsidR="00037ED4" w:rsidRPr="00037ED4" w:rsidP="00037ED4" w14:paraId="6F39DC7C" w14:textId="77777777">
      <w:pPr>
        <w:pStyle w:val="NoSpacing"/>
        <w:rPr>
          <w:sz w:val="20"/>
          <w:szCs w:val="20"/>
        </w:rPr>
      </w:pPr>
      <w:r w:rsidRPr="00037ED4">
        <w:rPr>
          <w:sz w:val="20"/>
          <w:szCs w:val="20"/>
          <w:vertAlign w:val="superscript"/>
        </w:rPr>
        <w:t>b</w:t>
      </w:r>
      <w:r w:rsidRPr="00037ED4">
        <w:rPr>
          <w:sz w:val="20"/>
          <w:szCs w:val="20"/>
        </w:rPr>
        <w:t xml:space="preserve"> The cost is based on the following labor rates: Managerial rate of $73.456 (GS-13, Step 5, $45.91 + 60%), Technical rate of $54.512 (GS-12, Step 1, $34.07 + 60%), and Clerical rate of $29.504 (GS-6, Step 3, $18.44 + 60%). These rates are from the Office of Personnel Management (OPM), 2023 General Schedule, which excludes locality, rates of pay. The rates have been increased by 60 percent to account for the benefit packages available to government employees.</w:t>
      </w:r>
    </w:p>
    <w:p w:rsidR="00037ED4" w:rsidRPr="00037ED4" w:rsidP="00037ED4" w14:paraId="19CC6993" w14:textId="77777777">
      <w:pPr>
        <w:pStyle w:val="NoSpacing"/>
        <w:rPr>
          <w:sz w:val="20"/>
          <w:szCs w:val="20"/>
        </w:rPr>
      </w:pPr>
      <w:r w:rsidRPr="00037ED4">
        <w:rPr>
          <w:sz w:val="20"/>
          <w:szCs w:val="20"/>
          <w:vertAlign w:val="superscript"/>
        </w:rPr>
        <w:t>c</w:t>
      </w:r>
      <w:r w:rsidRPr="00037ED4">
        <w:rPr>
          <w:sz w:val="20"/>
          <w:szCs w:val="20"/>
        </w:rPr>
        <w:t xml:space="preserve"> We have assumed it will take two hours per respondent to review the emission level determination/operational change report.</w:t>
      </w:r>
    </w:p>
    <w:p w:rsidR="00037ED4" w:rsidRPr="00037ED4" w:rsidP="00037ED4" w14:paraId="51FAEEDD" w14:textId="77777777">
      <w:pPr>
        <w:pStyle w:val="NoSpacing"/>
        <w:rPr>
          <w:sz w:val="20"/>
          <w:szCs w:val="20"/>
        </w:rPr>
      </w:pPr>
      <w:r w:rsidRPr="00037ED4">
        <w:rPr>
          <w:sz w:val="20"/>
          <w:szCs w:val="20"/>
          <w:vertAlign w:val="superscript"/>
        </w:rPr>
        <w:t>d</w:t>
      </w:r>
      <w:r w:rsidRPr="00037ED4">
        <w:rPr>
          <w:sz w:val="20"/>
          <w:szCs w:val="20"/>
        </w:rPr>
        <w:t xml:space="preserve"> We have assumed it will take two hours per respondent per month to review the monthly ambient concentrations report.</w:t>
      </w:r>
    </w:p>
    <w:p w:rsidR="00037ED4" w:rsidRPr="00037ED4" w:rsidP="00037ED4" w14:paraId="4C8F2D0F" w14:textId="22AA728C">
      <w:pPr>
        <w:pStyle w:val="NoSpacing"/>
        <w:rPr>
          <w:sz w:val="20"/>
          <w:szCs w:val="20"/>
        </w:rPr>
      </w:pPr>
      <w:r w:rsidRPr="00037ED4">
        <w:rPr>
          <w:sz w:val="20"/>
          <w:szCs w:val="20"/>
          <w:vertAlign w:val="superscript"/>
        </w:rPr>
        <w:t>e</w:t>
      </w:r>
      <w:r w:rsidRPr="00037ED4">
        <w:rPr>
          <w:sz w:val="20"/>
          <w:szCs w:val="20"/>
        </w:rPr>
        <w:t xml:space="preserve"> Totals have been rounded to 3 significant figures. Figures may not add exactly due to rounding.</w:t>
      </w:r>
    </w:p>
    <w:p w:rsidR="00037ED4" w:rsidRPr="00DE7D97" w:rsidP="00037ED4" w14:paraId="150D0B8D" w14:textId="77777777">
      <w:pPr>
        <w:pBdr>
          <w:top w:val="single" w:sz="6" w:space="0" w:color="FFFFFF"/>
          <w:left w:val="single" w:sz="6" w:space="0" w:color="FFFFFF"/>
          <w:bottom w:val="single" w:sz="6" w:space="0" w:color="FFFFFF"/>
          <w:right w:val="single" w:sz="6" w:space="0" w:color="FFFFFF"/>
        </w:pBdr>
      </w:pPr>
    </w:p>
    <w:sectPr w:rsidSect="00DE7D97">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74B0F23E"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434A1ACD"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262321"/>
    <w:multiLevelType w:val="hybridMultilevel"/>
    <w:tmpl w:val="CA8CD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4787659"/>
    <w:multiLevelType w:val="hybridMultilevel"/>
    <w:tmpl w:val="3202F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3">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0471303"/>
    <w:multiLevelType w:val="hybridMultilevel"/>
    <w:tmpl w:val="35AA3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4"/>
  </w:num>
  <w:num w:numId="3" w16cid:durableId="1158494831">
    <w:abstractNumId w:val="2"/>
  </w:num>
  <w:num w:numId="4" w16cid:durableId="493573829">
    <w:abstractNumId w:val="28"/>
  </w:num>
  <w:num w:numId="5" w16cid:durableId="2055687918">
    <w:abstractNumId w:val="18"/>
  </w:num>
  <w:num w:numId="6" w16cid:durableId="1603025219">
    <w:abstractNumId w:val="26"/>
  </w:num>
  <w:num w:numId="7" w16cid:durableId="423957196">
    <w:abstractNumId w:val="16"/>
  </w:num>
  <w:num w:numId="8" w16cid:durableId="2031829208">
    <w:abstractNumId w:val="21"/>
  </w:num>
  <w:num w:numId="9" w16cid:durableId="218439549">
    <w:abstractNumId w:val="8"/>
  </w:num>
  <w:num w:numId="10" w16cid:durableId="1285231924">
    <w:abstractNumId w:val="3"/>
  </w:num>
  <w:num w:numId="11" w16cid:durableId="327370686">
    <w:abstractNumId w:val="6"/>
  </w:num>
  <w:num w:numId="12" w16cid:durableId="1802993385">
    <w:abstractNumId w:val="10"/>
  </w:num>
  <w:num w:numId="13" w16cid:durableId="1792938267">
    <w:abstractNumId w:val="29"/>
  </w:num>
  <w:num w:numId="14" w16cid:durableId="239490726">
    <w:abstractNumId w:val="5"/>
  </w:num>
  <w:num w:numId="15" w16cid:durableId="1395350314">
    <w:abstractNumId w:val="9"/>
  </w:num>
  <w:num w:numId="16" w16cid:durableId="441535906">
    <w:abstractNumId w:val="13"/>
  </w:num>
  <w:num w:numId="17" w16cid:durableId="2008243381">
    <w:abstractNumId w:val="22"/>
  </w:num>
  <w:num w:numId="18" w16cid:durableId="840463183">
    <w:abstractNumId w:val="20"/>
  </w:num>
  <w:num w:numId="19" w16cid:durableId="469980091">
    <w:abstractNumId w:val="24"/>
  </w:num>
  <w:num w:numId="20" w16cid:durableId="2126730031">
    <w:abstractNumId w:val="11"/>
  </w:num>
  <w:num w:numId="21" w16cid:durableId="106124704">
    <w:abstractNumId w:val="1"/>
  </w:num>
  <w:num w:numId="22" w16cid:durableId="1552418013">
    <w:abstractNumId w:val="14"/>
  </w:num>
  <w:num w:numId="23" w16cid:durableId="1598828334">
    <w:abstractNumId w:val="27"/>
  </w:num>
  <w:num w:numId="24" w16cid:durableId="2051031068">
    <w:abstractNumId w:val="0"/>
  </w:num>
  <w:num w:numId="25" w16cid:durableId="258569098">
    <w:abstractNumId w:val="17"/>
  </w:num>
  <w:num w:numId="26" w16cid:durableId="331181582">
    <w:abstractNumId w:val="19"/>
  </w:num>
  <w:num w:numId="27" w16cid:durableId="1015961391">
    <w:abstractNumId w:val="23"/>
  </w:num>
  <w:num w:numId="28" w16cid:durableId="1473598721">
    <w:abstractNumId w:val="15"/>
  </w:num>
  <w:num w:numId="29" w16cid:durableId="253366453">
    <w:abstractNumId w:val="7"/>
  </w:num>
  <w:num w:numId="30" w16cid:durableId="890306582">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BD"/>
    <w:rsid w:val="0000050D"/>
    <w:rsid w:val="0000329D"/>
    <w:rsid w:val="00003D64"/>
    <w:rsid w:val="00004678"/>
    <w:rsid w:val="000069C3"/>
    <w:rsid w:val="00006C95"/>
    <w:rsid w:val="00007FB5"/>
    <w:rsid w:val="00010EEE"/>
    <w:rsid w:val="000119B9"/>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37ED4"/>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66124"/>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D7981"/>
    <w:rsid w:val="000E1158"/>
    <w:rsid w:val="000E184B"/>
    <w:rsid w:val="000E19CB"/>
    <w:rsid w:val="000E1FE8"/>
    <w:rsid w:val="000E3298"/>
    <w:rsid w:val="000E348B"/>
    <w:rsid w:val="000E4254"/>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4F4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39B0"/>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1874"/>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69BD"/>
    <w:rsid w:val="00277A03"/>
    <w:rsid w:val="0028340E"/>
    <w:rsid w:val="00283764"/>
    <w:rsid w:val="00283AE9"/>
    <w:rsid w:val="00283C66"/>
    <w:rsid w:val="002847BB"/>
    <w:rsid w:val="00285782"/>
    <w:rsid w:val="00285A68"/>
    <w:rsid w:val="00286B27"/>
    <w:rsid w:val="00286FA0"/>
    <w:rsid w:val="00286FDD"/>
    <w:rsid w:val="00287F94"/>
    <w:rsid w:val="00290BEB"/>
    <w:rsid w:val="00291493"/>
    <w:rsid w:val="00291589"/>
    <w:rsid w:val="00293125"/>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D4D52"/>
    <w:rsid w:val="002E0316"/>
    <w:rsid w:val="002E0999"/>
    <w:rsid w:val="002E2569"/>
    <w:rsid w:val="002E27FD"/>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284"/>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1D0F"/>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B7A7D"/>
    <w:rsid w:val="004C0CBD"/>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0B3D"/>
    <w:rsid w:val="006A173F"/>
    <w:rsid w:val="006A1AC5"/>
    <w:rsid w:val="006A231D"/>
    <w:rsid w:val="006A29EB"/>
    <w:rsid w:val="006A6EDB"/>
    <w:rsid w:val="006B0AC5"/>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1F70"/>
    <w:rsid w:val="006C4CAA"/>
    <w:rsid w:val="006C68A7"/>
    <w:rsid w:val="006C780F"/>
    <w:rsid w:val="006C79DB"/>
    <w:rsid w:val="006D09D6"/>
    <w:rsid w:val="006D1400"/>
    <w:rsid w:val="006D419B"/>
    <w:rsid w:val="006D740D"/>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15ED"/>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4E7"/>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3C8"/>
    <w:rsid w:val="00870F86"/>
    <w:rsid w:val="00873EFF"/>
    <w:rsid w:val="008749DF"/>
    <w:rsid w:val="008749E8"/>
    <w:rsid w:val="00876774"/>
    <w:rsid w:val="00876C6F"/>
    <w:rsid w:val="008803DA"/>
    <w:rsid w:val="00881794"/>
    <w:rsid w:val="00881CAD"/>
    <w:rsid w:val="00883A58"/>
    <w:rsid w:val="00884F86"/>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B7109"/>
    <w:rsid w:val="008C06CB"/>
    <w:rsid w:val="008C0C83"/>
    <w:rsid w:val="008C582D"/>
    <w:rsid w:val="008C6A5F"/>
    <w:rsid w:val="008C7F35"/>
    <w:rsid w:val="008D037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1EF1"/>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57C7A"/>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3C1"/>
    <w:rsid w:val="00CF242E"/>
    <w:rsid w:val="00CF413A"/>
    <w:rsid w:val="00CF4631"/>
    <w:rsid w:val="00CF5A3C"/>
    <w:rsid w:val="00CF5EFF"/>
    <w:rsid w:val="00D00106"/>
    <w:rsid w:val="00D00D33"/>
    <w:rsid w:val="00D01A8F"/>
    <w:rsid w:val="00D04072"/>
    <w:rsid w:val="00D043F3"/>
    <w:rsid w:val="00D10B82"/>
    <w:rsid w:val="00D12D20"/>
    <w:rsid w:val="00D14A68"/>
    <w:rsid w:val="00D150BB"/>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0CCF"/>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E7D97"/>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5FFE"/>
    <w:rsid w:val="00E463E4"/>
    <w:rsid w:val="00E47562"/>
    <w:rsid w:val="00E50CD6"/>
    <w:rsid w:val="00E5311D"/>
    <w:rsid w:val="00E53C99"/>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273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0A69"/>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D496B14"/>
  <w15:docId w15:val="{D1112061-23B4-406A-9139-F59DE0F4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table" w:customStyle="1" w:styleId="TableGrid1">
    <w:name w:val="Table Grid1"/>
    <w:basedOn w:val="TableNormal"/>
    <w:next w:val="TableGrid"/>
    <w:rsid w:val="006D74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749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931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stationary-sources-air-pollution/beryllium-national-emissions-standards-hazardous-air-pollutants"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mcgrath\OneDrive%20-%20Environmental%20Protection%20Agency%20(EPA)\Desktop\SOPs\templates\ICR%20Supporting%20Statement%20A%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5.xml><?xml version="1.0" encoding="utf-8"?>
<ds:datastoreItem xmlns:ds="http://schemas.openxmlformats.org/officeDocument/2006/customXml" ds:itemID="{E5033098-BF7F-4D78-8529-0AFBF5D8899C}">
  <ds:schemaRefs>
    <ds:schemaRef ds:uri="http://purl.org/dc/terms/"/>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96fc5250-dc30-4f01-945b-7e46a880eeb3"/>
    <ds:schemaRef ds:uri="02fe02c4-dc41-46ff-9d52-90c0a1b1f611"/>
    <ds:schemaRef ds:uri="http://schemas.microsoft.com/sharepoint/v3/fields"/>
    <ds:schemaRef ds:uri="http://schemas.microsoft.com/sharepoint.v3"/>
    <ds:schemaRef ds:uri="http://www.w3.org/XML/1998/namespace"/>
    <ds:schemaRef ds:uri="4ffa91fb-a0ff-4ac5-b2db-65c790d184a4"/>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ICR Supporting Statement A Template.dotx</Template>
  <TotalTime>275</TotalTime>
  <Pages>18</Pages>
  <Words>6156</Words>
  <Characters>35090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 (he/him/his)</dc:creator>
  <cp:lastModifiedBy>Salahuddin, Diane</cp:lastModifiedBy>
  <cp:revision>2</cp:revision>
  <dcterms:created xsi:type="dcterms:W3CDTF">2024-10-29T17:41:00Z</dcterms:created>
  <dcterms:modified xsi:type="dcterms:W3CDTF">2024-10-29T17:41:00Z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