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0E910106" w14:textId="77777777">
      <w:pPr>
        <w:spacing w:after="0"/>
        <w:jc w:val="center"/>
        <w:rPr>
          <w:sz w:val="32"/>
          <w:szCs w:val="32"/>
        </w:rPr>
      </w:pPr>
      <w:bookmarkStart w:id="0" w:name="_Toc49148152"/>
      <w:r w:rsidRPr="11AB4B38">
        <w:rPr>
          <w:sz w:val="32"/>
          <w:szCs w:val="32"/>
        </w:rPr>
        <w:t>U.S. Environmental Protection Agency</w:t>
      </w:r>
    </w:p>
    <w:p w:rsidR="00DE4E0C" w:rsidRPr="00CB038B" w:rsidP="11AB4B38" w14:paraId="6BE0EF63" w14:textId="77777777">
      <w:pPr>
        <w:jc w:val="center"/>
        <w:rPr>
          <w:sz w:val="32"/>
          <w:szCs w:val="32"/>
        </w:rPr>
      </w:pPr>
      <w:r w:rsidRPr="11AB4B38">
        <w:rPr>
          <w:sz w:val="32"/>
          <w:szCs w:val="32"/>
        </w:rPr>
        <w:t>Information Collection Request</w:t>
      </w:r>
    </w:p>
    <w:p w:rsidR="00EA0D20" w:rsidP="00BB432F" w14:paraId="2F4C8940" w14:textId="77777777">
      <w:pPr>
        <w:rPr>
          <w:rFonts w:cstheme="minorHAnsi"/>
          <w:b/>
          <w:bCs/>
        </w:rPr>
      </w:pPr>
    </w:p>
    <w:p w:rsidR="00BB432F" w:rsidRPr="00BB3410" w:rsidP="00BB432F" w14:paraId="263A1F76" w14:textId="4A40AE4F">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0570B3" w:rsidR="000570B3">
        <w:rPr>
          <w:rFonts w:cstheme="minorHAnsi"/>
        </w:rPr>
        <w:t>NESHAP for Gold Mine Ore Processing (40 CFR Part 63, Subpart EEEEEEE) (Renewal)</w:t>
      </w:r>
    </w:p>
    <w:p w:rsidR="00EE2403" w:rsidRPr="00BB3410" w:rsidP="00BB432F" w14:paraId="1ED5C916" w14:textId="6C071B54">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0570B3" w:rsidR="000570B3">
        <w:rPr>
          <w:rFonts w:cstheme="minorHAnsi"/>
        </w:rPr>
        <w:t>2060-0659</w:t>
      </w:r>
    </w:p>
    <w:p w:rsidR="00EE2403" w:rsidRPr="00BB3410" w:rsidP="00ED57A4" w14:paraId="0A9014F5" w14:textId="56E7A5E8">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Pr="000570B3" w:rsidR="000570B3">
        <w:rPr>
          <w:rFonts w:cstheme="minorHAnsi"/>
        </w:rPr>
        <w:t>2383.06</w:t>
      </w:r>
    </w:p>
    <w:p w:rsidR="000570B3" w:rsidP="000570B3" w14:paraId="6BE47F0B" w14:textId="48F47D8F">
      <w:pPr>
        <w:spacing w:before="240"/>
      </w:pPr>
      <w:r w:rsidRPr="4BDBF0A0">
        <w:rPr>
          <w:b/>
          <w:bCs/>
        </w:rPr>
        <w:t>Abstract:</w:t>
      </w:r>
      <w:r w:rsidRPr="4BDBF0A0" w:rsidR="00BB432F">
        <w:t xml:space="preserve"> </w:t>
      </w:r>
      <w:r>
        <w:t>The National Emission Standards for Hazardous Air Pollutants (NESHAP) for Gold Mine Ore Processing (40 CFR Part 63, Subpart EEEEEEE) were proposed on April 28, 2010; and promulgated on February 17, 2011. These regulations apply to both existing and new gold mine ore processing and production facilities that are area sources and use ore pretreatment, carbon processes with mercury retorts, carbon processes without mercury retorts, and non-carbon concentrate processes. The regulation sets mercury emission limits for each of the affected processes at both new and existing facilities. New facilities include those that either commenced construction or reconstruction after the date of proposal. This information is being collected to assure compliance with 40 CFR Part 63, Subpart EEEEEEE.</w:t>
      </w:r>
    </w:p>
    <w:p w:rsidR="000570B3" w:rsidP="000570B3" w14:paraId="44948284" w14:textId="7165E1D3">
      <w:pPr>
        <w:spacing w:before="240"/>
      </w:pPr>
      <w:r>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BB432F" w:rsidRPr="00BB3410" w:rsidP="000570B3" w14:paraId="5480A4D0" w14:textId="105FE2EA">
      <w:pPr>
        <w:spacing w:before="240"/>
        <w:rPr>
          <w:color w:val="000000"/>
        </w:rPr>
      </w:pPr>
      <w:r>
        <w:t>Specifically, any owner/operator subject to the provisions of this part is required by the NESHAP regulations at 40 CFR Part 63, Subpart EEEEEEE to submit the information specific below, and to maintain a file containing required documents and retain the file for at least five years following the generation date of such maintenance reports and records. All reports are sent to the delegated state or local authority. If there is no such delegated authority, the reports are sent directly to the U.S. Environmental Protection Agency’s (EPA) regional offices.</w:t>
      </w:r>
    </w:p>
    <w:p w:rsidR="00DE4E0C" w:rsidRPr="00BB3410" w:rsidP="4BDBF0A0" w14:paraId="663FA709" w14:textId="77777777">
      <w:pPr>
        <w:rPr>
          <w:b/>
          <w:bCs/>
          <w:u w:val="single"/>
        </w:rPr>
      </w:pPr>
      <w:r w:rsidRPr="4BDBF0A0">
        <w:rPr>
          <w:b/>
          <w:bCs/>
          <w:u w:val="single"/>
        </w:rPr>
        <w:t>Supporting Statement A</w:t>
      </w:r>
      <w:bookmarkEnd w:id="0"/>
    </w:p>
    <w:p w:rsidR="00D47CB3" w:rsidRPr="00E3122D" w:rsidP="00854AAE" w14:paraId="32F7FE8E" w14:textId="7777777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6EED51D8" w14:textId="77777777">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004C93" w:rsidRPr="00004C93" w:rsidP="00004C93" w14:paraId="43AE072B" w14:textId="1010590D">
      <w:pPr>
        <w:keepNext/>
        <w:rPr>
          <w:rFonts w:cstheme="minorHAnsi"/>
        </w:rPr>
      </w:pPr>
      <w:r w:rsidRPr="00004C93">
        <w:rPr>
          <w:rFonts w:cstheme="minorHAnsi"/>
        </w:rPr>
        <w:t xml:space="preserve">The EPA is charged under </w:t>
      </w:r>
      <w:hyperlink r:id="rId9" w:history="1">
        <w:r w:rsidRPr="00004C93">
          <w:rPr>
            <w:rStyle w:val="Hyperlink"/>
            <w:rFonts w:cstheme="minorHAnsi"/>
          </w:rPr>
          <w:t>Section 112 of the Clean Air Act</w:t>
        </w:r>
      </w:hyperlink>
      <w:r w:rsidRPr="00004C93">
        <w:rPr>
          <w:rFonts w:cstheme="minorHAnsi"/>
        </w:rPr>
        <w:t xml:space="preserve">, as amended, to establish standards of performance for each category or subcategory of major sources and area sources of hazardous air pollutants. These standards are applicable to new or existing sources of hazardous air pollutants and </w:t>
      </w:r>
      <w:r w:rsidRPr="00004C93">
        <w:rPr>
          <w:rFonts w:cstheme="minorHAnsi"/>
        </w:rPr>
        <w:t xml:space="preserve">shall require the maximum degree of emission reduction. In addition, </w:t>
      </w:r>
      <w:hyperlink r:id="rId9" w:history="1">
        <w:r w:rsidRPr="00004C93">
          <w:rPr>
            <w:rStyle w:val="Hyperlink"/>
            <w:rFonts w:cstheme="minorHAnsi"/>
          </w:rPr>
          <w:t>section 114(a)</w:t>
        </w:r>
      </w:hyperlink>
      <w:r w:rsidRPr="00004C93">
        <w:rPr>
          <w:rFonts w:cstheme="minorHAnsi"/>
        </w:rPr>
        <w:t xml:space="preserve"> states that the Administrator may require any owner/operator subject to any requirement of this Act to: </w:t>
      </w:r>
    </w:p>
    <w:p w:rsidR="00004C93" w:rsidRPr="00004C93" w:rsidP="00004C93" w14:paraId="2886C238" w14:textId="6E0164C1">
      <w:pPr>
        <w:keepNext/>
        <w:ind w:left="720"/>
        <w:rPr>
          <w:rFonts w:cstheme="minorHAnsi"/>
        </w:rPr>
      </w:pPr>
      <w:r w:rsidRPr="00004C93">
        <w:rPr>
          <w:rFonts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BB3410" w:rsidP="00004C93" w14:paraId="2169B784" w14:textId="4CF71B64">
      <w:pPr>
        <w:keepNext/>
        <w:rPr>
          <w:rFonts w:cstheme="minorHAnsi"/>
        </w:rPr>
      </w:pPr>
      <w:r w:rsidRPr="00004C93">
        <w:rPr>
          <w:rFonts w:cstheme="minorHAnsi"/>
        </w:rPr>
        <w:t xml:space="preserve">In the Administrator's judgment, hazardous air pollutant emissions from gold mine ore processing and production facilities cause or contribute to air pollution that may reasonably be anticipated to endanger public health or welfare. Therefore, the NESHAP were promulgated for this source category at </w:t>
      </w:r>
      <w:hyperlink r:id="rId10" w:history="1">
        <w:r w:rsidRPr="00004C93">
          <w:rPr>
            <w:rStyle w:val="Hyperlink"/>
            <w:rFonts w:cstheme="minorHAnsi"/>
          </w:rPr>
          <w:t>40 CFR Part 63, Subpart EEEEEEE</w:t>
        </w:r>
      </w:hyperlink>
      <w:r w:rsidRPr="00004C93">
        <w:rPr>
          <w:rFonts w:cstheme="minorHAnsi"/>
        </w:rPr>
        <w:t>.</w:t>
      </w:r>
    </w:p>
    <w:p w:rsidR="00D47CB3" w:rsidRPr="00E3122D" w:rsidP="00854AAE" w14:paraId="6FB21A18" w14:textId="77777777">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1E9FEE13"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004C93" w:rsidRPr="00004C93" w:rsidP="00004C93" w14:paraId="5A2C7458" w14:textId="25AA22D0">
      <w:pPr>
        <w:pBdr>
          <w:top w:val="single" w:sz="6" w:space="0" w:color="FFFFFF"/>
          <w:left w:val="single" w:sz="6" w:space="0" w:color="FFFFFF"/>
          <w:bottom w:val="single" w:sz="6" w:space="0" w:color="FFFFFF"/>
          <w:right w:val="single" w:sz="6" w:space="0" w:color="FFFFFF"/>
        </w:pBdr>
        <w:rPr>
          <w:rFonts w:cstheme="minorHAnsi"/>
        </w:rPr>
      </w:pPr>
      <w:r w:rsidRPr="00004C93">
        <w:rPr>
          <w:rFonts w:cstheme="minorHAnsi"/>
        </w:rPr>
        <w:t>The recordkeeping and reporting requirements in the standards ensure compliance with the applicable regulations which were promulgated in accordance with the Clean Air Act. The collected information is also used for targeting inspections and as evidence in legal proceedings.</w:t>
      </w:r>
    </w:p>
    <w:p w:rsidR="00004C93" w:rsidRPr="00004C93" w:rsidP="00004C93" w14:paraId="7D0EDE05" w14:textId="7EC8C2FA">
      <w:pPr>
        <w:pBdr>
          <w:top w:val="single" w:sz="6" w:space="0" w:color="FFFFFF"/>
          <w:left w:val="single" w:sz="6" w:space="0" w:color="FFFFFF"/>
          <w:bottom w:val="single" w:sz="6" w:space="0" w:color="FFFFFF"/>
          <w:right w:val="single" w:sz="6" w:space="0" w:color="FFFFFF"/>
        </w:pBdr>
        <w:rPr>
          <w:rFonts w:cstheme="minorHAnsi"/>
        </w:rPr>
      </w:pPr>
      <w:r w:rsidRPr="00004C93">
        <w:rPr>
          <w:rFonts w:cstheme="minorHAnsi"/>
        </w:rPr>
        <w:t xml:space="preserve">Performance tests are required in order to determine an affected facility’s initial capability to comply with the emission standards. Continuous emission monitors are used to ensure compliance with the standards at all times. During the performance test a record of the operating parameters under which compliance was achieved may be recorded and used to determine compliance in place of a continuous emission monitor. </w:t>
      </w:r>
    </w:p>
    <w:p w:rsidR="00004C93" w:rsidRPr="00004C93" w:rsidP="00004C93" w14:paraId="471014B3" w14:textId="537EA381">
      <w:pPr>
        <w:pBdr>
          <w:top w:val="single" w:sz="6" w:space="0" w:color="FFFFFF"/>
          <w:left w:val="single" w:sz="6" w:space="0" w:color="FFFFFF"/>
          <w:bottom w:val="single" w:sz="6" w:space="0" w:color="FFFFFF"/>
          <w:right w:val="single" w:sz="6" w:space="0" w:color="FFFFFF"/>
        </w:pBdr>
        <w:rPr>
          <w:rFonts w:cstheme="minorHAnsi"/>
        </w:rPr>
      </w:pPr>
      <w:r w:rsidRPr="00004C93">
        <w:rPr>
          <w:rFonts w:cstheme="minorHAnsi"/>
        </w:rPr>
        <w:t>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 The performance test may also be observed.</w:t>
      </w:r>
    </w:p>
    <w:p w:rsidR="00004C93" w:rsidRPr="00004C93" w:rsidP="00004C93" w14:paraId="735ADC9E" w14:textId="4EA3FA4E">
      <w:pPr>
        <w:pBdr>
          <w:top w:val="single" w:sz="6" w:space="0" w:color="FFFFFF"/>
          <w:left w:val="single" w:sz="6" w:space="0" w:color="FFFFFF"/>
          <w:bottom w:val="single" w:sz="6" w:space="0" w:color="FFFFFF"/>
          <w:right w:val="single" w:sz="6" w:space="0" w:color="FFFFFF"/>
        </w:pBdr>
        <w:rPr>
          <w:rFonts w:cstheme="minorHAnsi"/>
        </w:rPr>
      </w:pPr>
      <w:r w:rsidRPr="00004C93">
        <w:rPr>
          <w:rFonts w:cstheme="minorHAnsi"/>
        </w:rPr>
        <w:t>The required semiannual reports are used to determine periods of excess emissions, identify problems at the facility, verify operation/maintenance procedures and for compliance determinations.</w:t>
      </w:r>
    </w:p>
    <w:p w:rsidR="00004C93" w:rsidRPr="00004C93" w:rsidP="00004C93" w14:paraId="3382DF25" w14:textId="066A6B0E">
      <w:pPr>
        <w:pBdr>
          <w:top w:val="single" w:sz="6" w:space="0" w:color="FFFFFF"/>
          <w:left w:val="single" w:sz="6" w:space="0" w:color="FFFFFF"/>
          <w:bottom w:val="single" w:sz="6" w:space="0" w:color="FFFFFF"/>
          <w:right w:val="single" w:sz="6" w:space="0" w:color="FFFFFF"/>
        </w:pBdr>
        <w:rPr>
          <w:rFonts w:cstheme="minorHAnsi"/>
        </w:rPr>
      </w:pPr>
      <w:r w:rsidRPr="00004C93">
        <w:rPr>
          <w:rFonts w:cstheme="minorHAnsi"/>
        </w:rPr>
        <w:t xml:space="preserve">Additionally, the EPA is requiring electronic reporting for certain notifications or reports. The EPA is requiring that owners or operators of affected sources would submit electronic copies of performance test reports through the EPA's Central Data Exchange (CDX), using the Compliance and Emissions Data Reporting Interface (CEDRI). </w:t>
      </w:r>
    </w:p>
    <w:p w:rsidR="00BB432F" w:rsidRPr="00BB3410" w:rsidP="00004C93" w14:paraId="787D2358" w14:textId="3EB75EB1">
      <w:pPr>
        <w:pBdr>
          <w:top w:val="single" w:sz="6" w:space="0" w:color="FFFFFF"/>
          <w:left w:val="single" w:sz="6" w:space="0" w:color="FFFFFF"/>
          <w:bottom w:val="single" w:sz="6" w:space="0" w:color="FFFFFF"/>
          <w:right w:val="single" w:sz="6" w:space="0" w:color="FFFFFF"/>
        </w:pBdr>
        <w:rPr>
          <w:rFonts w:cstheme="minorHAnsi"/>
          <w:color w:val="FF0000"/>
        </w:rPr>
      </w:pPr>
      <w:r w:rsidRPr="00004C93">
        <w:rPr>
          <w:rFonts w:cstheme="minorHAnsi"/>
        </w:rPr>
        <w:t>CEDRI includes the Electronic Reporting Tool (ERT) software, which is used by facilities to generate electronic reports of performance tests. EPA is also requiring that 40 CFR Part 63, Subpart EEEEEEE performance test reports be submitted through the EPA’s ERT.</w:t>
      </w:r>
    </w:p>
    <w:p w:rsidR="00074917" w:rsidRPr="00E3122D" w:rsidP="00854AAE" w14:paraId="73C1DC01" w14:textId="77777777">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6F220813"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554CC" w:rsidRPr="00C554CC" w:rsidP="00C554CC" w14:paraId="62BFF36E" w14:textId="1D5CAF97">
      <w:pPr>
        <w:pBdr>
          <w:top w:val="single" w:sz="6" w:space="0" w:color="FFFFFF"/>
          <w:left w:val="single" w:sz="6" w:space="0" w:color="FFFFFF"/>
          <w:bottom w:val="single" w:sz="6" w:space="0" w:color="FFFFFF"/>
          <w:right w:val="single" w:sz="6" w:space="0" w:color="FFFFFF"/>
        </w:pBdr>
        <w:rPr>
          <w:rFonts w:cstheme="minorHAnsi"/>
          <w:color w:val="000000"/>
        </w:rPr>
      </w:pPr>
      <w:r w:rsidRPr="00C554CC">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C554CC" w:rsidP="00C554CC" w14:paraId="41317B9F" w14:textId="64DF6FE5">
      <w:pPr>
        <w:pBdr>
          <w:top w:val="single" w:sz="6" w:space="0" w:color="FFFFFF"/>
          <w:left w:val="single" w:sz="6" w:space="0" w:color="FFFFFF"/>
          <w:bottom w:val="single" w:sz="6" w:space="0" w:color="FFFFFF"/>
          <w:right w:val="single" w:sz="6" w:space="0" w:color="FFFFFF"/>
        </w:pBdr>
        <w:rPr>
          <w:rFonts w:cstheme="minorHAnsi"/>
          <w:color w:val="000000"/>
        </w:rPr>
      </w:pPr>
      <w:r w:rsidRPr="00C554CC">
        <w:rPr>
          <w:rFonts w:cstheme="minorHAnsi"/>
          <w:color w:val="000000"/>
        </w:rPr>
        <w:t>The rule, as finalized on February 17, 2011, includes electronic reporting provisions. Respondents are required to use the EPA’s Electronic Reporting Tool (ERT) to develop performance test reports and submit them through the EPA’s Compliance and Emissions Data Reporting Interface (CEDRI), which can be accessed through the EPA’s Central Data Exchange (CDX) (</w:t>
      </w:r>
      <w:hyperlink r:id="rId11" w:history="1">
        <w:r w:rsidRPr="00C554CC">
          <w:rPr>
            <w:rStyle w:val="Hyperlink"/>
            <w:rFonts w:cstheme="minorHAnsi"/>
          </w:rPr>
          <w:t>https://cdx.epa.gov/</w:t>
        </w:r>
      </w:hyperlink>
      <w:r w:rsidRPr="00C554CC">
        <w:rPr>
          <w:rFonts w:cstheme="minorHAnsi"/>
          <w:color w:val="000000"/>
        </w:rPr>
        <w:t xml:space="preserve">). </w:t>
      </w:r>
    </w:p>
    <w:p w:rsidR="00C554CC" w:rsidP="00C554CC" w14:paraId="206CAF6C" w14:textId="07C8E623">
      <w:pPr>
        <w:pBdr>
          <w:top w:val="single" w:sz="6" w:space="0" w:color="FFFFFF"/>
          <w:left w:val="single" w:sz="6" w:space="0" w:color="FFFFFF"/>
          <w:bottom w:val="single" w:sz="6" w:space="0" w:color="FFFFFF"/>
          <w:right w:val="single" w:sz="6" w:space="0" w:color="FFFFFF"/>
        </w:pBdr>
        <w:rPr>
          <w:rFonts w:cstheme="minorHAnsi"/>
          <w:color w:val="000000"/>
        </w:rPr>
      </w:pPr>
      <w:r w:rsidRPr="00C554CC">
        <w:rPr>
          <w:rFonts w:cstheme="minorHAnsi"/>
          <w:color w:val="000000"/>
        </w:rPr>
        <w:t>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For purposes of this ICR, it is assumed that there is no additional burden associated with the proposed requirement for respondents to submit the notifications and reports electronically. The supplemental files to this ICR renewal contain screenshots showing the CDX homepage for CEDRI login, the CEDRI PRA screen, the CEDRI interface for managing reports for various subparts, and the landing page of the ERT that shows the link to PRA information.</w:t>
      </w:r>
    </w:p>
    <w:p w:rsidR="009F1E00" w:rsidRPr="0099204C" w:rsidP="00854AAE" w14:paraId="079CA888" w14:textId="7F31468E">
      <w:pPr>
        <w:pBdr>
          <w:top w:val="single" w:sz="6" w:space="0" w:color="FFFFFF"/>
          <w:left w:val="single" w:sz="6" w:space="0" w:color="FFFFFF"/>
          <w:bottom w:val="single" w:sz="6" w:space="0" w:color="FFFFFF"/>
          <w:right w:val="single" w:sz="6" w:space="0" w:color="FFFFFF"/>
        </w:pBdr>
        <w:rPr>
          <w:rFonts w:cstheme="minorHAnsi"/>
          <w:color w:val="000000"/>
        </w:rPr>
      </w:pPr>
      <w:r w:rsidRPr="00845298">
        <w:rPr>
          <w:rFonts w:cstheme="minorHAnsi"/>
          <w:color w:val="000000"/>
        </w:rPr>
        <w:t>All electronic collection in this information collection is submitted through EPA's CEDRI or ERT</w:t>
      </w:r>
      <w:r>
        <w:rPr>
          <w:rFonts w:cstheme="minorHAnsi"/>
          <w:color w:val="000000"/>
        </w:rPr>
        <w:t>.</w:t>
      </w:r>
      <w:r w:rsidRPr="00845298">
        <w:t xml:space="preserve"> </w:t>
      </w:r>
      <w:r w:rsidRPr="00845298">
        <w:rPr>
          <w:rFonts w:cstheme="minorHAnsi"/>
          <w:color w:val="000000"/>
        </w:rPr>
        <w:t xml:space="preserve">Additional Paperwork Reduction Act requirements for CEDRI and ERT, including the burden statement and OMB control number, are available at: </w:t>
      </w:r>
      <w:hyperlink r:id="rId12" w:history="1">
        <w:r w:rsidRPr="00845298">
          <w:rPr>
            <w:rStyle w:val="Hyperlink"/>
            <w:rFonts w:cstheme="minorHAnsi"/>
          </w:rPr>
          <w:t>https://www.epa.gov/electronic-reporting-air-emissions/paperwork-reduction-act-pra-cedri-and-ert</w:t>
        </w:r>
      </w:hyperlink>
      <w:r w:rsidRPr="00845298">
        <w:rPr>
          <w:rFonts w:cstheme="minorHAnsi"/>
          <w:color w:val="000000"/>
        </w:rPr>
        <w:t xml:space="preserve">. We have created supplementary documents that include screenshots of the electronic portal where the reporting requirements are submitted online to EPA, including the OMB burden statement on the electronic portal. </w:t>
      </w:r>
    </w:p>
    <w:p w:rsidR="005263EC" w:rsidRPr="00E3122D" w:rsidP="00854AAE" w14:paraId="1FFA24FA" w14:textId="77777777">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D47CB3" w:rsidRPr="001F0834" w:rsidP="00854AAE" w14:paraId="5A694DCE"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ED57A4" w:rsidRPr="00BB3410" w:rsidP="00854AAE" w14:paraId="14DAC084" w14:textId="6F08D045">
      <w:pPr>
        <w:rPr>
          <w:rFonts w:cstheme="minorHAnsi"/>
          <w:shd w:val="clear" w:color="auto" w:fill="FFFFFF"/>
        </w:rPr>
      </w:pPr>
      <w:r w:rsidRPr="00A76C0B">
        <w:rPr>
          <w:rFonts w:cstheme="minorHAnsi"/>
        </w:rPr>
        <w:t>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251151" w:rsidRPr="00E3122D" w:rsidP="4BDBF0A0" w14:paraId="271831EA" w14:textId="77777777">
      <w:pPr>
        <w:pStyle w:val="ListParagraph"/>
        <w:numPr>
          <w:ilvl w:val="0"/>
          <w:numId w:val="25"/>
        </w:numPr>
        <w:pBdr>
          <w:bottom w:val="single" w:sz="4" w:space="1" w:color="auto"/>
        </w:pBdr>
        <w:spacing w:before="240" w:after="0"/>
        <w:rPr>
          <w:b/>
          <w:bCs/>
        </w:rPr>
      </w:pPr>
      <w:bookmarkStart w:id="5" w:name="_Toc156593372"/>
      <w:r w:rsidRPr="4BDBF0A0">
        <w:rPr>
          <w:b/>
          <w:bCs/>
        </w:rPr>
        <w:t xml:space="preserve">MINIMIZING BURDEN ON SMALL </w:t>
      </w:r>
      <w:r w:rsidRPr="4BDBF0A0" w:rsidR="0F43C128">
        <w:rPr>
          <w:b/>
          <w:bCs/>
        </w:rPr>
        <w:t xml:space="preserve">BUSINESSES AND SMALL </w:t>
      </w:r>
      <w:r w:rsidRPr="4BDBF0A0">
        <w:rPr>
          <w:b/>
          <w:bCs/>
        </w:rPr>
        <w:t>ENTITIES</w:t>
      </w:r>
      <w:bookmarkEnd w:id="5"/>
    </w:p>
    <w:p w:rsidR="00D47CB3" w:rsidRPr="001F0834" w:rsidP="00854AAE" w14:paraId="663FAD0E"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99204C" w:rsidRPr="0099204C" w:rsidP="0099204C" w14:paraId="7304B49A" w14:textId="662EC335">
      <w:pPr>
        <w:rPr>
          <w:rFonts w:cstheme="minorHAnsi"/>
        </w:rPr>
      </w:pPr>
      <w:r w:rsidRPr="0099204C">
        <w:rPr>
          <w:rFonts w:cstheme="minorHAnsi"/>
        </w:rPr>
        <w:t xml:space="preserve">There are no small entities (i.e., small businesses) affected by this regulation. A small entity for this industry is defined as: (1) a small business whose parent company meets the Small Business Administration size standards for small businesses found at 13 CFR 121.201 (less than 500 employees for gold mine ore processing facilities); (2) a small, governmental jurisdiction that is a government of a city, county, town, school district, or special district with a population of less than 50,000; and (3) a small organization that is any not-for-profit enterprise that is independently-owned and -operated and is not dominant in its field. </w:t>
      </w:r>
    </w:p>
    <w:p w:rsidR="00ED57A4" w:rsidRPr="00BB3410" w:rsidP="0099204C" w14:paraId="33DEE421" w14:textId="16915C6D">
      <w:pPr>
        <w:rPr>
          <w:rFonts w:cstheme="minorHAnsi"/>
        </w:rPr>
      </w:pPr>
      <w:r w:rsidRPr="0099204C">
        <w:rPr>
          <w:rFonts w:cstheme="minorHAnsi"/>
        </w:rPr>
        <w:t>Although these standards will not affect any small entities, EPA nonetheless has tried to reduce the impact of this final rule on all of the affected sources. These same standards include parametric monitoring requirements for mercury emission control devices that are common throughout the industry and in many cases are already required by State operating permits. These same standards also require only the essential monitoring, recordkeeping, and reporting needed to verify compliance.</w:t>
      </w:r>
    </w:p>
    <w:p w:rsidR="004252C1" w:rsidRPr="00E3122D" w:rsidP="4BDBF0A0" w14:paraId="08E28B00" w14:textId="77777777">
      <w:pPr>
        <w:pStyle w:val="ListParagraph"/>
        <w:numPr>
          <w:ilvl w:val="0"/>
          <w:numId w:val="25"/>
        </w:numPr>
        <w:pBdr>
          <w:bottom w:val="single" w:sz="4" w:space="1" w:color="auto"/>
        </w:pBdr>
        <w:spacing w:before="240" w:after="0"/>
        <w:rPr>
          <w:b/>
          <w:bCs/>
        </w:rPr>
      </w:pPr>
      <w:bookmarkStart w:id="6" w:name="_Toc156593373"/>
      <w:r w:rsidRPr="4BDBF0A0">
        <w:rPr>
          <w:b/>
          <w:bCs/>
        </w:rPr>
        <w:t>CONSEQUENCES</w:t>
      </w:r>
      <w:r w:rsidRPr="4BDBF0A0" w:rsidR="00061A77">
        <w:rPr>
          <w:b/>
          <w:bCs/>
        </w:rPr>
        <w:t xml:space="preserve"> OF LESS FREQUENT COLLECTION</w:t>
      </w:r>
      <w:bookmarkEnd w:id="6"/>
    </w:p>
    <w:p w:rsidR="00D47CB3" w:rsidRPr="001F0834" w:rsidP="00854AAE" w14:paraId="75FB3DA3" w14:textId="77777777">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BB3410" w:rsidP="00854AAE" w14:paraId="427890B9" w14:textId="08F03F0A">
      <w:pPr>
        <w:pBdr>
          <w:top w:val="single" w:sz="6" w:space="0" w:color="FFFFFF"/>
          <w:left w:val="single" w:sz="6" w:space="0" w:color="FFFFFF"/>
          <w:bottom w:val="single" w:sz="6" w:space="0" w:color="FFFFFF"/>
          <w:right w:val="single" w:sz="6" w:space="0" w:color="FFFFFF"/>
        </w:pBdr>
        <w:rPr>
          <w:rFonts w:cstheme="minorHAnsi"/>
          <w:color w:val="000000"/>
        </w:rPr>
      </w:pPr>
      <w:r w:rsidRPr="00A76C0B">
        <w:rPr>
          <w:rFonts w:cstheme="minorHAnsi"/>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654E273" w14:textId="77777777">
      <w:pPr>
        <w:pStyle w:val="ListParagraph"/>
        <w:numPr>
          <w:ilvl w:val="0"/>
          <w:numId w:val="25"/>
        </w:numPr>
        <w:pBdr>
          <w:bottom w:val="single" w:sz="4" w:space="1" w:color="auto"/>
        </w:pBdr>
        <w:spacing w:before="240" w:after="0"/>
        <w:rPr>
          <w:rFonts w:cstheme="minorHAnsi"/>
          <w:b/>
          <w:bCs/>
        </w:rPr>
      </w:pPr>
      <w:bookmarkStart w:id="7" w:name="_Toc156593374"/>
      <w:r w:rsidRPr="00E3122D">
        <w:rPr>
          <w:rFonts w:cstheme="minorHAnsi"/>
          <w:b/>
          <w:bCs/>
        </w:rPr>
        <w:t>GENERAL GUIDELINES</w:t>
      </w:r>
      <w:bookmarkEnd w:id="7"/>
    </w:p>
    <w:p w:rsidR="00A233E0" w:rsidRPr="00A233E0" w:rsidP="00854AAE" w14:paraId="21801611" w14:textId="77777777">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111663" w:rsidRPr="00BB3410" w:rsidP="00854AAE" w14:paraId="49DB5E2C" w14:textId="06FED39E">
      <w:pPr>
        <w:pBdr>
          <w:top w:val="single" w:sz="6" w:space="0" w:color="FFFFFF"/>
          <w:left w:val="single" w:sz="6" w:space="0" w:color="FFFFFF"/>
          <w:bottom w:val="single" w:sz="6" w:space="0" w:color="FFFFFF"/>
          <w:right w:val="single" w:sz="6" w:space="0" w:color="FFFFFF"/>
        </w:pBdr>
        <w:rPr>
          <w:rFonts w:cstheme="minorHAnsi"/>
          <w:color w:val="000000"/>
        </w:rPr>
      </w:pPr>
      <w:r w:rsidRPr="000570B3">
        <w:rPr>
          <w:rFonts w:cstheme="minorHAnsi"/>
          <w:color w:val="000000"/>
        </w:rPr>
        <w:t>The information collection is consistent with the guidelines set forth in 5 CFR 1320(d)(2) of the Paperwork Reduction Act guidelines.</w:t>
      </w:r>
    </w:p>
    <w:p w:rsidR="006036CD" w:rsidRPr="00E3122D" w:rsidP="00854AAE" w14:paraId="7FB88935" w14:textId="77777777">
      <w:pPr>
        <w:pStyle w:val="ListParagraph"/>
        <w:numPr>
          <w:ilvl w:val="0"/>
          <w:numId w:val="25"/>
        </w:numPr>
        <w:pBdr>
          <w:bottom w:val="single" w:sz="4" w:space="1" w:color="auto"/>
        </w:pBdr>
        <w:spacing w:before="240" w:after="0"/>
        <w:rPr>
          <w:rFonts w:cstheme="minorHAnsi"/>
          <w:b/>
          <w:bCs/>
        </w:rPr>
      </w:pPr>
      <w:bookmarkStart w:id="8" w:name="_Toc156593375"/>
      <w:r w:rsidRPr="00E3122D">
        <w:rPr>
          <w:rFonts w:cstheme="minorHAnsi"/>
          <w:b/>
          <w:bCs/>
        </w:rPr>
        <w:t>PUBLIC COMMENT AND CONSULTATIONS</w:t>
      </w:r>
      <w:bookmarkStart w:id="9" w:name="_Toc156593376"/>
      <w:bookmarkEnd w:id="8"/>
    </w:p>
    <w:p w:rsidR="00DD2682" w:rsidRPr="00E3122D" w:rsidP="00854AAE" w14:paraId="6574C48A" w14:textId="77777777">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0" w:name="_Toc156593377"/>
      <w:bookmarkEnd w:id="9"/>
    </w:p>
    <w:p w:rsidR="00A233E0" w:rsidRPr="00A233E0" w:rsidP="00854AAE" w14:paraId="4BA4DFF0"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P="00854AAE" w14:paraId="0F2FD30E" w14:textId="6E7ECADD">
      <w:pPr>
        <w:pBdr>
          <w:top w:val="single" w:sz="6" w:space="0" w:color="FFFFFF"/>
          <w:left w:val="single" w:sz="6" w:space="0" w:color="FFFFFF"/>
          <w:bottom w:val="single" w:sz="6" w:space="0" w:color="FFFFFF"/>
          <w:right w:val="single" w:sz="6" w:space="0" w:color="FFFFFF"/>
        </w:pBdr>
        <w:rPr>
          <w:rFonts w:cstheme="minorHAnsi"/>
          <w:color w:val="000000"/>
        </w:rPr>
      </w:pPr>
      <w:r w:rsidRPr="00EE0839">
        <w:rPr>
          <w:rFonts w:cstheme="minorHAnsi"/>
          <w:color w:val="000000"/>
        </w:rPr>
        <w:t xml:space="preserve">An announcement of a public comment period for the renewal of this ICR was published in the </w:t>
      </w:r>
      <w:r w:rsidRPr="00EE0839">
        <w:rPr>
          <w:rFonts w:cstheme="minorHAnsi"/>
          <w:i/>
          <w:iCs/>
          <w:color w:val="000000"/>
        </w:rPr>
        <w:t>Federal Register</w:t>
      </w:r>
      <w:r w:rsidRPr="00EE0839">
        <w:rPr>
          <w:rFonts w:cstheme="minorHAnsi"/>
          <w:color w:val="000000"/>
        </w:rPr>
        <w:t xml:space="preserve"> 88 FR 31748 published on May 18, 2023. No comments were received on the burden published in the Federal Register for this renewal.</w:t>
      </w:r>
    </w:p>
    <w:p w:rsidR="00DB7775" w:rsidRPr="00E3122D" w:rsidP="00854AAE" w14:paraId="38C083E6" w14:textId="77777777">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0"/>
      <w:r w:rsidRPr="00E3122D" w:rsidR="005D140B">
        <w:rPr>
          <w:rFonts w:cstheme="minorHAnsi"/>
          <w:b/>
          <w:bCs/>
        </w:rPr>
        <w:t>onsultations</w:t>
      </w:r>
    </w:p>
    <w:p w:rsidR="00A233E0" w:rsidRPr="00A233E0" w:rsidP="00854AAE" w14:paraId="4C90D0CA"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E0839" w:rsidRPr="00EE0839" w:rsidP="00EE0839" w14:paraId="13E7369E" w14:textId="5B8FBB75">
      <w:pPr>
        <w:rPr>
          <w:rFonts w:cstheme="minorHAnsi"/>
        </w:rPr>
      </w:pPr>
      <w:r w:rsidRPr="00EE0839">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21 respondents will be subject to the standard over the three-year period covered by this ICR.</w:t>
      </w:r>
    </w:p>
    <w:p w:rsidR="00EE0839" w:rsidRPr="00EE0839" w:rsidP="00EE0839" w14:paraId="7AD8EB5F" w14:textId="1FFAFFE7">
      <w:pPr>
        <w:rPr>
          <w:rFonts w:cstheme="minorHAnsi"/>
        </w:rPr>
      </w:pPr>
      <w:r w:rsidRPr="00EE0839">
        <w:rPr>
          <w:rFonts w:cstheme="minorHAnsi"/>
        </w:rPr>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National Mining Association, at (202) 463-2600, and the Nevada Mining Association, at (775) 829-2121. In this case, no comments were received.</w:t>
      </w:r>
    </w:p>
    <w:p w:rsidR="00111663" w:rsidRPr="00BB3410" w:rsidP="00EE0839" w14:paraId="6AA6C519" w14:textId="6ECA98B7">
      <w:pPr>
        <w:rPr>
          <w:rFonts w:cstheme="minorHAnsi"/>
        </w:rPr>
      </w:pPr>
      <w:r w:rsidRPr="00EE0839">
        <w:rPr>
          <w:rFonts w:cstheme="minorHAnsi"/>
        </w:rPr>
        <w:t>It is our policy to respond after a thorough review of comments received since the last ICR renewal as well as those submitted in response to the first Federal Register notice. In this case, no comments were received.</w:t>
      </w:r>
    </w:p>
    <w:p w:rsidR="00A233E0" w:rsidRPr="00E3122D" w:rsidP="00854AAE" w14:paraId="1AE4499E" w14:textId="77777777">
      <w:pPr>
        <w:pStyle w:val="ListParagraph"/>
        <w:numPr>
          <w:ilvl w:val="0"/>
          <w:numId w:val="25"/>
        </w:numPr>
        <w:pBdr>
          <w:bottom w:val="single" w:sz="4" w:space="1" w:color="auto"/>
        </w:pBdr>
        <w:spacing w:before="240" w:after="0"/>
        <w:rPr>
          <w:rFonts w:cstheme="minorHAnsi"/>
          <w:b/>
          <w:bCs/>
        </w:rPr>
      </w:pPr>
      <w:bookmarkStart w:id="11" w:name="_Toc156593378"/>
      <w:r w:rsidRPr="00E3122D">
        <w:rPr>
          <w:rFonts w:cstheme="minorHAnsi"/>
          <w:b/>
          <w:bCs/>
        </w:rPr>
        <w:t>PAYMENTS OR GIFTS TO RESPONDENTS</w:t>
      </w:r>
      <w:bookmarkEnd w:id="11"/>
    </w:p>
    <w:p w:rsidR="00D47CB3" w:rsidRPr="00D47CB3" w:rsidP="00854AAE" w14:paraId="42E8FDB4" w14:textId="77777777">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7F59AAEB" w14:textId="35A2A161">
      <w:pPr>
        <w:rPr>
          <w:rFonts w:cstheme="minorHAnsi"/>
        </w:rPr>
      </w:pPr>
      <w:r w:rsidRPr="000570B3">
        <w:rPr>
          <w:rStyle w:val="normaltextrun"/>
          <w:color w:val="000000"/>
          <w:bdr w:val="none" w:sz="0" w:space="0" w:color="auto" w:frame="1"/>
        </w:rPr>
        <w:t>No payments or gifts are provided to respondents.</w:t>
      </w:r>
    </w:p>
    <w:p w:rsidR="4C04BBF2" w:rsidP="4BDBF0A0" w14:paraId="2DFEF2FB" w14:textId="77777777">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28BC5988" w14:textId="77777777">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BB3410" w:rsidP="00854AAE" w14:paraId="5CC381C8" w14:textId="400EBF48">
      <w:pPr>
        <w:pBdr>
          <w:top w:val="single" w:sz="6" w:space="0" w:color="FFFFFF"/>
          <w:left w:val="single" w:sz="6" w:space="0" w:color="FFFFFF"/>
          <w:bottom w:val="single" w:sz="6" w:space="0" w:color="FFFFFF"/>
          <w:right w:val="single" w:sz="6" w:space="0" w:color="FFFFFF"/>
        </w:pBdr>
        <w:rPr>
          <w:rFonts w:cstheme="minorHAnsi"/>
          <w:color w:val="000000"/>
        </w:rPr>
      </w:pPr>
      <w:r w:rsidRPr="000570B3">
        <w:rPr>
          <w:rFonts w:cstheme="minorHAnsi"/>
          <w:color w:val="000000"/>
        </w:rPr>
        <w:t>None of the information collection requirements of this ICR require the disclosure of confidential business information.</w:t>
      </w:r>
    </w:p>
    <w:p w:rsidR="00A233E0" w:rsidRPr="00E3122D" w:rsidP="00854AAE" w14:paraId="5356CB85" w14:textId="77777777">
      <w:pPr>
        <w:pStyle w:val="ListParagraph"/>
        <w:numPr>
          <w:ilvl w:val="0"/>
          <w:numId w:val="25"/>
        </w:numPr>
        <w:pBdr>
          <w:bottom w:val="single" w:sz="4" w:space="1" w:color="auto"/>
        </w:pBdr>
        <w:spacing w:before="240" w:after="0"/>
        <w:rPr>
          <w:rFonts w:cstheme="minorHAnsi"/>
          <w:b/>
          <w:bCs/>
        </w:rPr>
      </w:pPr>
      <w:bookmarkStart w:id="12" w:name="_Toc156593380"/>
      <w:r w:rsidRPr="4BDBF0A0">
        <w:rPr>
          <w:b/>
          <w:bCs/>
        </w:rPr>
        <w:t>JUSTIFICATION FOR SENSITIVE QUESTIONS</w:t>
      </w:r>
      <w:bookmarkEnd w:id="12"/>
    </w:p>
    <w:p w:rsidR="00A233E0" w:rsidRPr="00A233E0" w:rsidP="00854AAE" w14:paraId="43CA7C71" w14:textId="77777777">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4A14CDB2" w14:textId="1872EA26">
      <w:pPr>
        <w:pBdr>
          <w:top w:val="single" w:sz="6" w:space="0" w:color="FFFFFF"/>
          <w:left w:val="single" w:sz="6" w:space="0" w:color="FFFFFF"/>
          <w:bottom w:val="single" w:sz="6" w:space="0" w:color="FFFFFF"/>
          <w:right w:val="single" w:sz="6" w:space="0" w:color="FFFFFF"/>
        </w:pBdr>
        <w:rPr>
          <w:rFonts w:cstheme="minorHAnsi"/>
          <w:color w:val="000000"/>
        </w:rPr>
      </w:pPr>
      <w:r w:rsidRPr="000570B3">
        <w:rPr>
          <w:rFonts w:cstheme="minorHAnsi"/>
          <w:color w:val="000000"/>
        </w:rPr>
        <w:t>Questions about sensitive issues that are normally considered private (e.g., religious beliefs, sexual attitudes, and behavior) will not be included in the information collections covered by this ICR.</w:t>
      </w:r>
    </w:p>
    <w:p w:rsidR="001172FE" w:rsidRPr="00E3122D" w:rsidP="00854AAE" w14:paraId="1B240CEB" w14:textId="77777777">
      <w:pPr>
        <w:pStyle w:val="ListParagraph"/>
        <w:numPr>
          <w:ilvl w:val="0"/>
          <w:numId w:val="25"/>
        </w:numPr>
        <w:spacing w:before="240" w:after="0"/>
        <w:rPr>
          <w:rFonts w:cstheme="minorHAnsi"/>
          <w:b/>
          <w:bCs/>
        </w:rPr>
      </w:pPr>
      <w:bookmarkStart w:id="13" w:name="_Toc156593381"/>
      <w:bookmarkStart w:id="14" w:name="_Hlk162363270"/>
      <w:r w:rsidRPr="4BDBF0A0">
        <w:rPr>
          <w:b/>
          <w:bCs/>
        </w:rPr>
        <w:t>RESPONDENT BURDEN HOURS</w:t>
      </w:r>
      <w:r w:rsidRPr="4BDBF0A0" w:rsidR="00DB799B">
        <w:rPr>
          <w:b/>
          <w:bCs/>
        </w:rPr>
        <w:t xml:space="preserve"> &amp; LABOR COSTS</w:t>
      </w:r>
      <w:bookmarkStart w:id="15" w:name="_Toc156593382"/>
      <w:bookmarkEnd w:id="13"/>
    </w:p>
    <w:p w:rsidR="00A233E0" w:rsidRPr="00F532D6" w:rsidP="00163C69" w14:paraId="51105263"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7A357096"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6F2D156A"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2F9B6524" w14:textId="77777777">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bookmarkEnd w:id="14"/>
    <w:p w:rsidR="001172FE" w:rsidRPr="00E3122D" w:rsidP="00854AAE" w14:paraId="7783E3A0" w14:textId="77777777">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6" w:name="_Toc156593383"/>
      <w:bookmarkEnd w:id="15"/>
    </w:p>
    <w:p w:rsidR="00BB3410" w:rsidP="00854AAE" w14:paraId="19C07141" w14:textId="29FBD69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554CC">
        <w:rPr>
          <w:rFonts w:cstheme="minorHAnsi"/>
          <w:color w:val="000000"/>
        </w:rPr>
        <w:t>The respondents to the recordkeeping and reporting requirements are gold mine ore processing and production facilities. The United States Standard Industrial Classification (SIC) code for the respondents affected by the standards is SIC 10412 which corresponds to the North American Industry Classification System (NAICS) 212221 for gold ore mining.</w:t>
      </w:r>
    </w:p>
    <w:p w:rsidR="00C554CC" w:rsidP="00C554CC" w14:paraId="2566765E" w14:textId="4E3727E8">
      <w:pPr>
        <w:pBdr>
          <w:top w:val="single" w:sz="6" w:space="0" w:color="FFFFFF"/>
          <w:left w:val="single" w:sz="6" w:space="0" w:color="FFFFFF"/>
          <w:bottom w:val="single" w:sz="6" w:space="0" w:color="FFFFFF"/>
          <w:right w:val="single" w:sz="6" w:space="0" w:color="FFFFFF"/>
        </w:pBdr>
        <w:rPr>
          <w:color w:val="000000"/>
        </w:rPr>
      </w:pPr>
      <w:r w:rsidRPr="00A83781">
        <w:t xml:space="preserve">Based on our research for this ICR, on average over the next three years, approximately 21 existing </w:t>
      </w:r>
      <w:r>
        <w:rPr>
          <w:color w:val="000000"/>
        </w:rPr>
        <w:t xml:space="preserve">respondents will be subject to the standard. It is estimated that </w:t>
      </w:r>
      <w:r w:rsidRPr="00A83781">
        <w:rPr>
          <w:color w:val="000000"/>
        </w:rPr>
        <w:t>no additional</w:t>
      </w:r>
      <w:r>
        <w:rPr>
          <w:color w:val="000000"/>
        </w:rPr>
        <w:t xml:space="preserve"> respondents per year will become subject. The overall average number of respondents, as shown in the table below</w:t>
      </w:r>
      <w:r w:rsidRPr="00A83781">
        <w:t xml:space="preserve">, is </w:t>
      </w:r>
      <w:r w:rsidRPr="006E0B52">
        <w:t xml:space="preserve">21 </w:t>
      </w:r>
      <w:r w:rsidRPr="006E0B52">
        <w:rPr>
          <w:color w:val="000000"/>
        </w:rPr>
        <w:t>per</w:t>
      </w:r>
      <w:r>
        <w:rPr>
          <w:color w:val="000000"/>
        </w:rPr>
        <w:t xml:space="preserve"> year. </w:t>
      </w:r>
    </w:p>
    <w:p w:rsidR="00C554CC" w:rsidP="00C554CC" w14:paraId="7B2C6C73" w14:textId="7ABFE1D5">
      <w:pPr>
        <w:pBdr>
          <w:top w:val="single" w:sz="6" w:space="0" w:color="FFFFFF"/>
          <w:left w:val="single" w:sz="6" w:space="0" w:color="FFFFFF"/>
          <w:bottom w:val="single" w:sz="6" w:space="0" w:color="FFFFFF"/>
          <w:right w:val="single" w:sz="6" w:space="0" w:color="FFFFFF"/>
        </w:pBdr>
        <w:rPr>
          <w:color w:val="000000"/>
        </w:rPr>
      </w:pPr>
      <w:r>
        <w:rPr>
          <w:color w:val="000000"/>
        </w:rPr>
        <w:t xml:space="preserve">The number of respondents is calculated using the following table that addresses the three years covered by this ICR. </w:t>
      </w: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1BB5CA" w14:textId="77777777" w:rsidTr="008C0EA7">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554CC" w:rsidP="008C0EA7" w14:paraId="724960C0" w14:textId="77777777">
            <w:pPr>
              <w:spacing w:line="120" w:lineRule="exact"/>
              <w:rPr>
                <w:color w:val="000000"/>
              </w:rPr>
            </w:pPr>
          </w:p>
          <w:p w:rsidR="00C554CC" w:rsidP="008C0EA7" w14:paraId="04119206"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24DB3876" w14:textId="77777777" w:rsidTr="008C0EA7">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554CC" w:rsidP="008C0EA7" w14:paraId="0F19D669" w14:textId="77777777">
            <w:pPr>
              <w:spacing w:line="120" w:lineRule="exact"/>
              <w:rPr>
                <w:b/>
                <w:bCs/>
                <w:color w:val="000000"/>
              </w:rPr>
            </w:pPr>
          </w:p>
          <w:p w:rsidR="00C554CC" w:rsidP="008C0EA7" w14:paraId="6D432D51"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554CC" w:rsidP="008C0EA7" w14:paraId="452E7EF3" w14:textId="77777777">
            <w:pPr>
              <w:spacing w:line="120" w:lineRule="exact"/>
              <w:rPr>
                <w:color w:val="000000"/>
                <w:sz w:val="18"/>
                <w:szCs w:val="18"/>
              </w:rPr>
            </w:pPr>
          </w:p>
          <w:p w:rsidR="00C554CC" w:rsidP="008C0EA7" w14:paraId="23C91A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554CC" w:rsidP="008C0EA7" w14:paraId="7502D6A2" w14:textId="77777777">
            <w:pPr>
              <w:spacing w:line="120" w:lineRule="exact"/>
              <w:rPr>
                <w:color w:val="000000"/>
                <w:sz w:val="18"/>
                <w:szCs w:val="18"/>
              </w:rPr>
            </w:pPr>
          </w:p>
          <w:p w:rsidR="00C554CC" w:rsidP="008C0EA7" w14:paraId="08F0FCD1"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554CC" w:rsidP="008C0EA7" w14:paraId="201F8A10" w14:textId="77777777">
            <w:pPr>
              <w:spacing w:line="120" w:lineRule="exact"/>
              <w:rPr>
                <w:color w:val="000000"/>
                <w:sz w:val="18"/>
                <w:szCs w:val="18"/>
              </w:rPr>
            </w:pPr>
          </w:p>
          <w:p w:rsidR="00C554CC" w:rsidP="008C0EA7" w14:paraId="75003AC3"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5531B861" w14:textId="77777777" w:rsidTr="008C0EA7">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554CC" w:rsidP="008C0EA7" w14:paraId="0911D6D2" w14:textId="77777777">
            <w:pPr>
              <w:spacing w:line="120" w:lineRule="exact"/>
              <w:rPr>
                <w:color w:val="000000"/>
                <w:sz w:val="18"/>
                <w:szCs w:val="18"/>
              </w:rPr>
            </w:pPr>
          </w:p>
          <w:p w:rsidR="00C554CC" w:rsidP="008C0EA7" w14:paraId="0C6AE280"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554CC" w:rsidP="008C0EA7" w14:paraId="7B80026B"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554CC" w:rsidP="008C0EA7" w14:paraId="78E9AC5E" w14:textId="77777777">
            <w:pPr>
              <w:spacing w:line="120" w:lineRule="exact"/>
              <w:rPr>
                <w:color w:val="000000"/>
                <w:sz w:val="20"/>
                <w:szCs w:val="20"/>
              </w:rPr>
            </w:pPr>
          </w:p>
          <w:p w:rsidR="00C554CC" w:rsidP="008C0EA7" w14:paraId="378688C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554CC" w:rsidP="008C0EA7" w14:paraId="3F3968FF"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554CC" w:rsidP="008C0EA7" w14:paraId="187DD568" w14:textId="77777777">
            <w:pPr>
              <w:spacing w:line="120" w:lineRule="exact"/>
              <w:rPr>
                <w:color w:val="000000"/>
                <w:sz w:val="20"/>
                <w:szCs w:val="20"/>
              </w:rPr>
            </w:pPr>
          </w:p>
          <w:p w:rsidR="00C554CC" w:rsidP="008C0EA7" w14:paraId="2E70B74C"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554CC" w:rsidP="008C0EA7" w14:paraId="3534A12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554CC" w:rsidP="008C0EA7" w14:paraId="3F16EDAB" w14:textId="77777777">
            <w:pPr>
              <w:spacing w:line="120" w:lineRule="exact"/>
              <w:rPr>
                <w:color w:val="000000"/>
                <w:sz w:val="20"/>
                <w:szCs w:val="20"/>
              </w:rPr>
            </w:pPr>
          </w:p>
          <w:p w:rsidR="00C554CC" w:rsidP="008C0EA7" w14:paraId="6DA8A22B"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554CC" w:rsidP="008C0EA7" w14:paraId="79623E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554CC" w:rsidP="008C0EA7" w14:paraId="490F85E7" w14:textId="77777777">
            <w:pPr>
              <w:spacing w:line="120" w:lineRule="exact"/>
              <w:rPr>
                <w:color w:val="000000"/>
                <w:sz w:val="20"/>
                <w:szCs w:val="20"/>
              </w:rPr>
            </w:pPr>
          </w:p>
          <w:p w:rsidR="00C554CC" w:rsidP="008C0EA7" w14:paraId="7390C38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554CC" w:rsidP="008C0EA7" w14:paraId="13A95534"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554CC" w:rsidP="008C0EA7" w14:paraId="623672D9" w14:textId="77777777">
            <w:pPr>
              <w:spacing w:line="120" w:lineRule="exact"/>
              <w:rPr>
                <w:color w:val="000000"/>
                <w:sz w:val="20"/>
                <w:szCs w:val="20"/>
              </w:rPr>
            </w:pPr>
          </w:p>
          <w:p w:rsidR="00C554CC" w:rsidP="008C0EA7" w14:paraId="5DE0C93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554CC" w:rsidP="008C0EA7" w14:paraId="13935F41"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554CC" w:rsidP="008C0EA7" w14:paraId="17B9FD2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6F7923CB" w14:textId="77777777" w:rsidTr="008C0EA7">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C554CC" w:rsidP="008C0EA7" w14:paraId="6F7B3AB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C554CC" w:rsidP="008C0EA7" w14:paraId="6587E09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C554CC" w:rsidP="008C0EA7" w14:paraId="28BFA23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21</w:t>
            </w:r>
          </w:p>
        </w:tc>
        <w:tc>
          <w:tcPr>
            <w:tcW w:w="2070" w:type="dxa"/>
            <w:tcBorders>
              <w:top w:val="single" w:sz="8" w:space="0" w:color="000000"/>
              <w:left w:val="single" w:sz="6" w:space="0" w:color="000000"/>
              <w:bottom w:val="single" w:sz="6" w:space="0" w:color="000000"/>
              <w:right w:val="single" w:sz="6" w:space="0" w:color="000000"/>
            </w:tcBorders>
            <w:vAlign w:val="center"/>
          </w:tcPr>
          <w:p w:rsidR="00C554CC" w:rsidP="008C0EA7" w14:paraId="5ABE51D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C554CC" w:rsidP="008C0EA7" w14:paraId="5256CB1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C554CC" w:rsidP="008C0EA7" w14:paraId="66B9583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21</w:t>
            </w:r>
          </w:p>
        </w:tc>
      </w:tr>
      <w:tr w14:paraId="208C2457" w14:textId="77777777" w:rsidTr="008C0EA7">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554CC" w:rsidP="008C0EA7" w14:paraId="155F145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C554CC" w:rsidP="008C0EA7" w14:paraId="7B9C0F2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554CC" w:rsidP="008C0EA7" w14:paraId="2CFEBBF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21</w:t>
            </w:r>
          </w:p>
        </w:tc>
        <w:tc>
          <w:tcPr>
            <w:tcW w:w="2070" w:type="dxa"/>
            <w:tcBorders>
              <w:top w:val="single" w:sz="6" w:space="0" w:color="000000"/>
              <w:left w:val="single" w:sz="6" w:space="0" w:color="000000"/>
              <w:bottom w:val="single" w:sz="6" w:space="0" w:color="000000"/>
              <w:right w:val="single" w:sz="6" w:space="0" w:color="000000"/>
            </w:tcBorders>
            <w:vAlign w:val="center"/>
          </w:tcPr>
          <w:p w:rsidR="00C554CC" w:rsidP="008C0EA7" w14:paraId="437EAAF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554CC" w:rsidP="008C0EA7" w14:paraId="6D714ED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554CC" w:rsidP="008C0EA7" w14:paraId="2EEBA0F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21</w:t>
            </w:r>
          </w:p>
        </w:tc>
      </w:tr>
      <w:tr w14:paraId="0F7A5FE0" w14:textId="77777777" w:rsidTr="008C0EA7">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554CC" w:rsidP="008C0EA7" w14:paraId="3B5ADEF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C554CC" w:rsidP="008C0EA7" w14:paraId="2827AC6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554CC" w:rsidP="008C0EA7" w14:paraId="150CBD2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21</w:t>
            </w:r>
          </w:p>
        </w:tc>
        <w:tc>
          <w:tcPr>
            <w:tcW w:w="2070" w:type="dxa"/>
            <w:tcBorders>
              <w:top w:val="single" w:sz="6" w:space="0" w:color="000000"/>
              <w:left w:val="single" w:sz="6" w:space="0" w:color="000000"/>
              <w:bottom w:val="single" w:sz="6" w:space="0" w:color="000000"/>
              <w:right w:val="single" w:sz="6" w:space="0" w:color="000000"/>
            </w:tcBorders>
            <w:vAlign w:val="center"/>
          </w:tcPr>
          <w:p w:rsidR="00C554CC" w:rsidP="008C0EA7" w14:paraId="24C0AE8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554CC" w:rsidP="008C0EA7" w14:paraId="0EF4171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554CC" w:rsidP="008C0EA7" w14:paraId="45274B2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21</w:t>
            </w:r>
          </w:p>
        </w:tc>
      </w:tr>
      <w:tr w14:paraId="4D56FC73" w14:textId="77777777" w:rsidTr="008C0EA7">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C554CC" w:rsidP="008C0EA7" w14:paraId="64BCC5E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C554CC" w:rsidP="008C0EA7" w14:paraId="39010B3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C554CC" w:rsidP="008C0EA7" w14:paraId="7818A7E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21</w:t>
            </w:r>
          </w:p>
        </w:tc>
        <w:tc>
          <w:tcPr>
            <w:tcW w:w="2070" w:type="dxa"/>
            <w:tcBorders>
              <w:top w:val="single" w:sz="6" w:space="0" w:color="000000"/>
              <w:left w:val="single" w:sz="6" w:space="0" w:color="000000"/>
              <w:bottom w:val="single" w:sz="8" w:space="0" w:color="000000"/>
              <w:right w:val="single" w:sz="6" w:space="0" w:color="000000"/>
            </w:tcBorders>
            <w:vAlign w:val="center"/>
          </w:tcPr>
          <w:p w:rsidR="00C554CC" w:rsidP="008C0EA7" w14:paraId="64ED4D9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C554CC" w:rsidP="008C0EA7" w14:paraId="7EC64E3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C554CC" w:rsidP="008C0EA7" w14:paraId="18B4060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21</w:t>
            </w:r>
          </w:p>
        </w:tc>
      </w:tr>
    </w:tbl>
    <w:p w:rsidR="00C554CC" w:rsidRPr="00C554CC" w:rsidP="00C554CC" w14:paraId="628D904D" w14:textId="129F66BD">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rsidR="00C554CC" w:rsidRPr="00C554CC" w:rsidP="00C554CC" w14:paraId="67695623" w14:textId="481B6745">
      <w:pPr>
        <w:pBdr>
          <w:top w:val="single" w:sz="6" w:space="0" w:color="FFFFFF"/>
          <w:left w:val="single" w:sz="6" w:space="0" w:color="FFFFFF"/>
          <w:bottom w:val="single" w:sz="6" w:space="0" w:color="FFFFFF"/>
          <w:right w:val="single" w:sz="6" w:space="0" w:color="FFFFFF"/>
        </w:pBdr>
        <w:rPr>
          <w:color w:val="000000"/>
        </w:rPr>
      </w:pPr>
      <w:r>
        <w:rPr>
          <w:color w:val="000000"/>
        </w:rPr>
        <w:t xml:space="preserve">Column D is subtracted to avoid double-counting respondents. As shown above, the average </w:t>
      </w:r>
      <w:r w:rsidRPr="00C554CC">
        <w:rPr>
          <w:b/>
          <w:bCs/>
          <w:color w:val="000000"/>
        </w:rPr>
        <w:t>Number of Respondents</w:t>
      </w:r>
      <w:r>
        <w:rPr>
          <w:color w:val="000000"/>
        </w:rPr>
        <w:t xml:space="preserve"> over the three-year period of this ICR </w:t>
      </w:r>
      <w:r w:rsidRPr="00A83781">
        <w:t xml:space="preserve">is </w:t>
      </w:r>
      <w:r w:rsidRPr="00C554CC">
        <w:rPr>
          <w:b/>
          <w:bCs/>
        </w:rPr>
        <w:t>21</w:t>
      </w:r>
      <w:r w:rsidRPr="00A83781">
        <w:t>.</w:t>
      </w:r>
      <w:r>
        <w:t xml:space="preserve"> </w:t>
      </w:r>
    </w:p>
    <w:p w:rsidR="00C554CC" w:rsidRPr="00C554CC" w:rsidP="00C554CC" w14:paraId="421544A3" w14:textId="6A83F55E">
      <w:pPr>
        <w:pBdr>
          <w:top w:val="single" w:sz="6" w:space="0" w:color="FFFFFF"/>
          <w:left w:val="single" w:sz="6" w:space="0" w:color="FFFFFF"/>
          <w:bottom w:val="single" w:sz="6" w:space="0" w:color="FFFFFF"/>
          <w:right w:val="single" w:sz="6" w:space="0" w:color="FFFFFF"/>
        </w:pBdr>
      </w:pPr>
      <w:r w:rsidRPr="00AD3E31">
        <w:t>Number of respondents is calculated using the following table which addresses each of the three years covered by this ICR.</w:t>
      </w:r>
      <w:r>
        <w:t xml:space="preserve"> </w:t>
      </w:r>
    </w:p>
    <w:p w:rsidR="00C554CC" w:rsidRPr="00C554CC" w:rsidP="00C554CC" w14:paraId="4F46F992" w14:textId="61F722AA">
      <w:pPr>
        <w:pBdr>
          <w:top w:val="single" w:sz="6" w:space="0" w:color="FFFFFF"/>
          <w:left w:val="single" w:sz="6" w:space="0" w:color="FFFFFF"/>
          <w:bottom w:val="single" w:sz="6" w:space="0" w:color="FFFFFF"/>
          <w:right w:val="single" w:sz="6" w:space="0" w:color="FFFFFF"/>
        </w:pBdr>
        <w:rPr>
          <w:color w:val="FF0000"/>
        </w:rPr>
      </w:pPr>
      <w:r>
        <w:rPr>
          <w:color w:val="000000"/>
        </w:rPr>
        <w:t xml:space="preserve">The total number of annual responses per year is calculated using the following table: </w:t>
      </w:r>
    </w:p>
    <w:tbl>
      <w:tblPr>
        <w:tblW w:w="10780"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11"/>
        <w:gridCol w:w="2700"/>
        <w:gridCol w:w="1260"/>
        <w:gridCol w:w="1260"/>
        <w:gridCol w:w="1890"/>
        <w:gridCol w:w="2070"/>
        <w:gridCol w:w="1389"/>
      </w:tblGrid>
      <w:tr w14:paraId="272AF282" w14:textId="77777777" w:rsidTr="008C0EA7">
        <w:tblPrEx>
          <w:tblW w:w="10780"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gridBefore w:val="1"/>
          <w:gridAfter w:val="1"/>
          <w:wBefore w:w="211" w:type="dxa"/>
          <w:wAfter w:w="1389" w:type="dxa"/>
          <w:tblHeader/>
        </w:trPr>
        <w:tc>
          <w:tcPr>
            <w:tcW w:w="9180" w:type="dxa"/>
            <w:gridSpan w:val="5"/>
          </w:tcPr>
          <w:p w:rsidR="00C554CC" w:rsidP="008C0EA7" w14:paraId="70E13FC3" w14:textId="77777777">
            <w:pPr>
              <w:spacing w:line="120" w:lineRule="exact"/>
              <w:rPr>
                <w:color w:val="000000"/>
              </w:rPr>
            </w:pPr>
          </w:p>
          <w:p w:rsidR="00C554CC" w:rsidP="008C0EA7" w14:paraId="0C5800FF" w14:textId="77777777">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78D0F6F7" w14:textId="77777777" w:rsidTr="008C0EA7">
        <w:tblPrEx>
          <w:tblW w:w="10780" w:type="dxa"/>
          <w:tblInd w:w="-10" w:type="dxa"/>
          <w:tblLayout w:type="fixed"/>
          <w:tblCellMar>
            <w:left w:w="111" w:type="dxa"/>
            <w:right w:w="111" w:type="dxa"/>
          </w:tblCellMar>
          <w:tblLook w:val="0000"/>
        </w:tblPrEx>
        <w:trPr>
          <w:gridBefore w:val="1"/>
          <w:gridAfter w:val="1"/>
          <w:wBefore w:w="211" w:type="dxa"/>
          <w:wAfter w:w="1389" w:type="dxa"/>
        </w:trPr>
        <w:tc>
          <w:tcPr>
            <w:tcW w:w="2700" w:type="dxa"/>
          </w:tcPr>
          <w:p w:rsidR="00C554CC" w:rsidP="008C0EA7" w14:paraId="35A61DB9" w14:textId="77777777">
            <w:pPr>
              <w:spacing w:line="120" w:lineRule="exact"/>
              <w:jc w:val="center"/>
              <w:rPr>
                <w:b/>
                <w:bCs/>
                <w:color w:val="000000"/>
                <w:sz w:val="18"/>
                <w:szCs w:val="18"/>
              </w:rPr>
            </w:pPr>
          </w:p>
          <w:p w:rsidR="00C554CC" w:rsidP="008C0EA7" w14:paraId="40CF1A6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554CC" w:rsidP="008C0EA7" w14:paraId="64348CE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554CC" w:rsidP="008C0EA7" w14:paraId="4F0D54B3"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554CC" w:rsidP="008C0EA7" w14:paraId="4D774360" w14:textId="77777777">
            <w:pPr>
              <w:spacing w:line="120" w:lineRule="exact"/>
              <w:jc w:val="center"/>
              <w:rPr>
                <w:color w:val="000000"/>
                <w:sz w:val="18"/>
                <w:szCs w:val="18"/>
              </w:rPr>
            </w:pPr>
          </w:p>
          <w:p w:rsidR="00C554CC" w:rsidP="008C0EA7" w14:paraId="7360866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554CC" w:rsidP="008C0EA7" w14:paraId="590FFC2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554CC" w:rsidP="008C0EA7" w14:paraId="554A0205"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554CC" w:rsidP="008C0EA7" w14:paraId="133C5216" w14:textId="77777777">
            <w:pPr>
              <w:spacing w:line="120" w:lineRule="exact"/>
              <w:jc w:val="center"/>
              <w:rPr>
                <w:color w:val="000000"/>
                <w:sz w:val="18"/>
                <w:szCs w:val="18"/>
              </w:rPr>
            </w:pPr>
          </w:p>
          <w:p w:rsidR="00C554CC" w:rsidP="008C0EA7" w14:paraId="0C25C86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554CC" w:rsidP="008C0EA7" w14:paraId="2086941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554CC" w:rsidP="008C0EA7" w14:paraId="65EB899F"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554CC" w:rsidP="008C0EA7" w14:paraId="180B881C" w14:textId="77777777">
            <w:pPr>
              <w:spacing w:line="120" w:lineRule="exact"/>
              <w:jc w:val="center"/>
              <w:rPr>
                <w:color w:val="000000"/>
                <w:sz w:val="18"/>
                <w:szCs w:val="18"/>
              </w:rPr>
            </w:pPr>
          </w:p>
          <w:p w:rsidR="00C554CC" w:rsidP="008C0EA7" w14:paraId="0D714A8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554CC" w:rsidP="008C0EA7" w14:paraId="4E43F068"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554CC" w:rsidP="008C0EA7" w14:paraId="1F6AB2CE" w14:textId="77777777">
            <w:pPr>
              <w:spacing w:line="120" w:lineRule="exact"/>
              <w:jc w:val="center"/>
              <w:rPr>
                <w:color w:val="000000"/>
                <w:sz w:val="18"/>
                <w:szCs w:val="18"/>
              </w:rPr>
            </w:pPr>
          </w:p>
          <w:p w:rsidR="00C554CC" w:rsidP="008C0EA7" w14:paraId="5B5A475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554CC" w:rsidP="008C0EA7" w14:paraId="316F27B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554CC" w:rsidP="008C0EA7" w14:paraId="1053C59E"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24E5605D" w14:textId="77777777" w:rsidTr="008C0EA7">
        <w:tblPrEx>
          <w:tblW w:w="10780" w:type="dxa"/>
          <w:tblInd w:w="-10" w:type="dxa"/>
          <w:tblLayout w:type="fixed"/>
          <w:tblCellMar>
            <w:left w:w="111" w:type="dxa"/>
            <w:right w:w="111" w:type="dxa"/>
          </w:tblCellMar>
          <w:tblLook w:val="0000"/>
        </w:tblPrEx>
        <w:trPr>
          <w:gridBefore w:val="1"/>
          <w:gridAfter w:val="1"/>
          <w:wBefore w:w="211" w:type="dxa"/>
          <w:wAfter w:w="1389" w:type="dxa"/>
          <w:trHeight w:val="366"/>
        </w:trPr>
        <w:tc>
          <w:tcPr>
            <w:tcW w:w="2700" w:type="dxa"/>
            <w:vAlign w:val="center"/>
          </w:tcPr>
          <w:p w:rsidR="00C554CC" w:rsidP="008C0EA7" w14:paraId="039F6742"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9D28A9">
              <w:rPr>
                <w:sz w:val="18"/>
                <w:szCs w:val="18"/>
              </w:rPr>
              <w:t>Initial notification of applicability</w:t>
            </w:r>
          </w:p>
        </w:tc>
        <w:tc>
          <w:tcPr>
            <w:tcW w:w="1260" w:type="dxa"/>
            <w:vAlign w:val="center"/>
          </w:tcPr>
          <w:p w:rsidR="00C554CC" w:rsidP="008C0EA7" w14:paraId="1548F67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0</w:t>
            </w:r>
          </w:p>
        </w:tc>
        <w:tc>
          <w:tcPr>
            <w:tcW w:w="1260" w:type="dxa"/>
            <w:vAlign w:val="center"/>
          </w:tcPr>
          <w:p w:rsidR="00C554CC" w:rsidP="008C0EA7" w14:paraId="2B24028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1</w:t>
            </w:r>
          </w:p>
        </w:tc>
        <w:tc>
          <w:tcPr>
            <w:tcW w:w="1890" w:type="dxa"/>
            <w:vAlign w:val="center"/>
          </w:tcPr>
          <w:p w:rsidR="00C554CC" w:rsidP="008C0EA7" w14:paraId="1F80EF7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0</w:t>
            </w:r>
          </w:p>
        </w:tc>
        <w:tc>
          <w:tcPr>
            <w:tcW w:w="2070" w:type="dxa"/>
            <w:vAlign w:val="center"/>
          </w:tcPr>
          <w:p w:rsidR="00C554CC" w:rsidP="008C0EA7" w14:paraId="306EC76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0</w:t>
            </w:r>
          </w:p>
        </w:tc>
      </w:tr>
      <w:tr w14:paraId="45B1C76F" w14:textId="77777777" w:rsidTr="008C0EA7">
        <w:tblPrEx>
          <w:tblW w:w="10780" w:type="dxa"/>
          <w:tblInd w:w="-10" w:type="dxa"/>
          <w:tblLayout w:type="fixed"/>
          <w:tblCellMar>
            <w:left w:w="111" w:type="dxa"/>
            <w:right w:w="111" w:type="dxa"/>
          </w:tblCellMar>
          <w:tblLook w:val="0000"/>
        </w:tblPrEx>
        <w:trPr>
          <w:gridBefore w:val="1"/>
          <w:gridAfter w:val="1"/>
          <w:wBefore w:w="211" w:type="dxa"/>
          <w:wAfter w:w="1389" w:type="dxa"/>
          <w:trHeight w:val="366"/>
        </w:trPr>
        <w:tc>
          <w:tcPr>
            <w:tcW w:w="2700" w:type="dxa"/>
            <w:vAlign w:val="center"/>
          </w:tcPr>
          <w:p w:rsidR="00C554CC" w:rsidP="008C0EA7" w14:paraId="0EAE995E"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9D28A9">
              <w:rPr>
                <w:sz w:val="18"/>
                <w:szCs w:val="18"/>
              </w:rPr>
              <w:t>Initial notification of compliance status</w:t>
            </w:r>
          </w:p>
        </w:tc>
        <w:tc>
          <w:tcPr>
            <w:tcW w:w="1260" w:type="dxa"/>
            <w:vAlign w:val="center"/>
          </w:tcPr>
          <w:p w:rsidR="00C554CC" w:rsidP="008C0EA7" w14:paraId="5B3E6CD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0</w:t>
            </w:r>
          </w:p>
        </w:tc>
        <w:tc>
          <w:tcPr>
            <w:tcW w:w="1260" w:type="dxa"/>
            <w:vAlign w:val="center"/>
          </w:tcPr>
          <w:p w:rsidR="00C554CC" w:rsidP="008C0EA7" w14:paraId="04E3193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1</w:t>
            </w:r>
          </w:p>
        </w:tc>
        <w:tc>
          <w:tcPr>
            <w:tcW w:w="1890" w:type="dxa"/>
            <w:vAlign w:val="center"/>
          </w:tcPr>
          <w:p w:rsidR="00C554CC" w:rsidP="008C0EA7" w14:paraId="174B8FB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0</w:t>
            </w:r>
          </w:p>
        </w:tc>
        <w:tc>
          <w:tcPr>
            <w:tcW w:w="2070" w:type="dxa"/>
            <w:vAlign w:val="center"/>
          </w:tcPr>
          <w:p w:rsidR="00C554CC" w:rsidP="008C0EA7" w14:paraId="48D59B4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0</w:t>
            </w:r>
          </w:p>
        </w:tc>
      </w:tr>
      <w:tr w14:paraId="242609A1" w14:textId="77777777" w:rsidTr="008C0EA7">
        <w:tblPrEx>
          <w:tblW w:w="10780" w:type="dxa"/>
          <w:tblInd w:w="-10" w:type="dxa"/>
          <w:tblLayout w:type="fixed"/>
          <w:tblCellMar>
            <w:left w:w="111" w:type="dxa"/>
            <w:right w:w="111" w:type="dxa"/>
          </w:tblCellMar>
          <w:tblLook w:val="0000"/>
        </w:tblPrEx>
        <w:trPr>
          <w:gridBefore w:val="1"/>
          <w:gridAfter w:val="1"/>
          <w:wBefore w:w="211" w:type="dxa"/>
          <w:wAfter w:w="1389" w:type="dxa"/>
          <w:trHeight w:val="366"/>
        </w:trPr>
        <w:tc>
          <w:tcPr>
            <w:tcW w:w="2700" w:type="dxa"/>
            <w:vAlign w:val="center"/>
          </w:tcPr>
          <w:p w:rsidR="00C554CC" w:rsidP="008C0EA7" w14:paraId="503CB75A"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9D28A9">
              <w:rPr>
                <w:sz w:val="18"/>
                <w:szCs w:val="18"/>
              </w:rPr>
              <w:t>Notification of performance test</w:t>
            </w:r>
          </w:p>
        </w:tc>
        <w:tc>
          <w:tcPr>
            <w:tcW w:w="1260" w:type="dxa"/>
            <w:vAlign w:val="center"/>
          </w:tcPr>
          <w:p w:rsidR="00C554CC" w:rsidP="008C0EA7" w14:paraId="4452E33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0</w:t>
            </w:r>
          </w:p>
        </w:tc>
        <w:tc>
          <w:tcPr>
            <w:tcW w:w="1260" w:type="dxa"/>
            <w:vAlign w:val="center"/>
          </w:tcPr>
          <w:p w:rsidR="00C554CC" w:rsidP="008C0EA7" w14:paraId="3AE3A7E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1</w:t>
            </w:r>
          </w:p>
        </w:tc>
        <w:tc>
          <w:tcPr>
            <w:tcW w:w="1890" w:type="dxa"/>
            <w:vAlign w:val="center"/>
          </w:tcPr>
          <w:p w:rsidR="00C554CC" w:rsidP="008C0EA7" w14:paraId="4AADD4A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0</w:t>
            </w:r>
          </w:p>
        </w:tc>
        <w:tc>
          <w:tcPr>
            <w:tcW w:w="2070" w:type="dxa"/>
            <w:vAlign w:val="center"/>
          </w:tcPr>
          <w:p w:rsidR="00C554CC" w:rsidP="008C0EA7" w14:paraId="09C34B2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0</w:t>
            </w:r>
          </w:p>
        </w:tc>
      </w:tr>
      <w:tr w14:paraId="7B313458" w14:textId="77777777" w:rsidTr="008C0EA7">
        <w:tblPrEx>
          <w:tblW w:w="10780" w:type="dxa"/>
          <w:tblInd w:w="-10" w:type="dxa"/>
          <w:tblLayout w:type="fixed"/>
          <w:tblCellMar>
            <w:left w:w="111" w:type="dxa"/>
            <w:right w:w="111" w:type="dxa"/>
          </w:tblCellMar>
          <w:tblLook w:val="0000"/>
        </w:tblPrEx>
        <w:trPr>
          <w:gridBefore w:val="1"/>
          <w:gridAfter w:val="1"/>
          <w:wBefore w:w="211" w:type="dxa"/>
          <w:wAfter w:w="1389" w:type="dxa"/>
          <w:trHeight w:val="366"/>
        </w:trPr>
        <w:tc>
          <w:tcPr>
            <w:tcW w:w="2700" w:type="dxa"/>
            <w:vAlign w:val="center"/>
          </w:tcPr>
          <w:p w:rsidR="00C554CC" w:rsidP="008C0EA7" w14:paraId="624C3AC1"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9D28A9">
              <w:rPr>
                <w:sz w:val="18"/>
                <w:szCs w:val="18"/>
              </w:rPr>
              <w:t>Test plan</w:t>
            </w:r>
          </w:p>
        </w:tc>
        <w:tc>
          <w:tcPr>
            <w:tcW w:w="1260" w:type="dxa"/>
            <w:vAlign w:val="center"/>
          </w:tcPr>
          <w:p w:rsidR="00C554CC" w:rsidP="008C0EA7" w14:paraId="2176F31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0</w:t>
            </w:r>
          </w:p>
        </w:tc>
        <w:tc>
          <w:tcPr>
            <w:tcW w:w="1260" w:type="dxa"/>
            <w:vAlign w:val="center"/>
          </w:tcPr>
          <w:p w:rsidR="00C554CC" w:rsidP="008C0EA7" w14:paraId="6B580E7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1</w:t>
            </w:r>
          </w:p>
        </w:tc>
        <w:tc>
          <w:tcPr>
            <w:tcW w:w="1890" w:type="dxa"/>
            <w:vAlign w:val="center"/>
          </w:tcPr>
          <w:p w:rsidR="00C554CC" w:rsidP="008C0EA7" w14:paraId="2C30FBE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0</w:t>
            </w:r>
          </w:p>
        </w:tc>
        <w:tc>
          <w:tcPr>
            <w:tcW w:w="2070" w:type="dxa"/>
            <w:vAlign w:val="center"/>
          </w:tcPr>
          <w:p w:rsidR="00C554CC" w:rsidP="008C0EA7" w14:paraId="6E3B7CD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0</w:t>
            </w:r>
          </w:p>
        </w:tc>
      </w:tr>
      <w:tr w14:paraId="5B57603E" w14:textId="77777777" w:rsidTr="008C0EA7">
        <w:tblPrEx>
          <w:tblW w:w="10780" w:type="dxa"/>
          <w:tblInd w:w="-10" w:type="dxa"/>
          <w:tblLayout w:type="fixed"/>
          <w:tblCellMar>
            <w:left w:w="111" w:type="dxa"/>
            <w:right w:w="111" w:type="dxa"/>
          </w:tblCellMar>
          <w:tblLook w:val="0000"/>
        </w:tblPrEx>
        <w:trPr>
          <w:gridBefore w:val="1"/>
          <w:gridAfter w:val="1"/>
          <w:wBefore w:w="211" w:type="dxa"/>
          <w:wAfter w:w="1389" w:type="dxa"/>
          <w:trHeight w:val="366"/>
        </w:trPr>
        <w:tc>
          <w:tcPr>
            <w:tcW w:w="2700" w:type="dxa"/>
            <w:vAlign w:val="center"/>
          </w:tcPr>
          <w:p w:rsidR="00C554CC" w:rsidP="008C0EA7" w14:paraId="29B21812"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9D28A9">
              <w:rPr>
                <w:sz w:val="18"/>
                <w:szCs w:val="18"/>
              </w:rPr>
              <w:t>QA plan for CEMS</w:t>
            </w:r>
          </w:p>
        </w:tc>
        <w:tc>
          <w:tcPr>
            <w:tcW w:w="1260" w:type="dxa"/>
            <w:vAlign w:val="center"/>
          </w:tcPr>
          <w:p w:rsidR="00C554CC" w:rsidP="008C0EA7" w14:paraId="3052270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0</w:t>
            </w:r>
          </w:p>
        </w:tc>
        <w:tc>
          <w:tcPr>
            <w:tcW w:w="1260" w:type="dxa"/>
            <w:vAlign w:val="center"/>
          </w:tcPr>
          <w:p w:rsidR="00C554CC" w:rsidP="008C0EA7" w14:paraId="5AAF419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1</w:t>
            </w:r>
          </w:p>
        </w:tc>
        <w:tc>
          <w:tcPr>
            <w:tcW w:w="1890" w:type="dxa"/>
            <w:vAlign w:val="center"/>
          </w:tcPr>
          <w:p w:rsidR="00C554CC" w:rsidP="008C0EA7" w14:paraId="1074B4E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0</w:t>
            </w:r>
          </w:p>
        </w:tc>
        <w:tc>
          <w:tcPr>
            <w:tcW w:w="2070" w:type="dxa"/>
            <w:vAlign w:val="center"/>
          </w:tcPr>
          <w:p w:rsidR="00C554CC" w:rsidP="008C0EA7" w14:paraId="684C8A0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0</w:t>
            </w:r>
          </w:p>
        </w:tc>
      </w:tr>
      <w:tr w14:paraId="2F43FF29" w14:textId="77777777" w:rsidTr="008C0EA7">
        <w:tblPrEx>
          <w:tblW w:w="10780" w:type="dxa"/>
          <w:tblInd w:w="-10" w:type="dxa"/>
          <w:tblLayout w:type="fixed"/>
          <w:tblCellMar>
            <w:left w:w="111" w:type="dxa"/>
            <w:right w:w="111" w:type="dxa"/>
          </w:tblCellMar>
          <w:tblLook w:val="0000"/>
        </w:tblPrEx>
        <w:trPr>
          <w:gridBefore w:val="1"/>
          <w:gridAfter w:val="1"/>
          <w:wBefore w:w="211" w:type="dxa"/>
          <w:wAfter w:w="1389" w:type="dxa"/>
          <w:trHeight w:val="366"/>
        </w:trPr>
        <w:tc>
          <w:tcPr>
            <w:tcW w:w="2700" w:type="dxa"/>
            <w:vAlign w:val="center"/>
          </w:tcPr>
          <w:p w:rsidR="00C554CC" w:rsidP="008C0EA7" w14:paraId="42140B7B"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9D28A9">
              <w:rPr>
                <w:sz w:val="18"/>
                <w:szCs w:val="18"/>
              </w:rPr>
              <w:t>Startup, shutdown, and malfunction (SSM) plan</w:t>
            </w:r>
          </w:p>
        </w:tc>
        <w:tc>
          <w:tcPr>
            <w:tcW w:w="1260" w:type="dxa"/>
            <w:vAlign w:val="center"/>
          </w:tcPr>
          <w:p w:rsidR="00C554CC" w:rsidP="008C0EA7" w14:paraId="1609492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0</w:t>
            </w:r>
          </w:p>
        </w:tc>
        <w:tc>
          <w:tcPr>
            <w:tcW w:w="1260" w:type="dxa"/>
            <w:vAlign w:val="center"/>
          </w:tcPr>
          <w:p w:rsidR="00C554CC" w:rsidP="008C0EA7" w14:paraId="7D48EE8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1</w:t>
            </w:r>
          </w:p>
        </w:tc>
        <w:tc>
          <w:tcPr>
            <w:tcW w:w="1890" w:type="dxa"/>
            <w:vAlign w:val="center"/>
          </w:tcPr>
          <w:p w:rsidR="00C554CC" w:rsidP="008C0EA7" w14:paraId="71F2BCA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0</w:t>
            </w:r>
          </w:p>
        </w:tc>
        <w:tc>
          <w:tcPr>
            <w:tcW w:w="2070" w:type="dxa"/>
            <w:vAlign w:val="center"/>
          </w:tcPr>
          <w:p w:rsidR="00C554CC" w:rsidP="008C0EA7" w14:paraId="083D35C2" w14:textId="77777777">
            <w:pPr>
              <w:pBdr>
                <w:top w:val="single" w:sz="6" w:space="0" w:color="FFFFFF"/>
                <w:left w:val="single" w:sz="6" w:space="0" w:color="FFFFFF"/>
                <w:bottom w:val="single" w:sz="6" w:space="0" w:color="FFFFFF"/>
                <w:right w:val="single" w:sz="6" w:space="0" w:color="FFFFFF"/>
              </w:pBdr>
              <w:jc w:val="center"/>
              <w:rPr>
                <w:color w:val="FF0000"/>
                <w:sz w:val="18"/>
                <w:szCs w:val="18"/>
              </w:rPr>
            </w:pPr>
            <w:r w:rsidRPr="009D28A9">
              <w:rPr>
                <w:sz w:val="18"/>
                <w:szCs w:val="18"/>
              </w:rPr>
              <w:t>0</w:t>
            </w:r>
          </w:p>
        </w:tc>
      </w:tr>
      <w:tr w14:paraId="1B73E603" w14:textId="77777777" w:rsidTr="008C0EA7">
        <w:tblPrEx>
          <w:tblW w:w="10780" w:type="dxa"/>
          <w:tblInd w:w="-10" w:type="dxa"/>
          <w:tblLayout w:type="fixed"/>
          <w:tblCellMar>
            <w:left w:w="111" w:type="dxa"/>
            <w:right w:w="111" w:type="dxa"/>
          </w:tblCellMar>
          <w:tblLook w:val="0000"/>
        </w:tblPrEx>
        <w:trPr>
          <w:gridBefore w:val="1"/>
          <w:gridAfter w:val="1"/>
          <w:wBefore w:w="211" w:type="dxa"/>
          <w:wAfter w:w="1389" w:type="dxa"/>
          <w:trHeight w:val="366"/>
        </w:trPr>
        <w:tc>
          <w:tcPr>
            <w:tcW w:w="2700" w:type="dxa"/>
            <w:vAlign w:val="center"/>
          </w:tcPr>
          <w:p w:rsidR="00C554CC" w:rsidP="008C0EA7" w14:paraId="5EA09DC3"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9D28A9">
              <w:rPr>
                <w:sz w:val="18"/>
                <w:szCs w:val="18"/>
              </w:rPr>
              <w:t xml:space="preserve">Annual performance test for Hg emissions </w:t>
            </w:r>
            <w:r w:rsidRPr="009D28A9">
              <w:rPr>
                <w:sz w:val="18"/>
                <w:szCs w:val="18"/>
                <w:vertAlign w:val="superscript"/>
              </w:rPr>
              <w:t>1</w:t>
            </w:r>
          </w:p>
        </w:tc>
        <w:tc>
          <w:tcPr>
            <w:tcW w:w="1260" w:type="dxa"/>
            <w:vAlign w:val="center"/>
          </w:tcPr>
          <w:p w:rsidR="00C554CC" w:rsidP="008C0EA7" w14:paraId="52D121D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17</w:t>
            </w:r>
          </w:p>
        </w:tc>
        <w:tc>
          <w:tcPr>
            <w:tcW w:w="1260" w:type="dxa"/>
            <w:vAlign w:val="center"/>
          </w:tcPr>
          <w:p w:rsidR="00C554CC" w:rsidP="008C0EA7" w14:paraId="3C0B694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1</w:t>
            </w:r>
          </w:p>
        </w:tc>
        <w:tc>
          <w:tcPr>
            <w:tcW w:w="1890" w:type="dxa"/>
            <w:vAlign w:val="center"/>
          </w:tcPr>
          <w:p w:rsidR="00C554CC" w:rsidP="008C0EA7" w14:paraId="1CD2A98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0</w:t>
            </w:r>
          </w:p>
        </w:tc>
        <w:tc>
          <w:tcPr>
            <w:tcW w:w="2070" w:type="dxa"/>
            <w:vAlign w:val="center"/>
          </w:tcPr>
          <w:p w:rsidR="00C554CC" w:rsidP="008C0EA7" w14:paraId="58BE66A0" w14:textId="77777777">
            <w:pPr>
              <w:pBdr>
                <w:top w:val="single" w:sz="6" w:space="0" w:color="FFFFFF"/>
                <w:left w:val="single" w:sz="6" w:space="0" w:color="FFFFFF"/>
                <w:bottom w:val="single" w:sz="6" w:space="0" w:color="FFFFFF"/>
                <w:right w:val="single" w:sz="6" w:space="0" w:color="FFFFFF"/>
              </w:pBdr>
              <w:jc w:val="center"/>
              <w:rPr>
                <w:color w:val="FF0000"/>
                <w:sz w:val="18"/>
                <w:szCs w:val="18"/>
              </w:rPr>
            </w:pPr>
            <w:r w:rsidRPr="009D28A9">
              <w:rPr>
                <w:sz w:val="18"/>
                <w:szCs w:val="18"/>
              </w:rPr>
              <w:t>17</w:t>
            </w:r>
          </w:p>
        </w:tc>
      </w:tr>
      <w:tr w14:paraId="317331A7" w14:textId="77777777" w:rsidTr="008C0EA7">
        <w:tblPrEx>
          <w:tblW w:w="10780" w:type="dxa"/>
          <w:tblInd w:w="-10" w:type="dxa"/>
          <w:tblLayout w:type="fixed"/>
          <w:tblCellMar>
            <w:left w:w="111" w:type="dxa"/>
            <w:right w:w="111" w:type="dxa"/>
          </w:tblCellMar>
          <w:tblLook w:val="0000"/>
        </w:tblPrEx>
        <w:trPr>
          <w:gridBefore w:val="1"/>
          <w:gridAfter w:val="1"/>
          <w:wBefore w:w="211" w:type="dxa"/>
          <w:wAfter w:w="1389" w:type="dxa"/>
          <w:trHeight w:val="366"/>
        </w:trPr>
        <w:tc>
          <w:tcPr>
            <w:tcW w:w="2700" w:type="dxa"/>
            <w:vAlign w:val="center"/>
          </w:tcPr>
          <w:p w:rsidR="00C554CC" w:rsidP="008C0EA7" w14:paraId="484BCB6B"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9D28A9">
              <w:rPr>
                <w:sz w:val="18"/>
                <w:szCs w:val="18"/>
              </w:rPr>
              <w:t xml:space="preserve">Semiannual reports of excess emissions </w:t>
            </w:r>
            <w:r w:rsidRPr="009D28A9">
              <w:rPr>
                <w:sz w:val="18"/>
                <w:szCs w:val="18"/>
                <w:vertAlign w:val="superscript"/>
              </w:rPr>
              <w:t>2</w:t>
            </w:r>
          </w:p>
        </w:tc>
        <w:tc>
          <w:tcPr>
            <w:tcW w:w="1260" w:type="dxa"/>
            <w:vAlign w:val="center"/>
          </w:tcPr>
          <w:p w:rsidR="00C554CC" w:rsidP="008C0EA7" w14:paraId="1EC7A8E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4.2</w:t>
            </w:r>
          </w:p>
        </w:tc>
        <w:tc>
          <w:tcPr>
            <w:tcW w:w="1260" w:type="dxa"/>
            <w:vAlign w:val="center"/>
          </w:tcPr>
          <w:p w:rsidR="00C554CC" w:rsidP="008C0EA7" w14:paraId="6CA7885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2</w:t>
            </w:r>
          </w:p>
        </w:tc>
        <w:tc>
          <w:tcPr>
            <w:tcW w:w="1890" w:type="dxa"/>
            <w:vAlign w:val="center"/>
          </w:tcPr>
          <w:p w:rsidR="00C554CC" w:rsidP="008C0EA7" w14:paraId="7227984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sz w:val="18"/>
                <w:szCs w:val="18"/>
              </w:rPr>
              <w:t>0</w:t>
            </w:r>
          </w:p>
        </w:tc>
        <w:tc>
          <w:tcPr>
            <w:tcW w:w="2070" w:type="dxa"/>
            <w:vAlign w:val="center"/>
          </w:tcPr>
          <w:p w:rsidR="00C554CC" w:rsidP="008C0EA7" w14:paraId="7409A7B1" w14:textId="77777777">
            <w:pPr>
              <w:pBdr>
                <w:top w:val="single" w:sz="6" w:space="0" w:color="FFFFFF"/>
                <w:left w:val="single" w:sz="6" w:space="0" w:color="FFFFFF"/>
                <w:bottom w:val="single" w:sz="6" w:space="0" w:color="FFFFFF"/>
                <w:right w:val="single" w:sz="6" w:space="0" w:color="FFFFFF"/>
              </w:pBdr>
              <w:jc w:val="center"/>
              <w:rPr>
                <w:color w:val="FF0000"/>
                <w:sz w:val="18"/>
                <w:szCs w:val="18"/>
              </w:rPr>
            </w:pPr>
            <w:r w:rsidRPr="009D28A9">
              <w:rPr>
                <w:sz w:val="18"/>
                <w:szCs w:val="18"/>
              </w:rPr>
              <w:t>8.4</w:t>
            </w:r>
          </w:p>
        </w:tc>
      </w:tr>
      <w:tr w14:paraId="5AE07122" w14:textId="77777777" w:rsidTr="008C0EA7">
        <w:tblPrEx>
          <w:tblW w:w="10780" w:type="dxa"/>
          <w:tblInd w:w="-10" w:type="dxa"/>
          <w:tblLayout w:type="fixed"/>
          <w:tblCellMar>
            <w:left w:w="111" w:type="dxa"/>
            <w:right w:w="111" w:type="dxa"/>
          </w:tblCellMar>
          <w:tblLook w:val="0000"/>
        </w:tblPrEx>
        <w:trPr>
          <w:gridBefore w:val="1"/>
          <w:gridAfter w:val="1"/>
          <w:wBefore w:w="211" w:type="dxa"/>
          <w:wAfter w:w="1389" w:type="dxa"/>
          <w:trHeight w:val="366"/>
        </w:trPr>
        <w:tc>
          <w:tcPr>
            <w:tcW w:w="2700" w:type="dxa"/>
            <w:vAlign w:val="center"/>
          </w:tcPr>
          <w:p w:rsidR="00C554CC" w:rsidP="008C0EA7" w14:paraId="2B44B35A" w14:textId="7777777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rsidR="00C554CC" w:rsidP="008C0EA7" w14:paraId="05A15BD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rsidR="00C554CC" w:rsidP="008C0EA7" w14:paraId="1A4C056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C554CC" w:rsidP="008C0EA7" w14:paraId="71789EF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9D28A9">
              <w:rPr>
                <w:b/>
                <w:sz w:val="18"/>
                <w:szCs w:val="18"/>
              </w:rPr>
              <w:t>Total</w:t>
            </w:r>
            <w:r>
              <w:rPr>
                <w:b/>
                <w:sz w:val="18"/>
                <w:szCs w:val="18"/>
              </w:rPr>
              <w:t xml:space="preserve"> (rounded)</w:t>
            </w:r>
          </w:p>
        </w:tc>
        <w:tc>
          <w:tcPr>
            <w:tcW w:w="2070" w:type="dxa"/>
            <w:vAlign w:val="center"/>
          </w:tcPr>
          <w:p w:rsidR="00C554CC" w:rsidP="008C0EA7" w14:paraId="3B76E29D" w14:textId="77777777">
            <w:pPr>
              <w:pBdr>
                <w:top w:val="single" w:sz="6" w:space="0" w:color="FFFFFF"/>
                <w:left w:val="single" w:sz="6" w:space="0" w:color="FFFFFF"/>
                <w:bottom w:val="single" w:sz="6" w:space="0" w:color="FFFFFF"/>
                <w:right w:val="single" w:sz="6" w:space="0" w:color="FFFFFF"/>
              </w:pBdr>
              <w:jc w:val="center"/>
              <w:rPr>
                <w:color w:val="FF0000"/>
                <w:sz w:val="18"/>
                <w:szCs w:val="18"/>
              </w:rPr>
            </w:pPr>
            <w:r w:rsidRPr="009D28A9">
              <w:rPr>
                <w:b/>
                <w:sz w:val="18"/>
                <w:szCs w:val="18"/>
              </w:rPr>
              <w:t>25</w:t>
            </w:r>
          </w:p>
        </w:tc>
      </w:tr>
      <w:tr w14:paraId="166DE7B1" w14:textId="77777777" w:rsidTr="008C0EA7">
        <w:tblPrEx>
          <w:tblW w:w="1078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480"/>
        </w:trPr>
        <w:tc>
          <w:tcPr>
            <w:tcW w:w="10780" w:type="dxa"/>
            <w:gridSpan w:val="7"/>
            <w:tcBorders>
              <w:top w:val="nil"/>
              <w:left w:val="nil"/>
              <w:bottom w:val="nil"/>
              <w:right w:val="nil"/>
            </w:tcBorders>
            <w:shd w:val="clear" w:color="auto" w:fill="auto"/>
            <w:vAlign w:val="center"/>
            <w:hideMark/>
          </w:tcPr>
          <w:p w:rsidR="00C554CC" w:rsidRPr="00C554CC" w:rsidP="00C554CC" w14:paraId="6F6105DB" w14:textId="77777777">
            <w:pPr>
              <w:pStyle w:val="NoSpacing"/>
              <w:rPr>
                <w:sz w:val="18"/>
                <w:szCs w:val="18"/>
              </w:rPr>
            </w:pPr>
            <w:r w:rsidRPr="00C554CC">
              <w:rPr>
                <w:sz w:val="18"/>
                <w:szCs w:val="18"/>
                <w:vertAlign w:val="superscript"/>
              </w:rPr>
              <w:t xml:space="preserve">1 </w:t>
            </w:r>
            <w:r w:rsidRPr="00C554CC">
              <w:rPr>
                <w:sz w:val="18"/>
                <w:szCs w:val="18"/>
              </w:rPr>
              <w:t xml:space="preserve">Method 29 stack sampling for mercury on 17 process units outside of Nevada. Facilities in Nevada already perform annual sampling </w:t>
            </w:r>
          </w:p>
          <w:p w:rsidR="00C554CC" w:rsidRPr="00C554CC" w:rsidP="00C554CC" w14:paraId="782AA0F6" w14:textId="77777777">
            <w:pPr>
              <w:pStyle w:val="NoSpacing"/>
              <w:rPr>
                <w:sz w:val="18"/>
                <w:szCs w:val="18"/>
              </w:rPr>
            </w:pPr>
            <w:r w:rsidRPr="00C554CC">
              <w:rPr>
                <w:sz w:val="18"/>
                <w:szCs w:val="18"/>
              </w:rPr>
              <w:t xml:space="preserve">and analysis for mercury; consequently, those facilities will not incur any additional stack testing burden under this rule. </w:t>
            </w:r>
          </w:p>
        </w:tc>
      </w:tr>
      <w:tr w14:paraId="6805864D" w14:textId="77777777" w:rsidTr="008C0EA7">
        <w:tblPrEx>
          <w:tblW w:w="1078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300"/>
        </w:trPr>
        <w:tc>
          <w:tcPr>
            <w:tcW w:w="10780" w:type="dxa"/>
            <w:gridSpan w:val="7"/>
            <w:tcBorders>
              <w:top w:val="nil"/>
              <w:left w:val="nil"/>
              <w:bottom w:val="nil"/>
              <w:right w:val="nil"/>
            </w:tcBorders>
            <w:shd w:val="clear" w:color="auto" w:fill="auto"/>
            <w:noWrap/>
            <w:vAlign w:val="center"/>
            <w:hideMark/>
          </w:tcPr>
          <w:p w:rsidR="00C554CC" w:rsidP="00C554CC" w14:paraId="12C3B19F" w14:textId="77777777">
            <w:pPr>
              <w:pStyle w:val="NoSpacing"/>
              <w:rPr>
                <w:sz w:val="18"/>
                <w:szCs w:val="18"/>
              </w:rPr>
            </w:pPr>
            <w:r w:rsidRPr="00C554CC">
              <w:rPr>
                <w:sz w:val="18"/>
                <w:szCs w:val="18"/>
                <w:vertAlign w:val="superscript"/>
              </w:rPr>
              <w:t xml:space="preserve">2 </w:t>
            </w:r>
            <w:r w:rsidRPr="00C554CC">
              <w:rPr>
                <w:sz w:val="18"/>
                <w:szCs w:val="18"/>
              </w:rPr>
              <w:t xml:space="preserve">We assume 20% of the 21 facilities will have excess emissions reports. </w:t>
            </w:r>
          </w:p>
          <w:p w:rsidR="00C554CC" w:rsidRPr="00C554CC" w:rsidP="00C554CC" w14:paraId="115E418D" w14:textId="77777777">
            <w:pPr>
              <w:pStyle w:val="NoSpacing"/>
              <w:rPr>
                <w:sz w:val="18"/>
                <w:szCs w:val="18"/>
              </w:rPr>
            </w:pPr>
          </w:p>
        </w:tc>
      </w:tr>
    </w:tbl>
    <w:p w:rsidR="00C554CC" w:rsidRPr="00C554CC" w:rsidP="00C554CC" w14:paraId="40D892CE" w14:textId="5578B50D">
      <w:pPr>
        <w:pBdr>
          <w:top w:val="single" w:sz="6" w:space="0" w:color="FFFFFF"/>
          <w:left w:val="single" w:sz="6" w:space="0" w:color="FFFFFF"/>
          <w:bottom w:val="single" w:sz="6" w:space="0" w:color="FFFFFF"/>
          <w:right w:val="single" w:sz="6" w:space="0" w:color="FFFFFF"/>
        </w:pBdr>
        <w:rPr>
          <w:color w:val="FF0000"/>
        </w:rPr>
      </w:pPr>
      <w:r>
        <w:rPr>
          <w:color w:val="000000"/>
        </w:rPr>
        <w:t xml:space="preserve">The number of </w:t>
      </w:r>
      <w:r w:rsidRPr="00C554CC">
        <w:rPr>
          <w:b/>
          <w:bCs/>
          <w:color w:val="000000"/>
        </w:rPr>
        <w:t xml:space="preserve">Total Annual Responses </w:t>
      </w:r>
      <w:r w:rsidRPr="00C554CC">
        <w:rPr>
          <w:b/>
          <w:bCs/>
        </w:rPr>
        <w:t>is 25</w:t>
      </w:r>
      <w:r w:rsidRPr="00A83781">
        <w:t>.</w:t>
      </w:r>
    </w:p>
    <w:p w:rsidR="00ED57A4" w:rsidRPr="00163C69" w:rsidP="00854AAE" w14:paraId="06C59578" w14:textId="77777777">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7" w:name="_Toc156593384"/>
      <w:bookmarkEnd w:id="16"/>
    </w:p>
    <w:p w:rsidR="00467D94" w:rsidRPr="0056799C" w:rsidP="00467D94" w14:paraId="3F667035" w14:textId="77777777">
      <w:pPr>
        <w:pBdr>
          <w:top w:val="single" w:sz="6" w:space="0" w:color="FFFFFF"/>
          <w:left w:val="single" w:sz="6" w:space="0" w:color="FFFFFF"/>
          <w:bottom w:val="single" w:sz="6" w:space="0" w:color="FFFFFF"/>
          <w:right w:val="single" w:sz="6" w:space="0" w:color="FFFFFF"/>
        </w:pBdr>
      </w:pPr>
      <w:r>
        <w:rPr>
          <w:color w:val="000000"/>
        </w:rPr>
        <w:t>In this ICR, all the data that are recorded or reported is required by the</w:t>
      </w:r>
      <w:r>
        <w:rPr>
          <w:color w:val="FF0000"/>
        </w:rPr>
        <w:t xml:space="preserve"> </w:t>
      </w:r>
      <w:r w:rsidRPr="009A0588">
        <w:t xml:space="preserve">NESHAP for Gold Mine Ore Processing (40 CFR Part 63, Subpart EEEEEEE). </w:t>
      </w:r>
    </w:p>
    <w:p w:rsidR="00467D94" w:rsidP="00467D94" w14:paraId="08299492" w14:textId="0344BCE3">
      <w:pPr>
        <w:pBdr>
          <w:top w:val="single" w:sz="6" w:space="0" w:color="FFFFFF"/>
          <w:left w:val="single" w:sz="6" w:space="0" w:color="FFFFFF"/>
          <w:bottom w:val="single" w:sz="6" w:space="0" w:color="FFFFFF"/>
          <w:right w:val="single" w:sz="6" w:space="0" w:color="FFFFFF"/>
        </w:pBdr>
        <w:rPr>
          <w:color w:val="000000"/>
        </w:rPr>
      </w:pPr>
      <w:r>
        <w:rPr>
          <w:color w:val="000000"/>
        </w:rPr>
        <w:t>A source must make the following reports:</w:t>
      </w:r>
    </w:p>
    <w:tbl>
      <w:tblPr>
        <w:tblW w:w="9360" w:type="dxa"/>
        <w:jc w:val="center"/>
        <w:tblLayout w:type="fixed"/>
        <w:tblCellMar>
          <w:left w:w="120" w:type="dxa"/>
          <w:right w:w="120" w:type="dxa"/>
        </w:tblCellMar>
        <w:tblLook w:val="0000"/>
      </w:tblPr>
      <w:tblGrid>
        <w:gridCol w:w="6831"/>
        <w:gridCol w:w="2529"/>
      </w:tblGrid>
      <w:tr w14:paraId="68D408FA" w14:textId="77777777" w:rsidTr="008C0EA7">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467D94" w:rsidRPr="00CF2B37" w:rsidP="008C0EA7" w14:paraId="3E3564BB" w14:textId="77777777">
            <w:pPr>
              <w:spacing w:line="120" w:lineRule="exact"/>
            </w:pPr>
          </w:p>
          <w:p w:rsidR="00467D94" w:rsidRPr="00CF2B37" w:rsidP="008C0EA7" w14:paraId="2166338A"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Notifications</w:t>
            </w:r>
          </w:p>
        </w:tc>
      </w:tr>
      <w:tr w14:paraId="0965FE3F" w14:textId="77777777" w:rsidTr="008C0EA7">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467D94" w:rsidRPr="00FD56E3" w:rsidP="008C0EA7" w14:paraId="2969427A" w14:textId="77777777">
            <w:pPr>
              <w:pBdr>
                <w:top w:val="single" w:sz="6" w:space="0" w:color="FFFFFF"/>
                <w:left w:val="single" w:sz="6" w:space="0" w:color="FFFFFF"/>
                <w:bottom w:val="single" w:sz="6" w:space="0" w:color="FFFFFF"/>
                <w:right w:val="single" w:sz="6" w:space="0" w:color="FFFFFF"/>
              </w:pBdr>
              <w:spacing w:after="58"/>
              <w:rPr>
                <w:b/>
                <w:bCs/>
              </w:rPr>
            </w:pPr>
            <w:bookmarkStart w:id="18" w:name="_Hlk88651661"/>
            <w:r w:rsidRPr="009A0588">
              <w:t>Notification of applicability</w:t>
            </w:r>
            <w:bookmarkEnd w:id="18"/>
          </w:p>
        </w:tc>
        <w:tc>
          <w:tcPr>
            <w:tcW w:w="2529" w:type="dxa"/>
            <w:tcBorders>
              <w:top w:val="single" w:sz="7" w:space="0" w:color="000000"/>
              <w:left w:val="single" w:sz="7" w:space="0" w:color="000000"/>
              <w:bottom w:val="single" w:sz="7" w:space="0" w:color="000000"/>
              <w:right w:val="single" w:sz="7" w:space="0" w:color="000000"/>
            </w:tcBorders>
          </w:tcPr>
          <w:p w:rsidR="00467D94" w:rsidRPr="00FD56E3" w:rsidP="008C0EA7" w14:paraId="46280C20" w14:textId="77777777">
            <w:pPr>
              <w:pBdr>
                <w:top w:val="single" w:sz="6" w:space="0" w:color="FFFFFF"/>
                <w:left w:val="single" w:sz="6" w:space="0" w:color="FFFFFF"/>
                <w:bottom w:val="single" w:sz="6" w:space="0" w:color="FFFFFF"/>
                <w:right w:val="single" w:sz="6" w:space="0" w:color="FFFFFF"/>
              </w:pBdr>
              <w:spacing w:after="58"/>
              <w:rPr>
                <w:b/>
                <w:bCs/>
              </w:rPr>
            </w:pPr>
            <w:r w:rsidRPr="009A0588">
              <w:t>§§63.9(b)(2), 63.11648(a)</w:t>
            </w:r>
          </w:p>
        </w:tc>
      </w:tr>
      <w:tr w14:paraId="7193C234" w14:textId="77777777" w:rsidTr="008C0EA7">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467D94" w:rsidRPr="00CF2B37" w:rsidP="008C0EA7" w14:paraId="28D76977" w14:textId="77777777">
            <w:pPr>
              <w:pBdr>
                <w:top w:val="single" w:sz="6" w:space="0" w:color="FFFFFF"/>
                <w:left w:val="single" w:sz="6" w:space="0" w:color="FFFFFF"/>
                <w:bottom w:val="single" w:sz="6" w:space="0" w:color="FFFFFF"/>
                <w:right w:val="single" w:sz="6" w:space="0" w:color="FFFFFF"/>
              </w:pBdr>
              <w:spacing w:after="58"/>
            </w:pPr>
            <w:r w:rsidRPr="009A0588">
              <w:t>Notification of construction/reconstruction</w:t>
            </w:r>
          </w:p>
        </w:tc>
        <w:tc>
          <w:tcPr>
            <w:tcW w:w="2529" w:type="dxa"/>
            <w:tcBorders>
              <w:top w:val="single" w:sz="7" w:space="0" w:color="000000"/>
              <w:left w:val="single" w:sz="7" w:space="0" w:color="000000"/>
              <w:bottom w:val="single" w:sz="7" w:space="0" w:color="000000"/>
              <w:right w:val="single" w:sz="7" w:space="0" w:color="000000"/>
            </w:tcBorders>
          </w:tcPr>
          <w:p w:rsidR="00467D94" w:rsidRPr="00CF2B37" w:rsidP="008C0EA7" w14:paraId="6AF5C502" w14:textId="77777777">
            <w:pPr>
              <w:pBdr>
                <w:top w:val="single" w:sz="6" w:space="0" w:color="FFFFFF"/>
                <w:left w:val="single" w:sz="6" w:space="0" w:color="FFFFFF"/>
                <w:bottom w:val="single" w:sz="6" w:space="0" w:color="FFFFFF"/>
                <w:right w:val="single" w:sz="6" w:space="0" w:color="FFFFFF"/>
              </w:pBdr>
              <w:spacing w:after="58"/>
            </w:pPr>
            <w:r w:rsidRPr="009A0588">
              <w:t>§63.9(b)(5)</w:t>
            </w:r>
          </w:p>
        </w:tc>
      </w:tr>
      <w:tr w14:paraId="5099DFFC" w14:textId="77777777" w:rsidTr="008C0EA7">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467D94" w:rsidRPr="00CF2B37" w:rsidP="008C0EA7" w14:paraId="4C8E350F" w14:textId="77777777">
            <w:pPr>
              <w:pBdr>
                <w:top w:val="single" w:sz="6" w:space="0" w:color="FFFFFF"/>
                <w:left w:val="single" w:sz="6" w:space="0" w:color="FFFFFF"/>
                <w:bottom w:val="single" w:sz="6" w:space="0" w:color="FFFFFF"/>
                <w:right w:val="single" w:sz="6" w:space="0" w:color="FFFFFF"/>
              </w:pBdr>
              <w:spacing w:after="58"/>
            </w:pPr>
            <w:r w:rsidRPr="009A0588">
              <w:t>Notification of special compliance requirements</w:t>
            </w:r>
          </w:p>
        </w:tc>
        <w:tc>
          <w:tcPr>
            <w:tcW w:w="2529" w:type="dxa"/>
            <w:tcBorders>
              <w:top w:val="single" w:sz="7" w:space="0" w:color="000000"/>
              <w:left w:val="single" w:sz="7" w:space="0" w:color="000000"/>
              <w:bottom w:val="single" w:sz="7" w:space="0" w:color="000000"/>
              <w:right w:val="single" w:sz="7" w:space="0" w:color="000000"/>
            </w:tcBorders>
          </w:tcPr>
          <w:p w:rsidR="00467D94" w:rsidRPr="00CF2B37" w:rsidP="008C0EA7" w14:paraId="06965725" w14:textId="77777777">
            <w:pPr>
              <w:pBdr>
                <w:top w:val="single" w:sz="6" w:space="0" w:color="FFFFFF"/>
                <w:left w:val="single" w:sz="6" w:space="0" w:color="FFFFFF"/>
                <w:bottom w:val="single" w:sz="6" w:space="0" w:color="FFFFFF"/>
                <w:right w:val="single" w:sz="6" w:space="0" w:color="FFFFFF"/>
              </w:pBdr>
              <w:spacing w:after="58"/>
            </w:pPr>
            <w:r w:rsidRPr="009A0588">
              <w:t>§63.9(d)</w:t>
            </w:r>
          </w:p>
        </w:tc>
      </w:tr>
      <w:tr w14:paraId="4744759D" w14:textId="77777777" w:rsidTr="008C0EA7">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467D94" w:rsidRPr="00CF2B37" w:rsidP="008C0EA7" w14:paraId="3A32B391" w14:textId="77777777">
            <w:pPr>
              <w:pBdr>
                <w:top w:val="single" w:sz="6" w:space="0" w:color="FFFFFF"/>
                <w:left w:val="single" w:sz="6" w:space="0" w:color="FFFFFF"/>
                <w:bottom w:val="single" w:sz="6" w:space="0" w:color="FFFFFF"/>
                <w:right w:val="single" w:sz="6" w:space="0" w:color="FFFFFF"/>
              </w:pBdr>
              <w:spacing w:after="58"/>
            </w:pPr>
            <w:r w:rsidRPr="009A0588">
              <w:t>Notification of performance test</w:t>
            </w:r>
          </w:p>
        </w:tc>
        <w:tc>
          <w:tcPr>
            <w:tcW w:w="2529" w:type="dxa"/>
            <w:tcBorders>
              <w:top w:val="single" w:sz="7" w:space="0" w:color="000000"/>
              <w:left w:val="single" w:sz="7" w:space="0" w:color="000000"/>
              <w:bottom w:val="single" w:sz="7" w:space="0" w:color="000000"/>
              <w:right w:val="single" w:sz="7" w:space="0" w:color="000000"/>
            </w:tcBorders>
          </w:tcPr>
          <w:p w:rsidR="00467D94" w:rsidRPr="00CF2B37" w:rsidP="008C0EA7" w14:paraId="461FA687" w14:textId="77777777">
            <w:pPr>
              <w:pBdr>
                <w:top w:val="single" w:sz="6" w:space="0" w:color="FFFFFF"/>
                <w:left w:val="single" w:sz="6" w:space="0" w:color="FFFFFF"/>
                <w:bottom w:val="single" w:sz="6" w:space="0" w:color="FFFFFF"/>
                <w:right w:val="single" w:sz="6" w:space="0" w:color="FFFFFF"/>
              </w:pBdr>
              <w:spacing w:after="58"/>
            </w:pPr>
            <w:r w:rsidRPr="009A0588">
              <w:t>§63.9(e)</w:t>
            </w:r>
          </w:p>
        </w:tc>
      </w:tr>
      <w:tr w14:paraId="78900CB4" w14:textId="77777777" w:rsidTr="008C0EA7">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467D94" w:rsidRPr="00CF2B37" w:rsidP="008C0EA7" w14:paraId="2860E972" w14:textId="77777777">
            <w:pPr>
              <w:pBdr>
                <w:top w:val="single" w:sz="6" w:space="0" w:color="FFFFFF"/>
                <w:left w:val="single" w:sz="6" w:space="0" w:color="FFFFFF"/>
                <w:bottom w:val="single" w:sz="6" w:space="0" w:color="FFFFFF"/>
                <w:right w:val="single" w:sz="6" w:space="0" w:color="FFFFFF"/>
              </w:pBdr>
              <w:spacing w:after="58"/>
            </w:pPr>
            <w:r w:rsidRPr="009A0588">
              <w:t>Additional CMS notifications</w:t>
            </w:r>
          </w:p>
        </w:tc>
        <w:tc>
          <w:tcPr>
            <w:tcW w:w="2529" w:type="dxa"/>
            <w:tcBorders>
              <w:top w:val="single" w:sz="7" w:space="0" w:color="000000"/>
              <w:left w:val="single" w:sz="7" w:space="0" w:color="000000"/>
              <w:bottom w:val="single" w:sz="7" w:space="0" w:color="000000"/>
              <w:right w:val="single" w:sz="7" w:space="0" w:color="000000"/>
            </w:tcBorders>
          </w:tcPr>
          <w:p w:rsidR="00467D94" w:rsidRPr="00CF2B37" w:rsidP="008C0EA7" w14:paraId="28E872FD" w14:textId="77777777">
            <w:pPr>
              <w:pBdr>
                <w:top w:val="single" w:sz="6" w:space="0" w:color="FFFFFF"/>
                <w:left w:val="single" w:sz="6" w:space="0" w:color="FFFFFF"/>
                <w:bottom w:val="single" w:sz="6" w:space="0" w:color="FFFFFF"/>
                <w:right w:val="single" w:sz="6" w:space="0" w:color="FFFFFF"/>
              </w:pBdr>
              <w:spacing w:after="58"/>
            </w:pPr>
            <w:r w:rsidRPr="009A0588">
              <w:t>§63.9(g)</w:t>
            </w:r>
          </w:p>
        </w:tc>
      </w:tr>
      <w:tr w14:paraId="5B88D6CD" w14:textId="77777777" w:rsidTr="008C0EA7">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467D94" w:rsidRPr="00CF2B37" w:rsidP="008C0EA7" w14:paraId="49444974" w14:textId="77777777">
            <w:pPr>
              <w:pBdr>
                <w:top w:val="single" w:sz="6" w:space="0" w:color="FFFFFF"/>
                <w:left w:val="single" w:sz="6" w:space="0" w:color="FFFFFF"/>
                <w:bottom w:val="single" w:sz="6" w:space="0" w:color="FFFFFF"/>
                <w:right w:val="single" w:sz="6" w:space="0" w:color="FFFFFF"/>
              </w:pBdr>
              <w:spacing w:after="58"/>
            </w:pPr>
            <w:bookmarkStart w:id="19" w:name="_Hlk88652627"/>
            <w:r w:rsidRPr="009A0588">
              <w:t>Notification of compliance status</w:t>
            </w:r>
            <w:bookmarkEnd w:id="19"/>
          </w:p>
        </w:tc>
        <w:tc>
          <w:tcPr>
            <w:tcW w:w="2529" w:type="dxa"/>
            <w:tcBorders>
              <w:top w:val="single" w:sz="7" w:space="0" w:color="000000"/>
              <w:left w:val="single" w:sz="7" w:space="0" w:color="000000"/>
              <w:bottom w:val="single" w:sz="7" w:space="0" w:color="000000"/>
              <w:right w:val="single" w:sz="7" w:space="0" w:color="000000"/>
            </w:tcBorders>
          </w:tcPr>
          <w:p w:rsidR="00467D94" w:rsidRPr="00CF2B37" w:rsidP="008C0EA7" w14:paraId="5BC2CEEA" w14:textId="77777777">
            <w:pPr>
              <w:pBdr>
                <w:top w:val="single" w:sz="6" w:space="0" w:color="FFFFFF"/>
                <w:left w:val="single" w:sz="6" w:space="0" w:color="FFFFFF"/>
                <w:bottom w:val="single" w:sz="6" w:space="0" w:color="FFFFFF"/>
                <w:right w:val="single" w:sz="6" w:space="0" w:color="FFFFFF"/>
              </w:pBdr>
              <w:spacing w:after="58"/>
            </w:pPr>
            <w:r w:rsidRPr="009A0588">
              <w:t>§§63.9(h), 63.11648(b)</w:t>
            </w:r>
          </w:p>
        </w:tc>
      </w:tr>
      <w:tr w14:paraId="5BB5533F" w14:textId="77777777" w:rsidTr="008C0EA7">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467D94" w:rsidRPr="00CF2B37" w:rsidP="008C0EA7" w14:paraId="2BA5509D" w14:textId="77777777">
            <w:pPr>
              <w:pBdr>
                <w:top w:val="single" w:sz="6" w:space="0" w:color="FFFFFF"/>
                <w:left w:val="single" w:sz="6" w:space="0" w:color="FFFFFF"/>
                <w:bottom w:val="single" w:sz="6" w:space="0" w:color="FFFFFF"/>
                <w:right w:val="single" w:sz="6" w:space="0" w:color="FFFFFF"/>
              </w:pBdr>
              <w:spacing w:after="58"/>
            </w:pPr>
            <w:r w:rsidRPr="009A0588">
              <w:t>Notification of changes in information</w:t>
            </w:r>
          </w:p>
        </w:tc>
        <w:tc>
          <w:tcPr>
            <w:tcW w:w="2529" w:type="dxa"/>
            <w:tcBorders>
              <w:top w:val="single" w:sz="7" w:space="0" w:color="000000"/>
              <w:left w:val="single" w:sz="7" w:space="0" w:color="000000"/>
              <w:bottom w:val="single" w:sz="7" w:space="0" w:color="000000"/>
              <w:right w:val="single" w:sz="7" w:space="0" w:color="000000"/>
            </w:tcBorders>
          </w:tcPr>
          <w:p w:rsidR="00467D94" w:rsidRPr="00CF2B37" w:rsidP="008C0EA7" w14:paraId="00125E39" w14:textId="77777777">
            <w:pPr>
              <w:pBdr>
                <w:top w:val="single" w:sz="6" w:space="0" w:color="FFFFFF"/>
                <w:left w:val="single" w:sz="6" w:space="0" w:color="FFFFFF"/>
                <w:bottom w:val="single" w:sz="6" w:space="0" w:color="FFFFFF"/>
                <w:right w:val="single" w:sz="6" w:space="0" w:color="FFFFFF"/>
              </w:pBdr>
              <w:spacing w:after="58"/>
            </w:pPr>
            <w:r w:rsidRPr="009A0588">
              <w:t>§63.9(j)</w:t>
            </w:r>
          </w:p>
        </w:tc>
      </w:tr>
    </w:tbl>
    <w:p w:rsidR="00467D94" w:rsidP="00467D94" w14:paraId="56478DF9"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0C2B28C8" w14:textId="77777777" w:rsidTr="008C0EA7">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467D94" w:rsidRPr="00CF2B37" w:rsidP="008C0EA7" w14:paraId="121E7B20" w14:textId="77777777">
            <w:pPr>
              <w:spacing w:line="120" w:lineRule="exact"/>
            </w:pPr>
          </w:p>
          <w:p w:rsidR="00467D94" w:rsidRPr="00CF2B37" w:rsidP="008C0EA7" w14:paraId="36664328"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2D18CEB0" w14:textId="77777777" w:rsidTr="008C0EA7">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467D94" w:rsidRPr="00CF2B37" w:rsidP="008C0EA7" w14:paraId="6EC82C90" w14:textId="77777777">
            <w:pPr>
              <w:pBdr>
                <w:top w:val="single" w:sz="6" w:space="0" w:color="FFFFFF"/>
                <w:left w:val="single" w:sz="6" w:space="0" w:color="FFFFFF"/>
                <w:bottom w:val="single" w:sz="6" w:space="0" w:color="FFFFFF"/>
                <w:right w:val="single" w:sz="6" w:space="0" w:color="FFFFFF"/>
              </w:pBdr>
              <w:spacing w:after="58"/>
            </w:pPr>
            <w:r w:rsidRPr="009A0588">
              <w:t>Malfunction reports</w:t>
            </w:r>
          </w:p>
        </w:tc>
        <w:tc>
          <w:tcPr>
            <w:tcW w:w="2070" w:type="dxa"/>
            <w:tcBorders>
              <w:top w:val="single" w:sz="7" w:space="0" w:color="000000"/>
              <w:left w:val="single" w:sz="7" w:space="0" w:color="000000"/>
              <w:bottom w:val="single" w:sz="7" w:space="0" w:color="000000"/>
              <w:right w:val="single" w:sz="7" w:space="0" w:color="000000"/>
            </w:tcBorders>
          </w:tcPr>
          <w:p w:rsidR="00467D94" w:rsidRPr="00CF2B37" w:rsidP="008C0EA7" w14:paraId="10627B17" w14:textId="77777777">
            <w:pPr>
              <w:pBdr>
                <w:top w:val="single" w:sz="6" w:space="0" w:color="FFFFFF"/>
                <w:left w:val="single" w:sz="6" w:space="0" w:color="FFFFFF"/>
                <w:bottom w:val="single" w:sz="6" w:space="0" w:color="FFFFFF"/>
                <w:right w:val="single" w:sz="6" w:space="0" w:color="FFFFFF"/>
              </w:pBdr>
              <w:spacing w:after="58"/>
            </w:pPr>
            <w:r w:rsidRPr="009A0588">
              <w:t>§63.11648(d)</w:t>
            </w:r>
          </w:p>
        </w:tc>
      </w:tr>
      <w:tr w14:paraId="770D1B21" w14:textId="77777777" w:rsidTr="008C0EA7">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467D94" w:rsidRPr="00CF2B37" w:rsidP="008C0EA7" w14:paraId="2BBE0BA8" w14:textId="77777777">
            <w:pPr>
              <w:pBdr>
                <w:top w:val="single" w:sz="6" w:space="0" w:color="FFFFFF"/>
                <w:left w:val="single" w:sz="6" w:space="0" w:color="FFFFFF"/>
                <w:bottom w:val="single" w:sz="6" w:space="0" w:color="FFFFFF"/>
                <w:right w:val="single" w:sz="6" w:space="0" w:color="FFFFFF"/>
              </w:pBdr>
              <w:spacing w:after="58"/>
            </w:pPr>
            <w:r w:rsidRPr="009A0588">
              <w:t>Performance test plan</w:t>
            </w:r>
          </w:p>
        </w:tc>
        <w:tc>
          <w:tcPr>
            <w:tcW w:w="2070" w:type="dxa"/>
            <w:tcBorders>
              <w:top w:val="single" w:sz="7" w:space="0" w:color="000000"/>
              <w:left w:val="single" w:sz="7" w:space="0" w:color="000000"/>
              <w:bottom w:val="single" w:sz="7" w:space="0" w:color="000000"/>
              <w:right w:val="single" w:sz="7" w:space="0" w:color="000000"/>
            </w:tcBorders>
          </w:tcPr>
          <w:p w:rsidR="00467D94" w:rsidRPr="00CF2B37" w:rsidP="008C0EA7" w14:paraId="34D1FE14" w14:textId="77777777">
            <w:pPr>
              <w:pBdr>
                <w:top w:val="single" w:sz="6" w:space="0" w:color="FFFFFF"/>
                <w:left w:val="single" w:sz="6" w:space="0" w:color="FFFFFF"/>
                <w:bottom w:val="single" w:sz="6" w:space="0" w:color="FFFFFF"/>
                <w:right w:val="single" w:sz="6" w:space="0" w:color="FFFFFF"/>
              </w:pBdr>
              <w:spacing w:after="58"/>
            </w:pPr>
            <w:r w:rsidRPr="009A0588">
              <w:t>§63.7(c)(2)</w:t>
            </w:r>
          </w:p>
        </w:tc>
      </w:tr>
      <w:tr w14:paraId="22333441" w14:textId="77777777" w:rsidTr="008C0EA7">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467D94" w:rsidRPr="00CF2B37" w:rsidP="008C0EA7" w14:paraId="4CD6C756" w14:textId="77777777">
            <w:pPr>
              <w:pBdr>
                <w:top w:val="single" w:sz="6" w:space="0" w:color="FFFFFF"/>
                <w:left w:val="single" w:sz="6" w:space="0" w:color="FFFFFF"/>
                <w:bottom w:val="single" w:sz="6" w:space="0" w:color="FFFFFF"/>
                <w:right w:val="single" w:sz="6" w:space="0" w:color="FFFFFF"/>
              </w:pBdr>
              <w:spacing w:after="58"/>
            </w:pPr>
            <w:r w:rsidRPr="009A0588">
              <w:t>CMS quality control plan</w:t>
            </w:r>
          </w:p>
        </w:tc>
        <w:tc>
          <w:tcPr>
            <w:tcW w:w="2070" w:type="dxa"/>
            <w:tcBorders>
              <w:top w:val="single" w:sz="7" w:space="0" w:color="000000"/>
              <w:left w:val="single" w:sz="7" w:space="0" w:color="000000"/>
              <w:bottom w:val="single" w:sz="7" w:space="0" w:color="000000"/>
              <w:right w:val="single" w:sz="7" w:space="0" w:color="000000"/>
            </w:tcBorders>
          </w:tcPr>
          <w:p w:rsidR="00467D94" w:rsidRPr="00CF2B37" w:rsidP="008C0EA7" w14:paraId="66A9FBF1" w14:textId="77777777">
            <w:pPr>
              <w:pBdr>
                <w:top w:val="single" w:sz="6" w:space="0" w:color="FFFFFF"/>
                <w:left w:val="single" w:sz="6" w:space="0" w:color="FFFFFF"/>
                <w:bottom w:val="single" w:sz="6" w:space="0" w:color="FFFFFF"/>
                <w:right w:val="single" w:sz="6" w:space="0" w:color="FFFFFF"/>
              </w:pBdr>
              <w:spacing w:after="58"/>
            </w:pPr>
            <w:r w:rsidRPr="009A0588">
              <w:t>§63.8(d)</w:t>
            </w:r>
          </w:p>
        </w:tc>
      </w:tr>
      <w:tr w14:paraId="2DBD1111" w14:textId="77777777" w:rsidTr="008C0EA7">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467D94" w:rsidRPr="009A0588" w:rsidP="008C0EA7" w14:paraId="21686414" w14:textId="77777777">
            <w:pPr>
              <w:pBdr>
                <w:top w:val="single" w:sz="6" w:space="0" w:color="FFFFFF"/>
                <w:left w:val="single" w:sz="6" w:space="0" w:color="FFFFFF"/>
                <w:bottom w:val="single" w:sz="6" w:space="0" w:color="FFFFFF"/>
                <w:right w:val="single" w:sz="6" w:space="0" w:color="FFFFFF"/>
              </w:pBdr>
              <w:spacing w:after="58"/>
            </w:pPr>
            <w:r w:rsidRPr="009A0588">
              <w:t>CMS performance evaluation test plan/report</w:t>
            </w:r>
          </w:p>
        </w:tc>
        <w:tc>
          <w:tcPr>
            <w:tcW w:w="2070" w:type="dxa"/>
            <w:tcBorders>
              <w:top w:val="single" w:sz="7" w:space="0" w:color="000000"/>
              <w:left w:val="single" w:sz="7" w:space="0" w:color="000000"/>
              <w:bottom w:val="single" w:sz="7" w:space="0" w:color="000000"/>
              <w:right w:val="single" w:sz="7" w:space="0" w:color="000000"/>
            </w:tcBorders>
          </w:tcPr>
          <w:p w:rsidR="00467D94" w:rsidRPr="009A0588" w:rsidP="008C0EA7" w14:paraId="3CD40B2A" w14:textId="77777777">
            <w:pPr>
              <w:pBdr>
                <w:top w:val="single" w:sz="6" w:space="0" w:color="FFFFFF"/>
                <w:left w:val="single" w:sz="6" w:space="0" w:color="FFFFFF"/>
                <w:bottom w:val="single" w:sz="6" w:space="0" w:color="FFFFFF"/>
                <w:right w:val="single" w:sz="6" w:space="0" w:color="FFFFFF"/>
              </w:pBdr>
              <w:spacing w:after="58"/>
            </w:pPr>
            <w:r w:rsidRPr="009A0588">
              <w:t>§63.8(e)</w:t>
            </w:r>
          </w:p>
        </w:tc>
      </w:tr>
      <w:tr w14:paraId="25F5E496" w14:textId="77777777" w:rsidTr="008C0EA7">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467D94" w:rsidRPr="009A0588" w:rsidP="008C0EA7" w14:paraId="4944859A" w14:textId="77777777">
            <w:pPr>
              <w:pBdr>
                <w:top w:val="single" w:sz="6" w:space="0" w:color="FFFFFF"/>
                <w:left w:val="single" w:sz="6" w:space="0" w:color="FFFFFF"/>
                <w:bottom w:val="single" w:sz="6" w:space="0" w:color="FFFFFF"/>
                <w:right w:val="single" w:sz="6" w:space="0" w:color="FFFFFF"/>
              </w:pBdr>
              <w:spacing w:after="58"/>
            </w:pPr>
            <w:r w:rsidRPr="009A0588">
              <w:t>Compliance report if deviation occurs</w:t>
            </w:r>
          </w:p>
        </w:tc>
        <w:tc>
          <w:tcPr>
            <w:tcW w:w="2070" w:type="dxa"/>
            <w:tcBorders>
              <w:top w:val="single" w:sz="7" w:space="0" w:color="000000"/>
              <w:left w:val="single" w:sz="7" w:space="0" w:color="000000"/>
              <w:bottom w:val="single" w:sz="7" w:space="0" w:color="000000"/>
              <w:right w:val="single" w:sz="7" w:space="0" w:color="000000"/>
            </w:tcBorders>
          </w:tcPr>
          <w:p w:rsidR="00467D94" w:rsidRPr="009A0588" w:rsidP="008C0EA7" w14:paraId="64C64946" w14:textId="77777777">
            <w:pPr>
              <w:pBdr>
                <w:top w:val="single" w:sz="6" w:space="0" w:color="FFFFFF"/>
                <w:left w:val="single" w:sz="6" w:space="0" w:color="FFFFFF"/>
                <w:bottom w:val="single" w:sz="6" w:space="0" w:color="FFFFFF"/>
                <w:right w:val="single" w:sz="6" w:space="0" w:color="FFFFFF"/>
              </w:pBdr>
              <w:spacing w:after="58"/>
            </w:pPr>
            <w:r w:rsidRPr="009A0588">
              <w:t>§§63.11648(c), 63.10(e)(3)</w:t>
            </w:r>
          </w:p>
        </w:tc>
      </w:tr>
      <w:tr w14:paraId="5F063774" w14:textId="77777777" w:rsidTr="008C0EA7">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467D94" w:rsidRPr="009A0588" w:rsidP="008C0EA7" w14:paraId="654F2662" w14:textId="77777777">
            <w:pPr>
              <w:pBdr>
                <w:top w:val="single" w:sz="6" w:space="0" w:color="FFFFFF"/>
                <w:left w:val="single" w:sz="6" w:space="0" w:color="FFFFFF"/>
                <w:bottom w:val="single" w:sz="6" w:space="0" w:color="FFFFFF"/>
                <w:right w:val="single" w:sz="6" w:space="0" w:color="FFFFFF"/>
              </w:pBdr>
              <w:spacing w:after="58"/>
            </w:pPr>
            <w:r w:rsidRPr="009A0588">
              <w:t>Annual performance test for mercury emissions</w:t>
            </w:r>
          </w:p>
        </w:tc>
        <w:tc>
          <w:tcPr>
            <w:tcW w:w="2070" w:type="dxa"/>
            <w:tcBorders>
              <w:top w:val="single" w:sz="7" w:space="0" w:color="000000"/>
              <w:left w:val="single" w:sz="7" w:space="0" w:color="000000"/>
              <w:bottom w:val="single" w:sz="7" w:space="0" w:color="000000"/>
              <w:right w:val="single" w:sz="7" w:space="0" w:color="000000"/>
            </w:tcBorders>
          </w:tcPr>
          <w:p w:rsidR="00467D94" w:rsidRPr="009A0588" w:rsidP="008C0EA7" w14:paraId="288059EA" w14:textId="77777777">
            <w:pPr>
              <w:pBdr>
                <w:top w:val="single" w:sz="6" w:space="0" w:color="FFFFFF"/>
                <w:left w:val="single" w:sz="6" w:space="0" w:color="FFFFFF"/>
                <w:bottom w:val="single" w:sz="6" w:space="0" w:color="FFFFFF"/>
                <w:right w:val="single" w:sz="6" w:space="0" w:color="FFFFFF"/>
              </w:pBdr>
              <w:spacing w:after="58"/>
            </w:pPr>
            <w:r w:rsidRPr="009A0588">
              <w:t>§§63.11646(a-b), 63.7</w:t>
            </w:r>
          </w:p>
        </w:tc>
      </w:tr>
    </w:tbl>
    <w:p w:rsidR="00467D94" w:rsidP="00467D94" w14:paraId="6DA5EC20" w14:textId="444D760C">
      <w:pPr>
        <w:pBdr>
          <w:top w:val="single" w:sz="6" w:space="0" w:color="FFFFFF"/>
          <w:left w:val="single" w:sz="6" w:space="0" w:color="FFFFFF"/>
          <w:bottom w:val="single" w:sz="6" w:space="0" w:color="FFFFFF"/>
          <w:right w:val="single" w:sz="6" w:space="0" w:color="FFFFFF"/>
        </w:pBdr>
        <w:rPr>
          <w:color w:val="000000"/>
        </w:rPr>
      </w:pPr>
      <w:r>
        <w:rPr>
          <w:color w:val="000000"/>
        </w:rPr>
        <w:t>A source must keep the following records:</w:t>
      </w:r>
    </w:p>
    <w:tbl>
      <w:tblPr>
        <w:tblW w:w="9360" w:type="dxa"/>
        <w:jc w:val="center"/>
        <w:tblLayout w:type="fixed"/>
        <w:tblCellMar>
          <w:left w:w="120" w:type="dxa"/>
          <w:right w:w="120" w:type="dxa"/>
        </w:tblCellMar>
        <w:tblLook w:val="0000"/>
      </w:tblPr>
      <w:tblGrid>
        <w:gridCol w:w="7110"/>
        <w:gridCol w:w="2250"/>
      </w:tblGrid>
      <w:tr w14:paraId="45FB6302" w14:textId="77777777" w:rsidTr="008C0EA7">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467D94" w:rsidRPr="00CF2B37" w:rsidP="008C0EA7" w14:paraId="11608489" w14:textId="77777777">
            <w:pPr>
              <w:spacing w:line="120" w:lineRule="exact"/>
            </w:pPr>
          </w:p>
          <w:p w:rsidR="00467D94" w:rsidRPr="00CF2B37" w:rsidP="008C0EA7" w14:paraId="3EC92774"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129EBBC2" w14:textId="77777777" w:rsidTr="008C0EA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67D94" w:rsidRPr="00E116DC" w:rsidP="008C0EA7" w14:paraId="581223B5" w14:textId="77777777">
            <w:pPr>
              <w:pBdr>
                <w:top w:val="single" w:sz="6" w:space="0" w:color="FFFFFF"/>
                <w:left w:val="single" w:sz="6" w:space="0" w:color="FFFFFF"/>
                <w:bottom w:val="single" w:sz="6" w:space="0" w:color="FFFFFF"/>
                <w:right w:val="single" w:sz="6" w:space="0" w:color="FFFFFF"/>
              </w:pBdr>
              <w:spacing w:after="58"/>
            </w:pPr>
            <w:r w:rsidRPr="009A0588">
              <w:t>Records to support notifications</w:t>
            </w:r>
          </w:p>
        </w:tc>
        <w:tc>
          <w:tcPr>
            <w:tcW w:w="2250" w:type="dxa"/>
            <w:tcBorders>
              <w:top w:val="single" w:sz="7" w:space="0" w:color="000000"/>
              <w:left w:val="single" w:sz="7" w:space="0" w:color="000000"/>
              <w:bottom w:val="single" w:sz="7" w:space="0" w:color="000000"/>
              <w:right w:val="single" w:sz="7" w:space="0" w:color="000000"/>
            </w:tcBorders>
          </w:tcPr>
          <w:p w:rsidR="00467D94" w:rsidRPr="00E116DC" w:rsidP="008C0EA7" w14:paraId="4AF0CABE" w14:textId="77777777">
            <w:pPr>
              <w:pBdr>
                <w:top w:val="single" w:sz="6" w:space="0" w:color="FFFFFF"/>
                <w:left w:val="single" w:sz="6" w:space="0" w:color="FFFFFF"/>
                <w:bottom w:val="single" w:sz="6" w:space="0" w:color="FFFFFF"/>
                <w:right w:val="single" w:sz="6" w:space="0" w:color="FFFFFF"/>
              </w:pBdr>
              <w:spacing w:after="58"/>
            </w:pPr>
            <w:r w:rsidRPr="009A0588">
              <w:t>§63.11648(e)(1), §63.10(b)(2)</w:t>
            </w:r>
          </w:p>
        </w:tc>
      </w:tr>
      <w:tr w14:paraId="4E273EA5" w14:textId="77777777" w:rsidTr="008C0EA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67D94" w:rsidRPr="00CF2B37" w:rsidP="008C0EA7" w14:paraId="6E95C80E" w14:textId="77777777">
            <w:pPr>
              <w:pBdr>
                <w:top w:val="single" w:sz="6" w:space="0" w:color="FFFFFF"/>
                <w:left w:val="single" w:sz="6" w:space="0" w:color="FFFFFF"/>
                <w:bottom w:val="single" w:sz="6" w:space="0" w:color="FFFFFF"/>
                <w:right w:val="single" w:sz="6" w:space="0" w:color="FFFFFF"/>
              </w:pBdr>
              <w:spacing w:after="58"/>
            </w:pPr>
            <w:r w:rsidRPr="009A0588">
              <w:t>Records of monitoring data</w:t>
            </w:r>
          </w:p>
        </w:tc>
        <w:tc>
          <w:tcPr>
            <w:tcW w:w="2250" w:type="dxa"/>
            <w:tcBorders>
              <w:top w:val="single" w:sz="7" w:space="0" w:color="000000"/>
              <w:left w:val="single" w:sz="7" w:space="0" w:color="000000"/>
              <w:bottom w:val="single" w:sz="7" w:space="0" w:color="000000"/>
              <w:right w:val="single" w:sz="7" w:space="0" w:color="000000"/>
            </w:tcBorders>
          </w:tcPr>
          <w:p w:rsidR="00467D94" w:rsidRPr="00CF2B37" w:rsidP="008C0EA7" w14:paraId="0328C557" w14:textId="77777777">
            <w:pPr>
              <w:pBdr>
                <w:top w:val="single" w:sz="6" w:space="0" w:color="FFFFFF"/>
                <w:left w:val="single" w:sz="6" w:space="0" w:color="FFFFFF"/>
                <w:bottom w:val="single" w:sz="6" w:space="0" w:color="FFFFFF"/>
                <w:right w:val="single" w:sz="6" w:space="0" w:color="FFFFFF"/>
              </w:pBdr>
              <w:spacing w:after="58"/>
            </w:pPr>
            <w:r w:rsidRPr="009A0588">
              <w:t>§63.11648(e)(2)</w:t>
            </w:r>
          </w:p>
        </w:tc>
      </w:tr>
      <w:tr w14:paraId="454B188A" w14:textId="77777777" w:rsidTr="008C0EA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67D94" w:rsidRPr="00CF2B37" w:rsidP="008C0EA7" w14:paraId="529B27F2" w14:textId="77777777">
            <w:pPr>
              <w:pBdr>
                <w:top w:val="single" w:sz="6" w:space="0" w:color="FFFFFF"/>
                <w:left w:val="single" w:sz="6" w:space="0" w:color="FFFFFF"/>
                <w:bottom w:val="single" w:sz="6" w:space="0" w:color="FFFFFF"/>
                <w:right w:val="single" w:sz="6" w:space="0" w:color="FFFFFF"/>
              </w:pBdr>
              <w:spacing w:after="58"/>
            </w:pPr>
            <w:r w:rsidRPr="009A0588">
              <w:t>Records of monthly ore and concentrate throughput, operating hour for each process unit</w:t>
            </w:r>
          </w:p>
        </w:tc>
        <w:tc>
          <w:tcPr>
            <w:tcW w:w="2250" w:type="dxa"/>
            <w:tcBorders>
              <w:top w:val="single" w:sz="7" w:space="0" w:color="000000"/>
              <w:left w:val="single" w:sz="7" w:space="0" w:color="000000"/>
              <w:bottom w:val="single" w:sz="7" w:space="0" w:color="000000"/>
              <w:right w:val="single" w:sz="7" w:space="0" w:color="000000"/>
            </w:tcBorders>
          </w:tcPr>
          <w:p w:rsidR="00467D94" w:rsidRPr="00CF2B37" w:rsidP="008C0EA7" w14:paraId="25583DE4" w14:textId="77777777">
            <w:pPr>
              <w:pBdr>
                <w:top w:val="single" w:sz="6" w:space="0" w:color="FFFFFF"/>
                <w:left w:val="single" w:sz="6" w:space="0" w:color="FFFFFF"/>
                <w:bottom w:val="single" w:sz="6" w:space="0" w:color="FFFFFF"/>
                <w:right w:val="single" w:sz="6" w:space="0" w:color="FFFFFF"/>
              </w:pBdr>
              <w:spacing w:after="58"/>
            </w:pPr>
            <w:r w:rsidRPr="009A0588">
              <w:t>§63.11648(e)(3)</w:t>
            </w:r>
          </w:p>
        </w:tc>
      </w:tr>
      <w:tr w14:paraId="72335ED5" w14:textId="77777777" w:rsidTr="008C0EA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67D94" w:rsidRPr="00CF2B37" w:rsidP="008C0EA7" w14:paraId="6CF92F43" w14:textId="77777777">
            <w:pPr>
              <w:pBdr>
                <w:top w:val="single" w:sz="6" w:space="0" w:color="FFFFFF"/>
                <w:left w:val="single" w:sz="6" w:space="0" w:color="FFFFFF"/>
                <w:bottom w:val="single" w:sz="6" w:space="0" w:color="FFFFFF"/>
                <w:right w:val="single" w:sz="6" w:space="0" w:color="FFFFFF"/>
              </w:pBdr>
              <w:spacing w:after="58"/>
            </w:pPr>
            <w:r w:rsidRPr="009A0588">
              <w:t>Records are required to be retained for five years</w:t>
            </w:r>
          </w:p>
        </w:tc>
        <w:tc>
          <w:tcPr>
            <w:tcW w:w="2250" w:type="dxa"/>
            <w:tcBorders>
              <w:top w:val="single" w:sz="7" w:space="0" w:color="000000"/>
              <w:left w:val="single" w:sz="7" w:space="0" w:color="000000"/>
              <w:bottom w:val="single" w:sz="7" w:space="0" w:color="000000"/>
              <w:right w:val="single" w:sz="7" w:space="0" w:color="000000"/>
            </w:tcBorders>
          </w:tcPr>
          <w:p w:rsidR="00467D94" w:rsidRPr="00CF2B37" w:rsidP="008C0EA7" w14:paraId="2E9701F8" w14:textId="77777777">
            <w:pPr>
              <w:pBdr>
                <w:top w:val="single" w:sz="6" w:space="0" w:color="FFFFFF"/>
                <w:left w:val="single" w:sz="6" w:space="0" w:color="FFFFFF"/>
                <w:bottom w:val="single" w:sz="6" w:space="0" w:color="FFFFFF"/>
                <w:right w:val="single" w:sz="6" w:space="0" w:color="FFFFFF"/>
              </w:pBdr>
              <w:spacing w:after="58"/>
            </w:pPr>
            <w:r w:rsidRPr="009A0588">
              <w:t>§63.10(b)(1),</w:t>
            </w:r>
            <w:r>
              <w:t xml:space="preserve"> </w:t>
            </w:r>
            <w:r w:rsidRPr="009A0588">
              <w:t>§</w:t>
            </w:r>
            <w:r>
              <w:t>63.11648(f)</w:t>
            </w:r>
          </w:p>
        </w:tc>
      </w:tr>
    </w:tbl>
    <w:p w:rsidR="00BB3410" w:rsidRPr="00467D94" w:rsidP="00467D94" w14:paraId="6503E1AD" w14:textId="7E2B4954">
      <w:pPr>
        <w:pBdr>
          <w:top w:val="single" w:sz="6" w:space="0" w:color="FFFFFF"/>
          <w:left w:val="single" w:sz="6" w:space="0" w:color="FFFFFF"/>
          <w:bottom w:val="single" w:sz="6" w:space="0" w:color="FFFFFF"/>
          <w:right w:val="single" w:sz="6" w:space="0" w:color="FFFFFF"/>
        </w:pBdr>
        <w:outlineLvl w:val="0"/>
        <w:rPr>
          <w:color w:val="000000"/>
        </w:rPr>
      </w:pPr>
    </w:p>
    <w:p w:rsidR="001172FE" w:rsidRPr="00163C69" w:rsidP="00854AAE" w14:paraId="60F595D1" w14:textId="77777777">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20" w:name="_Toc156593385"/>
      <w:bookmarkEnd w:id="17"/>
    </w:p>
    <w:p w:rsidR="009F1E00" w:rsidP="00854AAE" w14:paraId="48816950" w14:textId="64E42068">
      <w:pPr>
        <w:spacing w:before="60"/>
        <w:rPr>
          <w:rFonts w:cstheme="minorHAnsi"/>
        </w:rPr>
      </w:pPr>
      <w:r w:rsidRPr="00B2021A">
        <w:rPr>
          <w:rFonts w:cstheme="minorHAnsi"/>
        </w:rPr>
        <w:t>The specific frequency for each information collection activity within this request is shown at the end of this document in Table 1: Annual Respondent Burden and Cost – NESHAP for Gold Mine Ore Processing (40 CFR Part 63, Subpart EEEEEEE) (Renewal).</w:t>
      </w:r>
    </w:p>
    <w:tbl>
      <w:tblPr>
        <w:tblStyle w:val="TableGrid"/>
        <w:tblW w:w="9445" w:type="dxa"/>
        <w:tblLook w:val="04A0"/>
      </w:tblPr>
      <w:tblGrid>
        <w:gridCol w:w="9445"/>
      </w:tblGrid>
      <w:tr w14:paraId="63A5145D" w14:textId="77777777" w:rsidTr="008C0EA7">
        <w:tblPrEx>
          <w:tblW w:w="9445" w:type="dxa"/>
          <w:tblLook w:val="04A0"/>
        </w:tblPrEx>
        <w:trPr>
          <w:cantSplit/>
          <w:trHeight w:val="521"/>
          <w:tblHeader/>
        </w:trPr>
        <w:tc>
          <w:tcPr>
            <w:tcW w:w="9445" w:type="dxa"/>
          </w:tcPr>
          <w:p w:rsidR="00B2021A" w:rsidP="008C0EA7" w14:paraId="5EBF1568" w14:textId="77777777">
            <w:pPr>
              <w:jc w:val="center"/>
              <w:outlineLvl w:val="0"/>
              <w:rPr>
                <w:b/>
                <w:bCs/>
                <w:color w:val="000000"/>
              </w:rPr>
            </w:pPr>
            <w:r w:rsidRPr="00B04A5C">
              <w:rPr>
                <w:b/>
                <w:bCs/>
                <w:color w:val="000000"/>
              </w:rPr>
              <w:t>Respondent Activities</w:t>
            </w:r>
          </w:p>
        </w:tc>
      </w:tr>
      <w:tr w14:paraId="7B15AB3E" w14:textId="77777777" w:rsidTr="008C0EA7">
        <w:tblPrEx>
          <w:tblW w:w="9445" w:type="dxa"/>
          <w:tblLook w:val="04A0"/>
        </w:tblPrEx>
        <w:trPr>
          <w:trHeight w:val="432"/>
        </w:trPr>
        <w:tc>
          <w:tcPr>
            <w:tcW w:w="9445" w:type="dxa"/>
            <w:vAlign w:val="center"/>
          </w:tcPr>
          <w:p w:rsidR="00B2021A" w:rsidRPr="00B04A5C" w:rsidP="008C0EA7" w14:paraId="4F0B2EF7" w14:textId="77777777">
            <w:pPr>
              <w:outlineLvl w:val="0"/>
              <w:rPr>
                <w:color w:val="000000"/>
              </w:rPr>
            </w:pPr>
            <w:r w:rsidRPr="00B04A5C">
              <w:rPr>
                <w:color w:val="000000"/>
              </w:rPr>
              <w:t>Familiarization with the regulatory requirements.</w:t>
            </w:r>
          </w:p>
        </w:tc>
      </w:tr>
      <w:tr w14:paraId="7A90EA1A" w14:textId="77777777" w:rsidTr="008C0EA7">
        <w:tblPrEx>
          <w:tblW w:w="9445" w:type="dxa"/>
          <w:tblLook w:val="04A0"/>
        </w:tblPrEx>
        <w:trPr>
          <w:trHeight w:val="719"/>
        </w:trPr>
        <w:tc>
          <w:tcPr>
            <w:tcW w:w="9445" w:type="dxa"/>
            <w:vAlign w:val="center"/>
          </w:tcPr>
          <w:p w:rsidR="00B2021A" w:rsidRPr="00B04A5C" w:rsidP="008C0EA7" w14:paraId="095770D9" w14:textId="77777777">
            <w:pPr>
              <w:outlineLvl w:val="0"/>
              <w:rPr>
                <w:color w:val="000000"/>
              </w:rPr>
            </w:pPr>
            <w:r w:rsidRPr="009A0588">
              <w:t>Install, calibrate, maintain, and operate CEMS for mercury concentration and for oxidation reduction potential, pH, inlet gas temperature, line pressure, pressure drop, and liquid flow rate for the scrubber.</w:t>
            </w:r>
          </w:p>
        </w:tc>
      </w:tr>
      <w:tr w14:paraId="41A8336D" w14:textId="77777777" w:rsidTr="008C0EA7">
        <w:tblPrEx>
          <w:tblW w:w="9445" w:type="dxa"/>
          <w:tblLook w:val="04A0"/>
        </w:tblPrEx>
        <w:trPr>
          <w:trHeight w:val="701"/>
        </w:trPr>
        <w:tc>
          <w:tcPr>
            <w:tcW w:w="9445" w:type="dxa"/>
            <w:vAlign w:val="center"/>
          </w:tcPr>
          <w:p w:rsidR="00B2021A" w:rsidRPr="00B04A5C" w:rsidP="008C0EA7" w14:paraId="2471ED45" w14:textId="77777777">
            <w:pPr>
              <w:outlineLvl w:val="0"/>
              <w:rPr>
                <w:color w:val="000000"/>
              </w:rPr>
            </w:pPr>
            <w:r w:rsidRPr="009A0588">
              <w:t>Perform initial performance test, Reference Method 1 or 1A, 2, 2A, 2C, 2D, 2F, or 2G, 3, 3A, or 3B, 4, 29, ASTM D6784, 30B, and SW-846 Method 7471B test, and repeat performance tests if necessary.</w:t>
            </w:r>
          </w:p>
        </w:tc>
      </w:tr>
      <w:tr w14:paraId="131AC4D6" w14:textId="77777777" w:rsidTr="008C0EA7">
        <w:tblPrEx>
          <w:tblW w:w="9445" w:type="dxa"/>
          <w:tblLook w:val="04A0"/>
        </w:tblPrEx>
        <w:trPr>
          <w:trHeight w:val="432"/>
        </w:trPr>
        <w:tc>
          <w:tcPr>
            <w:tcW w:w="9445" w:type="dxa"/>
            <w:vAlign w:val="center"/>
          </w:tcPr>
          <w:p w:rsidR="00B2021A" w:rsidRPr="00B04A5C" w:rsidP="008C0EA7" w14:paraId="6CC9C1C0" w14:textId="77777777">
            <w:pPr>
              <w:outlineLvl w:val="0"/>
              <w:rPr>
                <w:color w:val="000000"/>
              </w:rPr>
            </w:pPr>
            <w:r w:rsidRPr="00B04A5C">
              <w:rPr>
                <w:color w:val="000000"/>
              </w:rPr>
              <w:t>Write the notifications and reports listed above.</w:t>
            </w:r>
          </w:p>
        </w:tc>
      </w:tr>
      <w:tr w14:paraId="1CFB7A47" w14:textId="77777777" w:rsidTr="008C0EA7">
        <w:tblPrEx>
          <w:tblW w:w="9445" w:type="dxa"/>
          <w:tblLook w:val="04A0"/>
        </w:tblPrEx>
        <w:trPr>
          <w:trHeight w:val="432"/>
        </w:trPr>
        <w:tc>
          <w:tcPr>
            <w:tcW w:w="9445" w:type="dxa"/>
            <w:vAlign w:val="center"/>
          </w:tcPr>
          <w:p w:rsidR="00B2021A" w:rsidRPr="00B04A5C" w:rsidP="008C0EA7" w14:paraId="04FDF061" w14:textId="77777777">
            <w:pPr>
              <w:outlineLvl w:val="0"/>
              <w:rPr>
                <w:color w:val="000000"/>
              </w:rPr>
            </w:pPr>
            <w:r w:rsidRPr="00B04A5C">
              <w:rPr>
                <w:color w:val="000000"/>
              </w:rPr>
              <w:t>Enter information required to be recorded above.</w:t>
            </w:r>
          </w:p>
        </w:tc>
      </w:tr>
      <w:tr w14:paraId="5DD1E1C4" w14:textId="77777777" w:rsidTr="008C0EA7">
        <w:tblPrEx>
          <w:tblW w:w="9445" w:type="dxa"/>
          <w:tblLook w:val="04A0"/>
        </w:tblPrEx>
        <w:trPr>
          <w:trHeight w:val="692"/>
        </w:trPr>
        <w:tc>
          <w:tcPr>
            <w:tcW w:w="9445" w:type="dxa"/>
            <w:vAlign w:val="center"/>
          </w:tcPr>
          <w:p w:rsidR="00B2021A" w:rsidRPr="00B04A5C" w:rsidP="008C0EA7" w14:paraId="768EC2BE"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3C73B6A1" w14:textId="77777777" w:rsidTr="008C0EA7">
        <w:tblPrEx>
          <w:tblW w:w="9445" w:type="dxa"/>
          <w:tblLook w:val="04A0"/>
        </w:tblPrEx>
        <w:trPr>
          <w:trHeight w:val="764"/>
        </w:trPr>
        <w:tc>
          <w:tcPr>
            <w:tcW w:w="9445" w:type="dxa"/>
            <w:vAlign w:val="center"/>
          </w:tcPr>
          <w:p w:rsidR="00B2021A" w:rsidRPr="00B04A5C" w:rsidP="008C0EA7" w14:paraId="57CF0806" w14:textId="77777777">
            <w:pPr>
              <w:outlineLvl w:val="0"/>
              <w:rPr>
                <w:color w:val="000000"/>
              </w:rPr>
            </w:pPr>
            <w:r w:rsidRPr="00B04A5C">
              <w:rPr>
                <w:color w:val="000000"/>
              </w:rPr>
              <w:t>Develop, acquire, install, and utilize technology and systems for processing and maintaining information.</w:t>
            </w:r>
          </w:p>
        </w:tc>
      </w:tr>
      <w:tr w14:paraId="240CD27B" w14:textId="77777777" w:rsidTr="008C0EA7">
        <w:tblPrEx>
          <w:tblW w:w="9445" w:type="dxa"/>
          <w:tblLook w:val="04A0"/>
        </w:tblPrEx>
        <w:trPr>
          <w:trHeight w:val="728"/>
        </w:trPr>
        <w:tc>
          <w:tcPr>
            <w:tcW w:w="9445" w:type="dxa"/>
            <w:vAlign w:val="center"/>
          </w:tcPr>
          <w:p w:rsidR="00B2021A" w:rsidRPr="00B04A5C" w:rsidP="008C0EA7" w14:paraId="3E322045" w14:textId="77777777">
            <w:pPr>
              <w:outlineLvl w:val="0"/>
              <w:rPr>
                <w:color w:val="000000"/>
              </w:rPr>
            </w:pPr>
            <w:r w:rsidRPr="00B04A5C">
              <w:rPr>
                <w:color w:val="000000"/>
              </w:rPr>
              <w:t>Develop, acquire, install, and utilize technology and systems for disclosing and providing information.</w:t>
            </w:r>
          </w:p>
        </w:tc>
      </w:tr>
      <w:tr w14:paraId="0AFE8ABD" w14:textId="77777777" w:rsidTr="008C0EA7">
        <w:tblPrEx>
          <w:tblW w:w="9445" w:type="dxa"/>
          <w:tblLook w:val="04A0"/>
        </w:tblPrEx>
        <w:trPr>
          <w:trHeight w:val="432"/>
        </w:trPr>
        <w:tc>
          <w:tcPr>
            <w:tcW w:w="9445" w:type="dxa"/>
            <w:vAlign w:val="center"/>
          </w:tcPr>
          <w:p w:rsidR="00B2021A" w:rsidRPr="00B04A5C" w:rsidP="008C0EA7" w14:paraId="1AF3833D" w14:textId="77777777">
            <w:pPr>
              <w:outlineLvl w:val="0"/>
              <w:rPr>
                <w:color w:val="000000"/>
              </w:rPr>
            </w:pPr>
            <w:r w:rsidRPr="00B04A5C">
              <w:rPr>
                <w:color w:val="000000"/>
              </w:rPr>
              <w:t>Train personnel to be able to respond to a collection of information.</w:t>
            </w:r>
          </w:p>
        </w:tc>
      </w:tr>
      <w:tr w14:paraId="1309DEDB" w14:textId="77777777" w:rsidTr="008C0EA7">
        <w:tblPrEx>
          <w:tblW w:w="9445" w:type="dxa"/>
          <w:tblLook w:val="04A0"/>
        </w:tblPrEx>
        <w:trPr>
          <w:trHeight w:val="432"/>
        </w:trPr>
        <w:tc>
          <w:tcPr>
            <w:tcW w:w="9445" w:type="dxa"/>
            <w:vAlign w:val="center"/>
          </w:tcPr>
          <w:p w:rsidR="00B2021A" w:rsidRPr="00B04A5C" w:rsidP="008C0EA7" w14:paraId="621D2463" w14:textId="77777777">
            <w:pPr>
              <w:outlineLvl w:val="0"/>
              <w:rPr>
                <w:color w:val="000000"/>
              </w:rPr>
            </w:pPr>
            <w:r w:rsidRPr="00B04A5C">
              <w:rPr>
                <w:color w:val="000000"/>
              </w:rPr>
              <w:t>Transmit, or otherwise disclose the information.</w:t>
            </w:r>
          </w:p>
        </w:tc>
      </w:tr>
    </w:tbl>
    <w:p w:rsidR="00B2021A" w:rsidRPr="00BB3410" w:rsidP="00854AAE" w14:paraId="315F4509" w14:textId="77777777">
      <w:pPr>
        <w:spacing w:before="60"/>
        <w:rPr>
          <w:rFonts w:cstheme="minorHAnsi"/>
        </w:rPr>
      </w:pPr>
    </w:p>
    <w:p w:rsidR="00D92ED6" w:rsidRPr="00163C69" w:rsidP="00854AAE" w14:paraId="27B1FB9B" w14:textId="77777777">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20"/>
      <w:r w:rsidRPr="00163C69" w:rsidR="00BB2B15">
        <w:rPr>
          <w:rFonts w:cstheme="minorHAnsi"/>
          <w:b/>
          <w:bCs/>
        </w:rPr>
        <w:t>Costs</w:t>
      </w:r>
    </w:p>
    <w:p w:rsidR="00ED57A4" w:rsidP="00854AAE" w14:paraId="720E1F1B" w14:textId="3C2F9271">
      <w:pPr>
        <w:spacing w:before="60"/>
        <w:rPr>
          <w:rFonts w:cstheme="minorHAnsi"/>
        </w:rPr>
      </w:pPr>
      <w:r w:rsidRPr="00AA6B2C">
        <w:rPr>
          <w:rFonts w:cstheme="minorHAnsi"/>
        </w:rPr>
        <w:t>The average annual burden to industry over the next three years from these recordkeeping and reporting requirements is estimated to be 2,840 hours (Total Labor Hours from Table 1). These hours are based on Agency studies and background documents from the development of the regulation, Agency knowledge and experience with the NESHAP program, the previously approved ICR, and any comments received.</w:t>
      </w:r>
    </w:p>
    <w:p w:rsidR="00AA6B2C" w:rsidRPr="00AA6B2C" w:rsidP="00AA6B2C" w14:paraId="43DC640C" w14:textId="55F3D425">
      <w:pPr>
        <w:spacing w:before="60"/>
        <w:rPr>
          <w:rFonts w:cstheme="minorHAnsi"/>
        </w:rPr>
      </w:pPr>
      <w:r w:rsidRPr="00AA6B2C">
        <w:rPr>
          <w:rFonts w:cstheme="minorHAnsi"/>
        </w:rPr>
        <w:t xml:space="preserve">This ICR uses the following labor rates: </w:t>
      </w:r>
    </w:p>
    <w:p w:rsidR="00AA6B2C" w:rsidRPr="00AA6B2C" w:rsidP="00AA6B2C" w14:paraId="78F6F6AC" w14:textId="77777777">
      <w:pPr>
        <w:pStyle w:val="ListParagraph"/>
        <w:numPr>
          <w:ilvl w:val="0"/>
          <w:numId w:val="28"/>
        </w:numPr>
        <w:spacing w:before="60"/>
        <w:rPr>
          <w:rFonts w:cstheme="minorHAnsi"/>
        </w:rPr>
      </w:pPr>
      <w:r w:rsidRPr="00AA6B2C">
        <w:rPr>
          <w:rFonts w:cstheme="minorHAnsi"/>
        </w:rPr>
        <w:t>Managerial</w:t>
      </w:r>
      <w:r w:rsidRPr="00AA6B2C">
        <w:rPr>
          <w:rFonts w:cstheme="minorHAnsi"/>
        </w:rPr>
        <w:tab/>
        <w:t>$163.17 ($77.70 + 110%)</w:t>
      </w:r>
    </w:p>
    <w:p w:rsidR="00AA6B2C" w:rsidRPr="00AA6B2C" w:rsidP="00AA6B2C" w14:paraId="35622E47" w14:textId="77777777">
      <w:pPr>
        <w:pStyle w:val="ListParagraph"/>
        <w:numPr>
          <w:ilvl w:val="0"/>
          <w:numId w:val="28"/>
        </w:numPr>
        <w:spacing w:before="60"/>
        <w:rPr>
          <w:rFonts w:cstheme="minorHAnsi"/>
        </w:rPr>
      </w:pPr>
      <w:r w:rsidRPr="00AA6B2C">
        <w:rPr>
          <w:rFonts w:cstheme="minorHAnsi"/>
        </w:rPr>
        <w:t>Technical</w:t>
      </w:r>
      <w:r w:rsidRPr="00AA6B2C">
        <w:rPr>
          <w:rFonts w:cstheme="minorHAnsi"/>
        </w:rPr>
        <w:tab/>
        <w:t>$130.28 ($62.04 + 110%)</w:t>
      </w:r>
    </w:p>
    <w:p w:rsidR="00AA6B2C" w:rsidRPr="00AA6B2C" w:rsidP="00AA6B2C" w14:paraId="1F3FF6E2" w14:textId="7DD5E2A7">
      <w:pPr>
        <w:pStyle w:val="ListParagraph"/>
        <w:numPr>
          <w:ilvl w:val="0"/>
          <w:numId w:val="28"/>
        </w:numPr>
        <w:spacing w:before="60"/>
        <w:rPr>
          <w:rFonts w:cstheme="minorHAnsi"/>
        </w:rPr>
      </w:pPr>
      <w:r w:rsidRPr="00AA6B2C">
        <w:rPr>
          <w:rFonts w:cstheme="minorHAnsi"/>
        </w:rPr>
        <w:t>Clerical</w:t>
      </w:r>
      <w:r w:rsidRPr="00AA6B2C">
        <w:rPr>
          <w:rFonts w:cstheme="minorHAnsi"/>
        </w:rPr>
        <w:tab/>
      </w:r>
      <w:r>
        <w:rPr>
          <w:rFonts w:cstheme="minorHAnsi"/>
        </w:rPr>
        <w:tab/>
      </w:r>
      <w:r w:rsidRPr="00AA6B2C">
        <w:rPr>
          <w:rFonts w:cstheme="minorHAnsi"/>
        </w:rPr>
        <w:t>$65.71 ($31.29 + 110%)</w:t>
      </w:r>
    </w:p>
    <w:p w:rsidR="00AA6B2C" w:rsidP="00AA6B2C" w14:paraId="2D759647" w14:textId="73EF11D1">
      <w:pPr>
        <w:spacing w:before="60"/>
        <w:rPr>
          <w:rFonts w:cstheme="minorHAnsi"/>
        </w:rPr>
      </w:pPr>
      <w:r w:rsidRPr="00AA6B2C">
        <w:rPr>
          <w:rFonts w:cstheme="minorHAnsi"/>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AA6B2C" w:rsidRPr="00AA6B2C" w:rsidP="00AA6B2C" w14:paraId="3A056109" w14:textId="60A15709">
      <w:pPr>
        <w:spacing w:before="60"/>
        <w:rPr>
          <w:rFonts w:cstheme="minorHAnsi"/>
        </w:rPr>
      </w:pPr>
      <w:r w:rsidRPr="00AA6B2C">
        <w:rPr>
          <w:rFonts w:cstheme="minorHAnsi"/>
        </w:rPr>
        <w:t xml:space="preserve">The </w:t>
      </w:r>
      <w:r w:rsidRPr="00AA6B2C">
        <w:rPr>
          <w:rFonts w:cstheme="minorHAnsi"/>
          <w:b/>
          <w:bCs/>
        </w:rPr>
        <w:t>total annual labor hours are 2,840</w:t>
      </w:r>
      <w:r w:rsidRPr="00AA6B2C">
        <w:rPr>
          <w:rFonts w:cstheme="minorHAnsi"/>
        </w:rPr>
        <w:t xml:space="preserve"> (rounded). Details regarding these estimates may be found in Table 1. Annual Respondent Burden and Cost – NESHAP for Gold Mine Ore Processing (40 CFR Part 63, Subpart EEEEEEE) (Renewal).</w:t>
      </w:r>
    </w:p>
    <w:p w:rsidR="00AA6B2C" w:rsidRPr="00AA6B2C" w:rsidP="00AA6B2C" w14:paraId="6FBBBE30" w14:textId="6D418259">
      <w:pPr>
        <w:spacing w:before="60"/>
        <w:rPr>
          <w:rFonts w:cstheme="minorHAnsi"/>
        </w:rPr>
      </w:pPr>
      <w:r w:rsidRPr="00AA6B2C">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AA6B2C" w:rsidP="00AA6B2C" w14:paraId="6563F22F" w14:textId="107C27C2">
      <w:pPr>
        <w:spacing w:before="60"/>
        <w:rPr>
          <w:rFonts w:cstheme="minorHAnsi"/>
        </w:rPr>
      </w:pPr>
      <w:r w:rsidRPr="00AA6B2C">
        <w:rPr>
          <w:rFonts w:cstheme="minorHAnsi"/>
        </w:rPr>
        <w:t xml:space="preserve">Furthermore, the annual public reporting and recordkeeping burden for this collection of information is estimated to average </w:t>
      </w:r>
      <w:r w:rsidRPr="00AA6B2C">
        <w:rPr>
          <w:rFonts w:cstheme="minorHAnsi"/>
          <w:b/>
          <w:bCs/>
        </w:rPr>
        <w:t>114 hours per response</w:t>
      </w:r>
      <w:r w:rsidRPr="00AA6B2C">
        <w:rPr>
          <w:rFonts w:cstheme="minorHAnsi"/>
        </w:rPr>
        <w:t>.</w:t>
      </w:r>
    </w:p>
    <w:p w:rsidR="00D775E0" w:rsidRPr="00BB3410" w:rsidP="00AA6B2C" w14:paraId="7F27D076" w14:textId="25BBD563">
      <w:pPr>
        <w:spacing w:before="60"/>
        <w:rPr>
          <w:rFonts w:cstheme="minorHAnsi"/>
        </w:rPr>
      </w:pPr>
      <w:r w:rsidRPr="00D775E0">
        <w:rPr>
          <w:rFonts w:cstheme="minorHAnsi"/>
        </w:rPr>
        <w:t>The total annual labor costs are $436,000. Details regarding these estimates may be found at the end of this document in Table 1: Annual Respondent Burden and Cost – NESHAP for Gold Mine Ore Processing (40 CFR Part 63, Subpart EEEEEEE) (Renewal).</w:t>
      </w:r>
    </w:p>
    <w:p w:rsidR="00BB2B15" w:rsidRPr="00163C69" w:rsidP="00854AAE" w14:paraId="22CC38AF" w14:textId="77777777">
      <w:pPr>
        <w:pStyle w:val="ListParagraph"/>
        <w:numPr>
          <w:ilvl w:val="0"/>
          <w:numId w:val="25"/>
        </w:numPr>
        <w:spacing w:before="240" w:after="0"/>
        <w:rPr>
          <w:rFonts w:cstheme="minorHAnsi"/>
          <w:b/>
          <w:bCs/>
          <w:caps/>
        </w:rPr>
      </w:pPr>
      <w:bookmarkStart w:id="21"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1"/>
      <w:r w:rsidRPr="4BDBF0A0" w:rsidR="004E3CB0">
        <w:rPr>
          <w:b/>
          <w:bCs/>
          <w:caps/>
        </w:rPr>
        <w:t xml:space="preserve"> </w:t>
      </w:r>
    </w:p>
    <w:p w:rsidR="00F92596" w:rsidRPr="00F92596" w:rsidP="00F92596" w14:paraId="0FA75E61"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22DC69AF"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CCF2C1F" w14:textId="77777777">
      <w:pPr>
        <w:spacing w:after="0" w:line="240" w:lineRule="auto"/>
        <w:rPr>
          <w:rFonts w:cstheme="minorHAnsi"/>
          <w:i/>
          <w:iCs/>
        </w:rPr>
      </w:pPr>
      <w:r w:rsidRPr="00F92596">
        <w:rPr>
          <w:rFonts w:cstheme="minorHAnsi"/>
          <w:i/>
          <w:iCs/>
        </w:rPr>
        <w:t xml:space="preserve">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w:t>
      </w:r>
      <w:r w:rsidRPr="00F92596">
        <w:rPr>
          <w:rFonts w:cstheme="minorHAnsi"/>
          <w:i/>
          <w:iCs/>
        </w:rPr>
        <w:t>costs include, among other items, preparations for collecting information such as purchasing computers and software; monitoring, sampling, drilling, and testing equipment; and record storage facilities.</w:t>
      </w:r>
    </w:p>
    <w:p w:rsidR="00F92596" w:rsidRPr="00F92596" w:rsidP="00163C69" w14:paraId="32DCA16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528442E"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775E0" w:rsidRPr="00D775E0" w:rsidP="00D775E0" w14:paraId="333E4ED4" w14:textId="2AA1F0BC">
      <w:pPr>
        <w:pBdr>
          <w:top w:val="single" w:sz="6" w:space="0" w:color="FFFFFF"/>
          <w:left w:val="single" w:sz="6" w:space="0" w:color="FFFFFF"/>
          <w:bottom w:val="single" w:sz="6" w:space="0" w:color="FFFFFF"/>
          <w:right w:val="single" w:sz="6" w:space="0" w:color="FFFFFF"/>
        </w:pBdr>
      </w:pPr>
      <w:r w:rsidRPr="009C1E63">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tbl>
      <w:tblPr>
        <w:tblW w:w="15180" w:type="dxa"/>
        <w:tblInd w:w="-9" w:type="dxa"/>
        <w:tblLayout w:type="fixed"/>
        <w:tblCellMar>
          <w:left w:w="111" w:type="dxa"/>
          <w:right w:w="111" w:type="dxa"/>
        </w:tblCellMar>
        <w:tblLook w:val="0000"/>
      </w:tblPr>
      <w:tblGrid>
        <w:gridCol w:w="120"/>
        <w:gridCol w:w="1320"/>
        <w:gridCol w:w="1290"/>
        <w:gridCol w:w="1350"/>
        <w:gridCol w:w="1440"/>
        <w:gridCol w:w="1350"/>
        <w:gridCol w:w="1260"/>
        <w:gridCol w:w="1350"/>
        <w:gridCol w:w="5700"/>
      </w:tblGrid>
      <w:tr w14:paraId="4EF7E5CA" w14:textId="77777777" w:rsidTr="00D775E0">
        <w:tblPrEx>
          <w:tblW w:w="15180" w:type="dxa"/>
          <w:tblInd w:w="-9" w:type="dxa"/>
          <w:tblLayout w:type="fixed"/>
          <w:tblCellMar>
            <w:left w:w="111" w:type="dxa"/>
            <w:right w:w="111" w:type="dxa"/>
          </w:tblCellMar>
          <w:tblLook w:val="0000"/>
        </w:tblPrEx>
        <w:trPr>
          <w:gridBefore w:val="1"/>
          <w:gridAfter w:val="1"/>
          <w:wBefore w:w="120" w:type="dxa"/>
          <w:wAfter w:w="5700" w:type="dxa"/>
          <w:tblHeader/>
        </w:trPr>
        <w:tc>
          <w:tcPr>
            <w:tcW w:w="9360" w:type="dxa"/>
            <w:gridSpan w:val="7"/>
            <w:tcBorders>
              <w:top w:val="single" w:sz="7" w:space="0" w:color="000000"/>
              <w:left w:val="single" w:sz="7" w:space="0" w:color="000000"/>
              <w:bottom w:val="single" w:sz="6" w:space="0" w:color="FFFFFF"/>
              <w:right w:val="single" w:sz="7" w:space="0" w:color="000000"/>
            </w:tcBorders>
          </w:tcPr>
          <w:p w:rsidR="00D775E0" w:rsidP="008C0EA7" w14:paraId="7862F4ED" w14:textId="77777777">
            <w:pPr>
              <w:spacing w:line="120" w:lineRule="exact"/>
              <w:rPr>
                <w:color w:val="000000"/>
              </w:rPr>
            </w:pPr>
          </w:p>
          <w:p w:rsidR="00D775E0" w:rsidP="008C0EA7" w14:paraId="075B271B"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63A178BA" w14:textId="77777777" w:rsidTr="00D775E0">
        <w:tblPrEx>
          <w:tblW w:w="15180" w:type="dxa"/>
          <w:tblInd w:w="-9" w:type="dxa"/>
          <w:tblLayout w:type="fixed"/>
          <w:tblCellMar>
            <w:left w:w="111" w:type="dxa"/>
            <w:right w:w="111" w:type="dxa"/>
          </w:tblCellMar>
          <w:tblLook w:val="0000"/>
        </w:tblPrEx>
        <w:trPr>
          <w:gridBefore w:val="1"/>
          <w:gridAfter w:val="1"/>
          <w:wBefore w:w="120" w:type="dxa"/>
          <w:wAfter w:w="5700" w:type="dxa"/>
        </w:trPr>
        <w:tc>
          <w:tcPr>
            <w:tcW w:w="1320" w:type="dxa"/>
            <w:tcBorders>
              <w:top w:val="single" w:sz="7" w:space="0" w:color="000000"/>
              <w:left w:val="single" w:sz="7" w:space="0" w:color="000000"/>
              <w:bottom w:val="single" w:sz="6" w:space="0" w:color="FFFFFF"/>
              <w:right w:val="single" w:sz="6" w:space="0" w:color="FFFFFF"/>
            </w:tcBorders>
          </w:tcPr>
          <w:p w:rsidR="00D775E0" w:rsidP="008C0EA7" w14:paraId="17374BF4" w14:textId="77777777">
            <w:pPr>
              <w:spacing w:line="120" w:lineRule="exact"/>
              <w:rPr>
                <w:b/>
                <w:bCs/>
                <w:color w:val="000000"/>
              </w:rPr>
            </w:pPr>
          </w:p>
          <w:p w:rsidR="00D775E0" w:rsidP="008C0EA7" w14:paraId="3F6993C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D775E0" w:rsidP="008C0EA7" w14:paraId="50560ADC"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290" w:type="dxa"/>
            <w:tcBorders>
              <w:top w:val="single" w:sz="7" w:space="0" w:color="000000"/>
              <w:left w:val="single" w:sz="7" w:space="0" w:color="000000"/>
              <w:bottom w:val="single" w:sz="6" w:space="0" w:color="FFFFFF"/>
              <w:right w:val="single" w:sz="6" w:space="0" w:color="FFFFFF"/>
            </w:tcBorders>
          </w:tcPr>
          <w:p w:rsidR="00D775E0" w:rsidP="008C0EA7" w14:paraId="0FEB7929" w14:textId="77777777">
            <w:pPr>
              <w:spacing w:line="120" w:lineRule="exact"/>
              <w:rPr>
                <w:color w:val="000000"/>
                <w:sz w:val="20"/>
                <w:szCs w:val="20"/>
              </w:rPr>
            </w:pPr>
          </w:p>
          <w:p w:rsidR="00D775E0" w:rsidP="008C0EA7" w14:paraId="5793C8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D775E0" w:rsidP="008C0EA7" w14:paraId="5B74301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D775E0" w:rsidP="008C0EA7" w14:paraId="13666503" w14:textId="77777777">
            <w:pPr>
              <w:spacing w:line="120" w:lineRule="exact"/>
              <w:rPr>
                <w:color w:val="000000"/>
                <w:sz w:val="20"/>
                <w:szCs w:val="20"/>
              </w:rPr>
            </w:pPr>
          </w:p>
          <w:p w:rsidR="00D775E0" w:rsidP="008C0EA7" w14:paraId="5A3DD877"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D775E0" w:rsidP="008C0EA7" w14:paraId="11A625CD"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D775E0" w:rsidP="008C0EA7" w14:paraId="2E04D169" w14:textId="77777777">
            <w:pPr>
              <w:spacing w:line="120" w:lineRule="exact"/>
              <w:rPr>
                <w:color w:val="000000"/>
                <w:sz w:val="20"/>
                <w:szCs w:val="20"/>
              </w:rPr>
            </w:pPr>
          </w:p>
          <w:p w:rsidR="00D775E0" w:rsidP="008C0EA7" w14:paraId="09E27BDE"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D775E0" w:rsidP="008C0EA7" w14:paraId="50B6BB81"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D775E0" w:rsidP="008C0EA7" w14:paraId="0D442520" w14:textId="77777777">
            <w:pPr>
              <w:spacing w:line="120" w:lineRule="exact"/>
              <w:rPr>
                <w:color w:val="000000"/>
                <w:sz w:val="20"/>
                <w:szCs w:val="20"/>
              </w:rPr>
            </w:pPr>
          </w:p>
          <w:p w:rsidR="00D775E0" w:rsidP="008C0EA7" w14:paraId="0A50E74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D775E0" w:rsidP="008C0EA7" w14:paraId="5CC4B66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D775E0" w:rsidP="008C0EA7" w14:paraId="01957432" w14:textId="77777777">
            <w:pPr>
              <w:spacing w:line="120" w:lineRule="exact"/>
              <w:rPr>
                <w:color w:val="000000"/>
                <w:sz w:val="20"/>
                <w:szCs w:val="20"/>
              </w:rPr>
            </w:pPr>
          </w:p>
          <w:p w:rsidR="00D775E0" w:rsidP="008C0EA7" w14:paraId="5D97442E"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D775E0" w:rsidP="008C0EA7" w14:paraId="0F1F8463"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D775E0" w:rsidP="008C0EA7" w14:paraId="47268994" w14:textId="77777777">
            <w:pPr>
              <w:spacing w:line="120" w:lineRule="exact"/>
              <w:rPr>
                <w:color w:val="000000"/>
                <w:sz w:val="20"/>
                <w:szCs w:val="20"/>
              </w:rPr>
            </w:pPr>
          </w:p>
          <w:p w:rsidR="00D775E0" w:rsidP="008C0EA7" w14:paraId="2C78D4C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D775E0" w:rsidP="008C0EA7" w14:paraId="328779E3"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D775E0" w:rsidP="008C0EA7" w14:paraId="125BB7A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14:paraId="3DD35CA7" w14:textId="77777777" w:rsidTr="00D775E0">
        <w:tblPrEx>
          <w:tblW w:w="15180" w:type="dxa"/>
          <w:tblInd w:w="-9" w:type="dxa"/>
          <w:tblLayout w:type="fixed"/>
          <w:tblCellMar>
            <w:left w:w="111" w:type="dxa"/>
            <w:right w:w="111" w:type="dxa"/>
          </w:tblCellMar>
          <w:tblLook w:val="0000"/>
        </w:tblPrEx>
        <w:trPr>
          <w:gridBefore w:val="1"/>
          <w:gridAfter w:val="1"/>
          <w:wBefore w:w="120" w:type="dxa"/>
          <w:wAfter w:w="5700" w:type="dxa"/>
        </w:trPr>
        <w:tc>
          <w:tcPr>
            <w:tcW w:w="1320" w:type="dxa"/>
            <w:tcBorders>
              <w:top w:val="single" w:sz="7" w:space="0" w:color="000000"/>
              <w:left w:val="single" w:sz="7" w:space="0" w:color="000000"/>
              <w:bottom w:val="single" w:sz="6" w:space="0" w:color="FFFFFF"/>
              <w:right w:val="single" w:sz="6" w:space="0" w:color="FFFFFF"/>
            </w:tcBorders>
            <w:vAlign w:val="center"/>
          </w:tcPr>
          <w:p w:rsidR="00D775E0" w:rsidP="008C0EA7" w14:paraId="44A16976"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9D28A9">
              <w:rPr>
                <w:sz w:val="20"/>
                <w:szCs w:val="20"/>
              </w:rPr>
              <w:t xml:space="preserve">Monitoring equipment </w:t>
            </w:r>
            <w:r w:rsidRPr="009D28A9">
              <w:rPr>
                <w:sz w:val="20"/>
                <w:szCs w:val="20"/>
                <w:vertAlign w:val="superscript"/>
              </w:rPr>
              <w:t>1</w:t>
            </w:r>
          </w:p>
        </w:tc>
        <w:tc>
          <w:tcPr>
            <w:tcW w:w="1290" w:type="dxa"/>
            <w:tcBorders>
              <w:top w:val="single" w:sz="7" w:space="0" w:color="000000"/>
              <w:left w:val="single" w:sz="7" w:space="0" w:color="000000"/>
              <w:bottom w:val="single" w:sz="6" w:space="0" w:color="FFFFFF"/>
              <w:right w:val="single" w:sz="6" w:space="0" w:color="FFFFFF"/>
            </w:tcBorders>
            <w:vAlign w:val="center"/>
          </w:tcPr>
          <w:p w:rsidR="00D775E0" w:rsidRPr="009D28A9" w:rsidP="008C0EA7" w14:paraId="7F57B14D" w14:textId="77777777">
            <w:pPr>
              <w:spacing w:line="120" w:lineRule="exact"/>
              <w:jc w:val="center"/>
              <w:rPr>
                <w:sz w:val="20"/>
                <w:szCs w:val="20"/>
              </w:rPr>
            </w:pPr>
          </w:p>
          <w:p w:rsidR="00D775E0" w:rsidP="008C0EA7" w14:paraId="6239C437"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9D28A9">
              <w:rPr>
                <w:sz w:val="20"/>
                <w:szCs w:val="20"/>
              </w:rPr>
              <w:t>$9,085</w:t>
            </w:r>
          </w:p>
        </w:tc>
        <w:tc>
          <w:tcPr>
            <w:tcW w:w="1350" w:type="dxa"/>
            <w:tcBorders>
              <w:top w:val="single" w:sz="7" w:space="0" w:color="000000"/>
              <w:left w:val="single" w:sz="7" w:space="0" w:color="000000"/>
              <w:bottom w:val="single" w:sz="6" w:space="0" w:color="FFFFFF"/>
              <w:right w:val="single" w:sz="6" w:space="0" w:color="FFFFFF"/>
            </w:tcBorders>
            <w:vAlign w:val="center"/>
          </w:tcPr>
          <w:p w:rsidR="00D775E0" w:rsidRPr="009D28A9" w:rsidP="008C0EA7" w14:paraId="5D296BE3" w14:textId="77777777">
            <w:pPr>
              <w:spacing w:line="120" w:lineRule="exact"/>
              <w:jc w:val="center"/>
              <w:rPr>
                <w:sz w:val="20"/>
                <w:szCs w:val="20"/>
              </w:rPr>
            </w:pPr>
          </w:p>
          <w:p w:rsidR="00D775E0" w:rsidP="008C0EA7" w14:paraId="191CD19D"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9D28A9">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D775E0" w:rsidRPr="009D28A9" w:rsidP="008C0EA7" w14:paraId="01A227F7" w14:textId="77777777">
            <w:pPr>
              <w:spacing w:line="120" w:lineRule="exact"/>
              <w:jc w:val="center"/>
              <w:rPr>
                <w:sz w:val="20"/>
                <w:szCs w:val="20"/>
              </w:rPr>
            </w:pPr>
          </w:p>
          <w:p w:rsidR="00D775E0" w:rsidP="008C0EA7" w14:paraId="44E3DD7C"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9D28A9">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D775E0" w:rsidRPr="009D28A9" w:rsidP="008C0EA7" w14:paraId="74B4C512" w14:textId="77777777">
            <w:pPr>
              <w:spacing w:line="120" w:lineRule="exact"/>
              <w:jc w:val="center"/>
              <w:rPr>
                <w:sz w:val="20"/>
                <w:szCs w:val="20"/>
              </w:rPr>
            </w:pPr>
          </w:p>
          <w:p w:rsidR="00D775E0" w:rsidP="008C0EA7" w14:paraId="55F945D7"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9D28A9">
              <w:rPr>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rsidR="00D775E0" w:rsidRPr="009D28A9" w:rsidP="008C0EA7" w14:paraId="56F91E26" w14:textId="77777777">
            <w:pPr>
              <w:spacing w:line="120" w:lineRule="exact"/>
              <w:jc w:val="center"/>
              <w:rPr>
                <w:sz w:val="20"/>
                <w:szCs w:val="20"/>
              </w:rPr>
            </w:pPr>
          </w:p>
          <w:p w:rsidR="00D775E0" w:rsidP="008C0EA7" w14:paraId="2E0677DD"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9D28A9">
              <w:rPr>
                <w:sz w:val="20"/>
                <w:szCs w:val="20"/>
              </w:rPr>
              <w:t>0</w:t>
            </w:r>
          </w:p>
        </w:tc>
        <w:tc>
          <w:tcPr>
            <w:tcW w:w="1350" w:type="dxa"/>
            <w:tcBorders>
              <w:top w:val="single" w:sz="7" w:space="0" w:color="000000"/>
              <w:left w:val="single" w:sz="7" w:space="0" w:color="000000"/>
              <w:bottom w:val="single" w:sz="6" w:space="0" w:color="FFFFFF"/>
              <w:right w:val="single" w:sz="7" w:space="0" w:color="000000"/>
            </w:tcBorders>
          </w:tcPr>
          <w:p w:rsidR="00D775E0" w:rsidRPr="009D28A9" w:rsidP="008C0EA7" w14:paraId="49312DE1" w14:textId="77777777">
            <w:pPr>
              <w:spacing w:line="120" w:lineRule="exact"/>
              <w:jc w:val="center"/>
              <w:rPr>
                <w:sz w:val="20"/>
                <w:szCs w:val="20"/>
              </w:rPr>
            </w:pPr>
          </w:p>
          <w:p w:rsidR="00D775E0" w:rsidP="008C0EA7" w14:paraId="7EB9ED59"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9D28A9">
              <w:rPr>
                <w:sz w:val="20"/>
                <w:szCs w:val="20"/>
              </w:rPr>
              <w:t>$0</w:t>
            </w:r>
          </w:p>
        </w:tc>
      </w:tr>
      <w:tr w14:paraId="2AF257CB" w14:textId="77777777" w:rsidTr="00D775E0">
        <w:tblPrEx>
          <w:tblW w:w="15180" w:type="dxa"/>
          <w:tblInd w:w="-9" w:type="dxa"/>
          <w:tblLayout w:type="fixed"/>
          <w:tblCellMar>
            <w:left w:w="111" w:type="dxa"/>
            <w:right w:w="111" w:type="dxa"/>
          </w:tblCellMar>
          <w:tblLook w:val="0000"/>
        </w:tblPrEx>
        <w:trPr>
          <w:gridBefore w:val="1"/>
          <w:gridAfter w:val="1"/>
          <w:wBefore w:w="120" w:type="dxa"/>
          <w:wAfter w:w="5700" w:type="dxa"/>
        </w:trPr>
        <w:tc>
          <w:tcPr>
            <w:tcW w:w="1320" w:type="dxa"/>
            <w:tcBorders>
              <w:top w:val="single" w:sz="7" w:space="0" w:color="000000"/>
              <w:left w:val="single" w:sz="7" w:space="0" w:color="000000"/>
              <w:bottom w:val="single" w:sz="6" w:space="0" w:color="FFFFFF"/>
              <w:right w:val="single" w:sz="6" w:space="0" w:color="FFFFFF"/>
            </w:tcBorders>
            <w:vAlign w:val="center"/>
          </w:tcPr>
          <w:p w:rsidR="00D775E0" w:rsidP="008C0EA7" w14:paraId="70964D1B"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9D28A9">
              <w:rPr>
                <w:sz w:val="20"/>
                <w:szCs w:val="20"/>
              </w:rPr>
              <w:t>Method 29 Hg stack sampling</w:t>
            </w:r>
            <w:r w:rsidRPr="009D28A9">
              <w:rPr>
                <w:sz w:val="20"/>
                <w:szCs w:val="20"/>
                <w:vertAlign w:val="superscript"/>
              </w:rPr>
              <w:t xml:space="preserve"> 2</w:t>
            </w:r>
          </w:p>
        </w:tc>
        <w:tc>
          <w:tcPr>
            <w:tcW w:w="1290" w:type="dxa"/>
            <w:tcBorders>
              <w:top w:val="single" w:sz="7" w:space="0" w:color="000000"/>
              <w:left w:val="single" w:sz="7" w:space="0" w:color="000000"/>
              <w:bottom w:val="single" w:sz="6" w:space="0" w:color="FFFFFF"/>
              <w:right w:val="single" w:sz="6" w:space="0" w:color="FFFFFF"/>
            </w:tcBorders>
            <w:vAlign w:val="center"/>
          </w:tcPr>
          <w:p w:rsidR="00D775E0" w:rsidRPr="009D28A9" w:rsidP="008C0EA7" w14:paraId="5118E7DD" w14:textId="77777777">
            <w:pPr>
              <w:spacing w:line="120" w:lineRule="exact"/>
              <w:jc w:val="center"/>
              <w:rPr>
                <w:sz w:val="20"/>
                <w:szCs w:val="20"/>
              </w:rPr>
            </w:pPr>
          </w:p>
          <w:p w:rsidR="00D775E0" w:rsidP="008C0EA7" w14:paraId="4383E838"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9D28A9">
              <w:rPr>
                <w:sz w:val="20"/>
                <w:szCs w:val="20"/>
              </w:rPr>
              <w:t>NA</w:t>
            </w:r>
          </w:p>
        </w:tc>
        <w:tc>
          <w:tcPr>
            <w:tcW w:w="1350" w:type="dxa"/>
            <w:tcBorders>
              <w:top w:val="single" w:sz="7" w:space="0" w:color="000000"/>
              <w:left w:val="single" w:sz="7" w:space="0" w:color="000000"/>
              <w:bottom w:val="single" w:sz="6" w:space="0" w:color="FFFFFF"/>
              <w:right w:val="single" w:sz="6" w:space="0" w:color="FFFFFF"/>
            </w:tcBorders>
            <w:vAlign w:val="center"/>
          </w:tcPr>
          <w:p w:rsidR="00D775E0" w:rsidRPr="009D28A9" w:rsidP="008C0EA7" w14:paraId="36708B81" w14:textId="77777777">
            <w:pPr>
              <w:spacing w:line="120" w:lineRule="exact"/>
              <w:jc w:val="center"/>
              <w:rPr>
                <w:sz w:val="20"/>
                <w:szCs w:val="20"/>
              </w:rPr>
            </w:pPr>
          </w:p>
          <w:p w:rsidR="00D775E0" w:rsidP="008C0EA7" w14:paraId="16A4A191"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9D28A9">
              <w:rPr>
                <w:sz w:val="20"/>
                <w:szCs w:val="20"/>
              </w:rPr>
              <w:t>NA</w:t>
            </w:r>
          </w:p>
        </w:tc>
        <w:tc>
          <w:tcPr>
            <w:tcW w:w="1440" w:type="dxa"/>
            <w:tcBorders>
              <w:top w:val="single" w:sz="7" w:space="0" w:color="000000"/>
              <w:left w:val="single" w:sz="7" w:space="0" w:color="000000"/>
              <w:bottom w:val="single" w:sz="6" w:space="0" w:color="FFFFFF"/>
              <w:right w:val="single" w:sz="6" w:space="0" w:color="FFFFFF"/>
            </w:tcBorders>
            <w:vAlign w:val="center"/>
          </w:tcPr>
          <w:p w:rsidR="00D775E0" w:rsidRPr="009D28A9" w:rsidP="008C0EA7" w14:paraId="44D6F903" w14:textId="77777777">
            <w:pPr>
              <w:spacing w:line="120" w:lineRule="exact"/>
              <w:jc w:val="center"/>
              <w:rPr>
                <w:sz w:val="20"/>
                <w:szCs w:val="20"/>
              </w:rPr>
            </w:pPr>
          </w:p>
          <w:p w:rsidR="00D775E0" w:rsidP="008C0EA7" w14:paraId="061BD0EB"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9D28A9">
              <w:rPr>
                <w:sz w:val="20"/>
                <w:szCs w:val="20"/>
              </w:rPr>
              <w:t>NA</w:t>
            </w:r>
          </w:p>
        </w:tc>
        <w:tc>
          <w:tcPr>
            <w:tcW w:w="1350" w:type="dxa"/>
            <w:tcBorders>
              <w:top w:val="single" w:sz="7" w:space="0" w:color="000000"/>
              <w:left w:val="single" w:sz="7" w:space="0" w:color="000000"/>
              <w:bottom w:val="single" w:sz="6" w:space="0" w:color="FFFFFF"/>
              <w:right w:val="single" w:sz="6" w:space="0" w:color="FFFFFF"/>
            </w:tcBorders>
            <w:vAlign w:val="center"/>
          </w:tcPr>
          <w:p w:rsidR="00D775E0" w:rsidRPr="009D28A9" w:rsidP="008C0EA7" w14:paraId="742A7F44" w14:textId="77777777">
            <w:pPr>
              <w:spacing w:line="120" w:lineRule="exact"/>
              <w:jc w:val="center"/>
              <w:rPr>
                <w:sz w:val="20"/>
                <w:szCs w:val="20"/>
              </w:rPr>
            </w:pPr>
          </w:p>
          <w:p w:rsidR="00D775E0" w:rsidP="008C0EA7" w14:paraId="1D6140E0"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9D28A9">
              <w:rPr>
                <w:sz w:val="20"/>
                <w:szCs w:val="20"/>
              </w:rPr>
              <w:t>$9,420</w:t>
            </w:r>
          </w:p>
        </w:tc>
        <w:tc>
          <w:tcPr>
            <w:tcW w:w="1260" w:type="dxa"/>
            <w:tcBorders>
              <w:top w:val="single" w:sz="7" w:space="0" w:color="000000"/>
              <w:left w:val="single" w:sz="7" w:space="0" w:color="000000"/>
              <w:bottom w:val="single" w:sz="6" w:space="0" w:color="FFFFFF"/>
              <w:right w:val="single" w:sz="6" w:space="0" w:color="FFFFFF"/>
            </w:tcBorders>
            <w:vAlign w:val="center"/>
          </w:tcPr>
          <w:p w:rsidR="00D775E0" w:rsidRPr="009D28A9" w:rsidP="008C0EA7" w14:paraId="37029DE1" w14:textId="77777777">
            <w:pPr>
              <w:spacing w:line="120" w:lineRule="exact"/>
              <w:jc w:val="center"/>
              <w:rPr>
                <w:sz w:val="20"/>
                <w:szCs w:val="20"/>
              </w:rPr>
            </w:pPr>
          </w:p>
          <w:p w:rsidR="00D775E0" w:rsidP="008C0EA7" w14:paraId="7A6F85AB"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9D28A9">
              <w:rPr>
                <w:sz w:val="20"/>
                <w:szCs w:val="20"/>
              </w:rPr>
              <w:t>17</w:t>
            </w:r>
          </w:p>
        </w:tc>
        <w:tc>
          <w:tcPr>
            <w:tcW w:w="1350" w:type="dxa"/>
            <w:tcBorders>
              <w:top w:val="single" w:sz="7" w:space="0" w:color="000000"/>
              <w:left w:val="single" w:sz="7" w:space="0" w:color="000000"/>
              <w:bottom w:val="single" w:sz="6" w:space="0" w:color="FFFFFF"/>
              <w:right w:val="single" w:sz="7" w:space="0" w:color="000000"/>
            </w:tcBorders>
          </w:tcPr>
          <w:p w:rsidR="00D775E0" w:rsidRPr="009D28A9" w:rsidP="008C0EA7" w14:paraId="2367F585" w14:textId="77777777">
            <w:pPr>
              <w:spacing w:line="120" w:lineRule="exact"/>
              <w:jc w:val="center"/>
              <w:rPr>
                <w:sz w:val="20"/>
                <w:szCs w:val="20"/>
              </w:rPr>
            </w:pPr>
          </w:p>
          <w:p w:rsidR="00D775E0" w:rsidP="008C0EA7" w14:paraId="6642C7A8"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9D28A9">
              <w:rPr>
                <w:sz w:val="20"/>
                <w:szCs w:val="20"/>
              </w:rPr>
              <w:t>$160,140</w:t>
            </w:r>
          </w:p>
        </w:tc>
      </w:tr>
      <w:tr w14:paraId="7F2F5D55" w14:textId="77777777" w:rsidTr="00D775E0">
        <w:tblPrEx>
          <w:tblW w:w="15180" w:type="dxa"/>
          <w:tblInd w:w="-9" w:type="dxa"/>
          <w:tblLayout w:type="fixed"/>
          <w:tblCellMar>
            <w:left w:w="111" w:type="dxa"/>
            <w:right w:w="111" w:type="dxa"/>
          </w:tblCellMar>
          <w:tblLook w:val="0000"/>
        </w:tblPrEx>
        <w:trPr>
          <w:gridBefore w:val="1"/>
          <w:gridAfter w:val="1"/>
          <w:wBefore w:w="120" w:type="dxa"/>
          <w:wAfter w:w="5700" w:type="dxa"/>
        </w:trPr>
        <w:tc>
          <w:tcPr>
            <w:tcW w:w="1320" w:type="dxa"/>
            <w:tcBorders>
              <w:top w:val="single" w:sz="7" w:space="0" w:color="000000"/>
              <w:left w:val="single" w:sz="7" w:space="0" w:color="000000"/>
              <w:bottom w:val="single" w:sz="7" w:space="0" w:color="000000"/>
              <w:right w:val="single" w:sz="6" w:space="0" w:color="FFFFFF"/>
            </w:tcBorders>
            <w:vAlign w:val="center"/>
          </w:tcPr>
          <w:p w:rsidR="00D775E0" w:rsidP="008C0EA7" w14:paraId="2E1EBF78"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9D28A9">
              <w:rPr>
                <w:sz w:val="20"/>
                <w:szCs w:val="20"/>
              </w:rPr>
              <w:t xml:space="preserve">Material and supply </w:t>
            </w:r>
            <w:r w:rsidRPr="009D28A9">
              <w:rPr>
                <w:sz w:val="20"/>
                <w:szCs w:val="20"/>
                <w:vertAlign w:val="superscript"/>
              </w:rPr>
              <w:t>3</w:t>
            </w:r>
          </w:p>
        </w:tc>
        <w:tc>
          <w:tcPr>
            <w:tcW w:w="1290" w:type="dxa"/>
            <w:tcBorders>
              <w:top w:val="single" w:sz="7" w:space="0" w:color="000000"/>
              <w:left w:val="single" w:sz="7" w:space="0" w:color="000000"/>
              <w:bottom w:val="single" w:sz="7" w:space="0" w:color="000000"/>
              <w:right w:val="single" w:sz="6" w:space="0" w:color="FFFFFF"/>
            </w:tcBorders>
            <w:vAlign w:val="center"/>
          </w:tcPr>
          <w:p w:rsidR="00D775E0" w:rsidRPr="009D28A9" w:rsidP="008C0EA7" w14:paraId="6CA42553" w14:textId="77777777">
            <w:pPr>
              <w:spacing w:line="120" w:lineRule="exact"/>
              <w:jc w:val="center"/>
              <w:rPr>
                <w:sz w:val="20"/>
                <w:szCs w:val="20"/>
              </w:rPr>
            </w:pPr>
          </w:p>
          <w:p w:rsidR="00D775E0" w:rsidP="008C0EA7" w14:paraId="7038CCF9"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9D28A9">
              <w:rPr>
                <w:sz w:val="20"/>
                <w:szCs w:val="2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rsidR="00D775E0" w:rsidRPr="009D28A9" w:rsidP="008C0EA7" w14:paraId="4E1C54FB" w14:textId="77777777">
            <w:pPr>
              <w:spacing w:line="120" w:lineRule="exact"/>
              <w:jc w:val="center"/>
              <w:rPr>
                <w:sz w:val="20"/>
                <w:szCs w:val="20"/>
              </w:rPr>
            </w:pPr>
          </w:p>
          <w:p w:rsidR="00D775E0" w:rsidP="008C0EA7" w14:paraId="2FF50A02"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9D28A9">
              <w:rPr>
                <w:sz w:val="20"/>
                <w:szCs w:val="20"/>
              </w:rPr>
              <w:t>NA</w:t>
            </w:r>
          </w:p>
        </w:tc>
        <w:tc>
          <w:tcPr>
            <w:tcW w:w="1440" w:type="dxa"/>
            <w:tcBorders>
              <w:top w:val="single" w:sz="7" w:space="0" w:color="000000"/>
              <w:left w:val="single" w:sz="7" w:space="0" w:color="000000"/>
              <w:bottom w:val="single" w:sz="7" w:space="0" w:color="000000"/>
              <w:right w:val="single" w:sz="6" w:space="0" w:color="FFFFFF"/>
            </w:tcBorders>
            <w:vAlign w:val="center"/>
          </w:tcPr>
          <w:p w:rsidR="00D775E0" w:rsidRPr="009D28A9" w:rsidP="008C0EA7" w14:paraId="668DCCFC" w14:textId="77777777">
            <w:pPr>
              <w:spacing w:line="120" w:lineRule="exact"/>
              <w:jc w:val="center"/>
              <w:rPr>
                <w:sz w:val="20"/>
                <w:szCs w:val="20"/>
              </w:rPr>
            </w:pPr>
          </w:p>
          <w:p w:rsidR="00D775E0" w:rsidP="008C0EA7" w14:paraId="68FDCCB7"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9D28A9">
              <w:rPr>
                <w:sz w:val="20"/>
                <w:szCs w:val="2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rsidR="00D775E0" w:rsidRPr="009D28A9" w:rsidP="008C0EA7" w14:paraId="6BA37B45" w14:textId="77777777">
            <w:pPr>
              <w:spacing w:line="120" w:lineRule="exact"/>
              <w:jc w:val="center"/>
              <w:rPr>
                <w:sz w:val="20"/>
                <w:szCs w:val="20"/>
              </w:rPr>
            </w:pPr>
          </w:p>
          <w:p w:rsidR="00D775E0" w:rsidP="008C0EA7" w14:paraId="79BCEA64"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9D28A9">
              <w:rPr>
                <w:sz w:val="20"/>
                <w:szCs w:val="20"/>
              </w:rPr>
              <w:t>$3,190</w:t>
            </w:r>
          </w:p>
        </w:tc>
        <w:tc>
          <w:tcPr>
            <w:tcW w:w="1260" w:type="dxa"/>
            <w:tcBorders>
              <w:top w:val="single" w:sz="7" w:space="0" w:color="000000"/>
              <w:left w:val="single" w:sz="7" w:space="0" w:color="000000"/>
              <w:bottom w:val="single" w:sz="7" w:space="0" w:color="000000"/>
              <w:right w:val="single" w:sz="6" w:space="0" w:color="FFFFFF"/>
            </w:tcBorders>
            <w:vAlign w:val="center"/>
          </w:tcPr>
          <w:p w:rsidR="00D775E0" w:rsidRPr="009D28A9" w:rsidP="008C0EA7" w14:paraId="5F7906EC" w14:textId="77777777">
            <w:pPr>
              <w:spacing w:line="120" w:lineRule="exact"/>
              <w:jc w:val="center"/>
              <w:rPr>
                <w:sz w:val="20"/>
                <w:szCs w:val="20"/>
              </w:rPr>
            </w:pPr>
          </w:p>
          <w:p w:rsidR="00D775E0" w:rsidP="008C0EA7" w14:paraId="410B6AAB"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9D28A9">
              <w:rPr>
                <w:sz w:val="20"/>
                <w:szCs w:val="20"/>
              </w:rPr>
              <w:t>21</w:t>
            </w:r>
          </w:p>
        </w:tc>
        <w:tc>
          <w:tcPr>
            <w:tcW w:w="1350" w:type="dxa"/>
            <w:tcBorders>
              <w:top w:val="single" w:sz="7" w:space="0" w:color="000000"/>
              <w:left w:val="single" w:sz="7" w:space="0" w:color="000000"/>
              <w:bottom w:val="single" w:sz="7" w:space="0" w:color="000000"/>
              <w:right w:val="single" w:sz="7" w:space="0" w:color="000000"/>
            </w:tcBorders>
          </w:tcPr>
          <w:p w:rsidR="00D775E0" w:rsidRPr="009D28A9" w:rsidP="008C0EA7" w14:paraId="6E080147" w14:textId="77777777">
            <w:pPr>
              <w:spacing w:line="120" w:lineRule="exact"/>
              <w:jc w:val="center"/>
              <w:rPr>
                <w:sz w:val="20"/>
                <w:szCs w:val="20"/>
              </w:rPr>
            </w:pPr>
          </w:p>
          <w:p w:rsidR="00D775E0" w:rsidP="008C0EA7" w14:paraId="4425F4DB" w14:textId="77777777">
            <w:pPr>
              <w:pBdr>
                <w:top w:val="single" w:sz="6" w:space="0" w:color="FFFFFF"/>
                <w:left w:val="single" w:sz="6" w:space="0" w:color="FFFFFF"/>
                <w:bottom w:val="single" w:sz="6" w:space="0" w:color="FFFFFF"/>
                <w:right w:val="single" w:sz="6" w:space="0" w:color="FFFFFF"/>
              </w:pBdr>
              <w:rPr>
                <w:color w:val="000000"/>
              </w:rPr>
            </w:pPr>
            <w:r w:rsidRPr="009D28A9">
              <w:rPr>
                <w:sz w:val="20"/>
                <w:szCs w:val="20"/>
              </w:rPr>
              <w:t>$66,990</w:t>
            </w:r>
          </w:p>
        </w:tc>
      </w:tr>
      <w:tr w14:paraId="7CB567BB" w14:textId="77777777" w:rsidTr="00D775E0">
        <w:tblPrEx>
          <w:tblW w:w="15180" w:type="dxa"/>
          <w:tblInd w:w="-9" w:type="dxa"/>
          <w:tblLayout w:type="fixed"/>
          <w:tblCellMar>
            <w:left w:w="111" w:type="dxa"/>
            <w:right w:w="111" w:type="dxa"/>
          </w:tblCellMar>
          <w:tblLook w:val="0000"/>
        </w:tblPrEx>
        <w:trPr>
          <w:gridBefore w:val="1"/>
          <w:gridAfter w:val="1"/>
          <w:wBefore w:w="120" w:type="dxa"/>
          <w:wAfter w:w="5700" w:type="dxa"/>
        </w:trPr>
        <w:tc>
          <w:tcPr>
            <w:tcW w:w="1320" w:type="dxa"/>
            <w:tcBorders>
              <w:top w:val="single" w:sz="7" w:space="0" w:color="000000"/>
              <w:left w:val="single" w:sz="7" w:space="0" w:color="000000"/>
              <w:bottom w:val="single" w:sz="7" w:space="0" w:color="000000"/>
              <w:right w:val="single" w:sz="6" w:space="0" w:color="FFFFFF"/>
            </w:tcBorders>
            <w:vAlign w:val="center"/>
          </w:tcPr>
          <w:p w:rsidR="00D775E0" w:rsidRPr="009D28A9" w:rsidP="008C0EA7" w14:paraId="571C75AC" w14:textId="77777777">
            <w:pPr>
              <w:pBdr>
                <w:top w:val="single" w:sz="6" w:space="0" w:color="FFFFFF"/>
                <w:left w:val="single" w:sz="6" w:space="0" w:color="FFFFFF"/>
                <w:bottom w:val="single" w:sz="6" w:space="0" w:color="FFFFFF"/>
                <w:right w:val="single" w:sz="6" w:space="0" w:color="FFFFFF"/>
              </w:pBdr>
              <w:rPr>
                <w:sz w:val="20"/>
                <w:szCs w:val="20"/>
              </w:rPr>
            </w:pPr>
            <w:r w:rsidRPr="009D28A9">
              <w:rPr>
                <w:b/>
                <w:sz w:val="20"/>
                <w:szCs w:val="20"/>
              </w:rPr>
              <w:t xml:space="preserve">Total </w:t>
            </w:r>
            <w:r w:rsidRPr="009D28A9">
              <w:rPr>
                <w:sz w:val="20"/>
                <w:szCs w:val="20"/>
                <w:vertAlign w:val="superscript"/>
              </w:rPr>
              <w:t>4</w:t>
            </w:r>
          </w:p>
        </w:tc>
        <w:tc>
          <w:tcPr>
            <w:tcW w:w="1290" w:type="dxa"/>
            <w:tcBorders>
              <w:top w:val="single" w:sz="7" w:space="0" w:color="000000"/>
              <w:left w:val="single" w:sz="7" w:space="0" w:color="000000"/>
              <w:bottom w:val="single" w:sz="7" w:space="0" w:color="000000"/>
              <w:right w:val="single" w:sz="6" w:space="0" w:color="FFFFFF"/>
            </w:tcBorders>
            <w:vAlign w:val="center"/>
          </w:tcPr>
          <w:p w:rsidR="00D775E0" w:rsidP="008C0EA7" w14:paraId="79DB219F"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rsidR="00D775E0" w:rsidP="008C0EA7" w14:paraId="66A5BE4E"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D775E0" w:rsidP="008C0EA7" w14:paraId="7F82A5C0"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9D28A9">
              <w:rPr>
                <w:b/>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D775E0" w:rsidRPr="009D28A9" w:rsidP="008C0EA7" w14:paraId="521DBAC6" w14:textId="77777777">
            <w:pPr>
              <w:jc w:val="center"/>
              <w:rPr>
                <w:b/>
                <w:sz w:val="20"/>
                <w:szCs w:val="20"/>
              </w:rPr>
            </w:pPr>
          </w:p>
          <w:p w:rsidR="00D775E0" w:rsidP="008C0EA7" w14:paraId="599319DE"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D775E0" w:rsidRPr="009D28A9" w:rsidP="008C0EA7" w14:paraId="7B542E9D" w14:textId="77777777">
            <w:pPr>
              <w:jc w:val="center"/>
              <w:rPr>
                <w:b/>
                <w:sz w:val="20"/>
                <w:szCs w:val="20"/>
              </w:rPr>
            </w:pPr>
          </w:p>
          <w:p w:rsidR="00D775E0" w:rsidP="008C0EA7" w14:paraId="678D3C7C"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D775E0" w:rsidP="008C0EA7" w14:paraId="30566034" w14:textId="77777777">
            <w:pPr>
              <w:pBdr>
                <w:top w:val="single" w:sz="6" w:space="0" w:color="FFFFFF"/>
                <w:left w:val="single" w:sz="6" w:space="0" w:color="FFFFFF"/>
                <w:bottom w:val="single" w:sz="6" w:space="0" w:color="FFFFFF"/>
                <w:right w:val="single" w:sz="6" w:space="0" w:color="FFFFFF"/>
              </w:pBdr>
              <w:rPr>
                <w:color w:val="000000"/>
              </w:rPr>
            </w:pPr>
            <w:r w:rsidRPr="009D28A9">
              <w:rPr>
                <w:b/>
                <w:sz w:val="20"/>
                <w:szCs w:val="20"/>
              </w:rPr>
              <w:t>$227,000</w:t>
            </w:r>
          </w:p>
        </w:tc>
      </w:tr>
      <w:tr w14:paraId="61B05589" w14:textId="77777777" w:rsidTr="00D775E0">
        <w:tblPrEx>
          <w:tblW w:w="15180" w:type="dxa"/>
          <w:tblInd w:w="-9" w:type="dxa"/>
          <w:tblLayout w:type="fixed"/>
          <w:tblCellMar>
            <w:left w:w="108" w:type="dxa"/>
            <w:right w:w="108" w:type="dxa"/>
          </w:tblCellMar>
          <w:tblLook w:val="04A0"/>
        </w:tblPrEx>
        <w:trPr>
          <w:trHeight w:val="720"/>
        </w:trPr>
        <w:tc>
          <w:tcPr>
            <w:tcW w:w="15180" w:type="dxa"/>
            <w:gridSpan w:val="9"/>
            <w:tcBorders>
              <w:top w:val="nil"/>
              <w:left w:val="nil"/>
              <w:bottom w:val="nil"/>
              <w:right w:val="nil"/>
            </w:tcBorders>
            <w:shd w:val="clear" w:color="auto" w:fill="auto"/>
            <w:vAlign w:val="center"/>
            <w:hideMark/>
          </w:tcPr>
          <w:p w:rsidR="00D775E0" w:rsidRPr="00D775E0" w:rsidP="00D775E0" w14:paraId="3D6ABF16" w14:textId="77777777">
            <w:pPr>
              <w:pStyle w:val="NoSpacing"/>
              <w:rPr>
                <w:sz w:val="18"/>
                <w:szCs w:val="18"/>
              </w:rPr>
            </w:pPr>
            <w:r w:rsidRPr="00D775E0">
              <w:rPr>
                <w:sz w:val="18"/>
                <w:szCs w:val="18"/>
                <w:vertAlign w:val="superscript"/>
              </w:rPr>
              <w:t xml:space="preserve">1 </w:t>
            </w:r>
            <w:r w:rsidRPr="00D775E0">
              <w:rPr>
                <w:sz w:val="18"/>
                <w:szCs w:val="18"/>
              </w:rPr>
              <w:t xml:space="preserve">Annualized installed capital cost is $190,790 per year for the source category, based on a capital recovery factor of </w:t>
            </w:r>
          </w:p>
          <w:p w:rsidR="00D775E0" w:rsidRPr="00D775E0" w:rsidP="00D775E0" w14:paraId="43318CA7" w14:textId="77777777">
            <w:pPr>
              <w:pStyle w:val="NoSpacing"/>
              <w:rPr>
                <w:sz w:val="18"/>
                <w:szCs w:val="18"/>
              </w:rPr>
            </w:pPr>
            <w:r w:rsidRPr="00D775E0">
              <w:rPr>
                <w:sz w:val="18"/>
                <w:szCs w:val="18"/>
              </w:rPr>
              <w:t xml:space="preserve">0.1424 (10-year life at 7%), and a total installed capital cost of $1.34 million for monitoring equipment. We assume </w:t>
            </w:r>
          </w:p>
          <w:p w:rsidR="00D775E0" w:rsidRPr="00D775E0" w:rsidP="00D775E0" w14:paraId="5EEDBE74" w14:textId="77777777">
            <w:pPr>
              <w:pStyle w:val="NoSpacing"/>
              <w:rPr>
                <w:sz w:val="18"/>
                <w:szCs w:val="18"/>
              </w:rPr>
            </w:pPr>
            <w:r w:rsidRPr="00D775E0">
              <w:rPr>
                <w:sz w:val="18"/>
                <w:szCs w:val="18"/>
              </w:rPr>
              <w:t xml:space="preserve">no new sources will become subject over the three-year period of this ICR. </w:t>
            </w:r>
          </w:p>
        </w:tc>
      </w:tr>
      <w:tr w14:paraId="52A1BCEC" w14:textId="77777777" w:rsidTr="00D775E0">
        <w:tblPrEx>
          <w:tblW w:w="15180" w:type="dxa"/>
          <w:tblInd w:w="-9" w:type="dxa"/>
          <w:tblLayout w:type="fixed"/>
          <w:tblCellMar>
            <w:left w:w="108" w:type="dxa"/>
            <w:right w:w="108" w:type="dxa"/>
          </w:tblCellMar>
          <w:tblLook w:val="04A0"/>
        </w:tblPrEx>
        <w:trPr>
          <w:trHeight w:val="645"/>
        </w:trPr>
        <w:tc>
          <w:tcPr>
            <w:tcW w:w="15180" w:type="dxa"/>
            <w:gridSpan w:val="9"/>
            <w:tcBorders>
              <w:top w:val="nil"/>
              <w:left w:val="nil"/>
              <w:bottom w:val="nil"/>
              <w:right w:val="nil"/>
            </w:tcBorders>
            <w:shd w:val="clear" w:color="auto" w:fill="auto"/>
            <w:vAlign w:val="center"/>
            <w:hideMark/>
          </w:tcPr>
          <w:p w:rsidR="00D775E0" w:rsidRPr="00D775E0" w:rsidP="00D775E0" w14:paraId="44CE4A1A" w14:textId="77777777">
            <w:pPr>
              <w:pStyle w:val="NoSpacing"/>
              <w:rPr>
                <w:sz w:val="18"/>
                <w:szCs w:val="18"/>
              </w:rPr>
            </w:pPr>
            <w:r w:rsidRPr="00D775E0">
              <w:rPr>
                <w:sz w:val="18"/>
                <w:szCs w:val="18"/>
                <w:vertAlign w:val="superscript"/>
              </w:rPr>
              <w:t xml:space="preserve">2 </w:t>
            </w:r>
            <w:r w:rsidRPr="00D775E0">
              <w:rPr>
                <w:sz w:val="18"/>
                <w:szCs w:val="18"/>
              </w:rPr>
              <w:t xml:space="preserve">Annualized cost for Method 29 stack sampling for mercury on 17 process units outside of Nevada. Facilities in Nevada </w:t>
            </w:r>
          </w:p>
          <w:p w:rsidR="00D775E0" w:rsidRPr="00D775E0" w:rsidP="00D775E0" w14:paraId="38FD9F69" w14:textId="77777777">
            <w:pPr>
              <w:pStyle w:val="NoSpacing"/>
              <w:rPr>
                <w:sz w:val="18"/>
                <w:szCs w:val="18"/>
              </w:rPr>
            </w:pPr>
            <w:r w:rsidRPr="00D775E0">
              <w:rPr>
                <w:sz w:val="18"/>
                <w:szCs w:val="18"/>
              </w:rPr>
              <w:t xml:space="preserve">already perform annual sampling and analysis for mercury to comply with the Nevada Division of Environmental </w:t>
            </w:r>
          </w:p>
          <w:p w:rsidR="00D775E0" w:rsidRPr="00D775E0" w:rsidP="00D775E0" w14:paraId="74D9626C" w14:textId="77777777">
            <w:pPr>
              <w:pStyle w:val="NoSpacing"/>
              <w:rPr>
                <w:sz w:val="18"/>
                <w:szCs w:val="18"/>
              </w:rPr>
            </w:pPr>
            <w:r w:rsidRPr="00D775E0">
              <w:rPr>
                <w:sz w:val="18"/>
                <w:szCs w:val="18"/>
              </w:rPr>
              <w:t xml:space="preserve">Protection. Consequently, those facilities will not incur any additional stack testing burden under this rule. </w:t>
            </w:r>
          </w:p>
        </w:tc>
      </w:tr>
      <w:tr w14:paraId="793D58EC" w14:textId="77777777" w:rsidTr="00D775E0">
        <w:tblPrEx>
          <w:tblW w:w="15180" w:type="dxa"/>
          <w:tblInd w:w="-9" w:type="dxa"/>
          <w:tblLayout w:type="fixed"/>
          <w:tblCellMar>
            <w:left w:w="108" w:type="dxa"/>
            <w:right w:w="108" w:type="dxa"/>
          </w:tblCellMar>
          <w:tblLook w:val="04A0"/>
        </w:tblPrEx>
        <w:trPr>
          <w:trHeight w:val="315"/>
        </w:trPr>
        <w:tc>
          <w:tcPr>
            <w:tcW w:w="15180" w:type="dxa"/>
            <w:gridSpan w:val="9"/>
            <w:tcBorders>
              <w:top w:val="nil"/>
              <w:left w:val="nil"/>
              <w:bottom w:val="nil"/>
              <w:right w:val="nil"/>
            </w:tcBorders>
            <w:shd w:val="clear" w:color="auto" w:fill="auto"/>
            <w:hideMark/>
          </w:tcPr>
          <w:p w:rsidR="00D775E0" w:rsidRPr="00D775E0" w:rsidP="00D775E0" w14:paraId="21D994F5" w14:textId="77777777">
            <w:pPr>
              <w:pStyle w:val="NoSpacing"/>
              <w:rPr>
                <w:sz w:val="18"/>
                <w:szCs w:val="18"/>
              </w:rPr>
            </w:pPr>
            <w:r w:rsidRPr="00D775E0">
              <w:rPr>
                <w:sz w:val="18"/>
                <w:szCs w:val="18"/>
                <w:vertAlign w:val="superscript"/>
              </w:rPr>
              <w:t>3</w:t>
            </w:r>
            <w:r w:rsidRPr="00D775E0">
              <w:rPr>
                <w:sz w:val="18"/>
                <w:szCs w:val="18"/>
              </w:rPr>
              <w:t xml:space="preserve"> O&amp;M costs are for materials and supplies (e.g., sorbent trap tubes, calibration standards) estimated as 5% of the </w:t>
            </w:r>
          </w:p>
          <w:p w:rsidR="00D775E0" w:rsidRPr="00D775E0" w:rsidP="00D775E0" w14:paraId="33345212" w14:textId="77777777">
            <w:pPr>
              <w:pStyle w:val="NoSpacing"/>
              <w:rPr>
                <w:sz w:val="18"/>
                <w:szCs w:val="18"/>
              </w:rPr>
            </w:pPr>
            <w:r w:rsidRPr="00D775E0">
              <w:rPr>
                <w:sz w:val="18"/>
                <w:szCs w:val="18"/>
              </w:rPr>
              <w:t>installed capital cost ($1.34 million).</w:t>
            </w:r>
          </w:p>
        </w:tc>
      </w:tr>
      <w:tr w14:paraId="4C7C0C51" w14:textId="77777777" w:rsidTr="00D775E0">
        <w:tblPrEx>
          <w:tblW w:w="15180" w:type="dxa"/>
          <w:tblInd w:w="-9" w:type="dxa"/>
          <w:tblLayout w:type="fixed"/>
          <w:tblCellMar>
            <w:left w:w="108" w:type="dxa"/>
            <w:right w:w="108" w:type="dxa"/>
          </w:tblCellMar>
          <w:tblLook w:val="04A0"/>
        </w:tblPrEx>
        <w:trPr>
          <w:trHeight w:val="315"/>
        </w:trPr>
        <w:tc>
          <w:tcPr>
            <w:tcW w:w="15180" w:type="dxa"/>
            <w:gridSpan w:val="9"/>
            <w:tcBorders>
              <w:top w:val="nil"/>
              <w:left w:val="nil"/>
              <w:bottom w:val="nil"/>
              <w:right w:val="nil"/>
            </w:tcBorders>
            <w:shd w:val="clear" w:color="auto" w:fill="auto"/>
            <w:hideMark/>
          </w:tcPr>
          <w:p w:rsidR="00D775E0" w:rsidP="00D775E0" w14:paraId="28120EF4" w14:textId="77777777">
            <w:pPr>
              <w:pStyle w:val="NoSpacing"/>
              <w:rPr>
                <w:sz w:val="18"/>
                <w:szCs w:val="18"/>
              </w:rPr>
            </w:pPr>
            <w:r w:rsidRPr="00D775E0">
              <w:rPr>
                <w:sz w:val="18"/>
                <w:szCs w:val="18"/>
                <w:vertAlign w:val="superscript"/>
              </w:rPr>
              <w:t>4</w:t>
            </w:r>
            <w:r w:rsidRPr="00D775E0">
              <w:rPr>
                <w:sz w:val="18"/>
                <w:szCs w:val="18"/>
              </w:rPr>
              <w:t xml:space="preserve"> Totals have been rounded to 3 significant digits. Figures may not add exactly due to rounding. </w:t>
            </w:r>
          </w:p>
          <w:p w:rsidR="00D775E0" w:rsidRPr="00D775E0" w:rsidP="00D775E0" w14:paraId="41895483" w14:textId="77777777">
            <w:pPr>
              <w:pStyle w:val="NoSpacing"/>
              <w:rPr>
                <w:sz w:val="18"/>
                <w:szCs w:val="18"/>
              </w:rPr>
            </w:pPr>
          </w:p>
        </w:tc>
      </w:tr>
    </w:tbl>
    <w:p w:rsidR="00D775E0" w:rsidP="00D775E0" w14:paraId="3F25756F"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The total capital/startup costs for this ICR are </w:t>
      </w:r>
      <w:r w:rsidRPr="00D312CD">
        <w:t xml:space="preserve">$0. </w:t>
      </w:r>
      <w:r>
        <w:rPr>
          <w:color w:val="000000"/>
        </w:rPr>
        <w:t xml:space="preserve">This is the total of column D in the above table. </w:t>
      </w:r>
    </w:p>
    <w:p w:rsidR="00D775E0" w:rsidP="00D775E0" w14:paraId="5E25CCF8"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The total operation and maintenance (O&amp;M) costs for this ICR are </w:t>
      </w:r>
      <w:bookmarkStart w:id="22" w:name="_Hlk154059251"/>
      <w:r w:rsidRPr="00D312CD">
        <w:t>$227,000</w:t>
      </w:r>
      <w:bookmarkEnd w:id="22"/>
      <w:r w:rsidRPr="00D312CD">
        <w:t xml:space="preserve">. This </w:t>
      </w:r>
      <w:r>
        <w:rPr>
          <w:color w:val="000000"/>
        </w:rPr>
        <w:t xml:space="preserve">is the total of column G. </w:t>
      </w:r>
    </w:p>
    <w:p w:rsidR="00D775E0" w:rsidP="00D775E0" w14:paraId="718F748D" w14:textId="77777777">
      <w:pPr>
        <w:pBdr>
          <w:top w:val="single" w:sz="6" w:space="0" w:color="FFFFFF"/>
          <w:left w:val="single" w:sz="6" w:space="0" w:color="FFFFFF"/>
          <w:bottom w:val="single" w:sz="6" w:space="0" w:color="FFFFFF"/>
          <w:right w:val="single" w:sz="6" w:space="0" w:color="FFFFFF"/>
        </w:pBdr>
      </w:pPr>
      <w:r>
        <w:rPr>
          <w:color w:val="000000"/>
        </w:rPr>
        <w:t xml:space="preserve">The </w:t>
      </w:r>
      <w:r w:rsidRPr="00D775E0">
        <w:rPr>
          <w:b/>
          <w:bCs/>
          <w:color w:val="000000"/>
        </w:rPr>
        <w:t>average annual cost for capital/startup and operation and maintenance costs</w:t>
      </w:r>
      <w:r>
        <w:rPr>
          <w:color w:val="000000"/>
        </w:rPr>
        <w:t xml:space="preserve"> to industry over the next three y</w:t>
      </w:r>
      <w:r w:rsidRPr="00A83781">
        <w:t xml:space="preserve">ears of the ICR is estimated to be </w:t>
      </w:r>
      <w:r w:rsidRPr="00D775E0">
        <w:rPr>
          <w:b/>
          <w:bCs/>
        </w:rPr>
        <w:t>$227,000</w:t>
      </w:r>
      <w:r w:rsidRPr="00A83781">
        <w:t xml:space="preserve">. These are </w:t>
      </w:r>
      <w:r w:rsidRPr="00D775E0">
        <w:rPr>
          <w:b/>
          <w:bCs/>
        </w:rPr>
        <w:t>recordkeeping costs</w:t>
      </w:r>
      <w:r w:rsidRPr="00A83781">
        <w:t xml:space="preserve">. </w:t>
      </w:r>
    </w:p>
    <w:p w:rsidR="00023EFE" w:rsidRPr="00163C69" w:rsidP="00854AAE" w14:paraId="34F6DE81" w14:textId="77777777">
      <w:pPr>
        <w:pStyle w:val="ListParagraph"/>
        <w:numPr>
          <w:ilvl w:val="0"/>
          <w:numId w:val="25"/>
        </w:numPr>
        <w:pBdr>
          <w:bottom w:val="single" w:sz="4" w:space="1" w:color="auto"/>
        </w:pBdr>
        <w:spacing w:before="240" w:after="0"/>
        <w:rPr>
          <w:rFonts w:cstheme="minorHAnsi"/>
          <w:b/>
          <w:bCs/>
        </w:rPr>
      </w:pPr>
      <w:bookmarkStart w:id="23" w:name="_Toc156593387"/>
      <w:r w:rsidRPr="4BDBF0A0">
        <w:rPr>
          <w:b/>
          <w:bCs/>
        </w:rPr>
        <w:t xml:space="preserve">AGENCY </w:t>
      </w:r>
      <w:bookmarkStart w:id="24" w:name="_Toc156593388"/>
      <w:bookmarkEnd w:id="23"/>
      <w:r w:rsidRPr="4BDBF0A0" w:rsidR="00BB2B15">
        <w:rPr>
          <w:b/>
          <w:bCs/>
        </w:rPr>
        <w:t>COSTS</w:t>
      </w:r>
    </w:p>
    <w:p w:rsidR="001F0834" w:rsidRPr="001F0834" w:rsidP="00854AAE" w14:paraId="7DC2CAE2"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34EE4001" w14:textId="77777777">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A22DC4" w:rsidP="00A22DC4" w14:paraId="76FA19D6" w14:textId="3F944127">
      <w:pPr>
        <w:pBdr>
          <w:top w:val="single" w:sz="6" w:space="0" w:color="FFFFFF"/>
          <w:left w:val="single" w:sz="6" w:space="0" w:color="FFFFFF"/>
          <w:bottom w:val="single" w:sz="6" w:space="0" w:color="FFFFFF"/>
          <w:right w:val="single" w:sz="6" w:space="0" w:color="FFFFFF"/>
        </w:pBdr>
        <w:rPr>
          <w:color w:val="000000"/>
        </w:rPr>
      </w:pPr>
      <w:r>
        <w:rPr>
          <w:color w:val="000000"/>
        </w:rPr>
        <w:t>EPA conducts the following activities in connection with the acquisition, analysis, storage, and distribution of the required information.</w:t>
      </w:r>
    </w:p>
    <w:tbl>
      <w:tblPr>
        <w:tblStyle w:val="TableGrid"/>
        <w:tblW w:w="9625" w:type="dxa"/>
        <w:tblLook w:val="04A0"/>
      </w:tblPr>
      <w:tblGrid>
        <w:gridCol w:w="9625"/>
      </w:tblGrid>
      <w:tr w14:paraId="5E849F48" w14:textId="77777777" w:rsidTr="008C0EA7">
        <w:tblPrEx>
          <w:tblW w:w="9625" w:type="dxa"/>
          <w:tblLook w:val="04A0"/>
        </w:tblPrEx>
        <w:trPr>
          <w:trHeight w:val="432"/>
        </w:trPr>
        <w:tc>
          <w:tcPr>
            <w:tcW w:w="9625" w:type="dxa"/>
          </w:tcPr>
          <w:p w:rsidR="00A22DC4" w:rsidRPr="00E835B0" w:rsidP="008C0EA7" w14:paraId="73BE16FB" w14:textId="77777777">
            <w:pPr>
              <w:jc w:val="center"/>
              <w:rPr>
                <w:b/>
                <w:bCs/>
                <w:color w:val="000000"/>
              </w:rPr>
            </w:pPr>
            <w:r>
              <w:rPr>
                <w:b/>
                <w:bCs/>
                <w:color w:val="000000"/>
              </w:rPr>
              <w:t>Agency Activities</w:t>
            </w:r>
          </w:p>
        </w:tc>
      </w:tr>
      <w:tr w14:paraId="36D806CA" w14:textId="77777777" w:rsidTr="008C0EA7">
        <w:tblPrEx>
          <w:tblW w:w="9625" w:type="dxa"/>
          <w:tblLook w:val="04A0"/>
        </w:tblPrEx>
        <w:trPr>
          <w:trHeight w:val="701"/>
        </w:trPr>
        <w:tc>
          <w:tcPr>
            <w:tcW w:w="9625" w:type="dxa"/>
            <w:vAlign w:val="center"/>
          </w:tcPr>
          <w:p w:rsidR="00A22DC4" w:rsidP="008C0EA7" w14:paraId="20DF6FFD" w14:textId="77777777">
            <w:pPr>
              <w:rPr>
                <w:color w:val="000000"/>
              </w:rPr>
            </w:pPr>
            <w:r w:rsidRPr="00E835B0">
              <w:rPr>
                <w:color w:val="000000"/>
              </w:rPr>
              <w:t>Review notifications and reports, including performance test reports, and excess emissions reports, required to be submitted by industry.</w:t>
            </w:r>
          </w:p>
        </w:tc>
      </w:tr>
      <w:tr w14:paraId="66F40EE9" w14:textId="77777777" w:rsidTr="008C0EA7">
        <w:tblPrEx>
          <w:tblW w:w="9625" w:type="dxa"/>
          <w:tblLook w:val="04A0"/>
        </w:tblPrEx>
        <w:trPr>
          <w:trHeight w:val="432"/>
        </w:trPr>
        <w:tc>
          <w:tcPr>
            <w:tcW w:w="9625" w:type="dxa"/>
            <w:vAlign w:val="center"/>
          </w:tcPr>
          <w:p w:rsidR="00A22DC4" w:rsidP="008C0EA7" w14:paraId="188950F9" w14:textId="77777777">
            <w:pPr>
              <w:rPr>
                <w:color w:val="000000"/>
              </w:rPr>
            </w:pPr>
            <w:r w:rsidRPr="00E835B0">
              <w:rPr>
                <w:color w:val="000000"/>
              </w:rPr>
              <w:t>Audit facility records.</w:t>
            </w:r>
          </w:p>
        </w:tc>
      </w:tr>
      <w:tr w14:paraId="0C12EFDB" w14:textId="77777777" w:rsidTr="008C0EA7">
        <w:tblPrEx>
          <w:tblW w:w="9625" w:type="dxa"/>
          <w:tblLook w:val="04A0"/>
        </w:tblPrEx>
        <w:trPr>
          <w:trHeight w:val="692"/>
        </w:trPr>
        <w:tc>
          <w:tcPr>
            <w:tcW w:w="9625" w:type="dxa"/>
            <w:vAlign w:val="center"/>
          </w:tcPr>
          <w:p w:rsidR="00A22DC4" w:rsidP="008C0EA7" w14:paraId="3BECF229" w14:textId="77777777">
            <w:pPr>
              <w:rPr>
                <w:color w:val="000000"/>
              </w:rPr>
            </w:pPr>
            <w:r w:rsidRPr="00E835B0">
              <w:rPr>
                <w:color w:val="000000"/>
              </w:rPr>
              <w:t>Input, analyze, and maintain data in the Enforcement and Compliance History Online (ECHO) and ICIS.</w:t>
            </w:r>
          </w:p>
        </w:tc>
      </w:tr>
    </w:tbl>
    <w:p w:rsidR="00A22DC4" w:rsidP="00A22DC4" w14:paraId="34A46A89" w14:textId="77777777">
      <w:pPr>
        <w:pBdr>
          <w:top w:val="single" w:sz="6" w:space="0" w:color="FFFFFF"/>
          <w:left w:val="single" w:sz="6" w:space="0" w:color="FFFFFF"/>
          <w:bottom w:val="single" w:sz="6" w:space="0" w:color="FFFFFF"/>
          <w:right w:val="single" w:sz="6" w:space="0" w:color="FFFFFF"/>
        </w:pBdr>
        <w:rPr>
          <w:color w:val="000000"/>
        </w:rPr>
      </w:pPr>
    </w:p>
    <w:p w:rsidR="00A22DC4" w:rsidRPr="00A22DC4" w:rsidP="00A22DC4" w14:paraId="3782662B" w14:textId="1EC94EC3">
      <w:pPr>
        <w:pBdr>
          <w:top w:val="single" w:sz="6" w:space="0" w:color="FFFFFF"/>
          <w:left w:val="single" w:sz="6" w:space="0" w:color="FFFFFF"/>
          <w:bottom w:val="single" w:sz="6" w:space="0" w:color="FFFFFF"/>
          <w:right w:val="single" w:sz="6" w:space="0" w:color="FFFFFF"/>
        </w:pBdr>
      </w:pPr>
      <w:r w:rsidRPr="009A0588">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w:t>
      </w:r>
      <w:r>
        <w:t>s</w:t>
      </w:r>
      <w:r w:rsidRPr="009A0588">
        <w:t xml:space="preserve"> and note the operating conditions under which compliance was achieved. </w:t>
      </w:r>
      <w:r>
        <w:rPr>
          <w:color w:val="000000"/>
        </w:rPr>
        <w:t xml:space="preserve">Data and records maintained by the respondents are tabulated and published for use in compliance and enforcement programs. </w:t>
      </w:r>
      <w:r w:rsidRPr="009A0588">
        <w:t>The semiannual reports are used for problem identification, as a check on source operation and maintenance, and for compliance determinations.</w:t>
      </w:r>
    </w:p>
    <w:p w:rsidR="00A22DC4" w:rsidRPr="00A22DC4" w:rsidP="00A22DC4" w14:paraId="409170F5" w14:textId="5E4DD54E">
      <w:pPr>
        <w:pBdr>
          <w:top w:val="single" w:sz="6" w:space="0" w:color="FFFFFF"/>
          <w:left w:val="single" w:sz="6" w:space="0" w:color="FFFFFF"/>
          <w:bottom w:val="single" w:sz="6" w:space="0" w:color="FFFFFF"/>
          <w:right w:val="single" w:sz="6" w:space="0" w:color="FFFFFF"/>
        </w:pBdr>
      </w:pPr>
      <w:r>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009F1E00" w:rsidRPr="00A22DC4" w:rsidP="00A22DC4" w14:paraId="331A429A" w14:textId="1B81344B">
      <w:pPr>
        <w:pBdr>
          <w:top w:val="single" w:sz="6" w:space="0" w:color="FFFFFF"/>
          <w:left w:val="single" w:sz="6" w:space="0" w:color="FFFFFF"/>
          <w:bottom w:val="single" w:sz="6" w:space="0" w:color="FFFFFF"/>
          <w:right w:val="single" w:sz="6" w:space="0" w:color="FFFFFF"/>
        </w:pBdr>
        <w:rPr>
          <w:color w:val="000000"/>
        </w:rPr>
      </w:pPr>
      <w:r>
        <w:rPr>
          <w:color w:val="000000"/>
        </w:rPr>
        <w:t xml:space="preserve">The records required by this regulation must be retained by the owner/operator for </w:t>
      </w:r>
      <w:r w:rsidRPr="0056799C">
        <w:t xml:space="preserve">five </w:t>
      </w:r>
      <w:r>
        <w:rPr>
          <w:color w:val="000000"/>
        </w:rPr>
        <w:t>years.</w:t>
      </w:r>
    </w:p>
    <w:p w:rsidR="00023EFE" w:rsidRPr="00163C69" w:rsidP="00854AAE" w14:paraId="1179D86D" w14:textId="7D0E84D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Cost</w:t>
      </w:r>
      <w:r w:rsidR="000570B3">
        <w:rPr>
          <w:rFonts w:eastAsiaTheme="majorEastAsia" w:cstheme="minorHAnsi"/>
          <w:b/>
          <w:bCs/>
        </w:rPr>
        <w:t>s</w:t>
      </w:r>
    </w:p>
    <w:p w:rsidR="007B6593" w:rsidRPr="007B6593" w:rsidP="007B6593" w14:paraId="7A4A82DA" w14:textId="0DA560B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B6593">
        <w:rPr>
          <w:rFonts w:cstheme="minorHAnsi"/>
          <w:color w:val="000000"/>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7B6593" w:rsidRPr="007B6593" w:rsidP="007B6593" w14:paraId="4710A5E8" w14:textId="3081D58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B6593">
        <w:rPr>
          <w:rFonts w:cstheme="minorHAnsi"/>
          <w:color w:val="000000"/>
        </w:rPr>
        <w:t xml:space="preserve">The </w:t>
      </w:r>
      <w:r w:rsidRPr="009053FD">
        <w:rPr>
          <w:rFonts w:cstheme="minorHAnsi"/>
          <w:b/>
          <w:bCs/>
          <w:color w:val="000000"/>
        </w:rPr>
        <w:t>average annual Agency cost</w:t>
      </w:r>
      <w:r w:rsidRPr="007B6593">
        <w:rPr>
          <w:rFonts w:cstheme="minorHAnsi"/>
          <w:color w:val="000000"/>
        </w:rPr>
        <w:t xml:space="preserve"> during the three years of the ICR is estimated to be </w:t>
      </w:r>
      <w:r w:rsidRPr="009053FD">
        <w:rPr>
          <w:rFonts w:cstheme="minorHAnsi"/>
          <w:b/>
          <w:bCs/>
          <w:color w:val="000000"/>
        </w:rPr>
        <w:t>$3,280</w:t>
      </w:r>
      <w:r w:rsidRPr="007B6593">
        <w:rPr>
          <w:rFonts w:cstheme="minorHAnsi"/>
          <w:color w:val="000000"/>
        </w:rPr>
        <w:t xml:space="preserve">. </w:t>
      </w:r>
    </w:p>
    <w:p w:rsidR="007B6593" w:rsidRPr="007B6593" w:rsidP="007B6593" w14:paraId="3E977FB8" w14:textId="2B1C992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B6593">
        <w:rPr>
          <w:rFonts w:cstheme="minorHAnsi"/>
          <w:color w:val="000000"/>
        </w:rPr>
        <w:t>This cost is based on the average hourly labor rate as follows:</w:t>
      </w:r>
    </w:p>
    <w:p w:rsidR="007B6593" w:rsidRPr="009053FD" w:rsidP="009053FD" w14:paraId="550B7C93" w14:textId="60350494">
      <w:pPr>
        <w:pStyle w:val="ListParagraph"/>
        <w:numPr>
          <w:ilvl w:val="0"/>
          <w:numId w:val="29"/>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053FD">
        <w:rPr>
          <w:rFonts w:cstheme="minorHAnsi"/>
          <w:color w:val="000000"/>
        </w:rPr>
        <w:t>Managerial</w:t>
      </w:r>
      <w:r w:rsidRPr="009053FD">
        <w:rPr>
          <w:rFonts w:cstheme="minorHAnsi"/>
          <w:color w:val="000000"/>
        </w:rPr>
        <w:tab/>
        <w:t>$73.46 (GS-13, Step 5, $45.91 + 60%)</w:t>
      </w:r>
    </w:p>
    <w:p w:rsidR="007B6593" w:rsidRPr="009053FD" w:rsidP="009053FD" w14:paraId="34B6FF3A" w14:textId="575005E2">
      <w:pPr>
        <w:pStyle w:val="ListParagraph"/>
        <w:numPr>
          <w:ilvl w:val="0"/>
          <w:numId w:val="29"/>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053FD">
        <w:rPr>
          <w:rFonts w:cstheme="minorHAnsi"/>
          <w:color w:val="000000"/>
        </w:rPr>
        <w:t>Technical</w:t>
      </w:r>
      <w:r w:rsidRPr="009053FD">
        <w:rPr>
          <w:rFonts w:cstheme="minorHAnsi"/>
          <w:color w:val="000000"/>
        </w:rPr>
        <w:tab/>
        <w:t>$54.51 (GS-12, Step 1, $34.07 + 60%)</w:t>
      </w:r>
    </w:p>
    <w:p w:rsidR="007B6593" w:rsidRPr="009053FD" w:rsidP="009053FD" w14:paraId="5FE0DE50" w14:textId="46608F90">
      <w:pPr>
        <w:pStyle w:val="ListParagraph"/>
        <w:numPr>
          <w:ilvl w:val="0"/>
          <w:numId w:val="29"/>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053FD">
        <w:rPr>
          <w:rFonts w:cstheme="minorHAnsi"/>
          <w:color w:val="000000"/>
        </w:rPr>
        <w:t>Clerical</w:t>
      </w:r>
      <w:r w:rsidRPr="009053FD">
        <w:rPr>
          <w:rFonts w:cstheme="minorHAnsi"/>
          <w:color w:val="000000"/>
        </w:rPr>
        <w:tab/>
      </w:r>
      <w:r w:rsidR="009053FD">
        <w:rPr>
          <w:rFonts w:cstheme="minorHAnsi"/>
          <w:color w:val="000000"/>
        </w:rPr>
        <w:tab/>
      </w:r>
      <w:r w:rsidRPr="009053FD">
        <w:rPr>
          <w:rFonts w:cstheme="minorHAnsi"/>
          <w:color w:val="000000"/>
        </w:rPr>
        <w:t>$29.50 (GS-6, Step 3, $18.44 + 60%)</w:t>
      </w:r>
    </w:p>
    <w:p w:rsidR="00BB3410" w:rsidP="007B6593" w14:paraId="0A709635" w14:textId="50BD7E8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B6593">
        <w:rPr>
          <w:rFonts w:cstheme="minorHAnsi"/>
          <w:color w:val="000000"/>
        </w:rPr>
        <w:t>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NESHAP for Gold Mine Ore Processing (40 CFR Part 63, Subpart EEEEEEE) (Renewal).</w:t>
      </w:r>
    </w:p>
    <w:p w:rsidR="007B6593" w:rsidRPr="007B6593" w:rsidP="007B6593" w14:paraId="31785293" w14:textId="7F7F034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B6593">
        <w:rPr>
          <w:rFonts w:cstheme="minorHAnsi"/>
          <w:color w:val="000000"/>
        </w:rPr>
        <w:t xml:space="preserve">The average annual Agency burden and cost over next three years is estimated to be 48 labor hours at a cost of $3,280. See Table 2: Average Annual EPA Burden and Cost – NESHAP for Gold Mine Ore Processing (40 CFR Part 63, Subpart EEEEEEE) (Renewal). </w:t>
      </w:r>
    </w:p>
    <w:p w:rsidR="007B6593" w:rsidRPr="00BB3410" w:rsidP="007B6593" w14:paraId="127ABA69" w14:textId="7004B16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B6593">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4620CA" w:rsidRPr="00163C69" w:rsidP="4BDBF0A0" w14:paraId="57EFF226" w14:textId="77777777">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4"/>
    </w:p>
    <w:p w:rsidR="001F0834" w:rsidRPr="001F0834" w:rsidP="00854AAE" w14:paraId="2B299245"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D57A4" w:rsidRPr="009053FD" w:rsidP="00854AAE" w14:paraId="74DD1B35" w14:textId="0CC2E772">
      <w:pPr>
        <w:pBdr>
          <w:top w:val="single" w:sz="6" w:space="0" w:color="FFFFFF"/>
          <w:left w:val="single" w:sz="6" w:space="0" w:color="FFFFFF"/>
          <w:bottom w:val="single" w:sz="6" w:space="0" w:color="FFFFFF"/>
          <w:right w:val="single" w:sz="6" w:space="0" w:color="FFFFFF"/>
        </w:pBdr>
        <w:rPr>
          <w:rFonts w:cstheme="minorHAnsi"/>
        </w:rPr>
      </w:pPr>
      <w:r w:rsidRPr="009053FD">
        <w:rPr>
          <w:rFonts w:cstheme="minorHAnsi"/>
        </w:rPr>
        <w:t>There is no change in burden from the most recently approved ICR as currently identified in the OMB Inventory of Approved Burdens. This is due to two considerations. First, the regulations have not changed over the past three years and are not anticipated to change over the next three years. Second, the growth rate for this industry is very low or non-existent, so there is no significant change in the overall burden. Since there are no changes in the regulatory requirements and there is no significant industry growth, there are also no changes in the capital/startup or operation and maintenance (O&amp;M) costs. There is a slight increase in costs, which is wholly due to the use of updated labor rates. This ICR uses labor rates from the most recent Bureau of Labor Statistics report (September 2022) to calculate respondent burden costs.</w:t>
      </w:r>
    </w:p>
    <w:p w:rsidR="005D140B" w:rsidRPr="00163C69" w:rsidP="4BDBF0A0" w14:paraId="6169BEA8" w14:textId="77777777">
      <w:pPr>
        <w:pStyle w:val="ListParagraph"/>
        <w:numPr>
          <w:ilvl w:val="0"/>
          <w:numId w:val="27"/>
        </w:numPr>
        <w:spacing w:before="240" w:after="0"/>
        <w:rPr>
          <w:b/>
          <w:bCs/>
        </w:rPr>
      </w:pPr>
      <w:bookmarkStart w:id="25" w:name="_Toc156593389"/>
      <w:r w:rsidRPr="4BDBF0A0">
        <w:rPr>
          <w:b/>
          <w:bCs/>
        </w:rPr>
        <w:t xml:space="preserve">PUBLICATION OF </w:t>
      </w:r>
      <w:bookmarkStart w:id="26" w:name="_Toc156593390"/>
      <w:bookmarkEnd w:id="25"/>
      <w:r w:rsidR="00E73E81">
        <w:rPr>
          <w:b/>
          <w:bCs/>
        </w:rPr>
        <w:t>DATA</w:t>
      </w:r>
    </w:p>
    <w:p w:rsidR="001F0834" w:rsidRPr="001F0834" w:rsidP="00854AAE" w14:paraId="30C41D5B"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DF743F" w:rsidP="00854AAE" w14:paraId="6EA6FC3B" w14:textId="6DF2A000">
      <w:pPr>
        <w:pBdr>
          <w:top w:val="single" w:sz="6" w:space="0" w:color="FFFFFF"/>
          <w:left w:val="single" w:sz="6" w:space="0" w:color="FFFFFF"/>
          <w:bottom w:val="single" w:sz="6" w:space="0" w:color="FFFFFF"/>
          <w:right w:val="single" w:sz="6" w:space="0" w:color="FFFFFF"/>
        </w:pBdr>
        <w:rPr>
          <w:color w:val="FF0000"/>
        </w:rPr>
      </w:pPr>
      <w:r w:rsidRPr="007025A2">
        <w:t xml:space="preserve">All non-CBI data submitted electronically to the Agency through CEDRI are available to the public for review and printing and are accessible using </w:t>
      </w:r>
      <w:r w:rsidRPr="007025A2">
        <w:t>WebFIRE</w:t>
      </w:r>
      <w:r w:rsidRPr="007025A2">
        <w:t>.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627768" w:rsidRPr="00163C69" w:rsidP="4BDBF0A0" w14:paraId="17274AEA" w14:textId="77777777">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6"/>
      <w:r w:rsidRPr="4BDBF0A0" w:rsidR="00644EBE">
        <w:rPr>
          <w:b/>
          <w:bCs/>
        </w:rPr>
        <w:t xml:space="preserve"> </w:t>
      </w:r>
    </w:p>
    <w:p w:rsidR="001F0834" w:rsidRPr="00F532D6" w:rsidP="00854AAE" w14:paraId="5971A0A3"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854AAE" w14:paraId="772C7ECE" w14:textId="12F7C879">
      <w:pPr>
        <w:pBdr>
          <w:top w:val="single" w:sz="6" w:space="0" w:color="FFFFFF"/>
          <w:left w:val="single" w:sz="6" w:space="0" w:color="FFFFFF"/>
          <w:bottom w:val="single" w:sz="6" w:space="0" w:color="FFFFFF"/>
          <w:right w:val="single" w:sz="6" w:space="0" w:color="FFFFFF"/>
        </w:pBdr>
      </w:pPr>
      <w:r w:rsidRPr="000570B3">
        <w:t>All instruments will display the expiration date for OMB approval of the information collection.</w:t>
      </w:r>
    </w:p>
    <w:p w:rsidR="00691828" w:rsidRPr="00163C69" w:rsidP="00854AAE" w14:paraId="01098CC4" w14:textId="77777777">
      <w:pPr>
        <w:pStyle w:val="ListParagraph"/>
        <w:numPr>
          <w:ilvl w:val="0"/>
          <w:numId w:val="27"/>
        </w:numPr>
        <w:spacing w:before="240" w:after="0"/>
        <w:rPr>
          <w:rFonts w:cstheme="minorHAnsi"/>
          <w:b/>
          <w:bCs/>
        </w:rPr>
      </w:pPr>
      <w:bookmarkStart w:id="27" w:name="_Toc156593391"/>
      <w:r w:rsidRPr="00163C69">
        <w:rPr>
          <w:rFonts w:cstheme="minorHAnsi"/>
          <w:b/>
          <w:bCs/>
        </w:rPr>
        <w:t>CERTIFICATION STATEMENT</w:t>
      </w:r>
      <w:bookmarkEnd w:id="27"/>
    </w:p>
    <w:p w:rsidR="001F0834" w:rsidRPr="001F0834" w:rsidP="00854AAE" w14:paraId="6669EC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BB3410" w:rsidP="00DE7D97" w14:paraId="089A5F07" w14:textId="366550BC">
      <w:pPr>
        <w:pBdr>
          <w:top w:val="single" w:sz="6" w:space="0" w:color="FFFFFF"/>
          <w:left w:val="single" w:sz="6" w:space="0" w:color="FFFFFF"/>
          <w:bottom w:val="single" w:sz="6" w:space="0" w:color="FFFFFF"/>
          <w:right w:val="single" w:sz="6" w:space="0" w:color="FFFFFF"/>
        </w:pBdr>
      </w:pPr>
      <w:r w:rsidRPr="000570B3">
        <w:t>EPA does not seek any exceptions to the topics for the certification statement identified in the “Certification for Paperwork Reduction Act Submissions.”</w:t>
      </w:r>
    </w:p>
    <w:p w:rsidR="009A2F1F" w14:paraId="2A300C2A" w14:textId="77E61125">
      <w:r>
        <w:br w:type="page"/>
      </w:r>
    </w:p>
    <w:p w:rsidR="00880845" w:rsidRPr="009A2F1F" w:rsidP="00DE7D97" w14:paraId="502CBEC0" w14:textId="587266AF">
      <w:pPr>
        <w:pBdr>
          <w:top w:val="single" w:sz="6" w:space="0" w:color="FFFFFF"/>
          <w:left w:val="single" w:sz="6" w:space="0" w:color="FFFFFF"/>
          <w:bottom w:val="single" w:sz="6" w:space="0" w:color="FFFFFF"/>
          <w:right w:val="single" w:sz="6" w:space="0" w:color="FFFFFF"/>
        </w:pBdr>
        <w:rPr>
          <w:b/>
          <w:bCs/>
        </w:rPr>
      </w:pPr>
      <w:r w:rsidRPr="009A2F1F">
        <w:rPr>
          <w:b/>
          <w:bCs/>
        </w:rPr>
        <w:t>Table 1: Annual Respondent Burden and Cost – NESHAP for Gold Mine Ore Processing (40 CFR Part 63, Subpart EEEEEEE) (Renewal)</w:t>
      </w:r>
    </w:p>
    <w:tbl>
      <w:tblPr>
        <w:tblW w:w="5000" w:type="pct"/>
        <w:tblLook w:val="04A0"/>
      </w:tblPr>
      <w:tblGrid>
        <w:gridCol w:w="1298"/>
        <w:gridCol w:w="895"/>
        <w:gridCol w:w="80"/>
        <w:gridCol w:w="849"/>
        <w:gridCol w:w="188"/>
        <w:gridCol w:w="788"/>
        <w:gridCol w:w="220"/>
        <w:gridCol w:w="799"/>
        <w:gridCol w:w="302"/>
        <w:gridCol w:w="641"/>
        <w:gridCol w:w="228"/>
        <w:gridCol w:w="614"/>
        <w:gridCol w:w="515"/>
        <w:gridCol w:w="316"/>
        <w:gridCol w:w="567"/>
        <w:gridCol w:w="226"/>
        <w:gridCol w:w="824"/>
      </w:tblGrid>
      <w:tr w14:paraId="501C53AE" w14:textId="77777777" w:rsidTr="009A2F1F">
        <w:tblPrEx>
          <w:tblW w:w="5000" w:type="pct"/>
          <w:tblLook w:val="04A0"/>
        </w:tblPrEx>
        <w:trPr>
          <w:trHeight w:val="300"/>
        </w:trPr>
        <w:tc>
          <w:tcPr>
            <w:tcW w:w="1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A2F1F" w:rsidRPr="000D37DB" w:rsidP="008C0EA7" w14:paraId="207E95D5" w14:textId="77777777">
            <w:pPr>
              <w:rPr>
                <w:b/>
                <w:bCs/>
                <w:color w:val="000000"/>
                <w:sz w:val="20"/>
                <w:szCs w:val="20"/>
              </w:rPr>
            </w:pPr>
            <w:r w:rsidRPr="000D37DB">
              <w:rPr>
                <w:b/>
                <w:bCs/>
                <w:color w:val="000000"/>
                <w:sz w:val="20"/>
                <w:szCs w:val="20"/>
              </w:rPr>
              <w:t> </w:t>
            </w:r>
          </w:p>
        </w:tc>
        <w:tc>
          <w:tcPr>
            <w:tcW w:w="447" w:type="pct"/>
            <w:gridSpan w:val="2"/>
            <w:tcBorders>
              <w:top w:val="single" w:sz="4" w:space="0" w:color="auto"/>
              <w:left w:val="nil"/>
              <w:bottom w:val="single" w:sz="4" w:space="0" w:color="auto"/>
              <w:right w:val="single" w:sz="4" w:space="0" w:color="auto"/>
            </w:tcBorders>
            <w:shd w:val="clear" w:color="auto" w:fill="auto"/>
            <w:vAlign w:val="center"/>
            <w:hideMark/>
          </w:tcPr>
          <w:p w:rsidR="009A2F1F" w:rsidRPr="000D37DB" w:rsidP="008C0EA7" w14:paraId="3346BCEF" w14:textId="77777777">
            <w:pPr>
              <w:jc w:val="center"/>
              <w:rPr>
                <w:b/>
                <w:bCs/>
                <w:color w:val="000000"/>
                <w:sz w:val="20"/>
                <w:szCs w:val="20"/>
              </w:rPr>
            </w:pPr>
            <w:r w:rsidRPr="000D37DB">
              <w:rPr>
                <w:b/>
                <w:bCs/>
                <w:color w:val="000000"/>
                <w:sz w:val="20"/>
                <w:szCs w:val="20"/>
              </w:rPr>
              <w:t>(A)</w:t>
            </w:r>
          </w:p>
        </w:tc>
        <w:tc>
          <w:tcPr>
            <w:tcW w:w="477" w:type="pct"/>
            <w:gridSpan w:val="2"/>
            <w:tcBorders>
              <w:top w:val="single" w:sz="4" w:space="0" w:color="auto"/>
              <w:left w:val="nil"/>
              <w:bottom w:val="single" w:sz="4" w:space="0" w:color="auto"/>
              <w:right w:val="single" w:sz="4" w:space="0" w:color="auto"/>
            </w:tcBorders>
            <w:shd w:val="clear" w:color="auto" w:fill="auto"/>
            <w:vAlign w:val="center"/>
            <w:hideMark/>
          </w:tcPr>
          <w:p w:rsidR="009A2F1F" w:rsidRPr="000D37DB" w:rsidP="008C0EA7" w14:paraId="3BCAEB46" w14:textId="77777777">
            <w:pPr>
              <w:jc w:val="center"/>
              <w:rPr>
                <w:b/>
                <w:bCs/>
                <w:color w:val="000000"/>
                <w:sz w:val="20"/>
                <w:szCs w:val="20"/>
              </w:rPr>
            </w:pPr>
            <w:r w:rsidRPr="000D37DB">
              <w:rPr>
                <w:b/>
                <w:bCs/>
                <w:color w:val="000000"/>
                <w:sz w:val="20"/>
                <w:szCs w:val="20"/>
              </w:rPr>
              <w:t>(B)</w:t>
            </w:r>
          </w:p>
        </w:tc>
        <w:tc>
          <w:tcPr>
            <w:tcW w:w="451" w:type="pct"/>
            <w:gridSpan w:val="2"/>
            <w:tcBorders>
              <w:top w:val="single" w:sz="4" w:space="0" w:color="auto"/>
              <w:left w:val="nil"/>
              <w:bottom w:val="single" w:sz="4" w:space="0" w:color="auto"/>
              <w:right w:val="single" w:sz="4" w:space="0" w:color="auto"/>
            </w:tcBorders>
            <w:shd w:val="clear" w:color="auto" w:fill="auto"/>
            <w:vAlign w:val="center"/>
            <w:hideMark/>
          </w:tcPr>
          <w:p w:rsidR="009A2F1F" w:rsidRPr="000D37DB" w:rsidP="008C0EA7" w14:paraId="72B0BD16" w14:textId="77777777">
            <w:pPr>
              <w:jc w:val="center"/>
              <w:rPr>
                <w:b/>
                <w:bCs/>
                <w:color w:val="000000"/>
                <w:sz w:val="20"/>
                <w:szCs w:val="20"/>
              </w:rPr>
            </w:pPr>
            <w:r w:rsidRPr="000D37DB">
              <w:rPr>
                <w:b/>
                <w:bCs/>
                <w:color w:val="000000"/>
                <w:sz w:val="20"/>
                <w:szCs w:val="20"/>
              </w:rPr>
              <w:t>(C)</w:t>
            </w:r>
          </w:p>
        </w:tc>
        <w:tc>
          <w:tcPr>
            <w:tcW w:w="503" w:type="pct"/>
            <w:gridSpan w:val="2"/>
            <w:tcBorders>
              <w:top w:val="single" w:sz="4" w:space="0" w:color="auto"/>
              <w:left w:val="nil"/>
              <w:bottom w:val="single" w:sz="4" w:space="0" w:color="auto"/>
              <w:right w:val="single" w:sz="4" w:space="0" w:color="auto"/>
            </w:tcBorders>
            <w:shd w:val="clear" w:color="auto" w:fill="auto"/>
            <w:vAlign w:val="center"/>
            <w:hideMark/>
          </w:tcPr>
          <w:p w:rsidR="009A2F1F" w:rsidRPr="000D37DB" w:rsidP="008C0EA7" w14:paraId="0152DAF9" w14:textId="77777777">
            <w:pPr>
              <w:jc w:val="center"/>
              <w:rPr>
                <w:b/>
                <w:bCs/>
                <w:color w:val="000000"/>
                <w:sz w:val="20"/>
                <w:szCs w:val="20"/>
              </w:rPr>
            </w:pPr>
            <w:r w:rsidRPr="000D37DB">
              <w:rPr>
                <w:b/>
                <w:bCs/>
                <w:color w:val="000000"/>
                <w:sz w:val="20"/>
                <w:szCs w:val="20"/>
              </w:rPr>
              <w:t xml:space="preserve">(D) </w:t>
            </w:r>
          </w:p>
        </w:tc>
        <w:tc>
          <w:tcPr>
            <w:tcW w:w="404" w:type="pct"/>
            <w:gridSpan w:val="2"/>
            <w:tcBorders>
              <w:top w:val="single" w:sz="4" w:space="0" w:color="auto"/>
              <w:left w:val="nil"/>
              <w:bottom w:val="single" w:sz="4" w:space="0" w:color="auto"/>
              <w:right w:val="single" w:sz="4" w:space="0" w:color="auto"/>
            </w:tcBorders>
            <w:shd w:val="clear" w:color="auto" w:fill="auto"/>
            <w:vAlign w:val="center"/>
            <w:hideMark/>
          </w:tcPr>
          <w:p w:rsidR="009A2F1F" w:rsidRPr="000D37DB" w:rsidP="008C0EA7" w14:paraId="62A73E2C" w14:textId="77777777">
            <w:pPr>
              <w:jc w:val="center"/>
              <w:rPr>
                <w:b/>
                <w:bCs/>
                <w:color w:val="000000"/>
                <w:sz w:val="20"/>
                <w:szCs w:val="20"/>
              </w:rPr>
            </w:pPr>
            <w:r w:rsidRPr="000D37DB">
              <w:rPr>
                <w:b/>
                <w:bCs/>
                <w:color w:val="000000"/>
                <w:sz w:val="20"/>
                <w:szCs w:val="20"/>
              </w:rPr>
              <w:t>(E)</w:t>
            </w:r>
          </w:p>
        </w:tc>
        <w:tc>
          <w:tcPr>
            <w:tcW w:w="515" w:type="pct"/>
            <w:gridSpan w:val="2"/>
            <w:tcBorders>
              <w:top w:val="single" w:sz="4" w:space="0" w:color="auto"/>
              <w:left w:val="nil"/>
              <w:bottom w:val="single" w:sz="4" w:space="0" w:color="auto"/>
              <w:right w:val="single" w:sz="4" w:space="0" w:color="auto"/>
            </w:tcBorders>
            <w:shd w:val="clear" w:color="auto" w:fill="auto"/>
            <w:vAlign w:val="center"/>
            <w:hideMark/>
          </w:tcPr>
          <w:p w:rsidR="009A2F1F" w:rsidRPr="000D37DB" w:rsidP="008C0EA7" w14:paraId="45091545" w14:textId="77777777">
            <w:pPr>
              <w:jc w:val="center"/>
              <w:rPr>
                <w:b/>
                <w:bCs/>
                <w:color w:val="000000"/>
                <w:sz w:val="20"/>
                <w:szCs w:val="20"/>
              </w:rPr>
            </w:pPr>
            <w:r w:rsidRPr="000D37DB">
              <w:rPr>
                <w:b/>
                <w:bCs/>
                <w:color w:val="000000"/>
                <w:sz w:val="20"/>
                <w:szCs w:val="20"/>
              </w:rPr>
              <w:t>(F)</w:t>
            </w:r>
          </w:p>
        </w:tc>
        <w:tc>
          <w:tcPr>
            <w:tcW w:w="420" w:type="pct"/>
            <w:gridSpan w:val="2"/>
            <w:tcBorders>
              <w:top w:val="single" w:sz="4" w:space="0" w:color="auto"/>
              <w:left w:val="nil"/>
              <w:bottom w:val="single" w:sz="4" w:space="0" w:color="auto"/>
              <w:right w:val="single" w:sz="4" w:space="0" w:color="auto"/>
            </w:tcBorders>
            <w:shd w:val="clear" w:color="auto" w:fill="auto"/>
            <w:vAlign w:val="center"/>
            <w:hideMark/>
          </w:tcPr>
          <w:p w:rsidR="009A2F1F" w:rsidRPr="000D37DB" w:rsidP="008C0EA7" w14:paraId="0881E3F8" w14:textId="77777777">
            <w:pPr>
              <w:jc w:val="center"/>
              <w:rPr>
                <w:b/>
                <w:bCs/>
                <w:color w:val="000000"/>
                <w:sz w:val="20"/>
                <w:szCs w:val="20"/>
              </w:rPr>
            </w:pPr>
            <w:r w:rsidRPr="000D37DB">
              <w:rPr>
                <w:b/>
                <w:bCs/>
                <w:color w:val="000000"/>
                <w:sz w:val="20"/>
                <w:szCs w:val="20"/>
              </w:rPr>
              <w:t>(G)</w:t>
            </w:r>
          </w:p>
        </w:tc>
        <w:tc>
          <w:tcPr>
            <w:tcW w:w="473" w:type="pct"/>
            <w:gridSpan w:val="2"/>
            <w:tcBorders>
              <w:top w:val="single" w:sz="4" w:space="0" w:color="auto"/>
              <w:left w:val="nil"/>
              <w:bottom w:val="single" w:sz="4" w:space="0" w:color="auto"/>
              <w:right w:val="single" w:sz="4" w:space="0" w:color="auto"/>
            </w:tcBorders>
            <w:shd w:val="clear" w:color="auto" w:fill="auto"/>
            <w:vAlign w:val="center"/>
            <w:hideMark/>
          </w:tcPr>
          <w:p w:rsidR="009A2F1F" w:rsidRPr="000D37DB" w:rsidP="008C0EA7" w14:paraId="7A1343C8" w14:textId="77777777">
            <w:pPr>
              <w:jc w:val="center"/>
              <w:rPr>
                <w:b/>
                <w:bCs/>
                <w:color w:val="000000"/>
                <w:sz w:val="20"/>
                <w:szCs w:val="20"/>
              </w:rPr>
            </w:pPr>
            <w:r w:rsidRPr="000D37DB">
              <w:rPr>
                <w:b/>
                <w:bCs/>
                <w:color w:val="000000"/>
                <w:sz w:val="20"/>
                <w:szCs w:val="20"/>
              </w:rPr>
              <w:t>(H)</w:t>
            </w:r>
          </w:p>
        </w:tc>
      </w:tr>
      <w:tr w14:paraId="5C0144B1" w14:textId="77777777" w:rsidTr="009A2F1F">
        <w:tblPrEx>
          <w:tblW w:w="5000" w:type="pct"/>
          <w:tblLook w:val="04A0"/>
        </w:tblPrEx>
        <w:trPr>
          <w:trHeight w:val="1530"/>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69C31625" w14:textId="77777777">
            <w:pPr>
              <w:jc w:val="center"/>
              <w:rPr>
                <w:b/>
                <w:bCs/>
                <w:color w:val="000000"/>
                <w:sz w:val="20"/>
                <w:szCs w:val="20"/>
              </w:rPr>
            </w:pPr>
            <w:r w:rsidRPr="000D37DB">
              <w:rPr>
                <w:b/>
                <w:bCs/>
                <w:color w:val="000000"/>
                <w:sz w:val="20"/>
                <w:szCs w:val="20"/>
              </w:rPr>
              <w:t>Burden item</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C3584C5" w14:textId="77777777">
            <w:pPr>
              <w:jc w:val="center"/>
              <w:rPr>
                <w:b/>
                <w:bCs/>
                <w:color w:val="000000"/>
                <w:sz w:val="20"/>
                <w:szCs w:val="20"/>
              </w:rPr>
            </w:pPr>
            <w:r w:rsidRPr="000D37DB">
              <w:rPr>
                <w:b/>
                <w:bCs/>
                <w:color w:val="000000"/>
                <w:sz w:val="20"/>
                <w:szCs w:val="20"/>
              </w:rPr>
              <w:t>Person hours per occurrence</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C337905" w14:textId="77777777">
            <w:pPr>
              <w:jc w:val="center"/>
              <w:rPr>
                <w:b/>
                <w:bCs/>
                <w:color w:val="000000"/>
                <w:sz w:val="20"/>
                <w:szCs w:val="20"/>
              </w:rPr>
            </w:pPr>
            <w:r w:rsidRPr="000D37DB">
              <w:rPr>
                <w:b/>
                <w:bCs/>
                <w:color w:val="000000"/>
                <w:sz w:val="20"/>
                <w:szCs w:val="20"/>
              </w:rPr>
              <w:t>No. of occurrences per respondent</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DB68D9B" w14:textId="77777777">
            <w:pPr>
              <w:jc w:val="center"/>
              <w:rPr>
                <w:b/>
                <w:bCs/>
                <w:color w:val="000000"/>
                <w:sz w:val="20"/>
                <w:szCs w:val="20"/>
              </w:rPr>
            </w:pPr>
            <w:r w:rsidRPr="000D37DB">
              <w:rPr>
                <w:b/>
                <w:bCs/>
                <w:color w:val="000000"/>
                <w:sz w:val="20"/>
                <w:szCs w:val="20"/>
              </w:rPr>
              <w:t xml:space="preserve">Person-hours per respondent per year </w:t>
            </w:r>
            <w:r w:rsidRPr="000D37DB">
              <w:rPr>
                <w:b/>
                <w:bCs/>
                <w:color w:val="000000"/>
                <w:sz w:val="20"/>
                <w:szCs w:val="20"/>
              </w:rPr>
              <w:br/>
              <w:t>(C=</w:t>
            </w:r>
            <w:r w:rsidRPr="000D37DB">
              <w:rPr>
                <w:b/>
                <w:bCs/>
                <w:color w:val="000000"/>
                <w:sz w:val="20"/>
                <w:szCs w:val="20"/>
              </w:rPr>
              <w:t>AxB</w:t>
            </w:r>
            <w:r w:rsidRPr="000D37DB">
              <w:rPr>
                <w:b/>
                <w:bCs/>
                <w:color w:val="000000"/>
                <w:sz w:val="20"/>
                <w:szCs w:val="20"/>
              </w:rPr>
              <w:t>)</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F635683" w14:textId="77777777">
            <w:pPr>
              <w:jc w:val="center"/>
              <w:rPr>
                <w:b/>
                <w:bCs/>
                <w:color w:val="000000"/>
                <w:sz w:val="20"/>
                <w:szCs w:val="20"/>
              </w:rPr>
            </w:pPr>
            <w:r w:rsidRPr="000D37DB">
              <w:rPr>
                <w:b/>
                <w:bCs/>
                <w:color w:val="000000"/>
                <w:sz w:val="20"/>
                <w:szCs w:val="20"/>
              </w:rPr>
              <w:t xml:space="preserve">Respondents per year </w:t>
            </w:r>
            <w:r w:rsidRPr="000D37DB">
              <w:rPr>
                <w:b/>
                <w:bCs/>
                <w:color w:val="000000"/>
                <w:sz w:val="20"/>
                <w:szCs w:val="20"/>
                <w:vertAlign w:val="superscript"/>
              </w:rPr>
              <w:t>a</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0FACC4F" w14:textId="77777777">
            <w:pPr>
              <w:jc w:val="center"/>
              <w:rPr>
                <w:b/>
                <w:bCs/>
                <w:color w:val="000000"/>
                <w:sz w:val="20"/>
                <w:szCs w:val="20"/>
              </w:rPr>
            </w:pPr>
            <w:r w:rsidRPr="000D37DB">
              <w:rPr>
                <w:b/>
                <w:bCs/>
                <w:color w:val="000000"/>
                <w:sz w:val="20"/>
                <w:szCs w:val="20"/>
              </w:rPr>
              <w:t xml:space="preserve">Technical person-hours per year </w:t>
            </w:r>
            <w:r w:rsidRPr="000D37DB">
              <w:rPr>
                <w:b/>
                <w:bCs/>
                <w:color w:val="000000"/>
                <w:sz w:val="20"/>
                <w:szCs w:val="20"/>
              </w:rPr>
              <w:br/>
              <w:t>(E=</w:t>
            </w:r>
            <w:r w:rsidRPr="000D37DB">
              <w:rPr>
                <w:b/>
                <w:bCs/>
                <w:color w:val="000000"/>
                <w:sz w:val="20"/>
                <w:szCs w:val="20"/>
              </w:rPr>
              <w:t>CxD</w:t>
            </w:r>
            <w:r w:rsidRPr="000D37DB">
              <w:rPr>
                <w:b/>
                <w:bCs/>
                <w:color w:val="000000"/>
                <w:sz w:val="20"/>
                <w:szCs w:val="20"/>
              </w:rPr>
              <w:t>)</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07CE21E" w14:textId="77777777">
            <w:pPr>
              <w:jc w:val="center"/>
              <w:rPr>
                <w:b/>
                <w:bCs/>
                <w:color w:val="000000"/>
                <w:sz w:val="20"/>
                <w:szCs w:val="20"/>
              </w:rPr>
            </w:pPr>
            <w:r w:rsidRPr="000D37DB">
              <w:rPr>
                <w:b/>
                <w:bCs/>
                <w:color w:val="000000"/>
                <w:sz w:val="20"/>
                <w:szCs w:val="20"/>
              </w:rPr>
              <w:t xml:space="preserve">Management person-hours per year </w:t>
            </w:r>
            <w:r w:rsidRPr="000D37DB">
              <w:rPr>
                <w:b/>
                <w:bCs/>
                <w:color w:val="000000"/>
                <w:sz w:val="20"/>
                <w:szCs w:val="20"/>
              </w:rPr>
              <w:br/>
              <w:t>(F=Ex0.05)</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1FB7690" w14:textId="77777777">
            <w:pPr>
              <w:jc w:val="center"/>
              <w:rPr>
                <w:b/>
                <w:bCs/>
                <w:color w:val="000000"/>
                <w:sz w:val="20"/>
                <w:szCs w:val="20"/>
              </w:rPr>
            </w:pPr>
            <w:r w:rsidRPr="000D37DB">
              <w:rPr>
                <w:b/>
                <w:bCs/>
                <w:color w:val="000000"/>
                <w:sz w:val="20"/>
                <w:szCs w:val="20"/>
              </w:rPr>
              <w:t xml:space="preserve">Clerical person-hours per year </w:t>
            </w:r>
            <w:r w:rsidRPr="000D37DB">
              <w:rPr>
                <w:b/>
                <w:bCs/>
                <w:color w:val="000000"/>
                <w:sz w:val="20"/>
                <w:szCs w:val="20"/>
              </w:rPr>
              <w:br/>
              <w:t>(G=Ex0.1)</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70027BC" w14:textId="77777777">
            <w:pPr>
              <w:jc w:val="center"/>
              <w:rPr>
                <w:b/>
                <w:bCs/>
                <w:color w:val="000000"/>
                <w:sz w:val="20"/>
                <w:szCs w:val="20"/>
              </w:rPr>
            </w:pPr>
            <w:r w:rsidRPr="000D37DB">
              <w:rPr>
                <w:b/>
                <w:bCs/>
                <w:color w:val="000000"/>
                <w:sz w:val="20"/>
                <w:szCs w:val="20"/>
              </w:rPr>
              <w:t xml:space="preserve">Total Cost per year </w:t>
            </w:r>
            <w:r w:rsidRPr="000D37DB">
              <w:rPr>
                <w:b/>
                <w:bCs/>
                <w:color w:val="000000"/>
                <w:sz w:val="20"/>
                <w:szCs w:val="20"/>
                <w:vertAlign w:val="superscript"/>
              </w:rPr>
              <w:t>b</w:t>
            </w:r>
            <w:r w:rsidRPr="000D37DB">
              <w:rPr>
                <w:b/>
                <w:bCs/>
                <w:color w:val="000000"/>
                <w:sz w:val="20"/>
                <w:szCs w:val="20"/>
              </w:rPr>
              <w:t>, $</w:t>
            </w:r>
          </w:p>
        </w:tc>
      </w:tr>
      <w:tr w14:paraId="6A8A2108" w14:textId="77777777" w:rsidTr="009A2F1F">
        <w:tblPrEx>
          <w:tblW w:w="5000" w:type="pct"/>
          <w:tblLook w:val="04A0"/>
        </w:tblPrEx>
        <w:trPr>
          <w:trHeight w:val="300"/>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37B51BA2" w14:textId="77777777">
            <w:pPr>
              <w:rPr>
                <w:color w:val="000000"/>
                <w:sz w:val="20"/>
                <w:szCs w:val="20"/>
              </w:rPr>
            </w:pPr>
            <w:r w:rsidRPr="000D37DB">
              <w:rPr>
                <w:color w:val="000000"/>
                <w:sz w:val="20"/>
                <w:szCs w:val="20"/>
              </w:rPr>
              <w:t>1.</w:t>
            </w:r>
            <w:r>
              <w:rPr>
                <w:color w:val="000000"/>
                <w:sz w:val="20"/>
                <w:szCs w:val="20"/>
              </w:rPr>
              <w:t xml:space="preserve"> </w:t>
            </w:r>
            <w:r w:rsidRPr="000D37DB">
              <w:rPr>
                <w:color w:val="000000"/>
                <w:sz w:val="20"/>
                <w:szCs w:val="20"/>
              </w:rPr>
              <w:t>Applications</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9F1EDD1" w14:textId="77777777">
            <w:pPr>
              <w:jc w:val="center"/>
              <w:rPr>
                <w:color w:val="000000"/>
                <w:sz w:val="20"/>
                <w:szCs w:val="20"/>
              </w:rPr>
            </w:pPr>
            <w:r w:rsidRPr="000D37DB">
              <w:rPr>
                <w:color w:val="000000"/>
                <w:sz w:val="20"/>
                <w:szCs w:val="20"/>
              </w:rPr>
              <w:t>N/A</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13D4E35" w14:textId="77777777">
            <w:pPr>
              <w:jc w:val="center"/>
              <w:rPr>
                <w:color w:val="000000"/>
                <w:sz w:val="20"/>
                <w:szCs w:val="20"/>
              </w:rPr>
            </w:pPr>
            <w:r w:rsidRPr="000D37DB">
              <w:rPr>
                <w:color w:val="000000"/>
                <w:sz w:val="20"/>
                <w:szCs w:val="20"/>
              </w:rPr>
              <w:t> </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7EE1494" w14:textId="77777777">
            <w:pPr>
              <w:jc w:val="center"/>
              <w:rPr>
                <w:color w:val="000000"/>
                <w:sz w:val="20"/>
                <w:szCs w:val="20"/>
              </w:rPr>
            </w:pPr>
            <w:r w:rsidRPr="000D37DB">
              <w:rPr>
                <w:color w:val="000000"/>
                <w:sz w:val="20"/>
                <w:szCs w:val="20"/>
              </w:rPr>
              <w:t> </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03985CFE" w14:textId="77777777">
            <w:pPr>
              <w:jc w:val="center"/>
              <w:rPr>
                <w:color w:val="000000"/>
                <w:sz w:val="20"/>
                <w:szCs w:val="20"/>
              </w:rPr>
            </w:pPr>
            <w:r w:rsidRPr="000D37DB">
              <w:rPr>
                <w:color w:val="000000"/>
                <w:sz w:val="20"/>
                <w:szCs w:val="20"/>
              </w:rPr>
              <w:t> </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07342D0E" w14:textId="77777777">
            <w:pPr>
              <w:jc w:val="center"/>
              <w:rPr>
                <w:color w:val="000000"/>
                <w:sz w:val="20"/>
                <w:szCs w:val="20"/>
              </w:rPr>
            </w:pPr>
            <w:r w:rsidRPr="000D37DB">
              <w:rPr>
                <w:color w:val="000000"/>
                <w:sz w:val="20"/>
                <w:szCs w:val="20"/>
              </w:rPr>
              <w:t> </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7B12F13" w14:textId="77777777">
            <w:pPr>
              <w:jc w:val="center"/>
              <w:rPr>
                <w:color w:val="000000"/>
                <w:sz w:val="20"/>
                <w:szCs w:val="20"/>
              </w:rPr>
            </w:pPr>
            <w:r w:rsidRPr="000D37DB">
              <w:rPr>
                <w:color w:val="000000"/>
                <w:sz w:val="20"/>
                <w:szCs w:val="20"/>
              </w:rPr>
              <w:t> </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367E68F" w14:textId="77777777">
            <w:pPr>
              <w:jc w:val="center"/>
              <w:rPr>
                <w:color w:val="000000"/>
                <w:sz w:val="20"/>
                <w:szCs w:val="20"/>
              </w:rPr>
            </w:pPr>
            <w:r w:rsidRPr="000D37DB">
              <w:rPr>
                <w:color w:val="000000"/>
                <w:sz w:val="20"/>
                <w:szCs w:val="20"/>
              </w:rPr>
              <w:t> </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404E321" w14:textId="77777777">
            <w:pPr>
              <w:jc w:val="center"/>
              <w:rPr>
                <w:color w:val="000000"/>
                <w:sz w:val="20"/>
                <w:szCs w:val="20"/>
              </w:rPr>
            </w:pPr>
            <w:r w:rsidRPr="000D37DB">
              <w:rPr>
                <w:color w:val="000000"/>
                <w:sz w:val="20"/>
                <w:szCs w:val="20"/>
              </w:rPr>
              <w:t> </w:t>
            </w:r>
          </w:p>
        </w:tc>
      </w:tr>
      <w:tr w14:paraId="77322204" w14:textId="77777777" w:rsidTr="009A2F1F">
        <w:tblPrEx>
          <w:tblW w:w="5000" w:type="pct"/>
          <w:tblLook w:val="04A0"/>
        </w:tblPrEx>
        <w:trPr>
          <w:trHeight w:val="300"/>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50222B03" w14:textId="77777777">
            <w:pPr>
              <w:rPr>
                <w:color w:val="000000"/>
                <w:sz w:val="20"/>
                <w:szCs w:val="20"/>
              </w:rPr>
            </w:pPr>
            <w:r w:rsidRPr="000D37DB">
              <w:rPr>
                <w:color w:val="000000"/>
                <w:sz w:val="20"/>
                <w:szCs w:val="20"/>
              </w:rPr>
              <w:t>2.</w:t>
            </w:r>
            <w:r>
              <w:rPr>
                <w:color w:val="000000"/>
                <w:sz w:val="20"/>
                <w:szCs w:val="20"/>
              </w:rPr>
              <w:t xml:space="preserve"> </w:t>
            </w:r>
            <w:r w:rsidRPr="000D37DB">
              <w:rPr>
                <w:color w:val="000000"/>
                <w:sz w:val="20"/>
                <w:szCs w:val="20"/>
              </w:rPr>
              <w:t>Surveys and Studies</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9D8FCA3" w14:textId="77777777">
            <w:pPr>
              <w:jc w:val="center"/>
              <w:rPr>
                <w:color w:val="000000"/>
                <w:sz w:val="20"/>
                <w:szCs w:val="20"/>
              </w:rPr>
            </w:pPr>
            <w:r w:rsidRPr="000D37DB">
              <w:rPr>
                <w:color w:val="000000"/>
                <w:sz w:val="20"/>
                <w:szCs w:val="20"/>
              </w:rPr>
              <w:t>N/A</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460DE4C" w14:textId="77777777">
            <w:pPr>
              <w:jc w:val="center"/>
              <w:rPr>
                <w:color w:val="000000"/>
                <w:sz w:val="20"/>
                <w:szCs w:val="20"/>
              </w:rPr>
            </w:pPr>
            <w:r w:rsidRPr="000D37DB">
              <w:rPr>
                <w:color w:val="000000"/>
                <w:sz w:val="20"/>
                <w:szCs w:val="20"/>
              </w:rPr>
              <w:t> </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33CBE5C" w14:textId="77777777">
            <w:pPr>
              <w:jc w:val="center"/>
              <w:rPr>
                <w:color w:val="000000"/>
                <w:sz w:val="20"/>
                <w:szCs w:val="20"/>
              </w:rPr>
            </w:pPr>
            <w:r w:rsidRPr="000D37DB">
              <w:rPr>
                <w:color w:val="000000"/>
                <w:sz w:val="20"/>
                <w:szCs w:val="20"/>
              </w:rPr>
              <w:t> </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C5FA477" w14:textId="77777777">
            <w:pPr>
              <w:jc w:val="center"/>
              <w:rPr>
                <w:color w:val="000000"/>
                <w:sz w:val="20"/>
                <w:szCs w:val="20"/>
              </w:rPr>
            </w:pPr>
            <w:r w:rsidRPr="000D37DB">
              <w:rPr>
                <w:color w:val="000000"/>
                <w:sz w:val="20"/>
                <w:szCs w:val="20"/>
              </w:rPr>
              <w:t> </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C35494A" w14:textId="77777777">
            <w:pPr>
              <w:jc w:val="center"/>
              <w:rPr>
                <w:color w:val="000000"/>
                <w:sz w:val="20"/>
                <w:szCs w:val="20"/>
              </w:rPr>
            </w:pPr>
            <w:r w:rsidRPr="000D37DB">
              <w:rPr>
                <w:color w:val="000000"/>
                <w:sz w:val="20"/>
                <w:szCs w:val="20"/>
              </w:rPr>
              <w:t> </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349707A" w14:textId="77777777">
            <w:pPr>
              <w:jc w:val="center"/>
              <w:rPr>
                <w:color w:val="000000"/>
                <w:sz w:val="20"/>
                <w:szCs w:val="20"/>
              </w:rPr>
            </w:pPr>
            <w:r w:rsidRPr="000D37DB">
              <w:rPr>
                <w:color w:val="000000"/>
                <w:sz w:val="20"/>
                <w:szCs w:val="20"/>
              </w:rPr>
              <w:t> </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36CD4EF" w14:textId="77777777">
            <w:pPr>
              <w:jc w:val="center"/>
              <w:rPr>
                <w:color w:val="000000"/>
                <w:sz w:val="20"/>
                <w:szCs w:val="20"/>
              </w:rPr>
            </w:pPr>
            <w:r w:rsidRPr="000D37DB">
              <w:rPr>
                <w:color w:val="000000"/>
                <w:sz w:val="20"/>
                <w:szCs w:val="20"/>
              </w:rPr>
              <w:t> </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1319BC8" w14:textId="77777777">
            <w:pPr>
              <w:jc w:val="center"/>
              <w:rPr>
                <w:color w:val="000000"/>
                <w:sz w:val="20"/>
                <w:szCs w:val="20"/>
              </w:rPr>
            </w:pPr>
            <w:r w:rsidRPr="000D37DB">
              <w:rPr>
                <w:color w:val="000000"/>
                <w:sz w:val="20"/>
                <w:szCs w:val="20"/>
              </w:rPr>
              <w:t> </w:t>
            </w:r>
          </w:p>
        </w:tc>
      </w:tr>
      <w:tr w14:paraId="75912CAC" w14:textId="77777777" w:rsidTr="009A2F1F">
        <w:tblPrEx>
          <w:tblW w:w="5000" w:type="pct"/>
          <w:tblLook w:val="04A0"/>
        </w:tblPrEx>
        <w:trPr>
          <w:trHeight w:val="510"/>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594FF5E7" w14:textId="77777777">
            <w:pPr>
              <w:rPr>
                <w:color w:val="000000"/>
                <w:sz w:val="20"/>
                <w:szCs w:val="20"/>
              </w:rPr>
            </w:pPr>
            <w:r w:rsidRPr="000D37DB">
              <w:rPr>
                <w:color w:val="000000"/>
                <w:sz w:val="20"/>
                <w:szCs w:val="20"/>
              </w:rPr>
              <w:t>3.</w:t>
            </w:r>
            <w:r>
              <w:rPr>
                <w:color w:val="000000"/>
                <w:sz w:val="20"/>
                <w:szCs w:val="20"/>
              </w:rPr>
              <w:t xml:space="preserve"> </w:t>
            </w:r>
            <w:r w:rsidRPr="000D37DB">
              <w:rPr>
                <w:color w:val="000000"/>
                <w:sz w:val="20"/>
                <w:szCs w:val="20"/>
              </w:rPr>
              <w:t xml:space="preserve">Acquisition, Installation, and Utilization of Technology and Systems </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B9981E5" w14:textId="77777777">
            <w:pPr>
              <w:jc w:val="center"/>
              <w:rPr>
                <w:color w:val="000000"/>
                <w:sz w:val="20"/>
                <w:szCs w:val="20"/>
              </w:rPr>
            </w:pPr>
            <w:r w:rsidRPr="000D37DB">
              <w:rPr>
                <w:color w:val="000000"/>
                <w:sz w:val="20"/>
                <w:szCs w:val="20"/>
              </w:rPr>
              <w:t>N/A</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B192C5E" w14:textId="77777777">
            <w:pPr>
              <w:jc w:val="center"/>
              <w:rPr>
                <w:color w:val="000000"/>
                <w:sz w:val="20"/>
                <w:szCs w:val="20"/>
              </w:rPr>
            </w:pPr>
            <w:r w:rsidRPr="000D37DB">
              <w:rPr>
                <w:color w:val="000000"/>
                <w:sz w:val="20"/>
                <w:szCs w:val="20"/>
              </w:rPr>
              <w:t> </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0FC80DDC" w14:textId="77777777">
            <w:pPr>
              <w:jc w:val="center"/>
              <w:rPr>
                <w:color w:val="000000"/>
                <w:sz w:val="20"/>
                <w:szCs w:val="20"/>
              </w:rPr>
            </w:pPr>
            <w:r w:rsidRPr="000D37DB">
              <w:rPr>
                <w:color w:val="000000"/>
                <w:sz w:val="20"/>
                <w:szCs w:val="20"/>
              </w:rPr>
              <w:t> </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08C86035" w14:textId="77777777">
            <w:pPr>
              <w:jc w:val="center"/>
              <w:rPr>
                <w:color w:val="000000"/>
                <w:sz w:val="20"/>
                <w:szCs w:val="20"/>
              </w:rPr>
            </w:pPr>
            <w:r w:rsidRPr="000D37DB">
              <w:rPr>
                <w:color w:val="000000"/>
                <w:sz w:val="20"/>
                <w:szCs w:val="20"/>
              </w:rPr>
              <w:t> </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0A1F75F9" w14:textId="77777777">
            <w:pPr>
              <w:jc w:val="center"/>
              <w:rPr>
                <w:color w:val="000000"/>
                <w:sz w:val="20"/>
                <w:szCs w:val="20"/>
              </w:rPr>
            </w:pPr>
            <w:r w:rsidRPr="000D37DB">
              <w:rPr>
                <w:color w:val="000000"/>
                <w:sz w:val="20"/>
                <w:szCs w:val="20"/>
              </w:rPr>
              <w:t> </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3FD8514" w14:textId="77777777">
            <w:pPr>
              <w:jc w:val="center"/>
              <w:rPr>
                <w:color w:val="000000"/>
                <w:sz w:val="20"/>
                <w:szCs w:val="20"/>
              </w:rPr>
            </w:pPr>
            <w:r w:rsidRPr="000D37DB">
              <w:rPr>
                <w:color w:val="000000"/>
                <w:sz w:val="20"/>
                <w:szCs w:val="20"/>
              </w:rPr>
              <w:t> </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FE7563C" w14:textId="77777777">
            <w:pPr>
              <w:jc w:val="center"/>
              <w:rPr>
                <w:color w:val="000000"/>
                <w:sz w:val="20"/>
                <w:szCs w:val="20"/>
              </w:rPr>
            </w:pPr>
            <w:r w:rsidRPr="000D37DB">
              <w:rPr>
                <w:color w:val="000000"/>
                <w:sz w:val="20"/>
                <w:szCs w:val="20"/>
              </w:rPr>
              <w:t> </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8E4334F" w14:textId="77777777">
            <w:pPr>
              <w:jc w:val="center"/>
              <w:rPr>
                <w:color w:val="000000"/>
                <w:sz w:val="20"/>
                <w:szCs w:val="20"/>
              </w:rPr>
            </w:pPr>
            <w:r w:rsidRPr="000D37DB">
              <w:rPr>
                <w:color w:val="000000"/>
                <w:sz w:val="20"/>
                <w:szCs w:val="20"/>
              </w:rPr>
              <w:t> </w:t>
            </w:r>
          </w:p>
        </w:tc>
      </w:tr>
      <w:tr w14:paraId="3988CF41" w14:textId="77777777" w:rsidTr="009A2F1F">
        <w:tblPrEx>
          <w:tblW w:w="5000" w:type="pct"/>
          <w:tblLook w:val="04A0"/>
        </w:tblPrEx>
        <w:trPr>
          <w:trHeight w:val="300"/>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5D6BAD8E" w14:textId="77777777">
            <w:pPr>
              <w:rPr>
                <w:color w:val="000000"/>
                <w:sz w:val="20"/>
                <w:szCs w:val="20"/>
              </w:rPr>
            </w:pPr>
            <w:r w:rsidRPr="000D37DB">
              <w:rPr>
                <w:color w:val="000000"/>
                <w:sz w:val="20"/>
                <w:szCs w:val="20"/>
              </w:rPr>
              <w:t>4.</w:t>
            </w:r>
            <w:r>
              <w:rPr>
                <w:color w:val="000000"/>
                <w:sz w:val="20"/>
                <w:szCs w:val="20"/>
              </w:rPr>
              <w:t xml:space="preserve"> </w:t>
            </w:r>
            <w:r w:rsidRPr="000D37DB">
              <w:rPr>
                <w:color w:val="000000"/>
                <w:sz w:val="20"/>
                <w:szCs w:val="20"/>
              </w:rPr>
              <w:t>Reporting Requirements</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06EE1028" w14:textId="77777777">
            <w:pPr>
              <w:jc w:val="center"/>
              <w:rPr>
                <w:color w:val="000000"/>
                <w:sz w:val="20"/>
                <w:szCs w:val="20"/>
              </w:rPr>
            </w:pPr>
            <w:r w:rsidRPr="000D37DB">
              <w:rPr>
                <w:color w:val="000000"/>
                <w:sz w:val="20"/>
                <w:szCs w:val="20"/>
              </w:rPr>
              <w:t> </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5EE93C3" w14:textId="77777777">
            <w:pPr>
              <w:jc w:val="center"/>
              <w:rPr>
                <w:color w:val="000000"/>
                <w:sz w:val="20"/>
                <w:szCs w:val="20"/>
              </w:rPr>
            </w:pPr>
            <w:r w:rsidRPr="000D37DB">
              <w:rPr>
                <w:color w:val="000000"/>
                <w:sz w:val="20"/>
                <w:szCs w:val="20"/>
              </w:rPr>
              <w:t> </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CA799BF" w14:textId="77777777">
            <w:pPr>
              <w:jc w:val="center"/>
              <w:rPr>
                <w:color w:val="000000"/>
                <w:sz w:val="20"/>
                <w:szCs w:val="20"/>
              </w:rPr>
            </w:pPr>
            <w:r w:rsidRPr="000D37DB">
              <w:rPr>
                <w:color w:val="000000"/>
                <w:sz w:val="20"/>
                <w:szCs w:val="20"/>
              </w:rPr>
              <w:t> </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4C2229C" w14:textId="77777777">
            <w:pPr>
              <w:jc w:val="center"/>
              <w:rPr>
                <w:color w:val="000000"/>
                <w:sz w:val="20"/>
                <w:szCs w:val="20"/>
              </w:rPr>
            </w:pPr>
            <w:r w:rsidRPr="000D37DB">
              <w:rPr>
                <w:color w:val="000000"/>
                <w:sz w:val="20"/>
                <w:szCs w:val="20"/>
              </w:rPr>
              <w:t> </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6B67591" w14:textId="77777777">
            <w:pPr>
              <w:jc w:val="center"/>
              <w:rPr>
                <w:color w:val="000000"/>
                <w:sz w:val="20"/>
                <w:szCs w:val="20"/>
              </w:rPr>
            </w:pPr>
            <w:r w:rsidRPr="000D37DB">
              <w:rPr>
                <w:color w:val="000000"/>
                <w:sz w:val="20"/>
                <w:szCs w:val="20"/>
              </w:rPr>
              <w:t> </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0C90CAC" w14:textId="77777777">
            <w:pPr>
              <w:jc w:val="center"/>
              <w:rPr>
                <w:color w:val="000000"/>
                <w:sz w:val="20"/>
                <w:szCs w:val="20"/>
              </w:rPr>
            </w:pPr>
            <w:r w:rsidRPr="000D37DB">
              <w:rPr>
                <w:color w:val="000000"/>
                <w:sz w:val="20"/>
                <w:szCs w:val="20"/>
              </w:rPr>
              <w:t> </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BF809E3" w14:textId="77777777">
            <w:pPr>
              <w:jc w:val="center"/>
              <w:rPr>
                <w:color w:val="000000"/>
                <w:sz w:val="20"/>
                <w:szCs w:val="20"/>
              </w:rPr>
            </w:pPr>
            <w:r w:rsidRPr="000D37DB">
              <w:rPr>
                <w:color w:val="000000"/>
                <w:sz w:val="20"/>
                <w:szCs w:val="20"/>
              </w:rPr>
              <w:t> </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5A0166B" w14:textId="77777777">
            <w:pPr>
              <w:jc w:val="right"/>
              <w:rPr>
                <w:color w:val="000000"/>
                <w:sz w:val="20"/>
                <w:szCs w:val="20"/>
              </w:rPr>
            </w:pPr>
            <w:r w:rsidRPr="000D37DB">
              <w:rPr>
                <w:color w:val="000000"/>
                <w:sz w:val="20"/>
                <w:szCs w:val="20"/>
              </w:rPr>
              <w:t> </w:t>
            </w:r>
          </w:p>
        </w:tc>
      </w:tr>
      <w:tr w14:paraId="3B6DF4CC" w14:textId="77777777" w:rsidTr="009A2F1F">
        <w:tblPrEx>
          <w:tblW w:w="5000" w:type="pct"/>
          <w:tblLook w:val="04A0"/>
        </w:tblPrEx>
        <w:trPr>
          <w:trHeight w:val="315"/>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5083B5EC" w14:textId="77777777">
            <w:pPr>
              <w:ind w:left="161" w:firstLine="38" w:firstLineChars="19"/>
              <w:rPr>
                <w:color w:val="000000"/>
                <w:sz w:val="20"/>
                <w:szCs w:val="20"/>
              </w:rPr>
            </w:pPr>
            <w:r w:rsidRPr="000D37DB">
              <w:rPr>
                <w:color w:val="000000"/>
                <w:sz w:val="20"/>
                <w:szCs w:val="20"/>
              </w:rPr>
              <w:t>A.</w:t>
            </w:r>
            <w:r>
              <w:rPr>
                <w:color w:val="000000"/>
                <w:sz w:val="20"/>
                <w:szCs w:val="20"/>
              </w:rPr>
              <w:t xml:space="preserve"> </w:t>
            </w:r>
            <w:r w:rsidRPr="000D37DB">
              <w:rPr>
                <w:color w:val="000000"/>
                <w:sz w:val="20"/>
                <w:szCs w:val="20"/>
              </w:rPr>
              <w:t xml:space="preserve">Familiarize with regulatory requirements </w:t>
            </w:r>
            <w:r w:rsidRPr="000D37DB">
              <w:rPr>
                <w:color w:val="000000"/>
                <w:sz w:val="20"/>
                <w:szCs w:val="20"/>
                <w:vertAlign w:val="superscript"/>
              </w:rPr>
              <w:t>c</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7E6F93F" w14:textId="77777777">
            <w:pPr>
              <w:jc w:val="center"/>
              <w:rPr>
                <w:color w:val="000000"/>
                <w:sz w:val="20"/>
                <w:szCs w:val="20"/>
              </w:rPr>
            </w:pPr>
            <w:r w:rsidRPr="000D37DB">
              <w:rPr>
                <w:color w:val="000000"/>
                <w:sz w:val="20"/>
                <w:szCs w:val="20"/>
              </w:rPr>
              <w:t>8</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2F4CFEA" w14:textId="77777777">
            <w:pPr>
              <w:jc w:val="center"/>
              <w:rPr>
                <w:color w:val="000000"/>
                <w:sz w:val="20"/>
                <w:szCs w:val="20"/>
              </w:rPr>
            </w:pPr>
            <w:r w:rsidRPr="000D37DB">
              <w:rPr>
                <w:color w:val="000000"/>
                <w:sz w:val="20"/>
                <w:szCs w:val="20"/>
              </w:rPr>
              <w:t>1</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4D8F84F" w14:textId="77777777">
            <w:pPr>
              <w:jc w:val="center"/>
              <w:rPr>
                <w:color w:val="000000"/>
                <w:sz w:val="20"/>
                <w:szCs w:val="20"/>
              </w:rPr>
            </w:pPr>
            <w:r w:rsidRPr="000D37DB">
              <w:rPr>
                <w:color w:val="000000"/>
                <w:sz w:val="20"/>
                <w:szCs w:val="20"/>
              </w:rPr>
              <w:t>8</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2BAC04C" w14:textId="77777777">
            <w:pPr>
              <w:jc w:val="center"/>
              <w:rPr>
                <w:color w:val="000000"/>
                <w:sz w:val="20"/>
                <w:szCs w:val="20"/>
              </w:rPr>
            </w:pPr>
            <w:r w:rsidRPr="000D37DB">
              <w:rPr>
                <w:color w:val="000000"/>
                <w:sz w:val="20"/>
                <w:szCs w:val="20"/>
              </w:rPr>
              <w:t>21</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16FF608" w14:textId="77777777">
            <w:pPr>
              <w:jc w:val="center"/>
              <w:rPr>
                <w:color w:val="000000"/>
                <w:sz w:val="20"/>
                <w:szCs w:val="20"/>
              </w:rPr>
            </w:pPr>
            <w:r w:rsidRPr="000D37DB">
              <w:rPr>
                <w:color w:val="000000"/>
                <w:sz w:val="20"/>
                <w:szCs w:val="20"/>
              </w:rPr>
              <w:t>168</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F3E6340" w14:textId="77777777">
            <w:pPr>
              <w:jc w:val="center"/>
              <w:rPr>
                <w:color w:val="000000"/>
                <w:sz w:val="20"/>
                <w:szCs w:val="20"/>
              </w:rPr>
            </w:pPr>
            <w:r w:rsidRPr="000D37DB">
              <w:rPr>
                <w:color w:val="000000"/>
                <w:sz w:val="20"/>
                <w:szCs w:val="20"/>
              </w:rPr>
              <w:t>8.4</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7727FFE" w14:textId="77777777">
            <w:pPr>
              <w:jc w:val="center"/>
              <w:rPr>
                <w:color w:val="000000"/>
                <w:sz w:val="20"/>
                <w:szCs w:val="20"/>
              </w:rPr>
            </w:pPr>
            <w:r w:rsidRPr="000D37DB">
              <w:rPr>
                <w:color w:val="000000"/>
                <w:sz w:val="20"/>
                <w:szCs w:val="20"/>
              </w:rPr>
              <w:t>16.8</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EA502ED" w14:textId="77777777">
            <w:pPr>
              <w:jc w:val="right"/>
              <w:rPr>
                <w:color w:val="000000"/>
                <w:sz w:val="20"/>
                <w:szCs w:val="20"/>
              </w:rPr>
            </w:pPr>
            <w:r w:rsidRPr="000D37DB">
              <w:rPr>
                <w:color w:val="000000"/>
                <w:sz w:val="20"/>
                <w:szCs w:val="20"/>
              </w:rPr>
              <w:t xml:space="preserve">$29,610.84 </w:t>
            </w:r>
          </w:p>
        </w:tc>
      </w:tr>
      <w:tr w14:paraId="43BE6248" w14:textId="77777777" w:rsidTr="009A2F1F">
        <w:tblPrEx>
          <w:tblW w:w="5000" w:type="pct"/>
          <w:tblLook w:val="04A0"/>
        </w:tblPrEx>
        <w:trPr>
          <w:trHeight w:val="315"/>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04550084" w14:textId="77777777">
            <w:pPr>
              <w:ind w:left="161" w:firstLine="38" w:firstLineChars="19"/>
              <w:rPr>
                <w:color w:val="000000"/>
                <w:sz w:val="20"/>
                <w:szCs w:val="20"/>
              </w:rPr>
            </w:pPr>
            <w:r w:rsidRPr="000D37DB">
              <w:rPr>
                <w:color w:val="000000"/>
                <w:sz w:val="20"/>
                <w:szCs w:val="20"/>
              </w:rPr>
              <w:t>B.</w:t>
            </w:r>
            <w:r>
              <w:rPr>
                <w:color w:val="000000"/>
                <w:sz w:val="20"/>
                <w:szCs w:val="20"/>
              </w:rPr>
              <w:t xml:space="preserve"> </w:t>
            </w:r>
            <w:r w:rsidRPr="000D37DB">
              <w:rPr>
                <w:color w:val="000000"/>
                <w:sz w:val="20"/>
                <w:szCs w:val="20"/>
              </w:rPr>
              <w:t xml:space="preserve">Required activities </w:t>
            </w:r>
            <w:r w:rsidRPr="000D37DB">
              <w:rPr>
                <w:color w:val="000000"/>
                <w:sz w:val="20"/>
                <w:szCs w:val="20"/>
                <w:vertAlign w:val="superscript"/>
              </w:rPr>
              <w:t>d</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C018997" w14:textId="77777777">
            <w:pPr>
              <w:jc w:val="center"/>
              <w:rPr>
                <w:color w:val="000000"/>
                <w:sz w:val="20"/>
                <w:szCs w:val="20"/>
              </w:rPr>
            </w:pPr>
            <w:r w:rsidRPr="000D37DB">
              <w:rPr>
                <w:color w:val="000000"/>
                <w:sz w:val="20"/>
                <w:szCs w:val="20"/>
              </w:rPr>
              <w:t>N/A</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2084430" w14:textId="77777777">
            <w:pPr>
              <w:jc w:val="center"/>
              <w:rPr>
                <w:color w:val="000000"/>
                <w:sz w:val="20"/>
                <w:szCs w:val="20"/>
              </w:rPr>
            </w:pPr>
            <w:r w:rsidRPr="000D37DB">
              <w:rPr>
                <w:color w:val="000000"/>
                <w:sz w:val="20"/>
                <w:szCs w:val="20"/>
              </w:rPr>
              <w:t> </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22CD994" w14:textId="77777777">
            <w:pPr>
              <w:jc w:val="center"/>
              <w:rPr>
                <w:color w:val="000000"/>
                <w:sz w:val="20"/>
                <w:szCs w:val="20"/>
              </w:rPr>
            </w:pPr>
            <w:r w:rsidRPr="000D37DB">
              <w:rPr>
                <w:color w:val="000000"/>
                <w:sz w:val="20"/>
                <w:szCs w:val="20"/>
              </w:rPr>
              <w:t> </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DA3CB39" w14:textId="77777777">
            <w:pPr>
              <w:jc w:val="center"/>
              <w:rPr>
                <w:color w:val="000000"/>
                <w:sz w:val="20"/>
                <w:szCs w:val="20"/>
              </w:rPr>
            </w:pPr>
            <w:r w:rsidRPr="000D37DB">
              <w:rPr>
                <w:color w:val="000000"/>
                <w:sz w:val="20"/>
                <w:szCs w:val="20"/>
              </w:rPr>
              <w:t> </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FB815FD" w14:textId="77777777">
            <w:pPr>
              <w:jc w:val="center"/>
              <w:rPr>
                <w:color w:val="000000"/>
                <w:sz w:val="20"/>
                <w:szCs w:val="20"/>
              </w:rPr>
            </w:pPr>
            <w:r w:rsidRPr="000D37DB">
              <w:rPr>
                <w:color w:val="000000"/>
                <w:sz w:val="20"/>
                <w:szCs w:val="20"/>
              </w:rPr>
              <w:t> </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4303AF0" w14:textId="77777777">
            <w:pPr>
              <w:jc w:val="center"/>
              <w:rPr>
                <w:color w:val="000000"/>
                <w:sz w:val="20"/>
                <w:szCs w:val="20"/>
              </w:rPr>
            </w:pPr>
            <w:r w:rsidRPr="000D37DB">
              <w:rPr>
                <w:color w:val="000000"/>
                <w:sz w:val="20"/>
                <w:szCs w:val="20"/>
              </w:rPr>
              <w:t> </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951F395" w14:textId="77777777">
            <w:pPr>
              <w:jc w:val="center"/>
              <w:rPr>
                <w:color w:val="000000"/>
                <w:sz w:val="20"/>
                <w:szCs w:val="20"/>
              </w:rPr>
            </w:pPr>
            <w:r w:rsidRPr="000D37DB">
              <w:rPr>
                <w:color w:val="000000"/>
                <w:sz w:val="20"/>
                <w:szCs w:val="20"/>
              </w:rPr>
              <w:t> </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7FA98A2" w14:textId="77777777">
            <w:pPr>
              <w:jc w:val="right"/>
              <w:rPr>
                <w:color w:val="000000"/>
                <w:sz w:val="20"/>
                <w:szCs w:val="20"/>
              </w:rPr>
            </w:pPr>
            <w:r w:rsidRPr="000D37DB">
              <w:rPr>
                <w:color w:val="000000"/>
                <w:sz w:val="20"/>
                <w:szCs w:val="20"/>
              </w:rPr>
              <w:t> </w:t>
            </w:r>
          </w:p>
        </w:tc>
      </w:tr>
      <w:tr w14:paraId="68B9DC24" w14:textId="77777777" w:rsidTr="009A2F1F">
        <w:tblPrEx>
          <w:tblW w:w="5000" w:type="pct"/>
          <w:tblLook w:val="04A0"/>
        </w:tblPrEx>
        <w:trPr>
          <w:trHeight w:val="315"/>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79CD3F6A" w14:textId="77777777">
            <w:pPr>
              <w:ind w:firstLine="400" w:firstLineChars="200"/>
              <w:rPr>
                <w:color w:val="000000"/>
                <w:sz w:val="20"/>
                <w:szCs w:val="20"/>
              </w:rPr>
            </w:pPr>
            <w:r w:rsidRPr="000D37DB">
              <w:rPr>
                <w:color w:val="000000"/>
                <w:sz w:val="20"/>
                <w:szCs w:val="20"/>
              </w:rPr>
              <w:t xml:space="preserve">Operating CEMS </w:t>
            </w:r>
            <w:r w:rsidRPr="000D37DB">
              <w:rPr>
                <w:color w:val="000000"/>
                <w:sz w:val="20"/>
                <w:szCs w:val="20"/>
                <w:vertAlign w:val="superscript"/>
              </w:rPr>
              <w:t>e</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206CEDA" w14:textId="77777777">
            <w:pPr>
              <w:jc w:val="center"/>
              <w:rPr>
                <w:color w:val="000000"/>
                <w:sz w:val="20"/>
                <w:szCs w:val="20"/>
              </w:rPr>
            </w:pPr>
            <w:r w:rsidRPr="000D37DB">
              <w:rPr>
                <w:color w:val="000000"/>
                <w:sz w:val="20"/>
                <w:szCs w:val="20"/>
              </w:rPr>
              <w:t>0.25</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A3A5915" w14:textId="77777777">
            <w:pPr>
              <w:jc w:val="center"/>
              <w:rPr>
                <w:color w:val="000000"/>
                <w:sz w:val="20"/>
                <w:szCs w:val="20"/>
              </w:rPr>
            </w:pPr>
            <w:r w:rsidRPr="000D37DB">
              <w:rPr>
                <w:color w:val="000000"/>
                <w:sz w:val="20"/>
                <w:szCs w:val="20"/>
              </w:rPr>
              <w:t>365</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B787D4D" w14:textId="77777777">
            <w:pPr>
              <w:jc w:val="center"/>
              <w:rPr>
                <w:color w:val="000000"/>
                <w:sz w:val="20"/>
                <w:szCs w:val="20"/>
              </w:rPr>
            </w:pPr>
            <w:r w:rsidRPr="000D37DB">
              <w:rPr>
                <w:color w:val="000000"/>
                <w:sz w:val="20"/>
                <w:szCs w:val="20"/>
              </w:rPr>
              <w:t>91.25</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86BEAC9" w14:textId="77777777">
            <w:pPr>
              <w:jc w:val="center"/>
              <w:rPr>
                <w:color w:val="000000"/>
                <w:sz w:val="20"/>
                <w:szCs w:val="20"/>
              </w:rPr>
            </w:pPr>
            <w:r w:rsidRPr="000D37DB">
              <w:rPr>
                <w:color w:val="000000"/>
                <w:sz w:val="20"/>
                <w:szCs w:val="20"/>
              </w:rPr>
              <w:t>4</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F1AE582" w14:textId="77777777">
            <w:pPr>
              <w:jc w:val="center"/>
              <w:rPr>
                <w:color w:val="000000"/>
                <w:sz w:val="20"/>
                <w:szCs w:val="20"/>
              </w:rPr>
            </w:pPr>
            <w:r w:rsidRPr="000D37DB">
              <w:rPr>
                <w:color w:val="000000"/>
                <w:sz w:val="20"/>
                <w:szCs w:val="20"/>
              </w:rPr>
              <w:t>365</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5E36073" w14:textId="77777777">
            <w:pPr>
              <w:jc w:val="center"/>
              <w:rPr>
                <w:color w:val="000000"/>
                <w:sz w:val="20"/>
                <w:szCs w:val="20"/>
              </w:rPr>
            </w:pPr>
            <w:r w:rsidRPr="000D37DB">
              <w:rPr>
                <w:color w:val="000000"/>
                <w:sz w:val="20"/>
                <w:szCs w:val="20"/>
              </w:rPr>
              <w:t>18.25</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EF80CC5" w14:textId="77777777">
            <w:pPr>
              <w:jc w:val="center"/>
              <w:rPr>
                <w:color w:val="000000"/>
                <w:sz w:val="20"/>
                <w:szCs w:val="20"/>
              </w:rPr>
            </w:pPr>
            <w:r w:rsidRPr="000D37DB">
              <w:rPr>
                <w:color w:val="000000"/>
                <w:sz w:val="20"/>
                <w:szCs w:val="20"/>
              </w:rPr>
              <w:t>36.5</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D0EB81B" w14:textId="77777777">
            <w:pPr>
              <w:jc w:val="right"/>
              <w:rPr>
                <w:color w:val="000000"/>
                <w:sz w:val="20"/>
                <w:szCs w:val="20"/>
              </w:rPr>
            </w:pPr>
            <w:r w:rsidRPr="000D37DB">
              <w:rPr>
                <w:color w:val="000000"/>
                <w:sz w:val="20"/>
                <w:szCs w:val="20"/>
              </w:rPr>
              <w:t xml:space="preserve">$64,333.08 </w:t>
            </w:r>
          </w:p>
        </w:tc>
      </w:tr>
      <w:tr w14:paraId="76913ED2" w14:textId="77777777" w:rsidTr="009A2F1F">
        <w:tblPrEx>
          <w:tblW w:w="5000" w:type="pct"/>
          <w:tblLook w:val="04A0"/>
        </w:tblPrEx>
        <w:trPr>
          <w:trHeight w:val="300"/>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3D3F467E" w14:textId="77777777">
            <w:pPr>
              <w:ind w:firstLine="400" w:firstLineChars="200"/>
              <w:rPr>
                <w:color w:val="000000"/>
                <w:sz w:val="20"/>
                <w:szCs w:val="20"/>
              </w:rPr>
            </w:pPr>
            <w:r w:rsidRPr="000D37DB">
              <w:rPr>
                <w:color w:val="000000"/>
                <w:sz w:val="20"/>
                <w:szCs w:val="20"/>
              </w:rPr>
              <w:t>Weekly and monthly sampling</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F801B74" w14:textId="77777777">
            <w:pPr>
              <w:jc w:val="center"/>
              <w:rPr>
                <w:color w:val="000000"/>
                <w:sz w:val="20"/>
                <w:szCs w:val="20"/>
              </w:rPr>
            </w:pPr>
            <w:r w:rsidRPr="000D37DB">
              <w:rPr>
                <w:color w:val="000000"/>
                <w:sz w:val="20"/>
                <w:szCs w:val="20"/>
              </w:rPr>
              <w:t>1</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0A9F627" w14:textId="77777777">
            <w:pPr>
              <w:jc w:val="center"/>
              <w:rPr>
                <w:color w:val="000000"/>
                <w:sz w:val="20"/>
                <w:szCs w:val="20"/>
              </w:rPr>
            </w:pPr>
            <w:r w:rsidRPr="000D37DB">
              <w:rPr>
                <w:color w:val="000000"/>
                <w:sz w:val="20"/>
                <w:szCs w:val="20"/>
              </w:rPr>
              <w:t>52</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0354F4D0" w14:textId="77777777">
            <w:pPr>
              <w:jc w:val="center"/>
              <w:rPr>
                <w:color w:val="000000"/>
                <w:sz w:val="20"/>
                <w:szCs w:val="20"/>
              </w:rPr>
            </w:pPr>
            <w:r w:rsidRPr="000D37DB">
              <w:rPr>
                <w:color w:val="000000"/>
                <w:sz w:val="20"/>
                <w:szCs w:val="20"/>
              </w:rPr>
              <w:t>52</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D407D57" w14:textId="77777777">
            <w:pPr>
              <w:jc w:val="center"/>
              <w:rPr>
                <w:color w:val="000000"/>
                <w:sz w:val="20"/>
                <w:szCs w:val="20"/>
              </w:rPr>
            </w:pPr>
            <w:r w:rsidRPr="000D37DB">
              <w:rPr>
                <w:color w:val="000000"/>
                <w:sz w:val="20"/>
                <w:szCs w:val="20"/>
              </w:rPr>
              <w:t>17</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E157222" w14:textId="77777777">
            <w:pPr>
              <w:jc w:val="center"/>
              <w:rPr>
                <w:color w:val="000000"/>
                <w:sz w:val="20"/>
                <w:szCs w:val="20"/>
              </w:rPr>
            </w:pPr>
            <w:r w:rsidRPr="000D37DB">
              <w:rPr>
                <w:color w:val="000000"/>
                <w:sz w:val="20"/>
                <w:szCs w:val="20"/>
              </w:rPr>
              <w:t>884</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7C8791C" w14:textId="77777777">
            <w:pPr>
              <w:jc w:val="center"/>
              <w:rPr>
                <w:color w:val="000000"/>
                <w:sz w:val="20"/>
                <w:szCs w:val="20"/>
              </w:rPr>
            </w:pPr>
            <w:r w:rsidRPr="000D37DB">
              <w:rPr>
                <w:color w:val="000000"/>
                <w:sz w:val="20"/>
                <w:szCs w:val="20"/>
              </w:rPr>
              <w:t>44.2</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0DB238D" w14:textId="77777777">
            <w:pPr>
              <w:jc w:val="center"/>
              <w:rPr>
                <w:color w:val="000000"/>
                <w:sz w:val="20"/>
                <w:szCs w:val="20"/>
              </w:rPr>
            </w:pPr>
            <w:r w:rsidRPr="000D37DB">
              <w:rPr>
                <w:color w:val="000000"/>
                <w:sz w:val="20"/>
                <w:szCs w:val="20"/>
              </w:rPr>
              <w:t>88.4</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1EFC624" w14:textId="77777777">
            <w:pPr>
              <w:jc w:val="right"/>
              <w:rPr>
                <w:color w:val="000000"/>
                <w:sz w:val="20"/>
                <w:szCs w:val="20"/>
              </w:rPr>
            </w:pPr>
            <w:r w:rsidRPr="000D37DB">
              <w:rPr>
                <w:color w:val="000000"/>
                <w:sz w:val="20"/>
                <w:szCs w:val="20"/>
              </w:rPr>
              <w:t xml:space="preserve">$155,809.42 </w:t>
            </w:r>
          </w:p>
        </w:tc>
      </w:tr>
      <w:tr w14:paraId="25A6C67E" w14:textId="77777777" w:rsidTr="009A2F1F">
        <w:tblPrEx>
          <w:tblW w:w="5000" w:type="pct"/>
          <w:tblLook w:val="04A0"/>
        </w:tblPrEx>
        <w:trPr>
          <w:trHeight w:val="315"/>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3D240622" w14:textId="77777777">
            <w:pPr>
              <w:ind w:left="341" w:firstLine="58" w:firstLineChars="29"/>
              <w:rPr>
                <w:sz w:val="20"/>
                <w:szCs w:val="20"/>
              </w:rPr>
            </w:pPr>
            <w:r w:rsidRPr="000D37DB">
              <w:rPr>
                <w:sz w:val="20"/>
                <w:szCs w:val="20"/>
              </w:rPr>
              <w:t xml:space="preserve">Annual Method 29 Performance Test </w:t>
            </w:r>
            <w:r w:rsidRPr="000D37DB">
              <w:rPr>
                <w:sz w:val="20"/>
                <w:szCs w:val="20"/>
                <w:vertAlign w:val="superscript"/>
              </w:rPr>
              <w:t>f</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A0C2C55" w14:textId="77777777">
            <w:pPr>
              <w:jc w:val="center"/>
              <w:rPr>
                <w:color w:val="000000"/>
                <w:sz w:val="20"/>
                <w:szCs w:val="20"/>
              </w:rPr>
            </w:pPr>
            <w:r w:rsidRPr="000D37DB">
              <w:rPr>
                <w:color w:val="000000"/>
                <w:sz w:val="20"/>
                <w:szCs w:val="20"/>
              </w:rPr>
              <w:t>15</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00D7486" w14:textId="77777777">
            <w:pPr>
              <w:jc w:val="center"/>
              <w:rPr>
                <w:color w:val="000000"/>
                <w:sz w:val="20"/>
                <w:szCs w:val="20"/>
              </w:rPr>
            </w:pPr>
            <w:r w:rsidRPr="000D37DB">
              <w:rPr>
                <w:color w:val="000000"/>
                <w:sz w:val="20"/>
                <w:szCs w:val="20"/>
              </w:rPr>
              <w:t>1</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0F3C02A3" w14:textId="77777777">
            <w:pPr>
              <w:jc w:val="center"/>
              <w:rPr>
                <w:color w:val="000000"/>
                <w:sz w:val="20"/>
                <w:szCs w:val="20"/>
              </w:rPr>
            </w:pPr>
            <w:r w:rsidRPr="000D37DB">
              <w:rPr>
                <w:color w:val="000000"/>
                <w:sz w:val="20"/>
                <w:szCs w:val="20"/>
              </w:rPr>
              <w:t>15</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0C3DE569" w14:textId="77777777">
            <w:pPr>
              <w:jc w:val="center"/>
              <w:rPr>
                <w:color w:val="000000"/>
                <w:sz w:val="20"/>
                <w:szCs w:val="20"/>
              </w:rPr>
            </w:pPr>
            <w:r w:rsidRPr="000D37DB">
              <w:rPr>
                <w:color w:val="000000"/>
                <w:sz w:val="20"/>
                <w:szCs w:val="20"/>
              </w:rPr>
              <w:t>17</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D96977B" w14:textId="77777777">
            <w:pPr>
              <w:jc w:val="center"/>
              <w:rPr>
                <w:color w:val="000000"/>
                <w:sz w:val="20"/>
                <w:szCs w:val="20"/>
              </w:rPr>
            </w:pPr>
            <w:r w:rsidRPr="000D37DB">
              <w:rPr>
                <w:color w:val="000000"/>
                <w:sz w:val="20"/>
                <w:szCs w:val="20"/>
              </w:rPr>
              <w:t>255</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53E1536" w14:textId="77777777">
            <w:pPr>
              <w:jc w:val="center"/>
              <w:rPr>
                <w:color w:val="000000"/>
                <w:sz w:val="20"/>
                <w:szCs w:val="20"/>
              </w:rPr>
            </w:pPr>
            <w:r w:rsidRPr="000D37DB">
              <w:rPr>
                <w:color w:val="000000"/>
                <w:sz w:val="20"/>
                <w:szCs w:val="20"/>
              </w:rPr>
              <w:t>12.75</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9C0960D" w14:textId="77777777">
            <w:pPr>
              <w:jc w:val="center"/>
              <w:rPr>
                <w:color w:val="000000"/>
                <w:sz w:val="20"/>
                <w:szCs w:val="20"/>
              </w:rPr>
            </w:pPr>
            <w:r w:rsidRPr="000D37DB">
              <w:rPr>
                <w:color w:val="000000"/>
                <w:sz w:val="20"/>
                <w:szCs w:val="20"/>
              </w:rPr>
              <w:t>25.5</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C495DF7" w14:textId="77777777">
            <w:pPr>
              <w:jc w:val="right"/>
              <w:rPr>
                <w:color w:val="000000"/>
                <w:sz w:val="20"/>
                <w:szCs w:val="20"/>
              </w:rPr>
            </w:pPr>
            <w:r w:rsidRPr="000D37DB">
              <w:rPr>
                <w:color w:val="000000"/>
                <w:sz w:val="20"/>
                <w:szCs w:val="20"/>
              </w:rPr>
              <w:t xml:space="preserve">$44,945.03 </w:t>
            </w:r>
          </w:p>
        </w:tc>
      </w:tr>
      <w:tr w14:paraId="221DDB8E" w14:textId="77777777" w:rsidTr="009A2F1F">
        <w:tblPrEx>
          <w:tblW w:w="5000" w:type="pct"/>
          <w:tblLook w:val="04A0"/>
        </w:tblPrEx>
        <w:trPr>
          <w:trHeight w:val="300"/>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0A1989B2" w14:textId="77777777">
            <w:pPr>
              <w:ind w:firstLine="200" w:firstLineChars="100"/>
              <w:rPr>
                <w:color w:val="000000"/>
                <w:sz w:val="20"/>
                <w:szCs w:val="20"/>
              </w:rPr>
            </w:pPr>
            <w:r w:rsidRPr="000D37DB">
              <w:rPr>
                <w:color w:val="000000"/>
                <w:sz w:val="20"/>
                <w:szCs w:val="20"/>
              </w:rPr>
              <w:t>C.</w:t>
            </w:r>
            <w:r>
              <w:rPr>
                <w:color w:val="000000"/>
                <w:sz w:val="20"/>
                <w:szCs w:val="20"/>
              </w:rPr>
              <w:t xml:space="preserve"> </w:t>
            </w:r>
            <w:r w:rsidRPr="000D37DB">
              <w:rPr>
                <w:color w:val="000000"/>
                <w:sz w:val="20"/>
                <w:szCs w:val="20"/>
              </w:rPr>
              <w:t>Create information</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0C434CE" w14:textId="77777777">
            <w:pPr>
              <w:jc w:val="center"/>
              <w:rPr>
                <w:color w:val="000000"/>
                <w:sz w:val="20"/>
                <w:szCs w:val="20"/>
              </w:rPr>
            </w:pPr>
            <w:r w:rsidRPr="000D37DB">
              <w:rPr>
                <w:color w:val="000000"/>
                <w:sz w:val="20"/>
                <w:szCs w:val="20"/>
              </w:rPr>
              <w:t>See 4B</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22A6CB8" w14:textId="77777777">
            <w:pPr>
              <w:jc w:val="center"/>
              <w:rPr>
                <w:color w:val="000000"/>
                <w:sz w:val="20"/>
                <w:szCs w:val="20"/>
              </w:rPr>
            </w:pPr>
            <w:r w:rsidRPr="000D37DB">
              <w:rPr>
                <w:color w:val="000000"/>
                <w:sz w:val="20"/>
                <w:szCs w:val="20"/>
              </w:rPr>
              <w:t> </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099BD4A" w14:textId="77777777">
            <w:pPr>
              <w:jc w:val="center"/>
              <w:rPr>
                <w:color w:val="000000"/>
                <w:sz w:val="20"/>
                <w:szCs w:val="20"/>
              </w:rPr>
            </w:pPr>
            <w:r w:rsidRPr="000D37DB">
              <w:rPr>
                <w:color w:val="000000"/>
                <w:sz w:val="20"/>
                <w:szCs w:val="20"/>
              </w:rPr>
              <w:t> </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4FF8FAE" w14:textId="77777777">
            <w:pPr>
              <w:jc w:val="center"/>
              <w:rPr>
                <w:color w:val="000000"/>
                <w:sz w:val="20"/>
                <w:szCs w:val="20"/>
              </w:rPr>
            </w:pPr>
            <w:r w:rsidRPr="000D37DB">
              <w:rPr>
                <w:color w:val="000000"/>
                <w:sz w:val="20"/>
                <w:szCs w:val="20"/>
              </w:rPr>
              <w:t> </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B37F136" w14:textId="77777777">
            <w:pPr>
              <w:jc w:val="center"/>
              <w:rPr>
                <w:color w:val="000000"/>
                <w:sz w:val="20"/>
                <w:szCs w:val="20"/>
              </w:rPr>
            </w:pPr>
            <w:r w:rsidRPr="000D37DB">
              <w:rPr>
                <w:color w:val="000000"/>
                <w:sz w:val="20"/>
                <w:szCs w:val="20"/>
              </w:rPr>
              <w:t> </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C2D66C7" w14:textId="77777777">
            <w:pPr>
              <w:jc w:val="center"/>
              <w:rPr>
                <w:color w:val="000000"/>
                <w:sz w:val="20"/>
                <w:szCs w:val="20"/>
              </w:rPr>
            </w:pPr>
            <w:r w:rsidRPr="000D37DB">
              <w:rPr>
                <w:color w:val="000000"/>
                <w:sz w:val="20"/>
                <w:szCs w:val="20"/>
              </w:rPr>
              <w:t> </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4CCC90B" w14:textId="77777777">
            <w:pPr>
              <w:jc w:val="center"/>
              <w:rPr>
                <w:color w:val="000000"/>
                <w:sz w:val="20"/>
                <w:szCs w:val="20"/>
              </w:rPr>
            </w:pPr>
            <w:r w:rsidRPr="000D37DB">
              <w:rPr>
                <w:color w:val="000000"/>
                <w:sz w:val="20"/>
                <w:szCs w:val="20"/>
              </w:rPr>
              <w:t> </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F498270" w14:textId="77777777">
            <w:pPr>
              <w:jc w:val="right"/>
              <w:rPr>
                <w:color w:val="000000"/>
                <w:sz w:val="20"/>
                <w:szCs w:val="20"/>
              </w:rPr>
            </w:pPr>
            <w:r w:rsidRPr="000D37DB">
              <w:rPr>
                <w:color w:val="000000"/>
                <w:sz w:val="20"/>
                <w:szCs w:val="20"/>
              </w:rPr>
              <w:t> </w:t>
            </w:r>
          </w:p>
        </w:tc>
      </w:tr>
      <w:tr w14:paraId="26C91DDF" w14:textId="77777777" w:rsidTr="009A2F1F">
        <w:tblPrEx>
          <w:tblW w:w="5000" w:type="pct"/>
          <w:tblLook w:val="04A0"/>
        </w:tblPrEx>
        <w:trPr>
          <w:trHeight w:val="300"/>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6E7C9A65" w14:textId="77777777">
            <w:pPr>
              <w:ind w:firstLine="200" w:firstLineChars="100"/>
              <w:rPr>
                <w:color w:val="000000"/>
                <w:sz w:val="20"/>
                <w:szCs w:val="20"/>
              </w:rPr>
            </w:pPr>
            <w:r w:rsidRPr="000D37DB">
              <w:rPr>
                <w:color w:val="000000"/>
                <w:sz w:val="20"/>
                <w:szCs w:val="20"/>
              </w:rPr>
              <w:t>D.</w:t>
            </w:r>
            <w:r>
              <w:rPr>
                <w:color w:val="000000"/>
                <w:sz w:val="20"/>
                <w:szCs w:val="20"/>
              </w:rPr>
              <w:t xml:space="preserve"> </w:t>
            </w:r>
            <w:r w:rsidRPr="000D37DB">
              <w:rPr>
                <w:color w:val="000000"/>
                <w:sz w:val="20"/>
                <w:szCs w:val="20"/>
              </w:rPr>
              <w:t>Gather existing information</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D3BFD4B" w14:textId="77777777">
            <w:pPr>
              <w:jc w:val="center"/>
              <w:rPr>
                <w:color w:val="000000"/>
                <w:sz w:val="20"/>
                <w:szCs w:val="20"/>
              </w:rPr>
            </w:pPr>
            <w:r w:rsidRPr="000D37DB">
              <w:rPr>
                <w:color w:val="000000"/>
                <w:sz w:val="20"/>
                <w:szCs w:val="20"/>
              </w:rPr>
              <w:t>See 4B</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170EF9A" w14:textId="77777777">
            <w:pPr>
              <w:jc w:val="center"/>
              <w:rPr>
                <w:color w:val="000000"/>
                <w:sz w:val="20"/>
                <w:szCs w:val="20"/>
              </w:rPr>
            </w:pPr>
            <w:r w:rsidRPr="000D37DB">
              <w:rPr>
                <w:color w:val="000000"/>
                <w:sz w:val="20"/>
                <w:szCs w:val="20"/>
              </w:rPr>
              <w:t> </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4A4BA1E" w14:textId="77777777">
            <w:pPr>
              <w:jc w:val="center"/>
              <w:rPr>
                <w:color w:val="000000"/>
                <w:sz w:val="20"/>
                <w:szCs w:val="20"/>
              </w:rPr>
            </w:pPr>
            <w:r w:rsidRPr="000D37DB">
              <w:rPr>
                <w:color w:val="000000"/>
                <w:sz w:val="20"/>
                <w:szCs w:val="20"/>
              </w:rPr>
              <w:t> </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E84DC33" w14:textId="77777777">
            <w:pPr>
              <w:jc w:val="center"/>
              <w:rPr>
                <w:color w:val="000000"/>
                <w:sz w:val="20"/>
                <w:szCs w:val="20"/>
              </w:rPr>
            </w:pPr>
            <w:r w:rsidRPr="000D37DB">
              <w:rPr>
                <w:color w:val="000000"/>
                <w:sz w:val="20"/>
                <w:szCs w:val="20"/>
              </w:rPr>
              <w:t> </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A007F6C" w14:textId="77777777">
            <w:pPr>
              <w:jc w:val="center"/>
              <w:rPr>
                <w:color w:val="000000"/>
                <w:sz w:val="20"/>
                <w:szCs w:val="20"/>
              </w:rPr>
            </w:pPr>
            <w:r w:rsidRPr="000D37DB">
              <w:rPr>
                <w:color w:val="000000"/>
                <w:sz w:val="20"/>
                <w:szCs w:val="20"/>
              </w:rPr>
              <w:t> </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025257A" w14:textId="77777777">
            <w:pPr>
              <w:jc w:val="center"/>
              <w:rPr>
                <w:color w:val="000000"/>
                <w:sz w:val="20"/>
                <w:szCs w:val="20"/>
              </w:rPr>
            </w:pPr>
            <w:r w:rsidRPr="000D37DB">
              <w:rPr>
                <w:color w:val="000000"/>
                <w:sz w:val="20"/>
                <w:szCs w:val="20"/>
              </w:rPr>
              <w:t> </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C1BB1F4" w14:textId="77777777">
            <w:pPr>
              <w:jc w:val="center"/>
              <w:rPr>
                <w:color w:val="000000"/>
                <w:sz w:val="20"/>
                <w:szCs w:val="20"/>
              </w:rPr>
            </w:pPr>
            <w:r w:rsidRPr="000D37DB">
              <w:rPr>
                <w:color w:val="000000"/>
                <w:sz w:val="20"/>
                <w:szCs w:val="20"/>
              </w:rPr>
              <w:t> </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D86C891" w14:textId="77777777">
            <w:pPr>
              <w:jc w:val="right"/>
              <w:rPr>
                <w:color w:val="000000"/>
                <w:sz w:val="20"/>
                <w:szCs w:val="20"/>
              </w:rPr>
            </w:pPr>
            <w:r w:rsidRPr="000D37DB">
              <w:rPr>
                <w:color w:val="000000"/>
                <w:sz w:val="20"/>
                <w:szCs w:val="20"/>
              </w:rPr>
              <w:t> </w:t>
            </w:r>
          </w:p>
        </w:tc>
      </w:tr>
      <w:tr w14:paraId="613B9F5B" w14:textId="77777777" w:rsidTr="009A2F1F">
        <w:tblPrEx>
          <w:tblW w:w="5000" w:type="pct"/>
          <w:tblLook w:val="04A0"/>
        </w:tblPrEx>
        <w:trPr>
          <w:trHeight w:val="300"/>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0C8BBA86" w14:textId="77777777">
            <w:pPr>
              <w:ind w:firstLine="200" w:firstLineChars="100"/>
              <w:rPr>
                <w:color w:val="000000"/>
                <w:sz w:val="20"/>
                <w:szCs w:val="20"/>
              </w:rPr>
            </w:pPr>
            <w:r w:rsidRPr="000D37DB">
              <w:rPr>
                <w:color w:val="000000"/>
                <w:sz w:val="20"/>
                <w:szCs w:val="20"/>
              </w:rPr>
              <w:t>E.</w:t>
            </w:r>
            <w:r>
              <w:rPr>
                <w:color w:val="000000"/>
                <w:sz w:val="20"/>
                <w:szCs w:val="20"/>
              </w:rPr>
              <w:t xml:space="preserve"> </w:t>
            </w:r>
            <w:r w:rsidRPr="000D37DB">
              <w:rPr>
                <w:color w:val="000000"/>
                <w:sz w:val="20"/>
                <w:szCs w:val="20"/>
              </w:rPr>
              <w:t>Write report</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77F573B" w14:textId="77777777">
            <w:pPr>
              <w:jc w:val="center"/>
              <w:rPr>
                <w:color w:val="000000"/>
                <w:sz w:val="20"/>
                <w:szCs w:val="20"/>
              </w:rPr>
            </w:pPr>
            <w:r w:rsidRPr="000D37DB">
              <w:rPr>
                <w:color w:val="000000"/>
                <w:sz w:val="20"/>
                <w:szCs w:val="20"/>
              </w:rPr>
              <w:t>See 4B</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B426740" w14:textId="77777777">
            <w:pPr>
              <w:jc w:val="center"/>
              <w:rPr>
                <w:color w:val="000000"/>
                <w:sz w:val="20"/>
                <w:szCs w:val="20"/>
              </w:rPr>
            </w:pPr>
            <w:r w:rsidRPr="000D37DB">
              <w:rPr>
                <w:color w:val="000000"/>
                <w:sz w:val="20"/>
                <w:szCs w:val="20"/>
              </w:rPr>
              <w:t> </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D7FBC8B" w14:textId="77777777">
            <w:pPr>
              <w:jc w:val="center"/>
              <w:rPr>
                <w:color w:val="000000"/>
                <w:sz w:val="20"/>
                <w:szCs w:val="20"/>
              </w:rPr>
            </w:pPr>
            <w:r w:rsidRPr="000D37DB">
              <w:rPr>
                <w:color w:val="000000"/>
                <w:sz w:val="20"/>
                <w:szCs w:val="20"/>
              </w:rPr>
              <w:t> </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0871067A" w14:textId="77777777">
            <w:pPr>
              <w:jc w:val="center"/>
              <w:rPr>
                <w:color w:val="000000"/>
                <w:sz w:val="20"/>
                <w:szCs w:val="20"/>
              </w:rPr>
            </w:pPr>
            <w:r w:rsidRPr="000D37DB">
              <w:rPr>
                <w:color w:val="000000"/>
                <w:sz w:val="20"/>
                <w:szCs w:val="20"/>
              </w:rPr>
              <w:t> </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31231F6" w14:textId="77777777">
            <w:pPr>
              <w:jc w:val="center"/>
              <w:rPr>
                <w:color w:val="000000"/>
                <w:sz w:val="20"/>
                <w:szCs w:val="20"/>
              </w:rPr>
            </w:pPr>
            <w:r w:rsidRPr="000D37DB">
              <w:rPr>
                <w:color w:val="000000"/>
                <w:sz w:val="20"/>
                <w:szCs w:val="20"/>
              </w:rPr>
              <w:t> </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C139AB0" w14:textId="77777777">
            <w:pPr>
              <w:jc w:val="center"/>
              <w:rPr>
                <w:color w:val="000000"/>
                <w:sz w:val="20"/>
                <w:szCs w:val="20"/>
              </w:rPr>
            </w:pPr>
            <w:r w:rsidRPr="000D37DB">
              <w:rPr>
                <w:color w:val="000000"/>
                <w:sz w:val="20"/>
                <w:szCs w:val="20"/>
              </w:rPr>
              <w:t> </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7221034" w14:textId="77777777">
            <w:pPr>
              <w:jc w:val="center"/>
              <w:rPr>
                <w:color w:val="000000"/>
                <w:sz w:val="20"/>
                <w:szCs w:val="20"/>
              </w:rPr>
            </w:pPr>
            <w:r w:rsidRPr="000D37DB">
              <w:rPr>
                <w:color w:val="000000"/>
                <w:sz w:val="20"/>
                <w:szCs w:val="20"/>
              </w:rPr>
              <w:t> </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0D4728F" w14:textId="77777777">
            <w:pPr>
              <w:jc w:val="right"/>
              <w:rPr>
                <w:color w:val="000000"/>
                <w:sz w:val="20"/>
                <w:szCs w:val="20"/>
              </w:rPr>
            </w:pPr>
            <w:r w:rsidRPr="000D37DB">
              <w:rPr>
                <w:color w:val="000000"/>
                <w:sz w:val="20"/>
                <w:szCs w:val="20"/>
              </w:rPr>
              <w:t> </w:t>
            </w:r>
          </w:p>
        </w:tc>
      </w:tr>
      <w:tr w14:paraId="327A6D2E" w14:textId="77777777" w:rsidTr="009A2F1F">
        <w:tblPrEx>
          <w:tblW w:w="5000" w:type="pct"/>
          <w:tblLook w:val="04A0"/>
        </w:tblPrEx>
        <w:trPr>
          <w:trHeight w:val="315"/>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475D43DE" w14:textId="77777777">
            <w:pPr>
              <w:ind w:left="341" w:firstLine="58" w:firstLineChars="29"/>
              <w:rPr>
                <w:color w:val="000000"/>
                <w:sz w:val="20"/>
                <w:szCs w:val="20"/>
              </w:rPr>
            </w:pPr>
            <w:r w:rsidRPr="000D37DB">
              <w:rPr>
                <w:color w:val="000000"/>
                <w:sz w:val="20"/>
                <w:szCs w:val="20"/>
              </w:rPr>
              <w:t xml:space="preserve">Initial notification of applicability </w:t>
            </w:r>
            <w:r w:rsidRPr="000D37DB">
              <w:rPr>
                <w:color w:val="000000"/>
                <w:sz w:val="20"/>
                <w:szCs w:val="20"/>
                <w:vertAlign w:val="superscript"/>
              </w:rPr>
              <w:t>g</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001855F" w14:textId="77777777">
            <w:pPr>
              <w:jc w:val="center"/>
              <w:rPr>
                <w:color w:val="000000"/>
                <w:sz w:val="20"/>
                <w:szCs w:val="20"/>
              </w:rPr>
            </w:pPr>
            <w:r w:rsidRPr="000D37DB">
              <w:rPr>
                <w:color w:val="000000"/>
                <w:sz w:val="20"/>
                <w:szCs w:val="20"/>
              </w:rPr>
              <w:t>2</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56672AA" w14:textId="77777777">
            <w:pPr>
              <w:jc w:val="center"/>
              <w:rPr>
                <w:color w:val="000000"/>
                <w:sz w:val="20"/>
                <w:szCs w:val="20"/>
              </w:rPr>
            </w:pPr>
            <w:r w:rsidRPr="000D37DB">
              <w:rPr>
                <w:color w:val="000000"/>
                <w:sz w:val="20"/>
                <w:szCs w:val="20"/>
              </w:rPr>
              <w:t>1</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649C5D7" w14:textId="77777777">
            <w:pPr>
              <w:jc w:val="center"/>
              <w:rPr>
                <w:color w:val="000000"/>
                <w:sz w:val="20"/>
                <w:szCs w:val="20"/>
              </w:rPr>
            </w:pPr>
            <w:r w:rsidRPr="000D37DB">
              <w:rPr>
                <w:color w:val="000000"/>
                <w:sz w:val="20"/>
                <w:szCs w:val="20"/>
              </w:rPr>
              <w:t>2</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7379A07" w14:textId="77777777">
            <w:pPr>
              <w:jc w:val="center"/>
              <w:rPr>
                <w:color w:val="000000"/>
                <w:sz w:val="20"/>
                <w:szCs w:val="20"/>
              </w:rPr>
            </w:pPr>
            <w:r w:rsidRPr="000D37DB">
              <w:rPr>
                <w:color w:val="000000"/>
                <w:sz w:val="20"/>
                <w:szCs w:val="20"/>
              </w:rPr>
              <w:t>0</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B1CDEFA" w14:textId="77777777">
            <w:pPr>
              <w:jc w:val="center"/>
              <w:rPr>
                <w:color w:val="000000"/>
                <w:sz w:val="20"/>
                <w:szCs w:val="20"/>
              </w:rPr>
            </w:pPr>
            <w:r w:rsidRPr="000D37DB">
              <w:rPr>
                <w:color w:val="000000"/>
                <w:sz w:val="20"/>
                <w:szCs w:val="20"/>
              </w:rPr>
              <w:t>0</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DA2EDE4" w14:textId="77777777">
            <w:pPr>
              <w:jc w:val="center"/>
              <w:rPr>
                <w:color w:val="000000"/>
                <w:sz w:val="20"/>
                <w:szCs w:val="20"/>
              </w:rPr>
            </w:pPr>
            <w:r w:rsidRPr="000D37DB">
              <w:rPr>
                <w:color w:val="000000"/>
                <w:sz w:val="20"/>
                <w:szCs w:val="20"/>
              </w:rPr>
              <w:t>0</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E8D3232" w14:textId="77777777">
            <w:pPr>
              <w:jc w:val="center"/>
              <w:rPr>
                <w:color w:val="000000"/>
                <w:sz w:val="20"/>
                <w:szCs w:val="20"/>
              </w:rPr>
            </w:pPr>
            <w:r w:rsidRPr="000D37DB">
              <w:rPr>
                <w:color w:val="000000"/>
                <w:sz w:val="20"/>
                <w:szCs w:val="20"/>
              </w:rPr>
              <w:t>0</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9CB975C" w14:textId="77777777">
            <w:pPr>
              <w:jc w:val="right"/>
              <w:rPr>
                <w:color w:val="000000"/>
                <w:sz w:val="20"/>
                <w:szCs w:val="20"/>
              </w:rPr>
            </w:pPr>
            <w:r w:rsidRPr="000D37DB">
              <w:rPr>
                <w:color w:val="000000"/>
                <w:sz w:val="20"/>
                <w:szCs w:val="20"/>
              </w:rPr>
              <w:t xml:space="preserve">$0 </w:t>
            </w:r>
          </w:p>
        </w:tc>
      </w:tr>
      <w:tr w14:paraId="49C767EB" w14:textId="77777777" w:rsidTr="009A2F1F">
        <w:tblPrEx>
          <w:tblW w:w="5000" w:type="pct"/>
          <w:tblLook w:val="04A0"/>
        </w:tblPrEx>
        <w:trPr>
          <w:trHeight w:val="315"/>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1DBB3F80" w14:textId="77777777">
            <w:pPr>
              <w:ind w:left="341" w:firstLine="58" w:firstLineChars="29"/>
              <w:rPr>
                <w:color w:val="000000"/>
                <w:sz w:val="20"/>
                <w:szCs w:val="20"/>
              </w:rPr>
            </w:pPr>
            <w:r w:rsidRPr="000D37DB">
              <w:rPr>
                <w:color w:val="000000"/>
                <w:sz w:val="20"/>
                <w:szCs w:val="20"/>
              </w:rPr>
              <w:t xml:space="preserve">Notification of compliance status </w:t>
            </w:r>
            <w:r w:rsidRPr="000D37DB">
              <w:rPr>
                <w:color w:val="000000"/>
                <w:sz w:val="20"/>
                <w:szCs w:val="20"/>
                <w:vertAlign w:val="superscript"/>
              </w:rPr>
              <w:t>g</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37FD769" w14:textId="77777777">
            <w:pPr>
              <w:jc w:val="center"/>
              <w:rPr>
                <w:color w:val="000000"/>
                <w:sz w:val="20"/>
                <w:szCs w:val="20"/>
              </w:rPr>
            </w:pPr>
            <w:r w:rsidRPr="000D37DB">
              <w:rPr>
                <w:color w:val="000000"/>
                <w:sz w:val="20"/>
                <w:szCs w:val="20"/>
              </w:rPr>
              <w:t>2</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A779CAD" w14:textId="77777777">
            <w:pPr>
              <w:jc w:val="center"/>
              <w:rPr>
                <w:color w:val="000000"/>
                <w:sz w:val="20"/>
                <w:szCs w:val="20"/>
              </w:rPr>
            </w:pPr>
            <w:r w:rsidRPr="000D37DB">
              <w:rPr>
                <w:color w:val="000000"/>
                <w:sz w:val="20"/>
                <w:szCs w:val="20"/>
              </w:rPr>
              <w:t>1</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9C28844" w14:textId="77777777">
            <w:pPr>
              <w:jc w:val="center"/>
              <w:rPr>
                <w:color w:val="000000"/>
                <w:sz w:val="20"/>
                <w:szCs w:val="20"/>
              </w:rPr>
            </w:pPr>
            <w:r w:rsidRPr="000D37DB">
              <w:rPr>
                <w:color w:val="000000"/>
                <w:sz w:val="20"/>
                <w:szCs w:val="20"/>
              </w:rPr>
              <w:t>2</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6F2765D" w14:textId="77777777">
            <w:pPr>
              <w:jc w:val="center"/>
              <w:rPr>
                <w:color w:val="000000"/>
                <w:sz w:val="20"/>
                <w:szCs w:val="20"/>
              </w:rPr>
            </w:pPr>
            <w:r w:rsidRPr="000D37DB">
              <w:rPr>
                <w:color w:val="000000"/>
                <w:sz w:val="20"/>
                <w:szCs w:val="20"/>
              </w:rPr>
              <w:t>0</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EB3A992" w14:textId="77777777">
            <w:pPr>
              <w:jc w:val="center"/>
              <w:rPr>
                <w:color w:val="000000"/>
                <w:sz w:val="20"/>
                <w:szCs w:val="20"/>
              </w:rPr>
            </w:pPr>
            <w:r w:rsidRPr="000D37DB">
              <w:rPr>
                <w:color w:val="000000"/>
                <w:sz w:val="20"/>
                <w:szCs w:val="20"/>
              </w:rPr>
              <w:t>0</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D7D336F" w14:textId="77777777">
            <w:pPr>
              <w:jc w:val="center"/>
              <w:rPr>
                <w:color w:val="000000"/>
                <w:sz w:val="20"/>
                <w:szCs w:val="20"/>
              </w:rPr>
            </w:pPr>
            <w:r w:rsidRPr="000D37DB">
              <w:rPr>
                <w:color w:val="000000"/>
                <w:sz w:val="20"/>
                <w:szCs w:val="20"/>
              </w:rPr>
              <w:t>0</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72B0AA8" w14:textId="77777777">
            <w:pPr>
              <w:jc w:val="center"/>
              <w:rPr>
                <w:color w:val="000000"/>
                <w:sz w:val="20"/>
                <w:szCs w:val="20"/>
              </w:rPr>
            </w:pPr>
            <w:r w:rsidRPr="000D37DB">
              <w:rPr>
                <w:color w:val="000000"/>
                <w:sz w:val="20"/>
                <w:szCs w:val="20"/>
              </w:rPr>
              <w:t>0</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944A700" w14:textId="77777777">
            <w:pPr>
              <w:jc w:val="right"/>
              <w:rPr>
                <w:color w:val="000000"/>
                <w:sz w:val="20"/>
                <w:szCs w:val="20"/>
              </w:rPr>
            </w:pPr>
            <w:r w:rsidRPr="000D37DB">
              <w:rPr>
                <w:color w:val="000000"/>
                <w:sz w:val="20"/>
                <w:szCs w:val="20"/>
              </w:rPr>
              <w:t xml:space="preserve">$0 </w:t>
            </w:r>
          </w:p>
        </w:tc>
      </w:tr>
      <w:tr w14:paraId="068E215E" w14:textId="77777777" w:rsidTr="009A2F1F">
        <w:tblPrEx>
          <w:tblW w:w="5000" w:type="pct"/>
          <w:tblLook w:val="04A0"/>
        </w:tblPrEx>
        <w:trPr>
          <w:trHeight w:val="300"/>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01EA6FB4" w14:textId="77777777">
            <w:pPr>
              <w:ind w:left="341" w:firstLine="58" w:firstLineChars="29"/>
              <w:rPr>
                <w:color w:val="000000"/>
                <w:sz w:val="20"/>
                <w:szCs w:val="20"/>
              </w:rPr>
            </w:pPr>
            <w:r w:rsidRPr="000D37DB">
              <w:rPr>
                <w:color w:val="000000"/>
                <w:sz w:val="20"/>
                <w:szCs w:val="20"/>
              </w:rPr>
              <w:t>Request for compliance extension</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9CBEAE4" w14:textId="77777777">
            <w:pPr>
              <w:jc w:val="center"/>
              <w:rPr>
                <w:color w:val="000000"/>
                <w:sz w:val="20"/>
                <w:szCs w:val="20"/>
              </w:rPr>
            </w:pPr>
            <w:r w:rsidRPr="000D37DB">
              <w:rPr>
                <w:color w:val="000000"/>
                <w:sz w:val="20"/>
                <w:szCs w:val="20"/>
              </w:rPr>
              <w:t>N/A</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EFEDD89" w14:textId="77777777">
            <w:pPr>
              <w:jc w:val="center"/>
              <w:rPr>
                <w:color w:val="000000"/>
                <w:sz w:val="20"/>
                <w:szCs w:val="20"/>
              </w:rPr>
            </w:pPr>
            <w:r w:rsidRPr="000D37DB">
              <w:rPr>
                <w:color w:val="000000"/>
                <w:sz w:val="20"/>
                <w:szCs w:val="20"/>
              </w:rPr>
              <w:t> </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2859DCC" w14:textId="77777777">
            <w:pPr>
              <w:jc w:val="center"/>
              <w:rPr>
                <w:color w:val="000000"/>
                <w:sz w:val="20"/>
                <w:szCs w:val="20"/>
              </w:rPr>
            </w:pPr>
            <w:r w:rsidRPr="000D37DB">
              <w:rPr>
                <w:color w:val="000000"/>
                <w:sz w:val="20"/>
                <w:szCs w:val="20"/>
              </w:rPr>
              <w:t> </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B036A75" w14:textId="77777777">
            <w:pPr>
              <w:jc w:val="center"/>
              <w:rPr>
                <w:color w:val="000000"/>
                <w:sz w:val="20"/>
                <w:szCs w:val="20"/>
              </w:rPr>
            </w:pPr>
            <w:r w:rsidRPr="000D37DB">
              <w:rPr>
                <w:color w:val="000000"/>
                <w:sz w:val="20"/>
                <w:szCs w:val="20"/>
              </w:rPr>
              <w:t> </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D17F20D" w14:textId="77777777">
            <w:pPr>
              <w:jc w:val="center"/>
              <w:rPr>
                <w:color w:val="000000"/>
                <w:sz w:val="20"/>
                <w:szCs w:val="20"/>
              </w:rPr>
            </w:pPr>
            <w:r w:rsidRPr="000D37DB">
              <w:rPr>
                <w:color w:val="000000"/>
                <w:sz w:val="20"/>
                <w:szCs w:val="20"/>
              </w:rPr>
              <w:t> </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AADDE20" w14:textId="77777777">
            <w:pPr>
              <w:jc w:val="center"/>
              <w:rPr>
                <w:color w:val="000000"/>
                <w:sz w:val="20"/>
                <w:szCs w:val="20"/>
              </w:rPr>
            </w:pPr>
            <w:r w:rsidRPr="000D37DB">
              <w:rPr>
                <w:color w:val="000000"/>
                <w:sz w:val="20"/>
                <w:szCs w:val="20"/>
              </w:rPr>
              <w:t> </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B2F3FC7" w14:textId="77777777">
            <w:pPr>
              <w:jc w:val="center"/>
              <w:rPr>
                <w:color w:val="000000"/>
                <w:sz w:val="20"/>
                <w:szCs w:val="20"/>
              </w:rPr>
            </w:pPr>
            <w:r w:rsidRPr="000D37DB">
              <w:rPr>
                <w:color w:val="000000"/>
                <w:sz w:val="20"/>
                <w:szCs w:val="20"/>
              </w:rPr>
              <w:t> </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EAE7A13" w14:textId="77777777">
            <w:pPr>
              <w:jc w:val="right"/>
              <w:rPr>
                <w:color w:val="000000"/>
                <w:sz w:val="20"/>
                <w:szCs w:val="20"/>
              </w:rPr>
            </w:pPr>
            <w:r w:rsidRPr="000D37DB">
              <w:rPr>
                <w:color w:val="000000"/>
                <w:sz w:val="20"/>
                <w:szCs w:val="20"/>
              </w:rPr>
              <w:t> </w:t>
            </w:r>
          </w:p>
        </w:tc>
      </w:tr>
      <w:tr w14:paraId="20AE3F17" w14:textId="77777777" w:rsidTr="009A2F1F">
        <w:tblPrEx>
          <w:tblW w:w="5000" w:type="pct"/>
          <w:tblLook w:val="04A0"/>
        </w:tblPrEx>
        <w:trPr>
          <w:trHeight w:val="315"/>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15A2CD5F" w14:textId="77777777">
            <w:pPr>
              <w:ind w:left="341" w:firstLine="58" w:firstLineChars="29"/>
              <w:rPr>
                <w:color w:val="000000"/>
                <w:sz w:val="20"/>
                <w:szCs w:val="20"/>
              </w:rPr>
            </w:pPr>
            <w:r w:rsidRPr="000D37DB">
              <w:rPr>
                <w:color w:val="000000"/>
                <w:sz w:val="20"/>
                <w:szCs w:val="20"/>
              </w:rPr>
              <w:t xml:space="preserve">Site-specific test plan </w:t>
            </w:r>
            <w:r w:rsidRPr="000D37DB">
              <w:rPr>
                <w:color w:val="000000"/>
                <w:sz w:val="20"/>
                <w:szCs w:val="20"/>
                <w:vertAlign w:val="superscript"/>
              </w:rPr>
              <w:t>g</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1AD6E29" w14:textId="77777777">
            <w:pPr>
              <w:jc w:val="center"/>
              <w:rPr>
                <w:color w:val="000000"/>
                <w:sz w:val="20"/>
                <w:szCs w:val="20"/>
              </w:rPr>
            </w:pPr>
            <w:r w:rsidRPr="000D37DB">
              <w:rPr>
                <w:color w:val="000000"/>
                <w:sz w:val="20"/>
                <w:szCs w:val="20"/>
              </w:rPr>
              <w:t>4</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567DAA9" w14:textId="77777777">
            <w:pPr>
              <w:jc w:val="center"/>
              <w:rPr>
                <w:color w:val="000000"/>
                <w:sz w:val="20"/>
                <w:szCs w:val="20"/>
              </w:rPr>
            </w:pPr>
            <w:r w:rsidRPr="000D37DB">
              <w:rPr>
                <w:color w:val="000000"/>
                <w:sz w:val="20"/>
                <w:szCs w:val="20"/>
              </w:rPr>
              <w:t>1</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C3C4EF9" w14:textId="77777777">
            <w:pPr>
              <w:jc w:val="center"/>
              <w:rPr>
                <w:color w:val="000000"/>
                <w:sz w:val="20"/>
                <w:szCs w:val="20"/>
              </w:rPr>
            </w:pPr>
            <w:r w:rsidRPr="000D37DB">
              <w:rPr>
                <w:color w:val="000000"/>
                <w:sz w:val="20"/>
                <w:szCs w:val="20"/>
              </w:rPr>
              <w:t>4</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0AE8E88" w14:textId="77777777">
            <w:pPr>
              <w:jc w:val="center"/>
              <w:rPr>
                <w:color w:val="000000"/>
                <w:sz w:val="20"/>
                <w:szCs w:val="20"/>
              </w:rPr>
            </w:pPr>
            <w:r w:rsidRPr="000D37DB">
              <w:rPr>
                <w:color w:val="000000"/>
                <w:sz w:val="20"/>
                <w:szCs w:val="20"/>
              </w:rPr>
              <w:t>0</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039EDCB7" w14:textId="77777777">
            <w:pPr>
              <w:jc w:val="center"/>
              <w:rPr>
                <w:color w:val="000000"/>
                <w:sz w:val="20"/>
                <w:szCs w:val="20"/>
              </w:rPr>
            </w:pPr>
            <w:r w:rsidRPr="000D37DB">
              <w:rPr>
                <w:color w:val="000000"/>
                <w:sz w:val="20"/>
                <w:szCs w:val="20"/>
              </w:rPr>
              <w:t>0</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0085FBC7" w14:textId="77777777">
            <w:pPr>
              <w:jc w:val="center"/>
              <w:rPr>
                <w:color w:val="000000"/>
                <w:sz w:val="20"/>
                <w:szCs w:val="20"/>
              </w:rPr>
            </w:pPr>
            <w:r w:rsidRPr="000D37DB">
              <w:rPr>
                <w:color w:val="000000"/>
                <w:sz w:val="20"/>
                <w:szCs w:val="20"/>
              </w:rPr>
              <w:t>0</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F18A39D" w14:textId="77777777">
            <w:pPr>
              <w:jc w:val="center"/>
              <w:rPr>
                <w:color w:val="000000"/>
                <w:sz w:val="20"/>
                <w:szCs w:val="20"/>
              </w:rPr>
            </w:pPr>
            <w:r w:rsidRPr="000D37DB">
              <w:rPr>
                <w:color w:val="000000"/>
                <w:sz w:val="20"/>
                <w:szCs w:val="20"/>
              </w:rPr>
              <w:t>0</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F4978DA" w14:textId="77777777">
            <w:pPr>
              <w:jc w:val="right"/>
              <w:rPr>
                <w:color w:val="000000"/>
                <w:sz w:val="20"/>
                <w:szCs w:val="20"/>
              </w:rPr>
            </w:pPr>
            <w:r w:rsidRPr="000D37DB">
              <w:rPr>
                <w:color w:val="000000"/>
                <w:sz w:val="20"/>
                <w:szCs w:val="20"/>
              </w:rPr>
              <w:t xml:space="preserve">$0 </w:t>
            </w:r>
          </w:p>
        </w:tc>
      </w:tr>
      <w:tr w14:paraId="7CB33D86" w14:textId="77777777" w:rsidTr="009A2F1F">
        <w:tblPrEx>
          <w:tblW w:w="5000" w:type="pct"/>
          <w:tblLook w:val="04A0"/>
        </w:tblPrEx>
        <w:trPr>
          <w:trHeight w:val="315"/>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57B72920" w14:textId="77777777">
            <w:pPr>
              <w:ind w:left="341" w:firstLine="58" w:firstLineChars="29"/>
              <w:rPr>
                <w:color w:val="000000"/>
                <w:sz w:val="20"/>
                <w:szCs w:val="20"/>
              </w:rPr>
            </w:pPr>
            <w:r w:rsidRPr="000D37DB">
              <w:rPr>
                <w:color w:val="000000"/>
                <w:sz w:val="20"/>
                <w:szCs w:val="20"/>
              </w:rPr>
              <w:t xml:space="preserve">Quality assurance plan for CEMS </w:t>
            </w:r>
            <w:r w:rsidRPr="000D37DB">
              <w:rPr>
                <w:color w:val="000000"/>
                <w:sz w:val="20"/>
                <w:szCs w:val="20"/>
                <w:vertAlign w:val="superscript"/>
              </w:rPr>
              <w:t>e</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8B18D50" w14:textId="77777777">
            <w:pPr>
              <w:jc w:val="center"/>
              <w:rPr>
                <w:color w:val="000000"/>
                <w:sz w:val="20"/>
                <w:szCs w:val="20"/>
              </w:rPr>
            </w:pPr>
            <w:r w:rsidRPr="000D37DB">
              <w:rPr>
                <w:color w:val="000000"/>
                <w:sz w:val="20"/>
                <w:szCs w:val="20"/>
              </w:rPr>
              <w:t>8</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E8703FD" w14:textId="77777777">
            <w:pPr>
              <w:jc w:val="center"/>
              <w:rPr>
                <w:color w:val="000000"/>
                <w:sz w:val="20"/>
                <w:szCs w:val="20"/>
              </w:rPr>
            </w:pPr>
            <w:r w:rsidRPr="000D37DB">
              <w:rPr>
                <w:color w:val="000000"/>
                <w:sz w:val="20"/>
                <w:szCs w:val="20"/>
              </w:rPr>
              <w:t>1</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CB0D727" w14:textId="77777777">
            <w:pPr>
              <w:jc w:val="center"/>
              <w:rPr>
                <w:color w:val="000000"/>
                <w:sz w:val="20"/>
                <w:szCs w:val="20"/>
              </w:rPr>
            </w:pPr>
            <w:r w:rsidRPr="000D37DB">
              <w:rPr>
                <w:color w:val="000000"/>
                <w:sz w:val="20"/>
                <w:szCs w:val="20"/>
              </w:rPr>
              <w:t>8</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073ACFA2" w14:textId="77777777">
            <w:pPr>
              <w:jc w:val="center"/>
              <w:rPr>
                <w:color w:val="000000"/>
                <w:sz w:val="20"/>
                <w:szCs w:val="20"/>
              </w:rPr>
            </w:pPr>
            <w:r w:rsidRPr="000D37DB">
              <w:rPr>
                <w:color w:val="000000"/>
                <w:sz w:val="20"/>
                <w:szCs w:val="20"/>
              </w:rPr>
              <w:t>0</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63C32DE" w14:textId="77777777">
            <w:pPr>
              <w:jc w:val="center"/>
              <w:rPr>
                <w:color w:val="000000"/>
                <w:sz w:val="20"/>
                <w:szCs w:val="20"/>
              </w:rPr>
            </w:pPr>
            <w:r w:rsidRPr="000D37DB">
              <w:rPr>
                <w:color w:val="000000"/>
                <w:sz w:val="20"/>
                <w:szCs w:val="20"/>
              </w:rPr>
              <w:t>0</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E78779D" w14:textId="77777777">
            <w:pPr>
              <w:jc w:val="center"/>
              <w:rPr>
                <w:color w:val="000000"/>
                <w:sz w:val="20"/>
                <w:szCs w:val="20"/>
              </w:rPr>
            </w:pPr>
            <w:r w:rsidRPr="000D37DB">
              <w:rPr>
                <w:color w:val="000000"/>
                <w:sz w:val="20"/>
                <w:szCs w:val="20"/>
              </w:rPr>
              <w:t>0</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E91C3BC" w14:textId="77777777">
            <w:pPr>
              <w:jc w:val="center"/>
              <w:rPr>
                <w:color w:val="000000"/>
                <w:sz w:val="20"/>
                <w:szCs w:val="20"/>
              </w:rPr>
            </w:pPr>
            <w:r w:rsidRPr="000D37DB">
              <w:rPr>
                <w:color w:val="000000"/>
                <w:sz w:val="20"/>
                <w:szCs w:val="20"/>
              </w:rPr>
              <w:t>0</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90EED51" w14:textId="77777777">
            <w:pPr>
              <w:jc w:val="right"/>
              <w:rPr>
                <w:color w:val="000000"/>
                <w:sz w:val="20"/>
                <w:szCs w:val="20"/>
              </w:rPr>
            </w:pPr>
            <w:r w:rsidRPr="000D37DB">
              <w:rPr>
                <w:color w:val="000000"/>
                <w:sz w:val="20"/>
                <w:szCs w:val="20"/>
              </w:rPr>
              <w:t xml:space="preserve">$0 </w:t>
            </w:r>
          </w:p>
        </w:tc>
      </w:tr>
      <w:tr w14:paraId="62E9035D" w14:textId="77777777" w:rsidTr="009A2F1F">
        <w:tblPrEx>
          <w:tblW w:w="5000" w:type="pct"/>
          <w:tblLook w:val="04A0"/>
        </w:tblPrEx>
        <w:trPr>
          <w:trHeight w:val="315"/>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034C3C9D" w14:textId="77777777">
            <w:pPr>
              <w:ind w:left="341" w:firstLine="58" w:firstLineChars="29"/>
              <w:rPr>
                <w:color w:val="000000"/>
                <w:sz w:val="20"/>
                <w:szCs w:val="20"/>
              </w:rPr>
            </w:pPr>
            <w:r w:rsidRPr="000D37DB">
              <w:rPr>
                <w:color w:val="000000"/>
                <w:sz w:val="20"/>
                <w:szCs w:val="20"/>
              </w:rPr>
              <w:t>Notification of perform</w:t>
            </w:r>
            <w:r w:rsidRPr="000D37DB">
              <w:rPr>
                <w:color w:val="000000"/>
                <w:sz w:val="20"/>
                <w:szCs w:val="20"/>
              </w:rPr>
              <w:t xml:space="preserve">ance test </w:t>
            </w:r>
            <w:r w:rsidRPr="000D37DB">
              <w:rPr>
                <w:color w:val="000000"/>
                <w:sz w:val="20"/>
                <w:szCs w:val="20"/>
                <w:vertAlign w:val="superscript"/>
              </w:rPr>
              <w:t>g</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EBDFB20" w14:textId="77777777">
            <w:pPr>
              <w:jc w:val="center"/>
              <w:rPr>
                <w:color w:val="000000"/>
                <w:sz w:val="20"/>
                <w:szCs w:val="20"/>
              </w:rPr>
            </w:pPr>
            <w:r w:rsidRPr="000D37DB">
              <w:rPr>
                <w:color w:val="000000"/>
                <w:sz w:val="20"/>
                <w:szCs w:val="20"/>
              </w:rPr>
              <w:t>2</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957B4EB" w14:textId="77777777">
            <w:pPr>
              <w:jc w:val="center"/>
              <w:rPr>
                <w:color w:val="000000"/>
                <w:sz w:val="20"/>
                <w:szCs w:val="20"/>
              </w:rPr>
            </w:pPr>
            <w:r w:rsidRPr="000D37DB">
              <w:rPr>
                <w:color w:val="000000"/>
                <w:sz w:val="20"/>
                <w:szCs w:val="20"/>
              </w:rPr>
              <w:t>1</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4C4985A" w14:textId="77777777">
            <w:pPr>
              <w:jc w:val="center"/>
              <w:rPr>
                <w:color w:val="000000"/>
                <w:sz w:val="20"/>
                <w:szCs w:val="20"/>
              </w:rPr>
            </w:pPr>
            <w:r w:rsidRPr="000D37DB">
              <w:rPr>
                <w:color w:val="000000"/>
                <w:sz w:val="20"/>
                <w:szCs w:val="20"/>
              </w:rPr>
              <w:t>2</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5158DA2" w14:textId="77777777">
            <w:pPr>
              <w:jc w:val="center"/>
              <w:rPr>
                <w:color w:val="000000"/>
                <w:sz w:val="20"/>
                <w:szCs w:val="20"/>
              </w:rPr>
            </w:pPr>
            <w:r w:rsidRPr="000D37DB">
              <w:rPr>
                <w:color w:val="000000"/>
                <w:sz w:val="20"/>
                <w:szCs w:val="20"/>
              </w:rPr>
              <w:t>0</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6E770FE" w14:textId="77777777">
            <w:pPr>
              <w:jc w:val="center"/>
              <w:rPr>
                <w:color w:val="000000"/>
                <w:sz w:val="20"/>
                <w:szCs w:val="20"/>
              </w:rPr>
            </w:pPr>
            <w:r w:rsidRPr="000D37DB">
              <w:rPr>
                <w:color w:val="000000"/>
                <w:sz w:val="20"/>
                <w:szCs w:val="20"/>
              </w:rPr>
              <w:t>0</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07E6A4E8" w14:textId="77777777">
            <w:pPr>
              <w:jc w:val="center"/>
              <w:rPr>
                <w:color w:val="000000"/>
                <w:sz w:val="20"/>
                <w:szCs w:val="20"/>
              </w:rPr>
            </w:pPr>
            <w:r w:rsidRPr="000D37DB">
              <w:rPr>
                <w:color w:val="000000"/>
                <w:sz w:val="20"/>
                <w:szCs w:val="20"/>
              </w:rPr>
              <w:t>0</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6510996" w14:textId="77777777">
            <w:pPr>
              <w:jc w:val="center"/>
              <w:rPr>
                <w:color w:val="000000"/>
                <w:sz w:val="20"/>
                <w:szCs w:val="20"/>
              </w:rPr>
            </w:pPr>
            <w:r w:rsidRPr="000D37DB">
              <w:rPr>
                <w:color w:val="000000"/>
                <w:sz w:val="20"/>
                <w:szCs w:val="20"/>
              </w:rPr>
              <w:t>0</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DE986E6" w14:textId="77777777">
            <w:pPr>
              <w:jc w:val="right"/>
              <w:rPr>
                <w:color w:val="000000"/>
                <w:sz w:val="20"/>
                <w:szCs w:val="20"/>
              </w:rPr>
            </w:pPr>
            <w:r w:rsidRPr="000D37DB">
              <w:rPr>
                <w:color w:val="000000"/>
                <w:sz w:val="20"/>
                <w:szCs w:val="20"/>
              </w:rPr>
              <w:t xml:space="preserve">$0 </w:t>
            </w:r>
          </w:p>
        </w:tc>
      </w:tr>
      <w:tr w14:paraId="0D3A5797" w14:textId="77777777" w:rsidTr="009A2F1F">
        <w:tblPrEx>
          <w:tblW w:w="5000" w:type="pct"/>
          <w:tblLook w:val="04A0"/>
        </w:tblPrEx>
        <w:trPr>
          <w:trHeight w:val="315"/>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2032F083" w14:textId="77777777">
            <w:pPr>
              <w:ind w:left="341" w:firstLine="58" w:firstLineChars="29"/>
              <w:rPr>
                <w:color w:val="000000"/>
                <w:sz w:val="20"/>
                <w:szCs w:val="20"/>
              </w:rPr>
            </w:pPr>
            <w:r w:rsidRPr="000D37DB">
              <w:rPr>
                <w:color w:val="000000"/>
                <w:sz w:val="20"/>
                <w:szCs w:val="20"/>
              </w:rPr>
              <w:t xml:space="preserve">Startup, shutdown, malfunction plan </w:t>
            </w:r>
            <w:r w:rsidRPr="000D37DB">
              <w:rPr>
                <w:color w:val="000000"/>
                <w:sz w:val="20"/>
                <w:szCs w:val="20"/>
                <w:vertAlign w:val="superscript"/>
              </w:rPr>
              <w:t>g</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D419061" w14:textId="77777777">
            <w:pPr>
              <w:jc w:val="center"/>
              <w:rPr>
                <w:color w:val="000000"/>
                <w:sz w:val="20"/>
                <w:szCs w:val="20"/>
              </w:rPr>
            </w:pPr>
            <w:r w:rsidRPr="000D37DB">
              <w:rPr>
                <w:color w:val="000000"/>
                <w:sz w:val="20"/>
                <w:szCs w:val="20"/>
              </w:rPr>
              <w:t>4</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74CBB52" w14:textId="77777777">
            <w:pPr>
              <w:jc w:val="center"/>
              <w:rPr>
                <w:color w:val="000000"/>
                <w:sz w:val="20"/>
                <w:szCs w:val="20"/>
              </w:rPr>
            </w:pPr>
            <w:r w:rsidRPr="000D37DB">
              <w:rPr>
                <w:color w:val="000000"/>
                <w:sz w:val="20"/>
                <w:szCs w:val="20"/>
              </w:rPr>
              <w:t>1</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5BB09B7" w14:textId="77777777">
            <w:pPr>
              <w:jc w:val="center"/>
              <w:rPr>
                <w:color w:val="000000"/>
                <w:sz w:val="20"/>
                <w:szCs w:val="20"/>
              </w:rPr>
            </w:pPr>
            <w:r w:rsidRPr="000D37DB">
              <w:rPr>
                <w:color w:val="000000"/>
                <w:sz w:val="20"/>
                <w:szCs w:val="20"/>
              </w:rPr>
              <w:t>4</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3706B8D" w14:textId="77777777">
            <w:pPr>
              <w:jc w:val="center"/>
              <w:rPr>
                <w:color w:val="000000"/>
                <w:sz w:val="20"/>
                <w:szCs w:val="20"/>
              </w:rPr>
            </w:pPr>
            <w:r w:rsidRPr="000D37DB">
              <w:rPr>
                <w:color w:val="000000"/>
                <w:sz w:val="20"/>
                <w:szCs w:val="20"/>
              </w:rPr>
              <w:t>0</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ADAD14B" w14:textId="77777777">
            <w:pPr>
              <w:jc w:val="center"/>
              <w:rPr>
                <w:color w:val="000000"/>
                <w:sz w:val="20"/>
                <w:szCs w:val="20"/>
              </w:rPr>
            </w:pPr>
            <w:r w:rsidRPr="000D37DB">
              <w:rPr>
                <w:color w:val="000000"/>
                <w:sz w:val="20"/>
                <w:szCs w:val="20"/>
              </w:rPr>
              <w:t>0</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79C189E" w14:textId="77777777">
            <w:pPr>
              <w:jc w:val="center"/>
              <w:rPr>
                <w:color w:val="000000"/>
                <w:sz w:val="20"/>
                <w:szCs w:val="20"/>
              </w:rPr>
            </w:pPr>
            <w:r w:rsidRPr="000D37DB">
              <w:rPr>
                <w:color w:val="000000"/>
                <w:sz w:val="20"/>
                <w:szCs w:val="20"/>
              </w:rPr>
              <w:t>0</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A692E3A" w14:textId="77777777">
            <w:pPr>
              <w:jc w:val="center"/>
              <w:rPr>
                <w:color w:val="000000"/>
                <w:sz w:val="20"/>
                <w:szCs w:val="20"/>
              </w:rPr>
            </w:pPr>
            <w:r w:rsidRPr="000D37DB">
              <w:rPr>
                <w:color w:val="000000"/>
                <w:sz w:val="20"/>
                <w:szCs w:val="20"/>
              </w:rPr>
              <w:t>0</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01F5630" w14:textId="77777777">
            <w:pPr>
              <w:jc w:val="right"/>
              <w:rPr>
                <w:color w:val="000000"/>
                <w:sz w:val="20"/>
                <w:szCs w:val="20"/>
              </w:rPr>
            </w:pPr>
            <w:r w:rsidRPr="000D37DB">
              <w:rPr>
                <w:color w:val="000000"/>
                <w:sz w:val="20"/>
                <w:szCs w:val="20"/>
              </w:rPr>
              <w:t xml:space="preserve">$0 </w:t>
            </w:r>
          </w:p>
        </w:tc>
      </w:tr>
      <w:tr w14:paraId="1F96E5E0" w14:textId="77777777" w:rsidTr="009A2F1F">
        <w:tblPrEx>
          <w:tblW w:w="5000" w:type="pct"/>
          <w:tblLook w:val="04A0"/>
        </w:tblPrEx>
        <w:trPr>
          <w:trHeight w:val="315"/>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123F01C4" w14:textId="77777777">
            <w:pPr>
              <w:ind w:left="341" w:firstLine="58" w:firstLineChars="29"/>
              <w:rPr>
                <w:sz w:val="20"/>
                <w:szCs w:val="20"/>
              </w:rPr>
            </w:pPr>
            <w:r w:rsidRPr="000D37DB">
              <w:rPr>
                <w:sz w:val="20"/>
                <w:szCs w:val="20"/>
              </w:rPr>
              <w:t xml:space="preserve">Annual performance test for Hg emissions </w:t>
            </w:r>
            <w:r w:rsidRPr="000D37DB">
              <w:rPr>
                <w:sz w:val="20"/>
                <w:szCs w:val="20"/>
                <w:vertAlign w:val="superscript"/>
              </w:rPr>
              <w:t>f</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63381BD" w14:textId="77777777">
            <w:pPr>
              <w:jc w:val="center"/>
              <w:rPr>
                <w:color w:val="000000"/>
                <w:sz w:val="20"/>
                <w:szCs w:val="20"/>
              </w:rPr>
            </w:pPr>
            <w:r w:rsidRPr="000D37DB">
              <w:rPr>
                <w:color w:val="000000"/>
                <w:sz w:val="20"/>
                <w:szCs w:val="20"/>
              </w:rPr>
              <w:t>8</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104F8B7" w14:textId="77777777">
            <w:pPr>
              <w:jc w:val="center"/>
              <w:rPr>
                <w:color w:val="000000"/>
                <w:sz w:val="20"/>
                <w:szCs w:val="20"/>
              </w:rPr>
            </w:pPr>
            <w:r w:rsidRPr="000D37DB">
              <w:rPr>
                <w:color w:val="000000"/>
                <w:sz w:val="20"/>
                <w:szCs w:val="20"/>
              </w:rPr>
              <w:t>1</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6C66224" w14:textId="77777777">
            <w:pPr>
              <w:jc w:val="center"/>
              <w:rPr>
                <w:color w:val="000000"/>
                <w:sz w:val="20"/>
                <w:szCs w:val="20"/>
              </w:rPr>
            </w:pPr>
            <w:r w:rsidRPr="000D37DB">
              <w:rPr>
                <w:color w:val="000000"/>
                <w:sz w:val="20"/>
                <w:szCs w:val="20"/>
              </w:rPr>
              <w:t>8</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3AFDADE" w14:textId="77777777">
            <w:pPr>
              <w:jc w:val="center"/>
              <w:rPr>
                <w:color w:val="000000"/>
                <w:sz w:val="20"/>
                <w:szCs w:val="20"/>
              </w:rPr>
            </w:pPr>
            <w:r w:rsidRPr="000D37DB">
              <w:rPr>
                <w:color w:val="000000"/>
                <w:sz w:val="20"/>
                <w:szCs w:val="20"/>
              </w:rPr>
              <w:t>17</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C6C3DAE" w14:textId="77777777">
            <w:pPr>
              <w:jc w:val="center"/>
              <w:rPr>
                <w:color w:val="000000"/>
                <w:sz w:val="20"/>
                <w:szCs w:val="20"/>
              </w:rPr>
            </w:pPr>
            <w:r w:rsidRPr="000D37DB">
              <w:rPr>
                <w:color w:val="000000"/>
                <w:sz w:val="20"/>
                <w:szCs w:val="20"/>
              </w:rPr>
              <w:t>136</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F871D8A" w14:textId="77777777">
            <w:pPr>
              <w:jc w:val="center"/>
              <w:rPr>
                <w:color w:val="000000"/>
                <w:sz w:val="20"/>
                <w:szCs w:val="20"/>
              </w:rPr>
            </w:pPr>
            <w:r w:rsidRPr="000D37DB">
              <w:rPr>
                <w:color w:val="000000"/>
                <w:sz w:val="20"/>
                <w:szCs w:val="20"/>
              </w:rPr>
              <w:t>6.8</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D853577" w14:textId="77777777">
            <w:pPr>
              <w:jc w:val="center"/>
              <w:rPr>
                <w:color w:val="000000"/>
                <w:sz w:val="20"/>
                <w:szCs w:val="20"/>
              </w:rPr>
            </w:pPr>
            <w:r w:rsidRPr="000D37DB">
              <w:rPr>
                <w:color w:val="000000"/>
                <w:sz w:val="20"/>
                <w:szCs w:val="20"/>
              </w:rPr>
              <w:t>13.6</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A60D34B" w14:textId="77777777">
            <w:pPr>
              <w:jc w:val="right"/>
              <w:rPr>
                <w:color w:val="000000"/>
                <w:sz w:val="20"/>
                <w:szCs w:val="20"/>
              </w:rPr>
            </w:pPr>
            <w:r w:rsidRPr="000D37DB">
              <w:rPr>
                <w:color w:val="000000"/>
                <w:sz w:val="20"/>
                <w:szCs w:val="20"/>
              </w:rPr>
              <w:t xml:space="preserve">$23,970.68 </w:t>
            </w:r>
          </w:p>
        </w:tc>
      </w:tr>
      <w:tr w14:paraId="4E77C21F" w14:textId="77777777" w:rsidTr="009A2F1F">
        <w:tblPrEx>
          <w:tblW w:w="5000" w:type="pct"/>
          <w:tblLook w:val="04A0"/>
        </w:tblPrEx>
        <w:trPr>
          <w:trHeight w:val="315"/>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7AFD7EFD" w14:textId="77777777">
            <w:pPr>
              <w:ind w:left="341" w:firstLine="58" w:firstLineChars="29"/>
              <w:rPr>
                <w:color w:val="000000"/>
                <w:sz w:val="20"/>
                <w:szCs w:val="20"/>
              </w:rPr>
            </w:pPr>
            <w:r w:rsidRPr="000D37DB">
              <w:rPr>
                <w:color w:val="000000"/>
                <w:sz w:val="20"/>
                <w:szCs w:val="20"/>
              </w:rPr>
              <w:t xml:space="preserve">Semiannual report of excess emissions </w:t>
            </w:r>
            <w:r w:rsidRPr="000D37DB">
              <w:rPr>
                <w:color w:val="000000"/>
                <w:sz w:val="20"/>
                <w:szCs w:val="20"/>
                <w:vertAlign w:val="superscript"/>
              </w:rPr>
              <w:t>h</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9FDAE16" w14:textId="77777777">
            <w:pPr>
              <w:jc w:val="center"/>
              <w:rPr>
                <w:color w:val="000000"/>
                <w:sz w:val="20"/>
                <w:szCs w:val="20"/>
              </w:rPr>
            </w:pPr>
            <w:r w:rsidRPr="000D37DB">
              <w:rPr>
                <w:color w:val="000000"/>
                <w:sz w:val="20"/>
                <w:szCs w:val="20"/>
              </w:rPr>
              <w:t>8</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40C7DB3" w14:textId="77777777">
            <w:pPr>
              <w:jc w:val="center"/>
              <w:rPr>
                <w:color w:val="000000"/>
                <w:sz w:val="20"/>
                <w:szCs w:val="20"/>
              </w:rPr>
            </w:pPr>
            <w:r w:rsidRPr="000D37DB">
              <w:rPr>
                <w:color w:val="000000"/>
                <w:sz w:val="20"/>
                <w:szCs w:val="20"/>
              </w:rPr>
              <w:t>2</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E3F1199" w14:textId="77777777">
            <w:pPr>
              <w:jc w:val="center"/>
              <w:rPr>
                <w:color w:val="000000"/>
                <w:sz w:val="20"/>
                <w:szCs w:val="20"/>
              </w:rPr>
            </w:pPr>
            <w:r w:rsidRPr="000D37DB">
              <w:rPr>
                <w:color w:val="000000"/>
                <w:sz w:val="20"/>
                <w:szCs w:val="20"/>
              </w:rPr>
              <w:t>16</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492DEB1" w14:textId="77777777">
            <w:pPr>
              <w:jc w:val="center"/>
              <w:rPr>
                <w:color w:val="000000"/>
                <w:sz w:val="20"/>
                <w:szCs w:val="20"/>
              </w:rPr>
            </w:pPr>
            <w:r w:rsidRPr="000D37DB">
              <w:rPr>
                <w:color w:val="000000"/>
                <w:sz w:val="20"/>
                <w:szCs w:val="20"/>
              </w:rPr>
              <w:t>4.2</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1760A69" w14:textId="77777777">
            <w:pPr>
              <w:jc w:val="center"/>
              <w:rPr>
                <w:color w:val="000000"/>
                <w:sz w:val="20"/>
                <w:szCs w:val="20"/>
              </w:rPr>
            </w:pPr>
            <w:r w:rsidRPr="000D37DB">
              <w:rPr>
                <w:color w:val="000000"/>
                <w:sz w:val="20"/>
                <w:szCs w:val="20"/>
              </w:rPr>
              <w:t>67.2</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87A3D61" w14:textId="77777777">
            <w:pPr>
              <w:jc w:val="center"/>
              <w:rPr>
                <w:color w:val="000000"/>
                <w:sz w:val="20"/>
                <w:szCs w:val="20"/>
              </w:rPr>
            </w:pPr>
            <w:r w:rsidRPr="000D37DB">
              <w:rPr>
                <w:color w:val="000000"/>
                <w:sz w:val="20"/>
                <w:szCs w:val="20"/>
              </w:rPr>
              <w:t>3.36</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49186E8" w14:textId="77777777">
            <w:pPr>
              <w:jc w:val="center"/>
              <w:rPr>
                <w:color w:val="000000"/>
                <w:sz w:val="20"/>
                <w:szCs w:val="20"/>
              </w:rPr>
            </w:pPr>
            <w:r w:rsidRPr="000D37DB">
              <w:rPr>
                <w:color w:val="000000"/>
                <w:sz w:val="20"/>
                <w:szCs w:val="20"/>
              </w:rPr>
              <w:t>6.72</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DF155DD" w14:textId="77777777">
            <w:pPr>
              <w:jc w:val="right"/>
              <w:rPr>
                <w:color w:val="000000"/>
                <w:sz w:val="20"/>
                <w:szCs w:val="20"/>
              </w:rPr>
            </w:pPr>
            <w:r w:rsidRPr="000D37DB">
              <w:rPr>
                <w:color w:val="000000"/>
                <w:sz w:val="20"/>
                <w:szCs w:val="20"/>
              </w:rPr>
              <w:t xml:space="preserve">$11,844.34 </w:t>
            </w:r>
          </w:p>
        </w:tc>
      </w:tr>
      <w:tr w14:paraId="2A8CCBE6" w14:textId="77777777" w:rsidTr="009A2F1F">
        <w:tblPrEx>
          <w:tblW w:w="5000" w:type="pct"/>
          <w:tblLook w:val="04A0"/>
        </w:tblPrEx>
        <w:trPr>
          <w:trHeight w:val="300"/>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635EFA00" w14:textId="77777777">
            <w:pPr>
              <w:rPr>
                <w:b/>
                <w:bCs/>
                <w:color w:val="000000"/>
                <w:sz w:val="20"/>
                <w:szCs w:val="20"/>
              </w:rPr>
            </w:pPr>
            <w:r w:rsidRPr="000D37DB">
              <w:rPr>
                <w:b/>
                <w:bCs/>
                <w:color w:val="000000"/>
                <w:sz w:val="20"/>
                <w:szCs w:val="20"/>
              </w:rPr>
              <w:t>Subtotal for Reporting Requirements</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DA9AA91" w14:textId="77777777">
            <w:pPr>
              <w:jc w:val="center"/>
              <w:rPr>
                <w:b/>
                <w:bCs/>
                <w:color w:val="000000"/>
                <w:sz w:val="20"/>
                <w:szCs w:val="20"/>
              </w:rPr>
            </w:pPr>
            <w:r w:rsidRPr="000D37DB">
              <w:rPr>
                <w:b/>
                <w:bCs/>
                <w:color w:val="000000"/>
                <w:sz w:val="20"/>
                <w:szCs w:val="20"/>
              </w:rPr>
              <w:t> </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01014AFB" w14:textId="77777777">
            <w:pPr>
              <w:jc w:val="center"/>
              <w:rPr>
                <w:b/>
                <w:bCs/>
                <w:color w:val="000000"/>
                <w:sz w:val="20"/>
                <w:szCs w:val="20"/>
              </w:rPr>
            </w:pPr>
            <w:r w:rsidRPr="000D37DB">
              <w:rPr>
                <w:b/>
                <w:bCs/>
                <w:color w:val="000000"/>
                <w:sz w:val="20"/>
                <w:szCs w:val="20"/>
              </w:rPr>
              <w:t> </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9A62B8B" w14:textId="77777777">
            <w:pPr>
              <w:jc w:val="center"/>
              <w:rPr>
                <w:color w:val="000000"/>
                <w:sz w:val="20"/>
                <w:szCs w:val="20"/>
              </w:rPr>
            </w:pPr>
            <w:r w:rsidRPr="000D37DB">
              <w:rPr>
                <w:color w:val="000000"/>
                <w:sz w:val="20"/>
                <w:szCs w:val="20"/>
              </w:rPr>
              <w:t> </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6E13B5A" w14:textId="77777777">
            <w:pPr>
              <w:jc w:val="center"/>
              <w:rPr>
                <w:b/>
                <w:bCs/>
                <w:color w:val="000000"/>
                <w:sz w:val="20"/>
                <w:szCs w:val="20"/>
              </w:rPr>
            </w:pPr>
            <w:r w:rsidRPr="000D37DB">
              <w:rPr>
                <w:b/>
                <w:bCs/>
                <w:color w:val="000000"/>
                <w:sz w:val="20"/>
                <w:szCs w:val="20"/>
              </w:rPr>
              <w:t> </w:t>
            </w:r>
          </w:p>
        </w:tc>
        <w:tc>
          <w:tcPr>
            <w:tcW w:w="1340" w:type="pct"/>
            <w:gridSpan w:val="6"/>
            <w:tcBorders>
              <w:top w:val="single" w:sz="4" w:space="0" w:color="auto"/>
              <w:left w:val="nil"/>
              <w:bottom w:val="single" w:sz="4" w:space="0" w:color="auto"/>
              <w:right w:val="single" w:sz="4" w:space="0" w:color="auto"/>
            </w:tcBorders>
            <w:shd w:val="clear" w:color="auto" w:fill="auto"/>
            <w:vAlign w:val="center"/>
            <w:hideMark/>
          </w:tcPr>
          <w:p w:rsidR="009A2F1F" w:rsidRPr="000D37DB" w:rsidP="008C0EA7" w14:paraId="69AED874" w14:textId="77777777">
            <w:pPr>
              <w:jc w:val="center"/>
              <w:rPr>
                <w:b/>
                <w:bCs/>
                <w:color w:val="000000"/>
                <w:sz w:val="20"/>
                <w:szCs w:val="20"/>
              </w:rPr>
            </w:pPr>
            <w:r w:rsidRPr="000D37DB">
              <w:rPr>
                <w:b/>
                <w:bCs/>
                <w:color w:val="000000"/>
                <w:sz w:val="20"/>
                <w:szCs w:val="20"/>
              </w:rPr>
              <w:t>2,156</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3B2B9BF" w14:textId="77777777">
            <w:pPr>
              <w:jc w:val="right"/>
              <w:rPr>
                <w:b/>
                <w:bCs/>
                <w:color w:val="000000"/>
                <w:sz w:val="20"/>
                <w:szCs w:val="20"/>
              </w:rPr>
            </w:pPr>
            <w:r w:rsidRPr="000D37DB">
              <w:rPr>
                <w:b/>
                <w:bCs/>
                <w:color w:val="000000"/>
                <w:sz w:val="20"/>
                <w:szCs w:val="20"/>
              </w:rPr>
              <w:t xml:space="preserve">$330,513 </w:t>
            </w:r>
          </w:p>
        </w:tc>
      </w:tr>
      <w:tr w14:paraId="305D2932" w14:textId="77777777" w:rsidTr="009A2F1F">
        <w:tblPrEx>
          <w:tblW w:w="5000" w:type="pct"/>
          <w:tblLook w:val="04A0"/>
        </w:tblPrEx>
        <w:trPr>
          <w:trHeight w:val="300"/>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7677059A" w14:textId="77777777">
            <w:pPr>
              <w:rPr>
                <w:color w:val="000000"/>
                <w:sz w:val="20"/>
                <w:szCs w:val="20"/>
              </w:rPr>
            </w:pPr>
            <w:r w:rsidRPr="000D37DB">
              <w:rPr>
                <w:color w:val="000000"/>
                <w:sz w:val="20"/>
                <w:szCs w:val="20"/>
              </w:rPr>
              <w:t>5.</w:t>
            </w:r>
            <w:r>
              <w:rPr>
                <w:color w:val="000000"/>
                <w:sz w:val="20"/>
                <w:szCs w:val="20"/>
              </w:rPr>
              <w:t xml:space="preserve"> </w:t>
            </w:r>
            <w:r w:rsidRPr="000D37DB">
              <w:rPr>
                <w:color w:val="000000"/>
                <w:sz w:val="20"/>
                <w:szCs w:val="20"/>
              </w:rPr>
              <w:t xml:space="preserve">Recordkeeping Requirements </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F1ED6FC" w14:textId="77777777">
            <w:pPr>
              <w:jc w:val="center"/>
              <w:rPr>
                <w:color w:val="000000"/>
                <w:sz w:val="20"/>
                <w:szCs w:val="20"/>
              </w:rPr>
            </w:pPr>
            <w:r w:rsidRPr="000D37DB">
              <w:rPr>
                <w:color w:val="000000"/>
                <w:sz w:val="20"/>
                <w:szCs w:val="20"/>
              </w:rPr>
              <w:t> </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D2A6D11" w14:textId="77777777">
            <w:pPr>
              <w:jc w:val="center"/>
              <w:rPr>
                <w:color w:val="000000"/>
                <w:sz w:val="20"/>
                <w:szCs w:val="20"/>
              </w:rPr>
            </w:pPr>
            <w:r w:rsidRPr="000D37DB">
              <w:rPr>
                <w:color w:val="000000"/>
                <w:sz w:val="20"/>
                <w:szCs w:val="20"/>
              </w:rPr>
              <w:t> </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0FA7181E" w14:textId="77777777">
            <w:pPr>
              <w:jc w:val="center"/>
              <w:rPr>
                <w:color w:val="000000"/>
                <w:sz w:val="20"/>
                <w:szCs w:val="20"/>
              </w:rPr>
            </w:pPr>
            <w:r w:rsidRPr="000D37DB">
              <w:rPr>
                <w:color w:val="000000"/>
                <w:sz w:val="20"/>
                <w:szCs w:val="20"/>
              </w:rPr>
              <w:t> </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85502F4" w14:textId="77777777">
            <w:pPr>
              <w:jc w:val="center"/>
              <w:rPr>
                <w:color w:val="000000"/>
                <w:sz w:val="20"/>
                <w:szCs w:val="20"/>
              </w:rPr>
            </w:pPr>
            <w:r w:rsidRPr="000D37DB">
              <w:rPr>
                <w:color w:val="000000"/>
                <w:sz w:val="20"/>
                <w:szCs w:val="20"/>
              </w:rPr>
              <w:t> </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05F0C22" w14:textId="77777777">
            <w:pPr>
              <w:jc w:val="center"/>
              <w:rPr>
                <w:color w:val="000000"/>
                <w:sz w:val="20"/>
                <w:szCs w:val="20"/>
              </w:rPr>
            </w:pPr>
            <w:r w:rsidRPr="000D37DB">
              <w:rPr>
                <w:color w:val="000000"/>
                <w:sz w:val="20"/>
                <w:szCs w:val="20"/>
              </w:rPr>
              <w:t> </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9611E63" w14:textId="77777777">
            <w:pPr>
              <w:jc w:val="center"/>
              <w:rPr>
                <w:color w:val="000000"/>
                <w:sz w:val="20"/>
                <w:szCs w:val="20"/>
              </w:rPr>
            </w:pPr>
            <w:r w:rsidRPr="000D37DB">
              <w:rPr>
                <w:color w:val="000000"/>
                <w:sz w:val="20"/>
                <w:szCs w:val="20"/>
              </w:rPr>
              <w:t> </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0DD791FC" w14:textId="77777777">
            <w:pPr>
              <w:jc w:val="center"/>
              <w:rPr>
                <w:color w:val="000000"/>
                <w:sz w:val="20"/>
                <w:szCs w:val="20"/>
              </w:rPr>
            </w:pPr>
            <w:r w:rsidRPr="000D37DB">
              <w:rPr>
                <w:color w:val="000000"/>
                <w:sz w:val="20"/>
                <w:szCs w:val="20"/>
              </w:rPr>
              <w:t> </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208381B" w14:textId="77777777">
            <w:pPr>
              <w:jc w:val="right"/>
              <w:rPr>
                <w:color w:val="000000"/>
                <w:sz w:val="20"/>
                <w:szCs w:val="20"/>
              </w:rPr>
            </w:pPr>
            <w:r w:rsidRPr="000D37DB">
              <w:rPr>
                <w:color w:val="000000"/>
                <w:sz w:val="20"/>
                <w:szCs w:val="20"/>
              </w:rPr>
              <w:t> </w:t>
            </w:r>
          </w:p>
        </w:tc>
      </w:tr>
      <w:tr w14:paraId="3DE76315" w14:textId="77777777" w:rsidTr="009A2F1F">
        <w:tblPrEx>
          <w:tblW w:w="5000" w:type="pct"/>
          <w:tblLook w:val="04A0"/>
        </w:tblPrEx>
        <w:trPr>
          <w:trHeight w:val="300"/>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01021E49" w14:textId="77777777">
            <w:pPr>
              <w:ind w:left="161" w:firstLine="38" w:firstLineChars="19"/>
              <w:rPr>
                <w:color w:val="000000"/>
                <w:sz w:val="20"/>
                <w:szCs w:val="20"/>
              </w:rPr>
            </w:pPr>
            <w:r w:rsidRPr="000D37DB">
              <w:rPr>
                <w:color w:val="000000"/>
                <w:sz w:val="20"/>
                <w:szCs w:val="20"/>
              </w:rPr>
              <w:t>A.</w:t>
            </w:r>
            <w:r>
              <w:rPr>
                <w:color w:val="000000"/>
                <w:sz w:val="20"/>
                <w:szCs w:val="20"/>
              </w:rPr>
              <w:t xml:space="preserve"> </w:t>
            </w:r>
            <w:r w:rsidRPr="000D37DB">
              <w:rPr>
                <w:color w:val="000000"/>
                <w:sz w:val="20"/>
                <w:szCs w:val="20"/>
              </w:rPr>
              <w:t>Familiarize with regulatory requirements</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950960F" w14:textId="77777777">
            <w:pPr>
              <w:jc w:val="center"/>
              <w:rPr>
                <w:color w:val="000000"/>
                <w:sz w:val="20"/>
                <w:szCs w:val="20"/>
              </w:rPr>
            </w:pPr>
            <w:r w:rsidRPr="000D37DB">
              <w:rPr>
                <w:color w:val="000000"/>
                <w:sz w:val="20"/>
                <w:szCs w:val="20"/>
              </w:rPr>
              <w:t>See 4A</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399987D" w14:textId="77777777">
            <w:pPr>
              <w:jc w:val="center"/>
              <w:rPr>
                <w:color w:val="000000"/>
                <w:sz w:val="20"/>
                <w:szCs w:val="20"/>
              </w:rPr>
            </w:pPr>
            <w:r w:rsidRPr="000D37DB">
              <w:rPr>
                <w:color w:val="000000"/>
                <w:sz w:val="20"/>
                <w:szCs w:val="20"/>
              </w:rPr>
              <w:t> </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67BCCF4" w14:textId="77777777">
            <w:pPr>
              <w:jc w:val="center"/>
              <w:rPr>
                <w:color w:val="000000"/>
                <w:sz w:val="20"/>
                <w:szCs w:val="20"/>
              </w:rPr>
            </w:pPr>
            <w:r w:rsidRPr="000D37DB">
              <w:rPr>
                <w:color w:val="000000"/>
                <w:sz w:val="20"/>
                <w:szCs w:val="20"/>
              </w:rPr>
              <w:t> </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6726270" w14:textId="77777777">
            <w:pPr>
              <w:jc w:val="center"/>
              <w:rPr>
                <w:color w:val="000000"/>
                <w:sz w:val="20"/>
                <w:szCs w:val="20"/>
              </w:rPr>
            </w:pPr>
            <w:r w:rsidRPr="000D37DB">
              <w:rPr>
                <w:color w:val="000000"/>
                <w:sz w:val="20"/>
                <w:szCs w:val="20"/>
              </w:rPr>
              <w:t> </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D374C90" w14:textId="77777777">
            <w:pPr>
              <w:jc w:val="center"/>
              <w:rPr>
                <w:color w:val="000000"/>
                <w:sz w:val="20"/>
                <w:szCs w:val="20"/>
              </w:rPr>
            </w:pPr>
            <w:r w:rsidRPr="000D37DB">
              <w:rPr>
                <w:color w:val="000000"/>
                <w:sz w:val="20"/>
                <w:szCs w:val="20"/>
              </w:rPr>
              <w:t> </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D80FD1D" w14:textId="77777777">
            <w:pPr>
              <w:jc w:val="center"/>
              <w:rPr>
                <w:color w:val="000000"/>
                <w:sz w:val="20"/>
                <w:szCs w:val="20"/>
              </w:rPr>
            </w:pPr>
            <w:r w:rsidRPr="000D37DB">
              <w:rPr>
                <w:color w:val="000000"/>
                <w:sz w:val="20"/>
                <w:szCs w:val="20"/>
              </w:rPr>
              <w:t> </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087B2259" w14:textId="77777777">
            <w:pPr>
              <w:jc w:val="center"/>
              <w:rPr>
                <w:color w:val="000000"/>
                <w:sz w:val="20"/>
                <w:szCs w:val="20"/>
              </w:rPr>
            </w:pPr>
            <w:r w:rsidRPr="000D37DB">
              <w:rPr>
                <w:color w:val="000000"/>
                <w:sz w:val="20"/>
                <w:szCs w:val="20"/>
              </w:rPr>
              <w:t> </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6E15784" w14:textId="77777777">
            <w:pPr>
              <w:jc w:val="right"/>
              <w:rPr>
                <w:color w:val="000000"/>
                <w:sz w:val="20"/>
                <w:szCs w:val="20"/>
              </w:rPr>
            </w:pPr>
            <w:r w:rsidRPr="000D37DB">
              <w:rPr>
                <w:color w:val="000000"/>
                <w:sz w:val="20"/>
                <w:szCs w:val="20"/>
              </w:rPr>
              <w:t> </w:t>
            </w:r>
          </w:p>
        </w:tc>
      </w:tr>
      <w:tr w14:paraId="18AE5F68" w14:textId="77777777" w:rsidTr="009A2F1F">
        <w:tblPrEx>
          <w:tblW w:w="5000" w:type="pct"/>
          <w:tblLook w:val="04A0"/>
        </w:tblPrEx>
        <w:trPr>
          <w:trHeight w:val="300"/>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70D0E77B" w14:textId="77777777">
            <w:pPr>
              <w:ind w:firstLine="200" w:firstLineChars="100"/>
              <w:rPr>
                <w:color w:val="000000"/>
                <w:sz w:val="20"/>
                <w:szCs w:val="20"/>
              </w:rPr>
            </w:pPr>
            <w:r w:rsidRPr="000D37DB">
              <w:rPr>
                <w:color w:val="000000"/>
                <w:sz w:val="20"/>
                <w:szCs w:val="20"/>
              </w:rPr>
              <w:t>B.</w:t>
            </w:r>
            <w:r>
              <w:rPr>
                <w:color w:val="000000"/>
                <w:sz w:val="20"/>
                <w:szCs w:val="20"/>
              </w:rPr>
              <w:t xml:space="preserve"> </w:t>
            </w:r>
            <w:r w:rsidRPr="000D37DB">
              <w:rPr>
                <w:color w:val="000000"/>
                <w:sz w:val="20"/>
                <w:szCs w:val="20"/>
              </w:rPr>
              <w:t>Plan activities</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94D4522" w14:textId="77777777">
            <w:pPr>
              <w:jc w:val="center"/>
              <w:rPr>
                <w:color w:val="000000"/>
                <w:sz w:val="20"/>
                <w:szCs w:val="20"/>
              </w:rPr>
            </w:pPr>
            <w:r w:rsidRPr="000D37DB">
              <w:rPr>
                <w:color w:val="000000"/>
                <w:sz w:val="20"/>
                <w:szCs w:val="20"/>
              </w:rPr>
              <w:t>See 4A</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461EF1C" w14:textId="77777777">
            <w:pPr>
              <w:jc w:val="center"/>
              <w:rPr>
                <w:color w:val="000000"/>
                <w:sz w:val="20"/>
                <w:szCs w:val="20"/>
              </w:rPr>
            </w:pPr>
            <w:r w:rsidRPr="000D37DB">
              <w:rPr>
                <w:color w:val="000000"/>
                <w:sz w:val="20"/>
                <w:szCs w:val="20"/>
              </w:rPr>
              <w:t> </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C1EE321" w14:textId="77777777">
            <w:pPr>
              <w:jc w:val="center"/>
              <w:rPr>
                <w:color w:val="000000"/>
                <w:sz w:val="20"/>
                <w:szCs w:val="20"/>
              </w:rPr>
            </w:pPr>
            <w:r w:rsidRPr="000D37DB">
              <w:rPr>
                <w:color w:val="000000"/>
                <w:sz w:val="20"/>
                <w:szCs w:val="20"/>
              </w:rPr>
              <w:t> </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7FC60A6" w14:textId="77777777">
            <w:pPr>
              <w:jc w:val="center"/>
              <w:rPr>
                <w:color w:val="000000"/>
                <w:sz w:val="20"/>
                <w:szCs w:val="20"/>
              </w:rPr>
            </w:pPr>
            <w:r w:rsidRPr="000D37DB">
              <w:rPr>
                <w:color w:val="000000"/>
                <w:sz w:val="20"/>
                <w:szCs w:val="20"/>
              </w:rPr>
              <w:t> </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8149D4B" w14:textId="77777777">
            <w:pPr>
              <w:jc w:val="center"/>
              <w:rPr>
                <w:color w:val="000000"/>
                <w:sz w:val="20"/>
                <w:szCs w:val="20"/>
              </w:rPr>
            </w:pPr>
            <w:r w:rsidRPr="000D37DB">
              <w:rPr>
                <w:color w:val="000000"/>
                <w:sz w:val="20"/>
                <w:szCs w:val="20"/>
              </w:rPr>
              <w:t> </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09E309AF" w14:textId="77777777">
            <w:pPr>
              <w:jc w:val="center"/>
              <w:rPr>
                <w:color w:val="000000"/>
                <w:sz w:val="20"/>
                <w:szCs w:val="20"/>
              </w:rPr>
            </w:pPr>
            <w:r w:rsidRPr="000D37DB">
              <w:rPr>
                <w:color w:val="000000"/>
                <w:sz w:val="20"/>
                <w:szCs w:val="20"/>
              </w:rPr>
              <w:t> </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5F74455" w14:textId="77777777">
            <w:pPr>
              <w:jc w:val="center"/>
              <w:rPr>
                <w:color w:val="000000"/>
                <w:sz w:val="20"/>
                <w:szCs w:val="20"/>
              </w:rPr>
            </w:pPr>
            <w:r w:rsidRPr="000D37DB">
              <w:rPr>
                <w:color w:val="000000"/>
                <w:sz w:val="20"/>
                <w:szCs w:val="20"/>
              </w:rPr>
              <w:t> </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A054ED6" w14:textId="77777777">
            <w:pPr>
              <w:jc w:val="right"/>
              <w:rPr>
                <w:color w:val="000000"/>
                <w:sz w:val="20"/>
                <w:szCs w:val="20"/>
              </w:rPr>
            </w:pPr>
            <w:r w:rsidRPr="000D37DB">
              <w:rPr>
                <w:color w:val="000000"/>
                <w:sz w:val="20"/>
                <w:szCs w:val="20"/>
              </w:rPr>
              <w:t> </w:t>
            </w:r>
          </w:p>
        </w:tc>
      </w:tr>
      <w:tr w14:paraId="14B8AD65" w14:textId="77777777" w:rsidTr="009A2F1F">
        <w:tblPrEx>
          <w:tblW w:w="5000" w:type="pct"/>
          <w:tblLook w:val="04A0"/>
        </w:tblPrEx>
        <w:trPr>
          <w:trHeight w:val="300"/>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748ECF53" w14:textId="77777777">
            <w:pPr>
              <w:ind w:firstLine="200" w:firstLineChars="100"/>
              <w:rPr>
                <w:color w:val="000000"/>
                <w:sz w:val="20"/>
                <w:szCs w:val="20"/>
              </w:rPr>
            </w:pPr>
            <w:r w:rsidRPr="000D37DB">
              <w:rPr>
                <w:color w:val="000000"/>
                <w:sz w:val="20"/>
                <w:szCs w:val="20"/>
              </w:rPr>
              <w:t>C.</w:t>
            </w:r>
            <w:r>
              <w:rPr>
                <w:color w:val="000000"/>
                <w:sz w:val="20"/>
                <w:szCs w:val="20"/>
              </w:rPr>
              <w:t xml:space="preserve"> </w:t>
            </w:r>
            <w:r w:rsidRPr="000D37DB">
              <w:rPr>
                <w:color w:val="000000"/>
                <w:sz w:val="20"/>
                <w:szCs w:val="20"/>
              </w:rPr>
              <w:t>Implement activities</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5B4AC59" w14:textId="77777777">
            <w:pPr>
              <w:jc w:val="center"/>
              <w:rPr>
                <w:color w:val="000000"/>
                <w:sz w:val="20"/>
                <w:szCs w:val="20"/>
              </w:rPr>
            </w:pPr>
            <w:r w:rsidRPr="000D37DB">
              <w:rPr>
                <w:color w:val="000000"/>
                <w:sz w:val="20"/>
                <w:szCs w:val="20"/>
              </w:rPr>
              <w:t>See 4A</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F449C4A" w14:textId="77777777">
            <w:pPr>
              <w:jc w:val="center"/>
              <w:rPr>
                <w:color w:val="000000"/>
                <w:sz w:val="20"/>
                <w:szCs w:val="20"/>
              </w:rPr>
            </w:pPr>
            <w:r w:rsidRPr="000D37DB">
              <w:rPr>
                <w:color w:val="000000"/>
                <w:sz w:val="20"/>
                <w:szCs w:val="20"/>
              </w:rPr>
              <w:t> </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62C8113" w14:textId="77777777">
            <w:pPr>
              <w:jc w:val="center"/>
              <w:rPr>
                <w:color w:val="000000"/>
                <w:sz w:val="20"/>
                <w:szCs w:val="20"/>
              </w:rPr>
            </w:pPr>
            <w:r w:rsidRPr="000D37DB">
              <w:rPr>
                <w:color w:val="000000"/>
                <w:sz w:val="20"/>
                <w:szCs w:val="20"/>
              </w:rPr>
              <w:t> </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460869A" w14:textId="77777777">
            <w:pPr>
              <w:jc w:val="center"/>
              <w:rPr>
                <w:color w:val="000000"/>
                <w:sz w:val="20"/>
                <w:szCs w:val="20"/>
              </w:rPr>
            </w:pPr>
            <w:r w:rsidRPr="000D37DB">
              <w:rPr>
                <w:color w:val="000000"/>
                <w:sz w:val="20"/>
                <w:szCs w:val="20"/>
              </w:rPr>
              <w:t> </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6188D79" w14:textId="77777777">
            <w:pPr>
              <w:jc w:val="center"/>
              <w:rPr>
                <w:color w:val="000000"/>
                <w:sz w:val="20"/>
                <w:szCs w:val="20"/>
              </w:rPr>
            </w:pPr>
            <w:r w:rsidRPr="000D37DB">
              <w:rPr>
                <w:color w:val="000000"/>
                <w:sz w:val="20"/>
                <w:szCs w:val="20"/>
              </w:rPr>
              <w:t> </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06F83865" w14:textId="77777777">
            <w:pPr>
              <w:jc w:val="center"/>
              <w:rPr>
                <w:color w:val="000000"/>
                <w:sz w:val="20"/>
                <w:szCs w:val="20"/>
              </w:rPr>
            </w:pPr>
            <w:r w:rsidRPr="000D37DB">
              <w:rPr>
                <w:color w:val="000000"/>
                <w:sz w:val="20"/>
                <w:szCs w:val="20"/>
              </w:rPr>
              <w:t> </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B984192" w14:textId="77777777">
            <w:pPr>
              <w:jc w:val="center"/>
              <w:rPr>
                <w:color w:val="000000"/>
                <w:sz w:val="20"/>
                <w:szCs w:val="20"/>
              </w:rPr>
            </w:pPr>
            <w:r w:rsidRPr="000D37DB">
              <w:rPr>
                <w:color w:val="000000"/>
                <w:sz w:val="20"/>
                <w:szCs w:val="20"/>
              </w:rPr>
              <w:t> </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B1877CD" w14:textId="77777777">
            <w:pPr>
              <w:jc w:val="right"/>
              <w:rPr>
                <w:color w:val="000000"/>
                <w:sz w:val="20"/>
                <w:szCs w:val="20"/>
              </w:rPr>
            </w:pPr>
            <w:r w:rsidRPr="000D37DB">
              <w:rPr>
                <w:color w:val="000000"/>
                <w:sz w:val="20"/>
                <w:szCs w:val="20"/>
              </w:rPr>
              <w:t> </w:t>
            </w:r>
          </w:p>
        </w:tc>
      </w:tr>
      <w:tr w14:paraId="7FED27CF" w14:textId="77777777" w:rsidTr="009A2F1F">
        <w:tblPrEx>
          <w:tblW w:w="5000" w:type="pct"/>
          <w:tblLook w:val="04A0"/>
        </w:tblPrEx>
        <w:trPr>
          <w:trHeight w:val="300"/>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0BE0BED5" w14:textId="77777777">
            <w:pPr>
              <w:ind w:firstLine="200" w:firstLineChars="100"/>
              <w:rPr>
                <w:color w:val="000000"/>
                <w:sz w:val="20"/>
                <w:szCs w:val="20"/>
              </w:rPr>
            </w:pPr>
            <w:r w:rsidRPr="000D37DB">
              <w:rPr>
                <w:color w:val="000000"/>
                <w:sz w:val="20"/>
                <w:szCs w:val="20"/>
              </w:rPr>
              <w:t>D.</w:t>
            </w:r>
            <w:r>
              <w:rPr>
                <w:color w:val="000000"/>
                <w:sz w:val="20"/>
                <w:szCs w:val="20"/>
              </w:rPr>
              <w:t xml:space="preserve"> </w:t>
            </w:r>
            <w:r w:rsidRPr="000D37DB">
              <w:rPr>
                <w:color w:val="000000"/>
                <w:sz w:val="20"/>
                <w:szCs w:val="20"/>
              </w:rPr>
              <w:t>Develop record system</w:t>
            </w:r>
            <w:r w:rsidRPr="000D37DB">
              <w:rPr>
                <w:b/>
                <w:bCs/>
                <w:color w:val="000000"/>
                <w:sz w:val="20"/>
                <w:szCs w:val="20"/>
                <w:vertAlign w:val="superscript"/>
              </w:rPr>
              <w:t xml:space="preserve"> </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8059B43" w14:textId="77777777">
            <w:pPr>
              <w:jc w:val="center"/>
              <w:rPr>
                <w:color w:val="000000"/>
                <w:sz w:val="20"/>
                <w:szCs w:val="20"/>
              </w:rPr>
            </w:pPr>
            <w:r w:rsidRPr="000D37DB">
              <w:rPr>
                <w:color w:val="000000"/>
                <w:sz w:val="20"/>
                <w:szCs w:val="20"/>
              </w:rPr>
              <w:t>4</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A2247C9" w14:textId="77777777">
            <w:pPr>
              <w:jc w:val="center"/>
              <w:rPr>
                <w:color w:val="000000"/>
                <w:sz w:val="20"/>
                <w:szCs w:val="20"/>
              </w:rPr>
            </w:pPr>
            <w:r w:rsidRPr="000D37DB">
              <w:rPr>
                <w:color w:val="000000"/>
                <w:sz w:val="20"/>
                <w:szCs w:val="20"/>
              </w:rPr>
              <w:t>1</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028B9D2" w14:textId="77777777">
            <w:pPr>
              <w:jc w:val="center"/>
              <w:rPr>
                <w:color w:val="000000"/>
                <w:sz w:val="20"/>
                <w:szCs w:val="20"/>
              </w:rPr>
            </w:pPr>
            <w:r w:rsidRPr="000D37DB">
              <w:rPr>
                <w:color w:val="000000"/>
                <w:sz w:val="20"/>
                <w:szCs w:val="20"/>
              </w:rPr>
              <w:t>4</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56D71ED" w14:textId="77777777">
            <w:pPr>
              <w:jc w:val="center"/>
              <w:rPr>
                <w:color w:val="000000"/>
                <w:sz w:val="20"/>
                <w:szCs w:val="20"/>
              </w:rPr>
            </w:pPr>
            <w:r w:rsidRPr="000D37DB">
              <w:rPr>
                <w:color w:val="000000"/>
                <w:sz w:val="20"/>
                <w:szCs w:val="20"/>
              </w:rPr>
              <w:t>0</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2B85342" w14:textId="77777777">
            <w:pPr>
              <w:jc w:val="center"/>
              <w:rPr>
                <w:color w:val="000000"/>
                <w:sz w:val="20"/>
                <w:szCs w:val="20"/>
              </w:rPr>
            </w:pPr>
            <w:r w:rsidRPr="000D37DB">
              <w:rPr>
                <w:color w:val="000000"/>
                <w:sz w:val="20"/>
                <w:szCs w:val="20"/>
              </w:rPr>
              <w:t>0</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45EF3BA" w14:textId="77777777">
            <w:pPr>
              <w:jc w:val="center"/>
              <w:rPr>
                <w:color w:val="000000"/>
                <w:sz w:val="20"/>
                <w:szCs w:val="20"/>
              </w:rPr>
            </w:pPr>
            <w:r w:rsidRPr="000D37DB">
              <w:rPr>
                <w:color w:val="000000"/>
                <w:sz w:val="20"/>
                <w:szCs w:val="20"/>
              </w:rPr>
              <w:t>0</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9B8FE02" w14:textId="77777777">
            <w:pPr>
              <w:jc w:val="center"/>
              <w:rPr>
                <w:color w:val="000000"/>
                <w:sz w:val="20"/>
                <w:szCs w:val="20"/>
              </w:rPr>
            </w:pPr>
            <w:r w:rsidRPr="000D37DB">
              <w:rPr>
                <w:color w:val="000000"/>
                <w:sz w:val="20"/>
                <w:szCs w:val="20"/>
              </w:rPr>
              <w:t>0</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8F591F4" w14:textId="77777777">
            <w:pPr>
              <w:jc w:val="right"/>
              <w:rPr>
                <w:color w:val="000000"/>
                <w:sz w:val="20"/>
                <w:szCs w:val="20"/>
              </w:rPr>
            </w:pPr>
            <w:r w:rsidRPr="000D37DB">
              <w:rPr>
                <w:color w:val="000000"/>
                <w:sz w:val="20"/>
                <w:szCs w:val="20"/>
              </w:rPr>
              <w:t xml:space="preserve">$0 </w:t>
            </w:r>
          </w:p>
        </w:tc>
      </w:tr>
      <w:tr w14:paraId="268C6DCE" w14:textId="77777777" w:rsidTr="009A2F1F">
        <w:tblPrEx>
          <w:tblW w:w="5000" w:type="pct"/>
          <w:tblLook w:val="04A0"/>
        </w:tblPrEx>
        <w:trPr>
          <w:trHeight w:val="300"/>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481D3F3D" w14:textId="77777777">
            <w:pPr>
              <w:ind w:firstLine="200" w:firstLineChars="100"/>
              <w:rPr>
                <w:color w:val="000000"/>
                <w:sz w:val="20"/>
                <w:szCs w:val="20"/>
              </w:rPr>
            </w:pPr>
            <w:r w:rsidRPr="000D37DB">
              <w:rPr>
                <w:color w:val="000000"/>
                <w:sz w:val="20"/>
                <w:szCs w:val="20"/>
              </w:rPr>
              <w:t>E.</w:t>
            </w:r>
            <w:r>
              <w:rPr>
                <w:color w:val="000000"/>
                <w:sz w:val="20"/>
                <w:szCs w:val="20"/>
              </w:rPr>
              <w:t xml:space="preserve"> </w:t>
            </w:r>
            <w:r w:rsidRPr="000D37DB">
              <w:rPr>
                <w:color w:val="000000"/>
                <w:sz w:val="20"/>
                <w:szCs w:val="20"/>
              </w:rPr>
              <w:t>Time to enter information</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50FD78F" w14:textId="77777777">
            <w:pPr>
              <w:jc w:val="center"/>
              <w:rPr>
                <w:color w:val="000000"/>
                <w:sz w:val="20"/>
                <w:szCs w:val="20"/>
              </w:rPr>
            </w:pPr>
            <w:r w:rsidRPr="000D37DB">
              <w:rPr>
                <w:color w:val="000000"/>
                <w:sz w:val="20"/>
                <w:szCs w:val="20"/>
              </w:rPr>
              <w:t>0.5</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BCD5EF7" w14:textId="77777777">
            <w:pPr>
              <w:jc w:val="center"/>
              <w:rPr>
                <w:color w:val="000000"/>
                <w:sz w:val="20"/>
                <w:szCs w:val="20"/>
              </w:rPr>
            </w:pPr>
            <w:r w:rsidRPr="000D37DB">
              <w:rPr>
                <w:color w:val="000000"/>
                <w:sz w:val="20"/>
                <w:szCs w:val="20"/>
              </w:rPr>
              <w:t>52</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0C117A7" w14:textId="77777777">
            <w:pPr>
              <w:jc w:val="center"/>
              <w:rPr>
                <w:color w:val="000000"/>
                <w:sz w:val="20"/>
                <w:szCs w:val="20"/>
              </w:rPr>
            </w:pPr>
            <w:r w:rsidRPr="000D37DB">
              <w:rPr>
                <w:color w:val="000000"/>
                <w:sz w:val="20"/>
                <w:szCs w:val="20"/>
              </w:rPr>
              <w:t>26</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AB52720" w14:textId="77777777">
            <w:pPr>
              <w:jc w:val="center"/>
              <w:rPr>
                <w:color w:val="000000"/>
                <w:sz w:val="20"/>
                <w:szCs w:val="20"/>
              </w:rPr>
            </w:pPr>
            <w:r w:rsidRPr="000D37DB">
              <w:rPr>
                <w:color w:val="000000"/>
                <w:sz w:val="20"/>
                <w:szCs w:val="20"/>
              </w:rPr>
              <w:t>21</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2AADF14" w14:textId="77777777">
            <w:pPr>
              <w:jc w:val="center"/>
              <w:rPr>
                <w:color w:val="000000"/>
                <w:sz w:val="20"/>
                <w:szCs w:val="20"/>
              </w:rPr>
            </w:pPr>
            <w:r w:rsidRPr="000D37DB">
              <w:rPr>
                <w:color w:val="000000"/>
                <w:sz w:val="20"/>
                <w:szCs w:val="20"/>
              </w:rPr>
              <w:t>546</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03CBDB0" w14:textId="77777777">
            <w:pPr>
              <w:jc w:val="center"/>
              <w:rPr>
                <w:color w:val="000000"/>
                <w:sz w:val="20"/>
                <w:szCs w:val="20"/>
              </w:rPr>
            </w:pPr>
            <w:r w:rsidRPr="000D37DB">
              <w:rPr>
                <w:color w:val="000000"/>
                <w:sz w:val="20"/>
                <w:szCs w:val="20"/>
              </w:rPr>
              <w:t>27.3</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0545BDFE" w14:textId="77777777">
            <w:pPr>
              <w:jc w:val="center"/>
              <w:rPr>
                <w:color w:val="000000"/>
                <w:sz w:val="20"/>
                <w:szCs w:val="20"/>
              </w:rPr>
            </w:pPr>
            <w:r w:rsidRPr="000D37DB">
              <w:rPr>
                <w:color w:val="000000"/>
                <w:sz w:val="20"/>
                <w:szCs w:val="20"/>
              </w:rPr>
              <w:t>54.6</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F965D76" w14:textId="77777777">
            <w:pPr>
              <w:jc w:val="right"/>
              <w:rPr>
                <w:color w:val="000000"/>
                <w:sz w:val="20"/>
                <w:szCs w:val="20"/>
              </w:rPr>
            </w:pPr>
            <w:r w:rsidRPr="000D37DB">
              <w:rPr>
                <w:color w:val="000000"/>
                <w:sz w:val="20"/>
                <w:szCs w:val="20"/>
              </w:rPr>
              <w:t xml:space="preserve">$96,235.23 </w:t>
            </w:r>
          </w:p>
        </w:tc>
      </w:tr>
      <w:tr w14:paraId="1EB56845" w14:textId="77777777" w:rsidTr="009A2F1F">
        <w:tblPrEx>
          <w:tblW w:w="5000" w:type="pct"/>
          <w:tblLook w:val="04A0"/>
        </w:tblPrEx>
        <w:trPr>
          <w:trHeight w:val="300"/>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745D4DED" w14:textId="77777777">
            <w:pPr>
              <w:ind w:left="161" w:firstLine="38" w:firstLineChars="19"/>
              <w:rPr>
                <w:color w:val="000000"/>
                <w:sz w:val="20"/>
                <w:szCs w:val="20"/>
              </w:rPr>
            </w:pPr>
            <w:r w:rsidRPr="000D37DB">
              <w:rPr>
                <w:color w:val="000000"/>
                <w:sz w:val="20"/>
                <w:szCs w:val="20"/>
              </w:rPr>
              <w:t>F.</w:t>
            </w:r>
            <w:r>
              <w:rPr>
                <w:color w:val="000000"/>
                <w:sz w:val="20"/>
                <w:szCs w:val="20"/>
              </w:rPr>
              <w:t xml:space="preserve"> </w:t>
            </w:r>
            <w:r w:rsidRPr="000D37DB">
              <w:rPr>
                <w:color w:val="000000"/>
                <w:sz w:val="20"/>
                <w:szCs w:val="20"/>
              </w:rPr>
              <w:t>Time to transmit or disclose information</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A8371FD" w14:textId="77777777">
            <w:pPr>
              <w:jc w:val="center"/>
              <w:rPr>
                <w:color w:val="000000"/>
                <w:sz w:val="20"/>
                <w:szCs w:val="20"/>
              </w:rPr>
            </w:pPr>
            <w:r w:rsidRPr="000D37DB">
              <w:rPr>
                <w:color w:val="000000"/>
                <w:sz w:val="20"/>
                <w:szCs w:val="20"/>
              </w:rPr>
              <w:t>0.25</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FB8B82C" w14:textId="77777777">
            <w:pPr>
              <w:jc w:val="center"/>
              <w:rPr>
                <w:color w:val="000000"/>
                <w:sz w:val="20"/>
                <w:szCs w:val="20"/>
              </w:rPr>
            </w:pPr>
            <w:r w:rsidRPr="000D37DB">
              <w:rPr>
                <w:color w:val="000000"/>
                <w:sz w:val="20"/>
                <w:szCs w:val="20"/>
              </w:rPr>
              <w:t>2</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C7E51D7" w14:textId="77777777">
            <w:pPr>
              <w:jc w:val="center"/>
              <w:rPr>
                <w:color w:val="000000"/>
                <w:sz w:val="20"/>
                <w:szCs w:val="20"/>
              </w:rPr>
            </w:pPr>
            <w:r w:rsidRPr="000D37DB">
              <w:rPr>
                <w:color w:val="000000"/>
                <w:sz w:val="20"/>
                <w:szCs w:val="20"/>
              </w:rPr>
              <w:t>0.5</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516877D" w14:textId="77777777">
            <w:pPr>
              <w:jc w:val="center"/>
              <w:rPr>
                <w:color w:val="000000"/>
                <w:sz w:val="20"/>
                <w:szCs w:val="20"/>
              </w:rPr>
            </w:pPr>
            <w:r w:rsidRPr="000D37DB">
              <w:rPr>
                <w:color w:val="000000"/>
                <w:sz w:val="20"/>
                <w:szCs w:val="20"/>
              </w:rPr>
              <w:t>21</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C588CD7" w14:textId="77777777">
            <w:pPr>
              <w:jc w:val="center"/>
              <w:rPr>
                <w:color w:val="000000"/>
                <w:sz w:val="20"/>
                <w:szCs w:val="20"/>
              </w:rPr>
            </w:pPr>
            <w:r w:rsidRPr="000D37DB">
              <w:rPr>
                <w:color w:val="000000"/>
                <w:sz w:val="20"/>
                <w:szCs w:val="20"/>
              </w:rPr>
              <w:t>10.5</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C200A6B" w14:textId="77777777">
            <w:pPr>
              <w:jc w:val="center"/>
              <w:rPr>
                <w:color w:val="000000"/>
                <w:sz w:val="20"/>
                <w:szCs w:val="20"/>
              </w:rPr>
            </w:pPr>
            <w:r w:rsidRPr="000D37DB">
              <w:rPr>
                <w:color w:val="000000"/>
                <w:sz w:val="20"/>
                <w:szCs w:val="20"/>
              </w:rPr>
              <w:t>0.53</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43C7D85" w14:textId="77777777">
            <w:pPr>
              <w:jc w:val="center"/>
              <w:rPr>
                <w:color w:val="000000"/>
                <w:sz w:val="20"/>
                <w:szCs w:val="20"/>
              </w:rPr>
            </w:pPr>
            <w:r w:rsidRPr="000D37DB">
              <w:rPr>
                <w:color w:val="000000"/>
                <w:sz w:val="20"/>
                <w:szCs w:val="20"/>
              </w:rPr>
              <w:t>1.05</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FA81834" w14:textId="77777777">
            <w:pPr>
              <w:jc w:val="right"/>
              <w:rPr>
                <w:color w:val="000000"/>
                <w:sz w:val="20"/>
                <w:szCs w:val="20"/>
              </w:rPr>
            </w:pPr>
            <w:r w:rsidRPr="000D37DB">
              <w:rPr>
                <w:color w:val="000000"/>
                <w:sz w:val="20"/>
                <w:szCs w:val="20"/>
              </w:rPr>
              <w:t xml:space="preserve">$1,850.68 </w:t>
            </w:r>
          </w:p>
        </w:tc>
      </w:tr>
      <w:tr w14:paraId="10D32BF6" w14:textId="77777777" w:rsidTr="009A2F1F">
        <w:tblPrEx>
          <w:tblW w:w="5000" w:type="pct"/>
          <w:tblLook w:val="04A0"/>
        </w:tblPrEx>
        <w:trPr>
          <w:trHeight w:val="300"/>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306DEFC4" w14:textId="77777777">
            <w:pPr>
              <w:ind w:firstLine="200" w:firstLineChars="100"/>
              <w:rPr>
                <w:color w:val="000000"/>
                <w:sz w:val="20"/>
                <w:szCs w:val="20"/>
              </w:rPr>
            </w:pPr>
            <w:r w:rsidRPr="000D37DB">
              <w:rPr>
                <w:color w:val="000000"/>
                <w:sz w:val="20"/>
                <w:szCs w:val="20"/>
              </w:rPr>
              <w:t>G.</w:t>
            </w:r>
            <w:r>
              <w:rPr>
                <w:color w:val="000000"/>
                <w:sz w:val="20"/>
                <w:szCs w:val="20"/>
              </w:rPr>
              <w:t xml:space="preserve"> </w:t>
            </w:r>
            <w:r w:rsidRPr="000D37DB">
              <w:rPr>
                <w:color w:val="000000"/>
                <w:sz w:val="20"/>
                <w:szCs w:val="20"/>
              </w:rPr>
              <w:t>Time to adjust existing ways</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0493FDBC" w14:textId="77777777">
            <w:pPr>
              <w:jc w:val="center"/>
              <w:rPr>
                <w:color w:val="000000"/>
                <w:sz w:val="20"/>
                <w:szCs w:val="20"/>
              </w:rPr>
            </w:pPr>
            <w:r w:rsidRPr="000D37DB">
              <w:rPr>
                <w:color w:val="000000"/>
                <w:sz w:val="20"/>
                <w:szCs w:val="20"/>
              </w:rPr>
              <w:t>2</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C79CC5F" w14:textId="77777777">
            <w:pPr>
              <w:jc w:val="center"/>
              <w:rPr>
                <w:color w:val="000000"/>
                <w:sz w:val="20"/>
                <w:szCs w:val="20"/>
              </w:rPr>
            </w:pPr>
            <w:r w:rsidRPr="000D37DB">
              <w:rPr>
                <w:color w:val="000000"/>
                <w:sz w:val="20"/>
                <w:szCs w:val="20"/>
              </w:rPr>
              <w:t>1</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7A21F65" w14:textId="77777777">
            <w:pPr>
              <w:jc w:val="center"/>
              <w:rPr>
                <w:color w:val="000000"/>
                <w:sz w:val="20"/>
                <w:szCs w:val="20"/>
              </w:rPr>
            </w:pPr>
            <w:r w:rsidRPr="000D37DB">
              <w:rPr>
                <w:color w:val="000000"/>
                <w:sz w:val="20"/>
                <w:szCs w:val="20"/>
              </w:rPr>
              <w:t>2</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19B3917" w14:textId="77777777">
            <w:pPr>
              <w:jc w:val="center"/>
              <w:rPr>
                <w:color w:val="000000"/>
                <w:sz w:val="20"/>
                <w:szCs w:val="20"/>
              </w:rPr>
            </w:pPr>
            <w:r w:rsidRPr="000D37DB">
              <w:rPr>
                <w:color w:val="000000"/>
                <w:sz w:val="20"/>
                <w:szCs w:val="20"/>
              </w:rPr>
              <w:t>21</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0AE9E134" w14:textId="77777777">
            <w:pPr>
              <w:jc w:val="center"/>
              <w:rPr>
                <w:color w:val="000000"/>
                <w:sz w:val="20"/>
                <w:szCs w:val="20"/>
              </w:rPr>
            </w:pPr>
            <w:r w:rsidRPr="000D37DB">
              <w:rPr>
                <w:color w:val="000000"/>
                <w:sz w:val="20"/>
                <w:szCs w:val="20"/>
              </w:rPr>
              <w:t>42</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971440F" w14:textId="77777777">
            <w:pPr>
              <w:jc w:val="center"/>
              <w:rPr>
                <w:color w:val="000000"/>
                <w:sz w:val="20"/>
                <w:szCs w:val="20"/>
              </w:rPr>
            </w:pPr>
            <w:r w:rsidRPr="000D37DB">
              <w:rPr>
                <w:color w:val="000000"/>
                <w:sz w:val="20"/>
                <w:szCs w:val="20"/>
              </w:rPr>
              <w:t>2.1</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94CC7D2" w14:textId="77777777">
            <w:pPr>
              <w:jc w:val="center"/>
              <w:rPr>
                <w:color w:val="000000"/>
                <w:sz w:val="20"/>
                <w:szCs w:val="20"/>
              </w:rPr>
            </w:pPr>
            <w:r w:rsidRPr="000D37DB">
              <w:rPr>
                <w:color w:val="000000"/>
                <w:sz w:val="20"/>
                <w:szCs w:val="20"/>
              </w:rPr>
              <w:t>4.2</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19A8AFF" w14:textId="77777777">
            <w:pPr>
              <w:jc w:val="right"/>
              <w:rPr>
                <w:color w:val="000000"/>
                <w:sz w:val="20"/>
                <w:szCs w:val="20"/>
              </w:rPr>
            </w:pPr>
            <w:r w:rsidRPr="000D37DB">
              <w:rPr>
                <w:color w:val="000000"/>
                <w:sz w:val="20"/>
                <w:szCs w:val="20"/>
              </w:rPr>
              <w:t xml:space="preserve">$7,402.71 </w:t>
            </w:r>
          </w:p>
        </w:tc>
      </w:tr>
      <w:tr w14:paraId="18298D58" w14:textId="77777777" w:rsidTr="009A2F1F">
        <w:tblPrEx>
          <w:tblW w:w="5000" w:type="pct"/>
          <w:tblLook w:val="04A0"/>
        </w:tblPrEx>
        <w:trPr>
          <w:trHeight w:val="300"/>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104A2F3F" w14:textId="77777777">
            <w:pPr>
              <w:ind w:firstLine="200" w:firstLineChars="100"/>
              <w:rPr>
                <w:color w:val="000000"/>
                <w:sz w:val="20"/>
                <w:szCs w:val="20"/>
              </w:rPr>
            </w:pPr>
            <w:r w:rsidRPr="000D37DB">
              <w:rPr>
                <w:color w:val="000000"/>
                <w:sz w:val="20"/>
                <w:szCs w:val="20"/>
              </w:rPr>
              <w:t>H.</w:t>
            </w:r>
            <w:r>
              <w:rPr>
                <w:color w:val="000000"/>
                <w:sz w:val="20"/>
                <w:szCs w:val="20"/>
              </w:rPr>
              <w:t xml:space="preserve"> </w:t>
            </w:r>
            <w:r w:rsidRPr="000D37DB">
              <w:rPr>
                <w:color w:val="000000"/>
                <w:sz w:val="20"/>
                <w:szCs w:val="20"/>
              </w:rPr>
              <w:t>Time to train personnel</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0903442E" w14:textId="77777777">
            <w:pPr>
              <w:jc w:val="center"/>
              <w:rPr>
                <w:color w:val="000000"/>
                <w:sz w:val="20"/>
                <w:szCs w:val="20"/>
              </w:rPr>
            </w:pPr>
            <w:r w:rsidRPr="000D37DB">
              <w:rPr>
                <w:color w:val="000000"/>
                <w:sz w:val="20"/>
                <w:szCs w:val="20"/>
              </w:rPr>
              <w:t>4</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D5B4657" w14:textId="77777777">
            <w:pPr>
              <w:jc w:val="center"/>
              <w:rPr>
                <w:color w:val="000000"/>
                <w:sz w:val="20"/>
                <w:szCs w:val="20"/>
              </w:rPr>
            </w:pPr>
            <w:r w:rsidRPr="000D37DB">
              <w:rPr>
                <w:color w:val="000000"/>
                <w:sz w:val="20"/>
                <w:szCs w:val="20"/>
              </w:rPr>
              <w:t>1</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1A66933" w14:textId="77777777">
            <w:pPr>
              <w:jc w:val="center"/>
              <w:rPr>
                <w:color w:val="000000"/>
                <w:sz w:val="20"/>
                <w:szCs w:val="20"/>
              </w:rPr>
            </w:pPr>
            <w:r w:rsidRPr="000D37DB">
              <w:rPr>
                <w:color w:val="000000"/>
                <w:sz w:val="20"/>
                <w:szCs w:val="20"/>
              </w:rPr>
              <w:t>4</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81E8B17" w14:textId="77777777">
            <w:pPr>
              <w:jc w:val="center"/>
              <w:rPr>
                <w:color w:val="000000"/>
                <w:sz w:val="20"/>
                <w:szCs w:val="20"/>
              </w:rPr>
            </w:pPr>
            <w:r w:rsidRPr="000D37DB">
              <w:rPr>
                <w:color w:val="000000"/>
                <w:sz w:val="20"/>
                <w:szCs w:val="20"/>
              </w:rPr>
              <w:t>0</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06CAC8BA" w14:textId="77777777">
            <w:pPr>
              <w:jc w:val="center"/>
              <w:rPr>
                <w:color w:val="000000"/>
                <w:sz w:val="20"/>
                <w:szCs w:val="20"/>
              </w:rPr>
            </w:pPr>
            <w:r w:rsidRPr="000D37DB">
              <w:rPr>
                <w:color w:val="000000"/>
                <w:sz w:val="20"/>
                <w:szCs w:val="20"/>
              </w:rPr>
              <w:t>0</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C83331B" w14:textId="77777777">
            <w:pPr>
              <w:jc w:val="center"/>
              <w:rPr>
                <w:color w:val="000000"/>
                <w:sz w:val="20"/>
                <w:szCs w:val="20"/>
              </w:rPr>
            </w:pPr>
            <w:r w:rsidRPr="000D37DB">
              <w:rPr>
                <w:color w:val="000000"/>
                <w:sz w:val="20"/>
                <w:szCs w:val="20"/>
              </w:rPr>
              <w:t>0</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04C5ABD" w14:textId="77777777">
            <w:pPr>
              <w:jc w:val="center"/>
              <w:rPr>
                <w:color w:val="000000"/>
                <w:sz w:val="20"/>
                <w:szCs w:val="20"/>
              </w:rPr>
            </w:pPr>
            <w:r w:rsidRPr="000D37DB">
              <w:rPr>
                <w:color w:val="000000"/>
                <w:sz w:val="20"/>
                <w:szCs w:val="20"/>
              </w:rPr>
              <w:t>0</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C41ECE3" w14:textId="77777777">
            <w:pPr>
              <w:jc w:val="right"/>
              <w:rPr>
                <w:color w:val="000000"/>
                <w:sz w:val="20"/>
                <w:szCs w:val="20"/>
              </w:rPr>
            </w:pPr>
            <w:r w:rsidRPr="000D37DB">
              <w:rPr>
                <w:color w:val="000000"/>
                <w:sz w:val="20"/>
                <w:szCs w:val="20"/>
              </w:rPr>
              <w:t xml:space="preserve">$0 </w:t>
            </w:r>
          </w:p>
        </w:tc>
      </w:tr>
      <w:tr w14:paraId="24DE4858" w14:textId="77777777" w:rsidTr="009A2F1F">
        <w:tblPrEx>
          <w:tblW w:w="5000" w:type="pct"/>
          <w:tblLook w:val="04A0"/>
        </w:tblPrEx>
        <w:trPr>
          <w:trHeight w:val="315"/>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0D202A62" w14:textId="77777777">
            <w:pPr>
              <w:ind w:firstLine="200" w:firstLineChars="100"/>
              <w:rPr>
                <w:color w:val="000000"/>
                <w:sz w:val="20"/>
                <w:szCs w:val="20"/>
              </w:rPr>
            </w:pPr>
            <w:r w:rsidRPr="000D37DB">
              <w:rPr>
                <w:color w:val="000000"/>
                <w:sz w:val="20"/>
                <w:szCs w:val="20"/>
              </w:rPr>
              <w:t>I.</w:t>
            </w:r>
            <w:r>
              <w:rPr>
                <w:color w:val="000000"/>
                <w:sz w:val="20"/>
                <w:szCs w:val="20"/>
              </w:rPr>
              <w:t xml:space="preserve"> </w:t>
            </w:r>
            <w:r w:rsidRPr="000D37DB">
              <w:rPr>
                <w:color w:val="000000"/>
                <w:sz w:val="20"/>
                <w:szCs w:val="20"/>
              </w:rPr>
              <w:t>Time for audits</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606BB08" w14:textId="77777777">
            <w:pPr>
              <w:jc w:val="center"/>
              <w:rPr>
                <w:color w:val="000000"/>
                <w:sz w:val="20"/>
                <w:szCs w:val="20"/>
              </w:rPr>
            </w:pPr>
            <w:r w:rsidRPr="000D37DB">
              <w:rPr>
                <w:color w:val="000000"/>
                <w:sz w:val="20"/>
                <w:szCs w:val="20"/>
              </w:rPr>
              <w:t>N/A</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B41FC0B" w14:textId="77777777">
            <w:pPr>
              <w:jc w:val="center"/>
              <w:rPr>
                <w:color w:val="000000"/>
                <w:sz w:val="20"/>
                <w:szCs w:val="20"/>
              </w:rPr>
            </w:pPr>
            <w:r w:rsidRPr="000D37DB">
              <w:rPr>
                <w:color w:val="000000"/>
                <w:sz w:val="20"/>
                <w:szCs w:val="20"/>
              </w:rPr>
              <w:t> </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D6F1F8A" w14:textId="77777777">
            <w:pPr>
              <w:jc w:val="center"/>
              <w:rPr>
                <w:color w:val="000000"/>
                <w:sz w:val="20"/>
                <w:szCs w:val="20"/>
              </w:rPr>
            </w:pPr>
            <w:r w:rsidRPr="000D37DB">
              <w:rPr>
                <w:color w:val="000000"/>
                <w:sz w:val="20"/>
                <w:szCs w:val="20"/>
              </w:rPr>
              <w:t> </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0B19E08E" w14:textId="77777777">
            <w:pPr>
              <w:jc w:val="center"/>
              <w:rPr>
                <w:color w:val="000000"/>
                <w:sz w:val="20"/>
                <w:szCs w:val="20"/>
              </w:rPr>
            </w:pPr>
            <w:r w:rsidRPr="000D37DB">
              <w:rPr>
                <w:color w:val="000000"/>
                <w:sz w:val="20"/>
                <w:szCs w:val="20"/>
              </w:rPr>
              <w:t> </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AC85EE1" w14:textId="77777777">
            <w:pPr>
              <w:jc w:val="center"/>
              <w:rPr>
                <w:color w:val="000000"/>
                <w:sz w:val="20"/>
                <w:szCs w:val="20"/>
              </w:rPr>
            </w:pPr>
            <w:r w:rsidRPr="000D37DB">
              <w:rPr>
                <w:color w:val="000000"/>
                <w:sz w:val="20"/>
                <w:szCs w:val="20"/>
              </w:rPr>
              <w:t> </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3ECDFE3" w14:textId="77777777">
            <w:pPr>
              <w:jc w:val="center"/>
              <w:rPr>
                <w:color w:val="000000"/>
                <w:sz w:val="20"/>
                <w:szCs w:val="20"/>
              </w:rPr>
            </w:pPr>
            <w:r w:rsidRPr="000D37DB">
              <w:rPr>
                <w:color w:val="000000"/>
                <w:sz w:val="20"/>
                <w:szCs w:val="20"/>
              </w:rPr>
              <w:t> </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155F4EF" w14:textId="77777777">
            <w:pPr>
              <w:jc w:val="center"/>
              <w:rPr>
                <w:color w:val="000000"/>
                <w:sz w:val="20"/>
                <w:szCs w:val="20"/>
              </w:rPr>
            </w:pPr>
            <w:r w:rsidRPr="000D37DB">
              <w:rPr>
                <w:color w:val="000000"/>
                <w:sz w:val="20"/>
                <w:szCs w:val="20"/>
              </w:rPr>
              <w:t> </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9A25D33" w14:textId="77777777">
            <w:pPr>
              <w:jc w:val="right"/>
              <w:rPr>
                <w:color w:val="000000"/>
                <w:sz w:val="20"/>
                <w:szCs w:val="20"/>
              </w:rPr>
            </w:pPr>
            <w:r w:rsidRPr="000D37DB">
              <w:rPr>
                <w:color w:val="000000"/>
                <w:sz w:val="20"/>
                <w:szCs w:val="20"/>
              </w:rPr>
              <w:t> </w:t>
            </w:r>
          </w:p>
        </w:tc>
      </w:tr>
      <w:tr w14:paraId="293F27BA" w14:textId="77777777" w:rsidTr="009A2F1F">
        <w:tblPrEx>
          <w:tblW w:w="5000" w:type="pct"/>
          <w:tblLook w:val="04A0"/>
        </w:tblPrEx>
        <w:trPr>
          <w:trHeight w:val="315"/>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7E8A1123" w14:textId="77777777">
            <w:pPr>
              <w:rPr>
                <w:b/>
                <w:bCs/>
                <w:color w:val="000000"/>
                <w:sz w:val="20"/>
                <w:szCs w:val="20"/>
              </w:rPr>
            </w:pPr>
            <w:r w:rsidRPr="000D37DB">
              <w:rPr>
                <w:b/>
                <w:bCs/>
                <w:color w:val="000000"/>
                <w:sz w:val="20"/>
                <w:szCs w:val="20"/>
              </w:rPr>
              <w:t>Subtotal for Recordkeeping Requirements</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1C05C43" w14:textId="77777777">
            <w:pPr>
              <w:jc w:val="center"/>
              <w:rPr>
                <w:b/>
                <w:bCs/>
                <w:color w:val="000000"/>
                <w:sz w:val="20"/>
                <w:szCs w:val="20"/>
              </w:rPr>
            </w:pPr>
            <w:r w:rsidRPr="000D37DB">
              <w:rPr>
                <w:b/>
                <w:bCs/>
                <w:color w:val="000000"/>
                <w:sz w:val="20"/>
                <w:szCs w:val="20"/>
              </w:rPr>
              <w:t> </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BA02339" w14:textId="77777777">
            <w:pPr>
              <w:jc w:val="center"/>
              <w:rPr>
                <w:b/>
                <w:bCs/>
                <w:color w:val="000000"/>
                <w:sz w:val="20"/>
                <w:szCs w:val="20"/>
              </w:rPr>
            </w:pPr>
            <w:r w:rsidRPr="000D37DB">
              <w:rPr>
                <w:b/>
                <w:bCs/>
                <w:color w:val="000000"/>
                <w:sz w:val="20"/>
                <w:szCs w:val="20"/>
              </w:rPr>
              <w:t> </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97413FA" w14:textId="77777777">
            <w:pPr>
              <w:jc w:val="center"/>
              <w:rPr>
                <w:b/>
                <w:bCs/>
                <w:color w:val="000000"/>
                <w:sz w:val="20"/>
                <w:szCs w:val="20"/>
              </w:rPr>
            </w:pPr>
            <w:r w:rsidRPr="000D37DB">
              <w:rPr>
                <w:b/>
                <w:bCs/>
                <w:color w:val="000000"/>
                <w:sz w:val="20"/>
                <w:szCs w:val="20"/>
              </w:rPr>
              <w:t> </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52F4898" w14:textId="77777777">
            <w:pPr>
              <w:jc w:val="center"/>
              <w:rPr>
                <w:b/>
                <w:bCs/>
                <w:color w:val="000000"/>
                <w:sz w:val="20"/>
                <w:szCs w:val="20"/>
              </w:rPr>
            </w:pPr>
            <w:r w:rsidRPr="000D37DB">
              <w:rPr>
                <w:b/>
                <w:bCs/>
                <w:color w:val="000000"/>
                <w:sz w:val="20"/>
                <w:szCs w:val="20"/>
              </w:rPr>
              <w:t> </w:t>
            </w:r>
          </w:p>
        </w:tc>
        <w:tc>
          <w:tcPr>
            <w:tcW w:w="1340" w:type="pct"/>
            <w:gridSpan w:val="6"/>
            <w:tcBorders>
              <w:top w:val="single" w:sz="4" w:space="0" w:color="auto"/>
              <w:left w:val="nil"/>
              <w:bottom w:val="single" w:sz="4" w:space="0" w:color="auto"/>
              <w:right w:val="single" w:sz="4" w:space="0" w:color="auto"/>
            </w:tcBorders>
            <w:shd w:val="clear" w:color="auto" w:fill="auto"/>
            <w:vAlign w:val="center"/>
            <w:hideMark/>
          </w:tcPr>
          <w:p w:rsidR="009A2F1F" w:rsidRPr="000D37DB" w:rsidP="008C0EA7" w14:paraId="2200C2D7" w14:textId="77777777">
            <w:pPr>
              <w:jc w:val="center"/>
              <w:rPr>
                <w:b/>
                <w:bCs/>
                <w:color w:val="000000"/>
                <w:sz w:val="20"/>
                <w:szCs w:val="20"/>
              </w:rPr>
            </w:pPr>
            <w:r w:rsidRPr="000D37DB">
              <w:rPr>
                <w:b/>
                <w:bCs/>
                <w:color w:val="000000"/>
                <w:sz w:val="20"/>
                <w:szCs w:val="20"/>
              </w:rPr>
              <w:t>688</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23F80DC" w14:textId="77777777">
            <w:pPr>
              <w:jc w:val="right"/>
              <w:rPr>
                <w:b/>
                <w:bCs/>
                <w:color w:val="000000"/>
                <w:sz w:val="20"/>
                <w:szCs w:val="20"/>
              </w:rPr>
            </w:pPr>
            <w:r w:rsidRPr="000D37DB">
              <w:rPr>
                <w:b/>
                <w:bCs/>
                <w:color w:val="000000"/>
                <w:sz w:val="20"/>
                <w:szCs w:val="20"/>
              </w:rPr>
              <w:t xml:space="preserve">$105,489 </w:t>
            </w:r>
          </w:p>
        </w:tc>
      </w:tr>
      <w:tr w14:paraId="7211237A" w14:textId="77777777" w:rsidTr="009A2F1F">
        <w:tblPrEx>
          <w:tblW w:w="5000" w:type="pct"/>
          <w:tblLook w:val="04A0"/>
        </w:tblPrEx>
        <w:trPr>
          <w:trHeight w:val="330"/>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76E3E00F" w14:textId="77777777">
            <w:pPr>
              <w:rPr>
                <w:b/>
                <w:bCs/>
                <w:color w:val="000000"/>
                <w:sz w:val="20"/>
                <w:szCs w:val="20"/>
              </w:rPr>
            </w:pPr>
            <w:r w:rsidRPr="000D37DB">
              <w:rPr>
                <w:b/>
                <w:bCs/>
                <w:color w:val="000000"/>
                <w:sz w:val="20"/>
                <w:szCs w:val="20"/>
              </w:rPr>
              <w:t xml:space="preserve">TOTAL LABOR BURDEN AND COST (rounded) </w:t>
            </w:r>
            <w:r w:rsidRPr="000D37DB">
              <w:rPr>
                <w:b/>
                <w:bCs/>
                <w:color w:val="000000"/>
                <w:sz w:val="20"/>
                <w:szCs w:val="20"/>
                <w:vertAlign w:val="superscript"/>
              </w:rPr>
              <w:t>i</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F17A952" w14:textId="77777777">
            <w:pPr>
              <w:rPr>
                <w:b/>
                <w:bCs/>
                <w:color w:val="000000"/>
                <w:sz w:val="20"/>
                <w:szCs w:val="20"/>
              </w:rPr>
            </w:pPr>
            <w:r w:rsidRPr="000D37DB">
              <w:rPr>
                <w:b/>
                <w:bCs/>
                <w:color w:val="000000"/>
                <w:sz w:val="20"/>
                <w:szCs w:val="20"/>
              </w:rPr>
              <w:t> </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9C76AA8" w14:textId="77777777">
            <w:pPr>
              <w:rPr>
                <w:b/>
                <w:bCs/>
                <w:color w:val="000000"/>
                <w:sz w:val="20"/>
                <w:szCs w:val="20"/>
              </w:rPr>
            </w:pPr>
            <w:r w:rsidRPr="000D37DB">
              <w:rPr>
                <w:b/>
                <w:bCs/>
                <w:color w:val="000000"/>
                <w:sz w:val="20"/>
                <w:szCs w:val="20"/>
              </w:rPr>
              <w:t> </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22538DE5" w14:textId="77777777">
            <w:pPr>
              <w:rPr>
                <w:b/>
                <w:bCs/>
                <w:color w:val="000000"/>
                <w:sz w:val="20"/>
                <w:szCs w:val="20"/>
              </w:rPr>
            </w:pPr>
            <w:r w:rsidRPr="000D37DB">
              <w:rPr>
                <w:b/>
                <w:bCs/>
                <w:color w:val="000000"/>
                <w:sz w:val="20"/>
                <w:szCs w:val="20"/>
              </w:rPr>
              <w:t> </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A773C04" w14:textId="77777777">
            <w:pPr>
              <w:rPr>
                <w:b/>
                <w:bCs/>
                <w:color w:val="000000"/>
                <w:sz w:val="20"/>
                <w:szCs w:val="20"/>
              </w:rPr>
            </w:pPr>
            <w:r w:rsidRPr="000D37DB">
              <w:rPr>
                <w:b/>
                <w:bCs/>
                <w:color w:val="000000"/>
                <w:sz w:val="20"/>
                <w:szCs w:val="20"/>
              </w:rPr>
              <w:t> </w:t>
            </w:r>
          </w:p>
        </w:tc>
        <w:tc>
          <w:tcPr>
            <w:tcW w:w="1340" w:type="pct"/>
            <w:gridSpan w:val="6"/>
            <w:tcBorders>
              <w:top w:val="single" w:sz="4" w:space="0" w:color="auto"/>
              <w:left w:val="nil"/>
              <w:bottom w:val="single" w:sz="4" w:space="0" w:color="auto"/>
              <w:right w:val="single" w:sz="4" w:space="0" w:color="auto"/>
            </w:tcBorders>
            <w:shd w:val="clear" w:color="auto" w:fill="auto"/>
            <w:vAlign w:val="center"/>
            <w:hideMark/>
          </w:tcPr>
          <w:p w:rsidR="009A2F1F" w:rsidRPr="000D37DB" w:rsidP="008C0EA7" w14:paraId="4B465DA3" w14:textId="77777777">
            <w:pPr>
              <w:jc w:val="center"/>
              <w:rPr>
                <w:b/>
                <w:bCs/>
                <w:color w:val="000000"/>
                <w:sz w:val="20"/>
                <w:szCs w:val="20"/>
              </w:rPr>
            </w:pPr>
            <w:r w:rsidRPr="000D37DB">
              <w:rPr>
                <w:b/>
                <w:bCs/>
                <w:color w:val="000000"/>
                <w:sz w:val="20"/>
                <w:szCs w:val="20"/>
              </w:rPr>
              <w:t>2,840</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5831D8A" w14:textId="77777777">
            <w:pPr>
              <w:jc w:val="right"/>
              <w:rPr>
                <w:b/>
                <w:bCs/>
                <w:color w:val="000000"/>
                <w:sz w:val="20"/>
                <w:szCs w:val="20"/>
              </w:rPr>
            </w:pPr>
            <w:r w:rsidRPr="000D37DB">
              <w:rPr>
                <w:b/>
                <w:bCs/>
                <w:color w:val="000000"/>
                <w:sz w:val="20"/>
                <w:szCs w:val="20"/>
              </w:rPr>
              <w:t xml:space="preserve">$436,000 </w:t>
            </w:r>
          </w:p>
        </w:tc>
      </w:tr>
      <w:tr w14:paraId="567F6247" w14:textId="77777777" w:rsidTr="009A2F1F">
        <w:tblPrEx>
          <w:tblW w:w="5000" w:type="pct"/>
          <w:tblLook w:val="04A0"/>
        </w:tblPrEx>
        <w:trPr>
          <w:trHeight w:val="315"/>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168AF230" w14:textId="77777777">
            <w:pPr>
              <w:rPr>
                <w:b/>
                <w:bCs/>
                <w:color w:val="000000"/>
                <w:sz w:val="20"/>
                <w:szCs w:val="20"/>
              </w:rPr>
            </w:pPr>
            <w:r w:rsidRPr="000D37DB">
              <w:rPr>
                <w:b/>
                <w:bCs/>
                <w:color w:val="000000"/>
                <w:sz w:val="20"/>
                <w:szCs w:val="20"/>
              </w:rPr>
              <w:t xml:space="preserve">TOTAL CAPITAL AND O&amp;M COST (rounded) </w:t>
            </w:r>
            <w:r w:rsidRPr="000D37DB">
              <w:rPr>
                <w:b/>
                <w:bCs/>
                <w:color w:val="000000"/>
                <w:sz w:val="20"/>
                <w:szCs w:val="20"/>
                <w:vertAlign w:val="superscript"/>
              </w:rPr>
              <w:t>i</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B79E072" w14:textId="77777777">
            <w:pPr>
              <w:rPr>
                <w:b/>
                <w:bCs/>
                <w:color w:val="000000"/>
                <w:sz w:val="20"/>
                <w:szCs w:val="20"/>
              </w:rPr>
            </w:pPr>
            <w:r w:rsidRPr="000D37DB">
              <w:rPr>
                <w:b/>
                <w:bCs/>
                <w:color w:val="000000"/>
                <w:sz w:val="20"/>
                <w:szCs w:val="20"/>
              </w:rPr>
              <w:t> </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DA45A6B" w14:textId="77777777">
            <w:pPr>
              <w:rPr>
                <w:b/>
                <w:bCs/>
                <w:color w:val="000000"/>
                <w:sz w:val="20"/>
                <w:szCs w:val="20"/>
              </w:rPr>
            </w:pPr>
            <w:r w:rsidRPr="000D37DB">
              <w:rPr>
                <w:b/>
                <w:bCs/>
                <w:color w:val="000000"/>
                <w:sz w:val="20"/>
                <w:szCs w:val="20"/>
              </w:rPr>
              <w:t> </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52D8F03" w14:textId="77777777">
            <w:pPr>
              <w:rPr>
                <w:b/>
                <w:bCs/>
                <w:color w:val="000000"/>
                <w:sz w:val="20"/>
                <w:szCs w:val="20"/>
              </w:rPr>
            </w:pPr>
            <w:r w:rsidRPr="000D37DB">
              <w:rPr>
                <w:b/>
                <w:bCs/>
                <w:color w:val="000000"/>
                <w:sz w:val="20"/>
                <w:szCs w:val="20"/>
              </w:rPr>
              <w:t> </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FD4659F" w14:textId="77777777">
            <w:pPr>
              <w:rPr>
                <w:b/>
                <w:bCs/>
                <w:color w:val="000000"/>
                <w:sz w:val="20"/>
                <w:szCs w:val="20"/>
              </w:rPr>
            </w:pPr>
            <w:r w:rsidRPr="000D37DB">
              <w:rPr>
                <w:b/>
                <w:bCs/>
                <w:color w:val="000000"/>
                <w:sz w:val="20"/>
                <w:szCs w:val="20"/>
              </w:rPr>
              <w:t> </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24B3E15" w14:textId="77777777">
            <w:pPr>
              <w:jc w:val="center"/>
              <w:rPr>
                <w:b/>
                <w:bCs/>
                <w:color w:val="000000"/>
                <w:sz w:val="20"/>
                <w:szCs w:val="20"/>
              </w:rPr>
            </w:pPr>
            <w:r w:rsidRPr="000D37DB">
              <w:rPr>
                <w:b/>
                <w:bCs/>
                <w:color w:val="000000"/>
                <w:sz w:val="20"/>
                <w:szCs w:val="20"/>
              </w:rPr>
              <w:t> </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0B9983C0" w14:textId="77777777">
            <w:pPr>
              <w:jc w:val="center"/>
              <w:rPr>
                <w:b/>
                <w:bCs/>
                <w:color w:val="000000"/>
                <w:sz w:val="20"/>
                <w:szCs w:val="20"/>
              </w:rPr>
            </w:pPr>
            <w:r w:rsidRPr="000D37DB">
              <w:rPr>
                <w:b/>
                <w:bCs/>
                <w:color w:val="000000"/>
                <w:sz w:val="20"/>
                <w:szCs w:val="20"/>
              </w:rPr>
              <w:t> </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1B60013E" w14:textId="77777777">
            <w:pPr>
              <w:jc w:val="center"/>
              <w:rPr>
                <w:b/>
                <w:bCs/>
                <w:color w:val="000000"/>
                <w:sz w:val="20"/>
                <w:szCs w:val="20"/>
              </w:rPr>
            </w:pPr>
            <w:r w:rsidRPr="000D37DB">
              <w:rPr>
                <w:b/>
                <w:bCs/>
                <w:color w:val="000000"/>
                <w:sz w:val="20"/>
                <w:szCs w:val="20"/>
              </w:rPr>
              <w:t> </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4D1C6C9B" w14:textId="77777777">
            <w:pPr>
              <w:jc w:val="right"/>
              <w:rPr>
                <w:b/>
                <w:bCs/>
                <w:color w:val="000000"/>
                <w:sz w:val="20"/>
                <w:szCs w:val="20"/>
              </w:rPr>
            </w:pPr>
            <w:r w:rsidRPr="000D37DB">
              <w:rPr>
                <w:b/>
                <w:bCs/>
                <w:color w:val="000000"/>
                <w:sz w:val="20"/>
                <w:szCs w:val="20"/>
              </w:rPr>
              <w:t xml:space="preserve">$227,000 </w:t>
            </w:r>
          </w:p>
        </w:tc>
      </w:tr>
      <w:tr w14:paraId="617E330C" w14:textId="77777777" w:rsidTr="009A2F1F">
        <w:tblPrEx>
          <w:tblW w:w="5000" w:type="pct"/>
          <w:tblLook w:val="04A0"/>
        </w:tblPrEx>
        <w:trPr>
          <w:trHeight w:val="315"/>
        </w:trPr>
        <w:tc>
          <w:tcPr>
            <w:tcW w:w="1254" w:type="pct"/>
            <w:tcBorders>
              <w:top w:val="nil"/>
              <w:left w:val="single" w:sz="4" w:space="0" w:color="auto"/>
              <w:bottom w:val="single" w:sz="4" w:space="0" w:color="auto"/>
              <w:right w:val="single" w:sz="4" w:space="0" w:color="auto"/>
            </w:tcBorders>
            <w:shd w:val="clear" w:color="auto" w:fill="auto"/>
            <w:vAlign w:val="center"/>
            <w:hideMark/>
          </w:tcPr>
          <w:p w:rsidR="009A2F1F" w:rsidRPr="000D37DB" w:rsidP="008C0EA7" w14:paraId="6FEA342D" w14:textId="77777777">
            <w:pPr>
              <w:rPr>
                <w:b/>
                <w:bCs/>
                <w:color w:val="000000"/>
                <w:sz w:val="20"/>
                <w:szCs w:val="20"/>
              </w:rPr>
            </w:pPr>
            <w:r w:rsidRPr="000D37DB">
              <w:rPr>
                <w:b/>
                <w:bCs/>
                <w:color w:val="000000"/>
                <w:sz w:val="20"/>
                <w:szCs w:val="20"/>
              </w:rPr>
              <w:t xml:space="preserve">GRAND TOTAL (rounded) </w:t>
            </w:r>
            <w:r w:rsidRPr="000D37DB">
              <w:rPr>
                <w:b/>
                <w:bCs/>
                <w:color w:val="000000"/>
                <w:sz w:val="20"/>
                <w:szCs w:val="20"/>
                <w:vertAlign w:val="superscript"/>
              </w:rPr>
              <w:t>i</w:t>
            </w:r>
          </w:p>
        </w:tc>
        <w:tc>
          <w:tcPr>
            <w:tcW w:w="44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06E0A241" w14:textId="77777777">
            <w:pPr>
              <w:rPr>
                <w:b/>
                <w:bCs/>
                <w:color w:val="000000"/>
                <w:sz w:val="20"/>
                <w:szCs w:val="20"/>
              </w:rPr>
            </w:pPr>
            <w:r w:rsidRPr="000D37DB">
              <w:rPr>
                <w:b/>
                <w:bCs/>
                <w:color w:val="000000"/>
                <w:sz w:val="20"/>
                <w:szCs w:val="20"/>
              </w:rPr>
              <w:t> </w:t>
            </w:r>
          </w:p>
        </w:tc>
        <w:tc>
          <w:tcPr>
            <w:tcW w:w="477"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72BD4D7C" w14:textId="77777777">
            <w:pPr>
              <w:rPr>
                <w:b/>
                <w:bCs/>
                <w:color w:val="000000"/>
                <w:sz w:val="20"/>
                <w:szCs w:val="20"/>
              </w:rPr>
            </w:pPr>
            <w:r w:rsidRPr="000D37DB">
              <w:rPr>
                <w:b/>
                <w:bCs/>
                <w:color w:val="000000"/>
                <w:sz w:val="20"/>
                <w:szCs w:val="20"/>
              </w:rPr>
              <w:t> </w:t>
            </w:r>
          </w:p>
        </w:tc>
        <w:tc>
          <w:tcPr>
            <w:tcW w:w="451"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3527EE3" w14:textId="77777777">
            <w:pPr>
              <w:rPr>
                <w:b/>
                <w:bCs/>
                <w:color w:val="000000"/>
                <w:sz w:val="20"/>
                <w:szCs w:val="20"/>
              </w:rPr>
            </w:pPr>
            <w:r w:rsidRPr="000D37DB">
              <w:rPr>
                <w:b/>
                <w:bCs/>
                <w:color w:val="000000"/>
                <w:sz w:val="20"/>
                <w:szCs w:val="20"/>
              </w:rPr>
              <w:t> </w:t>
            </w:r>
          </w:p>
        </w:tc>
        <w:tc>
          <w:tcPr>
            <w:tcW w:w="50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6EDAB995" w14:textId="77777777">
            <w:pPr>
              <w:rPr>
                <w:b/>
                <w:bCs/>
                <w:color w:val="000000"/>
                <w:sz w:val="20"/>
                <w:szCs w:val="20"/>
              </w:rPr>
            </w:pPr>
            <w:r w:rsidRPr="000D37DB">
              <w:rPr>
                <w:b/>
                <w:bCs/>
                <w:color w:val="000000"/>
                <w:sz w:val="20"/>
                <w:szCs w:val="20"/>
              </w:rPr>
              <w:t> </w:t>
            </w:r>
          </w:p>
        </w:tc>
        <w:tc>
          <w:tcPr>
            <w:tcW w:w="404"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80E7147" w14:textId="77777777">
            <w:pPr>
              <w:jc w:val="center"/>
              <w:rPr>
                <w:b/>
                <w:bCs/>
                <w:color w:val="000000"/>
                <w:sz w:val="20"/>
                <w:szCs w:val="20"/>
              </w:rPr>
            </w:pPr>
            <w:r w:rsidRPr="000D37DB">
              <w:rPr>
                <w:b/>
                <w:bCs/>
                <w:color w:val="000000"/>
                <w:sz w:val="20"/>
                <w:szCs w:val="20"/>
              </w:rPr>
              <w:t> </w:t>
            </w:r>
          </w:p>
        </w:tc>
        <w:tc>
          <w:tcPr>
            <w:tcW w:w="515"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3D1C9D37" w14:textId="77777777">
            <w:pPr>
              <w:jc w:val="center"/>
              <w:rPr>
                <w:b/>
                <w:bCs/>
                <w:color w:val="000000"/>
                <w:sz w:val="20"/>
                <w:szCs w:val="20"/>
              </w:rPr>
            </w:pPr>
            <w:r w:rsidRPr="000D37DB">
              <w:rPr>
                <w:b/>
                <w:bCs/>
                <w:color w:val="000000"/>
                <w:sz w:val="20"/>
                <w:szCs w:val="20"/>
              </w:rPr>
              <w:t> </w:t>
            </w:r>
          </w:p>
        </w:tc>
        <w:tc>
          <w:tcPr>
            <w:tcW w:w="420"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0DC81A74" w14:textId="77777777">
            <w:pPr>
              <w:jc w:val="center"/>
              <w:rPr>
                <w:b/>
                <w:bCs/>
                <w:color w:val="000000"/>
                <w:sz w:val="20"/>
                <w:szCs w:val="20"/>
              </w:rPr>
            </w:pPr>
            <w:r w:rsidRPr="000D37DB">
              <w:rPr>
                <w:b/>
                <w:bCs/>
                <w:color w:val="000000"/>
                <w:sz w:val="20"/>
                <w:szCs w:val="20"/>
              </w:rPr>
              <w:t> </w:t>
            </w:r>
          </w:p>
        </w:tc>
        <w:tc>
          <w:tcPr>
            <w:tcW w:w="473" w:type="pct"/>
            <w:gridSpan w:val="2"/>
            <w:tcBorders>
              <w:top w:val="nil"/>
              <w:left w:val="nil"/>
              <w:bottom w:val="single" w:sz="4" w:space="0" w:color="auto"/>
              <w:right w:val="single" w:sz="4" w:space="0" w:color="auto"/>
            </w:tcBorders>
            <w:shd w:val="clear" w:color="auto" w:fill="auto"/>
            <w:vAlign w:val="center"/>
            <w:hideMark/>
          </w:tcPr>
          <w:p w:rsidR="009A2F1F" w:rsidRPr="000D37DB" w:rsidP="008C0EA7" w14:paraId="50AB94F4" w14:textId="77777777">
            <w:pPr>
              <w:jc w:val="right"/>
              <w:rPr>
                <w:b/>
                <w:bCs/>
                <w:color w:val="000000"/>
                <w:sz w:val="20"/>
                <w:szCs w:val="20"/>
              </w:rPr>
            </w:pPr>
            <w:r w:rsidRPr="000D37DB">
              <w:rPr>
                <w:b/>
                <w:bCs/>
                <w:color w:val="000000"/>
                <w:sz w:val="20"/>
                <w:szCs w:val="20"/>
              </w:rPr>
              <w:t xml:space="preserve">$663,000 </w:t>
            </w:r>
          </w:p>
        </w:tc>
      </w:tr>
      <w:tr w14:paraId="7CC751A8" w14:textId="77777777" w:rsidTr="009A2F1F">
        <w:tblPrEx>
          <w:tblW w:w="5000" w:type="pct"/>
          <w:tblLook w:val="04A0"/>
        </w:tblPrEx>
        <w:trPr>
          <w:trHeight w:val="300"/>
        </w:trPr>
        <w:tc>
          <w:tcPr>
            <w:tcW w:w="1685" w:type="pct"/>
            <w:gridSpan w:val="2"/>
            <w:tcBorders>
              <w:top w:val="nil"/>
              <w:left w:val="nil"/>
              <w:bottom w:val="nil"/>
              <w:right w:val="nil"/>
            </w:tcBorders>
            <w:shd w:val="clear" w:color="auto" w:fill="auto"/>
            <w:noWrap/>
            <w:vAlign w:val="center"/>
            <w:hideMark/>
          </w:tcPr>
          <w:p w:rsidR="009A2F1F" w:rsidRPr="000D37DB" w:rsidP="008C0EA7" w14:paraId="41794E77" w14:textId="77777777">
            <w:pPr>
              <w:rPr>
                <w:b/>
                <w:bCs/>
                <w:color w:val="000000"/>
                <w:sz w:val="20"/>
                <w:szCs w:val="20"/>
              </w:rPr>
            </w:pPr>
            <w:r w:rsidRPr="000D37DB">
              <w:rPr>
                <w:b/>
                <w:bCs/>
                <w:color w:val="000000"/>
                <w:sz w:val="20"/>
                <w:szCs w:val="20"/>
              </w:rPr>
              <w:t>Assumptions:</w:t>
            </w:r>
          </w:p>
        </w:tc>
        <w:tc>
          <w:tcPr>
            <w:tcW w:w="422" w:type="pct"/>
            <w:gridSpan w:val="2"/>
            <w:tcBorders>
              <w:top w:val="nil"/>
              <w:left w:val="nil"/>
              <w:bottom w:val="nil"/>
              <w:right w:val="nil"/>
            </w:tcBorders>
            <w:shd w:val="clear" w:color="auto" w:fill="auto"/>
            <w:noWrap/>
            <w:vAlign w:val="bottom"/>
            <w:hideMark/>
          </w:tcPr>
          <w:p w:rsidR="009A2F1F" w:rsidRPr="000D37DB" w:rsidP="008C0EA7" w14:paraId="65C415C7" w14:textId="77777777">
            <w:pPr>
              <w:rPr>
                <w:b/>
                <w:bCs/>
                <w:color w:val="000000"/>
                <w:sz w:val="20"/>
                <w:szCs w:val="20"/>
              </w:rPr>
            </w:pPr>
          </w:p>
        </w:tc>
        <w:tc>
          <w:tcPr>
            <w:tcW w:w="437" w:type="pct"/>
            <w:gridSpan w:val="2"/>
            <w:tcBorders>
              <w:top w:val="nil"/>
              <w:left w:val="nil"/>
              <w:bottom w:val="nil"/>
              <w:right w:val="nil"/>
            </w:tcBorders>
            <w:shd w:val="clear" w:color="auto" w:fill="auto"/>
            <w:noWrap/>
            <w:vAlign w:val="bottom"/>
            <w:hideMark/>
          </w:tcPr>
          <w:p w:rsidR="009A2F1F" w:rsidRPr="000D37DB" w:rsidP="008C0EA7" w14:paraId="2E84585F" w14:textId="77777777">
            <w:pPr>
              <w:rPr>
                <w:sz w:val="20"/>
                <w:szCs w:val="20"/>
              </w:rPr>
            </w:pPr>
          </w:p>
        </w:tc>
        <w:tc>
          <w:tcPr>
            <w:tcW w:w="461" w:type="pct"/>
            <w:gridSpan w:val="2"/>
            <w:tcBorders>
              <w:top w:val="nil"/>
              <w:left w:val="nil"/>
              <w:bottom w:val="nil"/>
              <w:right w:val="nil"/>
            </w:tcBorders>
            <w:shd w:val="clear" w:color="auto" w:fill="auto"/>
            <w:noWrap/>
            <w:vAlign w:val="bottom"/>
            <w:hideMark/>
          </w:tcPr>
          <w:p w:rsidR="009A2F1F" w:rsidRPr="000D37DB" w:rsidP="008C0EA7" w14:paraId="263F0FA0" w14:textId="77777777">
            <w:pPr>
              <w:rPr>
                <w:sz w:val="20"/>
                <w:szCs w:val="20"/>
              </w:rPr>
            </w:pPr>
          </w:p>
        </w:tc>
        <w:tc>
          <w:tcPr>
            <w:tcW w:w="437" w:type="pct"/>
            <w:gridSpan w:val="2"/>
            <w:tcBorders>
              <w:top w:val="nil"/>
              <w:left w:val="nil"/>
              <w:bottom w:val="nil"/>
              <w:right w:val="nil"/>
            </w:tcBorders>
            <w:shd w:val="clear" w:color="auto" w:fill="auto"/>
            <w:noWrap/>
            <w:vAlign w:val="bottom"/>
            <w:hideMark/>
          </w:tcPr>
          <w:p w:rsidR="009A2F1F" w:rsidRPr="000D37DB" w:rsidP="008C0EA7" w14:paraId="5C47422B" w14:textId="77777777">
            <w:pPr>
              <w:rPr>
                <w:sz w:val="20"/>
                <w:szCs w:val="20"/>
              </w:rPr>
            </w:pPr>
          </w:p>
        </w:tc>
        <w:tc>
          <w:tcPr>
            <w:tcW w:w="376" w:type="pct"/>
            <w:gridSpan w:val="2"/>
            <w:tcBorders>
              <w:top w:val="nil"/>
              <w:left w:val="nil"/>
              <w:bottom w:val="nil"/>
              <w:right w:val="nil"/>
            </w:tcBorders>
            <w:shd w:val="clear" w:color="auto" w:fill="auto"/>
            <w:noWrap/>
            <w:vAlign w:val="bottom"/>
            <w:hideMark/>
          </w:tcPr>
          <w:p w:rsidR="009A2F1F" w:rsidRPr="000D37DB" w:rsidP="008C0EA7" w14:paraId="34C24BAE" w14:textId="77777777">
            <w:pPr>
              <w:rPr>
                <w:sz w:val="20"/>
                <w:szCs w:val="20"/>
              </w:rPr>
            </w:pPr>
          </w:p>
        </w:tc>
        <w:tc>
          <w:tcPr>
            <w:tcW w:w="376" w:type="pct"/>
            <w:gridSpan w:val="2"/>
            <w:tcBorders>
              <w:top w:val="nil"/>
              <w:left w:val="nil"/>
              <w:bottom w:val="nil"/>
              <w:right w:val="nil"/>
            </w:tcBorders>
            <w:shd w:val="clear" w:color="auto" w:fill="auto"/>
            <w:noWrap/>
            <w:vAlign w:val="bottom"/>
            <w:hideMark/>
          </w:tcPr>
          <w:p w:rsidR="009A2F1F" w:rsidRPr="000D37DB" w:rsidP="008C0EA7" w14:paraId="1CDE26CF" w14:textId="77777777">
            <w:pPr>
              <w:rPr>
                <w:sz w:val="20"/>
                <w:szCs w:val="20"/>
              </w:rPr>
            </w:pPr>
          </w:p>
        </w:tc>
        <w:tc>
          <w:tcPr>
            <w:tcW w:w="376" w:type="pct"/>
            <w:gridSpan w:val="2"/>
            <w:tcBorders>
              <w:top w:val="nil"/>
              <w:left w:val="nil"/>
              <w:bottom w:val="nil"/>
              <w:right w:val="nil"/>
            </w:tcBorders>
            <w:shd w:val="clear" w:color="auto" w:fill="auto"/>
            <w:noWrap/>
            <w:vAlign w:val="bottom"/>
            <w:hideMark/>
          </w:tcPr>
          <w:p w:rsidR="009A2F1F" w:rsidRPr="000D37DB" w:rsidP="008C0EA7" w14:paraId="11838973" w14:textId="77777777">
            <w:pPr>
              <w:rPr>
                <w:sz w:val="20"/>
                <w:szCs w:val="20"/>
              </w:rPr>
            </w:pPr>
          </w:p>
        </w:tc>
        <w:tc>
          <w:tcPr>
            <w:tcW w:w="430" w:type="pct"/>
            <w:tcBorders>
              <w:top w:val="nil"/>
              <w:left w:val="nil"/>
              <w:bottom w:val="nil"/>
              <w:right w:val="nil"/>
            </w:tcBorders>
            <w:shd w:val="clear" w:color="auto" w:fill="auto"/>
            <w:noWrap/>
            <w:vAlign w:val="bottom"/>
            <w:hideMark/>
          </w:tcPr>
          <w:p w:rsidR="009A2F1F" w:rsidRPr="000D37DB" w:rsidP="008C0EA7" w14:paraId="7E3CC7BB" w14:textId="77777777">
            <w:pPr>
              <w:rPr>
                <w:sz w:val="20"/>
                <w:szCs w:val="20"/>
              </w:rPr>
            </w:pPr>
          </w:p>
        </w:tc>
      </w:tr>
      <w:tr w14:paraId="3149BD68" w14:textId="77777777" w:rsidTr="009A2F1F">
        <w:tblPrEx>
          <w:tblW w:w="5000" w:type="pct"/>
          <w:tblLook w:val="04A0"/>
        </w:tblPrEx>
        <w:trPr>
          <w:trHeight w:val="375"/>
        </w:trPr>
        <w:tc>
          <w:tcPr>
            <w:tcW w:w="5000" w:type="pct"/>
            <w:gridSpan w:val="17"/>
            <w:tcBorders>
              <w:top w:val="nil"/>
              <w:left w:val="nil"/>
              <w:bottom w:val="nil"/>
              <w:right w:val="nil"/>
            </w:tcBorders>
            <w:shd w:val="clear" w:color="auto" w:fill="auto"/>
            <w:hideMark/>
          </w:tcPr>
          <w:p w:rsidR="009A2F1F" w:rsidRPr="000D37DB" w:rsidP="008C0EA7" w14:paraId="05949CA3" w14:textId="77777777">
            <w:pPr>
              <w:rPr>
                <w:color w:val="000000"/>
                <w:sz w:val="20"/>
                <w:szCs w:val="20"/>
              </w:rPr>
            </w:pPr>
            <w:r w:rsidRPr="000D37DB">
              <w:rPr>
                <w:color w:val="000000"/>
                <w:sz w:val="20"/>
                <w:szCs w:val="20"/>
                <w:vertAlign w:val="superscript"/>
              </w:rPr>
              <w:t>a</w:t>
            </w:r>
            <w:r>
              <w:rPr>
                <w:color w:val="000000"/>
                <w:sz w:val="20"/>
                <w:szCs w:val="20"/>
              </w:rPr>
              <w:t xml:space="preserve"> </w:t>
            </w:r>
            <w:r w:rsidRPr="000D37DB">
              <w:rPr>
                <w:color w:val="000000"/>
                <w:sz w:val="20"/>
                <w:szCs w:val="20"/>
              </w:rPr>
              <w:t>We assume there are 21 existing facilities subject to the rule and no additional sources will become subject to the rule during the three-year period of this ICR.</w:t>
            </w:r>
          </w:p>
        </w:tc>
      </w:tr>
      <w:tr w14:paraId="51D78F27" w14:textId="77777777" w:rsidTr="009A2F1F">
        <w:tblPrEx>
          <w:tblW w:w="5000" w:type="pct"/>
          <w:tblLook w:val="04A0"/>
        </w:tblPrEx>
        <w:trPr>
          <w:trHeight w:val="1125"/>
        </w:trPr>
        <w:tc>
          <w:tcPr>
            <w:tcW w:w="5000" w:type="pct"/>
            <w:gridSpan w:val="17"/>
            <w:tcBorders>
              <w:top w:val="nil"/>
              <w:left w:val="nil"/>
              <w:bottom w:val="nil"/>
              <w:right w:val="nil"/>
            </w:tcBorders>
            <w:shd w:val="clear" w:color="auto" w:fill="auto"/>
            <w:hideMark/>
          </w:tcPr>
          <w:p w:rsidR="009A2F1F" w:rsidRPr="000D37DB" w:rsidP="008C0EA7" w14:paraId="74F40E5A" w14:textId="77777777">
            <w:pPr>
              <w:rPr>
                <w:color w:val="000000"/>
                <w:sz w:val="20"/>
                <w:szCs w:val="20"/>
              </w:rPr>
            </w:pPr>
            <w:r w:rsidRPr="000D37DB">
              <w:rPr>
                <w:color w:val="000000"/>
                <w:sz w:val="20"/>
                <w:szCs w:val="20"/>
                <w:vertAlign w:val="superscript"/>
              </w:rPr>
              <w:t>b</w:t>
            </w:r>
            <w:r>
              <w:rPr>
                <w:color w:val="000000"/>
                <w:sz w:val="20"/>
                <w:szCs w:val="20"/>
                <w:vertAlign w:val="superscript"/>
              </w:rPr>
              <w:t xml:space="preserve"> </w:t>
            </w:r>
            <w:r w:rsidRPr="000D37DB">
              <w:rPr>
                <w:color w:val="000000"/>
                <w:sz w:val="20"/>
                <w:szCs w:val="20"/>
              </w:rPr>
              <w:t>This ICR uses the following labor rates: $163.17 per hour for Executive, Administrative, and Managerial labor; $130.28 per hour for Technical labor, and $65.71 per hour for Clerical labor.</w:t>
            </w:r>
            <w:r>
              <w:rPr>
                <w:color w:val="000000"/>
                <w:sz w:val="20"/>
                <w:szCs w:val="20"/>
              </w:rPr>
              <w:t xml:space="preserve"> </w:t>
            </w:r>
            <w:r w:rsidRPr="006E0B52">
              <w:rPr>
                <w:color w:val="000000"/>
                <w:sz w:val="20"/>
                <w:szCs w:val="20"/>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4D66E2CC" w14:textId="77777777" w:rsidTr="009A2F1F">
        <w:tblPrEx>
          <w:tblW w:w="5000" w:type="pct"/>
          <w:tblLook w:val="04A0"/>
        </w:tblPrEx>
        <w:trPr>
          <w:trHeight w:val="315"/>
        </w:trPr>
        <w:tc>
          <w:tcPr>
            <w:tcW w:w="5000" w:type="pct"/>
            <w:gridSpan w:val="17"/>
            <w:tcBorders>
              <w:top w:val="nil"/>
              <w:left w:val="nil"/>
              <w:bottom w:val="nil"/>
              <w:right w:val="nil"/>
            </w:tcBorders>
            <w:shd w:val="clear" w:color="auto" w:fill="auto"/>
            <w:hideMark/>
          </w:tcPr>
          <w:p w:rsidR="009A2F1F" w:rsidRPr="000D37DB" w:rsidP="008C0EA7" w14:paraId="559B99C4" w14:textId="77777777">
            <w:pPr>
              <w:rPr>
                <w:color w:val="000000"/>
                <w:sz w:val="20"/>
                <w:szCs w:val="20"/>
              </w:rPr>
            </w:pPr>
            <w:r w:rsidRPr="000D37DB">
              <w:rPr>
                <w:color w:val="000000"/>
                <w:sz w:val="20"/>
                <w:szCs w:val="20"/>
                <w:vertAlign w:val="superscript"/>
              </w:rPr>
              <w:t>c</w:t>
            </w:r>
            <w:r>
              <w:rPr>
                <w:color w:val="000000"/>
                <w:sz w:val="20"/>
                <w:szCs w:val="20"/>
                <w:vertAlign w:val="superscript"/>
              </w:rPr>
              <w:t xml:space="preserve"> </w:t>
            </w:r>
            <w:r w:rsidRPr="000D37DB">
              <w:rPr>
                <w:color w:val="000000"/>
                <w:sz w:val="20"/>
                <w:szCs w:val="20"/>
              </w:rPr>
              <w:t>This ICR assumes all existing sources will have to familiarize with the regulatory requirements each year.</w:t>
            </w:r>
          </w:p>
        </w:tc>
      </w:tr>
      <w:tr w14:paraId="45100639" w14:textId="77777777" w:rsidTr="009A2F1F">
        <w:tblPrEx>
          <w:tblW w:w="5000" w:type="pct"/>
          <w:tblLook w:val="04A0"/>
        </w:tblPrEx>
        <w:trPr>
          <w:trHeight w:val="315"/>
        </w:trPr>
        <w:tc>
          <w:tcPr>
            <w:tcW w:w="5000" w:type="pct"/>
            <w:gridSpan w:val="17"/>
            <w:tcBorders>
              <w:top w:val="nil"/>
              <w:left w:val="nil"/>
              <w:bottom w:val="nil"/>
              <w:right w:val="nil"/>
            </w:tcBorders>
            <w:shd w:val="clear" w:color="auto" w:fill="auto"/>
            <w:hideMark/>
          </w:tcPr>
          <w:p w:rsidR="009A2F1F" w:rsidRPr="000D37DB" w:rsidP="008C0EA7" w14:paraId="7F1789D7" w14:textId="77777777">
            <w:pPr>
              <w:rPr>
                <w:color w:val="000000"/>
                <w:sz w:val="20"/>
                <w:szCs w:val="20"/>
              </w:rPr>
            </w:pPr>
            <w:r w:rsidRPr="000D37DB">
              <w:rPr>
                <w:color w:val="000000"/>
                <w:sz w:val="20"/>
                <w:szCs w:val="20"/>
                <w:vertAlign w:val="superscript"/>
              </w:rPr>
              <w:t>d</w:t>
            </w:r>
            <w:r>
              <w:rPr>
                <w:color w:val="000000"/>
                <w:sz w:val="20"/>
                <w:szCs w:val="20"/>
              </w:rPr>
              <w:t xml:space="preserve"> </w:t>
            </w:r>
            <w:r w:rsidRPr="000D37DB">
              <w:rPr>
                <w:color w:val="000000"/>
                <w:sz w:val="20"/>
                <w:szCs w:val="20"/>
              </w:rPr>
              <w:t>Rule will require operating CEMS, weekly sampling, and monthly sampling.</w:t>
            </w:r>
          </w:p>
        </w:tc>
      </w:tr>
      <w:tr w14:paraId="2917BBA2" w14:textId="77777777" w:rsidTr="009A2F1F">
        <w:tblPrEx>
          <w:tblW w:w="5000" w:type="pct"/>
          <w:tblLook w:val="04A0"/>
        </w:tblPrEx>
        <w:trPr>
          <w:trHeight w:val="315"/>
        </w:trPr>
        <w:tc>
          <w:tcPr>
            <w:tcW w:w="5000" w:type="pct"/>
            <w:gridSpan w:val="17"/>
            <w:tcBorders>
              <w:top w:val="nil"/>
              <w:left w:val="nil"/>
              <w:bottom w:val="nil"/>
              <w:right w:val="nil"/>
            </w:tcBorders>
            <w:shd w:val="clear" w:color="auto" w:fill="auto"/>
            <w:hideMark/>
          </w:tcPr>
          <w:p w:rsidR="009A2F1F" w:rsidRPr="000D37DB" w:rsidP="008C0EA7" w14:paraId="12CBA222" w14:textId="77777777">
            <w:pPr>
              <w:rPr>
                <w:color w:val="000000"/>
                <w:sz w:val="20"/>
                <w:szCs w:val="20"/>
              </w:rPr>
            </w:pPr>
            <w:r w:rsidRPr="000D37DB">
              <w:rPr>
                <w:color w:val="000000"/>
                <w:sz w:val="20"/>
                <w:szCs w:val="20"/>
                <w:vertAlign w:val="superscript"/>
              </w:rPr>
              <w:t>e</w:t>
            </w:r>
            <w:r>
              <w:rPr>
                <w:color w:val="000000"/>
                <w:sz w:val="20"/>
                <w:szCs w:val="20"/>
                <w:vertAlign w:val="superscript"/>
              </w:rPr>
              <w:t xml:space="preserve"> </w:t>
            </w:r>
            <w:r w:rsidRPr="000D37DB">
              <w:rPr>
                <w:color w:val="000000"/>
                <w:sz w:val="20"/>
                <w:szCs w:val="20"/>
              </w:rPr>
              <w:t xml:space="preserve">Assumes 4 roaster stacks will be equipped with mercury CEMS, and that QA plan has already been developed during initial rule compliance. </w:t>
            </w:r>
          </w:p>
        </w:tc>
      </w:tr>
      <w:tr w14:paraId="4609A283" w14:textId="77777777" w:rsidTr="009A2F1F">
        <w:tblPrEx>
          <w:tblW w:w="5000" w:type="pct"/>
          <w:tblLook w:val="04A0"/>
        </w:tblPrEx>
        <w:trPr>
          <w:trHeight w:val="1140"/>
        </w:trPr>
        <w:tc>
          <w:tcPr>
            <w:tcW w:w="5000" w:type="pct"/>
            <w:gridSpan w:val="17"/>
            <w:tcBorders>
              <w:top w:val="nil"/>
              <w:left w:val="nil"/>
              <w:bottom w:val="nil"/>
              <w:right w:val="nil"/>
            </w:tcBorders>
            <w:shd w:val="clear" w:color="auto" w:fill="auto"/>
            <w:hideMark/>
          </w:tcPr>
          <w:p w:rsidR="009A2F1F" w:rsidRPr="000D37DB" w:rsidP="008C0EA7" w14:paraId="0E86020F" w14:textId="77777777">
            <w:pPr>
              <w:rPr>
                <w:sz w:val="20"/>
                <w:szCs w:val="20"/>
              </w:rPr>
            </w:pPr>
            <w:r w:rsidRPr="000D37DB">
              <w:rPr>
                <w:sz w:val="20"/>
                <w:szCs w:val="20"/>
                <w:vertAlign w:val="superscript"/>
              </w:rPr>
              <w:t>f</w:t>
            </w:r>
            <w:r>
              <w:rPr>
                <w:sz w:val="20"/>
                <w:szCs w:val="20"/>
                <w:vertAlign w:val="superscript"/>
              </w:rPr>
              <w:t xml:space="preserve"> </w:t>
            </w:r>
            <w:r w:rsidRPr="000D37DB">
              <w:rPr>
                <w:sz w:val="20"/>
                <w:szCs w:val="20"/>
              </w:rPr>
              <w:t xml:space="preserve">We assume it will take 5 hours to test each stack and that each test will require 3 technicians to complete. 5 hours x 3 technicians = 15 hours/stack. This ICR only calculates burden for Method 29 testing for 17 process units located outside of Nevada. Facilities in Nevada already perform annual sampling and analysis for mercury to comply with the Nevada Division of Environmental Protection. Consequently, those facilities will not incur any additional stack testing burden under this rule. </w:t>
            </w:r>
          </w:p>
        </w:tc>
      </w:tr>
      <w:tr w14:paraId="3DAFCD27" w14:textId="77777777" w:rsidTr="009A2F1F">
        <w:tblPrEx>
          <w:tblW w:w="5000" w:type="pct"/>
          <w:tblLook w:val="04A0"/>
        </w:tblPrEx>
        <w:trPr>
          <w:trHeight w:val="315"/>
        </w:trPr>
        <w:tc>
          <w:tcPr>
            <w:tcW w:w="5000" w:type="pct"/>
            <w:gridSpan w:val="17"/>
            <w:tcBorders>
              <w:top w:val="nil"/>
              <w:left w:val="nil"/>
              <w:bottom w:val="nil"/>
              <w:right w:val="nil"/>
            </w:tcBorders>
            <w:shd w:val="clear" w:color="auto" w:fill="auto"/>
            <w:hideMark/>
          </w:tcPr>
          <w:p w:rsidR="009A2F1F" w:rsidRPr="000D37DB" w:rsidP="008C0EA7" w14:paraId="7AAC43BE" w14:textId="77777777">
            <w:pPr>
              <w:rPr>
                <w:color w:val="000000"/>
                <w:sz w:val="20"/>
                <w:szCs w:val="20"/>
              </w:rPr>
            </w:pPr>
            <w:r w:rsidRPr="000D37DB">
              <w:rPr>
                <w:color w:val="000000"/>
                <w:sz w:val="20"/>
                <w:szCs w:val="20"/>
                <w:vertAlign w:val="superscript"/>
              </w:rPr>
              <w:t>g</w:t>
            </w:r>
            <w:r>
              <w:rPr>
                <w:color w:val="000000"/>
                <w:sz w:val="20"/>
                <w:szCs w:val="20"/>
                <w:vertAlign w:val="superscript"/>
              </w:rPr>
              <w:t xml:space="preserve"> </w:t>
            </w:r>
            <w:r w:rsidRPr="000D37DB">
              <w:rPr>
                <w:color w:val="000000"/>
                <w:sz w:val="20"/>
                <w:szCs w:val="20"/>
              </w:rPr>
              <w:t>These requirements apply only to new sources.</w:t>
            </w:r>
          </w:p>
        </w:tc>
      </w:tr>
      <w:tr w14:paraId="659EA6A3" w14:textId="77777777" w:rsidTr="009A2F1F">
        <w:tblPrEx>
          <w:tblW w:w="5000" w:type="pct"/>
          <w:tblLook w:val="04A0"/>
        </w:tblPrEx>
        <w:trPr>
          <w:trHeight w:val="315"/>
        </w:trPr>
        <w:tc>
          <w:tcPr>
            <w:tcW w:w="5000" w:type="pct"/>
            <w:gridSpan w:val="17"/>
            <w:tcBorders>
              <w:top w:val="nil"/>
              <w:left w:val="nil"/>
              <w:bottom w:val="nil"/>
              <w:right w:val="nil"/>
            </w:tcBorders>
            <w:shd w:val="clear" w:color="auto" w:fill="auto"/>
            <w:hideMark/>
          </w:tcPr>
          <w:p w:rsidR="009A2F1F" w:rsidRPr="000D37DB" w:rsidP="008C0EA7" w14:paraId="1C5E3832" w14:textId="77777777">
            <w:pPr>
              <w:rPr>
                <w:color w:val="000000"/>
                <w:sz w:val="20"/>
                <w:szCs w:val="20"/>
              </w:rPr>
            </w:pPr>
            <w:r w:rsidRPr="000D37DB">
              <w:rPr>
                <w:color w:val="000000"/>
                <w:sz w:val="20"/>
                <w:szCs w:val="20"/>
                <w:vertAlign w:val="superscript"/>
              </w:rPr>
              <w:t>h</w:t>
            </w:r>
            <w:r>
              <w:rPr>
                <w:color w:val="000000"/>
                <w:sz w:val="20"/>
                <w:szCs w:val="20"/>
                <w:vertAlign w:val="superscript"/>
              </w:rPr>
              <w:t xml:space="preserve"> </w:t>
            </w:r>
            <w:r w:rsidRPr="000D37DB">
              <w:rPr>
                <w:color w:val="000000"/>
                <w:sz w:val="20"/>
                <w:szCs w:val="20"/>
              </w:rPr>
              <w:t>Assumes 20% of existing facilities (21 x 20% = 4.2 facilities) will need to submit excess emissions reports.</w:t>
            </w:r>
          </w:p>
        </w:tc>
      </w:tr>
      <w:tr w14:paraId="44BAC653" w14:textId="77777777" w:rsidTr="009A2F1F">
        <w:tblPrEx>
          <w:tblW w:w="5000" w:type="pct"/>
          <w:tblLook w:val="04A0"/>
        </w:tblPrEx>
        <w:trPr>
          <w:trHeight w:val="315"/>
        </w:trPr>
        <w:tc>
          <w:tcPr>
            <w:tcW w:w="5000" w:type="pct"/>
            <w:gridSpan w:val="17"/>
            <w:tcBorders>
              <w:top w:val="nil"/>
              <w:left w:val="nil"/>
              <w:bottom w:val="nil"/>
              <w:right w:val="nil"/>
            </w:tcBorders>
            <w:shd w:val="clear" w:color="auto" w:fill="auto"/>
            <w:hideMark/>
          </w:tcPr>
          <w:p w:rsidR="009A2F1F" w:rsidRPr="000D37DB" w:rsidP="008C0EA7" w14:paraId="126B9834" w14:textId="77777777">
            <w:pPr>
              <w:rPr>
                <w:color w:val="000000"/>
                <w:sz w:val="20"/>
                <w:szCs w:val="20"/>
              </w:rPr>
            </w:pPr>
            <w:r w:rsidRPr="000D37DB">
              <w:rPr>
                <w:color w:val="000000"/>
                <w:sz w:val="20"/>
                <w:szCs w:val="20"/>
                <w:vertAlign w:val="superscript"/>
              </w:rPr>
              <w:t>i</w:t>
            </w:r>
            <w:r>
              <w:rPr>
                <w:color w:val="000000"/>
                <w:sz w:val="20"/>
                <w:szCs w:val="20"/>
                <w:vertAlign w:val="superscript"/>
              </w:rPr>
              <w:t xml:space="preserve"> </w:t>
            </w:r>
            <w:r w:rsidRPr="000D37DB">
              <w:rPr>
                <w:color w:val="000000"/>
                <w:sz w:val="20"/>
                <w:szCs w:val="20"/>
              </w:rPr>
              <w:t xml:space="preserve">Totals have been rounded to 3 significant figures. Figures may not add exactly due to rounding. </w:t>
            </w:r>
          </w:p>
        </w:tc>
      </w:tr>
    </w:tbl>
    <w:p w:rsidR="00CC0965" w:rsidP="00DE7D97" w14:paraId="482C3B11" w14:textId="2E797B86">
      <w:pPr>
        <w:pBdr>
          <w:top w:val="single" w:sz="6" w:space="0" w:color="FFFFFF"/>
          <w:left w:val="single" w:sz="6" w:space="0" w:color="FFFFFF"/>
          <w:bottom w:val="single" w:sz="6" w:space="0" w:color="FFFFFF"/>
          <w:right w:val="single" w:sz="6" w:space="0" w:color="FFFFFF"/>
        </w:pBdr>
      </w:pPr>
    </w:p>
    <w:p w:rsidR="00CC0965" w14:paraId="05847DC1" w14:textId="77777777">
      <w:r>
        <w:br w:type="page"/>
      </w:r>
    </w:p>
    <w:p w:rsidR="009A2F1F" w:rsidRPr="00CC0965" w:rsidP="00DE7D97" w14:paraId="71BE596C" w14:textId="4570ED44">
      <w:pPr>
        <w:pBdr>
          <w:top w:val="single" w:sz="6" w:space="0" w:color="FFFFFF"/>
          <w:left w:val="single" w:sz="6" w:space="0" w:color="FFFFFF"/>
          <w:bottom w:val="single" w:sz="6" w:space="0" w:color="FFFFFF"/>
          <w:right w:val="single" w:sz="6" w:space="0" w:color="FFFFFF"/>
        </w:pBdr>
        <w:rPr>
          <w:b/>
          <w:bCs/>
        </w:rPr>
      </w:pPr>
      <w:r w:rsidRPr="00CC0965">
        <w:rPr>
          <w:b/>
          <w:bCs/>
        </w:rPr>
        <w:t>Table 2: Average Annual EPA Burden and Cost – – NESHAP for Gold Mine Ore Processing (40 CFR Part 63, Subpart EEEEEEE) (Renewal)</w:t>
      </w:r>
    </w:p>
    <w:tbl>
      <w:tblPr>
        <w:tblW w:w="5000" w:type="pct"/>
        <w:tblLook w:val="04A0"/>
      </w:tblPr>
      <w:tblGrid>
        <w:gridCol w:w="1257"/>
        <w:gridCol w:w="318"/>
        <w:gridCol w:w="745"/>
        <w:gridCol w:w="385"/>
        <w:gridCol w:w="774"/>
        <w:gridCol w:w="173"/>
        <w:gridCol w:w="655"/>
        <w:gridCol w:w="181"/>
        <w:gridCol w:w="516"/>
        <w:gridCol w:w="265"/>
        <w:gridCol w:w="804"/>
        <w:gridCol w:w="262"/>
        <w:gridCol w:w="979"/>
        <w:gridCol w:w="172"/>
        <w:gridCol w:w="897"/>
        <w:gridCol w:w="91"/>
        <w:gridCol w:w="876"/>
      </w:tblGrid>
      <w:tr w14:paraId="7501DE57" w14:textId="77777777" w:rsidTr="00CC0965">
        <w:tblPrEx>
          <w:tblW w:w="5000" w:type="pct"/>
          <w:tblLook w:val="04A0"/>
        </w:tblPrEx>
        <w:trPr>
          <w:trHeight w:val="300"/>
        </w:trPr>
        <w:tc>
          <w:tcPr>
            <w:tcW w:w="1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0965" w:rsidRPr="002B2597" w:rsidP="008C0EA7" w14:paraId="694FA15B" w14:textId="77777777">
            <w:pPr>
              <w:rPr>
                <w:b/>
                <w:bCs/>
                <w:color w:val="000000"/>
                <w:sz w:val="20"/>
                <w:szCs w:val="20"/>
              </w:rPr>
            </w:pPr>
            <w:r w:rsidRPr="002B2597">
              <w:rPr>
                <w:b/>
                <w:bCs/>
                <w:color w:val="000000"/>
                <w:sz w:val="20"/>
                <w:szCs w:val="20"/>
              </w:rPr>
              <w:t> </w:t>
            </w:r>
          </w:p>
        </w:tc>
        <w:tc>
          <w:tcPr>
            <w:tcW w:w="483" w:type="pct"/>
            <w:gridSpan w:val="2"/>
            <w:tcBorders>
              <w:top w:val="single" w:sz="4" w:space="0" w:color="auto"/>
              <w:left w:val="nil"/>
              <w:bottom w:val="single" w:sz="4" w:space="0" w:color="auto"/>
              <w:right w:val="single" w:sz="4" w:space="0" w:color="auto"/>
            </w:tcBorders>
            <w:shd w:val="clear" w:color="auto" w:fill="auto"/>
            <w:vAlign w:val="center"/>
            <w:hideMark/>
          </w:tcPr>
          <w:p w:rsidR="00CC0965" w:rsidRPr="002B2597" w:rsidP="008C0EA7" w14:paraId="2EEE037D" w14:textId="77777777">
            <w:pPr>
              <w:jc w:val="center"/>
              <w:rPr>
                <w:b/>
                <w:bCs/>
                <w:color w:val="000000"/>
                <w:sz w:val="20"/>
                <w:szCs w:val="20"/>
              </w:rPr>
            </w:pPr>
            <w:r w:rsidRPr="002B2597">
              <w:rPr>
                <w:b/>
                <w:bCs/>
                <w:color w:val="000000"/>
                <w:sz w:val="20"/>
                <w:szCs w:val="20"/>
              </w:rPr>
              <w:t xml:space="preserve">(A) </w:t>
            </w:r>
          </w:p>
        </w:tc>
        <w:tc>
          <w:tcPr>
            <w:tcW w:w="474" w:type="pct"/>
            <w:gridSpan w:val="2"/>
            <w:tcBorders>
              <w:top w:val="single" w:sz="4" w:space="0" w:color="auto"/>
              <w:left w:val="nil"/>
              <w:bottom w:val="single" w:sz="4" w:space="0" w:color="auto"/>
              <w:right w:val="single" w:sz="4" w:space="0" w:color="auto"/>
            </w:tcBorders>
            <w:shd w:val="clear" w:color="auto" w:fill="auto"/>
            <w:vAlign w:val="center"/>
            <w:hideMark/>
          </w:tcPr>
          <w:p w:rsidR="00CC0965" w:rsidRPr="002B2597" w:rsidP="008C0EA7" w14:paraId="7C08ADAB" w14:textId="77777777">
            <w:pPr>
              <w:jc w:val="center"/>
              <w:rPr>
                <w:b/>
                <w:bCs/>
                <w:color w:val="000000"/>
                <w:sz w:val="20"/>
                <w:szCs w:val="20"/>
              </w:rPr>
            </w:pPr>
            <w:r w:rsidRPr="002B2597">
              <w:rPr>
                <w:b/>
                <w:bCs/>
                <w:color w:val="000000"/>
                <w:sz w:val="20"/>
                <w:szCs w:val="20"/>
              </w:rPr>
              <w:t xml:space="preserve">(B) </w:t>
            </w:r>
          </w:p>
        </w:tc>
        <w:tc>
          <w:tcPr>
            <w:tcW w:w="385" w:type="pct"/>
            <w:gridSpan w:val="2"/>
            <w:tcBorders>
              <w:top w:val="single" w:sz="4" w:space="0" w:color="auto"/>
              <w:left w:val="nil"/>
              <w:bottom w:val="single" w:sz="4" w:space="0" w:color="auto"/>
              <w:right w:val="single" w:sz="4" w:space="0" w:color="auto"/>
            </w:tcBorders>
            <w:shd w:val="clear" w:color="auto" w:fill="auto"/>
            <w:vAlign w:val="center"/>
            <w:hideMark/>
          </w:tcPr>
          <w:p w:rsidR="00CC0965" w:rsidRPr="002B2597" w:rsidP="008C0EA7" w14:paraId="73FB8276" w14:textId="77777777">
            <w:pPr>
              <w:jc w:val="center"/>
              <w:rPr>
                <w:b/>
                <w:bCs/>
                <w:color w:val="000000"/>
                <w:sz w:val="20"/>
                <w:szCs w:val="20"/>
              </w:rPr>
            </w:pPr>
            <w:r w:rsidRPr="002B2597">
              <w:rPr>
                <w:b/>
                <w:bCs/>
                <w:color w:val="000000"/>
                <w:sz w:val="20"/>
                <w:szCs w:val="20"/>
              </w:rPr>
              <w:t xml:space="preserve">(C) </w:t>
            </w:r>
          </w:p>
        </w:tc>
        <w:tc>
          <w:tcPr>
            <w:tcW w:w="342" w:type="pct"/>
            <w:gridSpan w:val="2"/>
            <w:tcBorders>
              <w:top w:val="single" w:sz="4" w:space="0" w:color="auto"/>
              <w:left w:val="nil"/>
              <w:bottom w:val="single" w:sz="4" w:space="0" w:color="auto"/>
              <w:right w:val="single" w:sz="4" w:space="0" w:color="auto"/>
            </w:tcBorders>
            <w:shd w:val="clear" w:color="auto" w:fill="auto"/>
            <w:vAlign w:val="center"/>
            <w:hideMark/>
          </w:tcPr>
          <w:p w:rsidR="00CC0965" w:rsidRPr="002B2597" w:rsidP="008C0EA7" w14:paraId="12C8E720" w14:textId="77777777">
            <w:pPr>
              <w:jc w:val="center"/>
              <w:rPr>
                <w:b/>
                <w:bCs/>
                <w:color w:val="000000"/>
                <w:sz w:val="20"/>
                <w:szCs w:val="20"/>
              </w:rPr>
            </w:pPr>
            <w:r w:rsidRPr="002B2597">
              <w:rPr>
                <w:b/>
                <w:bCs/>
                <w:color w:val="000000"/>
                <w:sz w:val="20"/>
                <w:szCs w:val="20"/>
              </w:rPr>
              <w:t xml:space="preserve">(D) </w:t>
            </w:r>
          </w:p>
        </w:tc>
        <w:tc>
          <w:tcPr>
            <w:tcW w:w="417" w:type="pct"/>
            <w:gridSpan w:val="2"/>
            <w:tcBorders>
              <w:top w:val="single" w:sz="4" w:space="0" w:color="auto"/>
              <w:left w:val="nil"/>
              <w:bottom w:val="single" w:sz="4" w:space="0" w:color="auto"/>
              <w:right w:val="single" w:sz="4" w:space="0" w:color="auto"/>
            </w:tcBorders>
            <w:shd w:val="clear" w:color="auto" w:fill="auto"/>
            <w:vAlign w:val="center"/>
            <w:hideMark/>
          </w:tcPr>
          <w:p w:rsidR="00CC0965" w:rsidRPr="002B2597" w:rsidP="008C0EA7" w14:paraId="40576CA6" w14:textId="77777777">
            <w:pPr>
              <w:jc w:val="center"/>
              <w:rPr>
                <w:b/>
                <w:bCs/>
                <w:color w:val="000000"/>
                <w:sz w:val="20"/>
                <w:szCs w:val="20"/>
              </w:rPr>
            </w:pPr>
            <w:r w:rsidRPr="002B2597">
              <w:rPr>
                <w:b/>
                <w:bCs/>
                <w:color w:val="000000"/>
                <w:sz w:val="20"/>
                <w:szCs w:val="20"/>
              </w:rPr>
              <w:t xml:space="preserve">(E) </w:t>
            </w:r>
          </w:p>
        </w:tc>
        <w:tc>
          <w:tcPr>
            <w:tcW w:w="490" w:type="pct"/>
            <w:gridSpan w:val="2"/>
            <w:tcBorders>
              <w:top w:val="single" w:sz="4" w:space="0" w:color="auto"/>
              <w:left w:val="nil"/>
              <w:bottom w:val="single" w:sz="4" w:space="0" w:color="auto"/>
              <w:right w:val="single" w:sz="4" w:space="0" w:color="auto"/>
            </w:tcBorders>
            <w:shd w:val="clear" w:color="auto" w:fill="auto"/>
            <w:vAlign w:val="center"/>
            <w:hideMark/>
          </w:tcPr>
          <w:p w:rsidR="00CC0965" w:rsidRPr="002B2597" w:rsidP="008C0EA7" w14:paraId="74EFF4B8" w14:textId="77777777">
            <w:pPr>
              <w:jc w:val="center"/>
              <w:rPr>
                <w:b/>
                <w:bCs/>
                <w:color w:val="000000"/>
                <w:sz w:val="20"/>
                <w:szCs w:val="20"/>
              </w:rPr>
            </w:pPr>
            <w:r w:rsidRPr="002B2597">
              <w:rPr>
                <w:b/>
                <w:bCs/>
                <w:color w:val="000000"/>
                <w:sz w:val="20"/>
                <w:szCs w:val="20"/>
              </w:rPr>
              <w:t>(F)</w:t>
            </w:r>
          </w:p>
        </w:tc>
        <w:tc>
          <w:tcPr>
            <w:tcW w:w="417" w:type="pct"/>
            <w:gridSpan w:val="2"/>
            <w:tcBorders>
              <w:top w:val="single" w:sz="4" w:space="0" w:color="auto"/>
              <w:left w:val="nil"/>
              <w:bottom w:val="single" w:sz="4" w:space="0" w:color="auto"/>
              <w:right w:val="single" w:sz="4" w:space="0" w:color="auto"/>
            </w:tcBorders>
            <w:shd w:val="clear" w:color="auto" w:fill="auto"/>
            <w:vAlign w:val="center"/>
            <w:hideMark/>
          </w:tcPr>
          <w:p w:rsidR="00CC0965" w:rsidRPr="002B2597" w:rsidP="008C0EA7" w14:paraId="348C1D92" w14:textId="77777777">
            <w:pPr>
              <w:jc w:val="center"/>
              <w:rPr>
                <w:b/>
                <w:bCs/>
                <w:color w:val="000000"/>
                <w:sz w:val="20"/>
                <w:szCs w:val="20"/>
              </w:rPr>
            </w:pPr>
            <w:r w:rsidRPr="002B2597">
              <w:rPr>
                <w:b/>
                <w:bCs/>
                <w:color w:val="000000"/>
                <w:sz w:val="20"/>
                <w:szCs w:val="20"/>
              </w:rPr>
              <w:t xml:space="preserve">(G) </w:t>
            </w:r>
          </w:p>
        </w:tc>
        <w:tc>
          <w:tcPr>
            <w:tcW w:w="445" w:type="pct"/>
            <w:gridSpan w:val="2"/>
            <w:tcBorders>
              <w:top w:val="single" w:sz="4" w:space="0" w:color="auto"/>
              <w:left w:val="nil"/>
              <w:bottom w:val="single" w:sz="4" w:space="0" w:color="auto"/>
              <w:right w:val="single" w:sz="4" w:space="0" w:color="auto"/>
            </w:tcBorders>
            <w:shd w:val="clear" w:color="auto" w:fill="auto"/>
            <w:vAlign w:val="center"/>
            <w:hideMark/>
          </w:tcPr>
          <w:p w:rsidR="00CC0965" w:rsidRPr="002B2597" w:rsidP="008C0EA7" w14:paraId="7E574513" w14:textId="77777777">
            <w:pPr>
              <w:jc w:val="center"/>
              <w:rPr>
                <w:b/>
                <w:bCs/>
                <w:color w:val="000000"/>
                <w:sz w:val="20"/>
                <w:szCs w:val="20"/>
              </w:rPr>
            </w:pPr>
            <w:r w:rsidRPr="002B2597">
              <w:rPr>
                <w:b/>
                <w:bCs/>
                <w:color w:val="000000"/>
                <w:sz w:val="20"/>
                <w:szCs w:val="20"/>
              </w:rPr>
              <w:t>(H)</w:t>
            </w:r>
          </w:p>
        </w:tc>
      </w:tr>
      <w:tr w14:paraId="4E42D9B2" w14:textId="77777777" w:rsidTr="00CC0965">
        <w:tblPrEx>
          <w:tblW w:w="5000" w:type="pct"/>
          <w:tblLook w:val="04A0"/>
        </w:tblPrEx>
        <w:trPr>
          <w:trHeight w:val="1245"/>
        </w:trPr>
        <w:tc>
          <w:tcPr>
            <w:tcW w:w="1493" w:type="pct"/>
            <w:tcBorders>
              <w:top w:val="nil"/>
              <w:left w:val="single" w:sz="4" w:space="0" w:color="auto"/>
              <w:bottom w:val="single" w:sz="4" w:space="0" w:color="auto"/>
              <w:right w:val="single" w:sz="4" w:space="0" w:color="auto"/>
            </w:tcBorders>
            <w:shd w:val="clear" w:color="auto" w:fill="auto"/>
            <w:vAlign w:val="center"/>
            <w:hideMark/>
          </w:tcPr>
          <w:p w:rsidR="00CC0965" w:rsidRPr="002B2597" w:rsidP="008C0EA7" w14:paraId="63BB93EF" w14:textId="77777777">
            <w:pPr>
              <w:rPr>
                <w:b/>
                <w:bCs/>
                <w:color w:val="000000"/>
                <w:sz w:val="20"/>
                <w:szCs w:val="20"/>
              </w:rPr>
            </w:pPr>
            <w:r w:rsidRPr="002B2597">
              <w:rPr>
                <w:b/>
                <w:bCs/>
                <w:color w:val="000000"/>
                <w:sz w:val="20"/>
                <w:szCs w:val="20"/>
              </w:rPr>
              <w:t>Burden Item</w:t>
            </w:r>
          </w:p>
        </w:tc>
        <w:tc>
          <w:tcPr>
            <w:tcW w:w="483"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2E271A0E" w14:textId="77777777">
            <w:pPr>
              <w:jc w:val="center"/>
              <w:rPr>
                <w:b/>
                <w:bCs/>
                <w:color w:val="000000"/>
                <w:sz w:val="20"/>
                <w:szCs w:val="20"/>
              </w:rPr>
            </w:pPr>
            <w:r w:rsidRPr="002B2597">
              <w:rPr>
                <w:b/>
                <w:bCs/>
                <w:color w:val="000000"/>
                <w:sz w:val="20"/>
                <w:szCs w:val="20"/>
              </w:rPr>
              <w:t>EPA Person hours per occurrence</w:t>
            </w:r>
          </w:p>
        </w:tc>
        <w:tc>
          <w:tcPr>
            <w:tcW w:w="474"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2D1F69F2" w14:textId="77777777">
            <w:pPr>
              <w:jc w:val="center"/>
              <w:rPr>
                <w:b/>
                <w:bCs/>
                <w:color w:val="000000"/>
                <w:sz w:val="20"/>
                <w:szCs w:val="20"/>
              </w:rPr>
            </w:pPr>
            <w:r w:rsidRPr="002B2597">
              <w:rPr>
                <w:b/>
                <w:bCs/>
                <w:color w:val="000000"/>
                <w:sz w:val="20"/>
                <w:szCs w:val="20"/>
              </w:rPr>
              <w:t>Occurrences per respondent</w:t>
            </w:r>
          </w:p>
        </w:tc>
        <w:tc>
          <w:tcPr>
            <w:tcW w:w="385" w:type="pct"/>
            <w:gridSpan w:val="2"/>
            <w:tcBorders>
              <w:top w:val="nil"/>
              <w:left w:val="nil"/>
              <w:bottom w:val="nil"/>
              <w:right w:val="single" w:sz="4" w:space="0" w:color="auto"/>
            </w:tcBorders>
            <w:shd w:val="clear" w:color="auto" w:fill="auto"/>
            <w:vAlign w:val="center"/>
            <w:hideMark/>
          </w:tcPr>
          <w:p w:rsidR="00CC0965" w:rsidRPr="002B2597" w:rsidP="008C0EA7" w14:paraId="2930411B" w14:textId="77777777">
            <w:pPr>
              <w:jc w:val="center"/>
              <w:rPr>
                <w:b/>
                <w:bCs/>
                <w:color w:val="000000"/>
                <w:sz w:val="20"/>
                <w:szCs w:val="20"/>
              </w:rPr>
            </w:pPr>
            <w:r w:rsidRPr="002B2597">
              <w:rPr>
                <w:b/>
                <w:bCs/>
                <w:color w:val="000000"/>
                <w:sz w:val="20"/>
                <w:szCs w:val="20"/>
              </w:rPr>
              <w:t xml:space="preserve">EPA Person-hours per plant </w:t>
            </w:r>
            <w:r w:rsidRPr="002B2597">
              <w:rPr>
                <w:b/>
                <w:bCs/>
                <w:color w:val="000000"/>
                <w:sz w:val="20"/>
                <w:szCs w:val="20"/>
              </w:rPr>
              <w:br/>
              <w:t>(C=</w:t>
            </w:r>
            <w:r w:rsidRPr="002B2597">
              <w:rPr>
                <w:b/>
                <w:bCs/>
                <w:color w:val="000000"/>
                <w:sz w:val="20"/>
                <w:szCs w:val="20"/>
              </w:rPr>
              <w:t>AxB</w:t>
            </w:r>
            <w:r w:rsidRPr="002B2597">
              <w:rPr>
                <w:b/>
                <w:bCs/>
                <w:color w:val="000000"/>
                <w:sz w:val="20"/>
                <w:szCs w:val="20"/>
              </w:rPr>
              <w:t>)</w:t>
            </w:r>
          </w:p>
        </w:tc>
        <w:tc>
          <w:tcPr>
            <w:tcW w:w="342"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3B3E7AA2" w14:textId="77777777">
            <w:pPr>
              <w:jc w:val="center"/>
              <w:rPr>
                <w:b/>
                <w:bCs/>
                <w:color w:val="000000"/>
                <w:sz w:val="20"/>
                <w:szCs w:val="20"/>
              </w:rPr>
            </w:pPr>
            <w:r w:rsidRPr="002B2597">
              <w:rPr>
                <w:b/>
                <w:bCs/>
                <w:color w:val="000000"/>
                <w:sz w:val="20"/>
                <w:szCs w:val="20"/>
              </w:rPr>
              <w:t xml:space="preserve">Plants per year </w:t>
            </w:r>
            <w:r w:rsidRPr="002B2597">
              <w:rPr>
                <w:b/>
                <w:bCs/>
                <w:color w:val="000000"/>
                <w:sz w:val="20"/>
                <w:szCs w:val="20"/>
                <w:vertAlign w:val="superscript"/>
              </w:rPr>
              <w:t>a</w:t>
            </w:r>
          </w:p>
        </w:tc>
        <w:tc>
          <w:tcPr>
            <w:tcW w:w="417"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66F359D0" w14:textId="77777777">
            <w:pPr>
              <w:jc w:val="center"/>
              <w:rPr>
                <w:b/>
                <w:bCs/>
                <w:color w:val="000000"/>
                <w:sz w:val="20"/>
                <w:szCs w:val="20"/>
              </w:rPr>
            </w:pPr>
            <w:r w:rsidRPr="002B2597">
              <w:rPr>
                <w:b/>
                <w:bCs/>
                <w:color w:val="000000"/>
                <w:sz w:val="20"/>
                <w:szCs w:val="20"/>
              </w:rPr>
              <w:t>Technical hours/year (E=</w:t>
            </w:r>
            <w:r w:rsidRPr="002B2597">
              <w:rPr>
                <w:b/>
                <w:bCs/>
                <w:color w:val="000000"/>
                <w:sz w:val="20"/>
                <w:szCs w:val="20"/>
              </w:rPr>
              <w:t>CxD</w:t>
            </w:r>
            <w:r w:rsidRPr="002B2597">
              <w:rPr>
                <w:b/>
                <w:bCs/>
                <w:color w:val="000000"/>
                <w:sz w:val="20"/>
                <w:szCs w:val="20"/>
              </w:rPr>
              <w:t>)</w:t>
            </w:r>
          </w:p>
        </w:tc>
        <w:tc>
          <w:tcPr>
            <w:tcW w:w="490"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20C96CE9" w14:textId="77777777">
            <w:pPr>
              <w:jc w:val="center"/>
              <w:rPr>
                <w:b/>
                <w:bCs/>
                <w:color w:val="000000"/>
                <w:sz w:val="20"/>
                <w:szCs w:val="20"/>
              </w:rPr>
            </w:pPr>
            <w:r w:rsidRPr="002B2597">
              <w:rPr>
                <w:b/>
                <w:bCs/>
                <w:color w:val="000000"/>
                <w:sz w:val="20"/>
                <w:szCs w:val="20"/>
              </w:rPr>
              <w:t>Management</w:t>
            </w:r>
            <w:r>
              <w:rPr>
                <w:b/>
                <w:bCs/>
                <w:color w:val="000000"/>
                <w:sz w:val="20"/>
                <w:szCs w:val="20"/>
              </w:rPr>
              <w:t xml:space="preserve"> </w:t>
            </w:r>
            <w:r w:rsidRPr="002B2597">
              <w:rPr>
                <w:b/>
                <w:bCs/>
                <w:color w:val="000000"/>
                <w:sz w:val="20"/>
                <w:szCs w:val="20"/>
              </w:rPr>
              <w:t>hours/year (F=Ex0.05)</w:t>
            </w:r>
          </w:p>
        </w:tc>
        <w:tc>
          <w:tcPr>
            <w:tcW w:w="417"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6A63F325" w14:textId="77777777">
            <w:pPr>
              <w:jc w:val="center"/>
              <w:rPr>
                <w:b/>
                <w:bCs/>
                <w:color w:val="000000"/>
                <w:sz w:val="20"/>
                <w:szCs w:val="20"/>
              </w:rPr>
            </w:pPr>
            <w:r w:rsidRPr="002B2597">
              <w:rPr>
                <w:b/>
                <w:bCs/>
                <w:color w:val="000000"/>
                <w:sz w:val="20"/>
                <w:szCs w:val="20"/>
              </w:rPr>
              <w:t xml:space="preserve"> Clerical-hours/year (G=Ex0.1)</w:t>
            </w:r>
          </w:p>
        </w:tc>
        <w:tc>
          <w:tcPr>
            <w:tcW w:w="445" w:type="pct"/>
            <w:gridSpan w:val="2"/>
            <w:tcBorders>
              <w:top w:val="nil"/>
              <w:left w:val="nil"/>
              <w:bottom w:val="nil"/>
              <w:right w:val="single" w:sz="4" w:space="0" w:color="auto"/>
            </w:tcBorders>
            <w:shd w:val="clear" w:color="auto" w:fill="auto"/>
            <w:vAlign w:val="center"/>
            <w:hideMark/>
          </w:tcPr>
          <w:p w:rsidR="00CC0965" w:rsidRPr="002B2597" w:rsidP="008C0EA7" w14:paraId="1773BDBE" w14:textId="77777777">
            <w:pPr>
              <w:jc w:val="center"/>
              <w:rPr>
                <w:b/>
                <w:bCs/>
                <w:color w:val="000000"/>
                <w:sz w:val="20"/>
                <w:szCs w:val="20"/>
              </w:rPr>
            </w:pPr>
            <w:r w:rsidRPr="002B2597">
              <w:rPr>
                <w:b/>
                <w:bCs/>
                <w:color w:val="000000"/>
                <w:sz w:val="20"/>
                <w:szCs w:val="20"/>
              </w:rPr>
              <w:t xml:space="preserve">Total Cost per year </w:t>
            </w:r>
            <w:r w:rsidRPr="002B2597">
              <w:rPr>
                <w:b/>
                <w:bCs/>
                <w:color w:val="000000"/>
                <w:sz w:val="20"/>
                <w:szCs w:val="20"/>
                <w:vertAlign w:val="superscript"/>
              </w:rPr>
              <w:t>b</w:t>
            </w:r>
            <w:r w:rsidRPr="002B2597">
              <w:rPr>
                <w:b/>
                <w:bCs/>
                <w:color w:val="000000"/>
                <w:sz w:val="20"/>
                <w:szCs w:val="20"/>
              </w:rPr>
              <w:t>, $</w:t>
            </w:r>
          </w:p>
        </w:tc>
      </w:tr>
      <w:tr w14:paraId="7746EB7E" w14:textId="77777777" w:rsidTr="00CC0965">
        <w:tblPrEx>
          <w:tblW w:w="5000" w:type="pct"/>
          <w:tblLook w:val="04A0"/>
        </w:tblPrEx>
        <w:trPr>
          <w:trHeight w:val="315"/>
        </w:trPr>
        <w:tc>
          <w:tcPr>
            <w:tcW w:w="1493" w:type="pct"/>
            <w:tcBorders>
              <w:top w:val="nil"/>
              <w:left w:val="single" w:sz="4" w:space="0" w:color="auto"/>
              <w:bottom w:val="single" w:sz="4" w:space="0" w:color="auto"/>
              <w:right w:val="single" w:sz="4" w:space="0" w:color="auto"/>
            </w:tcBorders>
            <w:shd w:val="clear" w:color="auto" w:fill="auto"/>
            <w:vAlign w:val="center"/>
            <w:hideMark/>
          </w:tcPr>
          <w:p w:rsidR="00CC0965" w:rsidRPr="002B2597" w:rsidP="008C0EA7" w14:paraId="75A659ED" w14:textId="77777777">
            <w:pPr>
              <w:rPr>
                <w:color w:val="000000"/>
                <w:sz w:val="20"/>
                <w:szCs w:val="20"/>
              </w:rPr>
            </w:pPr>
            <w:r w:rsidRPr="002B2597">
              <w:rPr>
                <w:color w:val="000000"/>
                <w:sz w:val="20"/>
                <w:szCs w:val="20"/>
              </w:rPr>
              <w:t xml:space="preserve">Observe performance test </w:t>
            </w:r>
            <w:r w:rsidRPr="002B2597">
              <w:rPr>
                <w:color w:val="000000"/>
                <w:sz w:val="20"/>
                <w:szCs w:val="20"/>
                <w:vertAlign w:val="superscript"/>
              </w:rPr>
              <w:t>c</w:t>
            </w:r>
          </w:p>
        </w:tc>
        <w:tc>
          <w:tcPr>
            <w:tcW w:w="483"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09D4D841" w14:textId="77777777">
            <w:pPr>
              <w:jc w:val="center"/>
              <w:rPr>
                <w:color w:val="000000"/>
                <w:sz w:val="20"/>
                <w:szCs w:val="20"/>
              </w:rPr>
            </w:pPr>
            <w:r w:rsidRPr="002B2597">
              <w:rPr>
                <w:color w:val="000000"/>
                <w:sz w:val="20"/>
                <w:szCs w:val="20"/>
              </w:rPr>
              <w:t>16</w:t>
            </w:r>
          </w:p>
        </w:tc>
        <w:tc>
          <w:tcPr>
            <w:tcW w:w="474"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4578F288" w14:textId="77777777">
            <w:pPr>
              <w:jc w:val="center"/>
              <w:rPr>
                <w:color w:val="000000"/>
                <w:sz w:val="20"/>
                <w:szCs w:val="20"/>
              </w:rPr>
            </w:pPr>
            <w:r w:rsidRPr="002B2597">
              <w:rPr>
                <w:color w:val="000000"/>
                <w:sz w:val="20"/>
                <w:szCs w:val="20"/>
              </w:rPr>
              <w:t>1</w:t>
            </w:r>
          </w:p>
        </w:tc>
        <w:tc>
          <w:tcPr>
            <w:tcW w:w="385" w:type="pct"/>
            <w:gridSpan w:val="2"/>
            <w:tcBorders>
              <w:top w:val="single" w:sz="4" w:space="0" w:color="auto"/>
              <w:left w:val="nil"/>
              <w:bottom w:val="single" w:sz="4" w:space="0" w:color="auto"/>
              <w:right w:val="single" w:sz="4" w:space="0" w:color="auto"/>
            </w:tcBorders>
            <w:shd w:val="clear" w:color="auto" w:fill="auto"/>
            <w:vAlign w:val="center"/>
            <w:hideMark/>
          </w:tcPr>
          <w:p w:rsidR="00CC0965" w:rsidRPr="002B2597" w:rsidP="008C0EA7" w14:paraId="4BFD18BB" w14:textId="77777777">
            <w:pPr>
              <w:jc w:val="center"/>
              <w:rPr>
                <w:color w:val="000000"/>
                <w:sz w:val="20"/>
                <w:szCs w:val="20"/>
              </w:rPr>
            </w:pPr>
            <w:r w:rsidRPr="002B2597">
              <w:rPr>
                <w:color w:val="000000"/>
                <w:sz w:val="20"/>
                <w:szCs w:val="20"/>
              </w:rPr>
              <w:t>16</w:t>
            </w:r>
          </w:p>
        </w:tc>
        <w:tc>
          <w:tcPr>
            <w:tcW w:w="342"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47AAA928" w14:textId="77777777">
            <w:pPr>
              <w:jc w:val="center"/>
              <w:rPr>
                <w:color w:val="000000"/>
                <w:sz w:val="20"/>
                <w:szCs w:val="20"/>
              </w:rPr>
            </w:pPr>
            <w:r w:rsidRPr="002B2597">
              <w:rPr>
                <w:color w:val="000000"/>
                <w:sz w:val="20"/>
                <w:szCs w:val="20"/>
              </w:rPr>
              <w:t>1</w:t>
            </w:r>
          </w:p>
        </w:tc>
        <w:tc>
          <w:tcPr>
            <w:tcW w:w="417"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79283A98" w14:textId="77777777">
            <w:pPr>
              <w:jc w:val="center"/>
              <w:rPr>
                <w:color w:val="000000"/>
                <w:sz w:val="20"/>
                <w:szCs w:val="20"/>
              </w:rPr>
            </w:pPr>
            <w:r w:rsidRPr="002B2597">
              <w:rPr>
                <w:color w:val="000000"/>
                <w:sz w:val="20"/>
                <w:szCs w:val="20"/>
              </w:rPr>
              <w:t>16</w:t>
            </w:r>
          </w:p>
        </w:tc>
        <w:tc>
          <w:tcPr>
            <w:tcW w:w="490"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175CDBF9" w14:textId="77777777">
            <w:pPr>
              <w:jc w:val="center"/>
              <w:rPr>
                <w:color w:val="000000"/>
                <w:sz w:val="20"/>
                <w:szCs w:val="20"/>
              </w:rPr>
            </w:pPr>
            <w:r w:rsidRPr="002B2597">
              <w:rPr>
                <w:color w:val="000000"/>
                <w:sz w:val="20"/>
                <w:szCs w:val="20"/>
              </w:rPr>
              <w:t>0.8</w:t>
            </w:r>
          </w:p>
        </w:tc>
        <w:tc>
          <w:tcPr>
            <w:tcW w:w="417"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606F9195" w14:textId="77777777">
            <w:pPr>
              <w:jc w:val="center"/>
              <w:rPr>
                <w:color w:val="000000"/>
                <w:sz w:val="20"/>
                <w:szCs w:val="20"/>
              </w:rPr>
            </w:pPr>
            <w:r w:rsidRPr="002B2597">
              <w:rPr>
                <w:color w:val="000000"/>
                <w:sz w:val="20"/>
                <w:szCs w:val="20"/>
              </w:rPr>
              <w:t>1.6</w:t>
            </w:r>
          </w:p>
        </w:tc>
        <w:tc>
          <w:tcPr>
            <w:tcW w:w="445" w:type="pct"/>
            <w:gridSpan w:val="2"/>
            <w:tcBorders>
              <w:top w:val="single" w:sz="4" w:space="0" w:color="auto"/>
              <w:left w:val="nil"/>
              <w:bottom w:val="single" w:sz="4" w:space="0" w:color="auto"/>
              <w:right w:val="single" w:sz="4" w:space="0" w:color="auto"/>
            </w:tcBorders>
            <w:shd w:val="clear" w:color="auto" w:fill="auto"/>
            <w:vAlign w:val="center"/>
            <w:hideMark/>
          </w:tcPr>
          <w:p w:rsidR="00CC0965" w:rsidRPr="002B2597" w:rsidP="008C0EA7" w14:paraId="3330EED3" w14:textId="77777777">
            <w:pPr>
              <w:jc w:val="right"/>
              <w:rPr>
                <w:color w:val="000000"/>
                <w:sz w:val="20"/>
                <w:szCs w:val="20"/>
              </w:rPr>
            </w:pPr>
            <w:r w:rsidRPr="002B2597">
              <w:rPr>
                <w:color w:val="000000"/>
                <w:sz w:val="20"/>
                <w:szCs w:val="20"/>
              </w:rPr>
              <w:t xml:space="preserve">$1,266.17 </w:t>
            </w:r>
          </w:p>
        </w:tc>
      </w:tr>
      <w:tr w14:paraId="25B046CB" w14:textId="77777777" w:rsidTr="00CC0965">
        <w:tblPrEx>
          <w:tblW w:w="5000" w:type="pct"/>
          <w:tblLook w:val="04A0"/>
        </w:tblPrEx>
        <w:trPr>
          <w:trHeight w:val="300"/>
        </w:trPr>
        <w:tc>
          <w:tcPr>
            <w:tcW w:w="1493" w:type="pct"/>
            <w:tcBorders>
              <w:top w:val="nil"/>
              <w:left w:val="single" w:sz="4" w:space="0" w:color="auto"/>
              <w:bottom w:val="single" w:sz="4" w:space="0" w:color="auto"/>
              <w:right w:val="single" w:sz="4" w:space="0" w:color="auto"/>
            </w:tcBorders>
            <w:shd w:val="clear" w:color="auto" w:fill="auto"/>
            <w:vAlign w:val="center"/>
            <w:hideMark/>
          </w:tcPr>
          <w:p w:rsidR="00CC0965" w:rsidRPr="002B2597" w:rsidP="008C0EA7" w14:paraId="76C52E9E" w14:textId="77777777">
            <w:pPr>
              <w:rPr>
                <w:color w:val="000000"/>
                <w:sz w:val="20"/>
                <w:szCs w:val="20"/>
              </w:rPr>
            </w:pPr>
            <w:r w:rsidRPr="002B2597">
              <w:rPr>
                <w:color w:val="000000"/>
                <w:sz w:val="20"/>
                <w:szCs w:val="20"/>
              </w:rPr>
              <w:t>Report Review:</w:t>
            </w:r>
          </w:p>
        </w:tc>
        <w:tc>
          <w:tcPr>
            <w:tcW w:w="483"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059A4855" w14:textId="77777777">
            <w:pPr>
              <w:rPr>
                <w:color w:val="000000"/>
                <w:sz w:val="20"/>
                <w:szCs w:val="20"/>
              </w:rPr>
            </w:pPr>
            <w:r w:rsidRPr="002B2597">
              <w:rPr>
                <w:color w:val="000000"/>
                <w:sz w:val="20"/>
                <w:szCs w:val="20"/>
              </w:rPr>
              <w:t> </w:t>
            </w:r>
          </w:p>
        </w:tc>
        <w:tc>
          <w:tcPr>
            <w:tcW w:w="474"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0AD58BC5" w14:textId="77777777">
            <w:pPr>
              <w:rPr>
                <w:color w:val="000000"/>
                <w:sz w:val="20"/>
                <w:szCs w:val="20"/>
              </w:rPr>
            </w:pPr>
            <w:r w:rsidRPr="002B2597">
              <w:rPr>
                <w:color w:val="000000"/>
                <w:sz w:val="20"/>
                <w:szCs w:val="20"/>
              </w:rPr>
              <w:t> </w:t>
            </w:r>
          </w:p>
        </w:tc>
        <w:tc>
          <w:tcPr>
            <w:tcW w:w="385"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3D5FC275" w14:textId="77777777">
            <w:pPr>
              <w:jc w:val="center"/>
              <w:rPr>
                <w:color w:val="000000"/>
                <w:sz w:val="20"/>
                <w:szCs w:val="20"/>
              </w:rPr>
            </w:pPr>
            <w:r w:rsidRPr="002B2597">
              <w:rPr>
                <w:color w:val="000000"/>
                <w:sz w:val="20"/>
                <w:szCs w:val="20"/>
              </w:rPr>
              <w:t> </w:t>
            </w:r>
          </w:p>
        </w:tc>
        <w:tc>
          <w:tcPr>
            <w:tcW w:w="342"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1DB3DDB2" w14:textId="77777777">
            <w:pPr>
              <w:rPr>
                <w:color w:val="000000"/>
                <w:sz w:val="20"/>
                <w:szCs w:val="20"/>
              </w:rPr>
            </w:pPr>
            <w:r w:rsidRPr="002B2597">
              <w:rPr>
                <w:color w:val="000000"/>
                <w:sz w:val="20"/>
                <w:szCs w:val="20"/>
              </w:rPr>
              <w:t> </w:t>
            </w:r>
          </w:p>
        </w:tc>
        <w:tc>
          <w:tcPr>
            <w:tcW w:w="417"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184CAB51" w14:textId="77777777">
            <w:pPr>
              <w:jc w:val="center"/>
              <w:rPr>
                <w:color w:val="000000"/>
                <w:sz w:val="20"/>
                <w:szCs w:val="20"/>
              </w:rPr>
            </w:pPr>
            <w:r w:rsidRPr="002B2597">
              <w:rPr>
                <w:color w:val="000000"/>
                <w:sz w:val="20"/>
                <w:szCs w:val="20"/>
              </w:rPr>
              <w:t> </w:t>
            </w:r>
          </w:p>
        </w:tc>
        <w:tc>
          <w:tcPr>
            <w:tcW w:w="490"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5054F800" w14:textId="77777777">
            <w:pPr>
              <w:jc w:val="center"/>
              <w:rPr>
                <w:color w:val="000000"/>
                <w:sz w:val="20"/>
                <w:szCs w:val="20"/>
              </w:rPr>
            </w:pPr>
            <w:r w:rsidRPr="002B2597">
              <w:rPr>
                <w:color w:val="000000"/>
                <w:sz w:val="20"/>
                <w:szCs w:val="20"/>
              </w:rPr>
              <w:t> </w:t>
            </w:r>
          </w:p>
        </w:tc>
        <w:tc>
          <w:tcPr>
            <w:tcW w:w="417"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66BAECF7" w14:textId="77777777">
            <w:pPr>
              <w:jc w:val="center"/>
              <w:rPr>
                <w:color w:val="000000"/>
                <w:sz w:val="20"/>
                <w:szCs w:val="20"/>
              </w:rPr>
            </w:pPr>
            <w:r w:rsidRPr="002B2597">
              <w:rPr>
                <w:color w:val="000000"/>
                <w:sz w:val="20"/>
                <w:szCs w:val="20"/>
              </w:rPr>
              <w:t> </w:t>
            </w:r>
          </w:p>
        </w:tc>
        <w:tc>
          <w:tcPr>
            <w:tcW w:w="445"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2C21BF2F" w14:textId="77777777">
            <w:pPr>
              <w:jc w:val="right"/>
              <w:rPr>
                <w:color w:val="000000"/>
                <w:sz w:val="20"/>
                <w:szCs w:val="20"/>
              </w:rPr>
            </w:pPr>
            <w:r w:rsidRPr="002B2597">
              <w:rPr>
                <w:color w:val="000000"/>
                <w:sz w:val="20"/>
                <w:szCs w:val="20"/>
              </w:rPr>
              <w:t> </w:t>
            </w:r>
          </w:p>
        </w:tc>
      </w:tr>
      <w:tr w14:paraId="6946CA4E" w14:textId="77777777" w:rsidTr="00CC0965">
        <w:tblPrEx>
          <w:tblW w:w="5000" w:type="pct"/>
          <w:tblLook w:val="04A0"/>
        </w:tblPrEx>
        <w:trPr>
          <w:trHeight w:val="315"/>
        </w:trPr>
        <w:tc>
          <w:tcPr>
            <w:tcW w:w="1493" w:type="pct"/>
            <w:tcBorders>
              <w:top w:val="nil"/>
              <w:left w:val="single" w:sz="4" w:space="0" w:color="auto"/>
              <w:bottom w:val="single" w:sz="4" w:space="0" w:color="auto"/>
              <w:right w:val="single" w:sz="4" w:space="0" w:color="auto"/>
            </w:tcBorders>
            <w:shd w:val="clear" w:color="auto" w:fill="auto"/>
            <w:vAlign w:val="center"/>
            <w:hideMark/>
          </w:tcPr>
          <w:p w:rsidR="00CC0965" w:rsidRPr="002B2597" w:rsidP="008C0EA7" w14:paraId="76988F9E" w14:textId="77777777">
            <w:pPr>
              <w:ind w:firstLine="200" w:firstLineChars="100"/>
              <w:rPr>
                <w:color w:val="000000"/>
                <w:sz w:val="20"/>
                <w:szCs w:val="20"/>
              </w:rPr>
            </w:pPr>
            <w:r w:rsidRPr="002B2597">
              <w:rPr>
                <w:color w:val="000000"/>
                <w:sz w:val="20"/>
                <w:szCs w:val="20"/>
              </w:rPr>
              <w:t>Initial notification of applicability</w:t>
            </w:r>
            <w:r w:rsidRPr="002B2597">
              <w:rPr>
                <w:color w:val="000000"/>
                <w:sz w:val="20"/>
                <w:szCs w:val="20"/>
                <w:vertAlign w:val="superscript"/>
              </w:rPr>
              <w:t xml:space="preserve"> d</w:t>
            </w:r>
          </w:p>
        </w:tc>
        <w:tc>
          <w:tcPr>
            <w:tcW w:w="483"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55CA913D" w14:textId="77777777">
            <w:pPr>
              <w:jc w:val="center"/>
              <w:rPr>
                <w:color w:val="000000"/>
                <w:sz w:val="20"/>
                <w:szCs w:val="20"/>
              </w:rPr>
            </w:pPr>
            <w:r w:rsidRPr="002B2597">
              <w:rPr>
                <w:color w:val="000000"/>
                <w:sz w:val="20"/>
                <w:szCs w:val="20"/>
              </w:rPr>
              <w:t>1</w:t>
            </w:r>
          </w:p>
        </w:tc>
        <w:tc>
          <w:tcPr>
            <w:tcW w:w="474"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5732C047" w14:textId="77777777">
            <w:pPr>
              <w:jc w:val="center"/>
              <w:rPr>
                <w:color w:val="000000"/>
                <w:sz w:val="20"/>
                <w:szCs w:val="20"/>
              </w:rPr>
            </w:pPr>
            <w:r w:rsidRPr="002B2597">
              <w:rPr>
                <w:color w:val="000000"/>
                <w:sz w:val="20"/>
                <w:szCs w:val="20"/>
              </w:rPr>
              <w:t>1</w:t>
            </w:r>
          </w:p>
        </w:tc>
        <w:tc>
          <w:tcPr>
            <w:tcW w:w="385"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51074BF1" w14:textId="77777777">
            <w:pPr>
              <w:jc w:val="center"/>
              <w:rPr>
                <w:color w:val="000000"/>
                <w:sz w:val="20"/>
                <w:szCs w:val="20"/>
              </w:rPr>
            </w:pPr>
            <w:r w:rsidRPr="002B2597">
              <w:rPr>
                <w:color w:val="000000"/>
                <w:sz w:val="20"/>
                <w:szCs w:val="20"/>
              </w:rPr>
              <w:t>1</w:t>
            </w:r>
          </w:p>
        </w:tc>
        <w:tc>
          <w:tcPr>
            <w:tcW w:w="342"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1FF948D3" w14:textId="77777777">
            <w:pPr>
              <w:jc w:val="center"/>
              <w:rPr>
                <w:color w:val="000000"/>
                <w:sz w:val="20"/>
                <w:szCs w:val="20"/>
              </w:rPr>
            </w:pPr>
            <w:r w:rsidRPr="002B2597">
              <w:rPr>
                <w:color w:val="000000"/>
                <w:sz w:val="20"/>
                <w:szCs w:val="20"/>
              </w:rPr>
              <w:t>0</w:t>
            </w:r>
          </w:p>
        </w:tc>
        <w:tc>
          <w:tcPr>
            <w:tcW w:w="417"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396B8C30" w14:textId="77777777">
            <w:pPr>
              <w:jc w:val="center"/>
              <w:rPr>
                <w:color w:val="000000"/>
                <w:sz w:val="20"/>
                <w:szCs w:val="20"/>
              </w:rPr>
            </w:pPr>
            <w:r w:rsidRPr="002B2597">
              <w:rPr>
                <w:color w:val="000000"/>
                <w:sz w:val="20"/>
                <w:szCs w:val="20"/>
              </w:rPr>
              <w:t>0</w:t>
            </w:r>
          </w:p>
        </w:tc>
        <w:tc>
          <w:tcPr>
            <w:tcW w:w="490"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6DEDD67D" w14:textId="77777777">
            <w:pPr>
              <w:jc w:val="center"/>
              <w:rPr>
                <w:color w:val="000000"/>
                <w:sz w:val="20"/>
                <w:szCs w:val="20"/>
              </w:rPr>
            </w:pPr>
            <w:r w:rsidRPr="002B2597">
              <w:rPr>
                <w:color w:val="000000"/>
                <w:sz w:val="20"/>
                <w:szCs w:val="20"/>
              </w:rPr>
              <w:t>0</w:t>
            </w:r>
          </w:p>
        </w:tc>
        <w:tc>
          <w:tcPr>
            <w:tcW w:w="417"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584A7D6F" w14:textId="77777777">
            <w:pPr>
              <w:jc w:val="center"/>
              <w:rPr>
                <w:color w:val="000000"/>
                <w:sz w:val="20"/>
                <w:szCs w:val="20"/>
              </w:rPr>
            </w:pPr>
            <w:r w:rsidRPr="002B2597">
              <w:rPr>
                <w:color w:val="000000"/>
                <w:sz w:val="20"/>
                <w:szCs w:val="20"/>
              </w:rPr>
              <w:t>0</w:t>
            </w:r>
          </w:p>
        </w:tc>
        <w:tc>
          <w:tcPr>
            <w:tcW w:w="445"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3CBAE743" w14:textId="77777777">
            <w:pPr>
              <w:jc w:val="right"/>
              <w:rPr>
                <w:color w:val="000000"/>
                <w:sz w:val="20"/>
                <w:szCs w:val="20"/>
              </w:rPr>
            </w:pPr>
            <w:r w:rsidRPr="002B2597">
              <w:rPr>
                <w:color w:val="000000"/>
                <w:sz w:val="20"/>
                <w:szCs w:val="20"/>
              </w:rPr>
              <w:t xml:space="preserve">$0 </w:t>
            </w:r>
          </w:p>
        </w:tc>
      </w:tr>
      <w:tr w14:paraId="329D554E" w14:textId="77777777" w:rsidTr="00CC0965">
        <w:tblPrEx>
          <w:tblW w:w="5000" w:type="pct"/>
          <w:tblLook w:val="04A0"/>
        </w:tblPrEx>
        <w:trPr>
          <w:trHeight w:val="315"/>
        </w:trPr>
        <w:tc>
          <w:tcPr>
            <w:tcW w:w="1493" w:type="pct"/>
            <w:tcBorders>
              <w:top w:val="nil"/>
              <w:left w:val="single" w:sz="4" w:space="0" w:color="auto"/>
              <w:bottom w:val="single" w:sz="4" w:space="0" w:color="auto"/>
              <w:right w:val="single" w:sz="4" w:space="0" w:color="auto"/>
            </w:tcBorders>
            <w:shd w:val="clear" w:color="auto" w:fill="auto"/>
            <w:vAlign w:val="center"/>
            <w:hideMark/>
          </w:tcPr>
          <w:p w:rsidR="00CC0965" w:rsidRPr="002B2597" w:rsidP="008C0EA7" w14:paraId="5BCC11CA" w14:textId="77777777">
            <w:pPr>
              <w:ind w:firstLine="200" w:firstLineChars="100"/>
              <w:rPr>
                <w:color w:val="000000"/>
                <w:sz w:val="20"/>
                <w:szCs w:val="20"/>
              </w:rPr>
            </w:pPr>
            <w:r w:rsidRPr="002B2597">
              <w:rPr>
                <w:color w:val="000000"/>
                <w:sz w:val="20"/>
                <w:szCs w:val="20"/>
              </w:rPr>
              <w:t xml:space="preserve">Notification of compliance status </w:t>
            </w:r>
            <w:r w:rsidRPr="002B2597">
              <w:rPr>
                <w:color w:val="000000"/>
                <w:sz w:val="20"/>
                <w:szCs w:val="20"/>
                <w:vertAlign w:val="superscript"/>
              </w:rPr>
              <w:t>d</w:t>
            </w:r>
          </w:p>
        </w:tc>
        <w:tc>
          <w:tcPr>
            <w:tcW w:w="483"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3ED34B19" w14:textId="77777777">
            <w:pPr>
              <w:jc w:val="center"/>
              <w:rPr>
                <w:color w:val="000000"/>
                <w:sz w:val="20"/>
                <w:szCs w:val="20"/>
              </w:rPr>
            </w:pPr>
            <w:r w:rsidRPr="002B2597">
              <w:rPr>
                <w:color w:val="000000"/>
                <w:sz w:val="20"/>
                <w:szCs w:val="20"/>
              </w:rPr>
              <w:t>2</w:t>
            </w:r>
          </w:p>
        </w:tc>
        <w:tc>
          <w:tcPr>
            <w:tcW w:w="474"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4AF4DA52" w14:textId="77777777">
            <w:pPr>
              <w:jc w:val="center"/>
              <w:rPr>
                <w:color w:val="000000"/>
                <w:sz w:val="20"/>
                <w:szCs w:val="20"/>
              </w:rPr>
            </w:pPr>
            <w:r w:rsidRPr="002B2597">
              <w:rPr>
                <w:color w:val="000000"/>
                <w:sz w:val="20"/>
                <w:szCs w:val="20"/>
              </w:rPr>
              <w:t>1</w:t>
            </w:r>
          </w:p>
        </w:tc>
        <w:tc>
          <w:tcPr>
            <w:tcW w:w="385"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2E684645" w14:textId="77777777">
            <w:pPr>
              <w:jc w:val="center"/>
              <w:rPr>
                <w:color w:val="000000"/>
                <w:sz w:val="20"/>
                <w:szCs w:val="20"/>
              </w:rPr>
            </w:pPr>
            <w:r w:rsidRPr="002B2597">
              <w:rPr>
                <w:color w:val="000000"/>
                <w:sz w:val="20"/>
                <w:szCs w:val="20"/>
              </w:rPr>
              <w:t>2</w:t>
            </w:r>
          </w:p>
        </w:tc>
        <w:tc>
          <w:tcPr>
            <w:tcW w:w="342"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715C8DAB" w14:textId="77777777">
            <w:pPr>
              <w:jc w:val="center"/>
              <w:rPr>
                <w:color w:val="000000"/>
                <w:sz w:val="20"/>
                <w:szCs w:val="20"/>
              </w:rPr>
            </w:pPr>
            <w:r w:rsidRPr="002B2597">
              <w:rPr>
                <w:color w:val="000000"/>
                <w:sz w:val="20"/>
                <w:szCs w:val="20"/>
              </w:rPr>
              <w:t>0</w:t>
            </w:r>
          </w:p>
        </w:tc>
        <w:tc>
          <w:tcPr>
            <w:tcW w:w="417"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06B3D9B4" w14:textId="77777777">
            <w:pPr>
              <w:jc w:val="center"/>
              <w:rPr>
                <w:color w:val="000000"/>
                <w:sz w:val="20"/>
                <w:szCs w:val="20"/>
              </w:rPr>
            </w:pPr>
            <w:r w:rsidRPr="002B2597">
              <w:rPr>
                <w:color w:val="000000"/>
                <w:sz w:val="20"/>
                <w:szCs w:val="20"/>
              </w:rPr>
              <w:t>0</w:t>
            </w:r>
          </w:p>
        </w:tc>
        <w:tc>
          <w:tcPr>
            <w:tcW w:w="490"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3CB3762E" w14:textId="77777777">
            <w:pPr>
              <w:jc w:val="center"/>
              <w:rPr>
                <w:color w:val="000000"/>
                <w:sz w:val="20"/>
                <w:szCs w:val="20"/>
              </w:rPr>
            </w:pPr>
            <w:r w:rsidRPr="002B2597">
              <w:rPr>
                <w:color w:val="000000"/>
                <w:sz w:val="20"/>
                <w:szCs w:val="20"/>
              </w:rPr>
              <w:t>0</w:t>
            </w:r>
          </w:p>
        </w:tc>
        <w:tc>
          <w:tcPr>
            <w:tcW w:w="417"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4BC9877F" w14:textId="77777777">
            <w:pPr>
              <w:jc w:val="center"/>
              <w:rPr>
                <w:color w:val="000000"/>
                <w:sz w:val="20"/>
                <w:szCs w:val="20"/>
              </w:rPr>
            </w:pPr>
            <w:r w:rsidRPr="002B2597">
              <w:rPr>
                <w:color w:val="000000"/>
                <w:sz w:val="20"/>
                <w:szCs w:val="20"/>
              </w:rPr>
              <w:t>0</w:t>
            </w:r>
          </w:p>
        </w:tc>
        <w:tc>
          <w:tcPr>
            <w:tcW w:w="445"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0D5FE33D" w14:textId="77777777">
            <w:pPr>
              <w:jc w:val="right"/>
              <w:rPr>
                <w:color w:val="000000"/>
                <w:sz w:val="20"/>
                <w:szCs w:val="20"/>
              </w:rPr>
            </w:pPr>
            <w:r w:rsidRPr="002B2597">
              <w:rPr>
                <w:color w:val="000000"/>
                <w:sz w:val="20"/>
                <w:szCs w:val="20"/>
              </w:rPr>
              <w:t xml:space="preserve">$0 </w:t>
            </w:r>
          </w:p>
        </w:tc>
      </w:tr>
      <w:tr w14:paraId="2A9CE18A" w14:textId="77777777" w:rsidTr="00CC0965">
        <w:tblPrEx>
          <w:tblW w:w="5000" w:type="pct"/>
          <w:tblLook w:val="04A0"/>
        </w:tblPrEx>
        <w:trPr>
          <w:trHeight w:val="315"/>
        </w:trPr>
        <w:tc>
          <w:tcPr>
            <w:tcW w:w="1493" w:type="pct"/>
            <w:tcBorders>
              <w:top w:val="nil"/>
              <w:left w:val="single" w:sz="4" w:space="0" w:color="auto"/>
              <w:bottom w:val="single" w:sz="4" w:space="0" w:color="auto"/>
              <w:right w:val="single" w:sz="4" w:space="0" w:color="auto"/>
            </w:tcBorders>
            <w:shd w:val="clear" w:color="auto" w:fill="auto"/>
            <w:vAlign w:val="center"/>
            <w:hideMark/>
          </w:tcPr>
          <w:p w:rsidR="00CC0965" w:rsidRPr="002B2597" w:rsidP="008C0EA7" w14:paraId="58DE6960" w14:textId="77777777">
            <w:pPr>
              <w:ind w:firstLine="200" w:firstLineChars="100"/>
              <w:rPr>
                <w:color w:val="000000"/>
                <w:sz w:val="20"/>
                <w:szCs w:val="20"/>
              </w:rPr>
            </w:pPr>
            <w:r w:rsidRPr="002B2597">
              <w:rPr>
                <w:color w:val="000000"/>
                <w:sz w:val="20"/>
                <w:szCs w:val="20"/>
              </w:rPr>
              <w:t xml:space="preserve">Notification of performance test </w:t>
            </w:r>
            <w:r w:rsidRPr="002B2597">
              <w:rPr>
                <w:color w:val="000000"/>
                <w:sz w:val="20"/>
                <w:szCs w:val="20"/>
                <w:vertAlign w:val="superscript"/>
              </w:rPr>
              <w:t>d</w:t>
            </w:r>
          </w:p>
        </w:tc>
        <w:tc>
          <w:tcPr>
            <w:tcW w:w="483"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677D721F" w14:textId="77777777">
            <w:pPr>
              <w:jc w:val="center"/>
              <w:rPr>
                <w:color w:val="000000"/>
                <w:sz w:val="20"/>
                <w:szCs w:val="20"/>
              </w:rPr>
            </w:pPr>
            <w:r w:rsidRPr="002B2597">
              <w:rPr>
                <w:color w:val="000000"/>
                <w:sz w:val="20"/>
                <w:szCs w:val="20"/>
              </w:rPr>
              <w:t>2</w:t>
            </w:r>
          </w:p>
        </w:tc>
        <w:tc>
          <w:tcPr>
            <w:tcW w:w="474"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528FFED4" w14:textId="77777777">
            <w:pPr>
              <w:jc w:val="center"/>
              <w:rPr>
                <w:color w:val="000000"/>
                <w:sz w:val="20"/>
                <w:szCs w:val="20"/>
              </w:rPr>
            </w:pPr>
            <w:r w:rsidRPr="002B2597">
              <w:rPr>
                <w:color w:val="000000"/>
                <w:sz w:val="20"/>
                <w:szCs w:val="20"/>
              </w:rPr>
              <w:t>1</w:t>
            </w:r>
          </w:p>
        </w:tc>
        <w:tc>
          <w:tcPr>
            <w:tcW w:w="385"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792FF69C" w14:textId="77777777">
            <w:pPr>
              <w:jc w:val="center"/>
              <w:rPr>
                <w:color w:val="000000"/>
                <w:sz w:val="20"/>
                <w:szCs w:val="20"/>
              </w:rPr>
            </w:pPr>
            <w:r w:rsidRPr="002B2597">
              <w:rPr>
                <w:color w:val="000000"/>
                <w:sz w:val="20"/>
                <w:szCs w:val="20"/>
              </w:rPr>
              <w:t>2</w:t>
            </w:r>
          </w:p>
        </w:tc>
        <w:tc>
          <w:tcPr>
            <w:tcW w:w="342"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4014B895" w14:textId="77777777">
            <w:pPr>
              <w:jc w:val="center"/>
              <w:rPr>
                <w:color w:val="000000"/>
                <w:sz w:val="20"/>
                <w:szCs w:val="20"/>
              </w:rPr>
            </w:pPr>
            <w:r w:rsidRPr="002B2597">
              <w:rPr>
                <w:color w:val="000000"/>
                <w:sz w:val="20"/>
                <w:szCs w:val="20"/>
              </w:rPr>
              <w:t>0</w:t>
            </w:r>
          </w:p>
        </w:tc>
        <w:tc>
          <w:tcPr>
            <w:tcW w:w="417"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75F9F3FB" w14:textId="77777777">
            <w:pPr>
              <w:jc w:val="center"/>
              <w:rPr>
                <w:color w:val="000000"/>
                <w:sz w:val="20"/>
                <w:szCs w:val="20"/>
              </w:rPr>
            </w:pPr>
            <w:r w:rsidRPr="002B2597">
              <w:rPr>
                <w:color w:val="000000"/>
                <w:sz w:val="20"/>
                <w:szCs w:val="20"/>
              </w:rPr>
              <w:t>0</w:t>
            </w:r>
          </w:p>
        </w:tc>
        <w:tc>
          <w:tcPr>
            <w:tcW w:w="490"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1111EBCF" w14:textId="77777777">
            <w:pPr>
              <w:jc w:val="center"/>
              <w:rPr>
                <w:color w:val="000000"/>
                <w:sz w:val="20"/>
                <w:szCs w:val="20"/>
              </w:rPr>
            </w:pPr>
            <w:r w:rsidRPr="002B2597">
              <w:rPr>
                <w:color w:val="000000"/>
                <w:sz w:val="20"/>
                <w:szCs w:val="20"/>
              </w:rPr>
              <w:t>0</w:t>
            </w:r>
          </w:p>
        </w:tc>
        <w:tc>
          <w:tcPr>
            <w:tcW w:w="417"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77900EFB" w14:textId="77777777">
            <w:pPr>
              <w:jc w:val="center"/>
              <w:rPr>
                <w:color w:val="000000"/>
                <w:sz w:val="20"/>
                <w:szCs w:val="20"/>
              </w:rPr>
            </w:pPr>
            <w:r w:rsidRPr="002B2597">
              <w:rPr>
                <w:color w:val="000000"/>
                <w:sz w:val="20"/>
                <w:szCs w:val="20"/>
              </w:rPr>
              <w:t>0</w:t>
            </w:r>
          </w:p>
        </w:tc>
        <w:tc>
          <w:tcPr>
            <w:tcW w:w="445"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6C9BA885" w14:textId="77777777">
            <w:pPr>
              <w:jc w:val="right"/>
              <w:rPr>
                <w:color w:val="000000"/>
                <w:sz w:val="20"/>
                <w:szCs w:val="20"/>
              </w:rPr>
            </w:pPr>
            <w:r w:rsidRPr="002B2597">
              <w:rPr>
                <w:color w:val="000000"/>
                <w:sz w:val="20"/>
                <w:szCs w:val="20"/>
              </w:rPr>
              <w:t xml:space="preserve">$0 </w:t>
            </w:r>
          </w:p>
        </w:tc>
      </w:tr>
      <w:tr w14:paraId="0AAF1926" w14:textId="77777777" w:rsidTr="00CC0965">
        <w:tblPrEx>
          <w:tblW w:w="5000" w:type="pct"/>
          <w:tblLook w:val="04A0"/>
        </w:tblPrEx>
        <w:trPr>
          <w:trHeight w:val="300"/>
        </w:trPr>
        <w:tc>
          <w:tcPr>
            <w:tcW w:w="1493" w:type="pct"/>
            <w:tcBorders>
              <w:top w:val="nil"/>
              <w:left w:val="single" w:sz="4" w:space="0" w:color="auto"/>
              <w:bottom w:val="single" w:sz="4" w:space="0" w:color="auto"/>
              <w:right w:val="single" w:sz="4" w:space="0" w:color="auto"/>
            </w:tcBorders>
            <w:shd w:val="clear" w:color="auto" w:fill="auto"/>
            <w:vAlign w:val="center"/>
            <w:hideMark/>
          </w:tcPr>
          <w:p w:rsidR="00CC0965" w:rsidRPr="002B2597" w:rsidP="008C0EA7" w14:paraId="5F854246" w14:textId="77777777">
            <w:pPr>
              <w:ind w:firstLine="200" w:firstLineChars="100"/>
              <w:rPr>
                <w:color w:val="000000"/>
                <w:sz w:val="20"/>
                <w:szCs w:val="20"/>
              </w:rPr>
            </w:pPr>
            <w:r w:rsidRPr="002B2597">
              <w:rPr>
                <w:color w:val="000000"/>
                <w:sz w:val="20"/>
                <w:szCs w:val="20"/>
              </w:rPr>
              <w:t>Deviation reports</w:t>
            </w:r>
          </w:p>
        </w:tc>
        <w:tc>
          <w:tcPr>
            <w:tcW w:w="483"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164C5ACA" w14:textId="77777777">
            <w:pPr>
              <w:jc w:val="center"/>
              <w:rPr>
                <w:color w:val="000000"/>
                <w:sz w:val="20"/>
                <w:szCs w:val="20"/>
              </w:rPr>
            </w:pPr>
            <w:r w:rsidRPr="002B2597">
              <w:rPr>
                <w:color w:val="000000"/>
                <w:sz w:val="20"/>
                <w:szCs w:val="20"/>
              </w:rPr>
              <w:t>N/A</w:t>
            </w:r>
          </w:p>
        </w:tc>
        <w:tc>
          <w:tcPr>
            <w:tcW w:w="474"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0A43A551" w14:textId="77777777">
            <w:pPr>
              <w:jc w:val="center"/>
              <w:rPr>
                <w:color w:val="000000"/>
                <w:sz w:val="20"/>
                <w:szCs w:val="20"/>
              </w:rPr>
            </w:pPr>
            <w:r w:rsidRPr="002B2597">
              <w:rPr>
                <w:color w:val="000000"/>
                <w:sz w:val="20"/>
                <w:szCs w:val="20"/>
              </w:rPr>
              <w:t> </w:t>
            </w:r>
          </w:p>
        </w:tc>
        <w:tc>
          <w:tcPr>
            <w:tcW w:w="385"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6029D52A" w14:textId="77777777">
            <w:pPr>
              <w:jc w:val="center"/>
              <w:rPr>
                <w:color w:val="000000"/>
                <w:sz w:val="20"/>
                <w:szCs w:val="20"/>
              </w:rPr>
            </w:pPr>
            <w:r w:rsidRPr="002B2597">
              <w:rPr>
                <w:color w:val="000000"/>
                <w:sz w:val="20"/>
                <w:szCs w:val="20"/>
              </w:rPr>
              <w:t> </w:t>
            </w:r>
          </w:p>
        </w:tc>
        <w:tc>
          <w:tcPr>
            <w:tcW w:w="342"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3FE383B3" w14:textId="77777777">
            <w:pPr>
              <w:jc w:val="center"/>
              <w:rPr>
                <w:color w:val="000000"/>
                <w:sz w:val="20"/>
                <w:szCs w:val="20"/>
              </w:rPr>
            </w:pPr>
            <w:r w:rsidRPr="002B2597">
              <w:rPr>
                <w:color w:val="000000"/>
                <w:sz w:val="20"/>
                <w:szCs w:val="20"/>
              </w:rPr>
              <w:t> </w:t>
            </w:r>
          </w:p>
        </w:tc>
        <w:tc>
          <w:tcPr>
            <w:tcW w:w="417"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164042E5" w14:textId="77777777">
            <w:pPr>
              <w:jc w:val="center"/>
              <w:rPr>
                <w:color w:val="000000"/>
                <w:sz w:val="20"/>
                <w:szCs w:val="20"/>
              </w:rPr>
            </w:pPr>
            <w:r w:rsidRPr="002B2597">
              <w:rPr>
                <w:color w:val="000000"/>
                <w:sz w:val="20"/>
                <w:szCs w:val="20"/>
              </w:rPr>
              <w:t> </w:t>
            </w:r>
          </w:p>
        </w:tc>
        <w:tc>
          <w:tcPr>
            <w:tcW w:w="490"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3A530F01" w14:textId="77777777">
            <w:pPr>
              <w:jc w:val="center"/>
              <w:rPr>
                <w:color w:val="000000"/>
                <w:sz w:val="20"/>
                <w:szCs w:val="20"/>
              </w:rPr>
            </w:pPr>
            <w:r w:rsidRPr="002B2597">
              <w:rPr>
                <w:color w:val="000000"/>
                <w:sz w:val="20"/>
                <w:szCs w:val="20"/>
              </w:rPr>
              <w:t> </w:t>
            </w:r>
          </w:p>
        </w:tc>
        <w:tc>
          <w:tcPr>
            <w:tcW w:w="417"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1F735B9A" w14:textId="77777777">
            <w:pPr>
              <w:jc w:val="center"/>
              <w:rPr>
                <w:color w:val="000000"/>
                <w:sz w:val="20"/>
                <w:szCs w:val="20"/>
              </w:rPr>
            </w:pPr>
            <w:r w:rsidRPr="002B2597">
              <w:rPr>
                <w:color w:val="000000"/>
                <w:sz w:val="20"/>
                <w:szCs w:val="20"/>
              </w:rPr>
              <w:t> </w:t>
            </w:r>
          </w:p>
        </w:tc>
        <w:tc>
          <w:tcPr>
            <w:tcW w:w="445"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278DEC4D" w14:textId="77777777">
            <w:pPr>
              <w:jc w:val="right"/>
              <w:rPr>
                <w:color w:val="000000"/>
                <w:sz w:val="20"/>
                <w:szCs w:val="20"/>
              </w:rPr>
            </w:pPr>
            <w:r w:rsidRPr="002B2597">
              <w:rPr>
                <w:color w:val="000000"/>
                <w:sz w:val="20"/>
                <w:szCs w:val="20"/>
              </w:rPr>
              <w:t> </w:t>
            </w:r>
          </w:p>
        </w:tc>
      </w:tr>
      <w:tr w14:paraId="676495C1" w14:textId="77777777" w:rsidTr="00CC0965">
        <w:tblPrEx>
          <w:tblW w:w="5000" w:type="pct"/>
          <w:tblLook w:val="04A0"/>
        </w:tblPrEx>
        <w:trPr>
          <w:trHeight w:val="315"/>
        </w:trPr>
        <w:tc>
          <w:tcPr>
            <w:tcW w:w="1493" w:type="pct"/>
            <w:tcBorders>
              <w:top w:val="nil"/>
              <w:left w:val="single" w:sz="4" w:space="0" w:color="auto"/>
              <w:bottom w:val="single" w:sz="4" w:space="0" w:color="auto"/>
              <w:right w:val="single" w:sz="4" w:space="0" w:color="auto"/>
            </w:tcBorders>
            <w:shd w:val="clear" w:color="auto" w:fill="auto"/>
            <w:vAlign w:val="center"/>
            <w:hideMark/>
          </w:tcPr>
          <w:p w:rsidR="00CC0965" w:rsidRPr="002B2597" w:rsidP="008C0EA7" w14:paraId="7A646BBE" w14:textId="77777777">
            <w:pPr>
              <w:ind w:firstLine="200" w:firstLineChars="100"/>
              <w:rPr>
                <w:color w:val="000000"/>
                <w:sz w:val="20"/>
                <w:szCs w:val="20"/>
              </w:rPr>
            </w:pPr>
            <w:r w:rsidRPr="002B2597">
              <w:rPr>
                <w:color w:val="000000"/>
                <w:sz w:val="20"/>
                <w:szCs w:val="20"/>
              </w:rPr>
              <w:t xml:space="preserve">Startup, shutdown, malfunction plan </w:t>
            </w:r>
            <w:r w:rsidRPr="002B2597">
              <w:rPr>
                <w:color w:val="000000"/>
                <w:sz w:val="20"/>
                <w:szCs w:val="20"/>
                <w:vertAlign w:val="superscript"/>
              </w:rPr>
              <w:t>d</w:t>
            </w:r>
          </w:p>
        </w:tc>
        <w:tc>
          <w:tcPr>
            <w:tcW w:w="483"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798646EA" w14:textId="77777777">
            <w:pPr>
              <w:jc w:val="center"/>
              <w:rPr>
                <w:color w:val="000000"/>
                <w:sz w:val="20"/>
                <w:szCs w:val="20"/>
              </w:rPr>
            </w:pPr>
            <w:r w:rsidRPr="002B2597">
              <w:rPr>
                <w:color w:val="000000"/>
                <w:sz w:val="20"/>
                <w:szCs w:val="20"/>
              </w:rPr>
              <w:t>2</w:t>
            </w:r>
          </w:p>
        </w:tc>
        <w:tc>
          <w:tcPr>
            <w:tcW w:w="474"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2F5B789E" w14:textId="77777777">
            <w:pPr>
              <w:jc w:val="center"/>
              <w:rPr>
                <w:color w:val="000000"/>
                <w:sz w:val="20"/>
                <w:szCs w:val="20"/>
              </w:rPr>
            </w:pPr>
            <w:r w:rsidRPr="002B2597">
              <w:rPr>
                <w:color w:val="000000"/>
                <w:sz w:val="20"/>
                <w:szCs w:val="20"/>
              </w:rPr>
              <w:t>1</w:t>
            </w:r>
          </w:p>
        </w:tc>
        <w:tc>
          <w:tcPr>
            <w:tcW w:w="385"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632F17BE" w14:textId="77777777">
            <w:pPr>
              <w:jc w:val="center"/>
              <w:rPr>
                <w:color w:val="000000"/>
                <w:sz w:val="20"/>
                <w:szCs w:val="20"/>
              </w:rPr>
            </w:pPr>
            <w:r w:rsidRPr="002B2597">
              <w:rPr>
                <w:color w:val="000000"/>
                <w:sz w:val="20"/>
                <w:szCs w:val="20"/>
              </w:rPr>
              <w:t>2</w:t>
            </w:r>
          </w:p>
        </w:tc>
        <w:tc>
          <w:tcPr>
            <w:tcW w:w="342"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20AEC5C4" w14:textId="77777777">
            <w:pPr>
              <w:jc w:val="center"/>
              <w:rPr>
                <w:color w:val="000000"/>
                <w:sz w:val="20"/>
                <w:szCs w:val="20"/>
              </w:rPr>
            </w:pPr>
            <w:r w:rsidRPr="002B2597">
              <w:rPr>
                <w:color w:val="000000"/>
                <w:sz w:val="20"/>
                <w:szCs w:val="20"/>
              </w:rPr>
              <w:t>0</w:t>
            </w:r>
          </w:p>
        </w:tc>
        <w:tc>
          <w:tcPr>
            <w:tcW w:w="417"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6BE5BFB3" w14:textId="77777777">
            <w:pPr>
              <w:jc w:val="center"/>
              <w:rPr>
                <w:color w:val="000000"/>
                <w:sz w:val="20"/>
                <w:szCs w:val="20"/>
              </w:rPr>
            </w:pPr>
            <w:r w:rsidRPr="002B2597">
              <w:rPr>
                <w:color w:val="000000"/>
                <w:sz w:val="20"/>
                <w:szCs w:val="20"/>
              </w:rPr>
              <w:t>0</w:t>
            </w:r>
          </w:p>
        </w:tc>
        <w:tc>
          <w:tcPr>
            <w:tcW w:w="490"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67F82B83" w14:textId="77777777">
            <w:pPr>
              <w:jc w:val="center"/>
              <w:rPr>
                <w:color w:val="000000"/>
                <w:sz w:val="20"/>
                <w:szCs w:val="20"/>
              </w:rPr>
            </w:pPr>
            <w:r w:rsidRPr="002B2597">
              <w:rPr>
                <w:color w:val="000000"/>
                <w:sz w:val="20"/>
                <w:szCs w:val="20"/>
              </w:rPr>
              <w:t>0</w:t>
            </w:r>
          </w:p>
        </w:tc>
        <w:tc>
          <w:tcPr>
            <w:tcW w:w="417"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36AA399A" w14:textId="77777777">
            <w:pPr>
              <w:jc w:val="center"/>
              <w:rPr>
                <w:color w:val="000000"/>
                <w:sz w:val="20"/>
                <w:szCs w:val="20"/>
              </w:rPr>
            </w:pPr>
            <w:r w:rsidRPr="002B2597">
              <w:rPr>
                <w:color w:val="000000"/>
                <w:sz w:val="20"/>
                <w:szCs w:val="20"/>
              </w:rPr>
              <w:t>0</w:t>
            </w:r>
          </w:p>
        </w:tc>
        <w:tc>
          <w:tcPr>
            <w:tcW w:w="445"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3B7089D5" w14:textId="77777777">
            <w:pPr>
              <w:jc w:val="right"/>
              <w:rPr>
                <w:color w:val="000000"/>
                <w:sz w:val="20"/>
                <w:szCs w:val="20"/>
              </w:rPr>
            </w:pPr>
            <w:r w:rsidRPr="002B2597">
              <w:rPr>
                <w:color w:val="000000"/>
                <w:sz w:val="20"/>
                <w:szCs w:val="20"/>
              </w:rPr>
              <w:t xml:space="preserve">$0 </w:t>
            </w:r>
          </w:p>
        </w:tc>
      </w:tr>
      <w:tr w14:paraId="18E35B8D" w14:textId="77777777" w:rsidTr="00CC0965">
        <w:tblPrEx>
          <w:tblW w:w="5000" w:type="pct"/>
          <w:tblLook w:val="04A0"/>
        </w:tblPrEx>
        <w:trPr>
          <w:trHeight w:val="315"/>
        </w:trPr>
        <w:tc>
          <w:tcPr>
            <w:tcW w:w="1493" w:type="pct"/>
            <w:tcBorders>
              <w:top w:val="nil"/>
              <w:left w:val="single" w:sz="4" w:space="0" w:color="auto"/>
              <w:bottom w:val="single" w:sz="4" w:space="0" w:color="auto"/>
              <w:right w:val="single" w:sz="4" w:space="0" w:color="auto"/>
            </w:tcBorders>
            <w:shd w:val="clear" w:color="auto" w:fill="auto"/>
            <w:vAlign w:val="center"/>
            <w:hideMark/>
          </w:tcPr>
          <w:p w:rsidR="00CC0965" w:rsidRPr="002B2597" w:rsidP="008C0EA7" w14:paraId="18D2041A" w14:textId="77777777">
            <w:pPr>
              <w:ind w:firstLine="200" w:firstLineChars="100"/>
              <w:rPr>
                <w:color w:val="000000"/>
                <w:sz w:val="20"/>
                <w:szCs w:val="20"/>
              </w:rPr>
            </w:pPr>
            <w:r w:rsidRPr="002B2597">
              <w:rPr>
                <w:color w:val="000000"/>
                <w:sz w:val="20"/>
                <w:szCs w:val="20"/>
              </w:rPr>
              <w:t xml:space="preserve">Semiannual excess emissions report </w:t>
            </w:r>
            <w:r w:rsidRPr="002B2597">
              <w:rPr>
                <w:color w:val="000000"/>
                <w:sz w:val="20"/>
                <w:szCs w:val="20"/>
                <w:vertAlign w:val="superscript"/>
              </w:rPr>
              <w:t>e</w:t>
            </w:r>
          </w:p>
        </w:tc>
        <w:tc>
          <w:tcPr>
            <w:tcW w:w="483"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4BF41E01" w14:textId="77777777">
            <w:pPr>
              <w:jc w:val="center"/>
              <w:rPr>
                <w:color w:val="000000"/>
                <w:sz w:val="20"/>
                <w:szCs w:val="20"/>
              </w:rPr>
            </w:pPr>
            <w:r w:rsidRPr="002B2597">
              <w:rPr>
                <w:color w:val="000000"/>
                <w:sz w:val="20"/>
                <w:szCs w:val="20"/>
              </w:rPr>
              <w:t>1</w:t>
            </w:r>
          </w:p>
        </w:tc>
        <w:tc>
          <w:tcPr>
            <w:tcW w:w="474"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6F2FEDEB" w14:textId="77777777">
            <w:pPr>
              <w:jc w:val="center"/>
              <w:rPr>
                <w:color w:val="000000"/>
                <w:sz w:val="20"/>
                <w:szCs w:val="20"/>
              </w:rPr>
            </w:pPr>
            <w:r w:rsidRPr="002B2597">
              <w:rPr>
                <w:color w:val="000000"/>
                <w:sz w:val="20"/>
                <w:szCs w:val="20"/>
              </w:rPr>
              <w:t>2</w:t>
            </w:r>
          </w:p>
        </w:tc>
        <w:tc>
          <w:tcPr>
            <w:tcW w:w="385"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1CC73D3F" w14:textId="77777777">
            <w:pPr>
              <w:jc w:val="center"/>
              <w:rPr>
                <w:color w:val="000000"/>
                <w:sz w:val="20"/>
                <w:szCs w:val="20"/>
              </w:rPr>
            </w:pPr>
            <w:r w:rsidRPr="002B2597">
              <w:rPr>
                <w:color w:val="000000"/>
                <w:sz w:val="20"/>
                <w:szCs w:val="20"/>
              </w:rPr>
              <w:t>2</w:t>
            </w:r>
          </w:p>
        </w:tc>
        <w:tc>
          <w:tcPr>
            <w:tcW w:w="342"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22854A84" w14:textId="77777777">
            <w:pPr>
              <w:jc w:val="center"/>
              <w:rPr>
                <w:color w:val="000000"/>
                <w:sz w:val="20"/>
                <w:szCs w:val="20"/>
              </w:rPr>
            </w:pPr>
            <w:r w:rsidRPr="002B2597">
              <w:rPr>
                <w:color w:val="000000"/>
                <w:sz w:val="20"/>
                <w:szCs w:val="20"/>
              </w:rPr>
              <w:t>4.2</w:t>
            </w:r>
          </w:p>
        </w:tc>
        <w:tc>
          <w:tcPr>
            <w:tcW w:w="417"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6E887F5E" w14:textId="77777777">
            <w:pPr>
              <w:jc w:val="center"/>
              <w:rPr>
                <w:color w:val="000000"/>
                <w:sz w:val="20"/>
                <w:szCs w:val="20"/>
              </w:rPr>
            </w:pPr>
            <w:r w:rsidRPr="002B2597">
              <w:rPr>
                <w:color w:val="000000"/>
                <w:sz w:val="20"/>
                <w:szCs w:val="20"/>
              </w:rPr>
              <w:t>8.4</w:t>
            </w:r>
          </w:p>
        </w:tc>
        <w:tc>
          <w:tcPr>
            <w:tcW w:w="490"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058B3C0D" w14:textId="77777777">
            <w:pPr>
              <w:jc w:val="center"/>
              <w:rPr>
                <w:color w:val="000000"/>
                <w:sz w:val="20"/>
                <w:szCs w:val="20"/>
              </w:rPr>
            </w:pPr>
            <w:r w:rsidRPr="002B2597">
              <w:rPr>
                <w:color w:val="000000"/>
                <w:sz w:val="20"/>
                <w:szCs w:val="20"/>
              </w:rPr>
              <w:t>0.42</w:t>
            </w:r>
          </w:p>
        </w:tc>
        <w:tc>
          <w:tcPr>
            <w:tcW w:w="417"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498B7EC9" w14:textId="77777777">
            <w:pPr>
              <w:jc w:val="center"/>
              <w:rPr>
                <w:color w:val="000000"/>
                <w:sz w:val="20"/>
                <w:szCs w:val="20"/>
              </w:rPr>
            </w:pPr>
            <w:r w:rsidRPr="002B2597">
              <w:rPr>
                <w:color w:val="000000"/>
                <w:sz w:val="20"/>
                <w:szCs w:val="20"/>
              </w:rPr>
              <w:t>0.84</w:t>
            </w:r>
          </w:p>
        </w:tc>
        <w:tc>
          <w:tcPr>
            <w:tcW w:w="445"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078BCA7A" w14:textId="77777777">
            <w:pPr>
              <w:jc w:val="right"/>
              <w:rPr>
                <w:color w:val="000000"/>
                <w:sz w:val="20"/>
                <w:szCs w:val="20"/>
              </w:rPr>
            </w:pPr>
            <w:r w:rsidRPr="002B2597">
              <w:rPr>
                <w:color w:val="000000"/>
                <w:sz w:val="20"/>
                <w:szCs w:val="20"/>
              </w:rPr>
              <w:t xml:space="preserve">$664.74 </w:t>
            </w:r>
          </w:p>
        </w:tc>
      </w:tr>
      <w:tr w14:paraId="196F3C3C" w14:textId="77777777" w:rsidTr="00CC0965">
        <w:tblPrEx>
          <w:tblW w:w="5000" w:type="pct"/>
          <w:tblLook w:val="04A0"/>
        </w:tblPrEx>
        <w:trPr>
          <w:trHeight w:val="315"/>
        </w:trPr>
        <w:tc>
          <w:tcPr>
            <w:tcW w:w="1493" w:type="pct"/>
            <w:tcBorders>
              <w:top w:val="nil"/>
              <w:left w:val="single" w:sz="4" w:space="0" w:color="auto"/>
              <w:bottom w:val="single" w:sz="4" w:space="0" w:color="auto"/>
              <w:right w:val="single" w:sz="4" w:space="0" w:color="auto"/>
            </w:tcBorders>
            <w:shd w:val="clear" w:color="auto" w:fill="auto"/>
            <w:vAlign w:val="center"/>
            <w:hideMark/>
          </w:tcPr>
          <w:p w:rsidR="00CC0965" w:rsidRPr="002B2597" w:rsidP="008C0EA7" w14:paraId="653BF0A9" w14:textId="77777777">
            <w:pPr>
              <w:ind w:firstLine="200" w:firstLineChars="100"/>
              <w:rPr>
                <w:color w:val="000000"/>
                <w:sz w:val="20"/>
                <w:szCs w:val="20"/>
              </w:rPr>
            </w:pPr>
            <w:r w:rsidRPr="002B2597">
              <w:rPr>
                <w:color w:val="000000"/>
                <w:sz w:val="20"/>
                <w:szCs w:val="20"/>
              </w:rPr>
              <w:t xml:space="preserve">Annual performance test report for Hg emission </w:t>
            </w:r>
            <w:r w:rsidRPr="002B2597">
              <w:rPr>
                <w:color w:val="000000"/>
                <w:sz w:val="20"/>
                <w:szCs w:val="20"/>
                <w:vertAlign w:val="superscript"/>
              </w:rPr>
              <w:t>f</w:t>
            </w:r>
          </w:p>
        </w:tc>
        <w:tc>
          <w:tcPr>
            <w:tcW w:w="483"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478C6553" w14:textId="77777777">
            <w:pPr>
              <w:jc w:val="center"/>
              <w:rPr>
                <w:color w:val="000000"/>
                <w:sz w:val="20"/>
                <w:szCs w:val="20"/>
              </w:rPr>
            </w:pPr>
            <w:r w:rsidRPr="002B2597">
              <w:rPr>
                <w:color w:val="000000"/>
                <w:sz w:val="20"/>
                <w:szCs w:val="20"/>
              </w:rPr>
              <w:t>1</w:t>
            </w:r>
          </w:p>
        </w:tc>
        <w:tc>
          <w:tcPr>
            <w:tcW w:w="474"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70180A80" w14:textId="77777777">
            <w:pPr>
              <w:jc w:val="center"/>
              <w:rPr>
                <w:color w:val="000000"/>
                <w:sz w:val="20"/>
                <w:szCs w:val="20"/>
              </w:rPr>
            </w:pPr>
            <w:r w:rsidRPr="002B2597">
              <w:rPr>
                <w:color w:val="000000"/>
                <w:sz w:val="20"/>
                <w:szCs w:val="20"/>
              </w:rPr>
              <w:t>1</w:t>
            </w:r>
          </w:p>
        </w:tc>
        <w:tc>
          <w:tcPr>
            <w:tcW w:w="385"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6557B92C" w14:textId="77777777">
            <w:pPr>
              <w:jc w:val="center"/>
              <w:rPr>
                <w:color w:val="000000"/>
                <w:sz w:val="20"/>
                <w:szCs w:val="20"/>
              </w:rPr>
            </w:pPr>
            <w:r w:rsidRPr="002B2597">
              <w:rPr>
                <w:color w:val="000000"/>
                <w:sz w:val="20"/>
                <w:szCs w:val="20"/>
              </w:rPr>
              <w:t>1</w:t>
            </w:r>
          </w:p>
        </w:tc>
        <w:tc>
          <w:tcPr>
            <w:tcW w:w="342"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7167C3BE" w14:textId="77777777">
            <w:pPr>
              <w:jc w:val="center"/>
              <w:rPr>
                <w:color w:val="000000"/>
                <w:sz w:val="20"/>
                <w:szCs w:val="20"/>
              </w:rPr>
            </w:pPr>
            <w:r w:rsidRPr="002B2597">
              <w:rPr>
                <w:color w:val="000000"/>
                <w:sz w:val="20"/>
                <w:szCs w:val="20"/>
              </w:rPr>
              <w:t>17</w:t>
            </w:r>
          </w:p>
        </w:tc>
        <w:tc>
          <w:tcPr>
            <w:tcW w:w="417"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34CD4C68" w14:textId="77777777">
            <w:pPr>
              <w:jc w:val="center"/>
              <w:rPr>
                <w:color w:val="000000"/>
                <w:sz w:val="20"/>
                <w:szCs w:val="20"/>
              </w:rPr>
            </w:pPr>
            <w:r w:rsidRPr="002B2597">
              <w:rPr>
                <w:color w:val="000000"/>
                <w:sz w:val="20"/>
                <w:szCs w:val="20"/>
              </w:rPr>
              <w:t>17</w:t>
            </w:r>
          </w:p>
        </w:tc>
        <w:tc>
          <w:tcPr>
            <w:tcW w:w="490"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42F8F957" w14:textId="77777777">
            <w:pPr>
              <w:jc w:val="center"/>
              <w:rPr>
                <w:color w:val="000000"/>
                <w:sz w:val="20"/>
                <w:szCs w:val="20"/>
              </w:rPr>
            </w:pPr>
            <w:r w:rsidRPr="002B2597">
              <w:rPr>
                <w:color w:val="000000"/>
                <w:sz w:val="20"/>
                <w:szCs w:val="20"/>
              </w:rPr>
              <w:t>0.85</w:t>
            </w:r>
          </w:p>
        </w:tc>
        <w:tc>
          <w:tcPr>
            <w:tcW w:w="417"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648243FD" w14:textId="77777777">
            <w:pPr>
              <w:jc w:val="center"/>
              <w:rPr>
                <w:color w:val="000000"/>
                <w:sz w:val="20"/>
                <w:szCs w:val="20"/>
              </w:rPr>
            </w:pPr>
            <w:r w:rsidRPr="002B2597">
              <w:rPr>
                <w:color w:val="000000"/>
                <w:sz w:val="20"/>
                <w:szCs w:val="20"/>
              </w:rPr>
              <w:t>1.7</w:t>
            </w:r>
          </w:p>
        </w:tc>
        <w:tc>
          <w:tcPr>
            <w:tcW w:w="445"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74772264" w14:textId="77777777">
            <w:pPr>
              <w:jc w:val="right"/>
              <w:rPr>
                <w:color w:val="000000"/>
                <w:sz w:val="20"/>
                <w:szCs w:val="20"/>
              </w:rPr>
            </w:pPr>
            <w:r w:rsidRPr="002B2597">
              <w:rPr>
                <w:color w:val="000000"/>
                <w:sz w:val="20"/>
                <w:szCs w:val="20"/>
              </w:rPr>
              <w:t xml:space="preserve">$1,345.30 </w:t>
            </w:r>
          </w:p>
        </w:tc>
      </w:tr>
      <w:tr w14:paraId="724246CE" w14:textId="77777777" w:rsidTr="00CC0965">
        <w:tblPrEx>
          <w:tblW w:w="5000" w:type="pct"/>
          <w:tblLook w:val="04A0"/>
        </w:tblPrEx>
        <w:trPr>
          <w:trHeight w:val="315"/>
        </w:trPr>
        <w:tc>
          <w:tcPr>
            <w:tcW w:w="1493" w:type="pct"/>
            <w:tcBorders>
              <w:top w:val="nil"/>
              <w:left w:val="single" w:sz="4" w:space="0" w:color="auto"/>
              <w:bottom w:val="single" w:sz="4" w:space="0" w:color="auto"/>
              <w:right w:val="single" w:sz="4" w:space="0" w:color="auto"/>
            </w:tcBorders>
            <w:shd w:val="clear" w:color="auto" w:fill="auto"/>
            <w:vAlign w:val="center"/>
            <w:hideMark/>
          </w:tcPr>
          <w:p w:rsidR="00CC0965" w:rsidRPr="002B2597" w:rsidP="008C0EA7" w14:paraId="5B667E78" w14:textId="77777777">
            <w:pPr>
              <w:rPr>
                <w:b/>
                <w:bCs/>
                <w:color w:val="000000"/>
                <w:sz w:val="20"/>
                <w:szCs w:val="20"/>
              </w:rPr>
            </w:pPr>
            <w:r w:rsidRPr="002B2597">
              <w:rPr>
                <w:b/>
                <w:bCs/>
                <w:color w:val="000000"/>
                <w:sz w:val="20"/>
                <w:szCs w:val="20"/>
              </w:rPr>
              <w:t xml:space="preserve">TOTAL COST (rounded) </w:t>
            </w:r>
            <w:r w:rsidRPr="002B2597">
              <w:rPr>
                <w:b/>
                <w:bCs/>
                <w:color w:val="000000"/>
                <w:sz w:val="20"/>
                <w:szCs w:val="20"/>
                <w:vertAlign w:val="superscript"/>
              </w:rPr>
              <w:t>g</w:t>
            </w:r>
          </w:p>
        </w:tc>
        <w:tc>
          <w:tcPr>
            <w:tcW w:w="483"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060EB609" w14:textId="77777777">
            <w:pPr>
              <w:rPr>
                <w:b/>
                <w:bCs/>
                <w:color w:val="000000"/>
                <w:sz w:val="20"/>
                <w:szCs w:val="20"/>
              </w:rPr>
            </w:pPr>
            <w:r w:rsidRPr="002B2597">
              <w:rPr>
                <w:b/>
                <w:bCs/>
                <w:color w:val="000000"/>
                <w:sz w:val="20"/>
                <w:szCs w:val="20"/>
              </w:rPr>
              <w:t> </w:t>
            </w:r>
          </w:p>
        </w:tc>
        <w:tc>
          <w:tcPr>
            <w:tcW w:w="474"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7D6A3515" w14:textId="77777777">
            <w:pPr>
              <w:rPr>
                <w:b/>
                <w:bCs/>
                <w:color w:val="000000"/>
                <w:sz w:val="20"/>
                <w:szCs w:val="20"/>
              </w:rPr>
            </w:pPr>
            <w:r w:rsidRPr="002B2597">
              <w:rPr>
                <w:b/>
                <w:bCs/>
                <w:color w:val="000000"/>
                <w:sz w:val="20"/>
                <w:szCs w:val="20"/>
              </w:rPr>
              <w:t> </w:t>
            </w:r>
          </w:p>
        </w:tc>
        <w:tc>
          <w:tcPr>
            <w:tcW w:w="385"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6E836136" w14:textId="77777777">
            <w:pPr>
              <w:rPr>
                <w:b/>
                <w:bCs/>
                <w:color w:val="000000"/>
                <w:sz w:val="20"/>
                <w:szCs w:val="20"/>
              </w:rPr>
            </w:pPr>
            <w:r w:rsidRPr="002B2597">
              <w:rPr>
                <w:b/>
                <w:bCs/>
                <w:color w:val="000000"/>
                <w:sz w:val="20"/>
                <w:szCs w:val="20"/>
              </w:rPr>
              <w:t> </w:t>
            </w:r>
          </w:p>
        </w:tc>
        <w:tc>
          <w:tcPr>
            <w:tcW w:w="342"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413534C0" w14:textId="77777777">
            <w:pPr>
              <w:rPr>
                <w:b/>
                <w:bCs/>
                <w:color w:val="000000"/>
                <w:sz w:val="20"/>
                <w:szCs w:val="20"/>
              </w:rPr>
            </w:pPr>
            <w:r w:rsidRPr="002B2597">
              <w:rPr>
                <w:b/>
                <w:bCs/>
                <w:color w:val="000000"/>
                <w:sz w:val="20"/>
                <w:szCs w:val="20"/>
              </w:rPr>
              <w:t> </w:t>
            </w:r>
          </w:p>
        </w:tc>
        <w:tc>
          <w:tcPr>
            <w:tcW w:w="1325" w:type="pct"/>
            <w:gridSpan w:val="6"/>
            <w:tcBorders>
              <w:top w:val="single" w:sz="4" w:space="0" w:color="auto"/>
              <w:left w:val="nil"/>
              <w:bottom w:val="single" w:sz="4" w:space="0" w:color="auto"/>
              <w:right w:val="single" w:sz="4" w:space="0" w:color="auto"/>
            </w:tcBorders>
            <w:shd w:val="clear" w:color="auto" w:fill="auto"/>
            <w:vAlign w:val="center"/>
            <w:hideMark/>
          </w:tcPr>
          <w:p w:rsidR="00CC0965" w:rsidRPr="002B2597" w:rsidP="008C0EA7" w14:paraId="31358563" w14:textId="77777777">
            <w:pPr>
              <w:jc w:val="center"/>
              <w:rPr>
                <w:b/>
                <w:bCs/>
                <w:color w:val="000000"/>
                <w:sz w:val="20"/>
                <w:szCs w:val="20"/>
              </w:rPr>
            </w:pPr>
            <w:r w:rsidRPr="002B2597">
              <w:rPr>
                <w:b/>
                <w:bCs/>
                <w:color w:val="000000"/>
                <w:sz w:val="20"/>
                <w:szCs w:val="20"/>
              </w:rPr>
              <w:t>48</w:t>
            </w:r>
          </w:p>
        </w:tc>
        <w:tc>
          <w:tcPr>
            <w:tcW w:w="445" w:type="pct"/>
            <w:gridSpan w:val="2"/>
            <w:tcBorders>
              <w:top w:val="nil"/>
              <w:left w:val="nil"/>
              <w:bottom w:val="single" w:sz="4" w:space="0" w:color="auto"/>
              <w:right w:val="single" w:sz="4" w:space="0" w:color="auto"/>
            </w:tcBorders>
            <w:shd w:val="clear" w:color="auto" w:fill="auto"/>
            <w:vAlign w:val="center"/>
            <w:hideMark/>
          </w:tcPr>
          <w:p w:rsidR="00CC0965" w:rsidRPr="002B2597" w:rsidP="008C0EA7" w14:paraId="6D4B066C" w14:textId="77777777">
            <w:pPr>
              <w:jc w:val="right"/>
              <w:rPr>
                <w:b/>
                <w:bCs/>
                <w:color w:val="000000"/>
                <w:sz w:val="20"/>
                <w:szCs w:val="20"/>
              </w:rPr>
            </w:pPr>
            <w:r w:rsidRPr="002B2597">
              <w:rPr>
                <w:b/>
                <w:bCs/>
                <w:color w:val="000000"/>
                <w:sz w:val="20"/>
                <w:szCs w:val="20"/>
              </w:rPr>
              <w:t xml:space="preserve">$3,280 </w:t>
            </w:r>
          </w:p>
        </w:tc>
      </w:tr>
      <w:tr w14:paraId="0BC24D1E" w14:textId="77777777" w:rsidTr="00CC0965">
        <w:tblPrEx>
          <w:tblW w:w="5000" w:type="pct"/>
          <w:tblLook w:val="04A0"/>
        </w:tblPrEx>
        <w:trPr>
          <w:trHeight w:val="300"/>
        </w:trPr>
        <w:tc>
          <w:tcPr>
            <w:tcW w:w="1633" w:type="pct"/>
            <w:gridSpan w:val="2"/>
            <w:tcBorders>
              <w:top w:val="nil"/>
              <w:left w:val="nil"/>
              <w:bottom w:val="nil"/>
              <w:right w:val="nil"/>
            </w:tcBorders>
            <w:shd w:val="clear" w:color="auto" w:fill="auto"/>
            <w:noWrap/>
            <w:vAlign w:val="center"/>
            <w:hideMark/>
          </w:tcPr>
          <w:p w:rsidR="00CC0965" w:rsidRPr="002B2597" w:rsidP="008C0EA7" w14:paraId="73A34A7D" w14:textId="77777777">
            <w:pPr>
              <w:rPr>
                <w:b/>
                <w:bCs/>
                <w:color w:val="000000"/>
                <w:sz w:val="20"/>
                <w:szCs w:val="20"/>
              </w:rPr>
            </w:pPr>
            <w:r w:rsidRPr="002B2597">
              <w:rPr>
                <w:b/>
                <w:bCs/>
                <w:color w:val="000000"/>
                <w:sz w:val="20"/>
                <w:szCs w:val="20"/>
              </w:rPr>
              <w:t>Assumptions:</w:t>
            </w:r>
          </w:p>
        </w:tc>
        <w:tc>
          <w:tcPr>
            <w:tcW w:w="497" w:type="pct"/>
            <w:gridSpan w:val="2"/>
            <w:tcBorders>
              <w:top w:val="nil"/>
              <w:left w:val="nil"/>
              <w:bottom w:val="nil"/>
              <w:right w:val="nil"/>
            </w:tcBorders>
            <w:shd w:val="clear" w:color="auto" w:fill="auto"/>
            <w:noWrap/>
            <w:vAlign w:val="bottom"/>
            <w:hideMark/>
          </w:tcPr>
          <w:p w:rsidR="00CC0965" w:rsidRPr="002B2597" w:rsidP="008C0EA7" w14:paraId="5A6D8EC6" w14:textId="77777777">
            <w:pPr>
              <w:rPr>
                <w:b/>
                <w:bCs/>
                <w:color w:val="000000"/>
                <w:sz w:val="20"/>
                <w:szCs w:val="20"/>
              </w:rPr>
            </w:pPr>
          </w:p>
        </w:tc>
        <w:tc>
          <w:tcPr>
            <w:tcW w:w="394" w:type="pct"/>
            <w:gridSpan w:val="2"/>
            <w:tcBorders>
              <w:top w:val="nil"/>
              <w:left w:val="nil"/>
              <w:bottom w:val="nil"/>
              <w:right w:val="nil"/>
            </w:tcBorders>
            <w:shd w:val="clear" w:color="auto" w:fill="auto"/>
            <w:noWrap/>
            <w:vAlign w:val="bottom"/>
            <w:hideMark/>
          </w:tcPr>
          <w:p w:rsidR="00CC0965" w:rsidRPr="002B2597" w:rsidP="008C0EA7" w14:paraId="380B3B64" w14:textId="77777777">
            <w:pPr>
              <w:rPr>
                <w:sz w:val="20"/>
                <w:szCs w:val="20"/>
              </w:rPr>
            </w:pPr>
          </w:p>
        </w:tc>
        <w:tc>
          <w:tcPr>
            <w:tcW w:w="394" w:type="pct"/>
            <w:gridSpan w:val="2"/>
            <w:tcBorders>
              <w:top w:val="nil"/>
              <w:left w:val="nil"/>
              <w:bottom w:val="nil"/>
              <w:right w:val="nil"/>
            </w:tcBorders>
            <w:shd w:val="clear" w:color="auto" w:fill="auto"/>
            <w:noWrap/>
            <w:vAlign w:val="bottom"/>
            <w:hideMark/>
          </w:tcPr>
          <w:p w:rsidR="00CC0965" w:rsidRPr="002B2597" w:rsidP="008C0EA7" w14:paraId="21F22FAA" w14:textId="77777777">
            <w:pPr>
              <w:rPr>
                <w:sz w:val="20"/>
                <w:szCs w:val="20"/>
              </w:rPr>
            </w:pPr>
          </w:p>
        </w:tc>
        <w:tc>
          <w:tcPr>
            <w:tcW w:w="358" w:type="pct"/>
            <w:gridSpan w:val="2"/>
            <w:tcBorders>
              <w:top w:val="nil"/>
              <w:left w:val="nil"/>
              <w:bottom w:val="nil"/>
              <w:right w:val="nil"/>
            </w:tcBorders>
            <w:shd w:val="clear" w:color="auto" w:fill="auto"/>
            <w:noWrap/>
            <w:vAlign w:val="bottom"/>
            <w:hideMark/>
          </w:tcPr>
          <w:p w:rsidR="00CC0965" w:rsidRPr="002B2597" w:rsidP="008C0EA7" w14:paraId="631B5968" w14:textId="77777777">
            <w:pPr>
              <w:rPr>
                <w:sz w:val="20"/>
                <w:szCs w:val="20"/>
              </w:rPr>
            </w:pPr>
          </w:p>
        </w:tc>
        <w:tc>
          <w:tcPr>
            <w:tcW w:w="416" w:type="pct"/>
            <w:gridSpan w:val="2"/>
            <w:tcBorders>
              <w:top w:val="nil"/>
              <w:left w:val="nil"/>
              <w:bottom w:val="nil"/>
              <w:right w:val="nil"/>
            </w:tcBorders>
            <w:shd w:val="clear" w:color="auto" w:fill="auto"/>
            <w:noWrap/>
            <w:vAlign w:val="bottom"/>
            <w:hideMark/>
          </w:tcPr>
          <w:p w:rsidR="00CC0965" w:rsidRPr="002B2597" w:rsidP="008C0EA7" w14:paraId="2B41E404" w14:textId="77777777">
            <w:pPr>
              <w:rPr>
                <w:sz w:val="20"/>
                <w:szCs w:val="20"/>
              </w:rPr>
            </w:pPr>
          </w:p>
        </w:tc>
        <w:tc>
          <w:tcPr>
            <w:tcW w:w="453" w:type="pct"/>
            <w:gridSpan w:val="2"/>
            <w:tcBorders>
              <w:top w:val="nil"/>
              <w:left w:val="nil"/>
              <w:bottom w:val="nil"/>
              <w:right w:val="nil"/>
            </w:tcBorders>
            <w:shd w:val="clear" w:color="auto" w:fill="auto"/>
            <w:noWrap/>
            <w:vAlign w:val="bottom"/>
            <w:hideMark/>
          </w:tcPr>
          <w:p w:rsidR="00CC0965" w:rsidRPr="002B2597" w:rsidP="008C0EA7" w14:paraId="19D54340" w14:textId="77777777">
            <w:pPr>
              <w:rPr>
                <w:sz w:val="20"/>
                <w:szCs w:val="20"/>
              </w:rPr>
            </w:pPr>
          </w:p>
        </w:tc>
        <w:tc>
          <w:tcPr>
            <w:tcW w:w="394" w:type="pct"/>
            <w:gridSpan w:val="2"/>
            <w:tcBorders>
              <w:top w:val="nil"/>
              <w:left w:val="nil"/>
              <w:bottom w:val="nil"/>
              <w:right w:val="nil"/>
            </w:tcBorders>
            <w:shd w:val="clear" w:color="auto" w:fill="auto"/>
            <w:noWrap/>
            <w:vAlign w:val="bottom"/>
            <w:hideMark/>
          </w:tcPr>
          <w:p w:rsidR="00CC0965" w:rsidRPr="002B2597" w:rsidP="008C0EA7" w14:paraId="2581A0E7" w14:textId="77777777">
            <w:pPr>
              <w:rPr>
                <w:sz w:val="20"/>
                <w:szCs w:val="20"/>
              </w:rPr>
            </w:pPr>
          </w:p>
        </w:tc>
        <w:tc>
          <w:tcPr>
            <w:tcW w:w="460" w:type="pct"/>
            <w:tcBorders>
              <w:top w:val="nil"/>
              <w:left w:val="nil"/>
              <w:bottom w:val="nil"/>
              <w:right w:val="nil"/>
            </w:tcBorders>
            <w:shd w:val="clear" w:color="auto" w:fill="auto"/>
            <w:noWrap/>
            <w:vAlign w:val="bottom"/>
            <w:hideMark/>
          </w:tcPr>
          <w:p w:rsidR="00CC0965" w:rsidRPr="002B2597" w:rsidP="008C0EA7" w14:paraId="79068FA9" w14:textId="77777777">
            <w:pPr>
              <w:rPr>
                <w:sz w:val="20"/>
                <w:szCs w:val="20"/>
              </w:rPr>
            </w:pPr>
          </w:p>
        </w:tc>
      </w:tr>
      <w:tr w14:paraId="2297AC3C" w14:textId="77777777" w:rsidTr="00CC0965">
        <w:tblPrEx>
          <w:tblW w:w="5000" w:type="pct"/>
          <w:tblLook w:val="04A0"/>
        </w:tblPrEx>
        <w:trPr>
          <w:trHeight w:val="300"/>
        </w:trPr>
        <w:tc>
          <w:tcPr>
            <w:tcW w:w="5000" w:type="pct"/>
            <w:gridSpan w:val="17"/>
            <w:tcBorders>
              <w:top w:val="nil"/>
              <w:left w:val="nil"/>
              <w:bottom w:val="nil"/>
              <w:right w:val="nil"/>
            </w:tcBorders>
            <w:shd w:val="clear" w:color="auto" w:fill="auto"/>
            <w:hideMark/>
          </w:tcPr>
          <w:p w:rsidR="00CC0965" w:rsidRPr="002B2597" w:rsidP="008C0EA7" w14:paraId="38154227" w14:textId="77777777">
            <w:pPr>
              <w:rPr>
                <w:color w:val="000000"/>
                <w:sz w:val="20"/>
                <w:szCs w:val="20"/>
              </w:rPr>
            </w:pPr>
            <w:r w:rsidRPr="002B2597">
              <w:rPr>
                <w:color w:val="000000"/>
                <w:sz w:val="20"/>
                <w:szCs w:val="20"/>
                <w:vertAlign w:val="superscript"/>
              </w:rPr>
              <w:t>a</w:t>
            </w:r>
            <w:r>
              <w:rPr>
                <w:color w:val="000000"/>
                <w:sz w:val="20"/>
                <w:szCs w:val="20"/>
              </w:rPr>
              <w:t xml:space="preserve"> </w:t>
            </w:r>
            <w:r w:rsidRPr="002B2597">
              <w:rPr>
                <w:color w:val="000000"/>
                <w:sz w:val="20"/>
                <w:szCs w:val="20"/>
              </w:rPr>
              <w:t>We assume there are 21 existing facilities subject to the rule and no additional sources will become subject to the rule during the three-year period of this ICR.</w:t>
            </w:r>
          </w:p>
        </w:tc>
      </w:tr>
      <w:tr w14:paraId="2339521E" w14:textId="77777777" w:rsidTr="00CC0965">
        <w:tblPrEx>
          <w:tblW w:w="5000" w:type="pct"/>
          <w:tblLook w:val="04A0"/>
        </w:tblPrEx>
        <w:trPr>
          <w:trHeight w:val="945"/>
        </w:trPr>
        <w:tc>
          <w:tcPr>
            <w:tcW w:w="5000" w:type="pct"/>
            <w:gridSpan w:val="17"/>
            <w:tcBorders>
              <w:top w:val="nil"/>
              <w:left w:val="nil"/>
              <w:bottom w:val="nil"/>
              <w:right w:val="nil"/>
            </w:tcBorders>
            <w:shd w:val="clear" w:color="auto" w:fill="auto"/>
            <w:hideMark/>
          </w:tcPr>
          <w:p w:rsidR="00CC0965" w:rsidRPr="002B2597" w:rsidP="008C0EA7" w14:paraId="2FB73A03" w14:textId="77777777">
            <w:pPr>
              <w:rPr>
                <w:color w:val="000000"/>
                <w:sz w:val="20"/>
                <w:szCs w:val="20"/>
              </w:rPr>
            </w:pPr>
            <w:r w:rsidRPr="002B2597">
              <w:rPr>
                <w:color w:val="000000"/>
                <w:sz w:val="20"/>
                <w:szCs w:val="20"/>
                <w:vertAlign w:val="superscript"/>
              </w:rPr>
              <w:t>b</w:t>
            </w:r>
            <w:r>
              <w:rPr>
                <w:color w:val="000000"/>
                <w:sz w:val="20"/>
                <w:szCs w:val="20"/>
                <w:vertAlign w:val="superscript"/>
              </w:rPr>
              <w:t xml:space="preserve"> </w:t>
            </w:r>
            <w:r w:rsidRPr="002B2597">
              <w:rPr>
                <w:color w:val="000000"/>
                <w:sz w:val="20"/>
                <w:szCs w:val="20"/>
              </w:rPr>
              <w:t>This ICR uses the following labor rates:</w:t>
            </w:r>
            <w:r>
              <w:rPr>
                <w:color w:val="000000"/>
                <w:sz w:val="20"/>
                <w:szCs w:val="20"/>
              </w:rPr>
              <w:t xml:space="preserve"> </w:t>
            </w:r>
            <w:r w:rsidRPr="002B2597">
              <w:rPr>
                <w:color w:val="000000"/>
                <w:sz w:val="20"/>
                <w:szCs w:val="20"/>
              </w:rPr>
              <w:t>$73.46 for managerial, $54.51 for technical,</w:t>
            </w:r>
            <w:r>
              <w:rPr>
                <w:color w:val="000000"/>
                <w:sz w:val="20"/>
                <w:szCs w:val="20"/>
              </w:rPr>
              <w:t xml:space="preserve"> </w:t>
            </w:r>
            <w:r w:rsidRPr="002B2597">
              <w:rPr>
                <w:color w:val="000000"/>
                <w:sz w:val="20"/>
                <w:szCs w:val="20"/>
              </w:rPr>
              <w:t xml:space="preserve">and $29.50 for clerical labor. </w:t>
            </w:r>
            <w:r w:rsidRPr="006E0B52">
              <w:rPr>
                <w:color w:val="000000"/>
                <w:sz w:val="20"/>
                <w:szCs w:val="20"/>
              </w:rPr>
              <w:t>These rates are from the Office of Personnel Management (OPM), 2023 General Schedule, which excludes locality rates of pay. The rates have been increased by 60 percent to account for the benefit packages available to government employees.</w:t>
            </w:r>
          </w:p>
        </w:tc>
      </w:tr>
      <w:tr w14:paraId="297F1070" w14:textId="77777777" w:rsidTr="00CC0965">
        <w:tblPrEx>
          <w:tblW w:w="5000" w:type="pct"/>
          <w:tblLook w:val="04A0"/>
        </w:tblPrEx>
        <w:trPr>
          <w:trHeight w:val="315"/>
        </w:trPr>
        <w:tc>
          <w:tcPr>
            <w:tcW w:w="5000" w:type="pct"/>
            <w:gridSpan w:val="17"/>
            <w:tcBorders>
              <w:top w:val="nil"/>
              <w:left w:val="nil"/>
              <w:bottom w:val="nil"/>
              <w:right w:val="nil"/>
            </w:tcBorders>
            <w:shd w:val="clear" w:color="auto" w:fill="auto"/>
            <w:hideMark/>
          </w:tcPr>
          <w:p w:rsidR="00CC0965" w:rsidRPr="002B2597" w:rsidP="008C0EA7" w14:paraId="6910183F" w14:textId="77777777">
            <w:pPr>
              <w:rPr>
                <w:color w:val="000000"/>
                <w:sz w:val="20"/>
                <w:szCs w:val="20"/>
              </w:rPr>
            </w:pPr>
            <w:r w:rsidRPr="002B2597">
              <w:rPr>
                <w:color w:val="000000"/>
                <w:sz w:val="20"/>
                <w:szCs w:val="20"/>
                <w:vertAlign w:val="superscript"/>
              </w:rPr>
              <w:t>c</w:t>
            </w:r>
            <w:r>
              <w:rPr>
                <w:color w:val="000000"/>
                <w:sz w:val="20"/>
                <w:szCs w:val="20"/>
              </w:rPr>
              <w:t xml:space="preserve"> </w:t>
            </w:r>
            <w:r w:rsidRPr="002B2597">
              <w:rPr>
                <w:color w:val="000000"/>
                <w:sz w:val="20"/>
                <w:szCs w:val="20"/>
              </w:rPr>
              <w:t>Assumes Agency staff will observe the performance test of one affected plant per year.</w:t>
            </w:r>
          </w:p>
        </w:tc>
      </w:tr>
      <w:tr w14:paraId="2EACB4E8" w14:textId="77777777" w:rsidTr="00CC0965">
        <w:tblPrEx>
          <w:tblW w:w="5000" w:type="pct"/>
          <w:tblLook w:val="04A0"/>
        </w:tblPrEx>
        <w:trPr>
          <w:trHeight w:val="315"/>
        </w:trPr>
        <w:tc>
          <w:tcPr>
            <w:tcW w:w="5000" w:type="pct"/>
            <w:gridSpan w:val="17"/>
            <w:tcBorders>
              <w:top w:val="nil"/>
              <w:left w:val="nil"/>
              <w:bottom w:val="nil"/>
              <w:right w:val="nil"/>
            </w:tcBorders>
            <w:shd w:val="clear" w:color="auto" w:fill="auto"/>
            <w:hideMark/>
          </w:tcPr>
          <w:p w:rsidR="00CC0965" w:rsidRPr="002B2597" w:rsidP="008C0EA7" w14:paraId="0AA67394" w14:textId="77777777">
            <w:pPr>
              <w:rPr>
                <w:color w:val="000000"/>
                <w:sz w:val="20"/>
                <w:szCs w:val="20"/>
              </w:rPr>
            </w:pPr>
            <w:r w:rsidRPr="002B2597">
              <w:rPr>
                <w:color w:val="000000"/>
                <w:sz w:val="20"/>
                <w:szCs w:val="20"/>
                <w:vertAlign w:val="superscript"/>
              </w:rPr>
              <w:t>d</w:t>
            </w:r>
            <w:r>
              <w:rPr>
                <w:color w:val="000000"/>
                <w:sz w:val="20"/>
                <w:szCs w:val="20"/>
                <w:vertAlign w:val="superscript"/>
              </w:rPr>
              <w:t xml:space="preserve"> </w:t>
            </w:r>
            <w:r w:rsidRPr="002B2597">
              <w:rPr>
                <w:color w:val="000000"/>
                <w:sz w:val="20"/>
                <w:szCs w:val="20"/>
              </w:rPr>
              <w:t>These requirements apply only to new sources.</w:t>
            </w:r>
          </w:p>
        </w:tc>
      </w:tr>
      <w:tr w14:paraId="7C585312" w14:textId="77777777" w:rsidTr="00CC0965">
        <w:tblPrEx>
          <w:tblW w:w="5000" w:type="pct"/>
          <w:tblLook w:val="04A0"/>
        </w:tblPrEx>
        <w:trPr>
          <w:trHeight w:val="315"/>
        </w:trPr>
        <w:tc>
          <w:tcPr>
            <w:tcW w:w="5000" w:type="pct"/>
            <w:gridSpan w:val="17"/>
            <w:tcBorders>
              <w:top w:val="nil"/>
              <w:left w:val="nil"/>
              <w:bottom w:val="nil"/>
              <w:right w:val="nil"/>
            </w:tcBorders>
            <w:shd w:val="clear" w:color="auto" w:fill="auto"/>
            <w:hideMark/>
          </w:tcPr>
          <w:p w:rsidR="00CC0965" w:rsidRPr="002B2597" w:rsidP="008C0EA7" w14:paraId="32A4EE57" w14:textId="77777777">
            <w:pPr>
              <w:rPr>
                <w:color w:val="000000"/>
                <w:sz w:val="20"/>
                <w:szCs w:val="20"/>
              </w:rPr>
            </w:pPr>
            <w:r w:rsidRPr="002B2597">
              <w:rPr>
                <w:color w:val="000000"/>
                <w:sz w:val="20"/>
                <w:szCs w:val="20"/>
                <w:vertAlign w:val="superscript"/>
              </w:rPr>
              <w:t>e</w:t>
            </w:r>
            <w:r>
              <w:rPr>
                <w:color w:val="000000"/>
                <w:sz w:val="20"/>
                <w:szCs w:val="20"/>
              </w:rPr>
              <w:t xml:space="preserve"> </w:t>
            </w:r>
            <w:r w:rsidRPr="002B2597">
              <w:rPr>
                <w:color w:val="000000"/>
                <w:sz w:val="20"/>
                <w:szCs w:val="20"/>
              </w:rPr>
              <w:t>Assumes 20% of existing facilities (21 x 20% = 4.2 facilities) will need to submit excess emissions reports.</w:t>
            </w:r>
          </w:p>
        </w:tc>
      </w:tr>
      <w:tr w14:paraId="09E8C8C1" w14:textId="77777777" w:rsidTr="00CC0965">
        <w:tblPrEx>
          <w:tblW w:w="5000" w:type="pct"/>
          <w:tblLook w:val="04A0"/>
        </w:tblPrEx>
        <w:trPr>
          <w:trHeight w:val="930"/>
        </w:trPr>
        <w:tc>
          <w:tcPr>
            <w:tcW w:w="5000" w:type="pct"/>
            <w:gridSpan w:val="17"/>
            <w:tcBorders>
              <w:top w:val="nil"/>
              <w:left w:val="nil"/>
              <w:bottom w:val="nil"/>
              <w:right w:val="nil"/>
            </w:tcBorders>
            <w:shd w:val="clear" w:color="auto" w:fill="auto"/>
            <w:hideMark/>
          </w:tcPr>
          <w:p w:rsidR="00CC0965" w:rsidRPr="002B2597" w:rsidP="008C0EA7" w14:paraId="6377E714" w14:textId="77777777">
            <w:pPr>
              <w:rPr>
                <w:color w:val="000000"/>
                <w:sz w:val="20"/>
                <w:szCs w:val="20"/>
              </w:rPr>
            </w:pPr>
            <w:r w:rsidRPr="002B2597">
              <w:rPr>
                <w:color w:val="000000"/>
                <w:sz w:val="20"/>
                <w:szCs w:val="20"/>
                <w:vertAlign w:val="superscript"/>
              </w:rPr>
              <w:t>f</w:t>
            </w:r>
            <w:r>
              <w:rPr>
                <w:color w:val="000000"/>
                <w:sz w:val="20"/>
                <w:szCs w:val="20"/>
                <w:vertAlign w:val="superscript"/>
              </w:rPr>
              <w:t xml:space="preserve"> </w:t>
            </w:r>
            <w:r w:rsidRPr="002B2597">
              <w:rPr>
                <w:color w:val="000000"/>
                <w:sz w:val="20"/>
                <w:szCs w:val="20"/>
              </w:rPr>
              <w:t xml:space="preserve">This ICR only calculates burden for Method 29 testing for 17 process units located outside of Nevada. Facilities in Nevada already perform annual sampling and analysis for mercury to comply with the Nevada Division of Environmental Protection. Consequently, those facilities will not incur any additional stack testing burden under this rule. </w:t>
            </w:r>
          </w:p>
        </w:tc>
      </w:tr>
      <w:tr w14:paraId="02911A4C" w14:textId="77777777" w:rsidTr="00CC0965">
        <w:tblPrEx>
          <w:tblW w:w="5000" w:type="pct"/>
          <w:tblLook w:val="04A0"/>
        </w:tblPrEx>
        <w:trPr>
          <w:trHeight w:val="315"/>
        </w:trPr>
        <w:tc>
          <w:tcPr>
            <w:tcW w:w="5000" w:type="pct"/>
            <w:gridSpan w:val="17"/>
            <w:tcBorders>
              <w:top w:val="nil"/>
              <w:left w:val="nil"/>
              <w:bottom w:val="nil"/>
              <w:right w:val="nil"/>
            </w:tcBorders>
            <w:shd w:val="clear" w:color="auto" w:fill="auto"/>
            <w:hideMark/>
          </w:tcPr>
          <w:p w:rsidR="00CC0965" w:rsidRPr="002B2597" w:rsidP="008C0EA7" w14:paraId="426A4976" w14:textId="77777777">
            <w:pPr>
              <w:rPr>
                <w:color w:val="000000"/>
                <w:sz w:val="20"/>
                <w:szCs w:val="20"/>
              </w:rPr>
            </w:pPr>
            <w:r w:rsidRPr="002B2597">
              <w:rPr>
                <w:color w:val="000000"/>
                <w:sz w:val="20"/>
                <w:szCs w:val="20"/>
                <w:vertAlign w:val="superscript"/>
              </w:rPr>
              <w:t xml:space="preserve">g </w:t>
            </w:r>
            <w:r w:rsidRPr="002B2597">
              <w:rPr>
                <w:color w:val="000000"/>
                <w:sz w:val="20"/>
                <w:szCs w:val="20"/>
              </w:rPr>
              <w:t xml:space="preserve">Totals have been rounded to 3 significant figures. Figures may not add exactly due to rounding. </w:t>
            </w:r>
          </w:p>
        </w:tc>
      </w:tr>
    </w:tbl>
    <w:p w:rsidR="00CC0965" w:rsidRPr="00DE7D97" w:rsidP="00DE7D97" w14:paraId="14AB082A" w14:textId="77777777">
      <w:pPr>
        <w:pBdr>
          <w:top w:val="single" w:sz="6" w:space="0" w:color="FFFFFF"/>
          <w:left w:val="single" w:sz="6" w:space="0" w:color="FFFFFF"/>
          <w:bottom w:val="single" w:sz="6" w:space="0" w:color="FFFFFF"/>
          <w:right w:val="single" w:sz="6" w:space="0" w:color="FFFFFF"/>
        </w:pBdr>
      </w:pPr>
    </w:p>
    <w:sectPr w:rsidSect="00DE7D97">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2ECFF47E"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7AE35AAA"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F9552E2"/>
    <w:multiLevelType w:val="hybridMultilevel"/>
    <w:tmpl w:val="EA9E7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57E283B"/>
    <w:multiLevelType w:val="hybridMultilevel"/>
    <w:tmpl w:val="51FCB2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7"/>
  </w:num>
  <w:num w:numId="5" w16cid:durableId="2055687918">
    <w:abstractNumId w:val="17"/>
  </w:num>
  <w:num w:numId="6" w16cid:durableId="1603025219">
    <w:abstractNumId w:val="24"/>
  </w:num>
  <w:num w:numId="7" w16cid:durableId="423957196">
    <w:abstractNumId w:val="14"/>
  </w:num>
  <w:num w:numId="8" w16cid:durableId="2031829208">
    <w:abstractNumId w:val="20"/>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8"/>
  </w:num>
  <w:num w:numId="14" w16cid:durableId="239490726">
    <w:abstractNumId w:val="5"/>
  </w:num>
  <w:num w:numId="15" w16cid:durableId="1395350314">
    <w:abstractNumId w:val="8"/>
  </w:num>
  <w:num w:numId="16" w16cid:durableId="441535906">
    <w:abstractNumId w:val="12"/>
  </w:num>
  <w:num w:numId="17" w16cid:durableId="2008243381">
    <w:abstractNumId w:val="21"/>
  </w:num>
  <w:num w:numId="18" w16cid:durableId="840463183">
    <w:abstractNumId w:val="19"/>
  </w:num>
  <w:num w:numId="19" w16cid:durableId="469980091">
    <w:abstractNumId w:val="23"/>
  </w:num>
  <w:num w:numId="20" w16cid:durableId="2126730031">
    <w:abstractNumId w:val="10"/>
  </w:num>
  <w:num w:numId="21" w16cid:durableId="106124704">
    <w:abstractNumId w:val="1"/>
  </w:num>
  <w:num w:numId="22" w16cid:durableId="1552418013">
    <w:abstractNumId w:val="13"/>
  </w:num>
  <w:num w:numId="23" w16cid:durableId="1598828334">
    <w:abstractNumId w:val="25"/>
  </w:num>
  <w:num w:numId="24" w16cid:durableId="2051031068">
    <w:abstractNumId w:val="0"/>
  </w:num>
  <w:num w:numId="25" w16cid:durableId="258569098">
    <w:abstractNumId w:val="15"/>
  </w:num>
  <w:num w:numId="26" w16cid:durableId="331181582">
    <w:abstractNumId w:val="18"/>
  </w:num>
  <w:num w:numId="27" w16cid:durableId="1015961391">
    <w:abstractNumId w:val="22"/>
  </w:num>
  <w:num w:numId="28" w16cid:durableId="1850290935">
    <w:abstractNumId w:val="26"/>
  </w:num>
  <w:num w:numId="29" w16cid:durableId="1437749278">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2B1"/>
    <w:rsid w:val="0000050D"/>
    <w:rsid w:val="0000329D"/>
    <w:rsid w:val="00003D64"/>
    <w:rsid w:val="00004678"/>
    <w:rsid w:val="00004C93"/>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0B3"/>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7BBA"/>
    <w:rsid w:val="000C41A7"/>
    <w:rsid w:val="000C43C8"/>
    <w:rsid w:val="000C608D"/>
    <w:rsid w:val="000D224E"/>
    <w:rsid w:val="000D251E"/>
    <w:rsid w:val="000D2D5D"/>
    <w:rsid w:val="000D37DB"/>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9CA"/>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2597"/>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BEF"/>
    <w:rsid w:val="003B04B9"/>
    <w:rsid w:val="003B0A8F"/>
    <w:rsid w:val="003B153D"/>
    <w:rsid w:val="003B4D4F"/>
    <w:rsid w:val="003C0DBC"/>
    <w:rsid w:val="003C2B04"/>
    <w:rsid w:val="003C321D"/>
    <w:rsid w:val="003C5284"/>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67D94"/>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2B1"/>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6799C"/>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0B52"/>
    <w:rsid w:val="006E116F"/>
    <w:rsid w:val="006E13FF"/>
    <w:rsid w:val="006E197A"/>
    <w:rsid w:val="006E1DC0"/>
    <w:rsid w:val="006E4817"/>
    <w:rsid w:val="006E6819"/>
    <w:rsid w:val="006E6A2C"/>
    <w:rsid w:val="006E6C7E"/>
    <w:rsid w:val="006E7D37"/>
    <w:rsid w:val="006F1F1D"/>
    <w:rsid w:val="006F4946"/>
    <w:rsid w:val="00700983"/>
    <w:rsid w:val="007020F8"/>
    <w:rsid w:val="007025A2"/>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6593"/>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5298"/>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0845"/>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0EA7"/>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053FD"/>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4C"/>
    <w:rsid w:val="009920E2"/>
    <w:rsid w:val="00994217"/>
    <w:rsid w:val="00994618"/>
    <w:rsid w:val="00996CD5"/>
    <w:rsid w:val="00997E71"/>
    <w:rsid w:val="009A0588"/>
    <w:rsid w:val="009A09EC"/>
    <w:rsid w:val="009A0E02"/>
    <w:rsid w:val="009A151F"/>
    <w:rsid w:val="009A24BC"/>
    <w:rsid w:val="009A2F1F"/>
    <w:rsid w:val="009A442C"/>
    <w:rsid w:val="009A5C07"/>
    <w:rsid w:val="009A6AF8"/>
    <w:rsid w:val="009A7EF0"/>
    <w:rsid w:val="009B2A92"/>
    <w:rsid w:val="009B3C05"/>
    <w:rsid w:val="009B46F6"/>
    <w:rsid w:val="009B5CB4"/>
    <w:rsid w:val="009B5E96"/>
    <w:rsid w:val="009B76F3"/>
    <w:rsid w:val="009B7753"/>
    <w:rsid w:val="009C1E63"/>
    <w:rsid w:val="009C2087"/>
    <w:rsid w:val="009C24FF"/>
    <w:rsid w:val="009C2DE1"/>
    <w:rsid w:val="009C3712"/>
    <w:rsid w:val="009C3901"/>
    <w:rsid w:val="009C3BA8"/>
    <w:rsid w:val="009C3C64"/>
    <w:rsid w:val="009C66BD"/>
    <w:rsid w:val="009D040F"/>
    <w:rsid w:val="009D043F"/>
    <w:rsid w:val="009D1603"/>
    <w:rsid w:val="009D23AF"/>
    <w:rsid w:val="009D28A9"/>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2DC4"/>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76C0B"/>
    <w:rsid w:val="00A80A27"/>
    <w:rsid w:val="00A816BC"/>
    <w:rsid w:val="00A82647"/>
    <w:rsid w:val="00A83781"/>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6B2C"/>
    <w:rsid w:val="00AA74E9"/>
    <w:rsid w:val="00AB58D2"/>
    <w:rsid w:val="00AC105E"/>
    <w:rsid w:val="00AC1131"/>
    <w:rsid w:val="00AC1AC4"/>
    <w:rsid w:val="00AC5472"/>
    <w:rsid w:val="00AD15AC"/>
    <w:rsid w:val="00AD1B66"/>
    <w:rsid w:val="00AD1CFF"/>
    <w:rsid w:val="00AD2447"/>
    <w:rsid w:val="00AD3E31"/>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4A5C"/>
    <w:rsid w:val="00B06750"/>
    <w:rsid w:val="00B07337"/>
    <w:rsid w:val="00B11B2A"/>
    <w:rsid w:val="00B13545"/>
    <w:rsid w:val="00B13DEC"/>
    <w:rsid w:val="00B15AEE"/>
    <w:rsid w:val="00B15B9E"/>
    <w:rsid w:val="00B2021A"/>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54CC"/>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0965"/>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2B37"/>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2CD"/>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5E0"/>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E7D97"/>
    <w:rsid w:val="00DF0955"/>
    <w:rsid w:val="00DF3AA1"/>
    <w:rsid w:val="00DF4973"/>
    <w:rsid w:val="00DF6030"/>
    <w:rsid w:val="00DF743F"/>
    <w:rsid w:val="00DF7E5D"/>
    <w:rsid w:val="00E00589"/>
    <w:rsid w:val="00E0220E"/>
    <w:rsid w:val="00E034D9"/>
    <w:rsid w:val="00E03FC8"/>
    <w:rsid w:val="00E04947"/>
    <w:rsid w:val="00E076DF"/>
    <w:rsid w:val="00E10927"/>
    <w:rsid w:val="00E116DC"/>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5FFE"/>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5B0"/>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489"/>
    <w:rsid w:val="00ED1842"/>
    <w:rsid w:val="00ED1C59"/>
    <w:rsid w:val="00ED2C2E"/>
    <w:rsid w:val="00ED31BD"/>
    <w:rsid w:val="00ED3C90"/>
    <w:rsid w:val="00ED4385"/>
    <w:rsid w:val="00ED44A3"/>
    <w:rsid w:val="00ED57A4"/>
    <w:rsid w:val="00ED6496"/>
    <w:rsid w:val="00EE038B"/>
    <w:rsid w:val="00EE0839"/>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56E3"/>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418E264"/>
  <w15:docId w15:val="{0E5D99F5-FCD7-4C1D-86AF-B7CB21CDA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chapter-I/subchapter-C/part-63/subpart-EEEEEEE" TargetMode="External" /><Relationship Id="rId11" Type="http://schemas.openxmlformats.org/officeDocument/2006/relationships/hyperlink" Target="https://cdx.epa.gov/" TargetMode="External" /><Relationship Id="rId12" Type="http://schemas.openxmlformats.org/officeDocument/2006/relationships/hyperlink" Target="https://www.epa.gov/electronic-reporting-air-emissions/paperwork-reduction-act-pra-cedri-and-ert"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laws-regulations/summary-clean-air-act"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mcgrath\OneDrive%20-%20Environmental%20Protection%20Agency%20(EPA)\Desktop\SOPs\templates\ICR%20Supporting%20Statement%20A%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96fc5250-dc30-4f01-945b-7e46a880eeb3">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2.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96fc5250-dc30-4f01-945b-7e46a880eeb3"/>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ICR Supporting Statement A Template.dotx</Template>
  <TotalTime>1</TotalTime>
  <Pages>21</Pages>
  <Words>6239</Words>
  <Characters>35564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 (he/him/his)</dc:creator>
  <cp:lastModifiedBy>Kerwin, Courtney</cp:lastModifiedBy>
  <cp:revision>2</cp:revision>
  <dcterms:created xsi:type="dcterms:W3CDTF">2024-11-25T14:59:00Z</dcterms:created>
  <dcterms:modified xsi:type="dcterms:W3CDTF">2024-11-25T14:59:00Z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