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4A0" w:rsidRPr="008B2CDD" w:rsidP="00DC1390" w14:paraId="3CAFAACC" w14:textId="01727B7F">
      <w:pPr>
        <w:jc w:val="center"/>
        <w:rPr>
          <w:rFonts w:asciiTheme="minorHAnsi" w:hAnsiTheme="minorHAnsi" w:cstheme="minorHAnsi"/>
          <w:b/>
          <w:szCs w:val="24"/>
          <w:lang w:bidi="en-US"/>
        </w:rPr>
      </w:pPr>
      <w:r w:rsidRPr="008B2CDD">
        <w:rPr>
          <w:rFonts w:asciiTheme="minorHAnsi" w:hAnsiTheme="minorHAnsi" w:cstheme="minorHAnsi"/>
          <w:b/>
          <w:szCs w:val="24"/>
          <w:lang w:bidi="en-US"/>
        </w:rPr>
        <w:t>Supporting Statement for an Information Collection Request (ICR)</w:t>
      </w:r>
    </w:p>
    <w:p w:rsidR="00F75F45" w:rsidRPr="008B2CDD" w:rsidP="00DC1390" w14:paraId="3A381A9E" w14:textId="2E189ABF">
      <w:pPr>
        <w:jc w:val="center"/>
        <w:rPr>
          <w:rFonts w:asciiTheme="minorHAnsi" w:hAnsiTheme="minorHAnsi" w:cstheme="minorHAnsi"/>
          <w:b/>
          <w:szCs w:val="24"/>
          <w:lang w:bidi="en-US"/>
        </w:rPr>
      </w:pPr>
      <w:r w:rsidRPr="008B2CDD">
        <w:rPr>
          <w:rFonts w:asciiTheme="minorHAnsi" w:hAnsiTheme="minorHAnsi" w:cstheme="minorHAnsi"/>
          <w:b/>
          <w:szCs w:val="24"/>
          <w:lang w:bidi="en-US"/>
        </w:rPr>
        <w:t xml:space="preserve">Under the Paperwork Reduction Act </w:t>
      </w:r>
      <w:r w:rsidRPr="008B2CDD" w:rsidR="002B34A0">
        <w:rPr>
          <w:rFonts w:asciiTheme="minorHAnsi" w:hAnsiTheme="minorHAnsi" w:cstheme="minorHAnsi"/>
          <w:b/>
          <w:szCs w:val="24"/>
          <w:lang w:bidi="en-US"/>
        </w:rPr>
        <w:t>(PRA)</w:t>
      </w:r>
    </w:p>
    <w:p w:rsidR="002B34A0" w:rsidRPr="008B2CDD" w:rsidP="00B83E24" w14:paraId="4D8C2508" w14:textId="77777777">
      <w:pPr>
        <w:pStyle w:val="Heading1"/>
        <w:spacing w:before="240"/>
        <w:rPr>
          <w:rFonts w:asciiTheme="minorHAnsi" w:hAnsiTheme="minorHAnsi" w:cstheme="minorHAnsi"/>
          <w:sz w:val="24"/>
          <w:szCs w:val="24"/>
          <w:lang w:bidi="en-US"/>
        </w:rPr>
      </w:pPr>
      <w:bookmarkStart w:id="0" w:name="_Toc447203161"/>
      <w:r w:rsidRPr="008B2CDD">
        <w:rPr>
          <w:rFonts w:asciiTheme="minorHAnsi" w:hAnsiTheme="minorHAnsi" w:cstheme="minorHAnsi"/>
          <w:sz w:val="24"/>
          <w:szCs w:val="24"/>
          <w:lang w:bidi="en-US"/>
        </w:rPr>
        <w:t>EXECUTIVE SUMMARY</w:t>
      </w:r>
      <w:bookmarkEnd w:id="0"/>
    </w:p>
    <w:p w:rsidR="002B34A0" w:rsidRPr="008B2CDD" w:rsidP="217B48E0" w14:paraId="147589E3" w14:textId="3130D150">
      <w:pPr>
        <w:pStyle w:val="Heading2"/>
        <w:tabs>
          <w:tab w:val="left" w:pos="1080"/>
        </w:tabs>
        <w:rPr>
          <w:rFonts w:asciiTheme="minorHAnsi" w:hAnsiTheme="minorHAnsi" w:cstheme="minorHAnsi"/>
          <w:szCs w:val="24"/>
          <w:lang w:bidi="en-US"/>
        </w:rPr>
      </w:pPr>
      <w:bookmarkStart w:id="1" w:name="_Toc447203162"/>
      <w:r w:rsidRPr="008B2CDD">
        <w:rPr>
          <w:rFonts w:asciiTheme="minorHAnsi" w:hAnsiTheme="minorHAnsi" w:cstheme="minorHAnsi"/>
          <w:szCs w:val="24"/>
          <w:lang w:bidi="en-US"/>
        </w:rPr>
        <w:t>Identification of the Information Collection – Title and Numbers</w:t>
      </w:r>
      <w:bookmarkEnd w:id="1"/>
      <w:r w:rsidRPr="008B2CDD">
        <w:rPr>
          <w:rFonts w:asciiTheme="minorHAnsi" w:hAnsiTheme="minorHAnsi" w:cstheme="minorHAnsi"/>
          <w:szCs w:val="24"/>
          <w:lang w:bidi="en-US"/>
        </w:rPr>
        <w:t xml:space="preserve"> </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2"/>
        <w:gridCol w:w="7670"/>
      </w:tblGrid>
      <w:tr w14:paraId="3E8D31AF" w14:textId="77777777" w:rsidTr="00DC1390">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6801E7" w:rsidRPr="008B2CDD" w:rsidP="00DC1390" w14:paraId="39BA5331" w14:textId="77777777">
            <w:pPr>
              <w:rPr>
                <w:rFonts w:asciiTheme="minorHAnsi" w:hAnsiTheme="minorHAnsi" w:cstheme="minorHAnsi"/>
                <w:b/>
                <w:bCs/>
                <w:szCs w:val="24"/>
              </w:rPr>
            </w:pPr>
            <w:r w:rsidRPr="008B2CDD">
              <w:rPr>
                <w:rFonts w:asciiTheme="minorHAnsi" w:hAnsiTheme="minorHAnsi" w:cstheme="minorHAnsi"/>
                <w:b/>
                <w:bCs/>
                <w:szCs w:val="24"/>
              </w:rPr>
              <w:t>Title:</w:t>
            </w:r>
          </w:p>
        </w:tc>
        <w:tc>
          <w:tcPr>
            <w:tcW w:w="7122" w:type="dxa"/>
            <w:vAlign w:val="center"/>
          </w:tcPr>
          <w:p w:rsidR="006801E7" w:rsidRPr="008B2CDD" w:rsidP="00DC1390" w14:paraId="3C164CCD" w14:textId="333A11F8">
            <w:pPr>
              <w:spacing w:after="120"/>
              <w:rPr>
                <w:rFonts w:asciiTheme="minorHAnsi" w:hAnsiTheme="minorHAnsi" w:cstheme="minorHAnsi"/>
                <w:szCs w:val="24"/>
              </w:rPr>
            </w:pPr>
            <w:r w:rsidRPr="008B2CDD">
              <w:rPr>
                <w:rFonts w:asciiTheme="minorHAnsi" w:hAnsiTheme="minorHAnsi" w:cstheme="minorHAnsi"/>
                <w:szCs w:val="24"/>
              </w:rPr>
              <w:t xml:space="preserve">Decabromodiphenyl Ether and Phenol, Isopropylated Phosphate (3:1); Revision to the Regulation of Persistent, Bioaccumulative, and Toxic Chemicals under the Toxic Substances Control Act (TSCA); </w:t>
            </w:r>
            <w:r w:rsidRPr="008B2CDD" w:rsidR="00CA5C56">
              <w:rPr>
                <w:rFonts w:asciiTheme="minorHAnsi" w:hAnsiTheme="minorHAnsi" w:cstheme="minorHAnsi"/>
                <w:szCs w:val="24"/>
              </w:rPr>
              <w:t xml:space="preserve">Final </w:t>
            </w:r>
            <w:r w:rsidRPr="008B2CDD">
              <w:rPr>
                <w:rFonts w:asciiTheme="minorHAnsi" w:hAnsiTheme="minorHAnsi" w:cstheme="minorHAnsi"/>
                <w:szCs w:val="24"/>
              </w:rPr>
              <w:t>Rule</w:t>
            </w:r>
            <w:r w:rsidRPr="008B2CDD" w:rsidR="001D4766">
              <w:rPr>
                <w:rFonts w:asciiTheme="minorHAnsi" w:hAnsiTheme="minorHAnsi" w:cstheme="minorHAnsi"/>
                <w:szCs w:val="24"/>
              </w:rPr>
              <w:t xml:space="preserve"> </w:t>
            </w:r>
            <w:r w:rsidRPr="008B2CDD" w:rsidR="00AB1124">
              <w:rPr>
                <w:rFonts w:asciiTheme="minorHAnsi" w:hAnsiTheme="minorHAnsi" w:cstheme="minorHAnsi"/>
                <w:szCs w:val="24"/>
              </w:rPr>
              <w:t>(RIN 2070-AL02)</w:t>
            </w:r>
          </w:p>
        </w:tc>
      </w:tr>
      <w:tr w14:paraId="5B77BC49" w14:textId="77777777" w:rsidTr="00DC1390">
        <w:tblPrEx>
          <w:tblW w:w="5021" w:type="pct"/>
          <w:tblInd w:w="252" w:type="dxa"/>
          <w:tblLook w:val="04A0"/>
        </w:tblPrEx>
        <w:trPr>
          <w:trHeight w:val="324"/>
        </w:trPr>
        <w:tc>
          <w:tcPr>
            <w:tcW w:w="2277" w:type="dxa"/>
            <w:vAlign w:val="center"/>
          </w:tcPr>
          <w:p w:rsidR="006801E7" w:rsidRPr="008B2CDD" w:rsidP="00DC1390" w14:paraId="49B7DEEA" w14:textId="77777777">
            <w:pPr>
              <w:rPr>
                <w:rFonts w:asciiTheme="minorHAnsi" w:hAnsiTheme="minorHAnsi" w:cstheme="minorHAnsi"/>
                <w:b/>
                <w:bCs/>
                <w:szCs w:val="24"/>
              </w:rPr>
            </w:pPr>
            <w:r w:rsidRPr="008B2CDD">
              <w:rPr>
                <w:rFonts w:asciiTheme="minorHAnsi" w:hAnsiTheme="minorHAnsi" w:cstheme="minorHAnsi"/>
                <w:b/>
                <w:bCs/>
                <w:szCs w:val="24"/>
              </w:rPr>
              <w:t>EPA ICR No.:</w:t>
            </w:r>
          </w:p>
        </w:tc>
        <w:tc>
          <w:tcPr>
            <w:tcW w:w="7122" w:type="dxa"/>
            <w:vAlign w:val="center"/>
          </w:tcPr>
          <w:p w:rsidR="006801E7" w:rsidRPr="008B2CDD" w:rsidP="00DC1390" w14:paraId="2DEF96C5" w14:textId="7A1864D4">
            <w:pPr>
              <w:rPr>
                <w:rFonts w:asciiTheme="minorHAnsi" w:hAnsiTheme="minorHAnsi" w:cstheme="minorHAnsi"/>
                <w:szCs w:val="24"/>
              </w:rPr>
            </w:pPr>
            <w:r w:rsidRPr="008B2CDD">
              <w:rPr>
                <w:rFonts w:asciiTheme="minorHAnsi" w:hAnsiTheme="minorHAnsi" w:cstheme="minorHAnsi"/>
                <w:szCs w:val="24"/>
              </w:rPr>
              <w:t>2</w:t>
            </w:r>
            <w:r w:rsidRPr="008B2CDD" w:rsidR="003048DC">
              <w:rPr>
                <w:rFonts w:asciiTheme="minorHAnsi" w:hAnsiTheme="minorHAnsi" w:cstheme="minorHAnsi"/>
                <w:szCs w:val="24"/>
              </w:rPr>
              <w:t>77</w:t>
            </w:r>
            <w:r w:rsidRPr="008B2CDD">
              <w:rPr>
                <w:rFonts w:asciiTheme="minorHAnsi" w:hAnsiTheme="minorHAnsi" w:cstheme="minorHAnsi"/>
                <w:szCs w:val="24"/>
              </w:rPr>
              <w:t>9.0</w:t>
            </w:r>
            <w:r w:rsidRPr="008B2CDD" w:rsidR="00D64BC0">
              <w:rPr>
                <w:rFonts w:asciiTheme="minorHAnsi" w:hAnsiTheme="minorHAnsi" w:cstheme="minorHAnsi"/>
                <w:szCs w:val="24"/>
              </w:rPr>
              <w:t>2</w:t>
            </w:r>
          </w:p>
        </w:tc>
      </w:tr>
      <w:tr w14:paraId="6F735502" w14:textId="77777777" w:rsidTr="00DC1390">
        <w:tblPrEx>
          <w:tblW w:w="5021" w:type="pct"/>
          <w:tblInd w:w="252" w:type="dxa"/>
          <w:tblLook w:val="04A0"/>
        </w:tblPrEx>
        <w:trPr>
          <w:trHeight w:val="270"/>
        </w:trPr>
        <w:tc>
          <w:tcPr>
            <w:tcW w:w="2277" w:type="dxa"/>
            <w:vAlign w:val="center"/>
          </w:tcPr>
          <w:p w:rsidR="006801E7" w:rsidRPr="008B2CDD" w:rsidP="00DC1390" w14:paraId="1B7F299E" w14:textId="77777777">
            <w:pPr>
              <w:rPr>
                <w:rFonts w:asciiTheme="minorHAnsi" w:hAnsiTheme="minorHAnsi" w:cstheme="minorHAnsi"/>
                <w:b/>
                <w:bCs/>
                <w:szCs w:val="24"/>
              </w:rPr>
            </w:pPr>
            <w:r w:rsidRPr="008B2CDD">
              <w:rPr>
                <w:rFonts w:asciiTheme="minorHAnsi" w:hAnsiTheme="minorHAnsi" w:cstheme="minorHAnsi"/>
                <w:b/>
                <w:bCs/>
                <w:szCs w:val="24"/>
              </w:rPr>
              <w:t>OMB Control No.:</w:t>
            </w:r>
          </w:p>
        </w:tc>
        <w:tc>
          <w:tcPr>
            <w:tcW w:w="7122" w:type="dxa"/>
            <w:vAlign w:val="center"/>
          </w:tcPr>
          <w:p w:rsidR="006801E7" w:rsidRPr="008B2CDD" w:rsidP="00DC1390" w14:paraId="786C57DB" w14:textId="08ACBFAC">
            <w:pPr>
              <w:rPr>
                <w:rFonts w:asciiTheme="minorHAnsi" w:hAnsiTheme="minorHAnsi" w:cstheme="minorHAnsi"/>
                <w:szCs w:val="24"/>
              </w:rPr>
            </w:pPr>
            <w:r w:rsidRPr="008B2CDD">
              <w:rPr>
                <w:rFonts w:asciiTheme="minorHAnsi" w:hAnsiTheme="minorHAnsi" w:cstheme="minorHAnsi"/>
                <w:szCs w:val="24"/>
              </w:rPr>
              <w:t>2070-</w:t>
            </w:r>
            <w:r w:rsidRPr="008B2CDD" w:rsidR="00D64BC0">
              <w:rPr>
                <w:rFonts w:asciiTheme="minorHAnsi" w:hAnsiTheme="minorHAnsi" w:cstheme="minorHAnsi"/>
                <w:szCs w:val="24"/>
              </w:rPr>
              <w:t>0230</w:t>
            </w:r>
          </w:p>
        </w:tc>
      </w:tr>
      <w:tr w14:paraId="403016C9" w14:textId="77777777" w:rsidTr="00DC1390">
        <w:tblPrEx>
          <w:tblW w:w="5021" w:type="pct"/>
          <w:tblInd w:w="252" w:type="dxa"/>
          <w:tblLook w:val="04A0"/>
        </w:tblPrEx>
        <w:trPr>
          <w:trHeight w:val="360"/>
        </w:trPr>
        <w:tc>
          <w:tcPr>
            <w:tcW w:w="2277" w:type="dxa"/>
            <w:vAlign w:val="center"/>
          </w:tcPr>
          <w:p w:rsidR="006801E7" w:rsidRPr="008B2CDD" w:rsidP="00DC1390" w14:paraId="36910FA9" w14:textId="77777777">
            <w:pPr>
              <w:spacing w:after="120"/>
              <w:rPr>
                <w:rFonts w:asciiTheme="minorHAnsi" w:hAnsiTheme="minorHAnsi" w:cstheme="minorHAnsi"/>
                <w:b/>
                <w:bCs/>
                <w:szCs w:val="24"/>
              </w:rPr>
            </w:pPr>
            <w:r w:rsidRPr="008B2CDD">
              <w:rPr>
                <w:rFonts w:asciiTheme="minorHAnsi" w:hAnsiTheme="minorHAnsi" w:cstheme="minorHAnsi"/>
                <w:b/>
                <w:bCs/>
                <w:szCs w:val="24"/>
              </w:rPr>
              <w:t>Docket ID No.:</w:t>
            </w:r>
          </w:p>
        </w:tc>
        <w:tc>
          <w:tcPr>
            <w:tcW w:w="7122" w:type="dxa"/>
            <w:vAlign w:val="center"/>
          </w:tcPr>
          <w:p w:rsidR="006801E7" w:rsidRPr="008B2CDD" w:rsidP="00DC1390" w14:paraId="76128974" w14:textId="39507533">
            <w:pPr>
              <w:spacing w:after="120"/>
              <w:rPr>
                <w:rFonts w:asciiTheme="minorHAnsi" w:hAnsiTheme="minorHAnsi" w:cstheme="minorHAnsi"/>
                <w:szCs w:val="24"/>
              </w:rPr>
            </w:pPr>
            <w:r w:rsidRPr="008B2CDD">
              <w:rPr>
                <w:rFonts w:asciiTheme="minorHAnsi" w:hAnsiTheme="minorHAnsi" w:cstheme="minorHAnsi"/>
                <w:szCs w:val="24"/>
              </w:rPr>
              <w:t>EPA-HQ-OPPT-</w:t>
            </w:r>
            <w:r w:rsidRPr="008B2CDD" w:rsidR="00E7159B">
              <w:rPr>
                <w:rFonts w:asciiTheme="minorHAnsi" w:hAnsiTheme="minorHAnsi" w:cstheme="minorHAnsi"/>
                <w:szCs w:val="24"/>
              </w:rPr>
              <w:t>2023-0376</w:t>
            </w:r>
          </w:p>
        </w:tc>
      </w:tr>
    </w:tbl>
    <w:p w:rsidR="00836507" w:rsidRPr="008B2CDD" w:rsidP="00B83E24" w14:paraId="789CE20E" w14:textId="518EF9EC">
      <w:pPr>
        <w:pStyle w:val="Heading2"/>
        <w:tabs>
          <w:tab w:val="left" w:pos="1080"/>
        </w:tabs>
        <w:spacing w:before="240"/>
        <w:rPr>
          <w:rFonts w:asciiTheme="minorHAnsi" w:hAnsiTheme="minorHAnsi" w:cstheme="minorHAnsi"/>
          <w:szCs w:val="24"/>
        </w:rPr>
      </w:pPr>
      <w:bookmarkStart w:id="2" w:name="_Toc447203165"/>
      <w:r w:rsidRPr="008B2CDD">
        <w:rPr>
          <w:rFonts w:asciiTheme="minorHAnsi" w:hAnsiTheme="minorHAnsi" w:cstheme="minorHAnsi"/>
          <w:szCs w:val="24"/>
        </w:rPr>
        <w:t>Abstract</w:t>
      </w:r>
      <w:bookmarkEnd w:id="2"/>
    </w:p>
    <w:p w:rsidR="00836507" w:rsidRPr="008B2CDD" w:rsidP="00B02810" w14:paraId="35992581" w14:textId="408DA775">
      <w:pPr>
        <w:rPr>
          <w:rFonts w:asciiTheme="minorHAnsi" w:hAnsiTheme="minorHAnsi" w:cstheme="minorHAnsi"/>
          <w:szCs w:val="24"/>
        </w:rPr>
      </w:pPr>
      <w:r w:rsidRPr="008B2CDD">
        <w:rPr>
          <w:rFonts w:asciiTheme="minorHAnsi" w:hAnsiTheme="minorHAnsi" w:cstheme="minorHAnsi"/>
          <w:szCs w:val="24"/>
        </w:rPr>
        <w:t xml:space="preserve">In January 2021, the </w:t>
      </w:r>
      <w:r w:rsidRPr="008B2CDD" w:rsidR="00567F1D">
        <w:rPr>
          <w:rFonts w:asciiTheme="minorHAnsi" w:hAnsiTheme="minorHAnsi" w:cstheme="minorHAnsi"/>
          <w:szCs w:val="24"/>
        </w:rPr>
        <w:t xml:space="preserve">U.S. </w:t>
      </w:r>
      <w:r w:rsidRPr="008B2CDD">
        <w:rPr>
          <w:rFonts w:asciiTheme="minorHAnsi" w:hAnsiTheme="minorHAnsi" w:cstheme="minorHAnsi"/>
          <w:szCs w:val="24"/>
        </w:rPr>
        <w:t xml:space="preserve">Environmental Protection Agency (EPA) </w:t>
      </w:r>
      <w:r w:rsidRPr="008B2CDD" w:rsidR="00BF0A98">
        <w:rPr>
          <w:rFonts w:asciiTheme="minorHAnsi" w:hAnsiTheme="minorHAnsi" w:cstheme="minorHAnsi"/>
          <w:szCs w:val="24"/>
        </w:rPr>
        <w:t>finalized</w:t>
      </w:r>
      <w:r w:rsidRPr="008B2CDD">
        <w:rPr>
          <w:rFonts w:asciiTheme="minorHAnsi" w:hAnsiTheme="minorHAnsi" w:cstheme="minorHAnsi"/>
          <w:szCs w:val="24"/>
        </w:rPr>
        <w:t xml:space="preserve"> </w:t>
      </w:r>
      <w:r w:rsidRPr="008B2CDD" w:rsidR="00857177">
        <w:rPr>
          <w:rFonts w:asciiTheme="minorHAnsi" w:hAnsiTheme="minorHAnsi" w:cstheme="minorHAnsi"/>
          <w:szCs w:val="24"/>
        </w:rPr>
        <w:t>five</w:t>
      </w:r>
      <w:r w:rsidRPr="008B2CDD">
        <w:rPr>
          <w:rFonts w:asciiTheme="minorHAnsi" w:hAnsiTheme="minorHAnsi" w:cstheme="minorHAnsi"/>
          <w:szCs w:val="24"/>
        </w:rPr>
        <w:t xml:space="preserve"> rule</w:t>
      </w:r>
      <w:r w:rsidRPr="008B2CDD" w:rsidR="00857177">
        <w:rPr>
          <w:rFonts w:asciiTheme="minorHAnsi" w:hAnsiTheme="minorHAnsi" w:cstheme="minorHAnsi"/>
          <w:szCs w:val="24"/>
        </w:rPr>
        <w:t>s</w:t>
      </w:r>
      <w:r w:rsidRPr="008B2CDD">
        <w:rPr>
          <w:rFonts w:asciiTheme="minorHAnsi" w:hAnsiTheme="minorHAnsi" w:cstheme="minorHAnsi"/>
          <w:szCs w:val="24"/>
        </w:rPr>
        <w:t xml:space="preserve"> under section 6(h) of the Toxic Substances Control Act (TSCA) </w:t>
      </w:r>
      <w:r w:rsidRPr="008B2CDD" w:rsidR="00D9520D">
        <w:rPr>
          <w:rFonts w:asciiTheme="minorHAnsi" w:hAnsiTheme="minorHAnsi" w:cstheme="minorHAnsi"/>
          <w:szCs w:val="24"/>
        </w:rPr>
        <w:t xml:space="preserve">regarding </w:t>
      </w:r>
      <w:r w:rsidRPr="008B2CDD">
        <w:rPr>
          <w:rFonts w:asciiTheme="minorHAnsi" w:hAnsiTheme="minorHAnsi" w:cstheme="minorHAnsi"/>
          <w:szCs w:val="24"/>
        </w:rPr>
        <w:t>prohibitions and restrictions on</w:t>
      </w:r>
      <w:r w:rsidRPr="008B2CDD" w:rsidR="00D9520D">
        <w:rPr>
          <w:rFonts w:asciiTheme="minorHAnsi" w:hAnsiTheme="minorHAnsi" w:cstheme="minorHAnsi"/>
          <w:szCs w:val="24"/>
        </w:rPr>
        <w:t xml:space="preserve"> the following</w:t>
      </w:r>
      <w:r w:rsidRPr="008B2CDD">
        <w:rPr>
          <w:rFonts w:asciiTheme="minorHAnsi" w:hAnsiTheme="minorHAnsi" w:cstheme="minorHAnsi"/>
          <w:szCs w:val="24"/>
        </w:rPr>
        <w:t xml:space="preserve"> f</w:t>
      </w:r>
      <w:r w:rsidRPr="008B2CDD" w:rsidR="00D9520D">
        <w:rPr>
          <w:rFonts w:asciiTheme="minorHAnsi" w:hAnsiTheme="minorHAnsi" w:cstheme="minorHAnsi"/>
          <w:szCs w:val="24"/>
        </w:rPr>
        <w:t>ive</w:t>
      </w:r>
      <w:r w:rsidRPr="008B2CDD">
        <w:rPr>
          <w:rFonts w:asciiTheme="minorHAnsi" w:hAnsiTheme="minorHAnsi" w:cstheme="minorHAnsi"/>
          <w:szCs w:val="24"/>
        </w:rPr>
        <w:t xml:space="preserve"> chemical substances</w:t>
      </w:r>
      <w:r w:rsidRPr="008B2CDD" w:rsidR="00E66B5E">
        <w:rPr>
          <w:rFonts w:asciiTheme="minorHAnsi" w:hAnsiTheme="minorHAnsi" w:cstheme="minorHAnsi"/>
          <w:szCs w:val="24"/>
        </w:rPr>
        <w:t>:</w:t>
      </w:r>
      <w:r w:rsidRPr="008B2CDD">
        <w:rPr>
          <w:rFonts w:asciiTheme="minorHAnsi" w:hAnsiTheme="minorHAnsi" w:cstheme="minorHAnsi"/>
          <w:szCs w:val="24"/>
        </w:rPr>
        <w:t xml:space="preserve"> decabromodiphenyl ether (</w:t>
      </w:r>
      <w:r w:rsidRPr="008B2CDD" w:rsidR="00857177">
        <w:rPr>
          <w:rFonts w:asciiTheme="minorHAnsi" w:hAnsiTheme="minorHAnsi" w:cstheme="minorHAnsi"/>
          <w:szCs w:val="24"/>
        </w:rPr>
        <w:t>d</w:t>
      </w:r>
      <w:r w:rsidRPr="008B2CDD">
        <w:rPr>
          <w:rFonts w:asciiTheme="minorHAnsi" w:hAnsiTheme="minorHAnsi" w:cstheme="minorHAnsi"/>
          <w:szCs w:val="24"/>
        </w:rPr>
        <w:t>ecaBDE</w:t>
      </w:r>
      <w:r w:rsidRPr="008B2CDD">
        <w:rPr>
          <w:rFonts w:asciiTheme="minorHAnsi" w:hAnsiTheme="minorHAnsi" w:cstheme="minorHAnsi"/>
          <w:szCs w:val="24"/>
        </w:rPr>
        <w:t xml:space="preserve">) (Chemical Abstract Services Number (CASRN) 1163-19-5), </w:t>
      </w:r>
      <w:bookmarkStart w:id="3" w:name="_Hlk39569338"/>
      <w:r w:rsidRPr="008B2CDD">
        <w:rPr>
          <w:rFonts w:asciiTheme="minorHAnsi" w:hAnsiTheme="minorHAnsi" w:cstheme="minorHAnsi"/>
          <w:szCs w:val="24"/>
        </w:rPr>
        <w:t>phenol, isopropylated phosphate (3:1) (PIP (3:1)) (CASRN 68937-41-7)</w:t>
      </w:r>
      <w:bookmarkEnd w:id="3"/>
      <w:r w:rsidRPr="008B2CDD">
        <w:rPr>
          <w:rFonts w:asciiTheme="minorHAnsi" w:hAnsiTheme="minorHAnsi" w:cstheme="minorHAnsi"/>
          <w:szCs w:val="24"/>
        </w:rPr>
        <w:t>, 2,4,6-tris(tert-butyl)phenol (2,4,6-TTBP) (CASRN 732-26-3), pentachlorothiophenol (PCTP) (CASRN 133-49-3)</w:t>
      </w:r>
      <w:r w:rsidRPr="008B2CDD" w:rsidR="00743598">
        <w:rPr>
          <w:rFonts w:asciiTheme="minorHAnsi" w:hAnsiTheme="minorHAnsi" w:cstheme="minorHAnsi"/>
          <w:szCs w:val="24"/>
        </w:rPr>
        <w:t xml:space="preserve">, and </w:t>
      </w:r>
      <w:bookmarkStart w:id="4" w:name="_Hlk39572594"/>
      <w:r w:rsidRPr="008B2CDD" w:rsidR="00857177">
        <w:rPr>
          <w:rFonts w:asciiTheme="minorHAnsi" w:hAnsiTheme="minorHAnsi" w:cstheme="minorHAnsi"/>
          <w:szCs w:val="24"/>
          <w:lang w:bidi="en-US"/>
        </w:rPr>
        <w:t>h</w:t>
      </w:r>
      <w:r w:rsidRPr="008B2CDD" w:rsidR="00D507C5">
        <w:rPr>
          <w:rFonts w:asciiTheme="minorHAnsi" w:hAnsiTheme="minorHAnsi" w:cstheme="minorHAnsi"/>
          <w:szCs w:val="24"/>
          <w:lang w:bidi="en-US"/>
        </w:rPr>
        <w:t>exachlorobutadiene (HCBD)</w:t>
      </w:r>
      <w:r w:rsidRPr="008B2CDD" w:rsidR="00D507C5">
        <w:rPr>
          <w:rFonts w:asciiTheme="minorHAnsi" w:hAnsiTheme="minorHAnsi" w:cstheme="minorHAnsi"/>
          <w:szCs w:val="24"/>
        </w:rPr>
        <w:t xml:space="preserve"> (CASRN 87-68-3)</w:t>
      </w:r>
      <w:bookmarkEnd w:id="4"/>
      <w:r w:rsidRPr="008B2CDD" w:rsidR="00D507C5">
        <w:rPr>
          <w:rFonts w:asciiTheme="minorHAnsi" w:hAnsiTheme="minorHAnsi" w:cstheme="minorHAnsi"/>
          <w:szCs w:val="24"/>
        </w:rPr>
        <w:t>.</w:t>
      </w:r>
      <w:r w:rsidRPr="008B2CDD" w:rsidR="4311576B">
        <w:rPr>
          <w:rFonts w:asciiTheme="minorHAnsi" w:hAnsiTheme="minorHAnsi" w:cstheme="minorHAnsi"/>
          <w:szCs w:val="24"/>
        </w:rPr>
        <w:t xml:space="preserve"> Based on information submitted by regulated entities since the publication of the 2021 </w:t>
      </w:r>
      <w:r w:rsidRPr="008B2CDD" w:rsidR="4311576B">
        <w:rPr>
          <w:rFonts w:asciiTheme="minorHAnsi" w:hAnsiTheme="minorHAnsi" w:cstheme="minorHAnsi"/>
          <w:szCs w:val="24"/>
        </w:rPr>
        <w:t>decaBDE</w:t>
      </w:r>
      <w:r w:rsidRPr="008B2CDD" w:rsidR="4311576B">
        <w:rPr>
          <w:rFonts w:asciiTheme="minorHAnsi" w:hAnsiTheme="minorHAnsi" w:cstheme="minorHAnsi"/>
          <w:szCs w:val="24"/>
        </w:rPr>
        <w:t xml:space="preserve"> and PIP (3:1) final rules, the Agency has determined that amendments to both rules are necessary </w:t>
      </w:r>
      <w:r w:rsidRPr="008B2CDD" w:rsidR="00624EAF">
        <w:rPr>
          <w:rFonts w:asciiTheme="minorHAnsi" w:hAnsiTheme="minorHAnsi" w:cstheme="minorHAnsi"/>
          <w:szCs w:val="24"/>
        </w:rPr>
        <w:t>to address implementation issues and to further reduce the potential for exposures</w:t>
      </w:r>
      <w:r w:rsidRPr="008B2CDD" w:rsidR="4311576B">
        <w:rPr>
          <w:rFonts w:asciiTheme="minorHAnsi" w:hAnsiTheme="minorHAnsi" w:cstheme="minorHAnsi"/>
          <w:szCs w:val="24"/>
        </w:rPr>
        <w:t xml:space="preserve">. Thus, EPA is </w:t>
      </w:r>
      <w:r w:rsidRPr="008B2CDD" w:rsidR="003F382E">
        <w:rPr>
          <w:rFonts w:asciiTheme="minorHAnsi" w:hAnsiTheme="minorHAnsi" w:cstheme="minorHAnsi"/>
          <w:szCs w:val="24"/>
        </w:rPr>
        <w:t xml:space="preserve">finalizing </w:t>
      </w:r>
      <w:r w:rsidRPr="008B2CDD" w:rsidR="4311576B">
        <w:rPr>
          <w:rFonts w:asciiTheme="minorHAnsi" w:hAnsiTheme="minorHAnsi" w:cstheme="minorHAnsi"/>
          <w:szCs w:val="24"/>
        </w:rPr>
        <w:t xml:space="preserve">revisions to the 2021 </w:t>
      </w:r>
      <w:r w:rsidRPr="008B2CDD" w:rsidR="4311576B">
        <w:rPr>
          <w:rFonts w:asciiTheme="minorHAnsi" w:hAnsiTheme="minorHAnsi" w:cstheme="minorHAnsi"/>
          <w:szCs w:val="24"/>
        </w:rPr>
        <w:t>decaBDE</w:t>
      </w:r>
      <w:r w:rsidRPr="008B2CDD" w:rsidR="4311576B">
        <w:rPr>
          <w:rFonts w:asciiTheme="minorHAnsi" w:hAnsiTheme="minorHAnsi" w:cstheme="minorHAnsi"/>
          <w:szCs w:val="24"/>
        </w:rPr>
        <w:t xml:space="preserve"> and PIP (3:1) final rules under TSCA.</w:t>
      </w:r>
      <w:r w:rsidRPr="008B2CDD" w:rsidR="5F44C872">
        <w:rPr>
          <w:rFonts w:asciiTheme="minorHAnsi" w:hAnsiTheme="minorHAnsi" w:cstheme="minorHAnsi"/>
          <w:szCs w:val="24"/>
        </w:rPr>
        <w:t xml:space="preserve"> </w:t>
      </w:r>
      <w:r w:rsidRPr="008B2CDD" w:rsidR="009F710C">
        <w:rPr>
          <w:rFonts w:asciiTheme="minorHAnsi" w:hAnsiTheme="minorHAnsi" w:cstheme="minorHAnsi"/>
          <w:szCs w:val="24"/>
        </w:rPr>
        <w:t xml:space="preserve">EPA has developed this </w:t>
      </w:r>
      <w:r w:rsidRPr="008B2CDD" w:rsidR="002C331D">
        <w:rPr>
          <w:rFonts w:asciiTheme="minorHAnsi" w:hAnsiTheme="minorHAnsi" w:cstheme="minorHAnsi"/>
          <w:szCs w:val="24"/>
        </w:rPr>
        <w:t>Information Collection Request (</w:t>
      </w:r>
      <w:r w:rsidRPr="008B2CDD" w:rsidR="009F710C">
        <w:rPr>
          <w:rFonts w:asciiTheme="minorHAnsi" w:hAnsiTheme="minorHAnsi" w:cstheme="minorHAnsi"/>
          <w:szCs w:val="24"/>
        </w:rPr>
        <w:t>ICR</w:t>
      </w:r>
      <w:r w:rsidRPr="008B2CDD" w:rsidR="002C331D">
        <w:rPr>
          <w:rFonts w:asciiTheme="minorHAnsi" w:hAnsiTheme="minorHAnsi" w:cstheme="minorHAnsi"/>
          <w:szCs w:val="24"/>
        </w:rPr>
        <w:t>)</w:t>
      </w:r>
      <w:r w:rsidRPr="008B2CDD" w:rsidR="009F710C">
        <w:rPr>
          <w:rFonts w:asciiTheme="minorHAnsi" w:hAnsiTheme="minorHAnsi" w:cstheme="minorHAnsi"/>
          <w:szCs w:val="24"/>
        </w:rPr>
        <w:t xml:space="preserve"> that includes the total burden for </w:t>
      </w:r>
      <w:r w:rsidRPr="008B2CDD" w:rsidR="5F35192E">
        <w:rPr>
          <w:rFonts w:asciiTheme="minorHAnsi" w:hAnsiTheme="minorHAnsi" w:cstheme="minorHAnsi"/>
          <w:szCs w:val="24"/>
        </w:rPr>
        <w:t>these two chemicals</w:t>
      </w:r>
      <w:r w:rsidRPr="008B2CDD" w:rsidR="00933034">
        <w:rPr>
          <w:rFonts w:asciiTheme="minorHAnsi" w:hAnsiTheme="minorHAnsi" w:cstheme="minorHAnsi"/>
          <w:szCs w:val="24"/>
        </w:rPr>
        <w:t xml:space="preserve"> under the Paperwork Reduction Act (PRA)</w:t>
      </w:r>
      <w:r w:rsidRPr="008B2CDD" w:rsidR="00C0276C">
        <w:rPr>
          <w:rFonts w:asciiTheme="minorHAnsi" w:hAnsiTheme="minorHAnsi" w:cstheme="minorHAnsi"/>
          <w:szCs w:val="24"/>
        </w:rPr>
        <w:t xml:space="preserve"> </w:t>
      </w:r>
      <w:r w:rsidRPr="008B2CDD" w:rsidR="00C0276C">
        <w:rPr>
          <w:rFonts w:asciiTheme="minorHAnsi" w:hAnsiTheme="minorHAnsi" w:cstheme="minorHAnsi"/>
          <w:szCs w:val="24"/>
        </w:rPr>
        <w:t>and</w:t>
      </w:r>
      <w:r w:rsidRPr="008B2CDD" w:rsidR="00EE3A66">
        <w:rPr>
          <w:rFonts w:asciiTheme="minorHAnsi" w:hAnsiTheme="minorHAnsi" w:cstheme="minorHAnsi"/>
          <w:szCs w:val="24"/>
        </w:rPr>
        <w:t>,</w:t>
      </w:r>
      <w:r w:rsidRPr="008B2CDD" w:rsidR="00EE3A66">
        <w:rPr>
          <w:rFonts w:asciiTheme="minorHAnsi" w:hAnsiTheme="minorHAnsi" w:cstheme="minorHAnsi"/>
          <w:szCs w:val="24"/>
        </w:rPr>
        <w:t xml:space="preserve"> once approved by the Office of Management and Budget (OMB)</w:t>
      </w:r>
      <w:r w:rsidRPr="008B2CDD" w:rsidR="00951B6A">
        <w:rPr>
          <w:rFonts w:asciiTheme="minorHAnsi" w:hAnsiTheme="minorHAnsi" w:cstheme="minorHAnsi"/>
          <w:szCs w:val="24"/>
        </w:rPr>
        <w:t xml:space="preserve">, </w:t>
      </w:r>
      <w:r w:rsidRPr="008B2CDD" w:rsidR="00EE3A66">
        <w:rPr>
          <w:rFonts w:asciiTheme="minorHAnsi" w:hAnsiTheme="minorHAnsi" w:cstheme="minorHAnsi"/>
          <w:szCs w:val="24"/>
        </w:rPr>
        <w:t>EPA</w:t>
      </w:r>
      <w:r w:rsidRPr="008B2CDD" w:rsidR="00C0276C">
        <w:rPr>
          <w:rFonts w:asciiTheme="minorHAnsi" w:hAnsiTheme="minorHAnsi" w:cstheme="minorHAnsi"/>
          <w:szCs w:val="24"/>
        </w:rPr>
        <w:t xml:space="preserve"> will </w:t>
      </w:r>
      <w:r w:rsidRPr="008B2CDD" w:rsidR="00EE3A66">
        <w:rPr>
          <w:rFonts w:asciiTheme="minorHAnsi" w:hAnsiTheme="minorHAnsi" w:cstheme="minorHAnsi"/>
          <w:szCs w:val="24"/>
        </w:rPr>
        <w:t>merge these activities and estimates with t</w:t>
      </w:r>
      <w:r w:rsidRPr="008B2CDD" w:rsidR="00C0276C">
        <w:rPr>
          <w:rFonts w:asciiTheme="minorHAnsi" w:hAnsiTheme="minorHAnsi" w:cstheme="minorHAnsi"/>
          <w:szCs w:val="24"/>
        </w:rPr>
        <w:t xml:space="preserve">he existing ICR (EPA ICR No. 2599.03; OMB Control No 2070-0213), which includes all the </w:t>
      </w:r>
      <w:r w:rsidRPr="008B2CDD" w:rsidR="00EE3A66">
        <w:rPr>
          <w:rFonts w:asciiTheme="minorHAnsi" w:hAnsiTheme="minorHAnsi" w:cstheme="minorHAnsi"/>
          <w:szCs w:val="24"/>
        </w:rPr>
        <w:t xml:space="preserve">PBT </w:t>
      </w:r>
      <w:r w:rsidRPr="008B2CDD" w:rsidR="00C0276C">
        <w:rPr>
          <w:rFonts w:asciiTheme="minorHAnsi" w:hAnsiTheme="minorHAnsi" w:cstheme="minorHAnsi"/>
          <w:szCs w:val="24"/>
        </w:rPr>
        <w:t>chemicals from the previous rulemakings</w:t>
      </w:r>
      <w:r w:rsidRPr="008B2CDD" w:rsidR="009F710C">
        <w:rPr>
          <w:rFonts w:asciiTheme="minorHAnsi" w:hAnsiTheme="minorHAnsi" w:cstheme="minorHAnsi"/>
          <w:szCs w:val="24"/>
        </w:rPr>
        <w:t>.</w:t>
      </w:r>
    </w:p>
    <w:p w:rsidR="1178FDE4" w:rsidRPr="008B2CDD" w:rsidP="1178FDE4" w14:paraId="7D3283F1" w14:textId="1FF0A2E4">
      <w:pPr>
        <w:pStyle w:val="NoSpacing"/>
        <w:rPr>
          <w:rFonts w:asciiTheme="minorHAnsi" w:hAnsiTheme="minorHAnsi" w:cstheme="minorHAnsi"/>
          <w:szCs w:val="24"/>
        </w:rPr>
      </w:pPr>
    </w:p>
    <w:p w:rsidR="00F476B3" w:rsidRPr="008B2CDD" w:rsidP="00547A2E" w14:paraId="01571DDA" w14:textId="1BC62485">
      <w:pPr>
        <w:pStyle w:val="NoSpacing"/>
        <w:rPr>
          <w:rFonts w:asciiTheme="minorHAnsi" w:hAnsiTheme="minorHAnsi" w:cstheme="minorHAnsi"/>
          <w:szCs w:val="24"/>
        </w:rPr>
      </w:pPr>
      <w:r w:rsidRPr="008B2CDD">
        <w:rPr>
          <w:rFonts w:asciiTheme="minorHAnsi" w:hAnsiTheme="minorHAnsi" w:cstheme="minorHAnsi"/>
          <w:szCs w:val="24"/>
        </w:rPr>
        <w:t xml:space="preserve">This ICR addresses </w:t>
      </w:r>
      <w:r w:rsidRPr="008B2CDD" w:rsidR="002613CF">
        <w:rPr>
          <w:rFonts w:asciiTheme="minorHAnsi" w:hAnsiTheme="minorHAnsi" w:cstheme="minorHAnsi"/>
          <w:szCs w:val="24"/>
        </w:rPr>
        <w:t xml:space="preserve">the following information collection activities contained in EPA’s </w:t>
      </w:r>
      <w:r w:rsidRPr="008B2CDD">
        <w:rPr>
          <w:rFonts w:asciiTheme="minorHAnsi" w:hAnsiTheme="minorHAnsi" w:cstheme="minorHAnsi"/>
          <w:szCs w:val="24"/>
        </w:rPr>
        <w:t xml:space="preserve">revisions </w:t>
      </w:r>
      <w:r w:rsidRPr="008B2CDD" w:rsidR="002613CF">
        <w:rPr>
          <w:rFonts w:asciiTheme="minorHAnsi" w:hAnsiTheme="minorHAnsi" w:cstheme="minorHAnsi"/>
          <w:szCs w:val="24"/>
        </w:rPr>
        <w:t>to</w:t>
      </w:r>
      <w:r w:rsidRPr="008B2CDD">
        <w:rPr>
          <w:rFonts w:asciiTheme="minorHAnsi" w:hAnsiTheme="minorHAnsi" w:cstheme="minorHAnsi"/>
          <w:szCs w:val="24"/>
        </w:rPr>
        <w:t xml:space="preserve"> </w:t>
      </w:r>
      <w:r w:rsidRPr="008B2CDD" w:rsidR="002613CF">
        <w:rPr>
          <w:rFonts w:asciiTheme="minorHAnsi" w:hAnsiTheme="minorHAnsi" w:cstheme="minorHAnsi"/>
          <w:szCs w:val="24"/>
        </w:rPr>
        <w:t>the</w:t>
      </w:r>
      <w:r w:rsidRPr="008B2CDD" w:rsidR="00DE657A">
        <w:rPr>
          <w:rFonts w:asciiTheme="minorHAnsi" w:hAnsiTheme="minorHAnsi" w:cstheme="minorHAnsi"/>
          <w:szCs w:val="24"/>
        </w:rPr>
        <w:t xml:space="preserve"> 2021 final</w:t>
      </w:r>
      <w:r w:rsidRPr="008B2CDD" w:rsidR="002613CF">
        <w:rPr>
          <w:rFonts w:asciiTheme="minorHAnsi" w:hAnsiTheme="minorHAnsi" w:cstheme="minorHAnsi"/>
          <w:szCs w:val="24"/>
        </w:rPr>
        <w:t xml:space="preserve"> </w:t>
      </w:r>
      <w:r w:rsidRPr="008B2CDD">
        <w:rPr>
          <w:rFonts w:asciiTheme="minorHAnsi" w:hAnsiTheme="minorHAnsi" w:cstheme="minorHAnsi"/>
          <w:szCs w:val="24"/>
        </w:rPr>
        <w:t xml:space="preserve">rules for </w:t>
      </w:r>
      <w:r w:rsidRPr="008B2CDD">
        <w:rPr>
          <w:rFonts w:asciiTheme="minorHAnsi" w:hAnsiTheme="minorHAnsi" w:cstheme="minorHAnsi"/>
          <w:szCs w:val="24"/>
        </w:rPr>
        <w:t>decaBDE</w:t>
      </w:r>
      <w:r w:rsidRPr="008B2CDD">
        <w:rPr>
          <w:rFonts w:asciiTheme="minorHAnsi" w:hAnsiTheme="minorHAnsi" w:cstheme="minorHAnsi"/>
          <w:szCs w:val="24"/>
        </w:rPr>
        <w:t xml:space="preserve"> and PIP (3:1) </w:t>
      </w:r>
      <w:r w:rsidRPr="008B2CDD" w:rsidR="282FAF62">
        <w:rPr>
          <w:rFonts w:asciiTheme="minorHAnsi" w:hAnsiTheme="minorHAnsi" w:cstheme="minorHAnsi"/>
          <w:szCs w:val="24"/>
        </w:rPr>
        <w:t>under TSCA section 6(h)</w:t>
      </w:r>
      <w:r w:rsidRPr="008B2CDD">
        <w:rPr>
          <w:rFonts w:asciiTheme="minorHAnsi" w:hAnsiTheme="minorHAnsi" w:cstheme="minorHAnsi"/>
          <w:szCs w:val="24"/>
        </w:rPr>
        <w:t xml:space="preserve">. </w:t>
      </w:r>
    </w:p>
    <w:p w:rsidR="00F476B3" w:rsidRPr="008B2CDD" w:rsidP="00547A2E" w14:paraId="1684B165" w14:textId="77777777">
      <w:pPr>
        <w:pStyle w:val="NoSpacing"/>
        <w:rPr>
          <w:rFonts w:asciiTheme="minorHAnsi" w:hAnsiTheme="minorHAnsi" w:cstheme="minorHAnsi"/>
          <w:szCs w:val="24"/>
        </w:rPr>
      </w:pPr>
    </w:p>
    <w:p w:rsidR="00F476B3" w:rsidRPr="008B2CDD" w:rsidP="00547A2E" w14:paraId="025ABC66" w14:textId="77777777">
      <w:pPr>
        <w:pStyle w:val="NoSpacing"/>
        <w:rPr>
          <w:rFonts w:asciiTheme="minorHAnsi" w:hAnsiTheme="minorHAnsi" w:cstheme="minorHAnsi"/>
          <w:szCs w:val="24"/>
        </w:rPr>
      </w:pPr>
      <w:r w:rsidRPr="008B2CDD">
        <w:rPr>
          <w:rFonts w:asciiTheme="minorHAnsi" w:hAnsiTheme="minorHAnsi" w:cstheme="minorHAnsi"/>
          <w:szCs w:val="24"/>
        </w:rPr>
        <w:t xml:space="preserve">For </w:t>
      </w:r>
      <w:r w:rsidRPr="008B2CDD">
        <w:rPr>
          <w:rFonts w:asciiTheme="minorHAnsi" w:hAnsiTheme="minorHAnsi" w:cstheme="minorHAnsi"/>
          <w:szCs w:val="24"/>
        </w:rPr>
        <w:t>decaBDE</w:t>
      </w:r>
      <w:r w:rsidRPr="008B2CDD">
        <w:rPr>
          <w:rFonts w:asciiTheme="minorHAnsi" w:hAnsiTheme="minorHAnsi" w:cstheme="minorHAnsi"/>
          <w:szCs w:val="24"/>
        </w:rPr>
        <w:t>:</w:t>
      </w:r>
    </w:p>
    <w:p w:rsidR="00F476B3" w:rsidRPr="008B2CDD" w:rsidP="00AF28CA" w14:paraId="780634FA" w14:textId="469267BF">
      <w:pPr>
        <w:pStyle w:val="NoSpacing"/>
        <w:numPr>
          <w:ilvl w:val="0"/>
          <w:numId w:val="36"/>
        </w:numPr>
        <w:ind w:left="720"/>
        <w:rPr>
          <w:rFonts w:asciiTheme="minorHAnsi" w:hAnsiTheme="minorHAnsi" w:cstheme="minorHAnsi"/>
          <w:szCs w:val="24"/>
        </w:rPr>
      </w:pPr>
      <w:r w:rsidRPr="008B2CDD">
        <w:rPr>
          <w:rFonts w:asciiTheme="minorHAnsi" w:hAnsiTheme="minorHAnsi" w:cstheme="minorHAnsi"/>
          <w:szCs w:val="24"/>
        </w:rPr>
        <w:t xml:space="preserve">Third-party disclosure for export notification for </w:t>
      </w:r>
      <w:r w:rsidRPr="008B2CDD">
        <w:rPr>
          <w:rFonts w:asciiTheme="minorHAnsi" w:hAnsiTheme="minorHAnsi" w:cstheme="minorHAnsi"/>
          <w:szCs w:val="24"/>
        </w:rPr>
        <w:t>decaBDE</w:t>
      </w:r>
      <w:r w:rsidRPr="008B2CDD">
        <w:rPr>
          <w:rFonts w:asciiTheme="minorHAnsi" w:hAnsiTheme="minorHAnsi" w:cstheme="minorHAnsi"/>
          <w:szCs w:val="24"/>
        </w:rPr>
        <w:t>-containing wire and cable for nuclear power generation facilities</w:t>
      </w:r>
      <w:r w:rsidRPr="008B2CDD" w:rsidR="00674B42">
        <w:rPr>
          <w:rFonts w:asciiTheme="minorHAnsi" w:hAnsiTheme="minorHAnsi" w:cstheme="minorHAnsi"/>
          <w:szCs w:val="24"/>
        </w:rPr>
        <w:t>.</w:t>
      </w:r>
    </w:p>
    <w:p w:rsidR="00257B62" w:rsidRPr="008B2CDD" w:rsidP="00AF28CA" w14:paraId="5F61CFBD" w14:textId="77777777">
      <w:pPr>
        <w:pStyle w:val="NoSpacing"/>
        <w:numPr>
          <w:ilvl w:val="0"/>
          <w:numId w:val="36"/>
        </w:numPr>
        <w:ind w:left="720"/>
        <w:rPr>
          <w:rFonts w:asciiTheme="minorHAnsi" w:hAnsiTheme="minorHAnsi" w:cstheme="minorHAnsi"/>
          <w:szCs w:val="24"/>
        </w:rPr>
      </w:pPr>
      <w:r w:rsidRPr="008B2CDD">
        <w:rPr>
          <w:rFonts w:asciiTheme="minorHAnsi" w:hAnsiTheme="minorHAnsi" w:cstheme="minorHAnsi"/>
          <w:szCs w:val="24"/>
        </w:rPr>
        <w:t>Worker protection information generation, recordkeeping, and notification requirements, including:</w:t>
      </w:r>
    </w:p>
    <w:p w:rsidR="00507312" w:rsidRPr="008B2CDD" w:rsidP="00AF28CA" w14:paraId="55E1A4EC" w14:textId="047EDBDD">
      <w:pPr>
        <w:pStyle w:val="NoSpacing"/>
        <w:numPr>
          <w:ilvl w:val="1"/>
          <w:numId w:val="36"/>
        </w:numPr>
        <w:ind w:left="1080"/>
        <w:rPr>
          <w:rFonts w:asciiTheme="minorHAnsi" w:hAnsiTheme="minorHAnsi" w:cstheme="minorHAnsi"/>
          <w:szCs w:val="24"/>
        </w:rPr>
      </w:pPr>
      <w:r w:rsidRPr="008B2CDD">
        <w:rPr>
          <w:rFonts w:asciiTheme="minorHAnsi" w:hAnsiTheme="minorHAnsi" w:cstheme="minorHAnsi"/>
          <w:szCs w:val="24"/>
        </w:rPr>
        <w:t xml:space="preserve">Development of </w:t>
      </w:r>
      <w:r w:rsidRPr="008B2CDD" w:rsidR="00042A05">
        <w:rPr>
          <w:rFonts w:asciiTheme="minorHAnsi" w:hAnsiTheme="minorHAnsi" w:cstheme="minorHAnsi"/>
          <w:szCs w:val="24"/>
        </w:rPr>
        <w:t>documentation of</w:t>
      </w:r>
      <w:r w:rsidRPr="008B2CDD">
        <w:rPr>
          <w:rFonts w:asciiTheme="minorHAnsi" w:hAnsiTheme="minorHAnsi" w:cstheme="minorHAnsi"/>
          <w:szCs w:val="24"/>
        </w:rPr>
        <w:t xml:space="preserve"> respiratory protection program</w:t>
      </w:r>
      <w:r w:rsidRPr="008B2CDD" w:rsidR="00C46131">
        <w:rPr>
          <w:rFonts w:asciiTheme="minorHAnsi" w:hAnsiTheme="minorHAnsi" w:cstheme="minorHAnsi"/>
          <w:szCs w:val="24"/>
        </w:rPr>
        <w:t xml:space="preserve"> and selection of </w:t>
      </w:r>
      <w:r w:rsidRPr="008B2CDD" w:rsidR="00AB67A3">
        <w:rPr>
          <w:rFonts w:asciiTheme="minorHAnsi" w:hAnsiTheme="minorHAnsi" w:cstheme="minorHAnsi"/>
          <w:szCs w:val="24"/>
        </w:rPr>
        <w:t>personal protective equipment (</w:t>
      </w:r>
      <w:r w:rsidRPr="008B2CDD" w:rsidR="00C46131">
        <w:rPr>
          <w:rFonts w:asciiTheme="minorHAnsi" w:hAnsiTheme="minorHAnsi" w:cstheme="minorHAnsi"/>
          <w:szCs w:val="24"/>
        </w:rPr>
        <w:t>PPE</w:t>
      </w:r>
      <w:r w:rsidRPr="008B2CDD" w:rsidR="00AB67A3">
        <w:rPr>
          <w:rFonts w:asciiTheme="minorHAnsi" w:hAnsiTheme="minorHAnsi" w:cstheme="minorHAnsi"/>
          <w:szCs w:val="24"/>
        </w:rPr>
        <w:t>)</w:t>
      </w:r>
      <w:r w:rsidRPr="008B2CDD" w:rsidR="00C46131">
        <w:rPr>
          <w:rFonts w:asciiTheme="minorHAnsi" w:hAnsiTheme="minorHAnsi" w:cstheme="minorHAnsi"/>
          <w:szCs w:val="24"/>
        </w:rPr>
        <w:t>,</w:t>
      </w:r>
      <w:r w:rsidRPr="008B2CDD">
        <w:rPr>
          <w:rFonts w:asciiTheme="minorHAnsi" w:hAnsiTheme="minorHAnsi" w:cstheme="minorHAnsi"/>
          <w:szCs w:val="24"/>
        </w:rPr>
        <w:t xml:space="preserve"> and </w:t>
      </w:r>
      <w:r w:rsidRPr="008B2CDD" w:rsidR="00042A05">
        <w:rPr>
          <w:rFonts w:asciiTheme="minorHAnsi" w:hAnsiTheme="minorHAnsi" w:cstheme="minorHAnsi"/>
          <w:szCs w:val="24"/>
        </w:rPr>
        <w:t>related recordkeeping;</w:t>
      </w:r>
    </w:p>
    <w:p w:rsidR="004C68E2" w:rsidRPr="008B2CDD" w:rsidP="00AF28CA" w14:paraId="4C0ED8B2" w14:textId="7A4441C5">
      <w:pPr>
        <w:pStyle w:val="NoSpacing"/>
        <w:numPr>
          <w:ilvl w:val="1"/>
          <w:numId w:val="36"/>
        </w:numPr>
        <w:ind w:left="1080"/>
        <w:rPr>
          <w:rFonts w:asciiTheme="minorHAnsi" w:hAnsiTheme="minorHAnsi" w:cstheme="minorHAnsi"/>
          <w:szCs w:val="24"/>
        </w:rPr>
      </w:pPr>
      <w:r w:rsidRPr="008B2CDD">
        <w:rPr>
          <w:rFonts w:asciiTheme="minorHAnsi" w:hAnsiTheme="minorHAnsi" w:cstheme="minorHAnsi"/>
          <w:szCs w:val="24"/>
        </w:rPr>
        <w:t xml:space="preserve">Development of documentation </w:t>
      </w:r>
      <w:r w:rsidRPr="008B2CDD" w:rsidR="00AA34C5">
        <w:rPr>
          <w:rFonts w:asciiTheme="minorHAnsi" w:hAnsiTheme="minorHAnsi" w:cstheme="minorHAnsi"/>
          <w:szCs w:val="24"/>
        </w:rPr>
        <w:t>for designated areas and related recordkeeping</w:t>
      </w:r>
      <w:r w:rsidRPr="008B2CDD" w:rsidR="00020384">
        <w:rPr>
          <w:rFonts w:asciiTheme="minorHAnsi" w:hAnsiTheme="minorHAnsi" w:cstheme="minorHAnsi"/>
          <w:szCs w:val="24"/>
        </w:rPr>
        <w:t>; and</w:t>
      </w:r>
    </w:p>
    <w:p w:rsidR="00556903" w:rsidRPr="008B2CDD" w:rsidP="00B02810" w14:paraId="0248B468" w14:textId="3B209DCD">
      <w:pPr>
        <w:pStyle w:val="NoSpacing"/>
        <w:numPr>
          <w:ilvl w:val="1"/>
          <w:numId w:val="36"/>
        </w:numPr>
        <w:spacing w:after="240"/>
        <w:ind w:left="1080"/>
        <w:rPr>
          <w:rFonts w:asciiTheme="minorHAnsi" w:hAnsiTheme="minorHAnsi" w:cstheme="minorHAnsi"/>
          <w:szCs w:val="24"/>
        </w:rPr>
      </w:pPr>
      <w:r w:rsidRPr="008B2CDD">
        <w:rPr>
          <w:rFonts w:asciiTheme="minorHAnsi" w:hAnsiTheme="minorHAnsi" w:cstheme="minorHAnsi"/>
          <w:szCs w:val="24"/>
        </w:rPr>
        <w:t>Development and notification to potentially exposed persons (employees and others in the workplace) about how they can access the exposure control, exposure monitoring records, PPE program implementation documentation, and respirator program documentation</w:t>
      </w:r>
      <w:bookmarkStart w:id="5" w:name="_Hlk165035588"/>
      <w:r w:rsidRPr="008B2CDD" w:rsidR="00AF28CA">
        <w:rPr>
          <w:rFonts w:asciiTheme="minorHAnsi" w:hAnsiTheme="minorHAnsi" w:cstheme="minorHAnsi"/>
          <w:szCs w:val="24"/>
        </w:rPr>
        <w:t>.</w:t>
      </w:r>
    </w:p>
    <w:bookmarkEnd w:id="5"/>
    <w:p w:rsidR="00556903" w:rsidRPr="008B2CDD" w:rsidP="00556903" w14:paraId="7333B922" w14:textId="77777777">
      <w:pPr>
        <w:pStyle w:val="NoSpacing"/>
        <w:rPr>
          <w:rFonts w:asciiTheme="minorHAnsi" w:hAnsiTheme="minorHAnsi" w:cstheme="minorHAnsi"/>
          <w:szCs w:val="24"/>
        </w:rPr>
      </w:pPr>
      <w:r w:rsidRPr="008B2CDD">
        <w:rPr>
          <w:rFonts w:asciiTheme="minorHAnsi" w:hAnsiTheme="minorHAnsi" w:cstheme="minorHAnsi"/>
          <w:szCs w:val="24"/>
        </w:rPr>
        <w:t>For PIP (3:1):</w:t>
      </w:r>
    </w:p>
    <w:p w:rsidR="00AD26C9" w:rsidRPr="008B2CDD" w:rsidP="00AF28CA" w14:paraId="7810C974" w14:textId="514C9E79">
      <w:pPr>
        <w:pStyle w:val="ListParagraph"/>
        <w:widowControl w:val="0"/>
        <w:numPr>
          <w:ilvl w:val="0"/>
          <w:numId w:val="38"/>
        </w:numPr>
        <w:autoSpaceDE w:val="0"/>
        <w:autoSpaceDN w:val="0"/>
        <w:contextualSpacing w:val="0"/>
        <w:rPr>
          <w:rFonts w:asciiTheme="minorHAnsi" w:hAnsiTheme="minorHAnsi" w:cstheme="minorHAnsi"/>
          <w:szCs w:val="24"/>
        </w:rPr>
      </w:pPr>
      <w:r w:rsidRPr="008B2CDD">
        <w:rPr>
          <w:rFonts w:asciiTheme="minorHAnsi" w:hAnsiTheme="minorHAnsi" w:cstheme="minorHAnsi"/>
          <w:szCs w:val="24"/>
        </w:rPr>
        <w:t>Downstream notification requirements through Safety Data Sheets (SDS)</w:t>
      </w:r>
      <w:r w:rsidRPr="008B2CDD" w:rsidR="00D17EA2">
        <w:rPr>
          <w:rFonts w:asciiTheme="minorHAnsi" w:hAnsiTheme="minorHAnsi" w:cstheme="minorHAnsi"/>
          <w:szCs w:val="24"/>
        </w:rPr>
        <w:t xml:space="preserve"> or label</w:t>
      </w:r>
      <w:r w:rsidRPr="008B2CDD">
        <w:rPr>
          <w:rFonts w:asciiTheme="minorHAnsi" w:hAnsiTheme="minorHAnsi" w:cstheme="minorHAnsi"/>
          <w:szCs w:val="24"/>
        </w:rPr>
        <w:t>,</w:t>
      </w:r>
    </w:p>
    <w:p w:rsidR="00AD26C9" w:rsidRPr="008B2CDD" w:rsidP="00AD26C9" w14:paraId="2063229C" w14:textId="77777777">
      <w:pPr>
        <w:pStyle w:val="NoSpacing"/>
        <w:numPr>
          <w:ilvl w:val="0"/>
          <w:numId w:val="36"/>
        </w:numPr>
        <w:ind w:left="720"/>
        <w:rPr>
          <w:rFonts w:asciiTheme="minorHAnsi" w:hAnsiTheme="minorHAnsi" w:cstheme="minorHAnsi"/>
          <w:szCs w:val="24"/>
        </w:rPr>
      </w:pPr>
      <w:r w:rsidRPr="008B2CDD">
        <w:rPr>
          <w:rFonts w:asciiTheme="minorHAnsi" w:hAnsiTheme="minorHAnsi" w:cstheme="minorHAnsi"/>
          <w:szCs w:val="24"/>
        </w:rPr>
        <w:t>Worker protection information generation, recordkeeping, and notification requirements, including:</w:t>
      </w:r>
    </w:p>
    <w:p w:rsidR="00AD26C9" w:rsidRPr="008B2CDD" w:rsidP="00AD26C9" w14:paraId="5217AB4E" w14:textId="77777777">
      <w:pPr>
        <w:pStyle w:val="NoSpacing"/>
        <w:numPr>
          <w:ilvl w:val="1"/>
          <w:numId w:val="36"/>
        </w:numPr>
        <w:ind w:left="1080"/>
        <w:rPr>
          <w:rFonts w:asciiTheme="minorHAnsi" w:hAnsiTheme="minorHAnsi" w:cstheme="minorHAnsi"/>
          <w:szCs w:val="24"/>
        </w:rPr>
      </w:pPr>
      <w:r w:rsidRPr="008B2CDD">
        <w:rPr>
          <w:rFonts w:asciiTheme="minorHAnsi" w:hAnsiTheme="minorHAnsi" w:cstheme="minorHAnsi"/>
          <w:szCs w:val="24"/>
        </w:rPr>
        <w:t>Development of documentation of respiratory protection program and selection of PPE, and related recordkeeping;</w:t>
      </w:r>
    </w:p>
    <w:p w:rsidR="00AD26C9" w:rsidRPr="008B2CDD" w:rsidP="00AD26C9" w14:paraId="7113C1AD" w14:textId="77777777">
      <w:pPr>
        <w:pStyle w:val="NoSpacing"/>
        <w:numPr>
          <w:ilvl w:val="1"/>
          <w:numId w:val="36"/>
        </w:numPr>
        <w:ind w:left="1080"/>
        <w:rPr>
          <w:rFonts w:asciiTheme="minorHAnsi" w:hAnsiTheme="minorHAnsi" w:cstheme="minorHAnsi"/>
          <w:szCs w:val="24"/>
        </w:rPr>
      </w:pPr>
      <w:r w:rsidRPr="008B2CDD">
        <w:rPr>
          <w:rFonts w:asciiTheme="minorHAnsi" w:hAnsiTheme="minorHAnsi" w:cstheme="minorHAnsi"/>
          <w:szCs w:val="24"/>
        </w:rPr>
        <w:t>Development of documentation for designated areas and related recordkeeping; and</w:t>
      </w:r>
    </w:p>
    <w:p w:rsidR="00AD26C9" w:rsidRPr="008B2CDD" w:rsidP="00AD26C9" w14:paraId="1DF9EABB" w14:textId="40F83635">
      <w:pPr>
        <w:pStyle w:val="NoSpacing"/>
        <w:numPr>
          <w:ilvl w:val="1"/>
          <w:numId w:val="36"/>
        </w:numPr>
        <w:ind w:left="1080"/>
        <w:rPr>
          <w:rFonts w:asciiTheme="minorHAnsi" w:hAnsiTheme="minorHAnsi" w:cstheme="minorHAnsi"/>
          <w:szCs w:val="24"/>
        </w:rPr>
      </w:pPr>
      <w:r w:rsidRPr="008B2CDD">
        <w:rPr>
          <w:rFonts w:asciiTheme="minorHAnsi" w:hAnsiTheme="minorHAnsi" w:cstheme="minorHAnsi"/>
          <w:szCs w:val="24"/>
        </w:rPr>
        <w:t>Development and notification to potentially exposed persons (employees and others in the workplace) about how they can access the exposure control, exposure monitoring records, PPE program implementation documentation, and respirator program documentation</w:t>
      </w:r>
      <w:r w:rsidRPr="008B2CDD" w:rsidR="00AF28CA">
        <w:rPr>
          <w:rFonts w:asciiTheme="minorHAnsi" w:hAnsiTheme="minorHAnsi" w:cstheme="minorHAnsi"/>
          <w:szCs w:val="24"/>
        </w:rPr>
        <w:t>.</w:t>
      </w:r>
      <w:r w:rsidRPr="008B2CDD">
        <w:rPr>
          <w:rFonts w:asciiTheme="minorHAnsi" w:hAnsiTheme="minorHAnsi" w:cstheme="minorHAnsi"/>
          <w:szCs w:val="24"/>
        </w:rPr>
        <w:t xml:space="preserve"> </w:t>
      </w:r>
    </w:p>
    <w:p w:rsidR="00AD26C9" w:rsidRPr="008B2CDD" w:rsidP="00556903" w14:paraId="3A3C0DCB" w14:textId="370D6146">
      <w:pPr>
        <w:pStyle w:val="NoSpacing"/>
        <w:rPr>
          <w:rFonts w:asciiTheme="minorHAnsi" w:hAnsiTheme="minorHAnsi" w:cstheme="minorHAnsi"/>
          <w:szCs w:val="24"/>
        </w:rPr>
      </w:pPr>
    </w:p>
    <w:p w:rsidR="004372D4" w:rsidRPr="008B2CDD" w:rsidP="00547A2E" w14:paraId="759CCD37" w14:textId="5EBA722E">
      <w:pPr>
        <w:pStyle w:val="NoSpacing"/>
        <w:rPr>
          <w:rFonts w:asciiTheme="minorHAnsi" w:hAnsiTheme="minorHAnsi" w:cstheme="minorHAnsi"/>
          <w:i/>
          <w:iCs/>
          <w:szCs w:val="24"/>
        </w:rPr>
      </w:pPr>
      <w:r w:rsidRPr="008B2CDD">
        <w:rPr>
          <w:rFonts w:asciiTheme="minorHAnsi" w:hAnsiTheme="minorHAnsi" w:cstheme="minorHAnsi"/>
          <w:szCs w:val="24"/>
        </w:rPr>
        <w:t>The final rule also requires that records be retained for 5 years from the date of generation.</w:t>
      </w:r>
    </w:p>
    <w:p w:rsidR="00AF28CA" w:rsidRPr="008B2CDD" w:rsidP="7ED6D7B6" w14:paraId="10B047E7" w14:textId="77777777">
      <w:pPr>
        <w:pStyle w:val="Caption"/>
        <w:rPr>
          <w:rFonts w:asciiTheme="minorHAnsi" w:hAnsiTheme="minorHAnsi" w:cstheme="minorHAnsi"/>
          <w:color w:val="auto"/>
          <w:sz w:val="24"/>
          <w:szCs w:val="24"/>
        </w:rPr>
      </w:pPr>
      <w:bookmarkStart w:id="6" w:name="_Ref138078006"/>
    </w:p>
    <w:p w:rsidR="00B71A7E" w:rsidRPr="008B2CDD" w:rsidP="7ED6D7B6" w14:paraId="331E12AE" w14:textId="070973E8">
      <w:pPr>
        <w:pStyle w:val="Caption"/>
        <w:rPr>
          <w:rFonts w:asciiTheme="minorHAnsi" w:hAnsiTheme="minorHAnsi" w:cstheme="minorHAnsi"/>
          <w:color w:val="auto"/>
          <w:sz w:val="24"/>
          <w:szCs w:val="24"/>
        </w:rPr>
      </w:pPr>
      <w:r w:rsidRPr="008B2CDD">
        <w:rPr>
          <w:rFonts w:asciiTheme="minorHAnsi" w:hAnsiTheme="minorHAnsi" w:cstheme="minorHAnsi"/>
          <w:color w:val="auto"/>
          <w:sz w:val="24"/>
          <w:szCs w:val="24"/>
        </w:rPr>
        <w:t xml:space="preserve">Table </w:t>
      </w:r>
      <w:r w:rsidRPr="008B2CDD">
        <w:rPr>
          <w:rFonts w:asciiTheme="minorHAnsi" w:hAnsiTheme="minorHAnsi" w:cstheme="minorHAnsi"/>
          <w:sz w:val="24"/>
          <w:szCs w:val="24"/>
        </w:rPr>
        <w:fldChar w:fldCharType="begin"/>
      </w:r>
      <w:r w:rsidRPr="008B2CDD">
        <w:rPr>
          <w:rFonts w:asciiTheme="minorHAnsi" w:hAnsiTheme="minorHAnsi" w:cstheme="minorHAnsi"/>
          <w:color w:val="auto"/>
          <w:sz w:val="24"/>
          <w:szCs w:val="24"/>
        </w:rPr>
        <w:instrText xml:space="preserve"> SEQ Table \* ARABIC </w:instrText>
      </w:r>
      <w:r w:rsidRPr="008B2CDD">
        <w:rPr>
          <w:rFonts w:asciiTheme="minorHAnsi" w:hAnsiTheme="minorHAnsi" w:cstheme="minorHAnsi"/>
          <w:sz w:val="24"/>
          <w:szCs w:val="24"/>
        </w:rPr>
        <w:fldChar w:fldCharType="separate"/>
      </w:r>
      <w:r w:rsidRPr="008B2CDD">
        <w:rPr>
          <w:rFonts w:asciiTheme="minorHAnsi" w:hAnsiTheme="minorHAnsi" w:cstheme="minorHAnsi"/>
          <w:noProof/>
          <w:color w:val="auto"/>
          <w:sz w:val="24"/>
          <w:szCs w:val="24"/>
        </w:rPr>
        <w:t>1</w:t>
      </w:r>
      <w:r w:rsidRPr="008B2CDD">
        <w:rPr>
          <w:rFonts w:asciiTheme="minorHAnsi" w:hAnsiTheme="minorHAnsi" w:cstheme="minorHAnsi"/>
          <w:sz w:val="24"/>
          <w:szCs w:val="24"/>
        </w:rPr>
        <w:fldChar w:fldCharType="end"/>
      </w:r>
      <w:bookmarkEnd w:id="6"/>
      <w:r w:rsidRPr="008B2CDD">
        <w:rPr>
          <w:rFonts w:asciiTheme="minorHAnsi" w:hAnsiTheme="minorHAnsi" w:cstheme="minorHAnsi"/>
          <w:color w:val="auto"/>
          <w:sz w:val="24"/>
          <w:szCs w:val="24"/>
        </w:rPr>
        <w:t xml:space="preserve">: Summary Total Burden </w:t>
      </w:r>
    </w:p>
    <w:p w:rsidR="00B71A7E" w:rsidRPr="008B2CDD" w:rsidP="00B71A7E" w14:paraId="3124D67A" w14:textId="77777777">
      <w:pPr>
        <w:rPr>
          <w:rFonts w:asciiTheme="minorHAnsi" w:hAnsiTheme="minorHAnsi" w:cstheme="minorHAnsi"/>
          <w:szCs w:val="24"/>
          <w:lang w:bidi="en-US"/>
        </w:rPr>
      </w:pPr>
    </w:p>
    <w:tbl>
      <w:tblPr>
        <w:tblW w:w="10070" w:type="dxa"/>
        <w:tblLook w:val="04A0"/>
      </w:tblPr>
      <w:tblGrid>
        <w:gridCol w:w="2370"/>
        <w:gridCol w:w="1620"/>
        <w:gridCol w:w="1620"/>
        <w:gridCol w:w="1688"/>
        <w:gridCol w:w="1531"/>
        <w:gridCol w:w="1241"/>
      </w:tblGrid>
      <w:tr w14:paraId="236AF2DC" w14:textId="3AF4C9E9" w:rsidTr="00ED7945">
        <w:tblPrEx>
          <w:tblW w:w="10070" w:type="dxa"/>
          <w:tblLook w:val="04A0"/>
        </w:tblPrEx>
        <w:trPr>
          <w:trHeight w:val="528"/>
        </w:trPr>
        <w:tc>
          <w:tcPr>
            <w:tcW w:w="23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D7945" w:rsidRPr="008B2CDD" w:rsidP="00F764F8" w14:paraId="18D45097" w14:textId="3449A350">
            <w:pPr>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Activity IC</w:t>
            </w:r>
          </w:p>
        </w:tc>
        <w:tc>
          <w:tcPr>
            <w:tcW w:w="16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D7945" w:rsidRPr="008B2CDD" w:rsidP="00F764F8" w14:paraId="24246ADA" w14:textId="0BEC54B1">
            <w:pPr>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Number of Respondents</w:t>
            </w:r>
          </w:p>
        </w:tc>
        <w:tc>
          <w:tcPr>
            <w:tcW w:w="16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D7945" w:rsidRPr="008B2CDD" w:rsidP="00F764F8" w14:paraId="2423F74D" w14:textId="166CE692">
            <w:pPr>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 xml:space="preserve">Annual Number of Responses </w:t>
            </w:r>
          </w:p>
        </w:tc>
        <w:tc>
          <w:tcPr>
            <w:tcW w:w="16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D7945" w:rsidRPr="008B2CDD" w:rsidP="7ED6D7B6" w14:paraId="12D3111A" w14:textId="7FC1B52C">
            <w:pPr>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themeColor="text1"/>
                <w:szCs w:val="24"/>
              </w:rPr>
              <w:t xml:space="preserve">Average Annual Responses per Respondent </w:t>
            </w:r>
          </w:p>
        </w:tc>
        <w:tc>
          <w:tcPr>
            <w:tcW w:w="153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D7945" w:rsidRPr="008B2CDD" w:rsidP="7ED6D7B6" w14:paraId="4643DAE7" w14:textId="422F37D1">
            <w:pPr>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themeColor="text1"/>
                <w:szCs w:val="24"/>
              </w:rPr>
              <w:t>Annual  Burden (Hours)</w:t>
            </w:r>
          </w:p>
        </w:tc>
        <w:tc>
          <w:tcPr>
            <w:tcW w:w="1241" w:type="dxa"/>
            <w:tcBorders>
              <w:top w:val="single" w:sz="4" w:space="0" w:color="auto"/>
              <w:left w:val="nil"/>
              <w:bottom w:val="single" w:sz="4" w:space="0" w:color="auto"/>
              <w:right w:val="single" w:sz="4" w:space="0" w:color="auto"/>
            </w:tcBorders>
            <w:shd w:val="clear" w:color="auto" w:fill="BFBFBF" w:themeFill="background1" w:themeFillShade="BF"/>
          </w:tcPr>
          <w:p w:rsidR="00ED7945" w:rsidRPr="008B2CDD" w:rsidP="7ED6D7B6" w14:paraId="5BF2CD14" w14:textId="5EC383D8">
            <w:pPr>
              <w:jc w:val="center"/>
              <w:rPr>
                <w:rFonts w:eastAsia="Times New Roman" w:asciiTheme="minorHAnsi" w:hAnsiTheme="minorHAnsi" w:cstheme="minorHAnsi"/>
                <w:b/>
                <w:bCs/>
                <w:color w:val="000000" w:themeColor="text1"/>
                <w:szCs w:val="24"/>
              </w:rPr>
            </w:pPr>
            <w:r w:rsidRPr="008B2CDD">
              <w:rPr>
                <w:rFonts w:eastAsia="Times New Roman" w:asciiTheme="minorHAnsi" w:hAnsiTheme="minorHAnsi" w:cstheme="minorHAnsi"/>
                <w:b/>
                <w:bCs/>
                <w:color w:val="000000" w:themeColor="text1"/>
                <w:szCs w:val="24"/>
              </w:rPr>
              <w:t>Annual O&amp;M Costs (Dollars)</w:t>
            </w:r>
          </w:p>
        </w:tc>
      </w:tr>
      <w:tr w14:paraId="57CE9093" w14:textId="4ED714C1" w:rsidTr="00ED7945">
        <w:tblPrEx>
          <w:tblW w:w="10070" w:type="dxa"/>
          <w:tblLook w:val="04A0"/>
        </w:tblPrEx>
        <w:trPr>
          <w:trHeight w:val="288"/>
        </w:trPr>
        <w:tc>
          <w:tcPr>
            <w:tcW w:w="2370" w:type="dxa"/>
            <w:tcBorders>
              <w:top w:val="nil"/>
              <w:left w:val="single" w:sz="4" w:space="0" w:color="auto"/>
              <w:bottom w:val="single" w:sz="4" w:space="0" w:color="auto"/>
              <w:right w:val="single" w:sz="4" w:space="0" w:color="auto"/>
            </w:tcBorders>
            <w:shd w:val="clear" w:color="auto" w:fill="auto"/>
            <w:noWrap/>
            <w:vAlign w:val="center"/>
          </w:tcPr>
          <w:p w:rsidR="00ED7945" w:rsidRPr="008B2CDD" w:rsidP="00436714" w14:paraId="6F69ABD1" w14:textId="74DD67C3">
            <w:pP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Agency</w:t>
            </w:r>
          </w:p>
        </w:tc>
        <w:tc>
          <w:tcPr>
            <w:tcW w:w="1620" w:type="dxa"/>
            <w:tcBorders>
              <w:top w:val="nil"/>
              <w:left w:val="nil"/>
              <w:bottom w:val="single" w:sz="4" w:space="0" w:color="auto"/>
              <w:right w:val="single" w:sz="4" w:space="0" w:color="auto"/>
            </w:tcBorders>
            <w:shd w:val="clear" w:color="auto" w:fill="auto"/>
            <w:noWrap/>
            <w:vAlign w:val="center"/>
          </w:tcPr>
          <w:p w:rsidR="00ED7945" w:rsidRPr="008B2CDD" w:rsidP="00436714" w14:paraId="43F16CEF" w14:textId="4A637248">
            <w:pPr>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N/A</w:t>
            </w:r>
          </w:p>
        </w:tc>
        <w:tc>
          <w:tcPr>
            <w:tcW w:w="1620" w:type="dxa"/>
            <w:tcBorders>
              <w:top w:val="nil"/>
              <w:left w:val="nil"/>
              <w:bottom w:val="single" w:sz="4" w:space="0" w:color="auto"/>
              <w:right w:val="single" w:sz="4" w:space="0" w:color="auto"/>
            </w:tcBorders>
            <w:shd w:val="clear" w:color="auto" w:fill="auto"/>
            <w:noWrap/>
            <w:vAlign w:val="center"/>
          </w:tcPr>
          <w:p w:rsidR="00ED7945" w:rsidRPr="008B2CDD" w:rsidP="00436714" w14:paraId="1FECD7FB" w14:textId="5747F527">
            <w:pPr>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N/A</w:t>
            </w:r>
          </w:p>
        </w:tc>
        <w:tc>
          <w:tcPr>
            <w:tcW w:w="1688" w:type="dxa"/>
            <w:tcBorders>
              <w:top w:val="nil"/>
              <w:left w:val="nil"/>
              <w:bottom w:val="single" w:sz="4" w:space="0" w:color="auto"/>
              <w:right w:val="single" w:sz="4" w:space="0" w:color="auto"/>
            </w:tcBorders>
            <w:shd w:val="clear" w:color="auto" w:fill="auto"/>
            <w:noWrap/>
            <w:vAlign w:val="center"/>
          </w:tcPr>
          <w:p w:rsidR="00ED7945" w:rsidRPr="008B2CDD" w:rsidP="00436714" w14:paraId="5C2672C7" w14:textId="29032CA4">
            <w:pPr>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N/A</w:t>
            </w:r>
          </w:p>
        </w:tc>
        <w:tc>
          <w:tcPr>
            <w:tcW w:w="1531" w:type="dxa"/>
            <w:tcBorders>
              <w:top w:val="nil"/>
              <w:left w:val="nil"/>
              <w:bottom w:val="single" w:sz="4" w:space="0" w:color="auto"/>
              <w:right w:val="single" w:sz="4" w:space="0" w:color="auto"/>
            </w:tcBorders>
            <w:shd w:val="clear" w:color="auto" w:fill="auto"/>
            <w:noWrap/>
            <w:vAlign w:val="center"/>
          </w:tcPr>
          <w:p w:rsidR="00ED7945" w:rsidRPr="008B2CDD" w:rsidP="00436714" w14:paraId="4A0E17C8" w14:textId="64E87F06">
            <w:pPr>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N/A</w:t>
            </w:r>
          </w:p>
        </w:tc>
        <w:tc>
          <w:tcPr>
            <w:tcW w:w="1241" w:type="dxa"/>
            <w:tcBorders>
              <w:top w:val="nil"/>
              <w:left w:val="nil"/>
              <w:bottom w:val="single" w:sz="4" w:space="0" w:color="auto"/>
              <w:right w:val="single" w:sz="4" w:space="0" w:color="auto"/>
            </w:tcBorders>
          </w:tcPr>
          <w:p w:rsidR="00ED7945" w:rsidRPr="008B2CDD" w:rsidP="00436714" w14:paraId="2C4412A5" w14:textId="0DA5E0FF">
            <w:pPr>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w:t>
            </w:r>
          </w:p>
        </w:tc>
      </w:tr>
      <w:tr w14:paraId="0BA5D3A3" w14:textId="7DF864E2" w:rsidTr="00ED7945">
        <w:tblPrEx>
          <w:tblW w:w="10070" w:type="dxa"/>
          <w:tblLook w:val="04A0"/>
        </w:tblPrEx>
        <w:trPr>
          <w:trHeight w:val="288"/>
        </w:trPr>
        <w:tc>
          <w:tcPr>
            <w:tcW w:w="2370" w:type="dxa"/>
            <w:tcBorders>
              <w:top w:val="nil"/>
              <w:left w:val="single" w:sz="4" w:space="0" w:color="auto"/>
              <w:bottom w:val="single" w:sz="4" w:space="0" w:color="auto"/>
              <w:right w:val="single" w:sz="4" w:space="0" w:color="auto"/>
            </w:tcBorders>
            <w:shd w:val="clear" w:color="auto" w:fill="auto"/>
            <w:noWrap/>
            <w:vAlign w:val="center"/>
          </w:tcPr>
          <w:p w:rsidR="00ED7945" w:rsidRPr="008B2CDD" w:rsidP="00804971" w14:paraId="51B4AE5E" w14:textId="308A046E">
            <w:pPr>
              <w:rPr>
                <w:rFonts w:eastAsia="Times New Roman" w:asciiTheme="minorHAnsi" w:hAnsiTheme="minorHAnsi" w:cstheme="minorHAnsi"/>
                <w:color w:val="000000"/>
                <w:szCs w:val="24"/>
                <w:vertAlign w:val="superscript"/>
              </w:rPr>
            </w:pPr>
            <w:r w:rsidRPr="008B2CDD">
              <w:rPr>
                <w:rFonts w:asciiTheme="minorHAnsi" w:hAnsiTheme="minorHAnsi" w:cstheme="minorHAnsi"/>
                <w:szCs w:val="24"/>
              </w:rPr>
              <w:t xml:space="preserve">Reporting for </w:t>
            </w:r>
            <w:hyperlink r:id="rId9" w:history="1">
              <w:r w:rsidRPr="008B2CDD">
                <w:rPr>
                  <w:rFonts w:asciiTheme="minorHAnsi" w:hAnsiTheme="minorHAnsi" w:cstheme="minorHAnsi"/>
                  <w:color w:val="2E2E2E"/>
                  <w:szCs w:val="24"/>
                </w:rPr>
                <w:t>Decabromodiphenyl ether (</w:t>
              </w:r>
              <w:r w:rsidRPr="008B2CDD">
                <w:rPr>
                  <w:rFonts w:asciiTheme="minorHAnsi" w:hAnsiTheme="minorHAnsi" w:cstheme="minorHAnsi"/>
                  <w:color w:val="2E2E2E"/>
                  <w:szCs w:val="24"/>
                </w:rPr>
                <w:t>DecaBDE</w:t>
              </w:r>
              <w:r w:rsidRPr="008B2CDD">
                <w:rPr>
                  <w:rFonts w:asciiTheme="minorHAnsi" w:hAnsiTheme="minorHAnsi" w:cstheme="minorHAnsi"/>
                  <w:color w:val="2E2E2E"/>
                  <w:szCs w:val="24"/>
                </w:rPr>
                <w:t>) (CASRN 1163-19-5)</w:t>
              </w:r>
            </w:hyperlink>
          </w:p>
        </w:tc>
        <w:tc>
          <w:tcPr>
            <w:tcW w:w="1620" w:type="dxa"/>
            <w:tcBorders>
              <w:top w:val="nil"/>
              <w:left w:val="nil"/>
              <w:bottom w:val="single" w:sz="4" w:space="0" w:color="auto"/>
              <w:right w:val="single" w:sz="4" w:space="0" w:color="auto"/>
            </w:tcBorders>
            <w:shd w:val="clear" w:color="auto" w:fill="auto"/>
            <w:noWrap/>
            <w:vAlign w:val="center"/>
          </w:tcPr>
          <w:p w:rsidR="00ED7945" w:rsidRPr="008B2CDD" w:rsidP="00804971" w14:paraId="1B92276A" w14:textId="48C9DA83">
            <w:pPr>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w:t>
            </w:r>
          </w:p>
        </w:tc>
        <w:tc>
          <w:tcPr>
            <w:tcW w:w="1620" w:type="dxa"/>
            <w:tcBorders>
              <w:top w:val="nil"/>
              <w:left w:val="nil"/>
              <w:bottom w:val="single" w:sz="4" w:space="0" w:color="auto"/>
              <w:right w:val="single" w:sz="4" w:space="0" w:color="auto"/>
            </w:tcBorders>
            <w:shd w:val="clear" w:color="auto" w:fill="auto"/>
            <w:noWrap/>
            <w:vAlign w:val="center"/>
          </w:tcPr>
          <w:p w:rsidR="00ED7945" w:rsidRPr="008B2CDD" w:rsidP="00804971" w14:paraId="50FECA20" w14:textId="07C4BEE9">
            <w:pPr>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2</w:t>
            </w:r>
          </w:p>
        </w:tc>
        <w:tc>
          <w:tcPr>
            <w:tcW w:w="1688" w:type="dxa"/>
            <w:tcBorders>
              <w:top w:val="nil"/>
              <w:left w:val="nil"/>
              <w:bottom w:val="single" w:sz="4" w:space="0" w:color="auto"/>
              <w:right w:val="single" w:sz="4" w:space="0" w:color="auto"/>
            </w:tcBorders>
            <w:shd w:val="clear" w:color="auto" w:fill="auto"/>
            <w:noWrap/>
            <w:vAlign w:val="center"/>
          </w:tcPr>
          <w:p w:rsidR="00ED7945" w:rsidRPr="008B2CDD" w:rsidP="00981308" w14:paraId="599D0571" w14:textId="689A8EAA">
            <w:pPr>
              <w:pStyle w:val="NoSpacing"/>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1</w:t>
            </w:r>
          </w:p>
        </w:tc>
        <w:tc>
          <w:tcPr>
            <w:tcW w:w="1531" w:type="dxa"/>
            <w:tcBorders>
              <w:top w:val="nil"/>
              <w:left w:val="nil"/>
              <w:bottom w:val="single" w:sz="4" w:space="0" w:color="auto"/>
              <w:right w:val="single" w:sz="4" w:space="0" w:color="auto"/>
            </w:tcBorders>
            <w:shd w:val="clear" w:color="auto" w:fill="auto"/>
            <w:noWrap/>
            <w:vAlign w:val="center"/>
          </w:tcPr>
          <w:p w:rsidR="00ED7945" w:rsidRPr="008B2CDD" w:rsidP="00AF3792" w14:paraId="77E69564" w14:textId="1E01D15C">
            <w:pPr>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8</w:t>
            </w:r>
          </w:p>
        </w:tc>
        <w:tc>
          <w:tcPr>
            <w:tcW w:w="1241" w:type="dxa"/>
            <w:tcBorders>
              <w:top w:val="nil"/>
              <w:left w:val="nil"/>
              <w:bottom w:val="single" w:sz="4" w:space="0" w:color="auto"/>
              <w:right w:val="single" w:sz="4" w:space="0" w:color="auto"/>
            </w:tcBorders>
          </w:tcPr>
          <w:p w:rsidR="00ED7945" w:rsidRPr="008B2CDD" w:rsidP="00804971" w14:paraId="3D4331B4" w14:textId="2FB53CDA">
            <w:pPr>
              <w:jc w:val="right"/>
              <w:rPr>
                <w:rFonts w:asciiTheme="minorHAnsi" w:hAnsiTheme="minorHAnsi" w:cstheme="minorHAnsi"/>
                <w:color w:val="000000"/>
                <w:szCs w:val="24"/>
              </w:rPr>
            </w:pPr>
            <w:r w:rsidRPr="008B2CDD">
              <w:rPr>
                <w:rFonts w:asciiTheme="minorHAnsi" w:hAnsiTheme="minorHAnsi" w:cstheme="minorHAnsi"/>
                <w:color w:val="000000"/>
                <w:szCs w:val="24"/>
              </w:rPr>
              <w:t>-</w:t>
            </w:r>
          </w:p>
        </w:tc>
      </w:tr>
      <w:tr w14:paraId="3A5CDF1C" w14:textId="79F80F64" w:rsidTr="00ED7945">
        <w:tblPrEx>
          <w:tblW w:w="10070" w:type="dxa"/>
          <w:tblLook w:val="04A0"/>
        </w:tblPrEx>
        <w:trPr>
          <w:trHeight w:val="288"/>
        </w:trPr>
        <w:tc>
          <w:tcPr>
            <w:tcW w:w="2370" w:type="dxa"/>
            <w:tcBorders>
              <w:top w:val="nil"/>
              <w:left w:val="single" w:sz="4" w:space="0" w:color="auto"/>
              <w:bottom w:val="single" w:sz="4" w:space="0" w:color="auto"/>
              <w:right w:val="single" w:sz="4" w:space="0" w:color="auto"/>
            </w:tcBorders>
            <w:shd w:val="clear" w:color="auto" w:fill="auto"/>
            <w:noWrap/>
            <w:vAlign w:val="center"/>
          </w:tcPr>
          <w:p w:rsidR="00ED7945" w:rsidRPr="008B2CDD" w:rsidP="00804971" w14:paraId="3F5116FF" w14:textId="733ECE52">
            <w:pPr>
              <w:rPr>
                <w:rFonts w:eastAsia="Times New Roman" w:asciiTheme="minorHAnsi" w:hAnsiTheme="minorHAnsi" w:cstheme="minorHAnsi"/>
                <w:color w:val="000000"/>
                <w:szCs w:val="24"/>
              </w:rPr>
            </w:pPr>
            <w:r w:rsidRPr="008B2CDD">
              <w:rPr>
                <w:rFonts w:asciiTheme="minorHAnsi" w:hAnsiTheme="minorHAnsi" w:cstheme="minorHAnsi"/>
                <w:szCs w:val="24"/>
              </w:rPr>
              <w:t xml:space="preserve">Reporting for </w:t>
            </w:r>
            <w:hyperlink r:id="rId10" w:history="1">
              <w:r w:rsidRPr="008B2CDD">
                <w:rPr>
                  <w:rFonts w:asciiTheme="minorHAnsi" w:hAnsiTheme="minorHAnsi" w:cstheme="minorHAnsi"/>
                  <w:color w:val="2E2E2E"/>
                  <w:szCs w:val="24"/>
                </w:rPr>
                <w:t>Phenol, isopropylated phosphate (3:1) (PIP (3:1)) (CASRN 68937-41-7)</w:t>
              </w:r>
            </w:hyperlink>
          </w:p>
        </w:tc>
        <w:tc>
          <w:tcPr>
            <w:tcW w:w="1620" w:type="dxa"/>
            <w:tcBorders>
              <w:top w:val="nil"/>
              <w:left w:val="nil"/>
              <w:bottom w:val="single" w:sz="4" w:space="0" w:color="auto"/>
              <w:right w:val="single" w:sz="4" w:space="0" w:color="auto"/>
            </w:tcBorders>
            <w:shd w:val="clear" w:color="auto" w:fill="auto"/>
            <w:noWrap/>
            <w:vAlign w:val="center"/>
          </w:tcPr>
          <w:p w:rsidR="00ED7945" w:rsidRPr="008B2CDD" w:rsidP="00804971" w14:paraId="24EC1B71" w14:textId="033BCC64">
            <w:pPr>
              <w:jc w:val="right"/>
              <w:rPr>
                <w:rFonts w:asciiTheme="minorHAnsi" w:hAnsiTheme="minorHAnsi" w:cstheme="minorHAnsi"/>
                <w:color w:val="000000"/>
                <w:szCs w:val="24"/>
              </w:rPr>
            </w:pPr>
            <w:r w:rsidRPr="008B2CDD">
              <w:rPr>
                <w:rFonts w:asciiTheme="minorHAnsi" w:hAnsiTheme="minorHAnsi" w:cstheme="minorHAnsi"/>
                <w:color w:val="000000"/>
                <w:szCs w:val="24"/>
              </w:rPr>
              <w:t>26,803</w:t>
            </w:r>
          </w:p>
        </w:tc>
        <w:tc>
          <w:tcPr>
            <w:tcW w:w="1620" w:type="dxa"/>
            <w:tcBorders>
              <w:top w:val="nil"/>
              <w:left w:val="nil"/>
              <w:bottom w:val="single" w:sz="4" w:space="0" w:color="auto"/>
              <w:right w:val="single" w:sz="4" w:space="0" w:color="auto"/>
            </w:tcBorders>
            <w:shd w:val="clear" w:color="auto" w:fill="auto"/>
            <w:noWrap/>
            <w:vAlign w:val="center"/>
          </w:tcPr>
          <w:p w:rsidR="00ED7945" w:rsidRPr="008B2CDD" w:rsidP="00804971" w14:paraId="10E5799F" w14:textId="302DC02F">
            <w:pPr>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26,803</w:t>
            </w:r>
          </w:p>
        </w:tc>
        <w:tc>
          <w:tcPr>
            <w:tcW w:w="1688" w:type="dxa"/>
            <w:tcBorders>
              <w:top w:val="nil"/>
              <w:left w:val="nil"/>
              <w:bottom w:val="single" w:sz="4" w:space="0" w:color="auto"/>
              <w:right w:val="single" w:sz="4" w:space="0" w:color="auto"/>
            </w:tcBorders>
            <w:shd w:val="clear" w:color="auto" w:fill="auto"/>
            <w:noWrap/>
            <w:vAlign w:val="center"/>
          </w:tcPr>
          <w:p w:rsidR="00ED7945" w:rsidRPr="008B2CDD" w:rsidP="00981308" w14:paraId="4E778BBF" w14:textId="0C5FEE9F">
            <w:pPr>
              <w:pStyle w:val="NoSpacing"/>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1</w:t>
            </w:r>
          </w:p>
        </w:tc>
        <w:tc>
          <w:tcPr>
            <w:tcW w:w="1531" w:type="dxa"/>
            <w:tcBorders>
              <w:top w:val="nil"/>
              <w:left w:val="nil"/>
              <w:bottom w:val="single" w:sz="4" w:space="0" w:color="auto"/>
              <w:right w:val="single" w:sz="4" w:space="0" w:color="auto"/>
            </w:tcBorders>
            <w:shd w:val="clear" w:color="auto" w:fill="auto"/>
            <w:noWrap/>
            <w:vAlign w:val="center"/>
          </w:tcPr>
          <w:p w:rsidR="00ED7945" w:rsidRPr="008B2CDD" w:rsidP="27849C82" w14:paraId="5B39070F" w14:textId="3D86E1FE">
            <w:pPr>
              <w:jc w:val="right"/>
              <w:rPr>
                <w:rFonts w:asciiTheme="minorHAnsi" w:hAnsiTheme="minorHAnsi" w:cstheme="minorHAnsi"/>
                <w:color w:val="000000"/>
                <w:szCs w:val="24"/>
              </w:rPr>
            </w:pPr>
            <w:r w:rsidRPr="008B2CDD">
              <w:rPr>
                <w:rFonts w:asciiTheme="minorHAnsi" w:hAnsiTheme="minorHAnsi" w:cstheme="minorHAnsi"/>
                <w:color w:val="000000"/>
                <w:szCs w:val="24"/>
              </w:rPr>
              <w:t>42,293</w:t>
            </w:r>
          </w:p>
        </w:tc>
        <w:tc>
          <w:tcPr>
            <w:tcW w:w="1241" w:type="dxa"/>
            <w:tcBorders>
              <w:top w:val="nil"/>
              <w:left w:val="nil"/>
              <w:bottom w:val="single" w:sz="4" w:space="0" w:color="auto"/>
              <w:right w:val="single" w:sz="4" w:space="0" w:color="auto"/>
            </w:tcBorders>
          </w:tcPr>
          <w:p w:rsidR="00ED7945" w:rsidRPr="008B2CDD" w:rsidP="27849C82" w14:paraId="3C7357A1" w14:textId="56EC4319">
            <w:pPr>
              <w:jc w:val="right"/>
              <w:rPr>
                <w:rFonts w:asciiTheme="minorHAnsi" w:hAnsiTheme="minorHAnsi" w:cstheme="minorHAnsi"/>
                <w:color w:val="000000" w:themeColor="text1"/>
                <w:szCs w:val="24"/>
              </w:rPr>
            </w:pPr>
            <w:r w:rsidRPr="008B2CDD">
              <w:rPr>
                <w:rFonts w:asciiTheme="minorHAnsi" w:hAnsiTheme="minorHAnsi" w:cstheme="minorHAnsi"/>
                <w:color w:val="000000" w:themeColor="text1"/>
                <w:szCs w:val="24"/>
              </w:rPr>
              <w:t>-</w:t>
            </w:r>
          </w:p>
        </w:tc>
      </w:tr>
      <w:tr w14:paraId="4F022284" w14:textId="6490B892" w:rsidTr="00ED7945">
        <w:tblPrEx>
          <w:tblW w:w="10070" w:type="dxa"/>
          <w:tblLook w:val="04A0"/>
        </w:tblPrEx>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10B" w:rsidRPr="008B2CDD" w:rsidP="00DD710B" w14:paraId="4274CF1A" w14:textId="72C535DC">
            <w:pPr>
              <w:rPr>
                <w:rFonts w:eastAsia="Times New Roman" w:asciiTheme="minorHAnsi" w:hAnsiTheme="minorHAnsi" w:cstheme="minorHAnsi"/>
                <w:color w:val="000000"/>
                <w:szCs w:val="24"/>
                <w:vertAlign w:val="superscript"/>
              </w:rPr>
            </w:pPr>
            <w:r w:rsidRPr="008B2CDD">
              <w:rPr>
                <w:rFonts w:eastAsia="Times New Roman" w:asciiTheme="minorHAnsi" w:hAnsiTheme="minorHAnsi" w:cstheme="minorHAnsi"/>
                <w:b/>
                <w:bCs/>
                <w:color w:val="000000"/>
                <w:szCs w:val="24"/>
              </w:rPr>
              <w:t>Total:</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D710B" w:rsidRPr="008B2CDD" w:rsidP="00DD710B" w14:paraId="1639F4FC" w14:textId="3C0DC1D9">
            <w:pPr>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26,805</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D710B" w:rsidRPr="008B2CDD" w:rsidP="00DD710B" w14:paraId="48782789" w14:textId="6B513AF1">
            <w:pPr>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26,805</w:t>
            </w:r>
          </w:p>
        </w:tc>
        <w:tc>
          <w:tcPr>
            <w:tcW w:w="1688" w:type="dxa"/>
            <w:tcBorders>
              <w:top w:val="single" w:sz="4" w:space="0" w:color="auto"/>
              <w:left w:val="nil"/>
              <w:bottom w:val="single" w:sz="4" w:space="0" w:color="auto"/>
              <w:right w:val="single" w:sz="4" w:space="0" w:color="auto"/>
            </w:tcBorders>
            <w:shd w:val="clear" w:color="auto" w:fill="auto"/>
            <w:noWrap/>
            <w:vAlign w:val="center"/>
          </w:tcPr>
          <w:p w:rsidR="00DD710B" w:rsidRPr="008B2CDD" w:rsidP="00DD710B" w14:paraId="44919141" w14:textId="71CB9428">
            <w:pPr>
              <w:jc w:val="right"/>
              <w:rPr>
                <w:rFonts w:asciiTheme="minorHAnsi" w:hAnsiTheme="minorHAnsi" w:cstheme="minorHAnsi"/>
                <w:color w:val="000000"/>
                <w:szCs w:val="24"/>
              </w:rPr>
            </w:pPr>
            <w:r w:rsidRPr="008B2CDD">
              <w:rPr>
                <w:rFonts w:asciiTheme="minorHAnsi" w:hAnsiTheme="minorHAnsi" w:cstheme="minorHAnsi"/>
                <w:color w:val="000000"/>
                <w:szCs w:val="24"/>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DD710B" w:rsidRPr="008B2CDD" w:rsidP="00DD710B" w14:paraId="1F7E4654" w14:textId="7EFDA0AA">
            <w:pPr>
              <w:jc w:val="right"/>
              <w:rPr>
                <w:rFonts w:asciiTheme="minorHAnsi" w:hAnsiTheme="minorHAnsi" w:cstheme="minorHAnsi"/>
                <w:color w:val="000000"/>
                <w:szCs w:val="24"/>
              </w:rPr>
            </w:pPr>
            <w:r w:rsidRPr="008B2CDD">
              <w:rPr>
                <w:rFonts w:asciiTheme="minorHAnsi" w:hAnsiTheme="minorHAnsi" w:cstheme="minorHAnsi"/>
                <w:b/>
                <w:bCs/>
                <w:color w:val="000000" w:themeColor="text1"/>
                <w:szCs w:val="24"/>
              </w:rPr>
              <w:t>42,300</w:t>
            </w:r>
          </w:p>
        </w:tc>
        <w:tc>
          <w:tcPr>
            <w:tcW w:w="1241" w:type="dxa"/>
            <w:tcBorders>
              <w:top w:val="single" w:sz="4" w:space="0" w:color="auto"/>
              <w:left w:val="nil"/>
              <w:bottom w:val="single" w:sz="4" w:space="0" w:color="auto"/>
              <w:right w:val="single" w:sz="4" w:space="0" w:color="auto"/>
            </w:tcBorders>
          </w:tcPr>
          <w:p w:rsidR="00DD710B" w:rsidRPr="008B2CDD" w:rsidP="00DD710B" w14:paraId="1F05B619" w14:textId="40D6EFFF">
            <w:pPr>
              <w:jc w:val="right"/>
              <w:rPr>
                <w:rFonts w:asciiTheme="minorHAnsi" w:hAnsiTheme="minorHAnsi" w:cstheme="minorHAnsi"/>
                <w:b/>
                <w:bCs/>
                <w:color w:val="000000" w:themeColor="text1"/>
                <w:szCs w:val="24"/>
              </w:rPr>
            </w:pPr>
            <w:r w:rsidRPr="008B2CDD">
              <w:rPr>
                <w:rFonts w:asciiTheme="minorHAnsi" w:hAnsiTheme="minorHAnsi" w:cstheme="minorHAnsi"/>
                <w:b/>
                <w:bCs/>
                <w:color w:val="000000" w:themeColor="text1"/>
                <w:szCs w:val="24"/>
              </w:rPr>
              <w:t>-</w:t>
            </w:r>
          </w:p>
        </w:tc>
      </w:tr>
      <w:tr w14:paraId="5B56DD48" w14:textId="77777777" w:rsidTr="00F23F7D">
        <w:tblPrEx>
          <w:tblW w:w="10070" w:type="dxa"/>
          <w:tblLook w:val="04A0"/>
        </w:tblPrEx>
        <w:trPr>
          <w:trHeight w:val="288"/>
        </w:trPr>
        <w:tc>
          <w:tcPr>
            <w:tcW w:w="100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464CE" w:rsidRPr="008B2CDD" w:rsidP="00327F46" w14:paraId="2CB5F3CD" w14:textId="7986A4C0">
            <w:pPr>
              <w:rPr>
                <w:rFonts w:asciiTheme="minorHAnsi" w:hAnsiTheme="minorHAnsi" w:cstheme="minorHAnsi"/>
                <w:b/>
                <w:bCs/>
                <w:color w:val="000000" w:themeColor="text1"/>
                <w:szCs w:val="24"/>
              </w:rPr>
            </w:pPr>
            <w:r w:rsidRPr="008B2CDD">
              <w:rPr>
                <w:rFonts w:asciiTheme="minorHAnsi" w:hAnsiTheme="minorHAnsi" w:cstheme="minorHAnsi"/>
                <w:color w:val="000000" w:themeColor="text1"/>
                <w:szCs w:val="24"/>
                <w:vertAlign w:val="superscript"/>
              </w:rPr>
              <w:t>1</w:t>
            </w:r>
            <w:r w:rsidRPr="008B2CDD">
              <w:rPr>
                <w:rFonts w:asciiTheme="minorHAnsi" w:hAnsiTheme="minorHAnsi" w:cstheme="minorHAnsi"/>
                <w:color w:val="000000" w:themeColor="text1"/>
                <w:szCs w:val="24"/>
              </w:rPr>
              <w:t>Totals may not sum due to rounding</w:t>
            </w:r>
          </w:p>
        </w:tc>
      </w:tr>
    </w:tbl>
    <w:p w:rsidR="00F26571" w:rsidRPr="008B2CDD" w:rsidP="00F26571" w14:paraId="4AFF25FD" w14:textId="5A5A13BE">
      <w:pPr>
        <w:pStyle w:val="NoSpacing"/>
        <w:rPr>
          <w:rFonts w:asciiTheme="minorHAnsi" w:hAnsiTheme="minorHAnsi" w:cstheme="minorHAnsi"/>
          <w:szCs w:val="24"/>
          <w:lang w:bidi="en-US"/>
        </w:rPr>
      </w:pPr>
    </w:p>
    <w:p w:rsidR="006801E7" w:rsidRPr="008B2CDD" w:rsidP="006801E7" w14:paraId="38EC12D8" w14:textId="6D49E241">
      <w:pPr>
        <w:pStyle w:val="Heading2"/>
        <w:rPr>
          <w:rFonts w:asciiTheme="minorHAnsi" w:hAnsiTheme="minorHAnsi" w:cstheme="minorHAnsi"/>
          <w:szCs w:val="24"/>
        </w:rPr>
      </w:pPr>
      <w:bookmarkStart w:id="7" w:name="_Toc447203166"/>
      <w:r w:rsidRPr="008B2CDD">
        <w:rPr>
          <w:rFonts w:asciiTheme="minorHAnsi" w:hAnsiTheme="minorHAnsi" w:cstheme="minorHAnsi"/>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7"/>
    <w:p w:rsidR="00FE5445" w:rsidRPr="008B2CDD" w:rsidP="00FE5445" w14:paraId="21D0F9B5" w14:textId="14394992">
      <w:pPr>
        <w:pStyle w:val="NormalWeb"/>
        <w:rPr>
          <w:rFonts w:asciiTheme="minorHAnsi" w:hAnsiTheme="minorHAnsi" w:cstheme="minorHAnsi"/>
          <w:lang w:val="en"/>
        </w:rPr>
      </w:pPr>
      <w:r w:rsidRPr="008B2CDD">
        <w:rPr>
          <w:rFonts w:asciiTheme="minorHAnsi" w:hAnsiTheme="minorHAnsi" w:cstheme="minorHAnsi"/>
        </w:rPr>
        <w:t xml:space="preserve">TSCA – </w:t>
      </w:r>
      <w:r w:rsidRPr="008B2CDD" w:rsidR="007A5501">
        <w:rPr>
          <w:rFonts w:asciiTheme="minorHAnsi" w:hAnsiTheme="minorHAnsi" w:cstheme="minorHAnsi"/>
        </w:rPr>
        <w:t>S</w:t>
      </w:r>
      <w:r w:rsidRPr="008B2CDD" w:rsidR="00B30F2F">
        <w:rPr>
          <w:rFonts w:asciiTheme="minorHAnsi" w:hAnsiTheme="minorHAnsi" w:cstheme="minorHAnsi"/>
        </w:rPr>
        <w:t>ection 6(</w:t>
      </w:r>
      <w:r w:rsidRPr="008B2CDD" w:rsidR="007A5501">
        <w:rPr>
          <w:rFonts w:asciiTheme="minorHAnsi" w:hAnsiTheme="minorHAnsi" w:cstheme="minorHAnsi"/>
        </w:rPr>
        <w:t>h</w:t>
      </w:r>
      <w:r w:rsidRPr="008B2CDD" w:rsidR="00B30F2F">
        <w:rPr>
          <w:rFonts w:asciiTheme="minorHAnsi" w:hAnsiTheme="minorHAnsi" w:cstheme="minorHAnsi"/>
        </w:rPr>
        <w:t>) of TSCA (15 U.S.C. § 2605(</w:t>
      </w:r>
      <w:r w:rsidRPr="008B2CDD" w:rsidR="007A5501">
        <w:rPr>
          <w:rFonts w:asciiTheme="minorHAnsi" w:hAnsiTheme="minorHAnsi" w:cstheme="minorHAnsi"/>
        </w:rPr>
        <w:t>h</w:t>
      </w:r>
      <w:r w:rsidRPr="008B2CDD" w:rsidR="00B30F2F">
        <w:rPr>
          <w:rFonts w:asciiTheme="minorHAnsi" w:hAnsiTheme="minorHAnsi" w:cstheme="minorHAnsi"/>
        </w:rPr>
        <w:t>)</w:t>
      </w:r>
      <w:r w:rsidRPr="008B2CDD" w:rsidR="007A5501">
        <w:rPr>
          <w:rFonts w:asciiTheme="minorHAnsi" w:hAnsiTheme="minorHAnsi" w:cstheme="minorHAnsi"/>
        </w:rPr>
        <w:t xml:space="preserve"> directs EPA to take action under section 6(a) on certain PBT chemical substances. Under section 6(h), EPA must address risks and reduce exposure to the</w:t>
      </w:r>
      <w:r w:rsidRPr="008B2CDD" w:rsidR="00375C33">
        <w:rPr>
          <w:rFonts w:asciiTheme="minorHAnsi" w:hAnsiTheme="minorHAnsi" w:cstheme="minorHAnsi"/>
        </w:rPr>
        <w:t xml:space="preserve">se </w:t>
      </w:r>
      <w:r w:rsidRPr="008B2CDD" w:rsidR="007A5501">
        <w:rPr>
          <w:rFonts w:asciiTheme="minorHAnsi" w:hAnsiTheme="minorHAnsi" w:cstheme="minorHAnsi"/>
        </w:rPr>
        <w:t>PBT</w:t>
      </w:r>
      <w:r w:rsidRPr="008B2CDD" w:rsidR="00EF28E8">
        <w:rPr>
          <w:rFonts w:asciiTheme="minorHAnsi" w:hAnsiTheme="minorHAnsi" w:cstheme="minorHAnsi"/>
        </w:rPr>
        <w:t xml:space="preserve"> chemical</w:t>
      </w:r>
      <w:r w:rsidRPr="008B2CDD" w:rsidR="007A5501">
        <w:rPr>
          <w:rFonts w:asciiTheme="minorHAnsi" w:hAnsiTheme="minorHAnsi" w:cstheme="minorHAnsi"/>
        </w:rPr>
        <w:t xml:space="preserve">s to the extent practicable. </w:t>
      </w:r>
      <w:r w:rsidRPr="008B2CDD" w:rsidR="00860D83">
        <w:rPr>
          <w:rFonts w:asciiTheme="minorHAnsi" w:hAnsiTheme="minorHAnsi" w:cstheme="minorHAnsi"/>
        </w:rPr>
        <w:t xml:space="preserve">With regard to the PBT chemicals, </w:t>
      </w:r>
      <w:r w:rsidRPr="008B2CDD" w:rsidR="00860D83">
        <w:rPr>
          <w:rFonts w:asciiTheme="minorHAnsi" w:hAnsiTheme="minorHAnsi" w:cstheme="minorHAnsi"/>
          <w:lang w:val="en"/>
        </w:rPr>
        <w:t>s</w:t>
      </w:r>
      <w:r w:rsidRPr="008B2CDD">
        <w:rPr>
          <w:rFonts w:asciiTheme="minorHAnsi" w:hAnsiTheme="minorHAnsi" w:cstheme="minorHAnsi"/>
          <w:lang w:val="en"/>
        </w:rPr>
        <w:t>ection 6(a) authorizes EPA to:</w:t>
      </w:r>
    </w:p>
    <w:p w:rsidR="00FE5445" w:rsidRPr="008B2CDD" w:rsidP="00BF6FAE" w14:paraId="690862D4" w14:textId="77777777">
      <w:pPr>
        <w:pStyle w:val="ListParagraph"/>
        <w:numPr>
          <w:ilvl w:val="0"/>
          <w:numId w:val="21"/>
        </w:numPr>
        <w:autoSpaceDE w:val="0"/>
        <w:autoSpaceDN w:val="0"/>
        <w:adjustRightInd w:val="0"/>
        <w:spacing w:after="100" w:afterAutospacing="1"/>
        <w:contextualSpacing w:val="0"/>
        <w:rPr>
          <w:rFonts w:asciiTheme="minorHAnsi" w:hAnsiTheme="minorHAnsi" w:cstheme="minorHAnsi"/>
          <w:szCs w:val="24"/>
        </w:rPr>
      </w:pPr>
      <w:r w:rsidRPr="008B2CDD">
        <w:rPr>
          <w:rFonts w:asciiTheme="minorHAnsi" w:hAnsiTheme="minorHAnsi" w:cstheme="minorHAnsi"/>
          <w:szCs w:val="24"/>
        </w:rPr>
        <w:t>Prohibit or limit manufacture, processing, or distribution in commerce;</w:t>
      </w:r>
    </w:p>
    <w:p w:rsidR="00FE5445" w:rsidRPr="008B2CDD" w:rsidP="7A2972E0" w14:paraId="01C44333" w14:textId="4730AE47">
      <w:pPr>
        <w:numPr>
          <w:ilvl w:val="0"/>
          <w:numId w:val="21"/>
        </w:numPr>
        <w:spacing w:before="100" w:beforeAutospacing="1" w:after="100" w:afterAutospacing="1"/>
        <w:rPr>
          <w:rFonts w:asciiTheme="minorHAnsi" w:hAnsiTheme="minorHAnsi" w:cstheme="minorHAnsi"/>
          <w:szCs w:val="24"/>
        </w:rPr>
      </w:pPr>
      <w:r w:rsidRPr="008B2CDD">
        <w:rPr>
          <w:rFonts w:asciiTheme="minorHAnsi" w:hAnsiTheme="minorHAnsi" w:cstheme="minorHAnsi"/>
          <w:szCs w:val="24"/>
        </w:rPr>
        <w:t>Prohibit or limit the manufacture, processing, or distribution in commerce above a specified concentration</w:t>
      </w:r>
      <w:r w:rsidRPr="008B2CDD" w:rsidR="00F5415A">
        <w:rPr>
          <w:rFonts w:asciiTheme="minorHAnsi" w:hAnsiTheme="minorHAnsi" w:cstheme="minorHAnsi"/>
          <w:szCs w:val="24"/>
        </w:rPr>
        <w:t xml:space="preserve"> of the chemical substance</w:t>
      </w:r>
      <w:r w:rsidRPr="008B2CDD">
        <w:rPr>
          <w:rFonts w:asciiTheme="minorHAnsi" w:hAnsiTheme="minorHAnsi" w:cstheme="minorHAnsi"/>
          <w:szCs w:val="24"/>
        </w:rPr>
        <w:t>;</w:t>
      </w:r>
    </w:p>
    <w:p w:rsidR="00FE5445" w:rsidRPr="008B2CDD" w:rsidP="7A2972E0" w14:paraId="6152A962" w14:textId="77777777">
      <w:pPr>
        <w:numPr>
          <w:ilvl w:val="0"/>
          <w:numId w:val="21"/>
        </w:numPr>
        <w:spacing w:before="100" w:beforeAutospacing="1" w:after="100" w:afterAutospacing="1"/>
        <w:rPr>
          <w:rFonts w:asciiTheme="minorHAnsi" w:hAnsiTheme="minorHAnsi" w:cstheme="minorHAnsi"/>
          <w:szCs w:val="24"/>
        </w:rPr>
      </w:pPr>
      <w:r w:rsidRPr="008B2CDD">
        <w:rPr>
          <w:rFonts w:asciiTheme="minorHAnsi" w:hAnsiTheme="minorHAnsi" w:cstheme="minorHAnsi"/>
          <w:szCs w:val="24"/>
        </w:rPr>
        <w:t xml:space="preserve">Require </w:t>
      </w:r>
      <w:r w:rsidRPr="008B2CDD" w:rsidR="00B30F2F">
        <w:rPr>
          <w:rFonts w:asciiTheme="minorHAnsi" w:hAnsiTheme="minorHAnsi" w:cstheme="minorHAnsi"/>
          <w:szCs w:val="24"/>
        </w:rPr>
        <w:t>minimum</w:t>
      </w:r>
      <w:r w:rsidRPr="008B2CDD">
        <w:rPr>
          <w:rFonts w:asciiTheme="minorHAnsi" w:hAnsiTheme="minorHAnsi" w:cstheme="minorHAnsi"/>
          <w:szCs w:val="24"/>
        </w:rPr>
        <w:t xml:space="preserve"> warnings and instructions with respect to use, distribution, or disposal;</w:t>
      </w:r>
    </w:p>
    <w:p w:rsidR="00FE5445" w:rsidRPr="008B2CDD" w:rsidP="7A2972E0" w14:paraId="3B38F4BD" w14:textId="77777777">
      <w:pPr>
        <w:numPr>
          <w:ilvl w:val="0"/>
          <w:numId w:val="21"/>
        </w:numPr>
        <w:spacing w:before="100" w:beforeAutospacing="1" w:after="100" w:afterAutospacing="1"/>
        <w:rPr>
          <w:rFonts w:asciiTheme="minorHAnsi" w:hAnsiTheme="minorHAnsi" w:cstheme="minorHAnsi"/>
          <w:szCs w:val="24"/>
        </w:rPr>
      </w:pPr>
      <w:r w:rsidRPr="008B2CDD">
        <w:rPr>
          <w:rFonts w:asciiTheme="minorHAnsi" w:hAnsiTheme="minorHAnsi" w:cstheme="minorHAnsi"/>
          <w:szCs w:val="24"/>
        </w:rPr>
        <w:t>Require manufacturers or processors to make and retain records;</w:t>
      </w:r>
    </w:p>
    <w:p w:rsidR="00FE5445" w:rsidRPr="008B2CDD" w:rsidP="7A2972E0" w14:paraId="1311C2DE" w14:textId="77777777">
      <w:pPr>
        <w:numPr>
          <w:ilvl w:val="0"/>
          <w:numId w:val="21"/>
        </w:numPr>
        <w:spacing w:before="100" w:beforeAutospacing="1" w:after="100" w:afterAutospacing="1"/>
        <w:rPr>
          <w:rFonts w:asciiTheme="minorHAnsi" w:hAnsiTheme="minorHAnsi" w:cstheme="minorHAnsi"/>
          <w:szCs w:val="24"/>
        </w:rPr>
      </w:pPr>
      <w:r w:rsidRPr="008B2CDD">
        <w:rPr>
          <w:rFonts w:asciiTheme="minorHAnsi" w:hAnsiTheme="minorHAnsi" w:cstheme="minorHAnsi"/>
          <w:szCs w:val="24"/>
        </w:rPr>
        <w:t>Prohibit or regulate any manner of commercial use;</w:t>
      </w:r>
    </w:p>
    <w:p w:rsidR="00FE5445" w:rsidRPr="008B2CDD" w:rsidP="00FE5445" w14:paraId="2B6D67B6" w14:textId="77777777">
      <w:pPr>
        <w:numPr>
          <w:ilvl w:val="0"/>
          <w:numId w:val="21"/>
        </w:numPr>
        <w:spacing w:before="100" w:beforeAutospacing="1" w:after="100" w:afterAutospacing="1"/>
        <w:rPr>
          <w:rFonts w:asciiTheme="minorHAnsi" w:hAnsiTheme="minorHAnsi" w:cstheme="minorHAnsi"/>
          <w:szCs w:val="24"/>
          <w:lang w:val="en"/>
        </w:rPr>
      </w:pPr>
      <w:r w:rsidRPr="008B2CDD">
        <w:rPr>
          <w:rFonts w:asciiTheme="minorHAnsi" w:hAnsiTheme="minorHAnsi" w:cstheme="minorHAnsi"/>
          <w:szCs w:val="24"/>
          <w:lang w:val="en"/>
        </w:rPr>
        <w:t>Prohibit or regulate any manner of disposal; and/or</w:t>
      </w:r>
    </w:p>
    <w:p w:rsidR="00FE5445" w:rsidRPr="008B2CDD" w:rsidP="00FE5445" w14:paraId="1F307947" w14:textId="179D72EA">
      <w:pPr>
        <w:numPr>
          <w:ilvl w:val="0"/>
          <w:numId w:val="21"/>
        </w:numPr>
        <w:spacing w:before="100" w:beforeAutospacing="1" w:after="100" w:afterAutospacing="1"/>
        <w:rPr>
          <w:rFonts w:asciiTheme="minorHAnsi" w:hAnsiTheme="minorHAnsi" w:cstheme="minorHAnsi"/>
          <w:szCs w:val="24"/>
        </w:rPr>
      </w:pPr>
      <w:r w:rsidRPr="008B2CDD">
        <w:rPr>
          <w:rFonts w:asciiTheme="minorHAnsi" w:hAnsiTheme="minorHAnsi" w:cstheme="minorHAnsi"/>
          <w:szCs w:val="24"/>
          <w:lang w:val="en"/>
        </w:rPr>
        <w:t>Require manufacturers or processors to give notice of the unreasonable risk of injury, and to recall products if required.</w:t>
      </w:r>
    </w:p>
    <w:p w:rsidR="00135C29" w:rsidRPr="008B2CDD" w:rsidP="00135C29" w14:paraId="5278BA0E" w14:textId="77777777">
      <w:pPr>
        <w:pStyle w:val="NoSpacing"/>
        <w:rPr>
          <w:rFonts w:asciiTheme="minorHAnsi" w:hAnsiTheme="minorHAnsi" w:cstheme="minorHAnsi"/>
          <w:szCs w:val="24"/>
        </w:rPr>
      </w:pPr>
      <w:r w:rsidRPr="008B2CDD">
        <w:rPr>
          <w:rFonts w:asciiTheme="minorHAnsi" w:hAnsiTheme="minorHAnsi" w:cstheme="minorHAnsi"/>
          <w:szCs w:val="24"/>
        </w:rPr>
        <w:t xml:space="preserve">Additionally, with the obligation to promulgate these rules, EPA also has the authority to amend them (e.g., if circumstances change, including in relation to the receipt of new information). It is well settled that the Agency has inherent authority to reconsider, revise, or repeal past decisions to the extent permitted by law so long as the Agency provides a reasoned explanation. See </w:t>
      </w:r>
      <w:r w:rsidRPr="008B2CDD">
        <w:rPr>
          <w:rFonts w:asciiTheme="minorHAnsi" w:hAnsiTheme="minorHAnsi" w:cstheme="minorHAnsi"/>
          <w:i/>
          <w:iCs/>
          <w:szCs w:val="24"/>
        </w:rPr>
        <w:t>F.C.C. v. Fox Television Stations, Inc.</w:t>
      </w:r>
      <w:r w:rsidRPr="008B2CDD">
        <w:rPr>
          <w:rFonts w:asciiTheme="minorHAnsi" w:hAnsiTheme="minorHAnsi" w:cstheme="minorHAnsi"/>
          <w:szCs w:val="24"/>
        </w:rPr>
        <w:t>, 556 U.S. 502, 515 (2009).</w:t>
      </w:r>
    </w:p>
    <w:p w:rsidR="00135C29" w:rsidRPr="008B2CDD" w:rsidP="00135C29" w14:paraId="3AF44611" w14:textId="77777777">
      <w:pPr>
        <w:rPr>
          <w:rFonts w:asciiTheme="minorHAnsi" w:hAnsiTheme="minorHAnsi" w:cstheme="minorHAnsi"/>
          <w:szCs w:val="24"/>
        </w:rPr>
      </w:pPr>
    </w:p>
    <w:p w:rsidR="229F9E16" w:rsidRPr="008B2CDD" w:rsidP="229F9E16" w14:paraId="4AEBF96A" w14:textId="4C69F7DC">
      <w:pPr>
        <w:pStyle w:val="NoSpacing"/>
        <w:rPr>
          <w:rFonts w:asciiTheme="minorHAnsi" w:hAnsiTheme="minorHAnsi" w:cstheme="minorHAnsi"/>
          <w:szCs w:val="24"/>
        </w:rPr>
      </w:pPr>
      <w:r w:rsidRPr="008B2CDD">
        <w:rPr>
          <w:rFonts w:asciiTheme="minorHAnsi" w:hAnsiTheme="minorHAnsi" w:cstheme="minorHAnsi"/>
          <w:szCs w:val="24"/>
        </w:rPr>
        <w:t xml:space="preserve">For </w:t>
      </w:r>
      <w:r w:rsidRPr="008B2CDD">
        <w:rPr>
          <w:rFonts w:asciiTheme="minorHAnsi" w:hAnsiTheme="minorHAnsi" w:cstheme="minorHAnsi"/>
          <w:szCs w:val="24"/>
        </w:rPr>
        <w:t>decaBDE</w:t>
      </w:r>
      <w:r w:rsidRPr="008B2CDD">
        <w:rPr>
          <w:rFonts w:asciiTheme="minorHAnsi" w:hAnsiTheme="minorHAnsi" w:cstheme="minorHAnsi"/>
          <w:szCs w:val="24"/>
        </w:rPr>
        <w:t xml:space="preserve">, EPA is finalizing revisions to the 2021 final rule to require the use of personal PPE during certain activities involving </w:t>
      </w:r>
      <w:r w:rsidRPr="008B2CDD">
        <w:rPr>
          <w:rFonts w:asciiTheme="minorHAnsi" w:hAnsiTheme="minorHAnsi" w:cstheme="minorHAnsi"/>
          <w:szCs w:val="24"/>
        </w:rPr>
        <w:t>decaBDE</w:t>
      </w:r>
      <w:r w:rsidRPr="008B2CDD">
        <w:rPr>
          <w:rFonts w:asciiTheme="minorHAnsi" w:hAnsiTheme="minorHAnsi" w:cstheme="minorHAnsi"/>
          <w:szCs w:val="24"/>
        </w:rPr>
        <w:t xml:space="preserve">. EPA is also finalizing: a prohibition on releases to water during the manufacturing, processing, and distribution in commerce of </w:t>
      </w:r>
      <w:r w:rsidRPr="008B2CDD">
        <w:rPr>
          <w:rFonts w:asciiTheme="minorHAnsi" w:hAnsiTheme="minorHAnsi" w:cstheme="minorHAnsi"/>
          <w:szCs w:val="24"/>
        </w:rPr>
        <w:t>decaBDE</w:t>
      </w:r>
      <w:r w:rsidRPr="008B2CDD">
        <w:rPr>
          <w:rFonts w:asciiTheme="minorHAnsi" w:hAnsiTheme="minorHAnsi" w:cstheme="minorHAnsi"/>
          <w:szCs w:val="24"/>
        </w:rPr>
        <w:t xml:space="preserve"> and </w:t>
      </w:r>
      <w:r w:rsidRPr="008B2CDD">
        <w:rPr>
          <w:rFonts w:asciiTheme="minorHAnsi" w:hAnsiTheme="minorHAnsi" w:cstheme="minorHAnsi"/>
          <w:szCs w:val="24"/>
        </w:rPr>
        <w:t>decaBDE</w:t>
      </w:r>
      <w:r w:rsidRPr="008B2CDD">
        <w:rPr>
          <w:rFonts w:asciiTheme="minorHAnsi" w:hAnsiTheme="minorHAnsi" w:cstheme="minorHAnsi"/>
          <w:szCs w:val="24"/>
        </w:rPr>
        <w:t xml:space="preserve">-containing products; an extension for the compliance date for the phase-out of processing and distribution in commerce of </w:t>
      </w:r>
      <w:r w:rsidRPr="008B2CDD">
        <w:rPr>
          <w:rFonts w:asciiTheme="minorHAnsi" w:hAnsiTheme="minorHAnsi" w:cstheme="minorHAnsi"/>
          <w:szCs w:val="24"/>
        </w:rPr>
        <w:t>decaBDE</w:t>
      </w:r>
      <w:r w:rsidRPr="008B2CDD">
        <w:rPr>
          <w:rFonts w:asciiTheme="minorHAnsi" w:hAnsiTheme="minorHAnsi" w:cstheme="minorHAnsi"/>
          <w:szCs w:val="24"/>
        </w:rPr>
        <w:t xml:space="preserve">-containing wire and cable insulation for nuclear power generation facilities; an export notification requirement for </w:t>
      </w:r>
      <w:r w:rsidRPr="008B2CDD">
        <w:rPr>
          <w:rFonts w:asciiTheme="minorHAnsi" w:hAnsiTheme="minorHAnsi" w:cstheme="minorHAnsi"/>
          <w:szCs w:val="24"/>
        </w:rPr>
        <w:t>decaBDE</w:t>
      </w:r>
      <w:r w:rsidRPr="008B2CDD">
        <w:rPr>
          <w:rFonts w:asciiTheme="minorHAnsi" w:hAnsiTheme="minorHAnsi" w:cstheme="minorHAnsi"/>
          <w:szCs w:val="24"/>
        </w:rPr>
        <w:t xml:space="preserve">-containing wire and cable for nuclear power generation facilities; an exclusion to allow for distribution in commerce of new and replacement parts containing </w:t>
      </w:r>
      <w:r w:rsidRPr="008B2CDD">
        <w:rPr>
          <w:rFonts w:asciiTheme="minorHAnsi" w:hAnsiTheme="minorHAnsi" w:cstheme="minorHAnsi"/>
          <w:szCs w:val="24"/>
        </w:rPr>
        <w:t>decaBDE</w:t>
      </w:r>
      <w:r w:rsidRPr="008B2CDD">
        <w:rPr>
          <w:rFonts w:asciiTheme="minorHAnsi" w:hAnsiTheme="minorHAnsi" w:cstheme="minorHAnsi"/>
          <w:szCs w:val="24"/>
        </w:rPr>
        <w:t xml:space="preserve">; and </w:t>
      </w:r>
      <w:r w:rsidRPr="008B2CDD" w:rsidR="008E1300">
        <w:rPr>
          <w:rFonts w:asciiTheme="minorHAnsi" w:hAnsiTheme="minorHAnsi" w:cstheme="minorHAnsi"/>
          <w:szCs w:val="24"/>
        </w:rPr>
        <w:t xml:space="preserve">a regulatory threshold level for unintentional </w:t>
      </w:r>
      <w:r w:rsidRPr="008B2CDD" w:rsidR="008E1300">
        <w:rPr>
          <w:rFonts w:asciiTheme="minorHAnsi" w:hAnsiTheme="minorHAnsi" w:cstheme="minorHAnsi"/>
          <w:szCs w:val="24"/>
        </w:rPr>
        <w:t>decaBDE</w:t>
      </w:r>
      <w:r w:rsidRPr="008B2CDD" w:rsidR="008E1300">
        <w:rPr>
          <w:rFonts w:asciiTheme="minorHAnsi" w:hAnsiTheme="minorHAnsi" w:cstheme="minorHAnsi"/>
          <w:szCs w:val="24"/>
        </w:rPr>
        <w:t xml:space="preserve"> present in products and articles at less than 0.1% by weight.</w:t>
      </w:r>
    </w:p>
    <w:p w:rsidR="008E1300" w:rsidRPr="008B2CDD" w:rsidP="229F9E16" w14:paraId="5CB00832" w14:textId="77777777">
      <w:pPr>
        <w:pStyle w:val="NoSpacing"/>
        <w:rPr>
          <w:rFonts w:asciiTheme="minorHAnsi" w:hAnsiTheme="minorHAnsi" w:cstheme="minorHAnsi"/>
          <w:szCs w:val="24"/>
        </w:rPr>
      </w:pPr>
    </w:p>
    <w:p w:rsidR="00375C33" w:rsidRPr="008B2CDD" w:rsidP="0095514D" w14:paraId="25E1FB20" w14:textId="76D4A132">
      <w:pPr>
        <w:pStyle w:val="NoSpacing"/>
        <w:rPr>
          <w:rFonts w:asciiTheme="minorHAnsi" w:hAnsiTheme="minorHAnsi" w:cstheme="minorHAnsi"/>
          <w:szCs w:val="24"/>
        </w:rPr>
      </w:pPr>
      <w:r w:rsidRPr="008B2CDD">
        <w:rPr>
          <w:rFonts w:asciiTheme="minorHAnsi" w:hAnsiTheme="minorHAnsi" w:cstheme="minorHAnsi"/>
          <w:szCs w:val="24"/>
        </w:rPr>
        <w:t xml:space="preserve">For PIP (3:1), EPA is finalizing revisions to the 2021 final rule to require the use of PPE for the domestic manufacturing and processing of PIP (3:1) and certain PIP (3:1)-containing products and articles. EPA is also finalizing: phase-outs on processing and distribution for certain uses;  new exclusions from the prohibitions on processing and distribution in commerce of PIP (3:1) for use in wire harnesses and electric circuit boards and for the processing and distribution in commerce of such PIP (3:1)-containing harnesses and circuit boards; an exclusion to allow for distribution in commerce of new and replacement parts containing PIP (3:1); and an </w:t>
      </w:r>
      <w:r w:rsidRPr="008B2CDD" w:rsidR="008E1300">
        <w:rPr>
          <w:rFonts w:asciiTheme="minorHAnsi" w:hAnsiTheme="minorHAnsi" w:cstheme="minorHAnsi"/>
          <w:szCs w:val="24"/>
        </w:rPr>
        <w:t xml:space="preserve">regulatory threshold level for unintentional </w:t>
      </w:r>
      <w:r w:rsidRPr="008B2CDD" w:rsidR="008E1300">
        <w:rPr>
          <w:rFonts w:asciiTheme="minorHAnsi" w:hAnsiTheme="minorHAnsi" w:cstheme="minorHAnsi"/>
          <w:szCs w:val="24"/>
        </w:rPr>
        <w:t>decaBDE</w:t>
      </w:r>
      <w:r w:rsidRPr="008B2CDD" w:rsidR="008E1300">
        <w:rPr>
          <w:rFonts w:asciiTheme="minorHAnsi" w:hAnsiTheme="minorHAnsi" w:cstheme="minorHAnsi"/>
          <w:szCs w:val="24"/>
        </w:rPr>
        <w:t xml:space="preserve"> and PIP (3:1) present in products and articles at less than 0.1% by weight.</w:t>
      </w:r>
    </w:p>
    <w:p w:rsidR="008E1300" w:rsidRPr="008B2CDD" w:rsidP="0095514D" w14:paraId="157A21AA" w14:textId="77777777">
      <w:pPr>
        <w:pStyle w:val="NoSpacing"/>
        <w:rPr>
          <w:rFonts w:asciiTheme="minorHAnsi" w:hAnsiTheme="minorHAnsi" w:cstheme="minorHAnsi"/>
          <w:szCs w:val="24"/>
        </w:rPr>
      </w:pPr>
    </w:p>
    <w:p w:rsidR="006801E7" w:rsidRPr="008B2CDD" w:rsidP="006801E7" w14:paraId="24C9905A" w14:textId="319AAF36">
      <w:pPr>
        <w:pStyle w:val="Heading2"/>
        <w:rPr>
          <w:rFonts w:asciiTheme="minorHAnsi" w:hAnsiTheme="minorHAnsi" w:cstheme="minorHAnsi"/>
          <w:szCs w:val="24"/>
        </w:rPr>
      </w:pPr>
      <w:r w:rsidRPr="008B2CDD">
        <w:rPr>
          <w:rFonts w:asciiTheme="minorHAnsi" w:hAnsiTheme="minorHAnsi" w:cstheme="minorHAnsi"/>
          <w:szCs w:val="24"/>
        </w:rPr>
        <w:t>2. Indicate how, by whom, and for what purpose the information is to be used. Except for a new collection, indicate the actual use the Agency has made of the information received from the current collection.</w:t>
      </w:r>
    </w:p>
    <w:p w:rsidR="00271BE5" w:rsidRPr="008B2CDD" w:rsidP="00271BE5" w14:paraId="055A0839" w14:textId="7C5799DC">
      <w:pPr>
        <w:rPr>
          <w:rFonts w:asciiTheme="minorHAnsi" w:hAnsiTheme="minorHAnsi" w:cstheme="minorHAnsi"/>
          <w:szCs w:val="24"/>
        </w:rPr>
      </w:pPr>
      <w:r w:rsidRPr="008B2CDD">
        <w:rPr>
          <w:rFonts w:asciiTheme="minorHAnsi" w:hAnsiTheme="minorHAnsi" w:cstheme="minorHAnsi"/>
          <w:szCs w:val="24"/>
        </w:rPr>
        <w:t xml:space="preserve">The information collection activities covered by this ICR are necessary to enhance </w:t>
      </w:r>
      <w:r w:rsidRPr="008B2CDD" w:rsidR="00A77745">
        <w:rPr>
          <w:rFonts w:asciiTheme="minorHAnsi" w:hAnsiTheme="minorHAnsi" w:cstheme="minorHAnsi"/>
          <w:szCs w:val="24"/>
        </w:rPr>
        <w:t xml:space="preserve">the exposure reductions </w:t>
      </w:r>
      <w:r w:rsidRPr="008B2CDD" w:rsidR="00F339AA">
        <w:rPr>
          <w:rFonts w:asciiTheme="minorHAnsi" w:hAnsiTheme="minorHAnsi" w:cstheme="minorHAnsi"/>
          <w:szCs w:val="24"/>
        </w:rPr>
        <w:t>as</w:t>
      </w:r>
      <w:r w:rsidRPr="008B2CDD" w:rsidR="00A77745">
        <w:rPr>
          <w:rFonts w:asciiTheme="minorHAnsi" w:hAnsiTheme="minorHAnsi" w:cstheme="minorHAnsi"/>
          <w:szCs w:val="24"/>
        </w:rPr>
        <w:t xml:space="preserve"> directed by </w:t>
      </w:r>
      <w:r w:rsidRPr="008B2CDD" w:rsidR="28652583">
        <w:rPr>
          <w:rFonts w:asciiTheme="minorHAnsi" w:hAnsiTheme="minorHAnsi" w:cstheme="minorHAnsi"/>
          <w:szCs w:val="24"/>
        </w:rPr>
        <w:t xml:space="preserve">TSCA </w:t>
      </w:r>
      <w:r w:rsidRPr="008B2CDD" w:rsidR="00A77745">
        <w:rPr>
          <w:rFonts w:asciiTheme="minorHAnsi" w:hAnsiTheme="minorHAnsi" w:cstheme="minorHAnsi"/>
          <w:szCs w:val="24"/>
        </w:rPr>
        <w:t xml:space="preserve">section 6(h). </w:t>
      </w:r>
    </w:p>
    <w:p w:rsidR="00674B42" w:rsidRPr="008B2CDD" w:rsidP="00674B42" w14:paraId="61C7AFDF" w14:textId="77777777">
      <w:pPr>
        <w:pStyle w:val="NoSpacing"/>
        <w:rPr>
          <w:rFonts w:asciiTheme="minorHAnsi" w:hAnsiTheme="minorHAnsi" w:cstheme="minorHAnsi"/>
          <w:szCs w:val="24"/>
        </w:rPr>
      </w:pPr>
    </w:p>
    <w:p w:rsidR="00AF28CA" w:rsidRPr="008B2CDD" w:rsidP="00AF28CA" w14:paraId="25345C5C" w14:textId="430284F5">
      <w:pPr>
        <w:pStyle w:val="NoSpacing"/>
        <w:rPr>
          <w:rFonts w:asciiTheme="minorHAnsi" w:hAnsiTheme="minorHAnsi" w:cstheme="minorHAnsi"/>
          <w:szCs w:val="24"/>
        </w:rPr>
      </w:pPr>
      <w:r w:rsidRPr="008B2CDD">
        <w:rPr>
          <w:rFonts w:asciiTheme="minorHAnsi" w:hAnsiTheme="minorHAnsi" w:cstheme="minorHAnsi"/>
          <w:szCs w:val="24"/>
        </w:rPr>
        <w:t>Export notification:</w:t>
      </w:r>
      <w:r w:rsidRPr="008B2CDD" w:rsidR="00606205">
        <w:rPr>
          <w:rFonts w:asciiTheme="minorHAnsi" w:hAnsiTheme="minorHAnsi" w:cstheme="minorHAnsi"/>
          <w:szCs w:val="24"/>
        </w:rPr>
        <w:t xml:space="preserve"> </w:t>
      </w:r>
      <w:r w:rsidRPr="008B2CDD">
        <w:rPr>
          <w:rFonts w:asciiTheme="minorHAnsi" w:hAnsiTheme="minorHAnsi" w:cstheme="minorHAnsi"/>
          <w:szCs w:val="24"/>
        </w:rPr>
        <w:t xml:space="preserve">The required TSCA section 12(b) export notifications for </w:t>
      </w:r>
      <w:r w:rsidRPr="008B2CDD">
        <w:rPr>
          <w:rFonts w:asciiTheme="minorHAnsi" w:hAnsiTheme="minorHAnsi" w:cstheme="minorHAnsi"/>
          <w:szCs w:val="24"/>
        </w:rPr>
        <w:t>decaBDE</w:t>
      </w:r>
      <w:r w:rsidRPr="008B2CDD">
        <w:rPr>
          <w:rFonts w:asciiTheme="minorHAnsi" w:hAnsiTheme="minorHAnsi" w:cstheme="minorHAnsi"/>
          <w:szCs w:val="24"/>
        </w:rPr>
        <w:t xml:space="preserve">-containing wire and cable for nuclear power generation facilities are received by EPA’s </w:t>
      </w:r>
      <w:r w:rsidR="0077631B">
        <w:rPr>
          <w:rFonts w:asciiTheme="minorHAnsi" w:hAnsiTheme="minorHAnsi" w:cstheme="minorHAnsi"/>
          <w:szCs w:val="24"/>
        </w:rPr>
        <w:t xml:space="preserve">Planning, Management, and Operations </w:t>
      </w:r>
      <w:r w:rsidRPr="008B2CDD">
        <w:rPr>
          <w:rFonts w:asciiTheme="minorHAnsi" w:hAnsiTheme="minorHAnsi" w:cstheme="minorHAnsi"/>
          <w:szCs w:val="24"/>
        </w:rPr>
        <w:t>Division (</w:t>
      </w:r>
      <w:r w:rsidR="0077631B">
        <w:rPr>
          <w:rFonts w:asciiTheme="minorHAnsi" w:hAnsiTheme="minorHAnsi" w:cstheme="minorHAnsi"/>
          <w:szCs w:val="24"/>
        </w:rPr>
        <w:t>PMOD</w:t>
      </w:r>
      <w:r w:rsidRPr="008B2CDD">
        <w:rPr>
          <w:rFonts w:asciiTheme="minorHAnsi" w:hAnsiTheme="minorHAnsi" w:cstheme="minorHAnsi"/>
          <w:szCs w:val="24"/>
        </w:rPr>
        <w:t xml:space="preserve">) in OPPT. This action would extend the section 12(b) export notification to a narrow subset of articles containing </w:t>
      </w:r>
      <w:r w:rsidRPr="008B2CDD">
        <w:rPr>
          <w:rFonts w:asciiTheme="minorHAnsi" w:hAnsiTheme="minorHAnsi" w:cstheme="minorHAnsi"/>
          <w:szCs w:val="24"/>
        </w:rPr>
        <w:t>decaBDE</w:t>
      </w:r>
      <w:r w:rsidRPr="008B2CDD">
        <w:rPr>
          <w:rFonts w:asciiTheme="minorHAnsi" w:hAnsiTheme="minorHAnsi" w:cstheme="minorHAnsi"/>
          <w:szCs w:val="24"/>
        </w:rPr>
        <w:t>. For more information about the paperwork burdens associated with export notification, see OMB Control No. 2070-0030.</w:t>
      </w:r>
    </w:p>
    <w:p w:rsidR="00AF28CA" w:rsidRPr="008B2CDD" w:rsidP="00AF28CA" w14:paraId="67392C80" w14:textId="77777777">
      <w:pPr>
        <w:pStyle w:val="NoSpacing"/>
        <w:rPr>
          <w:rFonts w:asciiTheme="minorHAnsi" w:hAnsiTheme="minorHAnsi" w:cstheme="minorHAnsi"/>
          <w:szCs w:val="24"/>
        </w:rPr>
      </w:pPr>
    </w:p>
    <w:p w:rsidR="00674B42" w:rsidRPr="008B2CDD" w:rsidP="4E43BC49" w14:paraId="7A1002BB" w14:textId="0E36367B">
      <w:pPr>
        <w:rPr>
          <w:rFonts w:asciiTheme="minorHAnsi" w:hAnsiTheme="minorHAnsi" w:cstheme="minorHAnsi"/>
          <w:szCs w:val="24"/>
        </w:rPr>
      </w:pPr>
      <w:r w:rsidRPr="008B2CDD">
        <w:rPr>
          <w:rFonts w:asciiTheme="minorHAnsi" w:hAnsiTheme="minorHAnsi" w:cstheme="minorHAnsi"/>
          <w:szCs w:val="24"/>
        </w:rPr>
        <w:t>Downstream Notification:</w:t>
      </w:r>
      <w:r w:rsidRPr="008B2CDD" w:rsidR="00D605E7">
        <w:rPr>
          <w:rFonts w:asciiTheme="minorHAnsi" w:hAnsiTheme="minorHAnsi" w:cstheme="minorHAnsi"/>
          <w:szCs w:val="24"/>
        </w:rPr>
        <w:t xml:space="preserve"> Without the downstream notification requirement, there is a greater likelihood that non-prohibited uses of PIP (3:1) could be diverted to prohibited uses, or that users would buy or use materials that they do not realize are subject to the restrictions in the final rule. Downstream notification would be carried out by updates to the relevant SDS </w:t>
      </w:r>
      <w:r w:rsidRPr="008B2CDD" w:rsidR="00D17EA2">
        <w:rPr>
          <w:rFonts w:asciiTheme="minorHAnsi" w:hAnsiTheme="minorHAnsi" w:cstheme="minorHAnsi"/>
          <w:szCs w:val="24"/>
        </w:rPr>
        <w:t xml:space="preserve">or label </w:t>
      </w:r>
      <w:r w:rsidRPr="008B2CDD" w:rsidR="00D605E7">
        <w:rPr>
          <w:rFonts w:asciiTheme="minorHAnsi" w:hAnsiTheme="minorHAnsi" w:cstheme="minorHAnsi"/>
          <w:szCs w:val="24"/>
        </w:rPr>
        <w:t xml:space="preserve">and is necessary for effective implementation and enforcement of the rule as it provides a record of notification on use </w:t>
      </w:r>
      <w:r w:rsidRPr="008B2CDD" w:rsidR="00D605E7">
        <w:rPr>
          <w:rFonts w:asciiTheme="minorHAnsi" w:hAnsiTheme="minorHAnsi" w:cstheme="minorHAnsi"/>
          <w:szCs w:val="24"/>
        </w:rPr>
        <w:t xml:space="preserve">restrictions throughout the supply chain. Downstream notification </w:t>
      </w:r>
      <w:r w:rsidRPr="008B2CDD" w:rsidR="00EB7B83">
        <w:rPr>
          <w:rFonts w:asciiTheme="minorHAnsi" w:hAnsiTheme="minorHAnsi" w:cstheme="minorHAnsi"/>
          <w:szCs w:val="24"/>
        </w:rPr>
        <w:t>is</w:t>
      </w:r>
      <w:r w:rsidRPr="008B2CDD" w:rsidR="00D605E7">
        <w:rPr>
          <w:rFonts w:asciiTheme="minorHAnsi" w:hAnsiTheme="minorHAnsi" w:cstheme="minorHAnsi"/>
          <w:szCs w:val="24"/>
        </w:rPr>
        <w:t xml:space="preserve"> required for manufacturers, processors, and distributors in commerce of PIP (3:1) and PIP (3:1)-containing products, who would notify companies downstream upon shipment of </w:t>
      </w:r>
      <w:r w:rsidRPr="008B2CDD" w:rsidR="00D17EA2">
        <w:rPr>
          <w:rFonts w:asciiTheme="minorHAnsi" w:hAnsiTheme="minorHAnsi" w:cstheme="minorHAnsi"/>
          <w:szCs w:val="24"/>
        </w:rPr>
        <w:t>PIP (3:1)</w:t>
      </w:r>
      <w:r w:rsidRPr="008B2CDD" w:rsidR="00D605E7">
        <w:rPr>
          <w:rFonts w:asciiTheme="minorHAnsi" w:hAnsiTheme="minorHAnsi" w:cstheme="minorHAnsi"/>
          <w:szCs w:val="24"/>
        </w:rPr>
        <w:t xml:space="preserve"> about the prohibitions. The information submitted to downstream companies through the SDS would provide knowledge and awareness of the restrictions to these companies.</w:t>
      </w:r>
    </w:p>
    <w:p w:rsidR="00674B42" w:rsidRPr="008B2CDD" w:rsidP="4E43BC49" w14:paraId="672975B3" w14:textId="77777777">
      <w:pPr>
        <w:rPr>
          <w:rFonts w:asciiTheme="minorHAnsi" w:hAnsiTheme="minorHAnsi" w:cstheme="minorHAnsi"/>
          <w:szCs w:val="24"/>
        </w:rPr>
      </w:pPr>
    </w:p>
    <w:p w:rsidR="008648B5" w:rsidRPr="008B2CDD" w:rsidP="4E43BC49" w14:paraId="09A98CB4" w14:textId="14A6B111">
      <w:pPr>
        <w:rPr>
          <w:rFonts w:asciiTheme="minorHAnsi" w:hAnsiTheme="minorHAnsi" w:cstheme="minorHAnsi"/>
          <w:szCs w:val="24"/>
        </w:rPr>
      </w:pPr>
      <w:r w:rsidRPr="008B2CDD">
        <w:rPr>
          <w:rFonts w:asciiTheme="minorHAnsi" w:hAnsiTheme="minorHAnsi" w:cstheme="minorHAnsi"/>
          <w:szCs w:val="24"/>
        </w:rPr>
        <w:t xml:space="preserve">Worker protection information, recordkeeping, and notification requirements: </w:t>
      </w:r>
      <w:r w:rsidRPr="008B2CDD" w:rsidR="00F56659">
        <w:rPr>
          <w:rFonts w:asciiTheme="minorHAnsi" w:hAnsiTheme="minorHAnsi" w:cstheme="minorHAnsi"/>
          <w:szCs w:val="24"/>
        </w:rPr>
        <w:t xml:space="preserve">EPA has authority under section 6 of TSCA to require recordkeeping related to the regulatory requirements imposed by EPA. This is especially important where, as here, such records are needed for effective implementation and enforcement of the TSCA section 6(h) rule to reduce exposures to the extent practicable. </w:t>
      </w:r>
      <w:r w:rsidRPr="008B2CDD" w:rsidR="00156D78">
        <w:rPr>
          <w:rFonts w:asciiTheme="minorHAnsi" w:hAnsiTheme="minorHAnsi" w:cstheme="minorHAnsi"/>
          <w:szCs w:val="24"/>
        </w:rPr>
        <w:t xml:space="preserve">Information collection activities for such records required for worker protection measures would provide potentially exposed persons in a workplace with clear and necessary information and would provide EPA with a necessary evidential mechanism for effective enforcement. The regulated entities would develop, compile, and retain records that are necessary for implementing worker protection requirements, provide workplace notification to potentially exposed persons, and serve as a reference for EPA or authorized entities. These records include records for implementing regulated areas, exposure monitoring records, if required, and selection of PPE. These records demonstrate that regulated entities are in compliance with the requirements in this rule. Compliance with the rule is required to reduce exposures to extent practicable to reduce risk to human health identified by EPA for </w:t>
      </w:r>
      <w:r w:rsidRPr="008B2CDD" w:rsidR="00156D78">
        <w:rPr>
          <w:rFonts w:asciiTheme="minorHAnsi" w:hAnsiTheme="minorHAnsi" w:cstheme="minorHAnsi"/>
          <w:szCs w:val="24"/>
        </w:rPr>
        <w:t>decaBDE</w:t>
      </w:r>
      <w:r w:rsidRPr="008B2CDD" w:rsidR="00156D78">
        <w:rPr>
          <w:rFonts w:asciiTheme="minorHAnsi" w:hAnsiTheme="minorHAnsi" w:cstheme="minorHAnsi"/>
          <w:szCs w:val="24"/>
        </w:rPr>
        <w:t xml:space="preserve"> and PIP (3:1). These recordkeeping requirements are also necessary to permit the EPA to conduct its enforcement activities and to ensure compliance within the regulated community</w:t>
      </w:r>
      <w:r w:rsidRPr="008B2CDD" w:rsidR="40689B21">
        <w:rPr>
          <w:rFonts w:asciiTheme="minorHAnsi" w:hAnsiTheme="minorHAnsi" w:cstheme="minorHAnsi"/>
          <w:szCs w:val="24"/>
        </w:rPr>
        <w:t xml:space="preserve">. </w:t>
      </w:r>
      <w:r w:rsidRPr="008B2CDD" w:rsidR="46C78F75">
        <w:rPr>
          <w:rFonts w:asciiTheme="minorHAnsi" w:hAnsiTheme="minorHAnsi" w:cstheme="minorHAnsi"/>
          <w:szCs w:val="24"/>
        </w:rPr>
        <w:t>T</w:t>
      </w:r>
      <w:r w:rsidRPr="008B2CDD" w:rsidR="0049732F">
        <w:rPr>
          <w:rFonts w:asciiTheme="minorHAnsi" w:hAnsiTheme="minorHAnsi" w:cstheme="minorHAnsi"/>
          <w:szCs w:val="24"/>
        </w:rPr>
        <w:t xml:space="preserve">his additional </w:t>
      </w:r>
      <w:r w:rsidRPr="008B2CDD" w:rsidR="00AC450E">
        <w:rPr>
          <w:rFonts w:asciiTheme="minorHAnsi" w:hAnsiTheme="minorHAnsi" w:cstheme="minorHAnsi"/>
          <w:szCs w:val="24"/>
        </w:rPr>
        <w:t xml:space="preserve">regulation </w:t>
      </w:r>
      <w:r w:rsidRPr="008B2CDD" w:rsidR="0049732F">
        <w:rPr>
          <w:rFonts w:asciiTheme="minorHAnsi" w:hAnsiTheme="minorHAnsi" w:cstheme="minorHAnsi"/>
          <w:szCs w:val="24"/>
        </w:rPr>
        <w:t>should not substantially increase the burden on these companies</w:t>
      </w:r>
      <w:r w:rsidRPr="008B2CDD" w:rsidR="7F0D8052">
        <w:rPr>
          <w:rFonts w:asciiTheme="minorHAnsi" w:hAnsiTheme="minorHAnsi" w:cstheme="minorHAnsi"/>
          <w:szCs w:val="24"/>
        </w:rPr>
        <w:t xml:space="preserve"> since PPE is already in use and being codified under this rule</w:t>
      </w:r>
      <w:r w:rsidRPr="008B2CDD" w:rsidR="5EF0B2AA">
        <w:rPr>
          <w:rFonts w:asciiTheme="minorHAnsi" w:hAnsiTheme="minorHAnsi" w:cstheme="minorHAnsi"/>
          <w:szCs w:val="24"/>
        </w:rPr>
        <w:t xml:space="preserve"> in most cases</w:t>
      </w:r>
      <w:r w:rsidRPr="008B2CDD" w:rsidR="0049732F">
        <w:rPr>
          <w:rFonts w:asciiTheme="minorHAnsi" w:hAnsiTheme="minorHAnsi" w:cstheme="minorHAnsi"/>
          <w:szCs w:val="24"/>
        </w:rPr>
        <w:t>.</w:t>
      </w:r>
      <w:r w:rsidRPr="008B2CDD">
        <w:rPr>
          <w:rFonts w:asciiTheme="minorHAnsi" w:hAnsiTheme="minorHAnsi" w:cstheme="minorHAnsi"/>
          <w:szCs w:val="24"/>
        </w:rPr>
        <w:br/>
      </w:r>
    </w:p>
    <w:p w:rsidR="006801E7" w:rsidRPr="008B2CDD" w:rsidP="006801E7" w14:paraId="460101E9" w14:textId="7A33A939">
      <w:pPr>
        <w:pStyle w:val="NoSpacing"/>
        <w:rPr>
          <w:rFonts w:asciiTheme="minorHAnsi" w:hAnsiTheme="minorHAnsi" w:cstheme="minorHAnsi"/>
          <w:szCs w:val="24"/>
        </w:rPr>
      </w:pPr>
      <w:r w:rsidRPr="008B2CDD">
        <w:rPr>
          <w:rFonts w:asciiTheme="minorHAnsi" w:hAnsiTheme="minorHAnsi" w:cstheme="minorHAnsi"/>
          <w:szCs w:val="24"/>
        </w:rPr>
        <w:t>The Administrator will use the information collected under this ICR to furnish the proposed notice to the government of the importing country. The importing country typically uses the information provided to ensure that chemicals imported into their country comply with their applicable laws and regulations.</w:t>
      </w:r>
      <w:r w:rsidRPr="008B2CDD" w:rsidR="006B53D3">
        <w:rPr>
          <w:rFonts w:asciiTheme="minorHAnsi" w:hAnsiTheme="minorHAnsi" w:cstheme="minorHAnsi"/>
          <w:szCs w:val="24"/>
        </w:rPr>
        <w:br/>
      </w:r>
    </w:p>
    <w:p w:rsidR="00EE4C8A" w:rsidRPr="008B2CDD" w:rsidP="006B53D3" w14:paraId="2B976DAB" w14:textId="66237C4B">
      <w:pPr>
        <w:pStyle w:val="Heading2"/>
        <w:rPr>
          <w:rFonts w:asciiTheme="minorHAnsi" w:hAnsiTheme="minorHAnsi" w:cstheme="minorHAnsi"/>
          <w:szCs w:val="24"/>
        </w:rPr>
      </w:pPr>
      <w:r w:rsidRPr="008B2CDD">
        <w:rPr>
          <w:rFonts w:asciiTheme="minorHAnsi" w:hAnsiTheme="minorHAnsi" w:cstheme="minorHAnsi"/>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005C" w:rsidRPr="008B2CDD" w:rsidP="00EA005C" w14:paraId="2157B0E9" w14:textId="38B3A16E">
      <w:pPr>
        <w:tabs>
          <w:tab w:val="left" w:pos="720"/>
          <w:tab w:val="left" w:pos="1080"/>
        </w:tabs>
        <w:rPr>
          <w:rFonts w:asciiTheme="minorHAnsi" w:hAnsiTheme="minorHAnsi" w:cstheme="minorHAnsi"/>
          <w:szCs w:val="24"/>
        </w:rPr>
      </w:pPr>
      <w:r w:rsidRPr="008B2CDD">
        <w:rPr>
          <w:rFonts w:asciiTheme="minorHAnsi" w:hAnsiTheme="minorHAnsi" w:cstheme="minorHAnsi"/>
          <w:szCs w:val="24"/>
        </w:rPr>
        <w:t xml:space="preserve">The required TSCA section 12(b) export notifications for </w:t>
      </w:r>
      <w:r w:rsidRPr="008B2CDD">
        <w:rPr>
          <w:rFonts w:asciiTheme="minorHAnsi" w:hAnsiTheme="minorHAnsi" w:cstheme="minorHAnsi"/>
          <w:szCs w:val="24"/>
        </w:rPr>
        <w:t>decaBDE</w:t>
      </w:r>
      <w:r w:rsidRPr="008B2CDD">
        <w:rPr>
          <w:rFonts w:asciiTheme="minorHAnsi" w:hAnsiTheme="minorHAnsi" w:cstheme="minorHAnsi"/>
          <w:szCs w:val="24"/>
        </w:rPr>
        <w:t>-containing wire and cable for nuclear power generation facilities are received by EPA’s</w:t>
      </w:r>
      <w:r w:rsidRPr="008B2CDD" w:rsidR="00425050">
        <w:rPr>
          <w:rFonts w:asciiTheme="minorHAnsi" w:hAnsiTheme="minorHAnsi" w:cstheme="minorHAnsi"/>
          <w:szCs w:val="24"/>
        </w:rPr>
        <w:t xml:space="preserve"> Program Management and Operations Division (PMOD)</w:t>
      </w:r>
      <w:r w:rsidRPr="008B2CDD">
        <w:rPr>
          <w:rFonts w:asciiTheme="minorHAnsi" w:hAnsiTheme="minorHAnsi" w:cstheme="minorHAnsi"/>
          <w:szCs w:val="24"/>
        </w:rPr>
        <w:t xml:space="preserve"> in OPPT. This action would extend the</w:t>
      </w:r>
      <w:r w:rsidRPr="008B2CDD" w:rsidR="0038761D">
        <w:rPr>
          <w:rFonts w:asciiTheme="minorHAnsi" w:hAnsiTheme="minorHAnsi" w:cstheme="minorHAnsi"/>
          <w:szCs w:val="24"/>
        </w:rPr>
        <w:t xml:space="preserve"> TSCA</w:t>
      </w:r>
      <w:r w:rsidRPr="008B2CDD">
        <w:rPr>
          <w:rFonts w:asciiTheme="minorHAnsi" w:hAnsiTheme="minorHAnsi" w:cstheme="minorHAnsi"/>
          <w:szCs w:val="24"/>
        </w:rPr>
        <w:t xml:space="preserve"> </w:t>
      </w:r>
      <w:r w:rsidRPr="008B2CDD" w:rsidR="00432B1F">
        <w:rPr>
          <w:rFonts w:asciiTheme="minorHAnsi" w:hAnsiTheme="minorHAnsi" w:cstheme="minorHAnsi"/>
          <w:szCs w:val="24"/>
        </w:rPr>
        <w:t xml:space="preserve">section </w:t>
      </w:r>
      <w:r w:rsidRPr="008B2CDD">
        <w:rPr>
          <w:rFonts w:asciiTheme="minorHAnsi" w:hAnsiTheme="minorHAnsi" w:cstheme="minorHAnsi"/>
          <w:szCs w:val="24"/>
        </w:rPr>
        <w:t xml:space="preserve">12(b) export notification to a narrow subset of articles containing </w:t>
      </w:r>
      <w:r w:rsidRPr="008B2CDD">
        <w:rPr>
          <w:rFonts w:asciiTheme="minorHAnsi" w:hAnsiTheme="minorHAnsi" w:cstheme="minorHAnsi"/>
          <w:szCs w:val="24"/>
        </w:rPr>
        <w:t>decaBDE</w:t>
      </w:r>
      <w:r w:rsidRPr="008B2CDD">
        <w:rPr>
          <w:rFonts w:asciiTheme="minorHAnsi" w:hAnsiTheme="minorHAnsi" w:cstheme="minorHAnsi"/>
          <w:szCs w:val="24"/>
        </w:rPr>
        <w:t>. For more information about the paperwork burdens associated with export notification, see OMB Control No. 2070-0030.</w:t>
      </w:r>
      <w:r w:rsidRPr="008B2CDD" w:rsidR="009A2C35">
        <w:rPr>
          <w:rFonts w:asciiTheme="minorHAnsi" w:hAnsiTheme="minorHAnsi" w:cstheme="minorHAnsi"/>
          <w:szCs w:val="24"/>
        </w:rPr>
        <w:br/>
      </w:r>
    </w:p>
    <w:p w:rsidR="006801E7" w:rsidRPr="008B2CDD" w:rsidP="006801E7" w14:paraId="5945F743" w14:textId="5345826F">
      <w:pPr>
        <w:pStyle w:val="Heading2"/>
        <w:rPr>
          <w:rFonts w:asciiTheme="minorHAnsi" w:hAnsiTheme="minorHAnsi" w:cstheme="minorHAnsi"/>
          <w:szCs w:val="24"/>
        </w:rPr>
      </w:pPr>
      <w:r w:rsidRPr="008B2CDD">
        <w:rPr>
          <w:rFonts w:asciiTheme="minorHAnsi" w:hAnsiTheme="minorHAnsi" w:cstheme="minorHAnsi"/>
          <w:szCs w:val="24"/>
        </w:rPr>
        <w:t>4. Describe efforts to identify duplication. Show specifically why any similar information already available cannot be used or modified for use for the purposes described in Item 2 above.</w:t>
      </w:r>
    </w:p>
    <w:p w:rsidR="00512823" w:rsidRPr="008B2CDD" w:rsidP="137E29DE" w14:paraId="58DDDEB4" w14:textId="15FCD171">
      <w:pPr>
        <w:rPr>
          <w:rFonts w:asciiTheme="minorHAnsi" w:hAnsiTheme="minorHAnsi" w:cstheme="minorHAnsi"/>
          <w:szCs w:val="24"/>
        </w:rPr>
      </w:pPr>
      <w:r w:rsidRPr="008B2CDD">
        <w:rPr>
          <w:rFonts w:asciiTheme="minorHAnsi" w:hAnsiTheme="minorHAnsi" w:cstheme="minorHAnsi"/>
          <w:szCs w:val="24"/>
        </w:rPr>
        <w:t xml:space="preserve">EPA’s collection pursuant to the </w:t>
      </w:r>
      <w:r w:rsidRPr="008B2CDD" w:rsidR="5E8EB6D9">
        <w:rPr>
          <w:rFonts w:asciiTheme="minorHAnsi" w:hAnsiTheme="minorHAnsi" w:cstheme="minorHAnsi"/>
          <w:szCs w:val="24"/>
        </w:rPr>
        <w:t xml:space="preserve">TSCA </w:t>
      </w:r>
      <w:r w:rsidRPr="008B2CDD" w:rsidR="00483E28">
        <w:rPr>
          <w:rFonts w:asciiTheme="minorHAnsi" w:hAnsiTheme="minorHAnsi" w:cstheme="minorHAnsi"/>
          <w:szCs w:val="24"/>
        </w:rPr>
        <w:t>section 6(a)</w:t>
      </w:r>
      <w:r w:rsidRPr="008B2CDD">
        <w:rPr>
          <w:rFonts w:asciiTheme="minorHAnsi" w:hAnsiTheme="minorHAnsi" w:cstheme="minorHAnsi"/>
          <w:szCs w:val="24"/>
        </w:rPr>
        <w:t xml:space="preserve"> regulations do not duplicate any other collection.</w:t>
      </w:r>
      <w:r w:rsidRPr="008B2CDD" w:rsidR="00FE7F37">
        <w:rPr>
          <w:rFonts w:asciiTheme="minorHAnsi" w:hAnsiTheme="minorHAnsi" w:cstheme="minorHAnsi"/>
          <w:szCs w:val="24"/>
        </w:rPr>
        <w:t xml:space="preserve"> </w:t>
      </w:r>
      <w:r w:rsidRPr="008B2CDD" w:rsidR="004B6C81">
        <w:rPr>
          <w:rFonts w:asciiTheme="minorHAnsi" w:hAnsiTheme="minorHAnsi" w:cstheme="minorHAnsi"/>
          <w:szCs w:val="24"/>
        </w:rPr>
        <w:t xml:space="preserve">EPA is requiring information to ensure the reduction of exposure to the extent practicable to </w:t>
      </w:r>
      <w:r w:rsidRPr="008B2CDD" w:rsidR="00C04395">
        <w:rPr>
          <w:rFonts w:asciiTheme="minorHAnsi" w:hAnsiTheme="minorHAnsi" w:cstheme="minorHAnsi"/>
          <w:szCs w:val="24"/>
        </w:rPr>
        <w:t>decaBDE</w:t>
      </w:r>
      <w:r w:rsidRPr="008B2CDD" w:rsidR="00C04395">
        <w:rPr>
          <w:rFonts w:asciiTheme="minorHAnsi" w:hAnsiTheme="minorHAnsi" w:cstheme="minorHAnsi"/>
          <w:szCs w:val="24"/>
        </w:rPr>
        <w:t xml:space="preserve"> and PIP (3:1)</w:t>
      </w:r>
      <w:r w:rsidRPr="008B2CDD" w:rsidR="004B6C81">
        <w:rPr>
          <w:rFonts w:asciiTheme="minorHAnsi" w:hAnsiTheme="minorHAnsi" w:cstheme="minorHAnsi"/>
          <w:szCs w:val="24"/>
        </w:rPr>
        <w:t xml:space="preserve">. While this collection activity required by EPA is similar to those of other Federal agencies </w:t>
      </w:r>
      <w:r w:rsidRPr="008B2CDD" w:rsidR="004B6C81">
        <w:rPr>
          <w:rFonts w:asciiTheme="minorHAnsi" w:hAnsiTheme="minorHAnsi" w:cstheme="minorHAnsi"/>
          <w:szCs w:val="24"/>
        </w:rPr>
        <w:t>such as OSHA</w:t>
      </w:r>
      <w:r w:rsidRPr="008B2CDD" w:rsidR="00B65CD2">
        <w:rPr>
          <w:rFonts w:asciiTheme="minorHAnsi" w:hAnsiTheme="minorHAnsi" w:cstheme="minorHAnsi"/>
          <w:szCs w:val="24"/>
        </w:rPr>
        <w:t>,</w:t>
      </w:r>
      <w:r w:rsidRPr="008B2CDD" w:rsidR="004B6C81">
        <w:rPr>
          <w:rFonts w:asciiTheme="minorHAnsi" w:hAnsiTheme="minorHAnsi" w:cstheme="minorHAnsi"/>
          <w:szCs w:val="24"/>
        </w:rPr>
        <w:t xml:space="preserve"> some entities who were not previously required to maintain certain records under the OSHA standard may be subject to recordkeeping requirements in order to demonstrate they have addressed risks </w:t>
      </w:r>
      <w:r w:rsidRPr="008B2CDD" w:rsidR="00B65CD2">
        <w:rPr>
          <w:rFonts w:asciiTheme="minorHAnsi" w:hAnsiTheme="minorHAnsi" w:cstheme="minorHAnsi"/>
          <w:szCs w:val="24"/>
        </w:rPr>
        <w:t xml:space="preserve">by reducing exposures to the extent practicable </w:t>
      </w:r>
      <w:r w:rsidRPr="008B2CDD" w:rsidR="004B6C81">
        <w:rPr>
          <w:rFonts w:asciiTheme="minorHAnsi" w:hAnsiTheme="minorHAnsi" w:cstheme="minorHAnsi"/>
          <w:szCs w:val="24"/>
        </w:rPr>
        <w:t>under TSCA</w:t>
      </w:r>
      <w:r w:rsidRPr="008B2CDD" w:rsidR="00B65CD2">
        <w:rPr>
          <w:rFonts w:asciiTheme="minorHAnsi" w:hAnsiTheme="minorHAnsi" w:cstheme="minorHAnsi"/>
          <w:szCs w:val="24"/>
        </w:rPr>
        <w:t xml:space="preserve"> section 6(h)</w:t>
      </w:r>
      <w:r w:rsidRPr="008B2CDD" w:rsidR="004B6C81">
        <w:rPr>
          <w:rFonts w:asciiTheme="minorHAnsi" w:hAnsiTheme="minorHAnsi" w:cstheme="minorHAnsi"/>
          <w:szCs w:val="24"/>
        </w:rPr>
        <w:t xml:space="preserve">. The requirements of this </w:t>
      </w:r>
      <w:r w:rsidRPr="008B2CDD" w:rsidR="003B5F90">
        <w:rPr>
          <w:rFonts w:asciiTheme="minorHAnsi" w:hAnsiTheme="minorHAnsi" w:cstheme="minorHAnsi"/>
          <w:szCs w:val="24"/>
        </w:rPr>
        <w:t>final rule</w:t>
      </w:r>
      <w:r w:rsidRPr="008B2CDD" w:rsidR="004B6C81">
        <w:rPr>
          <w:rFonts w:asciiTheme="minorHAnsi" w:hAnsiTheme="minorHAnsi" w:cstheme="minorHAnsi"/>
          <w:szCs w:val="24"/>
        </w:rPr>
        <w:t xml:space="preserve"> also include regulated entities where OSHA requirements are not applicable (e.g., public sector workers not covered by an OSHA State plan, and self-employed workers). Thus, these are EPA-specific collection activity guidelines for the regulation of </w:t>
      </w:r>
      <w:r w:rsidRPr="008B2CDD" w:rsidR="00B65CD2">
        <w:rPr>
          <w:rFonts w:asciiTheme="minorHAnsi" w:hAnsiTheme="minorHAnsi" w:cstheme="minorHAnsi"/>
          <w:szCs w:val="24"/>
        </w:rPr>
        <w:t>decaBDE</w:t>
      </w:r>
      <w:r w:rsidRPr="008B2CDD" w:rsidR="00B65CD2">
        <w:rPr>
          <w:rFonts w:asciiTheme="minorHAnsi" w:hAnsiTheme="minorHAnsi" w:cstheme="minorHAnsi"/>
          <w:szCs w:val="24"/>
        </w:rPr>
        <w:t xml:space="preserve"> and PIP (3:1)</w:t>
      </w:r>
      <w:r w:rsidRPr="008B2CDD" w:rsidR="004B6C81">
        <w:rPr>
          <w:rFonts w:asciiTheme="minorHAnsi" w:hAnsiTheme="minorHAnsi" w:cstheme="minorHAnsi"/>
          <w:szCs w:val="24"/>
        </w:rPr>
        <w:t xml:space="preserve"> under TSCA</w:t>
      </w:r>
      <w:r w:rsidRPr="008B2CDD" w:rsidR="00B65CD2">
        <w:rPr>
          <w:rFonts w:asciiTheme="minorHAnsi" w:hAnsiTheme="minorHAnsi" w:cstheme="minorHAnsi"/>
          <w:szCs w:val="24"/>
        </w:rPr>
        <w:t xml:space="preserve"> section 6(h)</w:t>
      </w:r>
      <w:r w:rsidRPr="008B2CDD" w:rsidR="004B6C81">
        <w:rPr>
          <w:rFonts w:asciiTheme="minorHAnsi" w:hAnsiTheme="minorHAnsi" w:cstheme="minorHAnsi"/>
          <w:szCs w:val="24"/>
        </w:rPr>
        <w:t xml:space="preserve"> and therefore has no duplicative requirements.</w:t>
      </w:r>
      <w:r w:rsidRPr="008B2CDD" w:rsidR="001655DF">
        <w:rPr>
          <w:rFonts w:asciiTheme="minorHAnsi" w:hAnsiTheme="minorHAnsi" w:cstheme="minorHAnsi"/>
          <w:szCs w:val="24"/>
        </w:rPr>
        <w:t xml:space="preserve"> An exporter of </w:t>
      </w:r>
      <w:r w:rsidRPr="008B2CDD" w:rsidR="001655DF">
        <w:rPr>
          <w:rFonts w:asciiTheme="minorHAnsi" w:hAnsiTheme="minorHAnsi" w:cstheme="minorHAnsi"/>
          <w:szCs w:val="24"/>
        </w:rPr>
        <w:t>decaBDE</w:t>
      </w:r>
      <w:r w:rsidRPr="008B2CDD" w:rsidR="001655DF">
        <w:rPr>
          <w:rFonts w:asciiTheme="minorHAnsi" w:hAnsiTheme="minorHAnsi" w:cstheme="minorHAnsi"/>
          <w:szCs w:val="24"/>
        </w:rPr>
        <w:t>-containing wire and cable for nuclear power generation facilities, by this rule, will be required to submit one annual notice to EPA. There are no viable alternate sources for the Agency to obtain the information necessary to provide the necessary information to the governments of importing countries.</w:t>
      </w:r>
    </w:p>
    <w:p w:rsidR="00D44759" w:rsidRPr="008B2CDD" w:rsidP="0036683A" w14:paraId="78B2E256" w14:textId="77777777">
      <w:pPr>
        <w:pStyle w:val="NoSpacing"/>
        <w:rPr>
          <w:rFonts w:asciiTheme="minorHAnsi" w:hAnsiTheme="minorHAnsi" w:cstheme="minorHAnsi"/>
          <w:b/>
          <w:szCs w:val="24"/>
        </w:rPr>
      </w:pPr>
    </w:p>
    <w:p w:rsidR="00EA005C" w:rsidRPr="008B2CDD" w:rsidP="00EA005C" w14:paraId="5BE7BE17" w14:textId="3E908A72">
      <w:pPr>
        <w:pStyle w:val="Heading2"/>
        <w:rPr>
          <w:rFonts w:asciiTheme="minorHAnsi" w:hAnsiTheme="minorHAnsi" w:cstheme="minorHAnsi"/>
          <w:szCs w:val="24"/>
        </w:rPr>
      </w:pPr>
      <w:r w:rsidRPr="008B2CDD">
        <w:rPr>
          <w:rFonts w:asciiTheme="minorHAnsi" w:hAnsiTheme="minorHAnsi" w:cstheme="minorHAnsi"/>
          <w:szCs w:val="24"/>
        </w:rPr>
        <w:t xml:space="preserve">5. Describe the consequence to Federal program or policy activities if the collection is not conducted or is conducted less frequently, as well as any technical or legal obstacles to reducing burden. </w:t>
      </w:r>
    </w:p>
    <w:p w:rsidR="00E638A8" w:rsidRPr="008B2CDD" w:rsidP="00D875FF" w14:paraId="40407EAF" w14:textId="77777777">
      <w:pPr>
        <w:rPr>
          <w:rFonts w:asciiTheme="minorHAnsi" w:hAnsiTheme="minorHAnsi" w:cstheme="minorHAnsi"/>
          <w:szCs w:val="24"/>
        </w:rPr>
      </w:pPr>
      <w:r w:rsidRPr="008B2CDD">
        <w:rPr>
          <w:rFonts w:asciiTheme="minorHAnsi" w:hAnsiTheme="minorHAnsi" w:cstheme="minorHAnsi"/>
          <w:szCs w:val="24"/>
        </w:rPr>
        <w:t xml:space="preserve">Under section 6(h) of TSCA (15 U.S.C. § 2605(h)), EPA </w:t>
      </w:r>
      <w:r w:rsidRPr="008B2CDD">
        <w:rPr>
          <w:rFonts w:asciiTheme="minorHAnsi" w:hAnsiTheme="minorHAnsi" w:cstheme="minorHAnsi"/>
          <w:color w:val="000000"/>
          <w:szCs w:val="24"/>
        </w:rPr>
        <w:t xml:space="preserve">must address the risks of injury to health or the environment that the Agency determines are presented by </w:t>
      </w:r>
      <w:r w:rsidRPr="008B2CDD">
        <w:rPr>
          <w:rFonts w:asciiTheme="minorHAnsi" w:hAnsiTheme="minorHAnsi" w:cstheme="minorHAnsi"/>
          <w:color w:val="000000"/>
          <w:szCs w:val="24"/>
        </w:rPr>
        <w:t>decaBDE</w:t>
      </w:r>
      <w:r w:rsidRPr="008B2CDD">
        <w:rPr>
          <w:rFonts w:asciiTheme="minorHAnsi" w:hAnsiTheme="minorHAnsi" w:cstheme="minorHAnsi"/>
          <w:color w:val="000000"/>
          <w:szCs w:val="24"/>
        </w:rPr>
        <w:t xml:space="preserve"> and PIP (3:1) and must reduce exposure to the substances to the extent practicable by</w:t>
      </w:r>
      <w:r w:rsidRPr="008B2CDD">
        <w:rPr>
          <w:rFonts w:asciiTheme="minorHAnsi" w:hAnsiTheme="minorHAnsi" w:cstheme="minorHAnsi"/>
          <w:szCs w:val="24"/>
        </w:rPr>
        <w:t xml:space="preserve"> applying one or more requirements under TSCA section 6(a), (see #1 above). EPA has authority under section 6 of TSCA to require recordkeeping related to the regulatory requirements imposed by EPA. This is important where, as here, such records and reports are necessary for effective implementation and enforcement of the section 6(h) rule.</w:t>
      </w:r>
    </w:p>
    <w:p w:rsidR="00D875FF" w:rsidRPr="008B2CDD" w:rsidP="00D875FF" w14:paraId="078514FD" w14:textId="399EE11B">
      <w:pPr>
        <w:rPr>
          <w:rFonts w:asciiTheme="minorHAnsi" w:hAnsiTheme="minorHAnsi" w:cstheme="minorHAnsi"/>
          <w:szCs w:val="24"/>
        </w:rPr>
      </w:pPr>
    </w:p>
    <w:p w:rsidR="00D875FF" w:rsidRPr="008B2CDD" w:rsidP="00D875FF" w14:paraId="41E56CFC" w14:textId="239D3F4E">
      <w:pPr>
        <w:rPr>
          <w:rFonts w:asciiTheme="minorHAnsi" w:hAnsiTheme="minorHAnsi" w:cstheme="minorHAnsi"/>
          <w:szCs w:val="24"/>
        </w:rPr>
      </w:pPr>
      <w:r w:rsidRPr="008B2CDD">
        <w:rPr>
          <w:rFonts w:asciiTheme="minorHAnsi" w:hAnsiTheme="minorHAnsi" w:cstheme="minorHAnsi"/>
          <w:szCs w:val="24"/>
        </w:rPr>
        <w:t xml:space="preserve">Regarding the worker protection related requirements, due to the nature of the triggering events that initiate information collection activities under the final rule (i.e., the exposure of workers, and potentially exposed persons) a shorter timeframe for record retention is not feasible. The information collection activities covered by this ICR are necessary in order to ensure the effective reduction of exposures to address risks from </w:t>
      </w:r>
      <w:r w:rsidRPr="008B2CDD">
        <w:rPr>
          <w:rFonts w:asciiTheme="minorHAnsi" w:hAnsiTheme="minorHAnsi" w:cstheme="minorHAnsi"/>
          <w:szCs w:val="24"/>
        </w:rPr>
        <w:t>decaBDE</w:t>
      </w:r>
      <w:r w:rsidRPr="008B2CDD">
        <w:rPr>
          <w:rFonts w:asciiTheme="minorHAnsi" w:hAnsiTheme="minorHAnsi" w:cstheme="minorHAnsi"/>
          <w:szCs w:val="24"/>
        </w:rPr>
        <w:t xml:space="preserve"> and PIP (3:1), thus any associated burdens to the regulated entities are necessary for the implementation of this TSCA section 6(h) </w:t>
      </w:r>
      <w:r w:rsidRPr="008B2CDD" w:rsidR="003B5F90">
        <w:rPr>
          <w:rFonts w:asciiTheme="minorHAnsi" w:hAnsiTheme="minorHAnsi" w:cstheme="minorHAnsi"/>
          <w:szCs w:val="24"/>
        </w:rPr>
        <w:t>rule</w:t>
      </w:r>
      <w:r w:rsidRPr="008B2CDD">
        <w:rPr>
          <w:rFonts w:asciiTheme="minorHAnsi" w:hAnsiTheme="minorHAnsi" w:cstheme="minorHAnsi"/>
          <w:szCs w:val="24"/>
        </w:rPr>
        <w:t xml:space="preserve">. Should the records in this information collection activity not be maintained nor be made accessible in accordance with the </w:t>
      </w:r>
      <w:r w:rsidRPr="008B2CDD" w:rsidR="003B5F90">
        <w:rPr>
          <w:rFonts w:asciiTheme="minorHAnsi" w:hAnsiTheme="minorHAnsi" w:cstheme="minorHAnsi"/>
          <w:szCs w:val="24"/>
        </w:rPr>
        <w:t>fine rule</w:t>
      </w:r>
      <w:r w:rsidRPr="008B2CDD">
        <w:rPr>
          <w:rFonts w:asciiTheme="minorHAnsi" w:hAnsiTheme="minorHAnsi" w:cstheme="minorHAnsi"/>
          <w:szCs w:val="24"/>
        </w:rPr>
        <w:t xml:space="preserve">, effective implementation of the worker protection measures would be </w:t>
      </w:r>
      <w:r w:rsidRPr="008B2CDD">
        <w:rPr>
          <w:rFonts w:asciiTheme="minorHAnsi" w:hAnsiTheme="minorHAnsi" w:cstheme="minorHAnsi"/>
          <w:szCs w:val="24"/>
        </w:rPr>
        <w:t>compromised</w:t>
      </w:r>
      <w:r w:rsidRPr="008B2CDD">
        <w:rPr>
          <w:rFonts w:asciiTheme="minorHAnsi" w:hAnsiTheme="minorHAnsi" w:cstheme="minorHAnsi"/>
          <w:szCs w:val="24"/>
        </w:rPr>
        <w:t xml:space="preserve"> and EPA would not be able to determine if exposure is reduced to the extent practicable to address risk presented by the chemical substances, and will hinder investigative efforts by the regulated entity and by EPA.</w:t>
      </w:r>
    </w:p>
    <w:p w:rsidR="00D875FF" w:rsidRPr="008B2CDD" w:rsidP="7D988DDA" w14:paraId="0042EA6A" w14:textId="77777777">
      <w:pPr>
        <w:rPr>
          <w:rFonts w:asciiTheme="minorHAnsi" w:hAnsiTheme="minorHAnsi" w:cstheme="minorHAnsi"/>
          <w:szCs w:val="24"/>
        </w:rPr>
      </w:pPr>
    </w:p>
    <w:p w:rsidR="00A92F4F" w:rsidRPr="008B2CDD" w:rsidP="00A92F4F" w14:paraId="12AB6E5B" w14:textId="1E7EC0D3">
      <w:pPr>
        <w:rPr>
          <w:rFonts w:asciiTheme="minorHAnsi" w:hAnsiTheme="minorHAnsi" w:cstheme="minorHAnsi"/>
          <w:szCs w:val="24"/>
        </w:rPr>
      </w:pPr>
      <w:r w:rsidRPr="008B2CDD">
        <w:rPr>
          <w:rFonts w:asciiTheme="minorHAnsi" w:hAnsiTheme="minorHAnsi" w:cstheme="minorHAnsi"/>
          <w:szCs w:val="24"/>
        </w:rPr>
        <w:t xml:space="preserve">Due to the nature of the </w:t>
      </w:r>
      <w:r w:rsidRPr="008B2CDD" w:rsidR="00F45153">
        <w:rPr>
          <w:rFonts w:asciiTheme="minorHAnsi" w:hAnsiTheme="minorHAnsi" w:cstheme="minorHAnsi"/>
          <w:szCs w:val="24"/>
        </w:rPr>
        <w:t xml:space="preserve">triggering events that initiate information collection activities </w:t>
      </w:r>
      <w:r w:rsidRPr="008B2CDD" w:rsidR="005F59B2">
        <w:rPr>
          <w:rFonts w:asciiTheme="minorHAnsi" w:hAnsiTheme="minorHAnsi" w:cstheme="minorHAnsi"/>
          <w:szCs w:val="24"/>
        </w:rPr>
        <w:t xml:space="preserve">for export </w:t>
      </w:r>
      <w:r w:rsidRPr="008B2CDD" w:rsidR="00AF28CA">
        <w:rPr>
          <w:rFonts w:asciiTheme="minorHAnsi" w:hAnsiTheme="minorHAnsi" w:cstheme="minorHAnsi"/>
          <w:szCs w:val="24"/>
        </w:rPr>
        <w:t>notification,</w:t>
      </w:r>
      <w:r w:rsidRPr="008B2CDD" w:rsidR="00F45153">
        <w:rPr>
          <w:rFonts w:asciiTheme="minorHAnsi" w:hAnsiTheme="minorHAnsi" w:cstheme="minorHAnsi"/>
          <w:szCs w:val="24"/>
        </w:rPr>
        <w:t xml:space="preserve"> </w:t>
      </w:r>
      <w:r w:rsidRPr="008B2CDD">
        <w:rPr>
          <w:rFonts w:asciiTheme="minorHAnsi" w:hAnsiTheme="minorHAnsi" w:cstheme="minorHAnsi"/>
          <w:szCs w:val="24"/>
        </w:rPr>
        <w:t>less frequent collection is not feasible.</w:t>
      </w:r>
      <w:r w:rsidRPr="008B2CDD" w:rsidR="00FE7F37">
        <w:rPr>
          <w:rFonts w:asciiTheme="minorHAnsi" w:hAnsiTheme="minorHAnsi" w:cstheme="minorHAnsi"/>
          <w:szCs w:val="24"/>
        </w:rPr>
        <w:t xml:space="preserve"> </w:t>
      </w:r>
      <w:r w:rsidRPr="008B2CDD">
        <w:rPr>
          <w:rFonts w:asciiTheme="minorHAnsi" w:hAnsiTheme="minorHAnsi" w:cstheme="minorHAnsi"/>
          <w:szCs w:val="24"/>
        </w:rPr>
        <w:t xml:space="preserve">The rules only include reporting information to third parties as needed via Safety Data Sheet and </w:t>
      </w:r>
      <w:r w:rsidRPr="008B2CDD" w:rsidR="00145605">
        <w:rPr>
          <w:rFonts w:asciiTheme="minorHAnsi" w:hAnsiTheme="minorHAnsi" w:cstheme="minorHAnsi"/>
          <w:szCs w:val="24"/>
        </w:rPr>
        <w:t>to</w:t>
      </w:r>
      <w:r w:rsidRPr="008B2CDD">
        <w:rPr>
          <w:rFonts w:asciiTheme="minorHAnsi" w:hAnsiTheme="minorHAnsi" w:cstheme="minorHAnsi"/>
          <w:szCs w:val="24"/>
        </w:rPr>
        <w:t xml:space="preserve"> EPA via export notification</w:t>
      </w:r>
      <w:r w:rsidRPr="008B2CDD" w:rsidR="00145605">
        <w:rPr>
          <w:rFonts w:asciiTheme="minorHAnsi" w:hAnsiTheme="minorHAnsi" w:cstheme="minorHAnsi"/>
          <w:szCs w:val="24"/>
        </w:rPr>
        <w:t xml:space="preserve"> </w:t>
      </w:r>
      <w:r w:rsidRPr="008B2CDD">
        <w:rPr>
          <w:rFonts w:asciiTheme="minorHAnsi" w:hAnsiTheme="minorHAnsi" w:cstheme="minorHAnsi"/>
          <w:szCs w:val="24"/>
        </w:rPr>
        <w:t>requirements as described below.</w:t>
      </w:r>
    </w:p>
    <w:p w:rsidR="00145605" w:rsidRPr="008B2CDD" w:rsidP="00537081" w14:paraId="59936DFE" w14:textId="77777777">
      <w:pPr>
        <w:pStyle w:val="NoSpacing"/>
        <w:rPr>
          <w:rFonts w:asciiTheme="minorHAnsi" w:hAnsiTheme="minorHAnsi" w:cstheme="minorHAnsi"/>
          <w:szCs w:val="24"/>
        </w:rPr>
      </w:pPr>
    </w:p>
    <w:p w:rsidR="00512823" w:rsidRPr="008B2CDD" w:rsidP="00A92F4F" w14:paraId="358FD5EA" w14:textId="5430C6BB">
      <w:pPr>
        <w:rPr>
          <w:rFonts w:asciiTheme="minorHAnsi" w:hAnsiTheme="minorHAnsi" w:cstheme="minorHAnsi"/>
          <w:szCs w:val="24"/>
        </w:rPr>
      </w:pPr>
      <w:r w:rsidRPr="008B2CDD">
        <w:rPr>
          <w:rFonts w:asciiTheme="minorHAnsi" w:hAnsiTheme="minorHAnsi" w:cstheme="minorHAnsi"/>
          <w:szCs w:val="24"/>
        </w:rPr>
        <w:t xml:space="preserve">Consistent with EPA regulations at 40 CFR 707.65(a)(1)(i), and pursuant to this proposed rule, an exporter will be required to submit, on an annual basis, one TSCA section 12(b) notice for each country to which </w:t>
      </w:r>
      <w:r w:rsidRPr="008B2CDD">
        <w:rPr>
          <w:rFonts w:asciiTheme="minorHAnsi" w:hAnsiTheme="minorHAnsi" w:cstheme="minorHAnsi"/>
          <w:szCs w:val="24"/>
        </w:rPr>
        <w:t>decaBDE</w:t>
      </w:r>
      <w:r w:rsidRPr="008B2CDD">
        <w:rPr>
          <w:rFonts w:asciiTheme="minorHAnsi" w:hAnsiTheme="minorHAnsi" w:cstheme="minorHAnsi"/>
          <w:szCs w:val="24"/>
        </w:rPr>
        <w:t xml:space="preserve">-containing wire and cable for nuclear power generation facilities is exported. Further, pursuant to 40 CFR 707.65(a)(2), such TSCA section 12(b) notice must be submitted to EPA “within seven days of forming the intent to export or on the date of export, whichever is earlier. A notice of intent to export must be based on a definite contractual obligation, or an equivalent intra-company agreement, to export the regulated chemical.” Once EPA receives this information, it will inform the importing country’s national focal point under the Stockholm Convention to ensure that the </w:t>
      </w:r>
      <w:r w:rsidRPr="008B2CDD">
        <w:rPr>
          <w:rFonts w:asciiTheme="minorHAnsi" w:hAnsiTheme="minorHAnsi" w:cstheme="minorHAnsi"/>
          <w:szCs w:val="24"/>
        </w:rPr>
        <w:t>government of the country to which the chemical is imported may consider any applicable obligations under the Stockholm Convention.</w:t>
      </w:r>
    </w:p>
    <w:p w:rsidR="00512823" w:rsidRPr="008B2CDD" w:rsidP="00512823" w14:paraId="6A0E556F" w14:textId="77777777">
      <w:pPr>
        <w:numPr>
          <w:ilvl w:val="12"/>
          <w:numId w:val="0"/>
        </w:numPr>
        <w:rPr>
          <w:rFonts w:asciiTheme="minorHAnsi" w:hAnsiTheme="minorHAnsi" w:cstheme="minorHAnsi"/>
          <w:szCs w:val="24"/>
        </w:rPr>
      </w:pPr>
    </w:p>
    <w:p w:rsidR="00EA005C" w:rsidRPr="008B2CDD" w:rsidP="00EA005C" w14:paraId="3C3A6EB7" w14:textId="49DDF0F9">
      <w:pPr>
        <w:pStyle w:val="Heading2"/>
        <w:rPr>
          <w:rFonts w:asciiTheme="minorHAnsi" w:hAnsiTheme="minorHAnsi" w:cstheme="minorHAnsi"/>
          <w:szCs w:val="24"/>
        </w:rPr>
      </w:pPr>
      <w:r w:rsidRPr="008B2CDD">
        <w:rPr>
          <w:rFonts w:asciiTheme="minorHAnsi" w:hAnsiTheme="minorHAnsi" w:cstheme="minorHAnsi"/>
          <w:szCs w:val="24"/>
        </w:rPr>
        <w:t>6. If the collection of information impacts small businesses or other small entities, describe the methods used to minimize burden.</w:t>
      </w:r>
    </w:p>
    <w:p w:rsidR="00F45153" w:rsidRPr="008B2CDD" w:rsidP="0014207F" w14:paraId="20294143" w14:textId="1F2EA0A0">
      <w:pPr>
        <w:rPr>
          <w:rFonts w:asciiTheme="minorHAnsi" w:hAnsiTheme="minorHAnsi" w:cstheme="minorHAnsi"/>
          <w:szCs w:val="24"/>
        </w:rPr>
      </w:pPr>
      <w:r w:rsidRPr="008B2CDD">
        <w:rPr>
          <w:rFonts w:asciiTheme="minorHAnsi" w:hAnsiTheme="minorHAnsi" w:cstheme="minorHAnsi"/>
          <w:szCs w:val="24"/>
        </w:rPr>
        <w:t xml:space="preserve">EPA believes </w:t>
      </w:r>
      <w:r w:rsidRPr="008B2CDD" w:rsidR="0014207F">
        <w:rPr>
          <w:rFonts w:asciiTheme="minorHAnsi" w:hAnsiTheme="minorHAnsi" w:cstheme="minorHAnsi"/>
          <w:szCs w:val="24"/>
        </w:rPr>
        <w:t>this action will not have a significant economic impact on a substantial number of small entities.</w:t>
      </w:r>
      <w:r w:rsidRPr="008B2CDD" w:rsidR="00533D94">
        <w:rPr>
          <w:rFonts w:asciiTheme="minorHAnsi" w:hAnsiTheme="minorHAnsi" w:cstheme="minorHAnsi"/>
          <w:szCs w:val="24"/>
        </w:rPr>
        <w:t xml:space="preserve"> Of the </w:t>
      </w:r>
      <w:r w:rsidRPr="008B2CDD" w:rsidR="003C6D4B">
        <w:rPr>
          <w:rFonts w:asciiTheme="minorHAnsi" w:hAnsiTheme="minorHAnsi" w:cstheme="minorHAnsi"/>
          <w:szCs w:val="24"/>
        </w:rPr>
        <w:t>26,805</w:t>
      </w:r>
      <w:r w:rsidRPr="008B2CDD" w:rsidR="00750A3B">
        <w:rPr>
          <w:rFonts w:asciiTheme="minorHAnsi" w:hAnsiTheme="minorHAnsi" w:cstheme="minorHAnsi"/>
          <w:szCs w:val="24"/>
        </w:rPr>
        <w:t xml:space="preserve"> </w:t>
      </w:r>
      <w:r w:rsidRPr="008B2CDD" w:rsidR="00533D94">
        <w:rPr>
          <w:rFonts w:asciiTheme="minorHAnsi" w:hAnsiTheme="minorHAnsi" w:cstheme="minorHAnsi"/>
          <w:szCs w:val="24"/>
        </w:rPr>
        <w:t>firms impacted by the rule,</w:t>
      </w:r>
      <w:r w:rsidRPr="008B2CDD" w:rsidR="00E21B03">
        <w:rPr>
          <w:rFonts w:asciiTheme="minorHAnsi" w:hAnsiTheme="minorHAnsi" w:cstheme="minorHAnsi"/>
          <w:szCs w:val="24"/>
        </w:rPr>
        <w:t xml:space="preserve"> 2</w:t>
      </w:r>
      <w:r w:rsidRPr="008B2CDD" w:rsidR="00614138">
        <w:rPr>
          <w:rFonts w:asciiTheme="minorHAnsi" w:hAnsiTheme="minorHAnsi" w:cstheme="minorHAnsi"/>
          <w:szCs w:val="24"/>
        </w:rPr>
        <w:t>4,865</w:t>
      </w:r>
      <w:r w:rsidRPr="008B2CDD" w:rsidR="00533D94">
        <w:rPr>
          <w:rFonts w:asciiTheme="minorHAnsi" w:hAnsiTheme="minorHAnsi" w:cstheme="minorHAnsi"/>
          <w:szCs w:val="24"/>
        </w:rPr>
        <w:t xml:space="preserve"> are considered small. </w:t>
      </w:r>
      <w:r w:rsidRPr="008B2CDD" w:rsidR="0014207F">
        <w:rPr>
          <w:rFonts w:asciiTheme="minorHAnsi" w:hAnsiTheme="minorHAnsi" w:cstheme="minorHAnsi"/>
          <w:szCs w:val="24"/>
        </w:rPr>
        <w:t>A</w:t>
      </w:r>
      <w:r w:rsidRPr="008B2CDD" w:rsidR="00A1172B">
        <w:rPr>
          <w:rFonts w:asciiTheme="minorHAnsi" w:hAnsiTheme="minorHAnsi" w:cstheme="minorHAnsi"/>
          <w:szCs w:val="24"/>
        </w:rPr>
        <w:t>ll</w:t>
      </w:r>
      <w:r w:rsidRPr="008B2CDD" w:rsidR="009558F9">
        <w:rPr>
          <w:rFonts w:asciiTheme="minorHAnsi" w:hAnsiTheme="minorHAnsi" w:cstheme="minorHAnsi"/>
          <w:szCs w:val="24"/>
        </w:rPr>
        <w:t xml:space="preserve"> of </w:t>
      </w:r>
      <w:r w:rsidRPr="008B2CDD" w:rsidR="00750A3B">
        <w:rPr>
          <w:rFonts w:asciiTheme="minorHAnsi" w:hAnsiTheme="minorHAnsi" w:cstheme="minorHAnsi"/>
          <w:szCs w:val="24"/>
        </w:rPr>
        <w:t>small</w:t>
      </w:r>
      <w:r w:rsidRPr="008B2CDD" w:rsidR="009558F9">
        <w:rPr>
          <w:rFonts w:asciiTheme="minorHAnsi" w:hAnsiTheme="minorHAnsi" w:cstheme="minorHAnsi"/>
          <w:szCs w:val="24"/>
        </w:rPr>
        <w:t xml:space="preserve"> </w:t>
      </w:r>
      <w:r w:rsidRPr="008B2CDD" w:rsidR="003A0601">
        <w:rPr>
          <w:rFonts w:asciiTheme="minorHAnsi" w:hAnsiTheme="minorHAnsi" w:cstheme="minorHAnsi"/>
          <w:szCs w:val="24"/>
        </w:rPr>
        <w:t>firms subject to this requirement have a cost-revenue impact of</w:t>
      </w:r>
      <w:r w:rsidRPr="008B2CDD" w:rsidR="00ED388F">
        <w:rPr>
          <w:rFonts w:asciiTheme="minorHAnsi" w:hAnsiTheme="minorHAnsi" w:cstheme="minorHAnsi"/>
          <w:szCs w:val="24"/>
        </w:rPr>
        <w:t xml:space="preserve"> </w:t>
      </w:r>
      <w:r w:rsidRPr="008B2CDD" w:rsidR="00CE0537">
        <w:rPr>
          <w:rFonts w:asciiTheme="minorHAnsi" w:hAnsiTheme="minorHAnsi" w:cstheme="minorHAnsi"/>
          <w:szCs w:val="24"/>
        </w:rPr>
        <w:t xml:space="preserve">less than </w:t>
      </w:r>
      <w:r w:rsidRPr="008B2CDD" w:rsidR="009558F9">
        <w:rPr>
          <w:rFonts w:asciiTheme="minorHAnsi" w:hAnsiTheme="minorHAnsi" w:cstheme="minorHAnsi"/>
          <w:szCs w:val="24"/>
        </w:rPr>
        <w:t>3</w:t>
      </w:r>
      <w:r w:rsidRPr="008B2CDD" w:rsidR="00CE0537">
        <w:rPr>
          <w:rFonts w:asciiTheme="minorHAnsi" w:hAnsiTheme="minorHAnsi" w:cstheme="minorHAnsi"/>
          <w:szCs w:val="24"/>
        </w:rPr>
        <w:t xml:space="preserve"> percent</w:t>
      </w:r>
      <w:r w:rsidRPr="008B2CDD" w:rsidR="009558F9">
        <w:rPr>
          <w:rFonts w:asciiTheme="minorHAnsi" w:hAnsiTheme="minorHAnsi" w:cstheme="minorHAnsi"/>
          <w:szCs w:val="24"/>
        </w:rPr>
        <w:t xml:space="preserve">, and </w:t>
      </w:r>
      <w:r w:rsidRPr="008B2CDD" w:rsidR="00750A3B">
        <w:rPr>
          <w:rFonts w:asciiTheme="minorHAnsi" w:hAnsiTheme="minorHAnsi" w:cstheme="minorHAnsi"/>
          <w:szCs w:val="24"/>
        </w:rPr>
        <w:t>6</w:t>
      </w:r>
      <w:r w:rsidRPr="008B2CDD" w:rsidR="00420B75">
        <w:rPr>
          <w:rFonts w:asciiTheme="minorHAnsi" w:hAnsiTheme="minorHAnsi" w:cstheme="minorHAnsi"/>
          <w:szCs w:val="24"/>
        </w:rPr>
        <w:t>%</w:t>
      </w:r>
      <w:r w:rsidRPr="008B2CDD" w:rsidR="00A1172B">
        <w:rPr>
          <w:rFonts w:asciiTheme="minorHAnsi" w:hAnsiTheme="minorHAnsi" w:cstheme="minorHAnsi"/>
          <w:szCs w:val="24"/>
        </w:rPr>
        <w:t xml:space="preserve"> of </w:t>
      </w:r>
      <w:r w:rsidRPr="008B2CDD" w:rsidR="00DF0896">
        <w:rPr>
          <w:rFonts w:asciiTheme="minorHAnsi" w:hAnsiTheme="minorHAnsi" w:cstheme="minorHAnsi"/>
          <w:szCs w:val="24"/>
        </w:rPr>
        <w:t>small</w:t>
      </w:r>
      <w:r w:rsidRPr="008B2CDD" w:rsidR="00A1172B">
        <w:rPr>
          <w:rFonts w:asciiTheme="minorHAnsi" w:hAnsiTheme="minorHAnsi" w:cstheme="minorHAnsi"/>
          <w:szCs w:val="24"/>
        </w:rPr>
        <w:t xml:space="preserve"> firms</w:t>
      </w:r>
      <w:r w:rsidRPr="008B2CDD" w:rsidR="0014207F">
        <w:rPr>
          <w:rFonts w:asciiTheme="minorHAnsi" w:hAnsiTheme="minorHAnsi" w:cstheme="minorHAnsi"/>
          <w:szCs w:val="24"/>
        </w:rPr>
        <w:t xml:space="preserve"> </w:t>
      </w:r>
      <w:r w:rsidRPr="008B2CDD" w:rsidR="00A1172B">
        <w:rPr>
          <w:rFonts w:asciiTheme="minorHAnsi" w:hAnsiTheme="minorHAnsi" w:cstheme="minorHAnsi"/>
          <w:szCs w:val="24"/>
        </w:rPr>
        <w:t xml:space="preserve">have an </w:t>
      </w:r>
      <w:r w:rsidRPr="008B2CDD" w:rsidR="009558F9">
        <w:rPr>
          <w:rFonts w:asciiTheme="minorHAnsi" w:hAnsiTheme="minorHAnsi" w:cstheme="minorHAnsi"/>
          <w:szCs w:val="24"/>
        </w:rPr>
        <w:t>impact</w:t>
      </w:r>
      <w:r w:rsidRPr="008B2CDD" w:rsidR="005F0023">
        <w:rPr>
          <w:rFonts w:asciiTheme="minorHAnsi" w:hAnsiTheme="minorHAnsi" w:cstheme="minorHAnsi"/>
          <w:szCs w:val="24"/>
        </w:rPr>
        <w:t xml:space="preserve"> under</w:t>
      </w:r>
      <w:r w:rsidRPr="008B2CDD" w:rsidR="00533D94">
        <w:rPr>
          <w:rFonts w:asciiTheme="minorHAnsi" w:hAnsiTheme="minorHAnsi" w:cstheme="minorHAnsi"/>
          <w:szCs w:val="24"/>
        </w:rPr>
        <w:t xml:space="preserve"> </w:t>
      </w:r>
      <w:r w:rsidRPr="008B2CDD" w:rsidR="005F0023">
        <w:rPr>
          <w:rFonts w:asciiTheme="minorHAnsi" w:hAnsiTheme="minorHAnsi" w:cstheme="minorHAnsi"/>
          <w:szCs w:val="24"/>
        </w:rPr>
        <w:t>1 percent.</w:t>
      </w:r>
    </w:p>
    <w:p w:rsidR="009558F9" w:rsidRPr="008B2CDD" w:rsidP="00547A2E" w14:paraId="64A73329" w14:textId="77777777">
      <w:pPr>
        <w:pStyle w:val="NoSpacing"/>
        <w:rPr>
          <w:rFonts w:asciiTheme="minorHAnsi" w:hAnsiTheme="minorHAnsi" w:cstheme="minorHAnsi"/>
          <w:szCs w:val="24"/>
        </w:rPr>
      </w:pPr>
    </w:p>
    <w:p w:rsidR="00EA005C" w:rsidRPr="008B2CDD" w:rsidP="00EA005C" w14:paraId="1858DD34" w14:textId="77777777">
      <w:pPr>
        <w:pStyle w:val="Heading2"/>
        <w:rPr>
          <w:rFonts w:asciiTheme="minorHAnsi" w:hAnsiTheme="minorHAnsi" w:cstheme="minorHAnsi"/>
          <w:szCs w:val="24"/>
        </w:rPr>
      </w:pPr>
      <w:r w:rsidRPr="008B2CDD">
        <w:rPr>
          <w:rFonts w:asciiTheme="minorHAnsi" w:hAnsiTheme="minorHAnsi" w:cstheme="minorHAnsi"/>
          <w:szCs w:val="24"/>
        </w:rPr>
        <w:t>7. Explain any special circumstances that require the collection to be conducted in a manner inconsistent with OMB guidelines.</w:t>
      </w:r>
    </w:p>
    <w:p w:rsidR="00EA005C" w:rsidRPr="008B2CDD" w:rsidP="00EA005C" w14:paraId="242AD7B4" w14:textId="77777777">
      <w:pPr>
        <w:tabs>
          <w:tab w:val="left" w:pos="720"/>
        </w:tabs>
        <w:ind w:left="720" w:hanging="360"/>
        <w:rPr>
          <w:rFonts w:asciiTheme="minorHAnsi" w:hAnsiTheme="minorHAnsi" w:cstheme="minorHAnsi"/>
          <w:b/>
          <w:bCs/>
          <w:szCs w:val="24"/>
        </w:rPr>
      </w:pPr>
      <w:r w:rsidRPr="008B2CDD">
        <w:rPr>
          <w:rFonts w:asciiTheme="minorHAnsi" w:hAnsiTheme="minorHAnsi" w:cstheme="minorHAnsi"/>
          <w:b/>
          <w:bCs/>
          <w:szCs w:val="24"/>
        </w:rPr>
        <w:t>a)</w:t>
      </w:r>
      <w:r w:rsidRPr="008B2CDD">
        <w:rPr>
          <w:rFonts w:asciiTheme="minorHAnsi" w:hAnsiTheme="minorHAnsi" w:cstheme="minorHAnsi"/>
          <w:b/>
          <w:bCs/>
          <w:szCs w:val="24"/>
        </w:rPr>
        <w:tab/>
        <w:t>requiring respondents to report information to the agency more often than quarterly;</w:t>
      </w:r>
    </w:p>
    <w:p w:rsidR="00EA005C" w:rsidRPr="008B2CDD" w:rsidP="00EA005C" w14:paraId="1AA1D6A1" w14:textId="77777777">
      <w:pPr>
        <w:tabs>
          <w:tab w:val="left" w:pos="720"/>
        </w:tabs>
        <w:ind w:left="720" w:hanging="360"/>
        <w:rPr>
          <w:rFonts w:asciiTheme="minorHAnsi" w:hAnsiTheme="minorHAnsi" w:cstheme="minorHAnsi"/>
          <w:b/>
          <w:bCs/>
          <w:szCs w:val="24"/>
        </w:rPr>
      </w:pPr>
      <w:r w:rsidRPr="008B2CDD">
        <w:rPr>
          <w:rFonts w:asciiTheme="minorHAnsi" w:hAnsiTheme="minorHAnsi" w:cstheme="minorHAnsi"/>
          <w:b/>
          <w:bCs/>
          <w:szCs w:val="24"/>
        </w:rPr>
        <w:t>b)</w:t>
      </w:r>
      <w:r w:rsidRPr="008B2CDD">
        <w:rPr>
          <w:rFonts w:asciiTheme="minorHAnsi" w:hAnsiTheme="minorHAnsi" w:cstheme="minorHAnsi"/>
          <w:b/>
          <w:bCs/>
          <w:szCs w:val="24"/>
        </w:rPr>
        <w:tab/>
        <w:t>requiring respondents to prepare a written response to a collection of information in fewer than 30 days after receipt of it;</w:t>
      </w:r>
    </w:p>
    <w:p w:rsidR="00EA005C" w:rsidRPr="008B2CDD" w:rsidP="00EA005C" w14:paraId="4DB3A7D8" w14:textId="77777777">
      <w:pPr>
        <w:tabs>
          <w:tab w:val="left" w:pos="720"/>
        </w:tabs>
        <w:ind w:left="720" w:hanging="360"/>
        <w:rPr>
          <w:rFonts w:asciiTheme="minorHAnsi" w:hAnsiTheme="minorHAnsi" w:cstheme="minorHAnsi"/>
          <w:b/>
          <w:bCs/>
          <w:szCs w:val="24"/>
        </w:rPr>
      </w:pPr>
      <w:r w:rsidRPr="008B2CDD">
        <w:rPr>
          <w:rFonts w:asciiTheme="minorHAnsi" w:hAnsiTheme="minorHAnsi" w:cstheme="minorHAnsi"/>
          <w:b/>
          <w:bCs/>
          <w:szCs w:val="24"/>
        </w:rPr>
        <w:t>c)</w:t>
      </w:r>
      <w:r w:rsidRPr="008B2CDD">
        <w:rPr>
          <w:rFonts w:asciiTheme="minorHAnsi" w:hAnsiTheme="minorHAnsi" w:cstheme="minorHAnsi"/>
          <w:b/>
          <w:bCs/>
          <w:szCs w:val="24"/>
        </w:rPr>
        <w:tab/>
        <w:t>requiring respondents to submit more than an original and two copies of any document;</w:t>
      </w:r>
    </w:p>
    <w:p w:rsidR="00EA005C" w:rsidRPr="008B2CDD" w:rsidP="00EA005C" w14:paraId="003ADCA5" w14:textId="77777777">
      <w:pPr>
        <w:tabs>
          <w:tab w:val="left" w:pos="720"/>
        </w:tabs>
        <w:ind w:left="720" w:hanging="360"/>
        <w:rPr>
          <w:rFonts w:asciiTheme="minorHAnsi" w:hAnsiTheme="minorHAnsi" w:cstheme="minorHAnsi"/>
          <w:b/>
          <w:bCs/>
          <w:szCs w:val="24"/>
        </w:rPr>
      </w:pPr>
      <w:r w:rsidRPr="008B2CDD">
        <w:rPr>
          <w:rFonts w:asciiTheme="minorHAnsi" w:hAnsiTheme="minorHAnsi" w:cstheme="minorHAnsi"/>
          <w:b/>
          <w:bCs/>
          <w:szCs w:val="24"/>
        </w:rPr>
        <w:t>d)</w:t>
      </w:r>
      <w:r w:rsidRPr="008B2CDD">
        <w:rPr>
          <w:rFonts w:asciiTheme="minorHAnsi" w:hAnsiTheme="minorHAnsi" w:cstheme="minorHAnsi"/>
          <w:b/>
          <w:bCs/>
          <w:szCs w:val="24"/>
        </w:rPr>
        <w:tab/>
        <w:t>requiring respondents to retain records, other than health, medical, government contract, grant-in-aid, or tax records, for more than three years;</w:t>
      </w:r>
    </w:p>
    <w:p w:rsidR="00EA005C" w:rsidRPr="008B2CDD" w:rsidP="00EA005C" w14:paraId="6D2F4AE1" w14:textId="77777777">
      <w:pPr>
        <w:tabs>
          <w:tab w:val="left" w:pos="720"/>
        </w:tabs>
        <w:ind w:left="720" w:hanging="360"/>
        <w:rPr>
          <w:rFonts w:asciiTheme="minorHAnsi" w:hAnsiTheme="minorHAnsi" w:cstheme="minorHAnsi"/>
          <w:b/>
          <w:bCs/>
          <w:szCs w:val="24"/>
        </w:rPr>
      </w:pPr>
      <w:r w:rsidRPr="008B2CDD">
        <w:rPr>
          <w:rFonts w:asciiTheme="minorHAnsi" w:hAnsiTheme="minorHAnsi" w:cstheme="minorHAnsi"/>
          <w:b/>
          <w:bCs/>
          <w:szCs w:val="24"/>
        </w:rPr>
        <w:t>e)</w:t>
      </w:r>
      <w:r w:rsidRPr="008B2CDD">
        <w:rPr>
          <w:rFonts w:asciiTheme="minorHAnsi" w:hAnsiTheme="minorHAnsi" w:cstheme="minorHAnsi"/>
          <w:b/>
          <w:bCs/>
          <w:szCs w:val="24"/>
        </w:rPr>
        <w:tab/>
        <w:t>in connection with a statistical survey, that is not designed to produce valid and reliable results that can be generalized to the universe of study;</w:t>
      </w:r>
    </w:p>
    <w:p w:rsidR="00EA005C" w:rsidRPr="008B2CDD" w:rsidP="00EA005C" w14:paraId="4A5888A2" w14:textId="77777777">
      <w:pPr>
        <w:tabs>
          <w:tab w:val="left" w:pos="720"/>
        </w:tabs>
        <w:ind w:left="720" w:hanging="360"/>
        <w:rPr>
          <w:rFonts w:asciiTheme="minorHAnsi" w:hAnsiTheme="minorHAnsi" w:cstheme="minorHAnsi"/>
          <w:b/>
          <w:bCs/>
          <w:szCs w:val="24"/>
        </w:rPr>
      </w:pPr>
      <w:r w:rsidRPr="008B2CDD">
        <w:rPr>
          <w:rFonts w:asciiTheme="minorHAnsi" w:hAnsiTheme="minorHAnsi" w:cstheme="minorHAnsi"/>
          <w:b/>
          <w:bCs/>
          <w:szCs w:val="24"/>
        </w:rPr>
        <w:t>f)</w:t>
      </w:r>
      <w:r w:rsidRPr="008B2CDD">
        <w:rPr>
          <w:rFonts w:asciiTheme="minorHAnsi" w:hAnsiTheme="minorHAnsi" w:cstheme="minorHAnsi"/>
          <w:b/>
          <w:bCs/>
          <w:szCs w:val="24"/>
        </w:rPr>
        <w:tab/>
        <w:t>requiring the use of a statistical data classification that has not been reviewed and approved by OMB;</w:t>
      </w:r>
    </w:p>
    <w:p w:rsidR="00EA005C" w:rsidRPr="008B2CDD" w:rsidP="00EA005C" w14:paraId="417E907C" w14:textId="77777777">
      <w:pPr>
        <w:tabs>
          <w:tab w:val="left" w:pos="720"/>
        </w:tabs>
        <w:ind w:left="720" w:hanging="360"/>
        <w:rPr>
          <w:rFonts w:asciiTheme="minorHAnsi" w:hAnsiTheme="minorHAnsi" w:cstheme="minorHAnsi"/>
          <w:b/>
          <w:bCs/>
          <w:szCs w:val="24"/>
        </w:rPr>
      </w:pPr>
      <w:r w:rsidRPr="008B2CDD">
        <w:rPr>
          <w:rFonts w:asciiTheme="minorHAnsi" w:hAnsiTheme="minorHAnsi" w:cstheme="minorHAnsi"/>
          <w:b/>
          <w:bCs/>
          <w:szCs w:val="24"/>
        </w:rPr>
        <w:t>g)</w:t>
      </w:r>
      <w:r w:rsidRPr="008B2CDD">
        <w:rPr>
          <w:rFonts w:asciiTheme="minorHAnsi" w:hAnsiTheme="minorHAnsi" w:cstheme="minorHAnsi"/>
          <w:b/>
          <w:bCs/>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A005C" w:rsidRPr="008B2CDD" w:rsidP="00EA005C" w14:paraId="2F79B286" w14:textId="2EBBAB24">
      <w:pPr>
        <w:tabs>
          <w:tab w:val="left" w:pos="720"/>
        </w:tabs>
        <w:ind w:left="720" w:hanging="360"/>
        <w:rPr>
          <w:rFonts w:asciiTheme="minorHAnsi" w:hAnsiTheme="minorHAnsi" w:cstheme="minorHAnsi"/>
          <w:b/>
          <w:bCs/>
          <w:szCs w:val="24"/>
        </w:rPr>
      </w:pPr>
      <w:r w:rsidRPr="008B2CDD">
        <w:rPr>
          <w:rFonts w:asciiTheme="minorHAnsi" w:hAnsiTheme="minorHAnsi" w:cstheme="minorHAnsi"/>
          <w:b/>
          <w:bCs/>
          <w:szCs w:val="24"/>
        </w:rPr>
        <w:t>h)</w:t>
      </w:r>
      <w:r w:rsidRPr="008B2CDD">
        <w:rPr>
          <w:rFonts w:asciiTheme="minorHAnsi" w:hAnsiTheme="minorHAnsi" w:cstheme="minorHAnsi"/>
          <w:b/>
          <w:bCs/>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A005C" w:rsidRPr="008B2CDD" w:rsidP="00EA005C" w14:paraId="6AC29179" w14:textId="4436B927">
      <w:pPr>
        <w:rPr>
          <w:rFonts w:asciiTheme="minorHAnsi" w:hAnsiTheme="minorHAnsi" w:cstheme="minorHAnsi"/>
          <w:szCs w:val="24"/>
        </w:rPr>
      </w:pPr>
    </w:p>
    <w:p w:rsidR="00344C5A" w:rsidRPr="008B2CDD" w:rsidP="00537081" w14:paraId="4D2C05D3" w14:textId="47ECAA36">
      <w:pPr>
        <w:pStyle w:val="NoSpacing"/>
        <w:rPr>
          <w:rFonts w:asciiTheme="minorHAnsi" w:hAnsiTheme="minorHAnsi" w:cstheme="minorHAnsi"/>
          <w:szCs w:val="24"/>
        </w:rPr>
      </w:pPr>
      <w:r w:rsidRPr="008B2CDD">
        <w:rPr>
          <w:rFonts w:asciiTheme="minorHAnsi" w:hAnsiTheme="minorHAnsi" w:cstheme="minorHAnsi"/>
          <w:szCs w:val="24"/>
        </w:rPr>
        <w:t xml:space="preserve">This </w:t>
      </w:r>
      <w:r w:rsidRPr="008B2CDD" w:rsidR="003B5F90">
        <w:rPr>
          <w:rFonts w:asciiTheme="minorHAnsi" w:hAnsiTheme="minorHAnsi" w:cstheme="minorHAnsi"/>
          <w:szCs w:val="24"/>
        </w:rPr>
        <w:t>final rule</w:t>
      </w:r>
      <w:r w:rsidRPr="008B2CDD">
        <w:rPr>
          <w:rFonts w:asciiTheme="minorHAnsi" w:hAnsiTheme="minorHAnsi" w:cstheme="minorHAnsi"/>
          <w:szCs w:val="24"/>
        </w:rPr>
        <w:t xml:space="preserve"> and information collection activity will require that regulated entities subject to workplace protection regulations retain records for a duration of 5 years from the date of its inception. EPA is proposing to increase the recordkeeping requirement from three to five years and to remove the 30-day timeframe to make records available for </w:t>
      </w:r>
      <w:r w:rsidRPr="008B2CDD">
        <w:rPr>
          <w:rFonts w:asciiTheme="minorHAnsi" w:hAnsiTheme="minorHAnsi" w:cstheme="minorHAnsi"/>
          <w:szCs w:val="24"/>
        </w:rPr>
        <w:t>decaBDE</w:t>
      </w:r>
      <w:r w:rsidRPr="008B2CDD">
        <w:rPr>
          <w:rFonts w:asciiTheme="minorHAnsi" w:hAnsiTheme="minorHAnsi" w:cstheme="minorHAnsi"/>
          <w:szCs w:val="24"/>
        </w:rPr>
        <w:t xml:space="preserve"> and PIP (3:1). Due to the additional requirements</w:t>
      </w:r>
      <w:r w:rsidRPr="008B2CDD" w:rsidR="00B67ABE">
        <w:rPr>
          <w:rFonts w:asciiTheme="minorHAnsi" w:hAnsiTheme="minorHAnsi" w:cstheme="minorHAnsi"/>
          <w:szCs w:val="24"/>
        </w:rPr>
        <w:t xml:space="preserve"> </w:t>
      </w:r>
      <w:r w:rsidRPr="008B2CDD">
        <w:rPr>
          <w:rFonts w:asciiTheme="minorHAnsi" w:hAnsiTheme="minorHAnsi" w:cstheme="minorHAnsi"/>
          <w:szCs w:val="24"/>
        </w:rPr>
        <w:t xml:space="preserve">in this </w:t>
      </w:r>
      <w:r w:rsidRPr="008B2CDD" w:rsidR="003B5F90">
        <w:rPr>
          <w:rFonts w:asciiTheme="minorHAnsi" w:hAnsiTheme="minorHAnsi" w:cstheme="minorHAnsi"/>
          <w:szCs w:val="24"/>
        </w:rPr>
        <w:t>final rule</w:t>
      </w:r>
      <w:r w:rsidRPr="008B2CDD">
        <w:rPr>
          <w:rFonts w:asciiTheme="minorHAnsi" w:hAnsiTheme="minorHAnsi" w:cstheme="minorHAnsi"/>
          <w:szCs w:val="24"/>
        </w:rPr>
        <w:t xml:space="preserve">, specifically those pertaining to worker safety, EPA believes that the five-year timeframe regarding recordkeeping is more appropriate. Furthermore, this is consistent with the timeframe associated with other TSCA section 6(a) rulemakings which include worker protection requirements. EPA expects that 5-year retention of records for workplace protection is necessary for effective implementation and enforcement of this </w:t>
      </w:r>
      <w:r w:rsidRPr="008B2CDD" w:rsidR="003B5F90">
        <w:rPr>
          <w:rFonts w:asciiTheme="minorHAnsi" w:hAnsiTheme="minorHAnsi" w:cstheme="minorHAnsi"/>
          <w:szCs w:val="24"/>
        </w:rPr>
        <w:t>final rule</w:t>
      </w:r>
      <w:r w:rsidRPr="008B2CDD">
        <w:rPr>
          <w:rFonts w:asciiTheme="minorHAnsi" w:hAnsiTheme="minorHAnsi" w:cstheme="minorHAnsi"/>
          <w:szCs w:val="24"/>
        </w:rPr>
        <w:t>.</w:t>
      </w:r>
    </w:p>
    <w:p w:rsidR="00EA005C" w:rsidRPr="008B2CDD" w:rsidP="00B60032" w14:paraId="3B14644E" w14:textId="77777777">
      <w:pPr>
        <w:pStyle w:val="NoSpacing"/>
        <w:rPr>
          <w:rFonts w:asciiTheme="minorHAnsi" w:hAnsiTheme="minorHAnsi" w:cstheme="minorHAnsi"/>
          <w:szCs w:val="24"/>
        </w:rPr>
      </w:pPr>
    </w:p>
    <w:p w:rsidR="006801E7" w:rsidRPr="008B2CDD" w:rsidP="006801E7" w14:paraId="70856DB7" w14:textId="77777777">
      <w:pPr>
        <w:pStyle w:val="Heading2"/>
        <w:rPr>
          <w:rFonts w:asciiTheme="minorHAnsi" w:hAnsiTheme="minorHAnsi" w:cstheme="minorHAnsi"/>
          <w:szCs w:val="24"/>
        </w:rPr>
      </w:pPr>
      <w:r w:rsidRPr="008B2CDD">
        <w:rPr>
          <w:rFonts w:asciiTheme="minorHAnsi" w:hAnsiTheme="minorHAnsi" w:cstheme="minorHAnsi"/>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6801E7" w:rsidRPr="008B2CDD" w:rsidP="006801E7" w14:paraId="49CEF772" w14:textId="77777777">
      <w:pPr>
        <w:pStyle w:val="Heading2"/>
        <w:rPr>
          <w:rFonts w:asciiTheme="minorHAnsi" w:hAnsiTheme="minorHAnsi" w:cstheme="minorHAnsi"/>
          <w:szCs w:val="24"/>
        </w:rPr>
      </w:pPr>
      <w:r w:rsidRPr="008B2CDD">
        <w:rPr>
          <w:rFonts w:asciiTheme="minorHAnsi" w:hAnsiTheme="minorHAnsi" w:cstheme="minorHAnsi"/>
          <w:szCs w:val="24"/>
        </w:rPr>
        <w:t xml:space="preserve">Describe efforts to consult with persons outside EPA to obtain their views on the availability of data, frequency of collection, the clarity of instructions and recordkeeping, disclosure, or reporting format (if any), and on the data elements to be recorded, disclosed, or report. </w:t>
      </w:r>
    </w:p>
    <w:p w:rsidR="006801E7" w:rsidRPr="008B2CDD" w:rsidP="006801E7" w14:paraId="23F7B4E5" w14:textId="77777777">
      <w:pPr>
        <w:pStyle w:val="Heading2"/>
        <w:rPr>
          <w:rFonts w:asciiTheme="minorHAnsi" w:hAnsiTheme="minorHAnsi" w:cstheme="minorHAnsi"/>
          <w:szCs w:val="24"/>
        </w:rPr>
      </w:pPr>
      <w:r w:rsidRPr="008B2CDD">
        <w:rPr>
          <w:rFonts w:asciiTheme="minorHAnsi" w:hAnsiTheme="minorHAnsi" w:cstheme="minorHAns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25050" w:rsidRPr="008B2CDD" w:rsidP="00425050" w14:paraId="39826717" w14:textId="4C209770">
      <w:pPr>
        <w:rPr>
          <w:rFonts w:asciiTheme="minorHAnsi" w:hAnsiTheme="minorHAnsi" w:cstheme="minorHAnsi"/>
          <w:szCs w:val="24"/>
        </w:rPr>
      </w:pPr>
      <w:r w:rsidRPr="008B2CDD">
        <w:rPr>
          <w:rFonts w:asciiTheme="minorHAnsi" w:hAnsiTheme="minorHAnsi" w:cstheme="minorHAnsi"/>
          <w:szCs w:val="24"/>
        </w:rPr>
        <w:t xml:space="preserve">EPA developed the proposed rule title “Decabromodiphenyl Ether and Phenol, Isopropylated Phosphate (3:1); Revision to the Regulation of Persistent, Bioaccumulative, and Toxic Chemicals under the Toxic Substances Control Act (TSCA)” published in the </w:t>
      </w:r>
      <w:r w:rsidRPr="008B2CDD">
        <w:rPr>
          <w:rFonts w:asciiTheme="minorHAnsi" w:hAnsiTheme="minorHAnsi" w:cstheme="minorHAnsi"/>
          <w:i/>
          <w:iCs/>
          <w:szCs w:val="24"/>
        </w:rPr>
        <w:t>Federal Register</w:t>
      </w:r>
      <w:r w:rsidRPr="008B2CDD">
        <w:rPr>
          <w:rFonts w:asciiTheme="minorHAnsi" w:hAnsiTheme="minorHAnsi" w:cstheme="minorHAnsi"/>
          <w:szCs w:val="24"/>
        </w:rPr>
        <w:t xml:space="preserve"> for public comment (88 FR 82287, November 3, 2023). The proposed </w:t>
      </w:r>
      <w:r w:rsidRPr="008B2CDD" w:rsidR="003B5F90">
        <w:rPr>
          <w:rFonts w:asciiTheme="minorHAnsi" w:hAnsiTheme="minorHAnsi" w:cstheme="minorHAnsi"/>
          <w:szCs w:val="24"/>
        </w:rPr>
        <w:t>rule</w:t>
      </w:r>
      <w:r w:rsidRPr="008B2CDD">
        <w:rPr>
          <w:rFonts w:asciiTheme="minorHAnsi" w:hAnsiTheme="minorHAnsi" w:cstheme="minorHAnsi"/>
          <w:szCs w:val="24"/>
        </w:rPr>
        <w:t xml:space="preserve"> served as the public notice for this ICR amendment, which is available in the public docket. Interested parties were directed to submit comments referencing Docket ID No. EPA-HQ-OPPT-2023-0376. The final rule, Economic Analysis, and ICR were developed with consideration of comments received from the public in response to the notice of proposed rulemaking.</w:t>
      </w:r>
    </w:p>
    <w:p w:rsidR="00425050" w:rsidRPr="008B2CDD" w:rsidP="00425050" w14:paraId="2F2EC0D5" w14:textId="77777777">
      <w:pPr>
        <w:pStyle w:val="NoSpacing"/>
        <w:rPr>
          <w:rFonts w:asciiTheme="minorHAnsi" w:hAnsiTheme="minorHAnsi" w:cstheme="minorHAnsi"/>
          <w:szCs w:val="24"/>
        </w:rPr>
      </w:pPr>
    </w:p>
    <w:p w:rsidR="00425050" w:rsidRPr="008B2CDD" w:rsidP="00425050" w14:paraId="5AB9B120" w14:textId="536D7DB5">
      <w:pPr>
        <w:rPr>
          <w:rFonts w:asciiTheme="minorHAnsi" w:hAnsiTheme="minorHAnsi" w:cstheme="minorHAnsi"/>
          <w:szCs w:val="24"/>
        </w:rPr>
      </w:pPr>
      <w:r w:rsidRPr="008B2CDD">
        <w:rPr>
          <w:rFonts w:asciiTheme="minorHAnsi" w:hAnsiTheme="minorHAnsi" w:cstheme="minorHAnsi"/>
          <w:szCs w:val="24"/>
        </w:rPr>
        <w:t>EPA has developed a Response to Comments document that summarizes the comments received and EPA’s responses that were not included and responded to in the preamble. This document is available in the docket for the rulemaking (EPA-HQ-OPPT-2023-0376).</w:t>
      </w:r>
      <w:r w:rsidRPr="008B2CDD" w:rsidR="00044B5B">
        <w:rPr>
          <w:rFonts w:asciiTheme="minorHAnsi" w:hAnsiTheme="minorHAnsi" w:cstheme="minorHAnsi"/>
          <w:szCs w:val="24"/>
        </w:rPr>
        <w:t xml:space="preserve"> </w:t>
      </w:r>
    </w:p>
    <w:p w:rsidR="00E33A13" w:rsidRPr="008B2CDD" w:rsidP="00E33A13" w14:paraId="02F5D436" w14:textId="77777777">
      <w:pPr>
        <w:rPr>
          <w:rFonts w:asciiTheme="minorHAnsi" w:hAnsiTheme="minorHAnsi" w:cstheme="minorHAnsi"/>
          <w:szCs w:val="24"/>
        </w:rPr>
      </w:pPr>
    </w:p>
    <w:p w:rsidR="006801E7" w:rsidRPr="008B2CDD" w:rsidP="006801E7" w14:paraId="422B3B59" w14:textId="77777777">
      <w:pPr>
        <w:pStyle w:val="Heading2"/>
        <w:rPr>
          <w:rFonts w:asciiTheme="minorHAnsi" w:hAnsiTheme="minorHAnsi" w:cstheme="minorHAnsi"/>
          <w:szCs w:val="24"/>
        </w:rPr>
      </w:pPr>
      <w:bookmarkStart w:id="8" w:name="_Toc447203177"/>
      <w:r w:rsidRPr="008B2CDD">
        <w:rPr>
          <w:rFonts w:asciiTheme="minorHAnsi" w:hAnsiTheme="minorHAnsi" w:cstheme="minorHAnsi"/>
          <w:szCs w:val="24"/>
        </w:rPr>
        <w:t xml:space="preserve">9. Explain any decision to provide any payment or gift to respondents, other than remuneration of contractors or grantees. </w:t>
      </w:r>
    </w:p>
    <w:p w:rsidR="006801E7" w:rsidRPr="008B2CDD" w:rsidP="006801E7" w14:paraId="0F90A0BF" w14:textId="2C22A072">
      <w:pPr>
        <w:rPr>
          <w:rFonts w:asciiTheme="minorHAnsi" w:hAnsiTheme="minorHAnsi" w:cstheme="minorHAnsi"/>
          <w:szCs w:val="24"/>
        </w:rPr>
      </w:pPr>
      <w:r w:rsidRPr="008B2CDD">
        <w:rPr>
          <w:rFonts w:asciiTheme="minorHAnsi" w:hAnsiTheme="minorHAnsi" w:cstheme="minorHAnsi"/>
          <w:szCs w:val="24"/>
        </w:rPr>
        <w:t>This question is not applicable to this ICR.</w:t>
      </w:r>
    </w:p>
    <w:p w:rsidR="006801E7" w:rsidRPr="008B2CDD" w:rsidP="00B60032" w14:paraId="4771FDA5" w14:textId="77777777">
      <w:pPr>
        <w:pStyle w:val="NoSpacing"/>
        <w:rPr>
          <w:rFonts w:asciiTheme="minorHAnsi" w:hAnsiTheme="minorHAnsi" w:cstheme="minorHAnsi"/>
          <w:szCs w:val="24"/>
        </w:rPr>
      </w:pPr>
    </w:p>
    <w:p w:rsidR="006801E7" w:rsidRPr="008B2CDD" w:rsidP="006801E7" w14:paraId="3A7389F1" w14:textId="77777777">
      <w:pPr>
        <w:pStyle w:val="Heading2"/>
        <w:rPr>
          <w:rFonts w:asciiTheme="minorHAnsi" w:hAnsiTheme="minorHAnsi" w:cstheme="minorHAnsi"/>
          <w:szCs w:val="24"/>
        </w:rPr>
      </w:pPr>
      <w:r w:rsidRPr="008B2CDD">
        <w:rPr>
          <w:rFonts w:asciiTheme="minorHAnsi" w:hAnsiTheme="minorHAnsi" w:cstheme="minorHAnsi"/>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bookmarkEnd w:id="8"/>
    <w:p w:rsidR="00847342" w:rsidRPr="008B2CDD" w:rsidP="00847342" w14:paraId="501307F2" w14:textId="6E30796F">
      <w:pPr>
        <w:pStyle w:val="Heading2"/>
        <w:rPr>
          <w:rFonts w:asciiTheme="minorHAnsi" w:eastAsiaTheme="minorHAnsi" w:hAnsiTheme="minorHAnsi" w:cstheme="minorHAnsi"/>
          <w:b w:val="0"/>
          <w:bCs w:val="0"/>
          <w:szCs w:val="24"/>
        </w:rPr>
      </w:pPr>
      <w:r w:rsidRPr="008B2CDD">
        <w:rPr>
          <w:rFonts w:asciiTheme="minorHAnsi" w:eastAsiaTheme="minorHAnsi" w:hAnsiTheme="minorHAnsi" w:cstheme="minorHAnsi"/>
          <w:b w:val="0"/>
          <w:bCs w:val="0"/>
          <w:szCs w:val="24"/>
        </w:rPr>
        <w:t xml:space="preserve">The exporter may claim all or part of a TSCA section 12(b) export notice confidential. The Frank R. Lautenberg Chemical Safety for the 21st Century Act amended section 14 of TSCA and requires the exporter to substantiate and certify claims of confidentiality unless the information claimed confidential is exempt from the substantiation requirements under TSCA section 14(c). A sample TSCA section 12(b) substantiation template is available at </w:t>
      </w:r>
      <w:r>
        <w:fldChar w:fldCharType="begin"/>
      </w:r>
      <w:r w:rsidRPr="008B2CDD" w:rsidR="0078242C">
        <w:rPr>
          <w:rStyle w:val="Hyperlink"/>
          <w:rFonts w:asciiTheme="minorHAnsi" w:eastAsiaTheme="minorHAnsi" w:hAnsiTheme="minorHAnsi" w:cstheme="minorHAnsi"/>
          <w:b w:val="0"/>
          <w:bCs w:val="0"/>
          <w:szCs w:val="24"/>
        </w:rPr>
        <w:instrText xml:space="preserve"> HYPERLINK "https://www.epa.gov/tsca-cbi/what-include-cbi-substantiations" \l "substantiationtemplates" </w:instrText>
      </w:r>
      <w:r>
        <w:fldChar w:fldCharType="separate"/>
      </w:r>
      <w:r w:rsidRPr="008B2CDD" w:rsidR="0078242C">
        <w:rPr>
          <w:rStyle w:val="Hyperlink"/>
          <w:rFonts w:asciiTheme="minorHAnsi" w:eastAsiaTheme="minorHAnsi" w:hAnsiTheme="minorHAnsi" w:cstheme="minorHAnsi"/>
          <w:b w:val="0"/>
          <w:bCs w:val="0"/>
          <w:szCs w:val="24"/>
        </w:rPr>
        <w:t>https://www.epa.gov/tsca-cbi/what-include-cbi-substantiations#substantiationtemplates</w:t>
      </w:r>
      <w:r>
        <w:fldChar w:fldCharType="end"/>
      </w:r>
      <w:r w:rsidRPr="008B2CDD" w:rsidR="0078242C">
        <w:rPr>
          <w:rFonts w:asciiTheme="minorHAnsi" w:eastAsiaTheme="minorHAnsi" w:hAnsiTheme="minorHAnsi" w:cstheme="minorHAnsi"/>
          <w:b w:val="0"/>
          <w:bCs w:val="0"/>
          <w:szCs w:val="24"/>
        </w:rPr>
        <w:t>.</w:t>
      </w:r>
    </w:p>
    <w:p w:rsidR="007658A4" w:rsidRPr="008B2CDD" w:rsidP="007658A4" w14:paraId="581B897D" w14:textId="0F1D1845">
      <w:pPr>
        <w:pStyle w:val="NoSpacing"/>
        <w:rPr>
          <w:rFonts w:asciiTheme="minorHAnsi" w:hAnsiTheme="minorHAnsi" w:cstheme="minorHAnsi"/>
          <w:szCs w:val="24"/>
        </w:rPr>
      </w:pPr>
      <w:r w:rsidRPr="008B2CDD">
        <w:rPr>
          <w:rFonts w:asciiTheme="minorHAnsi" w:hAnsiTheme="minorHAnsi" w:cstheme="minorHAnsi"/>
          <w:szCs w:val="24"/>
        </w:rPr>
        <w:t xml:space="preserve">EPA will disclose information that is covered by a claim of confidentiality only to the extent permitted by, and in accordance with, the procedures in TSCA and 40 CFR part 2. Information submitted under specific reporting requirements of TSCA, or in support of TSCA, is subject to the provisions of section 14 of TSCA and to EPA's Regulations on the Confidentiality of Business Information (see 40 CFR part 2). </w:t>
      </w:r>
      <w:r w:rsidRPr="008B2CDD">
        <w:rPr>
          <w:rFonts w:asciiTheme="minorHAnsi" w:hAnsiTheme="minorHAnsi" w:cstheme="minorHAnsi"/>
          <w:szCs w:val="24"/>
        </w:rPr>
        <w:t>Failure to follow these procedures fully at the time of document submission to EPA is interpreted by the Agency as a waiver of confidentiality claims. Submitters may claim confidentiality for proprietary information. However, notwithstanding any claim of confidentiality, the foreign government of the importing country will be notified of the export of the substance(s) in question.</w:t>
      </w:r>
      <w:r w:rsidRPr="008B2CDD">
        <w:rPr>
          <w:rFonts w:asciiTheme="minorHAnsi" w:hAnsiTheme="minorHAnsi" w:cstheme="minorHAnsi"/>
          <w:szCs w:val="24"/>
        </w:rPr>
        <w:br/>
      </w:r>
    </w:p>
    <w:p w:rsidR="00EA005C" w:rsidRPr="008B2CDD" w:rsidP="00EA005C" w14:paraId="1CC20815" w14:textId="091289B6">
      <w:pPr>
        <w:pStyle w:val="Heading2"/>
        <w:rPr>
          <w:rFonts w:asciiTheme="minorHAnsi" w:hAnsiTheme="minorHAnsi" w:cstheme="minorHAnsi"/>
          <w:szCs w:val="24"/>
        </w:rPr>
      </w:pPr>
      <w:bookmarkStart w:id="9" w:name="_Toc447203178"/>
      <w:r w:rsidRPr="008B2CDD">
        <w:rPr>
          <w:rFonts w:asciiTheme="minorHAnsi" w:hAnsiTheme="minorHAnsi" w:cstheme="minorHAnsi"/>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005C" w:rsidRPr="008B2CDD" w:rsidP="00EA005C" w14:paraId="5ABCC4B3" w14:textId="77777777">
      <w:pPr>
        <w:rPr>
          <w:rFonts w:asciiTheme="minorHAnsi" w:hAnsiTheme="minorHAnsi" w:cstheme="minorHAnsi"/>
          <w:szCs w:val="24"/>
        </w:rPr>
      </w:pPr>
      <w:r w:rsidRPr="008B2CDD">
        <w:rPr>
          <w:rFonts w:asciiTheme="minorHAnsi" w:hAnsiTheme="minorHAnsi" w:cstheme="minorHAnsi"/>
          <w:szCs w:val="24"/>
        </w:rPr>
        <w:t>No information of a sensitive or private nature is requested in conjunction with these information collection activities, and these information collection activities comply with the provisions of the Privacy Act of 1974 and OMB Circular A-108, as amended, “Responsibilities for the Maintenance of Records about Individuals by Federal Agencies.”</w:t>
      </w:r>
    </w:p>
    <w:bookmarkEnd w:id="9"/>
    <w:p w:rsidR="008648B5" w:rsidRPr="008B2CDD" w:rsidP="008648B5" w14:paraId="149C6225" w14:textId="77777777">
      <w:pPr>
        <w:pStyle w:val="NoSpacing"/>
        <w:rPr>
          <w:rFonts w:asciiTheme="minorHAnsi" w:hAnsiTheme="minorHAnsi" w:cstheme="minorHAnsi"/>
          <w:szCs w:val="24"/>
        </w:rPr>
      </w:pPr>
    </w:p>
    <w:p w:rsidR="00EA005C" w:rsidRPr="008B2CDD" w:rsidP="00EA005C" w14:paraId="613E121B" w14:textId="77777777">
      <w:pPr>
        <w:pStyle w:val="Heading2"/>
        <w:rPr>
          <w:rFonts w:asciiTheme="minorHAnsi" w:hAnsiTheme="minorHAnsi" w:cstheme="minorHAnsi"/>
          <w:szCs w:val="24"/>
        </w:rPr>
      </w:pPr>
      <w:bookmarkStart w:id="10" w:name="_Toc447203185"/>
      <w:r w:rsidRPr="008B2CDD">
        <w:rPr>
          <w:rFonts w:asciiTheme="minorHAnsi" w:hAnsiTheme="minorHAnsi" w:cstheme="minorHAnsi"/>
          <w:szCs w:val="24"/>
        </w:rPr>
        <w:t>12. Provide estimates of the hour burden of the collection of information.</w:t>
      </w:r>
    </w:p>
    <w:p w:rsidR="00EA005C" w:rsidRPr="008B2CDD" w:rsidP="00EA005C" w14:paraId="2549774B" w14:textId="77777777">
      <w:pPr>
        <w:pStyle w:val="ListParagraph"/>
        <w:numPr>
          <w:ilvl w:val="0"/>
          <w:numId w:val="33"/>
        </w:numPr>
        <w:spacing w:after="200"/>
        <w:contextualSpacing w:val="0"/>
        <w:rPr>
          <w:rFonts w:asciiTheme="minorHAnsi" w:hAnsiTheme="minorHAnsi" w:cstheme="minorHAnsi"/>
          <w:b/>
          <w:bCs/>
          <w:szCs w:val="24"/>
        </w:rPr>
      </w:pPr>
      <w:r w:rsidRPr="008B2CDD">
        <w:rPr>
          <w:rFonts w:asciiTheme="minorHAnsi" w:hAnsiTheme="minorHAnsi" w:cstheme="minorHAnsi"/>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005C" w:rsidRPr="008B2CDD" w:rsidP="00EA005C" w14:paraId="0E7237CA" w14:textId="77777777">
      <w:pPr>
        <w:pStyle w:val="ListParagraph"/>
        <w:numPr>
          <w:ilvl w:val="0"/>
          <w:numId w:val="33"/>
        </w:numPr>
        <w:spacing w:after="200"/>
        <w:contextualSpacing w:val="0"/>
        <w:rPr>
          <w:rFonts w:asciiTheme="minorHAnsi" w:hAnsiTheme="minorHAnsi" w:cstheme="minorHAnsi"/>
          <w:b/>
          <w:bCs/>
          <w:szCs w:val="24"/>
        </w:rPr>
      </w:pPr>
      <w:r w:rsidRPr="008B2CDD">
        <w:rPr>
          <w:rFonts w:asciiTheme="minorHAnsi" w:hAnsiTheme="minorHAnsi" w:cstheme="minorHAnsi"/>
          <w:b/>
          <w:bCs/>
          <w:szCs w:val="24"/>
        </w:rPr>
        <w:t xml:space="preserve">If this request for approval covers more than one form, provide separate hour burden estimates for each form and aggregate the hour burdens. </w:t>
      </w:r>
    </w:p>
    <w:p w:rsidR="00EA005C" w:rsidRPr="008B2CDD" w:rsidP="00EA005C" w14:paraId="4ED2F50F" w14:textId="77777777">
      <w:pPr>
        <w:pStyle w:val="ListParagraph"/>
        <w:numPr>
          <w:ilvl w:val="0"/>
          <w:numId w:val="33"/>
        </w:numPr>
        <w:spacing w:after="200"/>
        <w:contextualSpacing w:val="0"/>
        <w:rPr>
          <w:rFonts w:asciiTheme="minorHAnsi" w:hAnsiTheme="minorHAnsi" w:cstheme="minorHAnsi"/>
          <w:b/>
          <w:bCs/>
          <w:szCs w:val="24"/>
        </w:rPr>
      </w:pPr>
      <w:r w:rsidRPr="008B2CDD">
        <w:rPr>
          <w:rFonts w:asciiTheme="minorHAnsi" w:hAnsiTheme="minorHAnsi" w:cstheme="minorHAnsi"/>
          <w:b/>
          <w:bCs/>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w:t>
      </w:r>
      <w:r w:rsidRPr="008B2CDD">
        <w:rPr>
          <w:rFonts w:asciiTheme="minorHAnsi" w:hAnsiTheme="minorHAnsi" w:cstheme="minorHAnsi"/>
          <w:b/>
          <w:bCs/>
          <w:szCs w:val="24"/>
        </w:rPr>
        <w:t>Government</w:t>
      </w:r>
      <w:r w:rsidRPr="008B2CDD">
        <w:rPr>
          <w:rFonts w:asciiTheme="minorHAnsi" w:hAnsiTheme="minorHAnsi" w:cstheme="minorHAnsi"/>
          <w:b/>
          <w:bCs/>
          <w:szCs w:val="24"/>
        </w:rPr>
        <w:t>’</w:t>
      </w:r>
    </w:p>
    <w:bookmarkEnd w:id="10"/>
    <w:p w:rsidR="004A492D" w:rsidRPr="008B2CDD" w:rsidP="004A492D" w14:paraId="3D06B828" w14:textId="796189BB">
      <w:pPr>
        <w:rPr>
          <w:rFonts w:asciiTheme="minorHAnsi" w:hAnsiTheme="minorHAnsi" w:cstheme="minorHAnsi"/>
          <w:szCs w:val="24"/>
        </w:rPr>
      </w:pPr>
      <w:r w:rsidRPr="008B2CDD">
        <w:rPr>
          <w:rFonts w:asciiTheme="minorHAnsi" w:hAnsiTheme="minorHAnsi" w:cstheme="minorHAnsi"/>
          <w:szCs w:val="24"/>
        </w:rPr>
        <w:t xml:space="preserve">This ICR specifies </w:t>
      </w:r>
      <w:r w:rsidRPr="008B2CDD" w:rsidR="6A226A7C">
        <w:rPr>
          <w:rFonts w:asciiTheme="minorHAnsi" w:hAnsiTheme="minorHAnsi" w:cstheme="minorHAnsi"/>
          <w:szCs w:val="24"/>
        </w:rPr>
        <w:t>two</w:t>
      </w:r>
      <w:r w:rsidRPr="008B2CDD">
        <w:rPr>
          <w:rFonts w:asciiTheme="minorHAnsi" w:hAnsiTheme="minorHAnsi" w:cstheme="minorHAnsi"/>
          <w:szCs w:val="24"/>
        </w:rPr>
        <w:t xml:space="preserve"> chemical</w:t>
      </w:r>
      <w:r w:rsidRPr="008B2CDD" w:rsidR="003C103C">
        <w:rPr>
          <w:rFonts w:asciiTheme="minorHAnsi" w:hAnsiTheme="minorHAnsi" w:cstheme="minorHAnsi"/>
          <w:szCs w:val="24"/>
        </w:rPr>
        <w:t>-</w:t>
      </w:r>
      <w:r w:rsidRPr="008B2CDD">
        <w:rPr>
          <w:rFonts w:asciiTheme="minorHAnsi" w:hAnsiTheme="minorHAnsi" w:cstheme="minorHAnsi"/>
          <w:szCs w:val="24"/>
        </w:rPr>
        <w:t>specific information collections (ICs) for the paperwork requirements on persons who manufacture, process, or distribute</w:t>
      </w:r>
      <w:r w:rsidRPr="008B2CDD" w:rsidR="00070179">
        <w:rPr>
          <w:rFonts w:asciiTheme="minorHAnsi" w:hAnsiTheme="minorHAnsi" w:cstheme="minorHAnsi"/>
          <w:szCs w:val="24"/>
        </w:rPr>
        <w:t xml:space="preserve"> in commerce</w:t>
      </w:r>
      <w:r w:rsidRPr="008B2CDD">
        <w:rPr>
          <w:rFonts w:asciiTheme="minorHAnsi" w:hAnsiTheme="minorHAnsi" w:cstheme="minorHAnsi"/>
          <w:szCs w:val="24"/>
        </w:rPr>
        <w:t xml:space="preserve"> </w:t>
      </w:r>
      <w:r w:rsidRPr="008B2CDD" w:rsidR="69DDEAF0">
        <w:rPr>
          <w:rFonts w:asciiTheme="minorHAnsi" w:hAnsiTheme="minorHAnsi" w:cstheme="minorHAnsi"/>
          <w:szCs w:val="24"/>
        </w:rPr>
        <w:t>decaBDE</w:t>
      </w:r>
      <w:r w:rsidRPr="008B2CDD" w:rsidR="69DDEAF0">
        <w:rPr>
          <w:rFonts w:asciiTheme="minorHAnsi" w:hAnsiTheme="minorHAnsi" w:cstheme="minorHAnsi"/>
          <w:szCs w:val="24"/>
        </w:rPr>
        <w:t xml:space="preserve"> or PIP (3:1)</w:t>
      </w:r>
      <w:r w:rsidRPr="008B2CDD">
        <w:rPr>
          <w:rFonts w:asciiTheme="minorHAnsi" w:hAnsiTheme="minorHAnsi" w:cstheme="minorHAnsi"/>
          <w:szCs w:val="24"/>
        </w:rPr>
        <w:t xml:space="preserve">. </w:t>
      </w:r>
      <w:r w:rsidRPr="008B2CDD" w:rsidR="00E33A13">
        <w:rPr>
          <w:rFonts w:asciiTheme="minorHAnsi" w:hAnsiTheme="minorHAnsi" w:cstheme="minorHAnsi"/>
          <w:szCs w:val="24"/>
        </w:rPr>
        <w:t xml:space="preserve">For each </w:t>
      </w:r>
      <w:r w:rsidRPr="008B2CDD" w:rsidR="00512823">
        <w:rPr>
          <w:rFonts w:asciiTheme="minorHAnsi" w:hAnsiTheme="minorHAnsi" w:cstheme="minorHAnsi"/>
          <w:szCs w:val="24"/>
        </w:rPr>
        <w:t>respondent category</w:t>
      </w:r>
      <w:r w:rsidRPr="008B2CDD" w:rsidR="00E33A13">
        <w:rPr>
          <w:rFonts w:asciiTheme="minorHAnsi" w:hAnsiTheme="minorHAnsi" w:cstheme="minorHAnsi"/>
          <w:szCs w:val="24"/>
        </w:rPr>
        <w:t>, the ICR describes the respondents, the information collection activities and related estimates for burden and costs associated with those activities.</w:t>
      </w:r>
      <w:r w:rsidRPr="008B2CDD">
        <w:rPr>
          <w:rFonts w:asciiTheme="minorHAnsi" w:hAnsiTheme="minorHAnsi" w:cstheme="minorHAnsi"/>
          <w:szCs w:val="24"/>
        </w:rPr>
        <w:t xml:space="preserve"> </w:t>
      </w:r>
      <w:r w:rsidRPr="008B2CDD" w:rsidR="00121DF9">
        <w:rPr>
          <w:rFonts w:asciiTheme="minorHAnsi" w:hAnsiTheme="minorHAnsi" w:cstheme="minorHAnsi"/>
          <w:szCs w:val="24"/>
        </w:rPr>
        <w:t xml:space="preserve">The general activities and methodology for estimating the burden and cost of the paperwork requirements for </w:t>
      </w:r>
      <w:r w:rsidRPr="008B2CDD" w:rsidR="003C62AD">
        <w:rPr>
          <w:rFonts w:asciiTheme="minorHAnsi" w:hAnsiTheme="minorHAnsi" w:cstheme="minorHAnsi"/>
          <w:szCs w:val="24"/>
        </w:rPr>
        <w:t>the</w:t>
      </w:r>
      <w:r w:rsidRPr="008B2CDD" w:rsidR="4974DD15">
        <w:rPr>
          <w:rFonts w:asciiTheme="minorHAnsi" w:hAnsiTheme="minorHAnsi" w:cstheme="minorHAnsi"/>
          <w:szCs w:val="24"/>
        </w:rPr>
        <w:t>se</w:t>
      </w:r>
      <w:r w:rsidRPr="008B2CDD" w:rsidR="00121DF9">
        <w:rPr>
          <w:rFonts w:asciiTheme="minorHAnsi" w:hAnsiTheme="minorHAnsi" w:cstheme="minorHAnsi"/>
          <w:szCs w:val="24"/>
        </w:rPr>
        <w:t xml:space="preserve"> rules is as follows, as does a chemical-specific IC discussion which specifies the instances in which the paperwork requirements apply and presents chemical-specific burden and labor cost estimates.</w:t>
      </w:r>
    </w:p>
    <w:p w:rsidR="00F26571" w:rsidRPr="008B2CDD" w:rsidP="00547A2E" w14:paraId="568F6232" w14:textId="77777777">
      <w:pPr>
        <w:pStyle w:val="NoSpacing"/>
        <w:rPr>
          <w:rFonts w:asciiTheme="minorHAnsi" w:hAnsiTheme="minorHAnsi" w:cstheme="minorHAnsi"/>
          <w:szCs w:val="24"/>
        </w:rPr>
      </w:pPr>
    </w:p>
    <w:p w:rsidR="00A001E3" w:rsidRPr="008B2CDD" w:rsidP="00A001E3" w14:paraId="46AD644E" w14:textId="4135B2EF">
      <w:pPr>
        <w:rPr>
          <w:rFonts w:asciiTheme="minorHAnsi" w:hAnsiTheme="minorHAnsi" w:cstheme="minorHAnsi"/>
          <w:szCs w:val="24"/>
          <w:u w:val="single"/>
        </w:rPr>
      </w:pPr>
      <w:r w:rsidRPr="008B2CDD">
        <w:rPr>
          <w:rFonts w:asciiTheme="minorHAnsi" w:hAnsiTheme="minorHAnsi" w:cstheme="minorHAnsi"/>
          <w:szCs w:val="24"/>
          <w:u w:val="single"/>
        </w:rPr>
        <w:t>Costs</w:t>
      </w:r>
    </w:p>
    <w:p w:rsidR="00A001E3" w:rsidRPr="008B2CDD" w:rsidP="00A001E3" w14:paraId="04EDE5D2" w14:textId="441E52CA">
      <w:pPr>
        <w:pStyle w:val="NoSpacing"/>
        <w:rPr>
          <w:rFonts w:asciiTheme="minorHAnsi" w:hAnsiTheme="minorHAnsi" w:cstheme="minorHAnsi"/>
          <w:szCs w:val="24"/>
        </w:rPr>
      </w:pPr>
    </w:p>
    <w:p w:rsidR="00E474D6" w:rsidRPr="008B2CDD" w:rsidP="00327F46" w14:paraId="6072DA8B" w14:textId="18D93390">
      <w:pPr>
        <w:pStyle w:val="BodyText"/>
        <w:rPr>
          <w:rFonts w:asciiTheme="minorHAnsi" w:hAnsiTheme="minorHAnsi" w:cstheme="minorHAnsi"/>
          <w:b/>
          <w:bCs/>
          <w:szCs w:val="24"/>
        </w:rPr>
      </w:pPr>
      <w:r w:rsidRPr="008B2CDD">
        <w:rPr>
          <w:rFonts w:asciiTheme="minorHAnsi" w:hAnsiTheme="minorHAnsi" w:cstheme="minorHAnsi"/>
          <w:szCs w:val="24"/>
        </w:rPr>
        <w:t>EPA assumes no direct costs are associated with this collection. Labor costs are based on fully loaded wage rates</w:t>
      </w:r>
      <w:r w:rsidRPr="008B2CDD" w:rsidR="009C6B7F">
        <w:rPr>
          <w:rFonts w:asciiTheme="minorHAnsi" w:hAnsiTheme="minorHAnsi" w:cstheme="minorHAnsi"/>
          <w:szCs w:val="24"/>
        </w:rPr>
        <w:t xml:space="preserve"> and</w:t>
      </w:r>
      <w:r w:rsidRPr="008B2CDD">
        <w:rPr>
          <w:rFonts w:asciiTheme="minorHAnsi" w:hAnsiTheme="minorHAnsi" w:cstheme="minorHAnsi"/>
          <w:szCs w:val="24"/>
        </w:rPr>
        <w:t xml:space="preserve"> </w:t>
      </w:r>
      <w:r w:rsidRPr="008B2CDD" w:rsidR="00CE6A91">
        <w:rPr>
          <w:rFonts w:asciiTheme="minorHAnsi" w:hAnsiTheme="minorHAnsi" w:cstheme="minorHAnsi"/>
          <w:szCs w:val="24"/>
        </w:rPr>
        <w:t>are</w:t>
      </w:r>
      <w:r w:rsidRPr="008B2CDD">
        <w:rPr>
          <w:rFonts w:asciiTheme="minorHAnsi" w:hAnsiTheme="minorHAnsi" w:cstheme="minorHAnsi"/>
          <w:szCs w:val="24"/>
        </w:rPr>
        <w:t xml:space="preserve"> shown in</w:t>
      </w:r>
      <w:r w:rsidRPr="008B2CDD" w:rsidR="0008231A">
        <w:rPr>
          <w:rFonts w:asciiTheme="minorHAnsi" w:hAnsiTheme="minorHAnsi" w:cstheme="minorHAnsi"/>
          <w:szCs w:val="24"/>
        </w:rPr>
        <w:t xml:space="preserve"> </w:t>
      </w:r>
      <w:r w:rsidRPr="008B2CDD" w:rsidR="0008231A">
        <w:rPr>
          <w:rFonts w:asciiTheme="minorHAnsi" w:hAnsiTheme="minorHAnsi" w:cstheme="minorHAnsi"/>
          <w:szCs w:val="24"/>
        </w:rPr>
        <w:fldChar w:fldCharType="begin"/>
      </w:r>
      <w:r w:rsidRPr="008B2CDD" w:rsidR="0008231A">
        <w:rPr>
          <w:rFonts w:asciiTheme="minorHAnsi" w:hAnsiTheme="minorHAnsi" w:cstheme="minorHAnsi"/>
          <w:szCs w:val="24"/>
        </w:rPr>
        <w:instrText xml:space="preserve"> REF _Ref138078422 \h  \* MERGEFORMAT </w:instrText>
      </w:r>
      <w:r w:rsidRPr="008B2CDD" w:rsidR="0008231A">
        <w:rPr>
          <w:rFonts w:asciiTheme="minorHAnsi" w:hAnsiTheme="minorHAnsi" w:cstheme="minorHAnsi"/>
          <w:szCs w:val="24"/>
        </w:rPr>
        <w:fldChar w:fldCharType="separate"/>
      </w:r>
      <w:r w:rsidRPr="008B2CDD" w:rsidR="0008231A">
        <w:rPr>
          <w:rFonts w:asciiTheme="minorHAnsi" w:hAnsiTheme="minorHAnsi" w:cstheme="minorHAnsi"/>
          <w:szCs w:val="24"/>
        </w:rPr>
        <w:t>Table 2</w:t>
      </w:r>
      <w:r w:rsidRPr="008B2CDD" w:rsidR="0008231A">
        <w:rPr>
          <w:rFonts w:asciiTheme="minorHAnsi" w:hAnsiTheme="minorHAnsi" w:cstheme="minorHAnsi"/>
          <w:szCs w:val="24"/>
        </w:rPr>
        <w:fldChar w:fldCharType="end"/>
      </w:r>
      <w:r w:rsidRPr="008B2CDD">
        <w:rPr>
          <w:rFonts w:asciiTheme="minorHAnsi" w:hAnsiTheme="minorHAnsi" w:cstheme="minorHAnsi"/>
          <w:szCs w:val="24"/>
        </w:rPr>
        <w:t>.</w:t>
      </w:r>
      <w:bookmarkStart w:id="11" w:name="_Ref138078422"/>
    </w:p>
    <w:p w:rsidR="000803C1" w:rsidRPr="008B2CDD" w:rsidP="00547A2E" w14:paraId="5A1EB8F2" w14:textId="77777777">
      <w:pPr>
        <w:pStyle w:val="Caption"/>
        <w:rPr>
          <w:rFonts w:asciiTheme="minorHAnsi" w:hAnsiTheme="minorHAnsi" w:cstheme="minorHAnsi"/>
          <w:color w:val="auto"/>
          <w:sz w:val="24"/>
          <w:szCs w:val="24"/>
        </w:rPr>
        <w:sectPr w:rsidSect="00327F46">
          <w:footerReference w:type="default" r:id="rId11"/>
          <w:pgSz w:w="12240" w:h="15840"/>
          <w:pgMar w:top="1080" w:right="1080" w:bottom="907" w:left="1080" w:header="720" w:footer="720" w:gutter="0"/>
          <w:cols w:space="720"/>
          <w:titlePg/>
          <w:docGrid w:linePitch="360"/>
        </w:sectPr>
      </w:pPr>
    </w:p>
    <w:p w:rsidR="00F26571" w:rsidRPr="008B2CDD" w:rsidP="00547A2E" w14:paraId="168AF63A" w14:textId="162339F3">
      <w:pPr>
        <w:pStyle w:val="Caption"/>
        <w:rPr>
          <w:rFonts w:asciiTheme="minorHAnsi" w:hAnsiTheme="minorHAnsi" w:cstheme="minorHAnsi"/>
          <w:sz w:val="24"/>
          <w:szCs w:val="24"/>
        </w:rPr>
      </w:pPr>
      <w:r w:rsidRPr="008B2CDD">
        <w:rPr>
          <w:rFonts w:asciiTheme="minorHAnsi" w:hAnsiTheme="minorHAnsi" w:cstheme="minorHAnsi"/>
          <w:color w:val="auto"/>
          <w:sz w:val="24"/>
          <w:szCs w:val="24"/>
        </w:rPr>
        <w:t xml:space="preserve">Table </w:t>
      </w:r>
      <w:r w:rsidRPr="008B2CDD">
        <w:rPr>
          <w:rFonts w:asciiTheme="minorHAnsi" w:hAnsiTheme="minorHAnsi" w:cstheme="minorHAnsi"/>
          <w:color w:val="auto"/>
          <w:sz w:val="24"/>
          <w:szCs w:val="24"/>
        </w:rPr>
        <w:fldChar w:fldCharType="begin"/>
      </w:r>
      <w:r w:rsidRPr="008B2CDD">
        <w:rPr>
          <w:rFonts w:asciiTheme="minorHAnsi" w:hAnsiTheme="minorHAnsi" w:cstheme="minorHAnsi"/>
          <w:color w:val="auto"/>
          <w:sz w:val="24"/>
          <w:szCs w:val="24"/>
        </w:rPr>
        <w:instrText xml:space="preserve"> SEQ Table \* ARABIC </w:instrText>
      </w:r>
      <w:r w:rsidRPr="008B2CDD">
        <w:rPr>
          <w:rFonts w:asciiTheme="minorHAnsi" w:hAnsiTheme="minorHAnsi" w:cstheme="minorHAnsi"/>
          <w:color w:val="auto"/>
          <w:sz w:val="24"/>
          <w:szCs w:val="24"/>
        </w:rPr>
        <w:fldChar w:fldCharType="separate"/>
      </w:r>
      <w:r w:rsidRPr="008B2CDD" w:rsidR="004D237C">
        <w:rPr>
          <w:rFonts w:asciiTheme="minorHAnsi" w:hAnsiTheme="minorHAnsi" w:cstheme="minorHAnsi"/>
          <w:color w:val="auto"/>
          <w:sz w:val="24"/>
          <w:szCs w:val="24"/>
        </w:rPr>
        <w:t>2</w:t>
      </w:r>
      <w:r w:rsidRPr="008B2CDD">
        <w:rPr>
          <w:rFonts w:asciiTheme="minorHAnsi" w:hAnsiTheme="minorHAnsi" w:cstheme="minorHAnsi"/>
          <w:color w:val="auto"/>
          <w:sz w:val="24"/>
          <w:szCs w:val="24"/>
        </w:rPr>
        <w:fldChar w:fldCharType="end"/>
      </w:r>
      <w:bookmarkEnd w:id="11"/>
      <w:r w:rsidRPr="008B2CDD">
        <w:rPr>
          <w:rFonts w:asciiTheme="minorHAnsi" w:hAnsiTheme="minorHAnsi" w:cstheme="minorHAnsi"/>
          <w:color w:val="auto"/>
          <w:sz w:val="24"/>
          <w:szCs w:val="24"/>
        </w:rPr>
        <w:t>: Technical Wage Rates</w:t>
      </w:r>
    </w:p>
    <w:tbl>
      <w:tblPr>
        <w:tblW w:w="0" w:type="auto"/>
        <w:tblLook w:val="04A0"/>
      </w:tblPr>
      <w:tblGrid>
        <w:gridCol w:w="1850"/>
        <w:gridCol w:w="1476"/>
        <w:gridCol w:w="783"/>
        <w:gridCol w:w="954"/>
        <w:gridCol w:w="847"/>
        <w:gridCol w:w="906"/>
        <w:gridCol w:w="1069"/>
        <w:gridCol w:w="1115"/>
        <w:gridCol w:w="1070"/>
      </w:tblGrid>
      <w:tr w14:paraId="39A06C2A" w14:textId="77777777" w:rsidTr="0077631B">
        <w:tblPrEx>
          <w:tblW w:w="0" w:type="auto"/>
          <w:tblLook w:val="04A0"/>
        </w:tblPrEx>
        <w:trPr>
          <w:trHeight w:val="584"/>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77631B" w:rsidRPr="008B2CDD" w:rsidP="00F26571" w14:paraId="7AD289F3" w14:textId="77777777">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Labor Category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77631B" w:rsidRPr="008B2CDD" w:rsidP="00F26571" w14:paraId="7A032224" w14:textId="36B457CE">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Data Series</w:t>
            </w:r>
            <w:r w:rsidRPr="008B2CDD">
              <w:rPr>
                <w:rFonts w:eastAsia="Times New Roman" w:asciiTheme="minorHAnsi" w:hAnsiTheme="minorHAnsi" w:cstheme="minorHAnsi"/>
                <w:b/>
                <w:color w:val="000000"/>
                <w:szCs w:val="24"/>
                <w:vertAlign w:val="superscript"/>
              </w:rPr>
              <w:t xml:space="preserve">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77631B" w:rsidRPr="008B2CDD" w:rsidP="00F26571" w14:paraId="6541AA73" w14:textId="77777777">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Period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rsidR="0077631B" w:rsidRPr="008B2CDD" w:rsidP="00F26571" w14:paraId="2334E2DC" w14:textId="77777777">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Wage ($/hour)</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rsidR="0077631B" w:rsidRPr="008B2CDD" w:rsidP="00F26571" w14:paraId="3EEFC6AC" w14:textId="0D3EEB45">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Fringe Benefit</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rsidR="0077631B" w:rsidRPr="008B2CDD" w:rsidP="00F26571" w14:paraId="0FA58988" w14:textId="0633AD44">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Total Comp.</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rsidR="0077631B" w:rsidRPr="008B2CDD" w:rsidP="00F26571" w14:paraId="5C99E01A" w14:textId="753027AB">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Overhead as % of Total Comp.</w:t>
            </w:r>
            <w:r w:rsidRPr="008B2CDD">
              <w:rPr>
                <w:rFonts w:eastAsia="Times New Roman" w:asciiTheme="minorHAnsi" w:hAnsiTheme="minorHAnsi" w:cstheme="minorHAnsi"/>
                <w:b/>
                <w:color w:val="000000"/>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rsidR="0077631B" w:rsidRPr="008B2CDD" w:rsidP="00F26571" w14:paraId="16371A0B" w14:textId="77777777">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Overhead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rsidR="0077631B" w:rsidRPr="008B2CDD" w:rsidP="00F26571" w14:paraId="5AEECE3E" w14:textId="598CC2BA">
            <w:pPr>
              <w:jc w:val="center"/>
              <w:rPr>
                <w:rFonts w:eastAsia="Times New Roman" w:asciiTheme="minorHAnsi" w:hAnsiTheme="minorHAnsi" w:cstheme="minorHAnsi"/>
                <w:b/>
                <w:color w:val="000000"/>
                <w:szCs w:val="24"/>
              </w:rPr>
            </w:pPr>
            <w:r w:rsidRPr="008B2CDD">
              <w:rPr>
                <w:rFonts w:eastAsia="Times New Roman" w:asciiTheme="minorHAnsi" w:hAnsiTheme="minorHAnsi" w:cstheme="minorHAnsi"/>
                <w:b/>
                <w:color w:val="000000"/>
                <w:szCs w:val="24"/>
              </w:rPr>
              <w:t>Hourly Loaded Wages</w:t>
            </w:r>
            <w:r w:rsidRPr="008B2CDD">
              <w:rPr>
                <w:rFonts w:eastAsia="Times New Roman" w:asciiTheme="minorHAnsi" w:hAnsiTheme="minorHAnsi" w:cstheme="minorHAnsi"/>
                <w:b/>
                <w:color w:val="000000"/>
                <w:szCs w:val="24"/>
                <w:vertAlign w:val="superscript"/>
              </w:rPr>
              <w:t>3</w:t>
            </w:r>
          </w:p>
        </w:tc>
      </w:tr>
      <w:tr w14:paraId="1ABB9E8E" w14:textId="77777777" w:rsidTr="0077631B">
        <w:tblPrEx>
          <w:tblW w:w="0" w:type="auto"/>
          <w:tblLook w:val="04A0"/>
        </w:tblPrEx>
        <w:trPr>
          <w:trHeight w:val="332"/>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7631B" w:rsidRPr="008B2CDD" w:rsidP="00F26571" w14:paraId="23FEF1D6" w14:textId="77777777">
            <w:pPr>
              <w:rPr>
                <w:rFonts w:eastAsia="Times New Roman" w:asciiTheme="minorHAnsi" w:hAnsiTheme="minorHAnsi" w:cstheme="minorHAnsi"/>
                <w:b/>
                <w:color w:val="000000"/>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7631B" w:rsidRPr="008B2CDD" w:rsidP="00F26571" w14:paraId="06905478" w14:textId="77777777">
            <w:pPr>
              <w:rPr>
                <w:rFonts w:eastAsia="Times New Roman" w:asciiTheme="minorHAnsi" w:hAnsiTheme="minorHAnsi" w:cstheme="minorHAnsi"/>
                <w:b/>
                <w:color w:val="000000"/>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7631B" w:rsidRPr="008B2CDD" w:rsidP="00F26571" w14:paraId="6A053C22" w14:textId="77777777">
            <w:pPr>
              <w:rPr>
                <w:rFonts w:eastAsia="Times New Roman" w:asciiTheme="minorHAnsi" w:hAnsiTheme="minorHAnsi" w:cstheme="minorHAnsi"/>
                <w:b/>
                <w:color w:val="000000"/>
                <w:szCs w:val="24"/>
              </w:rPr>
            </w:pPr>
          </w:p>
        </w:tc>
        <w:tc>
          <w:tcPr>
            <w:tcW w:w="0" w:type="auto"/>
            <w:tcBorders>
              <w:top w:val="nil"/>
              <w:left w:val="nil"/>
              <w:bottom w:val="single" w:sz="4" w:space="0" w:color="auto"/>
              <w:right w:val="single" w:sz="4" w:space="0" w:color="auto"/>
            </w:tcBorders>
            <w:shd w:val="clear" w:color="auto" w:fill="BFBFBF"/>
            <w:vAlign w:val="center"/>
            <w:hideMark/>
          </w:tcPr>
          <w:p w:rsidR="0077631B" w:rsidRPr="008B2CDD" w:rsidP="00F26571" w14:paraId="65E0DB8F" w14:textId="77777777">
            <w:pPr>
              <w:jc w:val="center"/>
              <w:rPr>
                <w:rFonts w:eastAsia="Times New Roman" w:asciiTheme="minorHAnsi" w:hAnsiTheme="minorHAnsi" w:cstheme="minorHAnsi"/>
                <w:b/>
                <w:i/>
                <w:color w:val="000000"/>
                <w:szCs w:val="24"/>
              </w:rPr>
            </w:pPr>
            <w:r w:rsidRPr="008B2CDD">
              <w:rPr>
                <w:rFonts w:eastAsia="Times New Roman" w:asciiTheme="minorHAnsi" w:hAnsiTheme="minorHAnsi" w:cstheme="minorHAnsi"/>
                <w:b/>
                <w:i/>
                <w:color w:val="000000"/>
                <w:szCs w:val="24"/>
              </w:rPr>
              <w:t>(a)</w:t>
            </w:r>
          </w:p>
        </w:tc>
        <w:tc>
          <w:tcPr>
            <w:tcW w:w="0" w:type="auto"/>
            <w:tcBorders>
              <w:top w:val="nil"/>
              <w:left w:val="nil"/>
              <w:bottom w:val="single" w:sz="4" w:space="0" w:color="auto"/>
              <w:right w:val="single" w:sz="4" w:space="0" w:color="auto"/>
            </w:tcBorders>
            <w:shd w:val="clear" w:color="auto" w:fill="BFBFBF"/>
            <w:vAlign w:val="center"/>
            <w:hideMark/>
          </w:tcPr>
          <w:p w:rsidR="0077631B" w:rsidRPr="008B2CDD" w:rsidP="00F26571" w14:paraId="7E53FCC6" w14:textId="6532EE6A">
            <w:pPr>
              <w:jc w:val="center"/>
              <w:rPr>
                <w:rFonts w:eastAsia="Times New Roman" w:asciiTheme="minorHAnsi" w:hAnsiTheme="minorHAnsi" w:cstheme="minorHAnsi"/>
                <w:b/>
                <w:i/>
                <w:color w:val="000000"/>
                <w:szCs w:val="24"/>
              </w:rPr>
            </w:pPr>
            <w:r w:rsidRPr="008B2CDD">
              <w:rPr>
                <w:rFonts w:eastAsia="Times New Roman" w:asciiTheme="minorHAnsi" w:hAnsiTheme="minorHAnsi" w:cstheme="minorHAnsi"/>
                <w:b/>
                <w:i/>
                <w:color w:val="000000"/>
                <w:szCs w:val="24"/>
              </w:rPr>
              <w:t>(b)</w:t>
            </w:r>
          </w:p>
        </w:tc>
        <w:tc>
          <w:tcPr>
            <w:tcW w:w="0" w:type="auto"/>
            <w:tcBorders>
              <w:top w:val="nil"/>
              <w:left w:val="nil"/>
              <w:bottom w:val="single" w:sz="4" w:space="0" w:color="auto"/>
              <w:right w:val="single" w:sz="4" w:space="0" w:color="auto"/>
            </w:tcBorders>
            <w:shd w:val="clear" w:color="auto" w:fill="BFBFBF"/>
            <w:vAlign w:val="center"/>
            <w:hideMark/>
          </w:tcPr>
          <w:p w:rsidR="0077631B" w:rsidRPr="008B2CDD" w:rsidP="00F26571" w14:paraId="7715337C" w14:textId="77777777">
            <w:pPr>
              <w:jc w:val="center"/>
              <w:rPr>
                <w:rFonts w:eastAsia="Times New Roman" w:asciiTheme="minorHAnsi" w:hAnsiTheme="minorHAnsi" w:cstheme="minorHAnsi"/>
                <w:b/>
                <w:i/>
                <w:color w:val="000000"/>
                <w:szCs w:val="24"/>
              </w:rPr>
            </w:pPr>
            <w:r w:rsidRPr="008B2CDD">
              <w:rPr>
                <w:rFonts w:eastAsia="Times New Roman" w:asciiTheme="minorHAnsi" w:hAnsiTheme="minorHAnsi" w:cstheme="minorHAnsi"/>
                <w:b/>
                <w:i/>
                <w:color w:val="000000"/>
                <w:szCs w:val="24"/>
              </w:rPr>
              <w:t>(c) =(b)+(a)</w:t>
            </w:r>
          </w:p>
        </w:tc>
        <w:tc>
          <w:tcPr>
            <w:tcW w:w="0" w:type="auto"/>
            <w:tcBorders>
              <w:top w:val="nil"/>
              <w:left w:val="nil"/>
              <w:bottom w:val="single" w:sz="4" w:space="0" w:color="auto"/>
              <w:right w:val="single" w:sz="4" w:space="0" w:color="auto"/>
            </w:tcBorders>
            <w:shd w:val="clear" w:color="auto" w:fill="BFBFBF"/>
            <w:vAlign w:val="center"/>
            <w:hideMark/>
          </w:tcPr>
          <w:p w:rsidR="0077631B" w:rsidRPr="008B2CDD" w:rsidP="00F26571" w14:paraId="03650A1F" w14:textId="77777777">
            <w:pPr>
              <w:jc w:val="center"/>
              <w:rPr>
                <w:rFonts w:eastAsia="Times New Roman" w:asciiTheme="minorHAnsi" w:hAnsiTheme="minorHAnsi" w:cstheme="minorHAnsi"/>
                <w:b/>
                <w:i/>
                <w:color w:val="000000"/>
                <w:szCs w:val="24"/>
              </w:rPr>
            </w:pPr>
            <w:r w:rsidRPr="008B2CDD">
              <w:rPr>
                <w:rFonts w:eastAsia="Times New Roman" w:asciiTheme="minorHAnsi" w:hAnsiTheme="minorHAnsi" w:cstheme="minorHAnsi"/>
                <w:b/>
                <w:i/>
                <w:color w:val="000000"/>
                <w:szCs w:val="24"/>
              </w:rPr>
              <w:t>(d)</w:t>
            </w:r>
          </w:p>
        </w:tc>
        <w:tc>
          <w:tcPr>
            <w:tcW w:w="0" w:type="auto"/>
            <w:tcBorders>
              <w:top w:val="nil"/>
              <w:left w:val="nil"/>
              <w:bottom w:val="single" w:sz="4" w:space="0" w:color="auto"/>
              <w:right w:val="single" w:sz="4" w:space="0" w:color="auto"/>
            </w:tcBorders>
            <w:shd w:val="clear" w:color="auto" w:fill="BFBFBF"/>
            <w:vAlign w:val="center"/>
            <w:hideMark/>
          </w:tcPr>
          <w:p w:rsidR="0077631B" w:rsidRPr="008B2CDD" w:rsidP="00F26571" w14:paraId="5641F44B" w14:textId="77777777">
            <w:pPr>
              <w:jc w:val="center"/>
              <w:rPr>
                <w:rFonts w:eastAsia="Times New Roman" w:asciiTheme="minorHAnsi" w:hAnsiTheme="minorHAnsi" w:cstheme="minorHAnsi"/>
                <w:b/>
                <w:i/>
                <w:color w:val="000000"/>
                <w:szCs w:val="24"/>
              </w:rPr>
            </w:pPr>
            <w:r w:rsidRPr="008B2CDD">
              <w:rPr>
                <w:rFonts w:eastAsia="Times New Roman" w:asciiTheme="minorHAnsi" w:hAnsiTheme="minorHAnsi" w:cstheme="minorHAnsi"/>
                <w:b/>
                <w:i/>
                <w:color w:val="000000"/>
                <w:szCs w:val="24"/>
              </w:rPr>
              <w:t>(e)=(c)*(d)</w:t>
            </w:r>
          </w:p>
        </w:tc>
        <w:tc>
          <w:tcPr>
            <w:tcW w:w="0" w:type="auto"/>
            <w:tcBorders>
              <w:top w:val="nil"/>
              <w:left w:val="nil"/>
              <w:bottom w:val="single" w:sz="4" w:space="0" w:color="auto"/>
              <w:right w:val="single" w:sz="4" w:space="0" w:color="auto"/>
            </w:tcBorders>
            <w:shd w:val="clear" w:color="auto" w:fill="BFBFBF"/>
            <w:vAlign w:val="center"/>
            <w:hideMark/>
          </w:tcPr>
          <w:p w:rsidR="0077631B" w:rsidRPr="008B2CDD" w:rsidP="00F26571" w14:paraId="3B45C174" w14:textId="77777777">
            <w:pPr>
              <w:jc w:val="center"/>
              <w:rPr>
                <w:rFonts w:eastAsia="Times New Roman" w:asciiTheme="minorHAnsi" w:hAnsiTheme="minorHAnsi" w:cstheme="minorHAnsi"/>
                <w:b/>
                <w:i/>
                <w:color w:val="000000"/>
                <w:szCs w:val="24"/>
              </w:rPr>
            </w:pPr>
            <w:r w:rsidRPr="008B2CDD">
              <w:rPr>
                <w:rFonts w:eastAsia="Times New Roman" w:asciiTheme="minorHAnsi" w:hAnsiTheme="minorHAnsi" w:cstheme="minorHAnsi"/>
                <w:b/>
                <w:i/>
                <w:color w:val="000000"/>
                <w:szCs w:val="24"/>
              </w:rPr>
              <w:t>(f)=(c)+(e)</w:t>
            </w:r>
          </w:p>
        </w:tc>
      </w:tr>
      <w:tr w14:paraId="05B9EAEE" w14:textId="77777777" w:rsidTr="0077631B">
        <w:tblPrEx>
          <w:tblW w:w="0" w:type="auto"/>
          <w:tblLook w:val="04A0"/>
        </w:tblPrEx>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31B" w:rsidRPr="008B2CDD" w:rsidP="00F26571" w14:paraId="43B527D7" w14:textId="77777777">
            <w:pP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Managerial</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17C63B13" w14:textId="77777777">
            <w:pP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BLS ECEC, Private Manufacturing industries, “Mgt, Business, and Financial”</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2AD504D2"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2022 Q04</w:t>
            </w:r>
          </w:p>
        </w:tc>
        <w:tc>
          <w:tcPr>
            <w:tcW w:w="0" w:type="auto"/>
            <w:tcBorders>
              <w:top w:val="nil"/>
              <w:left w:val="nil"/>
              <w:bottom w:val="single" w:sz="4" w:space="0" w:color="auto"/>
              <w:right w:val="single" w:sz="4" w:space="0" w:color="auto"/>
            </w:tcBorders>
            <w:shd w:val="clear" w:color="auto" w:fill="auto"/>
            <w:noWrap/>
            <w:vAlign w:val="center"/>
            <w:hideMark/>
          </w:tcPr>
          <w:p w:rsidR="0077631B" w:rsidRPr="008B2CDD" w:rsidP="00F26571" w14:paraId="4926B99D"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$54.29 </w:t>
            </w:r>
          </w:p>
        </w:tc>
        <w:tc>
          <w:tcPr>
            <w:tcW w:w="0" w:type="auto"/>
            <w:tcBorders>
              <w:top w:val="nil"/>
              <w:left w:val="nil"/>
              <w:bottom w:val="single" w:sz="4" w:space="0" w:color="auto"/>
              <w:right w:val="single" w:sz="4" w:space="0" w:color="auto"/>
            </w:tcBorders>
            <w:shd w:val="clear" w:color="auto" w:fill="auto"/>
            <w:noWrap/>
            <w:vAlign w:val="center"/>
            <w:hideMark/>
          </w:tcPr>
          <w:p w:rsidR="0077631B" w:rsidRPr="008B2CDD" w:rsidP="00F26571" w14:paraId="6DABA741" w14:textId="26BDBEE6">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$24.66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6D3C660A"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$78.95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41239088"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20%</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0C6C97D6"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$15.79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3D09ABD5"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$94.74 </w:t>
            </w:r>
          </w:p>
        </w:tc>
      </w:tr>
      <w:tr w14:paraId="3A9CD911" w14:textId="77777777" w:rsidTr="0077631B">
        <w:tblPrEx>
          <w:tblW w:w="0" w:type="auto"/>
          <w:tblLook w:val="04A0"/>
        </w:tblPrEx>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31B" w:rsidRPr="008B2CDD" w:rsidP="00F26571" w14:paraId="4416CDE5" w14:textId="77777777">
            <w:pP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Professional / Technical</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39E5AC20" w14:textId="77777777">
            <w:pP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BLS ECEC, Private Manufacturing industries, “Professional and related“</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3B090A9D"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2022 Q04</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64E8EB58"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$46.01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569985A7" w14:textId="3E397F65">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$23.27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5AA94D14"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$69.28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2BFEEA4F"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20%</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6D6F9DB5"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$13.86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6E020DC1"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$83.14 </w:t>
            </w:r>
          </w:p>
        </w:tc>
      </w:tr>
      <w:tr w14:paraId="0DC26165" w14:textId="77777777" w:rsidTr="0077631B">
        <w:tblPrEx>
          <w:tblW w:w="0" w:type="auto"/>
          <w:tblLook w:val="04A0"/>
        </w:tblPrEx>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31B" w:rsidRPr="008B2CDD" w:rsidP="00F26571" w14:paraId="47B67000" w14:textId="77777777">
            <w:pP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Production Worker / Clerical</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3CF396A7" w14:textId="77777777">
            <w:pP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BLS ECEC, Private Manufacturing industries, “Office and Administrative Support”</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67E758A9"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2022 Q04</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31413CFD"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$23.11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2ECD7779" w14:textId="6968A7C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$10.33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1B6D3453"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$33.44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477D260D"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20%</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272988A8"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$6.69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F26571" w14:paraId="7F6C56E4" w14:textId="77777777">
            <w:pPr>
              <w:jc w:val="cente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$40.13 </w:t>
            </w:r>
          </w:p>
        </w:tc>
      </w:tr>
      <w:tr w14:paraId="4FF1CB95" w14:textId="77777777" w:rsidTr="0077631B">
        <w:tblPrEx>
          <w:tblW w:w="0" w:type="auto"/>
          <w:tblLook w:val="04A0"/>
        </w:tblPrEx>
        <w:trPr>
          <w:trHeight w:val="19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631B" w:rsidRPr="008B2CDD" w:rsidP="00E95659" w14:paraId="0FAAC97F" w14:textId="77777777">
            <w:pPr>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Industrial Hygienist</w:t>
            </w:r>
          </w:p>
        </w:tc>
        <w:tc>
          <w:tcPr>
            <w:tcW w:w="0" w:type="auto"/>
            <w:tcBorders>
              <w:top w:val="nil"/>
              <w:left w:val="nil"/>
              <w:bottom w:val="single" w:sz="4" w:space="0" w:color="auto"/>
              <w:right w:val="single" w:sz="4" w:space="0" w:color="auto"/>
            </w:tcBorders>
            <w:shd w:val="clear" w:color="000000" w:fill="FFFFFF"/>
            <w:vAlign w:val="center"/>
            <w:hideMark/>
          </w:tcPr>
          <w:p w:rsidR="0077631B" w:rsidRPr="008B2CDD" w:rsidP="00E95659" w14:paraId="2600BBAB" w14:textId="4574F07F">
            <w:pPr>
              <w:rPr>
                <w:rFonts w:eastAsia="Times New Roman" w:asciiTheme="minorHAnsi" w:hAnsiTheme="minorHAnsi" w:cstheme="minorHAnsi"/>
                <w:szCs w:val="24"/>
              </w:rPr>
            </w:pPr>
            <w:r w:rsidRPr="008B2CDD">
              <w:rPr>
                <w:rFonts w:eastAsia="Times New Roman" w:asciiTheme="minorHAnsi" w:hAnsiTheme="minorHAnsi" w:cstheme="minorHAnsi"/>
                <w:szCs w:val="24"/>
              </w:rPr>
              <w:t xml:space="preserve">Wage: BLS OES </w:t>
            </w:r>
            <w:r w:rsidRPr="008B2CDD">
              <w:rPr>
                <w:rFonts w:eastAsia="Times New Roman" w:asciiTheme="minorHAnsi" w:hAnsiTheme="minorHAnsi" w:cstheme="minorHAnsi"/>
                <w:szCs w:val="24"/>
              </w:rPr>
              <w:t>Occupat</w:t>
            </w:r>
            <w:r w:rsidRPr="008B2CDD">
              <w:rPr>
                <w:rFonts w:eastAsia="Times New Roman" w:asciiTheme="minorHAnsi" w:hAnsiTheme="minorHAnsi" w:cstheme="minorHAnsi"/>
                <w:szCs w:val="24"/>
              </w:rPr>
              <w:t xml:space="preserve">. Employ. and Wages, </w:t>
            </w:r>
            <w:r w:rsidRPr="008B2CDD">
              <w:rPr>
                <w:rFonts w:eastAsia="Times New Roman" w:asciiTheme="minorHAnsi" w:hAnsiTheme="minorHAnsi" w:cstheme="minorHAnsi"/>
                <w:szCs w:val="24"/>
              </w:rPr>
              <w:t>Occup</w:t>
            </w:r>
            <w:r w:rsidRPr="008B2CDD">
              <w:rPr>
                <w:rFonts w:eastAsia="Times New Roman" w:asciiTheme="minorHAnsi" w:hAnsiTheme="minorHAnsi" w:cstheme="minorHAnsi"/>
                <w:szCs w:val="24"/>
              </w:rPr>
              <w:t xml:space="preserve">. Health and Safety Specialists (SOC 19-5011); Fringes (as percent): BLS ECEC, </w:t>
            </w:r>
            <w:r w:rsidRPr="008B2CDD">
              <w:rPr>
                <w:rFonts w:eastAsia="Times New Roman" w:asciiTheme="minorHAnsi" w:hAnsiTheme="minorHAnsi" w:cstheme="minorHAnsi"/>
                <w:szCs w:val="24"/>
              </w:rPr>
              <w:t>Private Manufacturing industries, “Professional and related"</w:t>
            </w:r>
          </w:p>
        </w:tc>
        <w:tc>
          <w:tcPr>
            <w:tcW w:w="0" w:type="auto"/>
            <w:tcBorders>
              <w:top w:val="nil"/>
              <w:left w:val="nil"/>
              <w:bottom w:val="single" w:sz="4" w:space="0" w:color="auto"/>
              <w:right w:val="single" w:sz="4" w:space="0" w:color="auto"/>
            </w:tcBorders>
            <w:shd w:val="clear" w:color="000000" w:fill="FFFFFF"/>
            <w:vAlign w:val="center"/>
            <w:hideMark/>
          </w:tcPr>
          <w:p w:rsidR="0077631B" w:rsidRPr="008B2CDD" w:rsidP="00E95659" w14:paraId="052C613F" w14:textId="56996F47">
            <w:pPr>
              <w:jc w:val="center"/>
              <w:rPr>
                <w:rFonts w:eastAsia="Times New Roman" w:asciiTheme="minorHAnsi" w:hAnsiTheme="minorHAnsi" w:cstheme="minorHAnsi"/>
                <w:szCs w:val="24"/>
              </w:rPr>
            </w:pPr>
            <w:r w:rsidRPr="008B2CDD">
              <w:rPr>
                <w:rFonts w:eastAsia="Times New Roman" w:asciiTheme="minorHAnsi" w:hAnsiTheme="minorHAnsi" w:cstheme="minorHAnsi"/>
                <w:szCs w:val="24"/>
              </w:rPr>
              <w:t>May 21</w:t>
            </w:r>
          </w:p>
        </w:tc>
        <w:tc>
          <w:tcPr>
            <w:tcW w:w="0" w:type="auto"/>
            <w:tcBorders>
              <w:top w:val="nil"/>
              <w:left w:val="nil"/>
              <w:bottom w:val="single" w:sz="4" w:space="0" w:color="auto"/>
              <w:right w:val="single" w:sz="4" w:space="0" w:color="auto"/>
            </w:tcBorders>
            <w:shd w:val="clear" w:color="000000" w:fill="FFFFFF"/>
            <w:vAlign w:val="center"/>
            <w:hideMark/>
          </w:tcPr>
          <w:p w:rsidR="0077631B" w:rsidRPr="008B2CDD" w:rsidP="00E95659" w14:paraId="129B645D" w14:textId="08174253">
            <w:pPr>
              <w:jc w:val="center"/>
              <w:rPr>
                <w:rFonts w:eastAsia="Times New Roman" w:asciiTheme="minorHAnsi" w:hAnsiTheme="minorHAnsi" w:cstheme="minorHAnsi"/>
                <w:szCs w:val="24"/>
              </w:rPr>
            </w:pPr>
            <w:r w:rsidRPr="008B2CDD">
              <w:rPr>
                <w:rFonts w:asciiTheme="minorHAnsi" w:hAnsiTheme="minorHAnsi" w:cstheme="minorHAnsi"/>
                <w:szCs w:val="24"/>
              </w:rPr>
              <w:t>$37.86</w:t>
            </w:r>
          </w:p>
        </w:tc>
        <w:tc>
          <w:tcPr>
            <w:tcW w:w="0" w:type="auto"/>
            <w:tcBorders>
              <w:top w:val="nil"/>
              <w:left w:val="nil"/>
              <w:bottom w:val="single" w:sz="4" w:space="0" w:color="auto"/>
              <w:right w:val="single" w:sz="4" w:space="0" w:color="auto"/>
            </w:tcBorders>
            <w:shd w:val="clear" w:color="000000" w:fill="FFFFFF"/>
            <w:vAlign w:val="center"/>
            <w:hideMark/>
          </w:tcPr>
          <w:p w:rsidR="0077631B" w:rsidRPr="008B2CDD" w:rsidP="00E95659" w14:paraId="6E65F948" w14:textId="3D24E62A">
            <w:pPr>
              <w:jc w:val="center"/>
              <w:rPr>
                <w:rFonts w:eastAsia="Times New Roman" w:asciiTheme="minorHAnsi" w:hAnsiTheme="minorHAnsi" w:cstheme="minorHAnsi"/>
                <w:szCs w:val="24"/>
              </w:rPr>
            </w:pPr>
            <w:r w:rsidRPr="008B2CDD">
              <w:rPr>
                <w:rFonts w:asciiTheme="minorHAnsi" w:hAnsiTheme="minorHAnsi" w:cstheme="minorHAnsi"/>
                <w:szCs w:val="24"/>
              </w:rPr>
              <w:t>$19.15</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E95659" w14:paraId="59193385" w14:textId="7F5D844A">
            <w:pPr>
              <w:jc w:val="center"/>
              <w:rPr>
                <w:rFonts w:eastAsia="Times New Roman" w:asciiTheme="minorHAnsi" w:hAnsiTheme="minorHAnsi" w:cstheme="minorHAnsi"/>
                <w:color w:val="000000"/>
                <w:szCs w:val="24"/>
              </w:rPr>
            </w:pPr>
            <w:r w:rsidRPr="008B2CDD">
              <w:rPr>
                <w:rFonts w:asciiTheme="minorHAnsi" w:hAnsiTheme="minorHAnsi" w:cstheme="minorHAnsi"/>
                <w:color w:val="000000"/>
                <w:szCs w:val="24"/>
              </w:rPr>
              <w:t xml:space="preserve">$57.01 </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E95659" w14:paraId="36DA529A" w14:textId="3CBA7C00">
            <w:pPr>
              <w:jc w:val="center"/>
              <w:rPr>
                <w:rFonts w:eastAsia="Times New Roman" w:asciiTheme="minorHAnsi" w:hAnsiTheme="minorHAnsi" w:cstheme="minorHAnsi"/>
                <w:color w:val="000000"/>
                <w:szCs w:val="24"/>
              </w:rPr>
            </w:pPr>
            <w:r w:rsidRPr="008B2CDD">
              <w:rPr>
                <w:rFonts w:asciiTheme="minorHAnsi" w:hAnsiTheme="minorHAnsi" w:cstheme="minorHAnsi"/>
                <w:color w:val="000000"/>
                <w:szCs w:val="24"/>
              </w:rPr>
              <w:t>20%</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E95659" w14:paraId="709FBD40" w14:textId="12E6BB15">
            <w:pPr>
              <w:jc w:val="center"/>
              <w:rPr>
                <w:rFonts w:eastAsia="Times New Roman" w:asciiTheme="minorHAnsi" w:hAnsiTheme="minorHAnsi" w:cstheme="minorHAnsi"/>
                <w:color w:val="000000"/>
                <w:szCs w:val="24"/>
              </w:rPr>
            </w:pPr>
            <w:r w:rsidRPr="008B2CDD">
              <w:rPr>
                <w:rFonts w:asciiTheme="minorHAnsi" w:hAnsiTheme="minorHAnsi" w:cstheme="minorHAnsi"/>
                <w:color w:val="000000"/>
                <w:szCs w:val="24"/>
              </w:rPr>
              <w:t>$11.40</w:t>
            </w:r>
          </w:p>
        </w:tc>
        <w:tc>
          <w:tcPr>
            <w:tcW w:w="0" w:type="auto"/>
            <w:tcBorders>
              <w:top w:val="nil"/>
              <w:left w:val="nil"/>
              <w:bottom w:val="single" w:sz="4" w:space="0" w:color="auto"/>
              <w:right w:val="single" w:sz="4" w:space="0" w:color="auto"/>
            </w:tcBorders>
            <w:shd w:val="clear" w:color="auto" w:fill="auto"/>
            <w:vAlign w:val="center"/>
            <w:hideMark/>
          </w:tcPr>
          <w:p w:rsidR="0077631B" w:rsidRPr="008B2CDD" w:rsidP="00E95659" w14:paraId="3B2C4240" w14:textId="40399C6F">
            <w:pPr>
              <w:jc w:val="center"/>
              <w:rPr>
                <w:rFonts w:eastAsia="Times New Roman" w:asciiTheme="minorHAnsi" w:hAnsiTheme="minorHAnsi" w:cstheme="minorHAnsi"/>
                <w:color w:val="000000"/>
                <w:szCs w:val="24"/>
              </w:rPr>
            </w:pPr>
            <w:r w:rsidRPr="008B2CDD">
              <w:rPr>
                <w:rFonts w:asciiTheme="minorHAnsi" w:hAnsiTheme="minorHAnsi" w:cstheme="minorHAnsi"/>
                <w:color w:val="000000"/>
                <w:szCs w:val="24"/>
              </w:rPr>
              <w:t xml:space="preserve">$68.41 </w:t>
            </w:r>
          </w:p>
        </w:tc>
      </w:tr>
      <w:tr w14:paraId="08572BD8" w14:textId="77777777" w:rsidTr="0077631B">
        <w:tblPrEx>
          <w:tblW w:w="0" w:type="auto"/>
          <w:tblLook w:val="04A0"/>
        </w:tblPrEx>
        <w:trPr>
          <w:gridAfter w:val="8"/>
          <w:trHeight w:val="288"/>
        </w:trPr>
        <w:tc>
          <w:tcPr>
            <w:tcW w:w="0" w:type="auto"/>
            <w:tcBorders>
              <w:top w:val="single" w:sz="4" w:space="0" w:color="auto"/>
              <w:left w:val="single" w:sz="4" w:space="0" w:color="auto"/>
              <w:bottom w:val="single" w:sz="4" w:space="0" w:color="auto"/>
              <w:right w:val="single" w:sz="4" w:space="0" w:color="auto"/>
            </w:tcBorders>
          </w:tcPr>
          <w:p w:rsidR="0077631B" w:rsidRPr="008B2CDD" w:rsidP="0094246B" w14:paraId="015AF948" w14:textId="77777777">
            <w:pPr>
              <w:rPr>
                <w:rFonts w:asciiTheme="minorHAnsi" w:hAnsiTheme="minorHAnsi" w:cstheme="minorHAnsi"/>
                <w:b/>
                <w:szCs w:val="24"/>
              </w:rPr>
            </w:pPr>
          </w:p>
        </w:tc>
      </w:tr>
    </w:tbl>
    <w:p w:rsidR="00F26571" w:rsidRPr="008B2CDD" w:rsidP="00A001E3" w14:paraId="186E5FB6" w14:textId="6EA3A201">
      <w:pPr>
        <w:pStyle w:val="BodyText"/>
        <w:rPr>
          <w:rFonts w:asciiTheme="minorHAnsi" w:hAnsiTheme="minorHAnsi" w:cstheme="minorHAnsi"/>
          <w:szCs w:val="24"/>
        </w:rPr>
        <w:sectPr w:rsidSect="009B622A">
          <w:pgSz w:w="12240" w:h="15840"/>
          <w:pgMar w:top="1080" w:right="1080" w:bottom="907" w:left="1080" w:header="720" w:footer="720" w:gutter="0"/>
          <w:cols w:space="720"/>
          <w:titlePg/>
          <w:docGrid w:linePitch="360"/>
        </w:sectPr>
      </w:pPr>
    </w:p>
    <w:p w:rsidR="005B67CE" w:rsidRPr="008B2CDD" w:rsidP="229F9E16" w14:paraId="6EC514BF" w14:textId="10727FA6">
      <w:pPr>
        <w:pStyle w:val="Heading2"/>
        <w:rPr>
          <w:rFonts w:asciiTheme="minorHAnsi" w:hAnsiTheme="minorHAnsi" w:cstheme="minorHAnsi"/>
          <w:szCs w:val="24"/>
        </w:rPr>
      </w:pPr>
      <w:bookmarkStart w:id="12" w:name="_Hlk39564299"/>
      <w:bookmarkStart w:id="13" w:name="_Toc447203186"/>
      <w:r w:rsidRPr="008B2CDD">
        <w:rPr>
          <w:rFonts w:asciiTheme="minorHAnsi" w:hAnsiTheme="minorHAnsi" w:cstheme="minorHAnsi"/>
          <w:szCs w:val="24"/>
        </w:rPr>
        <w:t>Information Collection (</w:t>
      </w:r>
      <w:r w:rsidRPr="008B2CDD" w:rsidR="007E317C">
        <w:rPr>
          <w:rFonts w:asciiTheme="minorHAnsi" w:hAnsiTheme="minorHAnsi" w:cstheme="minorHAnsi"/>
          <w:szCs w:val="24"/>
        </w:rPr>
        <w:t>IC</w:t>
      </w:r>
      <w:r w:rsidRPr="008B2CDD">
        <w:rPr>
          <w:rFonts w:asciiTheme="minorHAnsi" w:hAnsiTheme="minorHAnsi" w:cstheme="minorHAnsi"/>
          <w:szCs w:val="24"/>
        </w:rPr>
        <w:t>)</w:t>
      </w:r>
      <w:r w:rsidRPr="008B2CDD" w:rsidR="007E317C">
        <w:rPr>
          <w:rFonts w:asciiTheme="minorHAnsi" w:hAnsiTheme="minorHAnsi" w:cstheme="minorHAnsi"/>
          <w:szCs w:val="24"/>
        </w:rPr>
        <w:t xml:space="preserve"> for Decabromodiphenyl ether (</w:t>
      </w:r>
      <w:r w:rsidRPr="008B2CDD" w:rsidR="007E317C">
        <w:rPr>
          <w:rFonts w:asciiTheme="minorHAnsi" w:hAnsiTheme="minorHAnsi" w:cstheme="minorHAnsi"/>
          <w:szCs w:val="24"/>
        </w:rPr>
        <w:t>DecaBDE</w:t>
      </w:r>
      <w:r w:rsidRPr="008B2CDD" w:rsidR="007E317C">
        <w:rPr>
          <w:rFonts w:asciiTheme="minorHAnsi" w:hAnsiTheme="minorHAnsi" w:cstheme="minorHAnsi"/>
          <w:szCs w:val="24"/>
        </w:rPr>
        <w:t>) (CASRN 1163-19-5)</w:t>
      </w:r>
      <w:bookmarkEnd w:id="12"/>
      <w:bookmarkEnd w:id="13"/>
    </w:p>
    <w:p w:rsidR="005B67CE" w:rsidRPr="008B2CDD" w:rsidP="00FF4191" w14:paraId="19B9C4F2" w14:textId="1E3C0303">
      <w:pPr>
        <w:pStyle w:val="Heading3"/>
        <w:tabs>
          <w:tab w:val="left" w:pos="1800"/>
        </w:tabs>
        <w:spacing w:after="200"/>
        <w:rPr>
          <w:rFonts w:asciiTheme="minorHAnsi" w:hAnsiTheme="minorHAnsi" w:cstheme="minorHAnsi"/>
          <w:szCs w:val="24"/>
          <w:lang w:bidi="en-US"/>
        </w:rPr>
      </w:pPr>
      <w:r w:rsidRPr="008B2CDD">
        <w:rPr>
          <w:rFonts w:asciiTheme="minorHAnsi" w:hAnsiTheme="minorHAnsi" w:cstheme="minorHAnsi"/>
          <w:szCs w:val="24"/>
          <w:lang w:bidi="en-US"/>
        </w:rPr>
        <w:t>Respondents</w:t>
      </w:r>
    </w:p>
    <w:p w:rsidR="00B453B7" w:rsidRPr="008B2CDD" w:rsidP="00B453B7" w14:paraId="10787E11" w14:textId="40B4E938">
      <w:pPr>
        <w:rPr>
          <w:rFonts w:asciiTheme="minorHAnsi" w:hAnsiTheme="minorHAnsi" w:cstheme="minorHAnsi"/>
          <w:szCs w:val="24"/>
        </w:rPr>
      </w:pPr>
      <w:r w:rsidRPr="008B2CDD">
        <w:rPr>
          <w:rFonts w:asciiTheme="minorHAnsi" w:hAnsiTheme="minorHAnsi" w:cstheme="minorHAnsi"/>
          <w:szCs w:val="24"/>
        </w:rPr>
        <w:t>Based on the rule’s compliance dates and exemptions</w:t>
      </w:r>
      <w:r w:rsidRPr="008B2CDD" w:rsidR="00154983">
        <w:rPr>
          <w:rFonts w:asciiTheme="minorHAnsi" w:hAnsiTheme="minorHAnsi" w:cstheme="minorHAnsi"/>
          <w:szCs w:val="24"/>
        </w:rPr>
        <w:t xml:space="preserve"> in the CFR</w:t>
      </w:r>
      <w:r w:rsidRPr="008B2CDD">
        <w:rPr>
          <w:rFonts w:asciiTheme="minorHAnsi" w:hAnsiTheme="minorHAnsi" w:cstheme="minorHAnsi"/>
          <w:szCs w:val="24"/>
        </w:rPr>
        <w:t xml:space="preserve">, the following activities involving the use of </w:t>
      </w:r>
      <w:r w:rsidRPr="008B2CDD">
        <w:rPr>
          <w:rFonts w:asciiTheme="minorHAnsi" w:hAnsiTheme="minorHAnsi" w:cstheme="minorHAnsi"/>
          <w:szCs w:val="24"/>
        </w:rPr>
        <w:t>decaBDE</w:t>
      </w:r>
      <w:r w:rsidRPr="008B2CDD">
        <w:rPr>
          <w:rFonts w:asciiTheme="minorHAnsi" w:hAnsiTheme="minorHAnsi" w:cstheme="minorHAnsi"/>
          <w:szCs w:val="24"/>
        </w:rPr>
        <w:t xml:space="preserve"> may </w:t>
      </w:r>
      <w:r w:rsidRPr="008B2CDD" w:rsidR="00221077">
        <w:rPr>
          <w:rFonts w:asciiTheme="minorHAnsi" w:hAnsiTheme="minorHAnsi" w:cstheme="minorHAnsi"/>
          <w:szCs w:val="24"/>
        </w:rPr>
        <w:t>permissibly</w:t>
      </w:r>
      <w:r w:rsidRPr="008B2CDD">
        <w:rPr>
          <w:rFonts w:asciiTheme="minorHAnsi" w:hAnsiTheme="minorHAnsi" w:cstheme="minorHAnsi"/>
          <w:szCs w:val="24"/>
        </w:rPr>
        <w:t xml:space="preserve"> be ongoing: </w:t>
      </w:r>
    </w:p>
    <w:p w:rsidR="00B453B7" w:rsidRPr="008B2CDD" w:rsidP="00B453B7" w14:paraId="798916BB" w14:textId="77777777">
      <w:pPr>
        <w:pStyle w:val="NoSpacing"/>
        <w:rPr>
          <w:rFonts w:asciiTheme="minorHAnsi" w:hAnsiTheme="minorHAnsi" w:cstheme="minorHAnsi"/>
          <w:szCs w:val="24"/>
        </w:rPr>
      </w:pPr>
    </w:p>
    <w:p w:rsidR="00B453B7" w:rsidRPr="008B2CDD" w:rsidP="00B453B7" w14:paraId="1B3A0BDB" w14:textId="77777777">
      <w:pPr>
        <w:pStyle w:val="ListParagraph"/>
        <w:numPr>
          <w:ilvl w:val="0"/>
          <w:numId w:val="27"/>
        </w:numPr>
        <w:rPr>
          <w:rFonts w:asciiTheme="minorHAnsi" w:hAnsiTheme="minorHAnsi" w:cstheme="minorHAnsi"/>
          <w:szCs w:val="24"/>
        </w:rPr>
      </w:pPr>
      <w:r w:rsidRPr="008B2CDD">
        <w:rPr>
          <w:rFonts w:asciiTheme="minorHAnsi" w:hAnsiTheme="minorHAnsi" w:cstheme="minorHAnsi"/>
          <w:szCs w:val="24"/>
        </w:rPr>
        <w:t xml:space="preserve">Until 2036, or the end of the vehicles’ service lives, manufacturing, processing, and distribution in commerce of </w:t>
      </w:r>
      <w:r w:rsidRPr="008B2CDD">
        <w:rPr>
          <w:rFonts w:asciiTheme="minorHAnsi" w:hAnsiTheme="minorHAnsi" w:cstheme="minorHAnsi"/>
          <w:szCs w:val="24"/>
        </w:rPr>
        <w:t>decaBDE</w:t>
      </w:r>
      <w:r w:rsidRPr="008B2CDD">
        <w:rPr>
          <w:rFonts w:asciiTheme="minorHAnsi" w:hAnsiTheme="minorHAnsi" w:cstheme="minorHAnsi"/>
          <w:szCs w:val="24"/>
        </w:rPr>
        <w:t xml:space="preserve"> for use in replacement parts for motor vehicles and the </w:t>
      </w:r>
      <w:r w:rsidRPr="008B2CDD">
        <w:rPr>
          <w:rFonts w:asciiTheme="minorHAnsi" w:hAnsiTheme="minorHAnsi" w:cstheme="minorHAnsi"/>
          <w:szCs w:val="24"/>
        </w:rPr>
        <w:t>decaBDE</w:t>
      </w:r>
      <w:r w:rsidRPr="008B2CDD">
        <w:rPr>
          <w:rFonts w:asciiTheme="minorHAnsi" w:hAnsiTheme="minorHAnsi" w:cstheme="minorHAnsi"/>
          <w:szCs w:val="24"/>
        </w:rPr>
        <w:t xml:space="preserve">-containing replacement parts. </w:t>
      </w:r>
    </w:p>
    <w:p w:rsidR="00B453B7" w:rsidRPr="008B2CDD" w:rsidP="137E29DE" w14:paraId="1CE59738" w14:textId="6BE232BD">
      <w:pPr>
        <w:pStyle w:val="ListParagraph"/>
        <w:numPr>
          <w:ilvl w:val="0"/>
          <w:numId w:val="25"/>
        </w:numPr>
        <w:rPr>
          <w:rFonts w:asciiTheme="minorHAnsi" w:hAnsiTheme="minorHAnsi" w:cstheme="minorHAnsi"/>
          <w:szCs w:val="24"/>
        </w:rPr>
      </w:pPr>
      <w:r w:rsidRPr="008B2CDD">
        <w:rPr>
          <w:rFonts w:asciiTheme="minorHAnsi" w:hAnsiTheme="minorHAnsi" w:cstheme="minorHAnsi"/>
          <w:szCs w:val="24"/>
        </w:rPr>
        <w:t xml:space="preserve">After the end of the service life for aerospace vehicles manufactured before January 8, 2024, import, processing, and distribution in commerce of such vehicles that contain </w:t>
      </w:r>
      <w:r w:rsidRPr="008B2CDD">
        <w:rPr>
          <w:rFonts w:asciiTheme="minorHAnsi" w:hAnsiTheme="minorHAnsi" w:cstheme="minorHAnsi"/>
          <w:szCs w:val="24"/>
        </w:rPr>
        <w:t>decaBDE</w:t>
      </w:r>
      <w:r w:rsidRPr="008B2CDD">
        <w:rPr>
          <w:rFonts w:asciiTheme="minorHAnsi" w:hAnsiTheme="minorHAnsi" w:cstheme="minorHAnsi"/>
          <w:szCs w:val="24"/>
        </w:rPr>
        <w:t xml:space="preserve"> in any part. After the end of the service life for aerospace vehicles manufactured after January 8, 2024, manufacture, processing, and distribution in commerce of </w:t>
      </w:r>
      <w:r w:rsidRPr="008B2CDD">
        <w:rPr>
          <w:rFonts w:asciiTheme="minorHAnsi" w:hAnsiTheme="minorHAnsi" w:cstheme="minorHAnsi"/>
          <w:szCs w:val="24"/>
        </w:rPr>
        <w:t>decaBDE</w:t>
      </w:r>
      <w:r w:rsidRPr="008B2CDD">
        <w:rPr>
          <w:rFonts w:asciiTheme="minorHAnsi" w:hAnsiTheme="minorHAnsi" w:cstheme="minorHAnsi"/>
          <w:szCs w:val="24"/>
        </w:rPr>
        <w:t xml:space="preserve"> for use in replacement parts for such vehicles, and the replacement parts to which </w:t>
      </w:r>
      <w:r w:rsidRPr="008B2CDD">
        <w:rPr>
          <w:rFonts w:asciiTheme="minorHAnsi" w:hAnsiTheme="minorHAnsi" w:cstheme="minorHAnsi"/>
          <w:szCs w:val="24"/>
        </w:rPr>
        <w:t>decaBDE</w:t>
      </w:r>
      <w:r w:rsidRPr="008B2CDD">
        <w:rPr>
          <w:rFonts w:asciiTheme="minorHAnsi" w:hAnsiTheme="minorHAnsi" w:cstheme="minorHAnsi"/>
          <w:szCs w:val="24"/>
        </w:rPr>
        <w:t xml:space="preserve"> has been added for such vehicles. </w:t>
      </w:r>
    </w:p>
    <w:p w:rsidR="00B453B7" w:rsidRPr="008B2CDD" w:rsidP="00B453B7" w14:paraId="2EE6FDD6" w14:textId="77777777">
      <w:pPr>
        <w:pStyle w:val="ListParagraph"/>
        <w:numPr>
          <w:ilvl w:val="0"/>
          <w:numId w:val="25"/>
        </w:numPr>
        <w:rPr>
          <w:rFonts w:asciiTheme="minorHAnsi" w:hAnsiTheme="minorHAnsi" w:cstheme="minorHAnsi"/>
          <w:szCs w:val="24"/>
        </w:rPr>
      </w:pPr>
      <w:r w:rsidRPr="008B2CDD">
        <w:rPr>
          <w:rFonts w:asciiTheme="minorHAnsi" w:hAnsiTheme="minorHAnsi" w:cstheme="minorHAnsi"/>
          <w:szCs w:val="24"/>
        </w:rPr>
        <w:t xml:space="preserve">After the end of their service life, for processing and distribution in commerce of plastic shipping pallets that contain </w:t>
      </w:r>
      <w:r w:rsidRPr="008B2CDD">
        <w:rPr>
          <w:rFonts w:asciiTheme="minorHAnsi" w:hAnsiTheme="minorHAnsi" w:cstheme="minorHAnsi"/>
          <w:szCs w:val="24"/>
        </w:rPr>
        <w:t>decaBDE</w:t>
      </w:r>
      <w:r w:rsidRPr="008B2CDD">
        <w:rPr>
          <w:rFonts w:asciiTheme="minorHAnsi" w:hAnsiTheme="minorHAnsi" w:cstheme="minorHAnsi"/>
          <w:szCs w:val="24"/>
        </w:rPr>
        <w:t xml:space="preserve"> and were manufactured prior to the publication date of the rule.</w:t>
      </w:r>
    </w:p>
    <w:p w:rsidR="00962FD3" w:rsidRPr="008B2CDD" w:rsidP="229F9E16" w14:paraId="142E8557" w14:textId="3DF02A88">
      <w:pPr>
        <w:pStyle w:val="ListParagraph"/>
        <w:numPr>
          <w:ilvl w:val="0"/>
          <w:numId w:val="26"/>
        </w:numPr>
        <w:rPr>
          <w:rFonts w:asciiTheme="minorHAnsi" w:hAnsiTheme="minorHAnsi" w:cstheme="minorHAnsi"/>
          <w:szCs w:val="24"/>
        </w:rPr>
      </w:pPr>
      <w:r w:rsidRPr="008B2CDD">
        <w:rPr>
          <w:rFonts w:asciiTheme="minorHAnsi" w:hAnsiTheme="minorHAnsi" w:cstheme="minorHAnsi"/>
          <w:szCs w:val="24"/>
        </w:rPr>
        <w:t xml:space="preserve">Processing and distribution in commerce for recycling of </w:t>
      </w:r>
      <w:r w:rsidRPr="008B2CDD">
        <w:rPr>
          <w:rFonts w:asciiTheme="minorHAnsi" w:hAnsiTheme="minorHAnsi" w:cstheme="minorHAnsi"/>
          <w:szCs w:val="24"/>
        </w:rPr>
        <w:t>decaBDE</w:t>
      </w:r>
      <w:r w:rsidRPr="008B2CDD">
        <w:rPr>
          <w:rFonts w:asciiTheme="minorHAnsi" w:hAnsiTheme="minorHAnsi" w:cstheme="minorHAnsi"/>
          <w:szCs w:val="24"/>
        </w:rPr>
        <w:t xml:space="preserve">-containing plastic products and articles (i.e., the plastic to be recycled is from articles and products that were originally made with </w:t>
      </w:r>
      <w:r w:rsidRPr="008B2CDD">
        <w:rPr>
          <w:rFonts w:asciiTheme="minorHAnsi" w:hAnsiTheme="minorHAnsi" w:cstheme="minorHAnsi"/>
          <w:szCs w:val="24"/>
        </w:rPr>
        <w:t>decaBDE</w:t>
      </w:r>
      <w:r w:rsidRPr="008B2CDD">
        <w:rPr>
          <w:rFonts w:asciiTheme="minorHAnsi" w:hAnsiTheme="minorHAnsi" w:cstheme="minorHAnsi"/>
          <w:szCs w:val="24"/>
        </w:rPr>
        <w:t xml:space="preserve">), and for </w:t>
      </w:r>
      <w:r w:rsidRPr="008B2CDD">
        <w:rPr>
          <w:rFonts w:asciiTheme="minorHAnsi" w:hAnsiTheme="minorHAnsi" w:cstheme="minorHAnsi"/>
          <w:szCs w:val="24"/>
        </w:rPr>
        <w:t>decaBDE</w:t>
      </w:r>
      <w:r w:rsidRPr="008B2CDD">
        <w:rPr>
          <w:rFonts w:asciiTheme="minorHAnsi" w:hAnsiTheme="minorHAnsi" w:cstheme="minorHAnsi"/>
          <w:szCs w:val="24"/>
        </w:rPr>
        <w:t xml:space="preserve">-containing products or articles made from such recycled plastic, in which no new </w:t>
      </w:r>
      <w:r w:rsidRPr="008B2CDD">
        <w:rPr>
          <w:rFonts w:asciiTheme="minorHAnsi" w:hAnsiTheme="minorHAnsi" w:cstheme="minorHAnsi"/>
          <w:szCs w:val="24"/>
        </w:rPr>
        <w:t>decaBDE</w:t>
      </w:r>
      <w:r w:rsidRPr="008B2CDD">
        <w:rPr>
          <w:rFonts w:asciiTheme="minorHAnsi" w:hAnsiTheme="minorHAnsi" w:cstheme="minorHAnsi"/>
          <w:szCs w:val="24"/>
        </w:rPr>
        <w:t xml:space="preserve"> is added during the recycling or production process.</w:t>
      </w:r>
    </w:p>
    <w:p w:rsidR="00B453B7" w:rsidRPr="008B2CDD" w:rsidP="00B453B7" w14:paraId="418B0BAF" w14:textId="77777777">
      <w:pPr>
        <w:pStyle w:val="ListParagraph"/>
        <w:rPr>
          <w:rFonts w:asciiTheme="minorHAnsi" w:hAnsiTheme="minorHAnsi" w:cstheme="minorHAnsi"/>
          <w:szCs w:val="24"/>
        </w:rPr>
      </w:pPr>
    </w:p>
    <w:p w:rsidR="003D3F56" w:rsidRPr="008B2CDD" w:rsidP="003D3F56" w14:paraId="202246C1" w14:textId="1A7C2E72">
      <w:pPr>
        <w:rPr>
          <w:rFonts w:asciiTheme="minorHAnsi" w:hAnsiTheme="minorHAnsi" w:cstheme="minorHAnsi"/>
          <w:szCs w:val="24"/>
        </w:rPr>
      </w:pPr>
      <w:r w:rsidRPr="008B2CDD">
        <w:rPr>
          <w:rFonts w:asciiTheme="minorHAnsi" w:hAnsiTheme="minorHAnsi" w:cstheme="minorHAnsi"/>
          <w:szCs w:val="24"/>
        </w:rPr>
        <w:t xml:space="preserve">Companies identified with these uses of </w:t>
      </w:r>
      <w:r w:rsidRPr="008B2CDD">
        <w:rPr>
          <w:rFonts w:asciiTheme="minorHAnsi" w:hAnsiTheme="minorHAnsi" w:cstheme="minorHAnsi"/>
          <w:szCs w:val="24"/>
        </w:rPr>
        <w:t>decaBDE</w:t>
      </w:r>
      <w:r w:rsidRPr="008B2CDD">
        <w:rPr>
          <w:rFonts w:asciiTheme="minorHAnsi" w:hAnsiTheme="minorHAnsi" w:cstheme="minorHAnsi"/>
          <w:szCs w:val="24"/>
        </w:rPr>
        <w:t xml:space="preserve">, and thus most likely affected by the paperwork requirements for </w:t>
      </w:r>
      <w:r w:rsidRPr="008B2CDD">
        <w:rPr>
          <w:rFonts w:asciiTheme="minorHAnsi" w:hAnsiTheme="minorHAnsi" w:cstheme="minorHAnsi"/>
          <w:szCs w:val="24"/>
        </w:rPr>
        <w:t>decaBDE</w:t>
      </w:r>
      <w:r w:rsidRPr="008B2CDD">
        <w:rPr>
          <w:rFonts w:asciiTheme="minorHAnsi" w:hAnsiTheme="minorHAnsi" w:cstheme="minorHAnsi"/>
          <w:szCs w:val="24"/>
        </w:rPr>
        <w:t>, are associated with the North American Industrial Classification System (NAICS) codes:</w:t>
      </w:r>
    </w:p>
    <w:p w:rsidR="00901598" w:rsidRPr="008B2CDD" w:rsidP="00AF28CA" w14:paraId="2DA4E52E" w14:textId="77777777">
      <w:pPr>
        <w:pStyle w:val="NoSpacing"/>
        <w:rPr>
          <w:rFonts w:asciiTheme="minorHAnsi" w:hAnsiTheme="minorHAnsi" w:cstheme="minorHAnsi"/>
          <w:szCs w:val="24"/>
        </w:rPr>
      </w:pPr>
    </w:p>
    <w:p w:rsidR="004D678B" w:rsidRPr="008B2CDD" w:rsidP="004D678B" w14:paraId="0E2DF3DF" w14:textId="2F20178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Plastics Product Manufacturing (NAICS Code 3261)</w:t>
      </w:r>
    </w:p>
    <w:p w:rsidR="004D678B" w:rsidRPr="008B2CDD" w:rsidP="76D5F088" w14:paraId="069EE050" w14:textId="48519892">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Custom Compounding of Purchased Resins (NAICS Code 325991)</w:t>
      </w:r>
    </w:p>
    <w:p w:rsidR="043C6C2A" w:rsidRPr="008B2CDD" w:rsidP="76D5F088" w14:paraId="50F1E2C7" w14:textId="651ACEFA">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Nuclear Electric Power Generation (NAICS Code 221113)</w:t>
      </w:r>
    </w:p>
    <w:p w:rsidR="004D678B" w:rsidRPr="008B2CDD" w:rsidP="004D678B" w14:paraId="30F44562"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Materials Recovery Facilities (NAICS Code 562920)</w:t>
      </w:r>
    </w:p>
    <w:p w:rsidR="004D678B" w:rsidRPr="008B2CDD" w:rsidP="004D678B" w14:paraId="26168623"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Aircraft Engine and Engine Parts Manufacturing (NAICS Code 336412)</w:t>
      </w:r>
    </w:p>
    <w:p w:rsidR="004D678B" w:rsidRPr="008B2CDD" w:rsidP="004D678B" w14:paraId="4924B5C5" w14:textId="2DCBD54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Other Aircraft Part and Auxiliary Equipment Manufacturing (NAICS Code 336413)</w:t>
      </w:r>
    </w:p>
    <w:p w:rsidR="004D678B" w:rsidRPr="008B2CDD" w:rsidP="004D678B" w14:paraId="205E243B"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Guided Missile and Space Vehicle Propulsion Unit and Propulsion Unit Parts Manufacturing (NAICS Code 336415)</w:t>
      </w:r>
    </w:p>
    <w:p w:rsidR="004D678B" w:rsidRPr="008B2CDD" w:rsidP="004D678B" w14:paraId="56A0A0DB"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Other Guided Missile and Space Vehicle Parts and Auxiliary Equipment Manufacturing (NAICS Code 336419)</w:t>
      </w:r>
    </w:p>
    <w:p w:rsidR="004D678B" w:rsidRPr="008B2CDD" w:rsidP="004D678B" w14:paraId="6B47DEF4"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Motor Vehicle Body Manufacturing (NAICS Code 336211)</w:t>
      </w:r>
    </w:p>
    <w:p w:rsidR="004D678B" w:rsidRPr="008B2CDD" w:rsidP="004D678B" w14:paraId="3F4117F9"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Motor Vehicle Gasoline Engine and Engine Parts Manufacturing (NAICS Code 336310)</w:t>
      </w:r>
    </w:p>
    <w:p w:rsidR="004D678B" w:rsidRPr="008B2CDD" w:rsidP="004D678B" w14:paraId="3F418380"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Motor Vehicle Electrical and Electronic Equipment Manufacturing (NAICS Code 336320)</w:t>
      </w:r>
    </w:p>
    <w:p w:rsidR="004D678B" w:rsidRPr="008B2CDD" w:rsidP="004D678B" w14:paraId="4F5E8962"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Other Motor Vehicle Parts Manufacturing (NAICS Code 336390)</w:t>
      </w:r>
    </w:p>
    <w:p w:rsidR="004D678B" w:rsidRPr="008B2CDD" w:rsidP="004D678B" w14:paraId="78C9642B" w14:textId="77777777">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Motorcycle, Bicycle and Parts Manufacturing (NAICS Code 336991)</w:t>
      </w:r>
    </w:p>
    <w:p w:rsidR="004D678B" w:rsidRPr="008B2CDD" w:rsidP="004D678B" w14:paraId="3C086DA0" w14:textId="0C507F5D">
      <w:pPr>
        <w:pStyle w:val="ListParagraph"/>
        <w:numPr>
          <w:ilvl w:val="0"/>
          <w:numId w:val="30"/>
        </w:numPr>
        <w:rPr>
          <w:rFonts w:asciiTheme="minorHAnsi" w:hAnsiTheme="minorHAnsi" w:cstheme="minorHAnsi"/>
          <w:szCs w:val="24"/>
        </w:rPr>
      </w:pPr>
      <w:r w:rsidRPr="008B2CDD">
        <w:rPr>
          <w:rFonts w:asciiTheme="minorHAnsi" w:hAnsiTheme="minorHAnsi" w:cstheme="minorHAnsi"/>
          <w:szCs w:val="24"/>
        </w:rPr>
        <w:t>All Other Transportation Equipment Manufacturing (NAICS Code 336999)</w:t>
      </w:r>
    </w:p>
    <w:p w:rsidR="003D3F56" w:rsidRPr="008B2CDD" w:rsidP="00B40758" w14:paraId="0326C53D" w14:textId="655E46A0">
      <w:pPr>
        <w:pStyle w:val="ListParagraph"/>
        <w:rPr>
          <w:rFonts w:asciiTheme="minorHAnsi" w:hAnsiTheme="minorHAnsi" w:cstheme="minorHAnsi"/>
          <w:i/>
          <w:iCs/>
          <w:szCs w:val="24"/>
          <w:u w:val="single"/>
        </w:rPr>
      </w:pPr>
      <w:r w:rsidRPr="008B2CDD">
        <w:rPr>
          <w:rFonts w:asciiTheme="minorHAnsi" w:hAnsiTheme="minorHAnsi" w:cstheme="minorHAnsi"/>
          <w:i/>
          <w:iCs/>
          <w:szCs w:val="24"/>
          <w:u w:val="single"/>
        </w:rPr>
        <w:t xml:space="preserve">Estimated Number of </w:t>
      </w:r>
      <w:r w:rsidRPr="008B2CDD" w:rsidR="00BB4106">
        <w:rPr>
          <w:rFonts w:asciiTheme="minorHAnsi" w:hAnsiTheme="minorHAnsi" w:cstheme="minorHAnsi"/>
          <w:i/>
          <w:iCs/>
          <w:szCs w:val="24"/>
          <w:u w:val="single"/>
        </w:rPr>
        <w:t>P</w:t>
      </w:r>
      <w:r w:rsidRPr="008B2CDD">
        <w:rPr>
          <w:rFonts w:asciiTheme="minorHAnsi" w:hAnsiTheme="minorHAnsi" w:cstheme="minorHAnsi"/>
          <w:i/>
          <w:iCs/>
          <w:szCs w:val="24"/>
          <w:u w:val="single"/>
        </w:rPr>
        <w:t xml:space="preserve">otential </w:t>
      </w:r>
      <w:r w:rsidRPr="008B2CDD" w:rsidR="00BB4106">
        <w:rPr>
          <w:rFonts w:asciiTheme="minorHAnsi" w:hAnsiTheme="minorHAnsi" w:cstheme="minorHAnsi"/>
          <w:i/>
          <w:iCs/>
          <w:szCs w:val="24"/>
          <w:u w:val="single"/>
        </w:rPr>
        <w:t>R</w:t>
      </w:r>
      <w:r w:rsidRPr="008B2CDD">
        <w:rPr>
          <w:rFonts w:asciiTheme="minorHAnsi" w:hAnsiTheme="minorHAnsi" w:cstheme="minorHAnsi"/>
          <w:i/>
          <w:iCs/>
          <w:szCs w:val="24"/>
          <w:u w:val="single"/>
        </w:rPr>
        <w:t xml:space="preserve">espondents </w:t>
      </w:r>
    </w:p>
    <w:p w:rsidR="00BB4106" w:rsidRPr="008B2CDD" w:rsidP="00BB4106" w14:paraId="158DF1CE" w14:textId="77777777">
      <w:pPr>
        <w:rPr>
          <w:rFonts w:asciiTheme="minorHAnsi" w:hAnsiTheme="minorHAnsi" w:cstheme="minorHAnsi"/>
          <w:szCs w:val="24"/>
        </w:rPr>
      </w:pPr>
    </w:p>
    <w:p w:rsidR="00BB4106" w:rsidRPr="008B2CDD" w:rsidP="00BB4106" w14:paraId="018223E3" w14:textId="7252FC4B">
      <w:pPr>
        <w:rPr>
          <w:rFonts w:asciiTheme="minorHAnsi" w:hAnsiTheme="minorHAnsi" w:cstheme="minorHAnsi"/>
          <w:szCs w:val="24"/>
        </w:rPr>
      </w:pPr>
      <w:r w:rsidRPr="008B2CDD">
        <w:rPr>
          <w:rFonts w:asciiTheme="minorHAnsi" w:hAnsiTheme="minorHAnsi" w:cstheme="minorHAnsi"/>
          <w:szCs w:val="24"/>
        </w:rPr>
        <w:t>B</w:t>
      </w:r>
      <w:r w:rsidRPr="008B2CDD" w:rsidR="0BD1002C">
        <w:rPr>
          <w:rFonts w:asciiTheme="minorHAnsi" w:hAnsiTheme="minorHAnsi" w:cstheme="minorHAnsi"/>
          <w:szCs w:val="24"/>
        </w:rPr>
        <w:t>ased</w:t>
      </w:r>
      <w:r w:rsidRPr="008B2CDD">
        <w:rPr>
          <w:rFonts w:asciiTheme="minorHAnsi" w:hAnsiTheme="minorHAnsi" w:cstheme="minorHAnsi"/>
          <w:szCs w:val="24"/>
        </w:rPr>
        <w:t xml:space="preserve"> on EPA’s Public 20</w:t>
      </w:r>
      <w:r w:rsidRPr="008B2CDD" w:rsidR="00393F92">
        <w:rPr>
          <w:rFonts w:asciiTheme="minorHAnsi" w:hAnsiTheme="minorHAnsi" w:cstheme="minorHAnsi"/>
          <w:szCs w:val="24"/>
        </w:rPr>
        <w:t>20</w:t>
      </w:r>
      <w:r w:rsidRPr="008B2CDD">
        <w:rPr>
          <w:rFonts w:asciiTheme="minorHAnsi" w:hAnsiTheme="minorHAnsi" w:cstheme="minorHAnsi"/>
          <w:szCs w:val="24"/>
        </w:rPr>
        <w:t xml:space="preserve"> Chemical Data Reporting (CDR) data (EPA 201</w:t>
      </w:r>
      <w:r w:rsidRPr="008B2CDD" w:rsidR="00393F92">
        <w:rPr>
          <w:rFonts w:asciiTheme="minorHAnsi" w:hAnsiTheme="minorHAnsi" w:cstheme="minorHAnsi"/>
          <w:szCs w:val="24"/>
        </w:rPr>
        <w:t>9</w:t>
      </w:r>
      <w:r w:rsidRPr="008B2CDD">
        <w:rPr>
          <w:rFonts w:asciiTheme="minorHAnsi" w:hAnsiTheme="minorHAnsi" w:cstheme="minorHAnsi"/>
          <w:szCs w:val="24"/>
        </w:rPr>
        <w:t xml:space="preserve">) and </w:t>
      </w:r>
      <w:r w:rsidRPr="008B2CDD" w:rsidR="0034121C">
        <w:rPr>
          <w:rFonts w:asciiTheme="minorHAnsi" w:hAnsiTheme="minorHAnsi" w:cstheme="minorHAnsi"/>
          <w:szCs w:val="24"/>
        </w:rPr>
        <w:t xml:space="preserve">the activities prohibited </w:t>
      </w:r>
      <w:r w:rsidRPr="008B2CDD">
        <w:rPr>
          <w:rFonts w:asciiTheme="minorHAnsi" w:hAnsiTheme="minorHAnsi" w:cstheme="minorHAnsi"/>
          <w:szCs w:val="24"/>
        </w:rPr>
        <w:t xml:space="preserve">for </w:t>
      </w:r>
      <w:r w:rsidRPr="008B2CDD">
        <w:rPr>
          <w:rFonts w:asciiTheme="minorHAnsi" w:hAnsiTheme="minorHAnsi" w:cstheme="minorHAnsi"/>
          <w:szCs w:val="24"/>
        </w:rPr>
        <w:t>decaBDE</w:t>
      </w:r>
      <w:r w:rsidRPr="008B2CDD" w:rsidR="0034121C">
        <w:rPr>
          <w:rFonts w:asciiTheme="minorHAnsi" w:hAnsiTheme="minorHAnsi" w:cstheme="minorHAnsi"/>
          <w:szCs w:val="24"/>
        </w:rPr>
        <w:t xml:space="preserve">, EPA estimates that 2 respondents </w:t>
      </w:r>
      <w:r w:rsidRPr="008B2CDD">
        <w:rPr>
          <w:rFonts w:asciiTheme="minorHAnsi" w:hAnsiTheme="minorHAnsi" w:cstheme="minorHAnsi"/>
          <w:szCs w:val="24"/>
        </w:rPr>
        <w:t xml:space="preserve">are subject to the paperwork requirements of the final rule for </w:t>
      </w:r>
      <w:r w:rsidRPr="008B2CDD" w:rsidR="00B40758">
        <w:rPr>
          <w:rFonts w:asciiTheme="minorHAnsi" w:hAnsiTheme="minorHAnsi" w:cstheme="minorHAnsi"/>
          <w:szCs w:val="24"/>
        </w:rPr>
        <w:t>d</w:t>
      </w:r>
      <w:r w:rsidRPr="008B2CDD">
        <w:rPr>
          <w:rFonts w:asciiTheme="minorHAnsi" w:hAnsiTheme="minorHAnsi" w:cstheme="minorHAnsi"/>
          <w:szCs w:val="24"/>
        </w:rPr>
        <w:t>ecaBDE</w:t>
      </w:r>
      <w:r w:rsidRPr="008B2CDD" w:rsidR="0034121C">
        <w:rPr>
          <w:rFonts w:asciiTheme="minorHAnsi" w:hAnsiTheme="minorHAnsi" w:cstheme="minorHAnsi"/>
          <w:szCs w:val="24"/>
        </w:rPr>
        <w:t>.</w:t>
      </w:r>
      <w:r w:rsidRPr="008B2CDD">
        <w:rPr>
          <w:rFonts w:asciiTheme="minorHAnsi" w:hAnsiTheme="minorHAnsi" w:cstheme="minorHAnsi"/>
          <w:szCs w:val="24"/>
        </w:rPr>
        <w:t xml:space="preserve"> </w:t>
      </w:r>
    </w:p>
    <w:p w:rsidR="00BB4106" w:rsidRPr="008B2CDD" w:rsidP="00B40758" w14:paraId="16B57494" w14:textId="77777777">
      <w:pPr>
        <w:pStyle w:val="NoSpacing"/>
        <w:rPr>
          <w:rFonts w:asciiTheme="minorHAnsi" w:hAnsiTheme="minorHAnsi" w:cstheme="minorHAnsi"/>
          <w:szCs w:val="24"/>
        </w:rPr>
      </w:pPr>
    </w:p>
    <w:p w:rsidR="003D3F56" w:rsidRPr="008B2CDD" w:rsidP="00FF4191" w14:paraId="4669A9A9" w14:textId="3F634E6A">
      <w:pPr>
        <w:pStyle w:val="Heading3"/>
        <w:tabs>
          <w:tab w:val="left" w:pos="1800"/>
        </w:tabs>
        <w:spacing w:after="200"/>
        <w:rPr>
          <w:rFonts w:asciiTheme="minorHAnsi" w:hAnsiTheme="minorHAnsi" w:cstheme="minorHAnsi"/>
          <w:szCs w:val="24"/>
        </w:rPr>
      </w:pPr>
      <w:r w:rsidRPr="008B2CDD">
        <w:rPr>
          <w:rFonts w:asciiTheme="minorHAnsi" w:hAnsiTheme="minorHAnsi" w:cstheme="minorHAnsi"/>
          <w:szCs w:val="24"/>
        </w:rPr>
        <w:t>Information Collection Activities</w:t>
      </w:r>
    </w:p>
    <w:p w:rsidR="003D3F56" w:rsidRPr="008B2CDD" w:rsidP="00BF6FAE" w14:paraId="5E9E9E24" w14:textId="7F4C0200">
      <w:pPr>
        <w:rPr>
          <w:rFonts w:asciiTheme="minorHAnsi" w:hAnsiTheme="minorHAnsi" w:cstheme="minorHAnsi"/>
          <w:i/>
          <w:iCs/>
          <w:szCs w:val="24"/>
          <w:u w:val="single"/>
        </w:rPr>
      </w:pPr>
      <w:r w:rsidRPr="008B2CDD">
        <w:rPr>
          <w:rFonts w:asciiTheme="minorHAnsi" w:hAnsiTheme="minorHAnsi" w:cstheme="minorHAnsi"/>
          <w:i/>
          <w:iCs/>
          <w:szCs w:val="24"/>
          <w:u w:val="single"/>
        </w:rPr>
        <w:t>Activities</w:t>
      </w:r>
      <w:r w:rsidRPr="008B2CDD" w:rsidR="00A001E3">
        <w:rPr>
          <w:rFonts w:asciiTheme="minorHAnsi" w:hAnsiTheme="minorHAnsi" w:cstheme="minorHAnsi"/>
          <w:i/>
          <w:iCs/>
          <w:szCs w:val="24"/>
          <w:u w:val="single"/>
        </w:rPr>
        <w:t xml:space="preserve"> and Data Items</w:t>
      </w:r>
      <w:r w:rsidRPr="008B2CDD">
        <w:rPr>
          <w:rFonts w:asciiTheme="minorHAnsi" w:hAnsiTheme="minorHAnsi" w:cstheme="minorHAnsi"/>
          <w:i/>
          <w:iCs/>
          <w:szCs w:val="24"/>
          <w:u w:val="single"/>
        </w:rPr>
        <w:t xml:space="preserve"> </w:t>
      </w:r>
    </w:p>
    <w:p w:rsidR="007E317C" w:rsidRPr="008B2CDD" w:rsidP="007E317C" w14:paraId="75A7C0C4" w14:textId="77777777">
      <w:pPr>
        <w:pStyle w:val="NoSpacing"/>
        <w:ind w:left="720"/>
        <w:rPr>
          <w:rFonts w:asciiTheme="minorHAnsi" w:hAnsiTheme="minorHAnsi" w:cstheme="minorHAnsi"/>
          <w:szCs w:val="24"/>
          <w:u w:val="single"/>
        </w:rPr>
      </w:pPr>
    </w:p>
    <w:p w:rsidR="00F33193" w:rsidRPr="008B2CDD" w:rsidP="00F33193" w14:paraId="4EA2890A" w14:textId="77777777">
      <w:pPr>
        <w:pStyle w:val="NoSpacing"/>
        <w:rPr>
          <w:rFonts w:asciiTheme="minorHAnsi" w:hAnsiTheme="minorHAnsi" w:cstheme="minorHAnsi"/>
          <w:szCs w:val="24"/>
          <w:u w:val="single"/>
        </w:rPr>
      </w:pPr>
      <w:r w:rsidRPr="008B2CDD">
        <w:rPr>
          <w:rFonts w:asciiTheme="minorHAnsi" w:hAnsiTheme="minorHAnsi" w:cstheme="minorHAnsi"/>
          <w:szCs w:val="24"/>
          <w:u w:val="single"/>
        </w:rPr>
        <w:t>Rule Familiarization Burden</w:t>
      </w:r>
    </w:p>
    <w:p w:rsidR="00F33193" w:rsidRPr="008B2CDD" w:rsidP="00F33193" w14:paraId="02624FBF" w14:textId="71747746">
      <w:pPr>
        <w:rPr>
          <w:rFonts w:asciiTheme="minorHAnsi" w:hAnsiTheme="minorHAnsi" w:cstheme="minorHAnsi"/>
          <w:szCs w:val="24"/>
        </w:rPr>
      </w:pPr>
      <w:r w:rsidRPr="008B2CDD">
        <w:rPr>
          <w:rFonts w:asciiTheme="minorHAnsi" w:hAnsiTheme="minorHAnsi" w:cstheme="minorHAnsi"/>
          <w:szCs w:val="24"/>
        </w:rPr>
        <w:t xml:space="preserve">EPA assumes that each manufacturer (including importers), processor, and distributor of products or articles that contain the regulated chemicals will spend </w:t>
      </w:r>
      <w:r w:rsidRPr="008B2CDD" w:rsidR="004D678B">
        <w:rPr>
          <w:rFonts w:asciiTheme="minorHAnsi" w:hAnsiTheme="minorHAnsi" w:cstheme="minorHAnsi"/>
          <w:szCs w:val="24"/>
        </w:rPr>
        <w:t xml:space="preserve">three hours in the first year of the rule for those subject to PPE requirements and one hour for those not subject to PPE requirements for becoming </w:t>
      </w:r>
      <w:r w:rsidRPr="008B2CDD">
        <w:rPr>
          <w:rFonts w:asciiTheme="minorHAnsi" w:hAnsiTheme="minorHAnsi" w:cstheme="minorHAnsi"/>
          <w:szCs w:val="24"/>
        </w:rPr>
        <w:t xml:space="preserve">familiar with the requirements of the rule and developing an understanding of what actions are necessary to comply with the rule’s requirements. </w:t>
      </w:r>
    </w:p>
    <w:p w:rsidR="00F33193" w:rsidRPr="008B2CDD" w:rsidP="00F33193" w14:paraId="109A1394" w14:textId="77777777">
      <w:pPr>
        <w:rPr>
          <w:rFonts w:asciiTheme="minorHAnsi" w:hAnsiTheme="minorHAnsi" w:cstheme="minorHAnsi"/>
          <w:szCs w:val="24"/>
        </w:rPr>
      </w:pPr>
    </w:p>
    <w:p w:rsidR="00F33193" w:rsidRPr="008B2CDD" w:rsidP="00F33193" w14:paraId="01EDC94C" w14:textId="77777777">
      <w:pPr>
        <w:keepNext/>
        <w:rPr>
          <w:rFonts w:asciiTheme="minorHAnsi" w:hAnsiTheme="minorHAnsi" w:cstheme="minorHAnsi"/>
          <w:szCs w:val="24"/>
          <w:u w:val="single"/>
        </w:rPr>
      </w:pPr>
      <w:r w:rsidRPr="008B2CDD">
        <w:rPr>
          <w:rFonts w:asciiTheme="minorHAnsi" w:hAnsiTheme="minorHAnsi" w:cstheme="minorHAnsi"/>
          <w:szCs w:val="24"/>
          <w:u w:val="single"/>
        </w:rPr>
        <w:t>Export Notification Burden</w:t>
      </w:r>
    </w:p>
    <w:p w:rsidR="00F33193" w:rsidRPr="008B2CDD" w:rsidP="00F33193" w14:paraId="0DEACE53" w14:textId="36F0007E">
      <w:pPr>
        <w:pStyle w:val="NoSpacing"/>
        <w:rPr>
          <w:rFonts w:asciiTheme="minorHAnsi" w:hAnsiTheme="minorHAnsi" w:cstheme="minorHAnsi"/>
          <w:szCs w:val="24"/>
        </w:rPr>
      </w:pPr>
      <w:r w:rsidRPr="008B2CDD">
        <w:rPr>
          <w:rFonts w:asciiTheme="minorHAnsi" w:hAnsiTheme="minorHAnsi" w:cstheme="minorHAnsi"/>
          <w:szCs w:val="24"/>
        </w:rPr>
        <w:t xml:space="preserve">EPA is </w:t>
      </w:r>
      <w:r w:rsidRPr="008B2CDD" w:rsidR="00EE2B57">
        <w:rPr>
          <w:rFonts w:asciiTheme="minorHAnsi" w:hAnsiTheme="minorHAnsi" w:cstheme="minorHAnsi"/>
          <w:szCs w:val="24"/>
        </w:rPr>
        <w:t>requiring</w:t>
      </w:r>
      <w:r w:rsidRPr="008B2CDD">
        <w:rPr>
          <w:rFonts w:asciiTheme="minorHAnsi" w:hAnsiTheme="minorHAnsi" w:cstheme="minorHAnsi"/>
          <w:szCs w:val="24"/>
        </w:rPr>
        <w:t xml:space="preserve"> that all persons intending to export </w:t>
      </w:r>
      <w:r w:rsidRPr="008B2CDD" w:rsidR="009805AD">
        <w:rPr>
          <w:rFonts w:asciiTheme="minorHAnsi" w:hAnsiTheme="minorHAnsi" w:cstheme="minorHAnsi"/>
          <w:szCs w:val="24"/>
        </w:rPr>
        <w:t>d</w:t>
      </w:r>
      <w:r w:rsidRPr="008B2CDD">
        <w:rPr>
          <w:rFonts w:asciiTheme="minorHAnsi" w:hAnsiTheme="minorHAnsi" w:cstheme="minorHAnsi"/>
          <w:szCs w:val="24"/>
        </w:rPr>
        <w:t>ecaBDE</w:t>
      </w:r>
      <w:r w:rsidRPr="008B2CDD">
        <w:rPr>
          <w:rFonts w:asciiTheme="minorHAnsi" w:hAnsiTheme="minorHAnsi" w:cstheme="minorHAnsi"/>
          <w:szCs w:val="24"/>
        </w:rPr>
        <w:t xml:space="preserve"> or </w:t>
      </w:r>
      <w:r w:rsidRPr="008B2CDD" w:rsidR="009805AD">
        <w:rPr>
          <w:rFonts w:asciiTheme="minorHAnsi" w:hAnsiTheme="minorHAnsi" w:cstheme="minorHAnsi"/>
          <w:szCs w:val="24"/>
        </w:rPr>
        <w:t>d</w:t>
      </w:r>
      <w:r w:rsidRPr="008B2CDD">
        <w:rPr>
          <w:rFonts w:asciiTheme="minorHAnsi" w:hAnsiTheme="minorHAnsi" w:cstheme="minorHAnsi"/>
          <w:szCs w:val="24"/>
        </w:rPr>
        <w:t>ecaBDE</w:t>
      </w:r>
      <w:r w:rsidRPr="008B2CDD">
        <w:rPr>
          <w:rFonts w:asciiTheme="minorHAnsi" w:hAnsiTheme="minorHAnsi" w:cstheme="minorHAnsi"/>
          <w:szCs w:val="24"/>
        </w:rPr>
        <w:t>-containing wire and cable for nuclear power generation facilities be required to notify EPA under TSCA section 12(b). EPA estimates export notification will take approximately 13 hours in the first year of the rule</w:t>
      </w:r>
      <w:r w:rsidRPr="008B2CDD" w:rsidR="0041246D">
        <w:rPr>
          <w:rFonts w:asciiTheme="minorHAnsi" w:hAnsiTheme="minorHAnsi" w:cstheme="minorHAnsi"/>
          <w:szCs w:val="24"/>
        </w:rPr>
        <w:t xml:space="preserve"> for the one company </w:t>
      </w:r>
      <w:r w:rsidRPr="008B2CDD" w:rsidR="00154983">
        <w:rPr>
          <w:rFonts w:asciiTheme="minorHAnsi" w:hAnsiTheme="minorHAnsi" w:cstheme="minorHAnsi"/>
          <w:szCs w:val="24"/>
        </w:rPr>
        <w:t xml:space="preserve">estimated to be </w:t>
      </w:r>
      <w:r w:rsidRPr="008B2CDD" w:rsidR="0041246D">
        <w:rPr>
          <w:rFonts w:asciiTheme="minorHAnsi" w:hAnsiTheme="minorHAnsi" w:cstheme="minorHAnsi"/>
          <w:szCs w:val="24"/>
        </w:rPr>
        <w:t>subject to this requirement</w:t>
      </w:r>
      <w:r w:rsidRPr="008B2CDD">
        <w:rPr>
          <w:rFonts w:asciiTheme="minorHAnsi" w:hAnsiTheme="minorHAnsi" w:cstheme="minorHAnsi"/>
          <w:szCs w:val="24"/>
        </w:rPr>
        <w:t xml:space="preserve">. </w:t>
      </w:r>
    </w:p>
    <w:p w:rsidR="0055160A" w:rsidRPr="008B2CDD" w:rsidP="00F33193" w14:paraId="1C715C76" w14:textId="77777777">
      <w:pPr>
        <w:pStyle w:val="NoSpacing"/>
        <w:rPr>
          <w:rFonts w:asciiTheme="minorHAnsi" w:hAnsiTheme="minorHAnsi" w:cstheme="minorHAnsi"/>
          <w:szCs w:val="24"/>
        </w:rPr>
      </w:pPr>
    </w:p>
    <w:p w:rsidR="0055160A" w:rsidRPr="008B2CDD" w:rsidP="0055160A" w14:paraId="6F2700EA" w14:textId="77777777">
      <w:pPr>
        <w:keepNext/>
        <w:rPr>
          <w:rFonts w:asciiTheme="minorHAnsi" w:hAnsiTheme="minorHAnsi" w:cstheme="minorHAnsi"/>
          <w:szCs w:val="24"/>
          <w:u w:val="single"/>
        </w:rPr>
      </w:pPr>
      <w:r w:rsidRPr="008B2CDD">
        <w:rPr>
          <w:rFonts w:asciiTheme="minorHAnsi" w:hAnsiTheme="minorHAnsi" w:cstheme="minorHAnsi"/>
          <w:szCs w:val="24"/>
          <w:u w:val="single"/>
        </w:rPr>
        <w:t>Downstream Notification Burden</w:t>
      </w:r>
    </w:p>
    <w:p w:rsidR="0055160A" w:rsidRPr="008B2CDD" w:rsidP="0055160A" w14:paraId="2BA51957" w14:textId="478BB313">
      <w:pPr>
        <w:pStyle w:val="NoSpacing"/>
        <w:rPr>
          <w:rFonts w:asciiTheme="minorHAnsi" w:hAnsiTheme="minorHAnsi" w:cstheme="minorHAnsi"/>
          <w:szCs w:val="24"/>
        </w:rPr>
      </w:pPr>
      <w:r w:rsidRPr="008B2CDD">
        <w:rPr>
          <w:rFonts w:asciiTheme="minorHAnsi" w:hAnsiTheme="minorHAnsi" w:cstheme="minorHAnsi"/>
          <w:szCs w:val="24"/>
        </w:rPr>
        <w:t xml:space="preserve">There are no </w:t>
      </w:r>
      <w:r w:rsidRPr="008B2CDD" w:rsidR="00C40247">
        <w:rPr>
          <w:rFonts w:asciiTheme="minorHAnsi" w:hAnsiTheme="minorHAnsi" w:cstheme="minorHAnsi"/>
          <w:szCs w:val="24"/>
        </w:rPr>
        <w:t xml:space="preserve">downstream </w:t>
      </w:r>
      <w:r w:rsidRPr="008B2CDD">
        <w:rPr>
          <w:rFonts w:asciiTheme="minorHAnsi" w:hAnsiTheme="minorHAnsi" w:cstheme="minorHAnsi"/>
          <w:szCs w:val="24"/>
        </w:rPr>
        <w:t xml:space="preserve">notification requirements for firms using </w:t>
      </w:r>
      <w:r w:rsidRPr="008B2CDD">
        <w:rPr>
          <w:rFonts w:asciiTheme="minorHAnsi" w:hAnsiTheme="minorHAnsi" w:cstheme="minorHAnsi"/>
          <w:szCs w:val="24"/>
        </w:rPr>
        <w:t>decaBDE</w:t>
      </w:r>
      <w:r w:rsidRPr="008B2CDD">
        <w:rPr>
          <w:rFonts w:asciiTheme="minorHAnsi" w:hAnsiTheme="minorHAnsi" w:cstheme="minorHAnsi"/>
          <w:szCs w:val="24"/>
        </w:rPr>
        <w:t>.</w:t>
      </w:r>
    </w:p>
    <w:p w:rsidR="0055160A" w:rsidRPr="008B2CDD" w:rsidP="0055160A" w14:paraId="77C9D5E6" w14:textId="46768B8A">
      <w:pPr>
        <w:pStyle w:val="NoSpacing"/>
        <w:rPr>
          <w:rFonts w:asciiTheme="minorHAnsi" w:hAnsiTheme="minorHAnsi" w:cstheme="minorHAnsi"/>
          <w:szCs w:val="24"/>
        </w:rPr>
      </w:pPr>
    </w:p>
    <w:p w:rsidR="00F33193" w:rsidRPr="008B2CDD" w:rsidP="00F33193" w14:paraId="2A882907" w14:textId="77777777">
      <w:pPr>
        <w:rPr>
          <w:rFonts w:asciiTheme="minorHAnsi" w:hAnsiTheme="minorHAnsi" w:cstheme="minorHAnsi"/>
          <w:szCs w:val="24"/>
          <w:u w:val="single"/>
        </w:rPr>
      </w:pPr>
      <w:r w:rsidRPr="008B2CDD">
        <w:rPr>
          <w:rFonts w:asciiTheme="minorHAnsi" w:hAnsiTheme="minorHAnsi" w:cstheme="minorHAnsi"/>
          <w:szCs w:val="24"/>
          <w:u w:val="single"/>
        </w:rPr>
        <w:t>Recordkeeping Burden</w:t>
      </w:r>
    </w:p>
    <w:p w:rsidR="00F4437E" w:rsidRPr="008B2CDD" w:rsidP="00F4437E" w14:paraId="1DE64A61" w14:textId="77777777">
      <w:pPr>
        <w:pStyle w:val="BodyText"/>
        <w:rPr>
          <w:rFonts w:asciiTheme="minorHAnsi" w:hAnsiTheme="minorHAnsi" w:cstheme="minorHAnsi"/>
          <w:szCs w:val="24"/>
        </w:rPr>
      </w:pPr>
      <w:r w:rsidRPr="008B2CDD">
        <w:rPr>
          <w:rFonts w:asciiTheme="minorHAnsi" w:hAnsiTheme="minorHAnsi" w:cstheme="minorHAnsi"/>
          <w:szCs w:val="24"/>
        </w:rPr>
        <w:t xml:space="preserve">Manufacturers (including importers), processors, and </w:t>
      </w:r>
      <w:r w:rsidRPr="008B2CDD">
        <w:rPr>
          <w:rFonts w:asciiTheme="minorHAnsi" w:hAnsiTheme="minorHAnsi" w:cstheme="minorHAnsi"/>
          <w:color w:val="000000" w:themeColor="text1"/>
          <w:szCs w:val="24"/>
        </w:rPr>
        <w:t xml:space="preserve">distributors of the chemicals are required by the final rule to maintain, for a period of five years from the date the record is generated, </w:t>
      </w:r>
      <w:r w:rsidRPr="008B2CDD">
        <w:rPr>
          <w:rFonts w:asciiTheme="minorHAnsi" w:hAnsiTheme="minorHAnsi" w:cstheme="minorHAnsi"/>
          <w:szCs w:val="24"/>
        </w:rPr>
        <w:t xml:space="preserve">ordinary business records, such as </w:t>
      </w:r>
      <w:r w:rsidRPr="008B2CDD">
        <w:rPr>
          <w:rFonts w:asciiTheme="minorHAnsi" w:hAnsiTheme="minorHAnsi" w:cstheme="minorHAnsi"/>
          <w:color w:val="000000" w:themeColor="text1"/>
          <w:szCs w:val="24"/>
        </w:rPr>
        <w:t>bills of lading, invoices, or comparable documents related to compliance with this rule</w:t>
      </w:r>
      <w:r w:rsidRPr="008B2CDD">
        <w:rPr>
          <w:rFonts w:asciiTheme="minorHAnsi" w:hAnsiTheme="minorHAnsi" w:cstheme="minorHAnsi"/>
          <w:szCs w:val="24"/>
        </w:rPr>
        <w:t xml:space="preserve">. </w:t>
      </w:r>
    </w:p>
    <w:p w:rsidR="00F33193" w:rsidRPr="008B2CDD" w:rsidP="00F33193" w14:paraId="17DCE71E" w14:textId="7B9CDA56">
      <w:pPr>
        <w:pStyle w:val="BodyText"/>
        <w:spacing w:after="180"/>
        <w:rPr>
          <w:rFonts w:asciiTheme="minorHAnsi" w:hAnsiTheme="minorHAnsi" w:cstheme="minorHAnsi"/>
          <w:szCs w:val="24"/>
        </w:rPr>
      </w:pPr>
      <w:r w:rsidRPr="008B2CDD">
        <w:rPr>
          <w:rFonts w:asciiTheme="minorHAnsi" w:hAnsiTheme="minorHAnsi" w:cstheme="minorHAnsi"/>
          <w:szCs w:val="24"/>
        </w:rPr>
        <w:t xml:space="preserve">Under some conditions of use, this rule requires that companies provide respiratory and dermal PPE to workers. There are recordkeeping costs associated with PPE requirements, listed below. EPA estimates that PPE documentation will take small firms (less than 20 employees) </w:t>
      </w:r>
      <w:r w:rsidRPr="008B2CDD">
        <w:rPr>
          <w:rFonts w:asciiTheme="minorHAnsi" w:hAnsiTheme="minorHAnsi" w:cstheme="minorHAnsi"/>
          <w:szCs w:val="24"/>
        </w:rPr>
        <w:t>1 hour</w:t>
      </w:r>
      <w:r w:rsidRPr="008B2CDD">
        <w:rPr>
          <w:rFonts w:asciiTheme="minorHAnsi" w:hAnsiTheme="minorHAnsi" w:cstheme="minorHAnsi"/>
          <w:szCs w:val="24"/>
        </w:rPr>
        <w:t xml:space="preserve">, medium firms (20-499 employees) 4 hours, and large firms (more than 500 employees) 16 hours </w:t>
      </w:r>
      <w:r w:rsidRPr="008B2CDD" w:rsidR="00FD3D82">
        <w:rPr>
          <w:rFonts w:asciiTheme="minorHAnsi" w:hAnsiTheme="minorHAnsi" w:cstheme="minorHAnsi"/>
          <w:szCs w:val="24"/>
        </w:rPr>
        <w:t>in the first year of the rule</w:t>
      </w:r>
      <w:r w:rsidRPr="008B2CDD">
        <w:rPr>
          <w:rFonts w:asciiTheme="minorHAnsi" w:hAnsiTheme="minorHAnsi" w:cstheme="minorHAnsi"/>
          <w:szCs w:val="24"/>
        </w:rPr>
        <w:t>.</w:t>
      </w:r>
    </w:p>
    <w:p w:rsidR="00F33193" w:rsidRPr="008B2CDD" w:rsidP="00F33193" w14:paraId="109B3043" w14:textId="77777777">
      <w:pPr>
        <w:pStyle w:val="BodyText"/>
        <w:spacing w:after="180"/>
        <w:rPr>
          <w:rFonts w:asciiTheme="minorHAnsi" w:hAnsiTheme="minorHAnsi" w:cstheme="minorHAnsi"/>
          <w:b/>
          <w:szCs w:val="24"/>
        </w:rPr>
      </w:pPr>
      <w:r w:rsidRPr="008B2CDD">
        <w:rPr>
          <w:rFonts w:asciiTheme="minorHAnsi" w:hAnsiTheme="minorHAnsi" w:cstheme="minorHAnsi"/>
          <w:szCs w:val="24"/>
        </w:rPr>
        <w:t xml:space="preserve">The following must be documented according to the rule:  </w:t>
      </w:r>
    </w:p>
    <w:p w:rsidR="00F33193" w:rsidRPr="008B2CDD" w:rsidP="6529D8A4" w14:paraId="2C972876" w14:textId="6C3BE363">
      <w:pPr>
        <w:pStyle w:val="BodyText"/>
        <w:spacing w:after="180"/>
        <w:rPr>
          <w:rFonts w:asciiTheme="minorHAnsi" w:hAnsiTheme="minorHAnsi" w:cstheme="minorHAnsi"/>
          <w:b/>
          <w:bCs/>
          <w:szCs w:val="24"/>
        </w:rPr>
      </w:pPr>
      <w:r w:rsidRPr="008B2CDD">
        <w:rPr>
          <w:rFonts w:asciiTheme="minorHAnsi" w:hAnsiTheme="minorHAnsi" w:cstheme="minorHAnsi"/>
          <w:szCs w:val="24"/>
        </w:rPr>
        <w:t>(A) The name, workplace address, work shift, job classification, and work area of each person reasonably likely to directly handle the chemical (</w:t>
      </w:r>
      <w:r w:rsidRPr="008B2CDD" w:rsidR="250918AD">
        <w:rPr>
          <w:rFonts w:asciiTheme="minorHAnsi" w:hAnsiTheme="minorHAnsi" w:cstheme="minorHAnsi"/>
          <w:szCs w:val="24"/>
        </w:rPr>
        <w:t>d</w:t>
      </w:r>
      <w:r w:rsidRPr="008B2CDD">
        <w:rPr>
          <w:rFonts w:asciiTheme="minorHAnsi" w:hAnsiTheme="minorHAnsi" w:cstheme="minorHAnsi"/>
          <w:szCs w:val="24"/>
        </w:rPr>
        <w:t>ecaBDE</w:t>
      </w:r>
      <w:r w:rsidRPr="008B2CDD">
        <w:rPr>
          <w:rFonts w:asciiTheme="minorHAnsi" w:hAnsiTheme="minorHAnsi" w:cstheme="minorHAnsi"/>
          <w:szCs w:val="24"/>
        </w:rPr>
        <w:t>) or handle equipment or materials on which the chemical may present</w:t>
      </w:r>
      <w:r w:rsidRPr="008B2CDD" w:rsidR="000125C0">
        <w:rPr>
          <w:rFonts w:asciiTheme="minorHAnsi" w:hAnsiTheme="minorHAnsi" w:cstheme="minorHAnsi"/>
          <w:szCs w:val="24"/>
        </w:rPr>
        <w:t>,</w:t>
      </w:r>
      <w:r w:rsidRPr="008B2CDD">
        <w:rPr>
          <w:rFonts w:asciiTheme="minorHAnsi" w:hAnsiTheme="minorHAnsi" w:cstheme="minorHAnsi"/>
          <w:szCs w:val="24"/>
        </w:rPr>
        <w:t xml:space="preserve"> and the type of PPE selected to be worn by each of these persons;</w:t>
      </w:r>
    </w:p>
    <w:p w:rsidR="00F33193" w:rsidRPr="008B2CDD" w:rsidP="00F33193" w14:paraId="3DF7F5D8" w14:textId="76F63151">
      <w:pPr>
        <w:pStyle w:val="BodyText"/>
        <w:spacing w:after="180"/>
        <w:rPr>
          <w:rFonts w:asciiTheme="minorHAnsi" w:hAnsiTheme="minorHAnsi" w:cstheme="minorHAnsi"/>
          <w:b/>
          <w:szCs w:val="24"/>
        </w:rPr>
      </w:pPr>
      <w:r w:rsidRPr="008B2CDD">
        <w:rPr>
          <w:rFonts w:asciiTheme="minorHAnsi" w:hAnsiTheme="minorHAnsi" w:cstheme="minorHAnsi"/>
          <w:szCs w:val="24"/>
        </w:rPr>
        <w:t>(B) The basis for PPE selection (e.g., demonstration based on permeation testing or manufacturer specifications that each item of PPE selected provides an impervious barrier to prevent exposure during expected duration and conditions of exposure, including the likely combinations of chemical substances to which the PPE may be exposed in the work area)</w:t>
      </w:r>
      <w:r w:rsidRPr="008B2CDD" w:rsidR="00F22817">
        <w:rPr>
          <w:rFonts w:asciiTheme="minorHAnsi" w:hAnsiTheme="minorHAnsi" w:cstheme="minorHAnsi"/>
          <w:szCs w:val="24"/>
        </w:rPr>
        <w:t>;</w:t>
      </w:r>
    </w:p>
    <w:p w:rsidR="00F33193" w:rsidRPr="008B2CDD" w:rsidP="00F33193" w14:paraId="6C9F3FC9" w14:textId="19C13D07">
      <w:pPr>
        <w:pStyle w:val="BodyText"/>
        <w:spacing w:after="180"/>
        <w:rPr>
          <w:rFonts w:asciiTheme="minorHAnsi" w:hAnsiTheme="minorHAnsi" w:cstheme="minorHAnsi"/>
          <w:szCs w:val="24"/>
        </w:rPr>
      </w:pPr>
      <w:r w:rsidRPr="008B2CDD">
        <w:rPr>
          <w:rFonts w:asciiTheme="minorHAnsi" w:hAnsiTheme="minorHAnsi" w:cstheme="minorHAnsi"/>
          <w:szCs w:val="24"/>
        </w:rPr>
        <w:t>(C) Appropriately sized PPE and training on proper application, wear, and removal of PPE, and proper care/disposal of PPE</w:t>
      </w:r>
      <w:r w:rsidRPr="008B2CDD" w:rsidR="00F22817">
        <w:rPr>
          <w:rFonts w:asciiTheme="minorHAnsi" w:hAnsiTheme="minorHAnsi" w:cstheme="minorHAnsi"/>
          <w:szCs w:val="24"/>
        </w:rPr>
        <w:t>;</w:t>
      </w:r>
    </w:p>
    <w:p w:rsidR="00D6507C" w:rsidRPr="008B2CDD" w:rsidP="00D6507C" w14:paraId="558DE985" w14:textId="5906458D">
      <w:pPr>
        <w:pStyle w:val="BodyText"/>
        <w:spacing w:after="180"/>
        <w:rPr>
          <w:rStyle w:val="normaltextrun"/>
          <w:rFonts w:asciiTheme="minorHAnsi" w:hAnsiTheme="minorHAnsi" w:cstheme="minorHAnsi"/>
          <w:color w:val="000000"/>
          <w:szCs w:val="24"/>
          <w:shd w:val="clear" w:color="auto" w:fill="FFFFFF"/>
        </w:rPr>
      </w:pPr>
      <w:r w:rsidRPr="008B2CDD">
        <w:rPr>
          <w:rStyle w:val="normaltextrun"/>
          <w:rFonts w:asciiTheme="minorHAnsi" w:hAnsiTheme="minorHAnsi" w:cstheme="minorHAnsi"/>
          <w:color w:val="000000"/>
          <w:szCs w:val="24"/>
          <w:shd w:val="clear" w:color="auto" w:fill="FFFFFF"/>
        </w:rPr>
        <w:t xml:space="preserve">(D) The basis for the regulated </w:t>
      </w:r>
      <w:r w:rsidRPr="008B2CDD" w:rsidR="00901598">
        <w:rPr>
          <w:rStyle w:val="normaltextrun"/>
          <w:rFonts w:asciiTheme="minorHAnsi" w:hAnsiTheme="minorHAnsi" w:cstheme="minorHAnsi"/>
          <w:color w:val="000000"/>
          <w:szCs w:val="24"/>
          <w:shd w:val="clear" w:color="auto" w:fill="FFFFFF"/>
        </w:rPr>
        <w:t>area, including</w:t>
      </w:r>
      <w:r w:rsidRPr="008B2CDD">
        <w:rPr>
          <w:rStyle w:val="normaltextrun"/>
          <w:rFonts w:asciiTheme="minorHAnsi" w:hAnsiTheme="minorHAnsi" w:cstheme="minorHAnsi"/>
          <w:color w:val="000000"/>
          <w:szCs w:val="24"/>
          <w:shd w:val="clear" w:color="auto" w:fill="FFFFFF"/>
        </w:rPr>
        <w:t xml:space="preserve"> monitoring data and documentation of any </w:t>
      </w:r>
      <w:r w:rsidRPr="008B2CDD">
        <w:rPr>
          <w:rStyle w:val="findhit"/>
          <w:rFonts w:asciiTheme="minorHAnsi" w:hAnsiTheme="minorHAnsi" w:cstheme="minorHAnsi"/>
          <w:color w:val="000000"/>
          <w:szCs w:val="24"/>
        </w:rPr>
        <w:t>controls</w:t>
      </w:r>
      <w:r w:rsidRPr="008B2CDD">
        <w:rPr>
          <w:rStyle w:val="normaltextrun"/>
          <w:rFonts w:asciiTheme="minorHAnsi" w:hAnsiTheme="minorHAnsi" w:cstheme="minorHAnsi"/>
          <w:color w:val="000000"/>
          <w:szCs w:val="24"/>
          <w:shd w:val="clear" w:color="auto" w:fill="FFFFFF"/>
        </w:rPr>
        <w:t xml:space="preserve"> or combination of </w:t>
      </w:r>
      <w:r w:rsidRPr="008B2CDD">
        <w:rPr>
          <w:rStyle w:val="findhit"/>
          <w:rFonts w:asciiTheme="minorHAnsi" w:hAnsiTheme="minorHAnsi" w:cstheme="minorHAnsi"/>
          <w:color w:val="000000"/>
          <w:szCs w:val="24"/>
        </w:rPr>
        <w:t>controls</w:t>
      </w:r>
      <w:r w:rsidRPr="008B2CDD">
        <w:rPr>
          <w:rStyle w:val="normaltextrun"/>
          <w:rFonts w:asciiTheme="minorHAnsi" w:hAnsiTheme="minorHAnsi" w:cstheme="minorHAnsi"/>
          <w:color w:val="000000"/>
          <w:szCs w:val="24"/>
          <w:shd w:val="clear" w:color="auto" w:fill="FFFFFF"/>
        </w:rPr>
        <w:t xml:space="preserve"> that have reduced exposure to where airborne concentrations of PIP (3:1) can no longer reasonably be expected resulting in a smaller or no regulated area being established; and</w:t>
      </w:r>
    </w:p>
    <w:p w:rsidR="00901598" w:rsidRPr="008B2CDD" w:rsidP="00AF28CA" w14:paraId="6DF3814E" w14:textId="06DA90B7">
      <w:pPr>
        <w:pStyle w:val="NoSpacing"/>
        <w:rPr>
          <w:rFonts w:asciiTheme="minorHAnsi" w:hAnsiTheme="minorHAnsi" w:cstheme="minorHAnsi"/>
          <w:szCs w:val="24"/>
        </w:rPr>
      </w:pPr>
      <w:r w:rsidRPr="008B2CDD">
        <w:rPr>
          <w:rStyle w:val="normaltextrun"/>
          <w:rFonts w:asciiTheme="minorHAnsi" w:hAnsiTheme="minorHAnsi" w:cstheme="minorHAnsi"/>
          <w:color w:val="000000"/>
          <w:szCs w:val="24"/>
          <w:shd w:val="clear" w:color="auto" w:fill="FFFFFF"/>
        </w:rPr>
        <w:t>(E) Procedures to notify potentially exposed persons (employees and others in the workplace) about how they can access the exposure control plans, exposure monitoring records, PPE program implementation documentation, and respirator program documentation.</w:t>
      </w:r>
    </w:p>
    <w:p w:rsidR="00BB4106" w:rsidRPr="008B2CDD" w:rsidP="00B40758" w14:paraId="1C96FB3C" w14:textId="77777777">
      <w:pPr>
        <w:rPr>
          <w:rFonts w:asciiTheme="minorHAnsi" w:hAnsiTheme="minorHAnsi" w:cstheme="minorHAnsi"/>
          <w:szCs w:val="24"/>
        </w:rPr>
      </w:pPr>
    </w:p>
    <w:p w:rsidR="003D3F56" w:rsidRPr="008B2CDD" w:rsidP="00C03C00" w14:paraId="6E2EB1CA" w14:textId="4E2CCA77">
      <w:pPr>
        <w:rPr>
          <w:rFonts w:asciiTheme="minorHAnsi" w:hAnsiTheme="minorHAnsi" w:cstheme="minorHAnsi"/>
          <w:szCs w:val="24"/>
        </w:rPr>
      </w:pPr>
      <w:r w:rsidRPr="008B2CDD">
        <w:rPr>
          <w:rFonts w:asciiTheme="minorHAnsi" w:hAnsiTheme="minorHAnsi" w:cstheme="minorHAnsi"/>
          <w:i/>
          <w:iCs/>
          <w:szCs w:val="24"/>
          <w:u w:val="single"/>
        </w:rPr>
        <w:t xml:space="preserve">Estimated </w:t>
      </w:r>
      <w:r w:rsidRPr="008B2CDD" w:rsidR="00467CBE">
        <w:rPr>
          <w:rFonts w:asciiTheme="minorHAnsi" w:hAnsiTheme="minorHAnsi" w:cstheme="minorHAnsi"/>
          <w:i/>
          <w:iCs/>
          <w:szCs w:val="24"/>
          <w:u w:val="single"/>
        </w:rPr>
        <w:t>Annual IC Burden and Cost</w:t>
      </w:r>
    </w:p>
    <w:p w:rsidR="003D3F56" w:rsidRPr="008B2CDD" w:rsidP="003D3F56" w14:paraId="4766C331" w14:textId="3DA7872C">
      <w:pPr>
        <w:pStyle w:val="NoSpacing"/>
        <w:rPr>
          <w:rFonts w:asciiTheme="minorHAnsi" w:hAnsiTheme="minorHAnsi" w:cstheme="minorHAnsi"/>
          <w:szCs w:val="24"/>
        </w:rPr>
      </w:pPr>
      <w:r w:rsidRPr="008B2CDD">
        <w:rPr>
          <w:rFonts w:asciiTheme="minorHAnsi" w:hAnsiTheme="minorHAnsi" w:cstheme="minorHAnsi"/>
          <w:szCs w:val="24"/>
        </w:rPr>
        <w:t xml:space="preserve">EPA estimates that paperwork burden associated with rule requirements for </w:t>
      </w:r>
      <w:r w:rsidRPr="008B2CDD" w:rsidR="00B40758">
        <w:rPr>
          <w:rFonts w:asciiTheme="minorHAnsi" w:hAnsiTheme="minorHAnsi" w:cstheme="minorHAnsi"/>
          <w:szCs w:val="24"/>
        </w:rPr>
        <w:t>d</w:t>
      </w:r>
      <w:r w:rsidRPr="008B2CDD">
        <w:rPr>
          <w:rFonts w:asciiTheme="minorHAnsi" w:hAnsiTheme="minorHAnsi" w:cstheme="minorHAnsi"/>
          <w:szCs w:val="24"/>
        </w:rPr>
        <w:t>ecaBDE</w:t>
      </w:r>
      <w:r w:rsidRPr="008B2CDD">
        <w:rPr>
          <w:rFonts w:asciiTheme="minorHAnsi" w:hAnsiTheme="minorHAnsi" w:cstheme="minorHAnsi"/>
          <w:szCs w:val="24"/>
        </w:rPr>
        <w:t xml:space="preserve"> is </w:t>
      </w:r>
      <w:r w:rsidRPr="008B2CDD" w:rsidR="00EE2B57">
        <w:rPr>
          <w:rFonts w:asciiTheme="minorHAnsi" w:hAnsiTheme="minorHAnsi" w:cstheme="minorHAnsi"/>
          <w:szCs w:val="24"/>
        </w:rPr>
        <w:t>8</w:t>
      </w:r>
      <w:r w:rsidRPr="008B2CDD">
        <w:rPr>
          <w:rFonts w:asciiTheme="minorHAnsi" w:hAnsiTheme="minorHAnsi" w:cstheme="minorHAnsi"/>
          <w:szCs w:val="24"/>
        </w:rPr>
        <w:t xml:space="preserve"> hours per year, as shown in</w:t>
      </w:r>
      <w:r w:rsidRPr="008B2CDD" w:rsidR="0008231A">
        <w:rPr>
          <w:rFonts w:asciiTheme="minorHAnsi" w:hAnsiTheme="minorHAnsi" w:cstheme="minorHAnsi"/>
          <w:szCs w:val="24"/>
        </w:rPr>
        <w:t xml:space="preserve"> </w:t>
      </w:r>
      <w:r w:rsidRPr="008B2CDD" w:rsidR="0008231A">
        <w:rPr>
          <w:rFonts w:asciiTheme="minorHAnsi" w:hAnsiTheme="minorHAnsi" w:cstheme="minorHAnsi"/>
          <w:szCs w:val="24"/>
        </w:rPr>
        <w:fldChar w:fldCharType="begin"/>
      </w:r>
      <w:r w:rsidRPr="008B2CDD" w:rsidR="0008231A">
        <w:rPr>
          <w:rFonts w:asciiTheme="minorHAnsi" w:hAnsiTheme="minorHAnsi" w:cstheme="minorHAnsi"/>
          <w:szCs w:val="24"/>
        </w:rPr>
        <w:instrText xml:space="preserve"> REF _Ref138078402 \h  \* MERGEFORMAT </w:instrText>
      </w:r>
      <w:r w:rsidRPr="008B2CDD" w:rsidR="0008231A">
        <w:rPr>
          <w:rFonts w:asciiTheme="minorHAnsi" w:hAnsiTheme="minorHAnsi" w:cstheme="minorHAnsi"/>
          <w:szCs w:val="24"/>
        </w:rPr>
        <w:fldChar w:fldCharType="separate"/>
      </w:r>
      <w:r w:rsidRPr="008B2CDD" w:rsidR="0008231A">
        <w:rPr>
          <w:rFonts w:asciiTheme="minorHAnsi" w:hAnsiTheme="minorHAnsi" w:cstheme="minorHAnsi"/>
          <w:szCs w:val="24"/>
        </w:rPr>
        <w:t>Table 3</w:t>
      </w:r>
      <w:r w:rsidRPr="008B2CDD" w:rsidR="0008231A">
        <w:rPr>
          <w:rFonts w:asciiTheme="minorHAnsi" w:hAnsiTheme="minorHAnsi" w:cstheme="minorHAnsi"/>
          <w:szCs w:val="24"/>
        </w:rPr>
        <w:fldChar w:fldCharType="end"/>
      </w:r>
      <w:r w:rsidRPr="008B2CDD">
        <w:rPr>
          <w:rFonts w:asciiTheme="minorHAnsi" w:hAnsiTheme="minorHAnsi" w:cstheme="minorHAnsi"/>
          <w:szCs w:val="24"/>
        </w:rPr>
        <w:t>.</w:t>
      </w:r>
    </w:p>
    <w:p w:rsidR="008F5423" w:rsidRPr="008B2CDD" w:rsidP="003D3F56" w14:paraId="1992204B" w14:textId="77777777">
      <w:pPr>
        <w:pStyle w:val="NoSpacing"/>
        <w:rPr>
          <w:rFonts w:asciiTheme="minorHAnsi" w:hAnsiTheme="minorHAnsi" w:cstheme="minorHAnsi"/>
          <w:szCs w:val="24"/>
        </w:rPr>
      </w:pPr>
    </w:p>
    <w:tbl>
      <w:tblPr>
        <w:tblW w:w="0" w:type="auto"/>
        <w:tblInd w:w="108" w:type="dxa"/>
        <w:tblLayout w:type="fixed"/>
        <w:tblLook w:val="04A0"/>
      </w:tblPr>
      <w:tblGrid>
        <w:gridCol w:w="5957"/>
        <w:gridCol w:w="1733"/>
        <w:gridCol w:w="1472"/>
      </w:tblGrid>
      <w:tr w14:paraId="20721709" w14:textId="77777777" w:rsidTr="44F06B81">
        <w:tblPrEx>
          <w:tblW w:w="0" w:type="auto"/>
          <w:tblInd w:w="108" w:type="dxa"/>
          <w:tblLayout w:type="fixed"/>
          <w:tblLook w:val="04A0"/>
        </w:tblPrEx>
        <w:trPr>
          <w:trHeight w:val="250"/>
        </w:trPr>
        <w:tc>
          <w:tcPr>
            <w:tcW w:w="9162" w:type="dxa"/>
            <w:gridSpan w:val="3"/>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vAlign w:val="center"/>
          </w:tcPr>
          <w:p w:rsidR="008F5423" w:rsidRPr="008B2CDD" w:rsidP="003043C9" w14:paraId="48B34530" w14:textId="71C301EF">
            <w:pPr>
              <w:keepNext/>
              <w:jc w:val="center"/>
              <w:rPr>
                <w:rFonts w:eastAsia="Times New Roman" w:asciiTheme="minorHAnsi" w:hAnsiTheme="minorHAnsi" w:cstheme="minorHAnsi"/>
                <w:b/>
                <w:bCs/>
                <w:color w:val="000000"/>
                <w:szCs w:val="24"/>
              </w:rPr>
            </w:pPr>
            <w:bookmarkStart w:id="14" w:name="_Ref138078402"/>
            <w:bookmarkStart w:id="15" w:name="_Hlk39574646"/>
            <w:r w:rsidRPr="008B2CDD">
              <w:rPr>
                <w:rFonts w:eastAsia="Times New Roman" w:asciiTheme="minorHAnsi" w:hAnsiTheme="minorHAnsi" w:cstheme="minorHAnsi"/>
                <w:b/>
                <w:bCs/>
                <w:color w:val="000000"/>
                <w:szCs w:val="24"/>
              </w:rPr>
              <w:t xml:space="preserve">Table </w:t>
            </w:r>
            <w:r w:rsidRPr="008B2CDD">
              <w:rPr>
                <w:rFonts w:eastAsia="Times New Roman" w:asciiTheme="minorHAnsi" w:hAnsiTheme="minorHAnsi" w:cstheme="minorHAnsi"/>
                <w:b/>
                <w:bCs/>
                <w:color w:val="000000"/>
                <w:szCs w:val="24"/>
              </w:rPr>
              <w:fldChar w:fldCharType="begin"/>
            </w:r>
            <w:r w:rsidRPr="008B2CDD">
              <w:rPr>
                <w:rFonts w:eastAsia="Times New Roman" w:asciiTheme="minorHAnsi" w:hAnsiTheme="minorHAnsi" w:cstheme="minorHAnsi"/>
                <w:b/>
                <w:bCs/>
                <w:color w:val="000000"/>
                <w:szCs w:val="24"/>
              </w:rPr>
              <w:instrText xml:space="preserve"> SEQ Table \* ARABIC </w:instrText>
            </w:r>
            <w:r w:rsidRPr="008B2CDD">
              <w:rPr>
                <w:rFonts w:eastAsia="Times New Roman" w:asciiTheme="minorHAnsi" w:hAnsiTheme="minorHAnsi" w:cstheme="minorHAnsi"/>
                <w:b/>
                <w:bCs/>
                <w:color w:val="000000"/>
                <w:szCs w:val="24"/>
              </w:rPr>
              <w:fldChar w:fldCharType="separate"/>
            </w:r>
            <w:r w:rsidRPr="008B2CDD" w:rsidR="004D237C">
              <w:rPr>
                <w:rFonts w:eastAsia="Times New Roman" w:asciiTheme="minorHAnsi" w:hAnsiTheme="minorHAnsi" w:cstheme="minorHAnsi"/>
                <w:b/>
                <w:bCs/>
                <w:noProof/>
                <w:color w:val="000000"/>
                <w:szCs w:val="24"/>
              </w:rPr>
              <w:t>3</w:t>
            </w:r>
            <w:r w:rsidRPr="008B2CDD">
              <w:rPr>
                <w:rFonts w:eastAsia="Times New Roman" w:asciiTheme="minorHAnsi" w:hAnsiTheme="minorHAnsi" w:cstheme="minorHAnsi"/>
                <w:b/>
                <w:bCs/>
                <w:color w:val="000000"/>
                <w:szCs w:val="24"/>
              </w:rPr>
              <w:fldChar w:fldCharType="end"/>
            </w:r>
            <w:bookmarkEnd w:id="14"/>
            <w:r w:rsidRPr="008B2CDD">
              <w:rPr>
                <w:rFonts w:eastAsia="Times New Roman" w:asciiTheme="minorHAnsi" w:hAnsiTheme="minorHAnsi" w:cstheme="minorHAnsi"/>
                <w:b/>
                <w:bCs/>
                <w:color w:val="000000"/>
                <w:szCs w:val="24"/>
              </w:rPr>
              <w:t xml:space="preserve">: IC Estimates for </w:t>
            </w:r>
            <w:r w:rsidRPr="008B2CDD">
              <w:rPr>
                <w:rFonts w:eastAsia="Times New Roman" w:asciiTheme="minorHAnsi" w:hAnsiTheme="minorHAnsi" w:cstheme="minorHAnsi"/>
                <w:b/>
                <w:bCs/>
                <w:color w:val="000000"/>
                <w:szCs w:val="24"/>
              </w:rPr>
              <w:t>DecaBDE</w:t>
            </w:r>
          </w:p>
        </w:tc>
      </w:tr>
      <w:bookmarkEnd w:id="15"/>
      <w:tr w14:paraId="2330BDE4" w14:textId="77777777" w:rsidTr="44F06B81">
        <w:tblPrEx>
          <w:tblW w:w="0" w:type="auto"/>
          <w:tblInd w:w="108" w:type="dxa"/>
          <w:tblLayout w:type="fixed"/>
          <w:tblLook w:val="04A0"/>
        </w:tblPrEx>
        <w:trPr>
          <w:trHeight w:val="250"/>
        </w:trPr>
        <w:tc>
          <w:tcPr>
            <w:tcW w:w="595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3D3F56" w:rsidRPr="008B2CDD" w:rsidP="00534DA6" w14:paraId="547225B7" w14:textId="179FE39B">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 xml:space="preserve">IC </w:t>
            </w:r>
            <w:r w:rsidRPr="008B2CDD" w:rsidR="00FD5A9A">
              <w:rPr>
                <w:rFonts w:eastAsia="Times New Roman" w:asciiTheme="minorHAnsi" w:hAnsiTheme="minorHAnsi" w:cstheme="minorHAnsi"/>
                <w:b/>
                <w:bCs/>
                <w:color w:val="000000"/>
                <w:szCs w:val="24"/>
              </w:rPr>
              <w:t>Calculation</w:t>
            </w:r>
            <w:r w:rsidRPr="008B2CDD">
              <w:rPr>
                <w:rFonts w:eastAsia="Times New Roman" w:asciiTheme="minorHAnsi" w:hAnsiTheme="minorHAnsi" w:cstheme="minorHAnsi"/>
                <w:b/>
                <w:bCs/>
                <w:color w:val="000000"/>
                <w:szCs w:val="24"/>
              </w:rPr>
              <w:t>:</w:t>
            </w:r>
          </w:p>
        </w:tc>
        <w:tc>
          <w:tcPr>
            <w:tcW w:w="3205" w:type="dxa"/>
            <w:gridSpan w:val="2"/>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3D3F56" w:rsidRPr="008B2CDD" w:rsidP="00534DA6" w14:paraId="3A1DC58E"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 xml:space="preserve">EPA’s </w:t>
            </w:r>
            <w:r w:rsidRPr="008B2CDD">
              <w:rPr>
                <w:rFonts w:eastAsia="Times New Roman" w:asciiTheme="minorHAnsi" w:hAnsiTheme="minorHAnsi" w:cstheme="minorHAnsi"/>
                <w:b/>
                <w:bCs/>
                <w:color w:val="000000"/>
                <w:szCs w:val="24"/>
              </w:rPr>
              <w:t>Estimates:</w:t>
            </w:r>
            <w:r w:rsidRPr="008B2CDD">
              <w:rPr>
                <w:rFonts w:eastAsia="Times New Roman" w:asciiTheme="minorHAnsi" w:hAnsiTheme="minorHAnsi" w:cstheme="minorHAnsi"/>
                <w:b/>
                <w:bCs/>
                <w:color w:val="000000"/>
                <w:szCs w:val="24"/>
                <w:vertAlign w:val="superscript"/>
              </w:rPr>
              <w:t>a</w:t>
            </w:r>
          </w:p>
        </w:tc>
      </w:tr>
      <w:tr w14:paraId="133366BB" w14:textId="77777777" w:rsidTr="44F06B81">
        <w:tblPrEx>
          <w:tblW w:w="0" w:type="auto"/>
          <w:tblInd w:w="108" w:type="dxa"/>
          <w:tblLayout w:type="fixed"/>
          <w:tblLook w:val="04A0"/>
        </w:tblPrEx>
        <w:trPr>
          <w:trHeight w:val="133"/>
        </w:trPr>
        <w:tc>
          <w:tcPr>
            <w:tcW w:w="9162" w:type="dxa"/>
            <w:gridSpan w:val="3"/>
            <w:tcBorders>
              <w:top w:val="single" w:sz="8"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rsidR="003D3F56" w:rsidRPr="008B2CDD" w:rsidP="00534DA6" w14:paraId="1FF19D7C"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1.  Responses:</w:t>
            </w:r>
          </w:p>
        </w:tc>
      </w:tr>
      <w:tr w14:paraId="6CAD2C99" w14:textId="77777777" w:rsidTr="44F06B81">
        <w:tblPrEx>
          <w:tblW w:w="0" w:type="auto"/>
          <w:tblInd w:w="108" w:type="dxa"/>
          <w:tblLayout w:type="fixed"/>
          <w:tblLook w:val="04A0"/>
        </w:tblPrEx>
        <w:trPr>
          <w:trHeight w:val="242"/>
        </w:trPr>
        <w:tc>
          <w:tcPr>
            <w:tcW w:w="5957" w:type="dxa"/>
            <w:tcBorders>
              <w:top w:val="nil"/>
              <w:left w:val="single" w:sz="8" w:space="0" w:color="auto"/>
              <w:bottom w:val="single" w:sz="4" w:space="0" w:color="auto"/>
              <w:right w:val="single" w:sz="4" w:space="0" w:color="auto"/>
            </w:tcBorders>
            <w:vAlign w:val="center"/>
          </w:tcPr>
          <w:p w:rsidR="003043C9" w:rsidRPr="008B2CDD" w:rsidP="003043C9" w14:paraId="35F8CEC1" w14:textId="05E2A864">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 xml:space="preserve">Total Number of Respondents </w:t>
            </w:r>
          </w:p>
        </w:tc>
        <w:tc>
          <w:tcPr>
            <w:tcW w:w="3205" w:type="dxa"/>
            <w:gridSpan w:val="2"/>
            <w:tcBorders>
              <w:top w:val="single" w:sz="4" w:space="0" w:color="auto"/>
              <w:left w:val="nil"/>
              <w:bottom w:val="single" w:sz="4" w:space="0" w:color="auto"/>
              <w:right w:val="single" w:sz="8" w:space="0" w:color="000000" w:themeColor="text1"/>
            </w:tcBorders>
            <w:vAlign w:val="center"/>
          </w:tcPr>
          <w:p w:rsidR="003043C9" w:rsidRPr="008B2CDD" w:rsidP="003043C9" w14:paraId="25208C25" w14:textId="352B476F">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w:t>
            </w:r>
          </w:p>
        </w:tc>
      </w:tr>
      <w:tr w14:paraId="70A709C8" w14:textId="77777777" w:rsidTr="00537081">
        <w:tblPrEx>
          <w:tblW w:w="0" w:type="auto"/>
          <w:tblInd w:w="108" w:type="dxa"/>
          <w:tblLayout w:type="fixed"/>
          <w:tblLook w:val="04A0"/>
        </w:tblPrEx>
        <w:trPr>
          <w:trHeight w:val="242"/>
        </w:trPr>
        <w:tc>
          <w:tcPr>
            <w:tcW w:w="5957" w:type="dxa"/>
            <w:tcBorders>
              <w:top w:val="nil"/>
              <w:left w:val="single" w:sz="8" w:space="0" w:color="auto"/>
              <w:bottom w:val="single" w:sz="4" w:space="0" w:color="auto"/>
              <w:right w:val="single" w:sz="4" w:space="0" w:color="auto"/>
            </w:tcBorders>
            <w:vAlign w:val="center"/>
            <w:hideMark/>
          </w:tcPr>
          <w:p w:rsidR="003043C9" w:rsidRPr="008B2CDD" w:rsidP="003043C9" w14:paraId="4A94DC86"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Number of Responses (chemicals) per Respondent</w:t>
            </w:r>
          </w:p>
        </w:tc>
        <w:tc>
          <w:tcPr>
            <w:tcW w:w="3205" w:type="dxa"/>
            <w:gridSpan w:val="2"/>
            <w:tcBorders>
              <w:top w:val="single" w:sz="4" w:space="0" w:color="auto"/>
              <w:left w:val="nil"/>
              <w:bottom w:val="single" w:sz="4" w:space="0" w:color="auto"/>
              <w:right w:val="single" w:sz="8" w:space="0" w:color="000000" w:themeColor="text1"/>
            </w:tcBorders>
            <w:vAlign w:val="center"/>
          </w:tcPr>
          <w:p w:rsidR="003043C9" w:rsidRPr="008B2CDD" w:rsidP="003043C9" w14:paraId="4BDCCCBB" w14:textId="13877020">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1</w:t>
            </w:r>
          </w:p>
        </w:tc>
      </w:tr>
      <w:tr w14:paraId="33164C42" w14:textId="77777777" w:rsidTr="00537081">
        <w:tblPrEx>
          <w:tblW w:w="0" w:type="auto"/>
          <w:tblInd w:w="108" w:type="dxa"/>
          <w:tblLayout w:type="fixed"/>
          <w:tblLook w:val="04A0"/>
        </w:tblPrEx>
        <w:trPr>
          <w:trHeight w:val="260"/>
        </w:trPr>
        <w:tc>
          <w:tcPr>
            <w:tcW w:w="5957" w:type="dxa"/>
            <w:tcBorders>
              <w:top w:val="nil"/>
              <w:left w:val="single" w:sz="8" w:space="0" w:color="auto"/>
              <w:bottom w:val="single" w:sz="4" w:space="0" w:color="auto"/>
              <w:right w:val="single" w:sz="4" w:space="0" w:color="auto"/>
            </w:tcBorders>
            <w:vAlign w:val="center"/>
            <w:hideMark/>
          </w:tcPr>
          <w:p w:rsidR="003043C9" w:rsidRPr="008B2CDD" w:rsidP="003043C9" w14:paraId="532F346B"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Time Period for Each Response</w:t>
            </w:r>
          </w:p>
        </w:tc>
        <w:tc>
          <w:tcPr>
            <w:tcW w:w="3205" w:type="dxa"/>
            <w:gridSpan w:val="2"/>
            <w:tcBorders>
              <w:top w:val="single" w:sz="4" w:space="0" w:color="auto"/>
              <w:left w:val="nil"/>
              <w:bottom w:val="single" w:sz="4" w:space="0" w:color="auto"/>
              <w:right w:val="single" w:sz="8" w:space="0" w:color="000000" w:themeColor="text1"/>
            </w:tcBorders>
            <w:vAlign w:val="center"/>
          </w:tcPr>
          <w:p w:rsidR="003043C9" w:rsidRPr="008B2CDD" w:rsidP="003043C9" w14:paraId="54FAC2F6" w14:textId="4DE5256F">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On occasion</w:t>
            </w:r>
          </w:p>
        </w:tc>
      </w:tr>
      <w:tr w14:paraId="5D59B2FB" w14:textId="77777777" w:rsidTr="00537081">
        <w:tblPrEx>
          <w:tblW w:w="0" w:type="auto"/>
          <w:tblInd w:w="108" w:type="dxa"/>
          <w:tblLayout w:type="fixed"/>
          <w:tblLook w:val="04A0"/>
        </w:tblPrEx>
        <w:trPr>
          <w:trHeight w:val="170"/>
        </w:trPr>
        <w:tc>
          <w:tcPr>
            <w:tcW w:w="5957" w:type="dxa"/>
            <w:tcBorders>
              <w:top w:val="nil"/>
              <w:left w:val="single" w:sz="8" w:space="0" w:color="auto"/>
              <w:bottom w:val="single" w:sz="4" w:space="0" w:color="auto"/>
              <w:right w:val="single" w:sz="4" w:space="0" w:color="auto"/>
            </w:tcBorders>
            <w:vAlign w:val="center"/>
            <w:hideMark/>
          </w:tcPr>
          <w:p w:rsidR="003043C9" w:rsidRPr="008B2CDD" w:rsidP="003043C9" w14:paraId="7978413C"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Annual Frequency (times per year, per respondent)</w:t>
            </w:r>
          </w:p>
        </w:tc>
        <w:tc>
          <w:tcPr>
            <w:tcW w:w="3205" w:type="dxa"/>
            <w:gridSpan w:val="2"/>
            <w:tcBorders>
              <w:top w:val="single" w:sz="4" w:space="0" w:color="auto"/>
              <w:left w:val="nil"/>
              <w:bottom w:val="single" w:sz="4" w:space="0" w:color="auto"/>
              <w:right w:val="single" w:sz="8" w:space="0" w:color="000000" w:themeColor="text1"/>
            </w:tcBorders>
            <w:vAlign w:val="center"/>
          </w:tcPr>
          <w:p w:rsidR="003043C9" w:rsidRPr="008B2CDD" w:rsidP="003043C9" w14:paraId="156BA305" w14:textId="47775E64">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1</w:t>
            </w:r>
          </w:p>
        </w:tc>
      </w:tr>
      <w:tr w14:paraId="145D7E97" w14:textId="77777777" w:rsidTr="44F06B81">
        <w:tblPrEx>
          <w:tblW w:w="0" w:type="auto"/>
          <w:tblInd w:w="108" w:type="dxa"/>
          <w:tblLayout w:type="fixed"/>
          <w:tblLook w:val="04A0"/>
        </w:tblPrEx>
        <w:trPr>
          <w:trHeight w:val="197"/>
        </w:trPr>
        <w:tc>
          <w:tcPr>
            <w:tcW w:w="5957" w:type="dxa"/>
            <w:tcBorders>
              <w:top w:val="nil"/>
              <w:left w:val="single" w:sz="8" w:space="0" w:color="auto"/>
              <w:bottom w:val="single" w:sz="4" w:space="0" w:color="auto"/>
              <w:right w:val="single" w:sz="4" w:space="0" w:color="auto"/>
            </w:tcBorders>
            <w:vAlign w:val="center"/>
            <w:hideMark/>
          </w:tcPr>
          <w:p w:rsidR="003043C9" w:rsidRPr="008B2CDD" w:rsidP="003043C9" w14:paraId="553441EA"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 xml:space="preserve">Annual Number of </w:t>
            </w:r>
            <w:r w:rsidRPr="008B2CDD">
              <w:rPr>
                <w:rFonts w:eastAsia="Times New Roman" w:asciiTheme="minorHAnsi" w:hAnsiTheme="minorHAnsi" w:cstheme="minorHAnsi"/>
                <w:b/>
                <w:bCs/>
                <w:color w:val="000000"/>
                <w:szCs w:val="24"/>
              </w:rPr>
              <w:t>Responses</w:t>
            </w:r>
            <w:r w:rsidRPr="008B2CDD">
              <w:rPr>
                <w:rFonts w:eastAsia="Times New Roman" w:asciiTheme="minorHAnsi" w:hAnsiTheme="minorHAnsi" w:cstheme="minorHAnsi"/>
                <w:b/>
                <w:bCs/>
                <w:color w:val="000000"/>
                <w:szCs w:val="24"/>
                <w:vertAlign w:val="superscript"/>
              </w:rPr>
              <w:t>b</w:t>
            </w:r>
          </w:p>
        </w:tc>
        <w:tc>
          <w:tcPr>
            <w:tcW w:w="3205" w:type="dxa"/>
            <w:gridSpan w:val="2"/>
            <w:tcBorders>
              <w:top w:val="single" w:sz="4" w:space="0" w:color="auto"/>
              <w:left w:val="nil"/>
              <w:bottom w:val="single" w:sz="4" w:space="0" w:color="auto"/>
              <w:right w:val="single" w:sz="8" w:space="0" w:color="000000" w:themeColor="text1"/>
            </w:tcBorders>
            <w:vAlign w:val="center"/>
            <w:hideMark/>
          </w:tcPr>
          <w:p w:rsidR="003043C9" w:rsidRPr="008B2CDD" w:rsidP="003043C9" w14:paraId="50D19C14" w14:textId="6810E024">
            <w:pPr>
              <w:keepNext/>
              <w:jc w:val="right"/>
              <w:rPr>
                <w:rFonts w:eastAsia="Times New Roman" w:asciiTheme="minorHAnsi" w:hAnsiTheme="minorHAnsi" w:cstheme="minorHAnsi"/>
                <w:b/>
                <w:bCs/>
                <w:color w:val="000000"/>
                <w:szCs w:val="24"/>
              </w:rPr>
            </w:pPr>
            <w:r w:rsidRPr="008B2CDD">
              <w:rPr>
                <w:rFonts w:asciiTheme="minorHAnsi" w:hAnsiTheme="minorHAnsi" w:cstheme="minorHAnsi"/>
                <w:b/>
                <w:bCs/>
                <w:color w:val="000000"/>
                <w:szCs w:val="24"/>
              </w:rPr>
              <w:t>2</w:t>
            </w:r>
          </w:p>
        </w:tc>
      </w:tr>
      <w:tr w14:paraId="3ABE0196" w14:textId="77777777" w:rsidTr="44F06B81">
        <w:tblPrEx>
          <w:tblW w:w="0" w:type="auto"/>
          <w:tblInd w:w="108" w:type="dxa"/>
          <w:tblLayout w:type="fixed"/>
          <w:tblLook w:val="04A0"/>
        </w:tblPrEx>
        <w:trPr>
          <w:trHeight w:val="98"/>
        </w:trPr>
        <w:tc>
          <w:tcPr>
            <w:tcW w:w="9162" w:type="dxa"/>
            <w:gridSpan w:val="3"/>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rsidR="003D3F56" w:rsidRPr="008B2CDD" w:rsidP="00534DA6" w14:paraId="61CE19BB"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2.  Burden Hours:</w:t>
            </w:r>
          </w:p>
        </w:tc>
      </w:tr>
      <w:tr w14:paraId="3FDBA950" w14:textId="77777777" w:rsidTr="44F06B81">
        <w:tblPrEx>
          <w:tblW w:w="0" w:type="auto"/>
          <w:tblInd w:w="108" w:type="dxa"/>
          <w:tblLayout w:type="fixed"/>
          <w:tblLook w:val="04A0"/>
        </w:tblPrEx>
        <w:trPr>
          <w:trHeight w:val="395"/>
        </w:trPr>
        <w:tc>
          <w:tcPr>
            <w:tcW w:w="5957"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rsidR="00730582" w:rsidRPr="008B2CDD" w:rsidP="00534DA6" w14:paraId="5972A5A3" w14:textId="63610D22">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Activities</w:t>
            </w:r>
          </w:p>
        </w:tc>
        <w:tc>
          <w:tcPr>
            <w:tcW w:w="1733" w:type="dxa"/>
            <w:tcBorders>
              <w:top w:val="nil"/>
              <w:left w:val="nil"/>
              <w:bottom w:val="single" w:sz="4" w:space="0" w:color="auto"/>
              <w:right w:val="single" w:sz="4" w:space="0" w:color="auto"/>
            </w:tcBorders>
            <w:shd w:val="clear" w:color="auto" w:fill="BFBFBF" w:themeFill="background1" w:themeFillShade="BF"/>
            <w:vAlign w:val="center"/>
            <w:hideMark/>
          </w:tcPr>
          <w:p w:rsidR="00730582" w:rsidRPr="008B2CDD" w:rsidP="00534DA6" w14:paraId="1E494625" w14:textId="3D7B2CBF">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 xml:space="preserve">Hour per </w:t>
            </w:r>
            <w:r w:rsidRPr="008B2CDD">
              <w:rPr>
                <w:rFonts w:eastAsia="Times New Roman" w:asciiTheme="minorHAnsi" w:hAnsiTheme="minorHAnsi" w:cstheme="minorHAnsi"/>
                <w:b/>
                <w:bCs/>
                <w:color w:val="000000"/>
                <w:szCs w:val="24"/>
              </w:rPr>
              <w:t>Response</w:t>
            </w:r>
            <w:r w:rsidRPr="008B2CDD" w:rsidR="00BD6FAC">
              <w:rPr>
                <w:rFonts w:eastAsia="Times New Roman" w:asciiTheme="minorHAnsi" w:hAnsiTheme="minorHAnsi" w:cstheme="minorHAnsi"/>
                <w:b/>
                <w:bCs/>
                <w:color w:val="000000"/>
                <w:szCs w:val="24"/>
                <w:vertAlign w:val="superscript"/>
              </w:rPr>
              <w:t>b</w:t>
            </w:r>
          </w:p>
        </w:tc>
        <w:tc>
          <w:tcPr>
            <w:tcW w:w="1472" w:type="dxa"/>
            <w:tcBorders>
              <w:top w:val="nil"/>
              <w:left w:val="nil"/>
              <w:bottom w:val="single" w:sz="4" w:space="0" w:color="auto"/>
              <w:right w:val="single" w:sz="8" w:space="0" w:color="auto"/>
            </w:tcBorders>
            <w:shd w:val="clear" w:color="auto" w:fill="BFBFBF" w:themeFill="background1" w:themeFillShade="BF"/>
            <w:vAlign w:val="center"/>
            <w:hideMark/>
          </w:tcPr>
          <w:p w:rsidR="00730582" w:rsidRPr="008B2CDD" w:rsidP="00534DA6" w14:paraId="7C14AA71"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Annual Hour Burden</w:t>
            </w:r>
          </w:p>
        </w:tc>
      </w:tr>
      <w:tr w14:paraId="5961ED9E" w14:textId="77777777" w:rsidTr="44F06B81">
        <w:tblPrEx>
          <w:tblW w:w="0" w:type="auto"/>
          <w:tblInd w:w="108" w:type="dxa"/>
          <w:tblLayout w:type="fixed"/>
          <w:tblLook w:val="04A0"/>
        </w:tblPrEx>
        <w:trPr>
          <w:trHeight w:val="260"/>
        </w:trPr>
        <w:tc>
          <w:tcPr>
            <w:tcW w:w="5957" w:type="dxa"/>
            <w:tcBorders>
              <w:top w:val="nil"/>
              <w:left w:val="single" w:sz="8" w:space="0" w:color="auto"/>
              <w:bottom w:val="single" w:sz="4" w:space="0" w:color="auto"/>
              <w:right w:val="single" w:sz="4" w:space="0" w:color="auto"/>
            </w:tcBorders>
            <w:vAlign w:val="center"/>
            <w:hideMark/>
          </w:tcPr>
          <w:p w:rsidR="003043C9" w:rsidRPr="008B2CDD" w:rsidP="003043C9" w14:paraId="0689BD60" w14:textId="6A73A79B">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Reporting (Rule Familiarization)</w:t>
            </w:r>
          </w:p>
        </w:tc>
        <w:tc>
          <w:tcPr>
            <w:tcW w:w="1733" w:type="dxa"/>
            <w:tcBorders>
              <w:top w:val="nil"/>
              <w:left w:val="nil"/>
              <w:bottom w:val="single" w:sz="4" w:space="0" w:color="auto"/>
              <w:right w:val="single" w:sz="4" w:space="0" w:color="auto"/>
            </w:tcBorders>
            <w:vAlign w:val="center"/>
            <w:hideMark/>
          </w:tcPr>
          <w:p w:rsidR="003043C9" w:rsidRPr="008B2CDD" w:rsidP="003043C9" w14:paraId="6D32AE44" w14:textId="71F1E00A">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1.0</w:t>
            </w:r>
          </w:p>
        </w:tc>
        <w:tc>
          <w:tcPr>
            <w:tcW w:w="1472" w:type="dxa"/>
            <w:tcBorders>
              <w:top w:val="nil"/>
              <w:left w:val="nil"/>
              <w:bottom w:val="single" w:sz="4" w:space="0" w:color="auto"/>
              <w:right w:val="single" w:sz="8" w:space="0" w:color="auto"/>
            </w:tcBorders>
            <w:vAlign w:val="center"/>
            <w:hideMark/>
          </w:tcPr>
          <w:p w:rsidR="003043C9" w:rsidRPr="008B2CDD" w:rsidP="003043C9" w14:paraId="4C544EDA" w14:textId="672CCDB3">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w:t>
            </w:r>
          </w:p>
        </w:tc>
      </w:tr>
      <w:tr w14:paraId="45FD2922" w14:textId="77777777" w:rsidTr="44F06B81">
        <w:tblPrEx>
          <w:tblW w:w="0" w:type="auto"/>
          <w:tblInd w:w="108" w:type="dxa"/>
          <w:tblLayout w:type="fixed"/>
          <w:tblLook w:val="04A0"/>
        </w:tblPrEx>
        <w:trPr>
          <w:trHeight w:val="315"/>
        </w:trPr>
        <w:tc>
          <w:tcPr>
            <w:tcW w:w="5957" w:type="dxa"/>
            <w:tcBorders>
              <w:top w:val="nil"/>
              <w:left w:val="single" w:sz="8" w:space="0" w:color="auto"/>
              <w:bottom w:val="single" w:sz="4" w:space="0" w:color="auto"/>
              <w:right w:val="single" w:sz="4" w:space="0" w:color="auto"/>
            </w:tcBorders>
            <w:vAlign w:val="center"/>
            <w:hideMark/>
          </w:tcPr>
          <w:p w:rsidR="003043C9" w:rsidRPr="008B2CDD" w:rsidP="003043C9" w14:paraId="2F4CC0D3" w14:textId="3CDC45C9">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Third-Party Disclosure (Export Notification)</w:t>
            </w:r>
          </w:p>
        </w:tc>
        <w:tc>
          <w:tcPr>
            <w:tcW w:w="1733" w:type="dxa"/>
            <w:tcBorders>
              <w:top w:val="nil"/>
              <w:left w:val="nil"/>
              <w:bottom w:val="single" w:sz="4" w:space="0" w:color="auto"/>
              <w:right w:val="single" w:sz="4" w:space="0" w:color="auto"/>
            </w:tcBorders>
            <w:vAlign w:val="center"/>
            <w:hideMark/>
          </w:tcPr>
          <w:p w:rsidR="003043C9" w:rsidRPr="008B2CDD" w:rsidP="003043C9" w14:paraId="2E8E3D10" w14:textId="696E103A">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4.2</w:t>
            </w:r>
          </w:p>
        </w:tc>
        <w:tc>
          <w:tcPr>
            <w:tcW w:w="1472" w:type="dxa"/>
            <w:tcBorders>
              <w:top w:val="nil"/>
              <w:left w:val="nil"/>
              <w:bottom w:val="single" w:sz="4" w:space="0" w:color="auto"/>
              <w:right w:val="single" w:sz="8" w:space="0" w:color="auto"/>
            </w:tcBorders>
            <w:vAlign w:val="center"/>
            <w:hideMark/>
          </w:tcPr>
          <w:p w:rsidR="003043C9" w:rsidRPr="008B2CDD" w:rsidP="003043C9" w14:paraId="21C9638F" w14:textId="3E71639A">
            <w:pPr>
              <w:keepNext/>
              <w:jc w:val="righ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4</w:t>
            </w:r>
          </w:p>
        </w:tc>
      </w:tr>
      <w:tr w14:paraId="2E90EE5B" w14:textId="77777777" w:rsidTr="44F06B81">
        <w:tblPrEx>
          <w:tblW w:w="0" w:type="auto"/>
          <w:tblInd w:w="108" w:type="dxa"/>
          <w:tblLayout w:type="fixed"/>
          <w:tblLook w:val="04A0"/>
        </w:tblPrEx>
        <w:trPr>
          <w:trHeight w:val="152"/>
        </w:trPr>
        <w:tc>
          <w:tcPr>
            <w:tcW w:w="5957" w:type="dxa"/>
            <w:tcBorders>
              <w:top w:val="nil"/>
              <w:left w:val="single" w:sz="8" w:space="0" w:color="auto"/>
              <w:bottom w:val="single" w:sz="4" w:space="0" w:color="auto"/>
              <w:right w:val="single" w:sz="4" w:space="0" w:color="auto"/>
            </w:tcBorders>
            <w:vAlign w:val="center"/>
          </w:tcPr>
          <w:p w:rsidR="003043C9" w:rsidRPr="008B2CDD" w:rsidP="003043C9" w14:paraId="0E218DC5" w14:textId="18A3B1F9">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Recordkeeping (PPE Documentation, Small Manufacturer)</w:t>
            </w:r>
          </w:p>
        </w:tc>
        <w:tc>
          <w:tcPr>
            <w:tcW w:w="1733" w:type="dxa"/>
            <w:tcBorders>
              <w:top w:val="nil"/>
              <w:left w:val="nil"/>
              <w:bottom w:val="single" w:sz="4" w:space="0" w:color="auto"/>
              <w:right w:val="single" w:sz="4" w:space="0" w:color="auto"/>
            </w:tcBorders>
            <w:vAlign w:val="center"/>
          </w:tcPr>
          <w:p w:rsidR="003043C9" w:rsidRPr="008B2CDD" w:rsidP="003043C9" w14:paraId="384874E4" w14:textId="0EFD9716">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themeColor="text1"/>
                <w:szCs w:val="24"/>
              </w:rPr>
              <w:t>1.0</w:t>
            </w:r>
          </w:p>
        </w:tc>
        <w:tc>
          <w:tcPr>
            <w:tcW w:w="1472" w:type="dxa"/>
            <w:tcBorders>
              <w:top w:val="nil"/>
              <w:left w:val="nil"/>
              <w:bottom w:val="single" w:sz="4" w:space="0" w:color="auto"/>
              <w:right w:val="single" w:sz="8" w:space="0" w:color="auto"/>
            </w:tcBorders>
            <w:vAlign w:val="center"/>
          </w:tcPr>
          <w:p w:rsidR="003043C9" w:rsidRPr="008B2CDD" w:rsidP="003043C9" w14:paraId="4EB91CC1" w14:textId="43324B97">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0</w:t>
            </w:r>
          </w:p>
        </w:tc>
      </w:tr>
      <w:tr w14:paraId="764BE42E" w14:textId="77777777" w:rsidTr="44F06B81">
        <w:tblPrEx>
          <w:tblW w:w="0" w:type="auto"/>
          <w:tblInd w:w="108" w:type="dxa"/>
          <w:tblLayout w:type="fixed"/>
          <w:tblLook w:val="04A0"/>
        </w:tblPrEx>
        <w:trPr>
          <w:trHeight w:val="152"/>
        </w:trPr>
        <w:tc>
          <w:tcPr>
            <w:tcW w:w="5957" w:type="dxa"/>
            <w:tcBorders>
              <w:top w:val="nil"/>
              <w:left w:val="single" w:sz="8" w:space="0" w:color="auto"/>
              <w:bottom w:val="single" w:sz="4" w:space="0" w:color="auto"/>
              <w:right w:val="single" w:sz="4" w:space="0" w:color="auto"/>
            </w:tcBorders>
            <w:vAlign w:val="center"/>
          </w:tcPr>
          <w:p w:rsidR="003043C9" w:rsidRPr="008B2CDD" w:rsidP="003043C9" w14:paraId="4E58095A" w14:textId="2B51035E">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Recordkeeping (PPE Documentation, Medium Manufacturer)</w:t>
            </w:r>
          </w:p>
        </w:tc>
        <w:tc>
          <w:tcPr>
            <w:tcW w:w="1733" w:type="dxa"/>
            <w:tcBorders>
              <w:top w:val="nil"/>
              <w:left w:val="nil"/>
              <w:bottom w:val="single" w:sz="4" w:space="0" w:color="auto"/>
              <w:right w:val="single" w:sz="4" w:space="0" w:color="auto"/>
            </w:tcBorders>
            <w:vAlign w:val="center"/>
          </w:tcPr>
          <w:p w:rsidR="003043C9" w:rsidRPr="008B2CDD" w:rsidP="003043C9" w14:paraId="226BA80D" w14:textId="7604971E">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themeColor="text1"/>
                <w:szCs w:val="24"/>
              </w:rPr>
              <w:t>4.0</w:t>
            </w:r>
          </w:p>
        </w:tc>
        <w:tc>
          <w:tcPr>
            <w:tcW w:w="1472" w:type="dxa"/>
            <w:tcBorders>
              <w:top w:val="nil"/>
              <w:left w:val="nil"/>
              <w:bottom w:val="single" w:sz="4" w:space="0" w:color="auto"/>
              <w:right w:val="single" w:sz="8" w:space="0" w:color="auto"/>
            </w:tcBorders>
            <w:vAlign w:val="center"/>
          </w:tcPr>
          <w:p w:rsidR="003043C9" w:rsidRPr="008B2CDD" w:rsidP="003043C9" w14:paraId="171AB2D9" w14:textId="485995B1">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themeColor="text1"/>
                <w:szCs w:val="24"/>
              </w:rPr>
              <w:t>1</w:t>
            </w:r>
          </w:p>
        </w:tc>
      </w:tr>
      <w:tr w14:paraId="5EC5E60D" w14:textId="77777777" w:rsidTr="44F06B81">
        <w:tblPrEx>
          <w:tblW w:w="0" w:type="auto"/>
          <w:tblInd w:w="108" w:type="dxa"/>
          <w:tblLayout w:type="fixed"/>
          <w:tblLook w:val="04A0"/>
        </w:tblPrEx>
        <w:trPr>
          <w:trHeight w:val="152"/>
        </w:trPr>
        <w:tc>
          <w:tcPr>
            <w:tcW w:w="5957" w:type="dxa"/>
            <w:tcBorders>
              <w:top w:val="nil"/>
              <w:left w:val="single" w:sz="8" w:space="0" w:color="auto"/>
              <w:bottom w:val="single" w:sz="4" w:space="0" w:color="auto"/>
              <w:right w:val="single" w:sz="4" w:space="0" w:color="auto"/>
            </w:tcBorders>
            <w:vAlign w:val="center"/>
            <w:hideMark/>
          </w:tcPr>
          <w:p w:rsidR="003043C9" w:rsidRPr="008B2CDD" w:rsidP="003043C9" w14:paraId="0E3E7114" w14:textId="1F06DF51">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Recordkeeping (PPE Documentation, Large Manufacturer)</w:t>
            </w:r>
          </w:p>
        </w:tc>
        <w:tc>
          <w:tcPr>
            <w:tcW w:w="1733" w:type="dxa"/>
            <w:tcBorders>
              <w:top w:val="nil"/>
              <w:left w:val="nil"/>
              <w:bottom w:val="single" w:sz="4" w:space="0" w:color="auto"/>
              <w:right w:val="single" w:sz="4" w:space="0" w:color="auto"/>
            </w:tcBorders>
            <w:vAlign w:val="center"/>
            <w:hideMark/>
          </w:tcPr>
          <w:p w:rsidR="003043C9" w:rsidRPr="008B2CDD" w:rsidP="003043C9" w14:paraId="0C84BAF3" w14:textId="024B3C76">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themeColor="text1"/>
                <w:szCs w:val="24"/>
              </w:rPr>
              <w:t>16.0</w:t>
            </w:r>
          </w:p>
        </w:tc>
        <w:tc>
          <w:tcPr>
            <w:tcW w:w="1472" w:type="dxa"/>
            <w:tcBorders>
              <w:top w:val="nil"/>
              <w:left w:val="nil"/>
              <w:bottom w:val="single" w:sz="4" w:space="0" w:color="auto"/>
              <w:right w:val="single" w:sz="8" w:space="0" w:color="auto"/>
            </w:tcBorders>
            <w:vAlign w:val="center"/>
            <w:hideMark/>
          </w:tcPr>
          <w:p w:rsidR="003043C9" w:rsidRPr="008B2CDD" w:rsidP="003043C9" w14:paraId="5B04B5F9" w14:textId="50943D2B">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themeColor="text1"/>
                <w:szCs w:val="24"/>
              </w:rPr>
              <w:t>0</w:t>
            </w:r>
          </w:p>
        </w:tc>
      </w:tr>
      <w:tr w14:paraId="61144EE9" w14:textId="77777777" w:rsidTr="44F06B81">
        <w:tblPrEx>
          <w:tblW w:w="0" w:type="auto"/>
          <w:tblInd w:w="108" w:type="dxa"/>
          <w:tblLayout w:type="fixed"/>
          <w:tblLook w:val="04A0"/>
        </w:tblPrEx>
        <w:trPr>
          <w:trHeight w:val="188"/>
        </w:trPr>
        <w:tc>
          <w:tcPr>
            <w:tcW w:w="5957" w:type="dxa"/>
            <w:tcBorders>
              <w:top w:val="nil"/>
              <w:left w:val="single" w:sz="8" w:space="0" w:color="auto"/>
              <w:bottom w:val="single" w:sz="4" w:space="0" w:color="auto"/>
              <w:right w:val="single" w:sz="4" w:space="0" w:color="auto"/>
            </w:tcBorders>
            <w:vAlign w:val="center"/>
            <w:hideMark/>
          </w:tcPr>
          <w:p w:rsidR="003043C9" w:rsidRPr="008B2CDD" w:rsidP="003043C9" w14:paraId="40647333" w14:textId="60F4DCB9">
            <w:pPr>
              <w:keepNext/>
              <w:rPr>
                <w:rFonts w:eastAsia="Times New Roman" w:asciiTheme="minorHAnsi" w:hAnsiTheme="minorHAnsi" w:cstheme="minorHAnsi"/>
                <w:b/>
                <w:bCs/>
                <w:color w:val="000000"/>
                <w:szCs w:val="24"/>
              </w:rPr>
            </w:pPr>
            <w:r w:rsidRPr="008B2CDD">
              <w:rPr>
                <w:rFonts w:asciiTheme="minorHAnsi" w:hAnsiTheme="minorHAnsi" w:cstheme="minorHAnsi"/>
                <w:b/>
                <w:bCs/>
                <w:color w:val="000000"/>
                <w:szCs w:val="24"/>
              </w:rPr>
              <w:t>Total Burden Hours:</w:t>
            </w:r>
          </w:p>
        </w:tc>
        <w:tc>
          <w:tcPr>
            <w:tcW w:w="1733" w:type="dxa"/>
            <w:tcBorders>
              <w:top w:val="nil"/>
              <w:left w:val="nil"/>
              <w:bottom w:val="single" w:sz="4" w:space="0" w:color="auto"/>
              <w:right w:val="single" w:sz="4" w:space="0" w:color="auto"/>
            </w:tcBorders>
            <w:vAlign w:val="center"/>
            <w:hideMark/>
          </w:tcPr>
          <w:p w:rsidR="003043C9" w:rsidRPr="008B2CDD" w:rsidP="003043C9" w14:paraId="68A445E4" w14:textId="2CC48BEF">
            <w:pPr>
              <w:keepNext/>
              <w:jc w:val="right"/>
              <w:rPr>
                <w:rFonts w:eastAsia="Times New Roman" w:asciiTheme="minorHAnsi" w:hAnsiTheme="minorHAnsi" w:cstheme="minorHAnsi"/>
                <w:b/>
                <w:bCs/>
                <w:color w:val="000000"/>
                <w:szCs w:val="24"/>
              </w:rPr>
            </w:pPr>
            <w:r w:rsidRPr="008B2CDD">
              <w:rPr>
                <w:rFonts w:asciiTheme="minorHAnsi" w:hAnsiTheme="minorHAnsi" w:cstheme="minorHAnsi"/>
                <w:b/>
                <w:bCs/>
                <w:color w:val="000000"/>
                <w:szCs w:val="24"/>
              </w:rPr>
              <w:t>-</w:t>
            </w:r>
          </w:p>
        </w:tc>
        <w:tc>
          <w:tcPr>
            <w:tcW w:w="1472" w:type="dxa"/>
            <w:tcBorders>
              <w:top w:val="nil"/>
              <w:left w:val="nil"/>
              <w:bottom w:val="single" w:sz="4" w:space="0" w:color="auto"/>
              <w:right w:val="single" w:sz="8" w:space="0" w:color="auto"/>
            </w:tcBorders>
            <w:vAlign w:val="center"/>
            <w:hideMark/>
          </w:tcPr>
          <w:p w:rsidR="003043C9" w:rsidRPr="008B2CDD" w:rsidP="003043C9" w14:paraId="011A17EB" w14:textId="4A4BEEF2">
            <w:pPr>
              <w:keepNext/>
              <w:jc w:val="right"/>
              <w:rPr>
                <w:rFonts w:eastAsia="Times New Roman" w:asciiTheme="minorHAnsi" w:hAnsiTheme="minorHAnsi" w:cstheme="minorHAnsi"/>
                <w:b/>
                <w:bCs/>
                <w:color w:val="000000"/>
                <w:szCs w:val="24"/>
              </w:rPr>
            </w:pPr>
            <w:r w:rsidRPr="008B2CDD">
              <w:rPr>
                <w:rFonts w:asciiTheme="minorHAnsi" w:hAnsiTheme="minorHAnsi" w:cstheme="minorHAnsi"/>
                <w:b/>
                <w:bCs/>
                <w:color w:val="000000"/>
                <w:szCs w:val="24"/>
              </w:rPr>
              <w:t>8</w:t>
            </w:r>
          </w:p>
        </w:tc>
      </w:tr>
      <w:tr w14:paraId="7F7FB17C" w14:textId="77777777" w:rsidTr="44F06B81">
        <w:tblPrEx>
          <w:tblW w:w="0" w:type="auto"/>
          <w:tblInd w:w="108" w:type="dxa"/>
          <w:tblLayout w:type="fixed"/>
          <w:tblLook w:val="04A0"/>
        </w:tblPrEx>
        <w:trPr>
          <w:trHeight w:val="80"/>
        </w:trPr>
        <w:tc>
          <w:tcPr>
            <w:tcW w:w="9162" w:type="dxa"/>
            <w:gridSpan w:val="3"/>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rsidR="003D3F56" w:rsidRPr="008B2CDD" w:rsidP="00534DA6" w14:paraId="632437DB"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 xml:space="preserve">3.  Capital and O&amp;M Costs </w:t>
            </w:r>
            <w:r w:rsidRPr="008B2CDD">
              <w:rPr>
                <w:rFonts w:eastAsia="Times New Roman" w:asciiTheme="minorHAnsi" w:hAnsiTheme="minorHAnsi" w:cstheme="minorHAnsi"/>
                <w:b/>
                <w:bCs/>
                <w:szCs w:val="24"/>
              </w:rPr>
              <w:t>(this does NOT include labor costs</w:t>
            </w:r>
            <w:r w:rsidRPr="008B2CDD">
              <w:rPr>
                <w:rFonts w:eastAsia="Times New Roman" w:asciiTheme="minorHAnsi" w:hAnsiTheme="minorHAnsi" w:cstheme="minorHAnsi"/>
                <w:b/>
                <w:bCs/>
                <w:color w:val="000000"/>
                <w:szCs w:val="24"/>
              </w:rPr>
              <w:t>):</w:t>
            </w:r>
          </w:p>
        </w:tc>
      </w:tr>
      <w:tr w14:paraId="54C7885D" w14:textId="77777777" w:rsidTr="44F06B81">
        <w:tblPrEx>
          <w:tblW w:w="0" w:type="auto"/>
          <w:tblInd w:w="108" w:type="dxa"/>
          <w:tblLayout w:type="fixed"/>
          <w:tblLook w:val="04A0"/>
        </w:tblPrEx>
        <w:trPr>
          <w:trHeight w:val="287"/>
        </w:trPr>
        <w:tc>
          <w:tcPr>
            <w:tcW w:w="5957"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D3F56" w:rsidRPr="008B2CDD" w:rsidP="00534DA6" w14:paraId="60C8D596"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Activities</w:t>
            </w:r>
          </w:p>
        </w:tc>
        <w:tc>
          <w:tcPr>
            <w:tcW w:w="1733" w:type="dxa"/>
            <w:tcBorders>
              <w:top w:val="nil"/>
              <w:left w:val="nil"/>
              <w:bottom w:val="single" w:sz="4" w:space="0" w:color="auto"/>
              <w:right w:val="single" w:sz="4" w:space="0" w:color="auto"/>
            </w:tcBorders>
            <w:shd w:val="clear" w:color="auto" w:fill="BFBFBF" w:themeFill="background1" w:themeFillShade="BF"/>
            <w:vAlign w:val="center"/>
            <w:hideMark/>
          </w:tcPr>
          <w:p w:rsidR="003D3F56" w:rsidRPr="008B2CDD" w:rsidP="00534DA6" w14:paraId="13B6B8EE"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Cost per Response</w:t>
            </w:r>
          </w:p>
        </w:tc>
        <w:tc>
          <w:tcPr>
            <w:tcW w:w="1472" w:type="dxa"/>
            <w:tcBorders>
              <w:top w:val="nil"/>
              <w:left w:val="nil"/>
              <w:bottom w:val="single" w:sz="4" w:space="0" w:color="auto"/>
              <w:right w:val="single" w:sz="8" w:space="0" w:color="auto"/>
            </w:tcBorders>
            <w:shd w:val="clear" w:color="auto" w:fill="BFBFBF" w:themeFill="background1" w:themeFillShade="BF"/>
            <w:vAlign w:val="center"/>
            <w:hideMark/>
          </w:tcPr>
          <w:p w:rsidR="003D3F56" w:rsidRPr="008B2CDD" w:rsidP="00534DA6" w14:paraId="63E14957"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Annual Cost</w:t>
            </w:r>
          </w:p>
        </w:tc>
      </w:tr>
      <w:tr w14:paraId="110CD4F7" w14:textId="77777777" w:rsidTr="44F06B81">
        <w:tblPrEx>
          <w:tblW w:w="0" w:type="auto"/>
          <w:tblInd w:w="108" w:type="dxa"/>
          <w:tblLayout w:type="fixed"/>
          <w:tblLook w:val="04A0"/>
        </w:tblPrEx>
        <w:trPr>
          <w:trHeight w:val="98"/>
        </w:trPr>
        <w:tc>
          <w:tcPr>
            <w:tcW w:w="5957" w:type="dxa"/>
            <w:tcBorders>
              <w:top w:val="single" w:sz="4" w:space="0" w:color="auto"/>
              <w:left w:val="single" w:sz="8" w:space="0" w:color="auto"/>
              <w:bottom w:val="single" w:sz="4" w:space="0" w:color="auto"/>
              <w:right w:val="single" w:sz="4" w:space="0" w:color="auto"/>
            </w:tcBorders>
            <w:vAlign w:val="center"/>
            <w:hideMark/>
          </w:tcPr>
          <w:p w:rsidR="003043C9" w:rsidRPr="008B2CDD" w:rsidP="003043C9" w14:paraId="05C737FF" w14:textId="2B2B4E7E">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Reporting (Rule Familiarization)</w:t>
            </w:r>
          </w:p>
        </w:tc>
        <w:tc>
          <w:tcPr>
            <w:tcW w:w="1733" w:type="dxa"/>
            <w:tcBorders>
              <w:top w:val="nil"/>
              <w:left w:val="nil"/>
              <w:bottom w:val="single" w:sz="4" w:space="0" w:color="auto"/>
              <w:right w:val="single" w:sz="4" w:space="0" w:color="auto"/>
            </w:tcBorders>
            <w:vAlign w:val="center"/>
            <w:hideMark/>
          </w:tcPr>
          <w:p w:rsidR="003043C9" w:rsidRPr="008B2CDD" w:rsidP="003043C9" w14:paraId="46BBEDCE" w14:textId="2F0503A0">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1472" w:type="dxa"/>
            <w:tcBorders>
              <w:top w:val="nil"/>
              <w:left w:val="nil"/>
              <w:bottom w:val="single" w:sz="4" w:space="0" w:color="auto"/>
              <w:right w:val="single" w:sz="4" w:space="0" w:color="auto"/>
            </w:tcBorders>
            <w:vAlign w:val="center"/>
            <w:hideMark/>
          </w:tcPr>
          <w:p w:rsidR="003043C9" w:rsidRPr="008B2CDD" w:rsidP="003043C9" w14:paraId="329ECC35" w14:textId="6E68E378">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27CC09FF" w14:textId="77777777" w:rsidTr="44F06B81">
        <w:tblPrEx>
          <w:tblW w:w="0" w:type="auto"/>
          <w:tblInd w:w="108" w:type="dxa"/>
          <w:tblLayout w:type="fixed"/>
          <w:tblLook w:val="04A0"/>
        </w:tblPrEx>
        <w:trPr>
          <w:trHeight w:val="125"/>
        </w:trPr>
        <w:tc>
          <w:tcPr>
            <w:tcW w:w="5957" w:type="dxa"/>
            <w:tcBorders>
              <w:top w:val="single" w:sz="4" w:space="0" w:color="auto"/>
              <w:left w:val="single" w:sz="8" w:space="0" w:color="auto"/>
              <w:bottom w:val="single" w:sz="4" w:space="0" w:color="auto"/>
              <w:right w:val="single" w:sz="4" w:space="0" w:color="auto"/>
            </w:tcBorders>
            <w:vAlign w:val="center"/>
            <w:hideMark/>
          </w:tcPr>
          <w:p w:rsidR="003043C9" w:rsidRPr="008B2CDD" w:rsidP="003043C9" w14:paraId="3452B4B0" w14:textId="376EF9B6">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Third-Party Disclosure (Export Notification)</w:t>
            </w:r>
          </w:p>
        </w:tc>
        <w:tc>
          <w:tcPr>
            <w:tcW w:w="1733" w:type="dxa"/>
            <w:tcBorders>
              <w:top w:val="nil"/>
              <w:left w:val="nil"/>
              <w:bottom w:val="single" w:sz="4" w:space="0" w:color="auto"/>
              <w:right w:val="single" w:sz="4" w:space="0" w:color="auto"/>
            </w:tcBorders>
            <w:vAlign w:val="center"/>
            <w:hideMark/>
          </w:tcPr>
          <w:p w:rsidR="003043C9" w:rsidRPr="008B2CDD" w:rsidP="003043C9" w14:paraId="63EA9D2D" w14:textId="48EB6456">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1472" w:type="dxa"/>
            <w:tcBorders>
              <w:top w:val="nil"/>
              <w:left w:val="nil"/>
              <w:bottom w:val="single" w:sz="4" w:space="0" w:color="auto"/>
              <w:right w:val="single" w:sz="4" w:space="0" w:color="auto"/>
            </w:tcBorders>
            <w:vAlign w:val="center"/>
            <w:hideMark/>
          </w:tcPr>
          <w:p w:rsidR="003043C9" w:rsidRPr="008B2CDD" w:rsidP="003043C9" w14:paraId="3A9CAE00" w14:textId="097506E5">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0F26958C" w14:textId="77777777" w:rsidTr="44F06B81">
        <w:tblPrEx>
          <w:tblW w:w="0" w:type="auto"/>
          <w:tblInd w:w="108" w:type="dxa"/>
          <w:tblLayout w:type="fixed"/>
          <w:tblLook w:val="04A0"/>
        </w:tblPrEx>
        <w:trPr>
          <w:trHeight w:val="152"/>
        </w:trPr>
        <w:tc>
          <w:tcPr>
            <w:tcW w:w="5957" w:type="dxa"/>
            <w:tcBorders>
              <w:top w:val="single" w:sz="4" w:space="0" w:color="auto"/>
              <w:left w:val="single" w:sz="8" w:space="0" w:color="auto"/>
              <w:bottom w:val="single" w:sz="4" w:space="0" w:color="auto"/>
              <w:right w:val="single" w:sz="4" w:space="0" w:color="auto"/>
            </w:tcBorders>
            <w:vAlign w:val="center"/>
          </w:tcPr>
          <w:p w:rsidR="003043C9" w:rsidRPr="008B2CDD" w:rsidP="00AF28CA" w14:paraId="108304C2" w14:textId="3E58DCCE">
            <w:pPr>
              <w:pStyle w:val="NoSpacing"/>
              <w:keepNext/>
              <w:rPr>
                <w:rFonts w:eastAsia="Arial" w:asciiTheme="minorHAnsi" w:hAnsiTheme="minorHAnsi" w:cstheme="minorHAnsi"/>
                <w:szCs w:val="24"/>
              </w:rPr>
            </w:pPr>
            <w:r w:rsidRPr="008B2CDD">
              <w:rPr>
                <w:rFonts w:asciiTheme="minorHAnsi" w:hAnsiTheme="minorHAnsi" w:cstheme="minorHAnsi"/>
                <w:color w:val="000000" w:themeColor="text1"/>
                <w:szCs w:val="24"/>
              </w:rPr>
              <w:t>Recordkeeping (PPE Documentation, Small Manufacturer)</w:t>
            </w:r>
            <w:r w:rsidRPr="008B2CDD" w:rsidR="295253EC">
              <w:rPr>
                <w:rFonts w:eastAsia="Arial" w:asciiTheme="minorHAnsi" w:hAnsiTheme="minorHAnsi" w:cstheme="minorHAnsi"/>
                <w:color w:val="498205"/>
                <w:szCs w:val="24"/>
                <w:vertAlign w:val="superscript"/>
              </w:rPr>
              <w:t xml:space="preserve"> c</w:t>
            </w:r>
          </w:p>
        </w:tc>
        <w:tc>
          <w:tcPr>
            <w:tcW w:w="1733" w:type="dxa"/>
            <w:tcBorders>
              <w:top w:val="nil"/>
              <w:left w:val="nil"/>
              <w:bottom w:val="single" w:sz="4" w:space="0" w:color="auto"/>
              <w:right w:val="single" w:sz="4" w:space="0" w:color="auto"/>
            </w:tcBorders>
            <w:vAlign w:val="center"/>
          </w:tcPr>
          <w:p w:rsidR="003043C9" w:rsidRPr="008B2CDD" w:rsidP="003043C9" w14:paraId="0D5A3469" w14:textId="1FCB1A01">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1472" w:type="dxa"/>
            <w:tcBorders>
              <w:top w:val="nil"/>
              <w:left w:val="nil"/>
              <w:bottom w:val="single" w:sz="4" w:space="0" w:color="auto"/>
              <w:right w:val="single" w:sz="8" w:space="0" w:color="auto"/>
            </w:tcBorders>
            <w:vAlign w:val="center"/>
          </w:tcPr>
          <w:p w:rsidR="003043C9" w:rsidRPr="008B2CDD" w:rsidP="003043C9" w14:paraId="589960E2" w14:textId="4DB1561B">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68543CDA" w14:textId="77777777" w:rsidTr="44F06B81">
        <w:tblPrEx>
          <w:tblW w:w="0" w:type="auto"/>
          <w:tblInd w:w="108" w:type="dxa"/>
          <w:tblLayout w:type="fixed"/>
          <w:tblLook w:val="04A0"/>
        </w:tblPrEx>
        <w:trPr>
          <w:trHeight w:val="152"/>
        </w:trPr>
        <w:tc>
          <w:tcPr>
            <w:tcW w:w="5957" w:type="dxa"/>
            <w:tcBorders>
              <w:top w:val="single" w:sz="4" w:space="0" w:color="auto"/>
              <w:left w:val="single" w:sz="8" w:space="0" w:color="auto"/>
              <w:bottom w:val="single" w:sz="4" w:space="0" w:color="auto"/>
              <w:right w:val="single" w:sz="4" w:space="0" w:color="auto"/>
            </w:tcBorders>
            <w:vAlign w:val="center"/>
          </w:tcPr>
          <w:p w:rsidR="003043C9" w:rsidRPr="008B2CDD" w:rsidP="00AF28CA" w14:paraId="64FD893D" w14:textId="014D20C2">
            <w:pPr>
              <w:pStyle w:val="NoSpacing"/>
              <w:keepNext/>
              <w:rPr>
                <w:rFonts w:eastAsia="Arial" w:asciiTheme="minorHAnsi" w:hAnsiTheme="minorHAnsi" w:cstheme="minorHAnsi"/>
                <w:szCs w:val="24"/>
              </w:rPr>
            </w:pPr>
            <w:r w:rsidRPr="008B2CDD">
              <w:rPr>
                <w:rFonts w:asciiTheme="minorHAnsi" w:hAnsiTheme="minorHAnsi" w:cstheme="minorHAnsi"/>
                <w:color w:val="000000" w:themeColor="text1"/>
                <w:szCs w:val="24"/>
              </w:rPr>
              <w:t>Recordkeeping (PPE Documentation, Medium Manufacturer)</w:t>
            </w:r>
            <w:r w:rsidRPr="008B2CDD" w:rsidR="3476B3B7">
              <w:rPr>
                <w:rFonts w:eastAsia="Arial" w:asciiTheme="minorHAnsi" w:hAnsiTheme="minorHAnsi" w:cstheme="minorHAnsi"/>
                <w:color w:val="498205"/>
                <w:szCs w:val="24"/>
                <w:vertAlign w:val="superscript"/>
              </w:rPr>
              <w:t xml:space="preserve"> c</w:t>
            </w:r>
          </w:p>
        </w:tc>
        <w:tc>
          <w:tcPr>
            <w:tcW w:w="1733" w:type="dxa"/>
            <w:tcBorders>
              <w:top w:val="nil"/>
              <w:left w:val="nil"/>
              <w:bottom w:val="single" w:sz="4" w:space="0" w:color="auto"/>
              <w:right w:val="single" w:sz="4" w:space="0" w:color="auto"/>
            </w:tcBorders>
            <w:vAlign w:val="center"/>
          </w:tcPr>
          <w:p w:rsidR="003043C9" w:rsidRPr="008B2CDD" w:rsidP="003043C9" w14:paraId="6D86E610" w14:textId="27411710">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1472" w:type="dxa"/>
            <w:tcBorders>
              <w:top w:val="nil"/>
              <w:left w:val="nil"/>
              <w:bottom w:val="single" w:sz="4" w:space="0" w:color="auto"/>
              <w:right w:val="single" w:sz="8" w:space="0" w:color="auto"/>
            </w:tcBorders>
            <w:vAlign w:val="center"/>
          </w:tcPr>
          <w:p w:rsidR="003043C9" w:rsidRPr="008B2CDD" w:rsidP="003043C9" w14:paraId="6B34EC25" w14:textId="071E7EB5">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41AB1F72" w14:textId="77777777" w:rsidTr="44F06B81">
        <w:tblPrEx>
          <w:tblW w:w="0" w:type="auto"/>
          <w:tblInd w:w="108" w:type="dxa"/>
          <w:tblLayout w:type="fixed"/>
          <w:tblLook w:val="04A0"/>
        </w:tblPrEx>
        <w:trPr>
          <w:trHeight w:val="152"/>
        </w:trPr>
        <w:tc>
          <w:tcPr>
            <w:tcW w:w="5957" w:type="dxa"/>
            <w:tcBorders>
              <w:top w:val="single" w:sz="4" w:space="0" w:color="auto"/>
              <w:left w:val="single" w:sz="8" w:space="0" w:color="auto"/>
              <w:bottom w:val="single" w:sz="4" w:space="0" w:color="auto"/>
              <w:right w:val="single" w:sz="4" w:space="0" w:color="auto"/>
            </w:tcBorders>
            <w:vAlign w:val="center"/>
            <w:hideMark/>
          </w:tcPr>
          <w:p w:rsidR="003043C9" w:rsidRPr="008B2CDD" w:rsidP="00AF28CA" w14:paraId="59A846DD" w14:textId="55F26F43">
            <w:pPr>
              <w:pStyle w:val="NoSpacing"/>
              <w:keepNext/>
              <w:rPr>
                <w:rFonts w:eastAsia="Arial" w:asciiTheme="minorHAnsi" w:hAnsiTheme="minorHAnsi" w:cstheme="minorHAnsi"/>
                <w:szCs w:val="24"/>
              </w:rPr>
            </w:pPr>
            <w:r w:rsidRPr="008B2CDD">
              <w:rPr>
                <w:rFonts w:asciiTheme="minorHAnsi" w:hAnsiTheme="minorHAnsi" w:cstheme="minorHAnsi"/>
                <w:color w:val="000000" w:themeColor="text1"/>
                <w:szCs w:val="24"/>
              </w:rPr>
              <w:t>Recordkeeping (PPE Documentation, Large Manufacturer)</w:t>
            </w:r>
            <w:r w:rsidRPr="008B2CDD" w:rsidR="4590C262">
              <w:rPr>
                <w:rFonts w:eastAsia="Arial" w:asciiTheme="minorHAnsi" w:hAnsiTheme="minorHAnsi" w:cstheme="minorHAnsi"/>
                <w:color w:val="498205"/>
                <w:szCs w:val="24"/>
                <w:vertAlign w:val="superscript"/>
              </w:rPr>
              <w:t xml:space="preserve"> c</w:t>
            </w:r>
          </w:p>
        </w:tc>
        <w:tc>
          <w:tcPr>
            <w:tcW w:w="1733" w:type="dxa"/>
            <w:tcBorders>
              <w:top w:val="nil"/>
              <w:left w:val="nil"/>
              <w:bottom w:val="single" w:sz="4" w:space="0" w:color="auto"/>
              <w:right w:val="single" w:sz="4" w:space="0" w:color="auto"/>
            </w:tcBorders>
            <w:vAlign w:val="center"/>
            <w:hideMark/>
          </w:tcPr>
          <w:p w:rsidR="003043C9" w:rsidRPr="008B2CDD" w:rsidP="003043C9" w14:paraId="27B37436" w14:textId="699635E3">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1472" w:type="dxa"/>
            <w:tcBorders>
              <w:top w:val="nil"/>
              <w:left w:val="nil"/>
              <w:bottom w:val="single" w:sz="4" w:space="0" w:color="auto"/>
              <w:right w:val="single" w:sz="8" w:space="0" w:color="auto"/>
            </w:tcBorders>
            <w:vAlign w:val="center"/>
            <w:hideMark/>
          </w:tcPr>
          <w:p w:rsidR="003043C9" w:rsidRPr="008B2CDD" w:rsidP="003043C9" w14:paraId="2A7E12FC" w14:textId="429E363B">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412F1E69" w14:textId="77777777" w:rsidTr="44F06B81">
        <w:tblPrEx>
          <w:tblW w:w="0" w:type="auto"/>
          <w:tblInd w:w="108" w:type="dxa"/>
          <w:tblLayout w:type="fixed"/>
          <w:tblLook w:val="04A0"/>
        </w:tblPrEx>
        <w:trPr>
          <w:trHeight w:val="98"/>
        </w:trPr>
        <w:tc>
          <w:tcPr>
            <w:tcW w:w="5957" w:type="dxa"/>
            <w:tcBorders>
              <w:top w:val="single" w:sz="4" w:space="0" w:color="auto"/>
              <w:left w:val="single" w:sz="8" w:space="0" w:color="auto"/>
              <w:bottom w:val="single" w:sz="4" w:space="0" w:color="auto"/>
              <w:right w:val="single" w:sz="4" w:space="0" w:color="auto"/>
            </w:tcBorders>
            <w:vAlign w:val="center"/>
            <w:hideMark/>
          </w:tcPr>
          <w:p w:rsidR="003D3F56" w:rsidRPr="008B2CDD" w:rsidP="00534DA6" w14:paraId="5CE22058"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Total Capital and O&amp;M Costs:</w:t>
            </w:r>
          </w:p>
        </w:tc>
        <w:tc>
          <w:tcPr>
            <w:tcW w:w="1733" w:type="dxa"/>
            <w:tcBorders>
              <w:top w:val="nil"/>
              <w:left w:val="nil"/>
              <w:bottom w:val="single" w:sz="4" w:space="0" w:color="auto"/>
              <w:right w:val="single" w:sz="4" w:space="0" w:color="auto"/>
            </w:tcBorders>
            <w:vAlign w:val="center"/>
            <w:hideMark/>
          </w:tcPr>
          <w:p w:rsidR="003D3F56" w:rsidRPr="008B2CDD" w:rsidP="00534DA6" w14:paraId="69FFB831" w14:textId="4A935D6F">
            <w:pPr>
              <w:keepNext/>
              <w:jc w:val="right"/>
              <w:rPr>
                <w:rFonts w:asciiTheme="minorHAnsi" w:hAnsiTheme="minorHAnsi" w:cstheme="minorHAnsi"/>
                <w:b/>
                <w:color w:val="000000"/>
                <w:szCs w:val="24"/>
              </w:rPr>
            </w:pPr>
            <w:r w:rsidRPr="008B2CDD">
              <w:rPr>
                <w:rFonts w:asciiTheme="minorHAnsi" w:hAnsiTheme="minorHAnsi" w:cstheme="minorHAnsi"/>
                <w:b/>
                <w:color w:val="000000"/>
                <w:szCs w:val="24"/>
              </w:rPr>
              <w:t>$0.00</w:t>
            </w:r>
            <w:r w:rsidRPr="008B2CDD" w:rsidR="00CC41E3">
              <w:rPr>
                <w:rFonts w:asciiTheme="minorHAnsi" w:hAnsiTheme="minorHAnsi" w:cstheme="minorHAnsi"/>
                <w:b/>
                <w:bCs/>
                <w:color w:val="000000"/>
                <w:szCs w:val="24"/>
              </w:rPr>
              <w:t xml:space="preserve"> </w:t>
            </w:r>
          </w:p>
        </w:tc>
        <w:tc>
          <w:tcPr>
            <w:tcW w:w="1472" w:type="dxa"/>
            <w:tcBorders>
              <w:top w:val="nil"/>
              <w:left w:val="nil"/>
              <w:bottom w:val="single" w:sz="4" w:space="0" w:color="auto"/>
              <w:right w:val="single" w:sz="8" w:space="0" w:color="auto"/>
            </w:tcBorders>
            <w:vAlign w:val="center"/>
            <w:hideMark/>
          </w:tcPr>
          <w:p w:rsidR="003D3F56" w:rsidRPr="008B2CDD" w:rsidP="00534DA6" w14:paraId="124A230B" w14:textId="127449A9">
            <w:pPr>
              <w:keepNext/>
              <w:jc w:val="right"/>
              <w:rPr>
                <w:rFonts w:asciiTheme="minorHAnsi" w:hAnsiTheme="minorHAnsi" w:cstheme="minorHAnsi"/>
                <w:b/>
                <w:color w:val="000000"/>
                <w:szCs w:val="24"/>
              </w:rPr>
            </w:pPr>
            <w:r w:rsidRPr="008B2CDD">
              <w:rPr>
                <w:rFonts w:asciiTheme="minorHAnsi" w:hAnsiTheme="minorHAnsi" w:cstheme="minorHAnsi"/>
                <w:b/>
                <w:color w:val="000000"/>
                <w:szCs w:val="24"/>
              </w:rPr>
              <w:t>$0.00</w:t>
            </w:r>
            <w:r w:rsidRPr="008B2CDD" w:rsidR="00CC41E3">
              <w:rPr>
                <w:rFonts w:asciiTheme="minorHAnsi" w:hAnsiTheme="minorHAnsi" w:cstheme="minorHAnsi"/>
                <w:b/>
                <w:bCs/>
                <w:color w:val="000000"/>
                <w:szCs w:val="24"/>
              </w:rPr>
              <w:t xml:space="preserve"> </w:t>
            </w:r>
          </w:p>
        </w:tc>
      </w:tr>
      <w:tr w14:paraId="0961C08B" w14:textId="77777777" w:rsidTr="44F06B81">
        <w:tblPrEx>
          <w:tblW w:w="0" w:type="auto"/>
          <w:tblInd w:w="108" w:type="dxa"/>
          <w:tblLayout w:type="fixed"/>
          <w:tblLook w:val="04A0"/>
        </w:tblPrEx>
        <w:trPr>
          <w:trHeight w:val="215"/>
        </w:trPr>
        <w:tc>
          <w:tcPr>
            <w:tcW w:w="9162" w:type="dxa"/>
            <w:gridSpan w:val="3"/>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rsidR="003D3F56" w:rsidRPr="008B2CDD" w:rsidP="00534DA6" w14:paraId="47AE6B93"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4.  Annual Responses and Burdens:</w:t>
            </w:r>
          </w:p>
        </w:tc>
      </w:tr>
      <w:tr w14:paraId="4B91AD9F" w14:textId="77777777" w:rsidTr="44F06B81">
        <w:tblPrEx>
          <w:tblW w:w="0" w:type="auto"/>
          <w:tblInd w:w="108" w:type="dxa"/>
          <w:tblLayout w:type="fixed"/>
          <w:tblLook w:val="04A0"/>
        </w:tblPrEx>
        <w:trPr>
          <w:trHeight w:val="242"/>
        </w:trPr>
        <w:tc>
          <w:tcPr>
            <w:tcW w:w="5957"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D3F56" w:rsidRPr="008B2CDD" w:rsidP="00534DA6" w14:paraId="06245BAF"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Annual Totals</w:t>
            </w:r>
          </w:p>
        </w:tc>
        <w:tc>
          <w:tcPr>
            <w:tcW w:w="3205" w:type="dxa"/>
            <w:gridSpan w:val="2"/>
            <w:tcBorders>
              <w:top w:val="single" w:sz="4" w:space="0" w:color="auto"/>
              <w:left w:val="nil"/>
              <w:bottom w:val="single" w:sz="4" w:space="0" w:color="auto"/>
              <w:right w:val="single" w:sz="8" w:space="0" w:color="000000" w:themeColor="text1"/>
            </w:tcBorders>
            <w:shd w:val="clear" w:color="auto" w:fill="BFBFBF" w:themeFill="background1" w:themeFillShade="BF"/>
            <w:vAlign w:val="center"/>
            <w:hideMark/>
          </w:tcPr>
          <w:p w:rsidR="003D3F56" w:rsidRPr="008B2CDD" w:rsidP="00534DA6" w14:paraId="3BDDEB1E"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Total Requested</w:t>
            </w:r>
          </w:p>
        </w:tc>
      </w:tr>
      <w:tr w14:paraId="371A2EEB" w14:textId="77777777" w:rsidTr="44F06B81">
        <w:tblPrEx>
          <w:tblW w:w="0" w:type="auto"/>
          <w:tblInd w:w="108" w:type="dxa"/>
          <w:tblLayout w:type="fixed"/>
          <w:tblLook w:val="04A0"/>
        </w:tblPrEx>
        <w:trPr>
          <w:trHeight w:val="98"/>
        </w:trPr>
        <w:tc>
          <w:tcPr>
            <w:tcW w:w="5957" w:type="dxa"/>
            <w:tcBorders>
              <w:top w:val="single" w:sz="4" w:space="0" w:color="auto"/>
              <w:left w:val="single" w:sz="8" w:space="0" w:color="auto"/>
              <w:bottom w:val="single" w:sz="4" w:space="0" w:color="auto"/>
              <w:right w:val="single" w:sz="4" w:space="0" w:color="auto"/>
            </w:tcBorders>
            <w:vAlign w:val="center"/>
            <w:hideMark/>
          </w:tcPr>
          <w:p w:rsidR="003043C9" w:rsidRPr="008B2CDD" w:rsidP="003043C9" w14:paraId="2EBE90CB"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Annual Responses</w:t>
            </w:r>
          </w:p>
        </w:tc>
        <w:tc>
          <w:tcPr>
            <w:tcW w:w="3205" w:type="dxa"/>
            <w:gridSpan w:val="2"/>
            <w:tcBorders>
              <w:top w:val="single" w:sz="4" w:space="0" w:color="auto"/>
              <w:left w:val="nil"/>
              <w:bottom w:val="single" w:sz="4" w:space="0" w:color="auto"/>
              <w:right w:val="single" w:sz="8" w:space="0" w:color="000000" w:themeColor="text1"/>
            </w:tcBorders>
            <w:vAlign w:val="center"/>
            <w:hideMark/>
          </w:tcPr>
          <w:p w:rsidR="003043C9" w:rsidRPr="008B2CDD" w:rsidP="003043C9" w14:paraId="5FC58207" w14:textId="276F5706">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w:t>
            </w:r>
          </w:p>
        </w:tc>
      </w:tr>
      <w:tr w14:paraId="1B9734DB" w14:textId="77777777" w:rsidTr="44F06B81">
        <w:tblPrEx>
          <w:tblW w:w="0" w:type="auto"/>
          <w:tblInd w:w="108" w:type="dxa"/>
          <w:tblLayout w:type="fixed"/>
          <w:tblLook w:val="04A0"/>
        </w:tblPrEx>
        <w:trPr>
          <w:trHeight w:val="125"/>
        </w:trPr>
        <w:tc>
          <w:tcPr>
            <w:tcW w:w="5957" w:type="dxa"/>
            <w:tcBorders>
              <w:top w:val="single" w:sz="4" w:space="0" w:color="auto"/>
              <w:left w:val="single" w:sz="8" w:space="0" w:color="auto"/>
              <w:bottom w:val="nil"/>
              <w:right w:val="single" w:sz="4" w:space="0" w:color="auto"/>
            </w:tcBorders>
            <w:vAlign w:val="center"/>
            <w:hideMark/>
          </w:tcPr>
          <w:p w:rsidR="003043C9" w:rsidRPr="008B2CDD" w:rsidP="003043C9" w14:paraId="0286C830" w14:textId="2E83BE72">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Annual Hour Burden (rounded to nearest hour)</w:t>
            </w:r>
          </w:p>
        </w:tc>
        <w:tc>
          <w:tcPr>
            <w:tcW w:w="3205" w:type="dxa"/>
            <w:gridSpan w:val="2"/>
            <w:tcBorders>
              <w:top w:val="single" w:sz="4" w:space="0" w:color="auto"/>
              <w:left w:val="nil"/>
              <w:bottom w:val="nil"/>
              <w:right w:val="single" w:sz="8" w:space="0" w:color="000000" w:themeColor="text1"/>
            </w:tcBorders>
            <w:vAlign w:val="center"/>
            <w:hideMark/>
          </w:tcPr>
          <w:p w:rsidR="003043C9" w:rsidRPr="008B2CDD" w:rsidP="003043C9" w14:paraId="07BA929D" w14:textId="027E9F57">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8</w:t>
            </w:r>
          </w:p>
        </w:tc>
      </w:tr>
      <w:tr w14:paraId="28FBFAF7" w14:textId="77777777" w:rsidTr="44F06B81">
        <w:tblPrEx>
          <w:tblW w:w="0" w:type="auto"/>
          <w:tblInd w:w="108" w:type="dxa"/>
          <w:tblLayout w:type="fixed"/>
          <w:tblLook w:val="04A0"/>
        </w:tblPrEx>
        <w:trPr>
          <w:trHeight w:val="152"/>
        </w:trPr>
        <w:tc>
          <w:tcPr>
            <w:tcW w:w="5957" w:type="dxa"/>
            <w:tcBorders>
              <w:top w:val="single" w:sz="4" w:space="0" w:color="auto"/>
              <w:left w:val="single" w:sz="8" w:space="0" w:color="auto"/>
              <w:bottom w:val="single" w:sz="8" w:space="0" w:color="auto"/>
              <w:right w:val="single" w:sz="4" w:space="0" w:color="auto"/>
            </w:tcBorders>
            <w:vAlign w:val="center"/>
            <w:hideMark/>
          </w:tcPr>
          <w:p w:rsidR="003043C9" w:rsidRPr="008B2CDD" w:rsidP="003043C9" w14:paraId="12D3794A"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Annual Cost (Non-Labor)</w:t>
            </w:r>
          </w:p>
        </w:tc>
        <w:tc>
          <w:tcPr>
            <w:tcW w:w="3205" w:type="dxa"/>
            <w:gridSpan w:val="2"/>
            <w:tcBorders>
              <w:top w:val="single" w:sz="4" w:space="0" w:color="auto"/>
              <w:left w:val="nil"/>
              <w:bottom w:val="single" w:sz="8" w:space="0" w:color="auto"/>
              <w:right w:val="single" w:sz="8" w:space="0" w:color="000000" w:themeColor="text1"/>
            </w:tcBorders>
            <w:vAlign w:val="center"/>
            <w:hideMark/>
          </w:tcPr>
          <w:p w:rsidR="003043C9" w:rsidRPr="008B2CDD" w:rsidP="003043C9" w14:paraId="55E0B7E7" w14:textId="09CB7C2B">
            <w:pPr>
              <w:keepNext/>
              <w:jc w:val="right"/>
              <w:rPr>
                <w:rFonts w:eastAsia="Times New Roman" w:asciiTheme="minorHAnsi" w:hAnsiTheme="minorHAnsi" w:cstheme="minorHAnsi"/>
                <w:b/>
                <w:bCs/>
                <w:color w:val="000000"/>
                <w:szCs w:val="24"/>
              </w:rPr>
            </w:pPr>
            <w:r w:rsidRPr="008B2CDD">
              <w:rPr>
                <w:rFonts w:asciiTheme="minorHAnsi" w:hAnsiTheme="minorHAnsi" w:cstheme="minorHAnsi"/>
                <w:b/>
                <w:bCs/>
                <w:color w:val="000000"/>
                <w:szCs w:val="24"/>
              </w:rPr>
              <w:t xml:space="preserve">$0.00 </w:t>
            </w:r>
          </w:p>
        </w:tc>
      </w:tr>
      <w:tr w14:paraId="06EE0C8B" w14:textId="77777777" w:rsidTr="44F06B81">
        <w:tblPrEx>
          <w:tblW w:w="0" w:type="auto"/>
          <w:tblInd w:w="108" w:type="dxa"/>
          <w:tblLayout w:type="fixed"/>
          <w:tblLook w:val="04A0"/>
        </w:tblPrEx>
        <w:trPr>
          <w:trHeight w:val="550"/>
        </w:trPr>
        <w:tc>
          <w:tcPr>
            <w:tcW w:w="9162" w:type="dxa"/>
            <w:gridSpan w:val="3"/>
            <w:tcBorders>
              <w:top w:val="single" w:sz="8" w:space="0" w:color="auto"/>
              <w:left w:val="single" w:sz="8" w:space="0" w:color="auto"/>
              <w:bottom w:val="single" w:sz="4" w:space="0" w:color="auto"/>
              <w:right w:val="single" w:sz="8" w:space="0" w:color="000000" w:themeColor="text1"/>
            </w:tcBorders>
            <w:vAlign w:val="center"/>
            <w:hideMark/>
          </w:tcPr>
          <w:p w:rsidR="003D3F56" w:rsidRPr="008B2CDD" w:rsidP="00534DA6" w14:paraId="65D79006"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vertAlign w:val="superscript"/>
              </w:rPr>
              <w:t>a</w:t>
            </w:r>
            <w:r w:rsidRPr="008B2CDD">
              <w:rPr>
                <w:rFonts w:eastAsia="Times New Roman" w:asciiTheme="minorHAnsi" w:hAnsiTheme="minorHAnsi" w:cstheme="minorHAnsi"/>
                <w:color w:val="000000"/>
                <w:szCs w:val="24"/>
              </w:rPr>
              <w:t xml:space="preserve"> </w:t>
            </w:r>
            <w:r w:rsidRPr="008B2CDD">
              <w:rPr>
                <w:rFonts w:eastAsia="Times New Roman" w:asciiTheme="minorHAnsi" w:hAnsiTheme="minorHAnsi" w:cstheme="minorHAnsi"/>
                <w:color w:val="000000"/>
                <w:szCs w:val="24"/>
              </w:rPr>
              <w:t>Based on</w:t>
            </w:r>
            <w:r w:rsidRPr="008B2CDD">
              <w:rPr>
                <w:rFonts w:eastAsia="Times New Roman" w:asciiTheme="minorHAnsi" w:hAnsiTheme="minorHAnsi" w:cstheme="minorHAnsi"/>
                <w:color w:val="000000"/>
                <w:szCs w:val="24"/>
              </w:rPr>
              <w:t xml:space="preserve"> details provided in the Tables presented earlier in this section.</w:t>
            </w:r>
          </w:p>
          <w:p w:rsidR="003D3F56" w:rsidRPr="008B2CDD" w:rsidP="00534DA6" w14:paraId="733F3F0C"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themeColor="text1"/>
                <w:szCs w:val="24"/>
                <w:vertAlign w:val="superscript"/>
              </w:rPr>
              <w:t>b</w:t>
            </w:r>
            <w:r w:rsidRPr="008B2CDD">
              <w:rPr>
                <w:rFonts w:eastAsia="Times New Roman" w:asciiTheme="minorHAnsi" w:hAnsiTheme="minorHAnsi" w:cstheme="minorHAnsi"/>
                <w:color w:val="000000" w:themeColor="text1"/>
                <w:szCs w:val="24"/>
              </w:rPr>
              <w:t xml:space="preserve"> This number </w:t>
            </w:r>
            <w:r w:rsidRPr="008B2CDD" w:rsidR="00467CBE">
              <w:rPr>
                <w:rFonts w:eastAsia="Times New Roman" w:asciiTheme="minorHAnsi" w:hAnsiTheme="minorHAnsi" w:cstheme="minorHAnsi"/>
                <w:color w:val="000000" w:themeColor="text1"/>
                <w:szCs w:val="24"/>
              </w:rPr>
              <w:t xml:space="preserve">is used </w:t>
            </w:r>
            <w:r w:rsidRPr="008B2CDD">
              <w:rPr>
                <w:rFonts w:eastAsia="Times New Roman" w:asciiTheme="minorHAnsi" w:hAnsiTheme="minorHAnsi" w:cstheme="minorHAnsi"/>
                <w:color w:val="000000" w:themeColor="text1"/>
                <w:szCs w:val="24"/>
              </w:rPr>
              <w:t>as a multiplier to calculate the Annual Burden hours and costs.</w:t>
            </w:r>
          </w:p>
          <w:p w:rsidR="4BA4709C" w:rsidRPr="009B622A" w:rsidP="00AF28CA" w14:paraId="337BAD2C" w14:textId="6642D5B0">
            <w:pPr>
              <w:pStyle w:val="NoSpacing"/>
              <w:rPr>
                <w:rFonts w:eastAsia="Arial" w:asciiTheme="minorHAnsi" w:hAnsiTheme="minorHAnsi" w:cstheme="minorHAnsi"/>
                <w:szCs w:val="24"/>
              </w:rPr>
            </w:pPr>
            <w:r w:rsidRPr="009B622A">
              <w:rPr>
                <w:rFonts w:eastAsia="Arial" w:asciiTheme="minorHAnsi" w:hAnsiTheme="minorHAnsi" w:cstheme="minorHAnsi"/>
                <w:szCs w:val="24"/>
                <w:vertAlign w:val="superscript"/>
              </w:rPr>
              <w:t>c</w:t>
            </w:r>
            <w:r w:rsidRPr="009B622A">
              <w:rPr>
                <w:rFonts w:eastAsia="Arial" w:asciiTheme="minorHAnsi" w:hAnsiTheme="minorHAnsi" w:cstheme="minorHAnsi"/>
                <w:szCs w:val="24"/>
              </w:rPr>
              <w:t xml:space="preserve"> Burden incurred in first year only. Average 3-year burdens are 0.3, 1.3, and 5.3 hour for small, medium, and large manufacturers, respectively.  </w:t>
            </w:r>
          </w:p>
          <w:p w:rsidR="003D3F56" w:rsidRPr="008B2CDD" w:rsidP="00AF28CA" w14:paraId="19BD1C29" w14:textId="304DA583">
            <w:pPr>
              <w:pStyle w:val="NoSpacing"/>
              <w:rPr>
                <w:rFonts w:eastAsia="Times New Roman" w:asciiTheme="minorHAnsi" w:hAnsiTheme="minorHAnsi" w:cstheme="minorHAnsi"/>
                <w:color w:val="000000" w:themeColor="text1"/>
                <w:szCs w:val="24"/>
              </w:rPr>
            </w:pPr>
            <w:r w:rsidRPr="008B2CDD">
              <w:rPr>
                <w:rFonts w:eastAsia="Times New Roman" w:asciiTheme="minorHAnsi" w:hAnsiTheme="minorHAnsi" w:cstheme="minorHAnsi"/>
                <w:color w:val="000000" w:themeColor="text1"/>
                <w:szCs w:val="24"/>
              </w:rPr>
              <w:t>Note: Totals may not sum due to rounding.</w:t>
            </w:r>
          </w:p>
        </w:tc>
      </w:tr>
    </w:tbl>
    <w:p w:rsidR="003D3F56" w:rsidRPr="008B2CDD" w:rsidP="003D3F56" w14:paraId="69B17B58" w14:textId="273F0D50">
      <w:pPr>
        <w:pStyle w:val="NoSpacing"/>
        <w:rPr>
          <w:rFonts w:asciiTheme="minorHAnsi" w:hAnsiTheme="minorHAnsi" w:cstheme="minorHAnsi"/>
          <w:strike/>
          <w:szCs w:val="24"/>
        </w:rPr>
      </w:pPr>
    </w:p>
    <w:p w:rsidR="00FD5A9A" w:rsidRPr="008B2CDD" w:rsidP="00B738D9" w14:paraId="088D9096" w14:textId="11EBF3D4">
      <w:pPr>
        <w:pStyle w:val="Heading2"/>
        <w:rPr>
          <w:rFonts w:asciiTheme="minorHAnsi" w:hAnsiTheme="minorHAnsi" w:cstheme="minorHAnsi"/>
          <w:szCs w:val="24"/>
        </w:rPr>
      </w:pPr>
      <w:r w:rsidRPr="008B2CDD">
        <w:rPr>
          <w:rFonts w:asciiTheme="minorHAnsi" w:hAnsiTheme="minorHAnsi" w:cstheme="minorHAnsi"/>
          <w:szCs w:val="24"/>
        </w:rPr>
        <w:t>I</w:t>
      </w:r>
      <w:r w:rsidRPr="008B2CDD" w:rsidR="006D07F2">
        <w:rPr>
          <w:rFonts w:asciiTheme="minorHAnsi" w:hAnsiTheme="minorHAnsi" w:cstheme="minorHAnsi"/>
          <w:szCs w:val="24"/>
        </w:rPr>
        <w:t xml:space="preserve">nformation </w:t>
      </w:r>
      <w:r w:rsidRPr="008B2CDD">
        <w:rPr>
          <w:rFonts w:asciiTheme="minorHAnsi" w:hAnsiTheme="minorHAnsi" w:cstheme="minorHAnsi"/>
          <w:szCs w:val="24"/>
        </w:rPr>
        <w:t>C</w:t>
      </w:r>
      <w:r w:rsidRPr="008B2CDD" w:rsidR="006D07F2">
        <w:rPr>
          <w:rFonts w:asciiTheme="minorHAnsi" w:hAnsiTheme="minorHAnsi" w:cstheme="minorHAnsi"/>
          <w:szCs w:val="24"/>
        </w:rPr>
        <w:t>ollection (IC)</w:t>
      </w:r>
      <w:r w:rsidRPr="008B2CDD">
        <w:rPr>
          <w:rFonts w:asciiTheme="minorHAnsi" w:hAnsiTheme="minorHAnsi" w:cstheme="minorHAnsi"/>
          <w:szCs w:val="24"/>
        </w:rPr>
        <w:t xml:space="preserve"> for Phenol, isopropylated phosphate (3:1) (PIP (3:1)) (CASRN 68937-41-7)</w:t>
      </w:r>
    </w:p>
    <w:p w:rsidR="00FD5A9A" w:rsidRPr="008B2CDD" w:rsidP="005702C3" w14:paraId="39F07FD8" w14:textId="77777777">
      <w:pPr>
        <w:pStyle w:val="Heading3"/>
        <w:tabs>
          <w:tab w:val="left" w:pos="1800"/>
        </w:tabs>
        <w:spacing w:after="200"/>
        <w:rPr>
          <w:rFonts w:asciiTheme="minorHAnsi" w:hAnsiTheme="minorHAnsi" w:cstheme="minorHAnsi"/>
          <w:szCs w:val="24"/>
          <w:lang w:bidi="en-US"/>
        </w:rPr>
      </w:pPr>
      <w:r w:rsidRPr="008B2CDD">
        <w:rPr>
          <w:rFonts w:asciiTheme="minorHAnsi" w:hAnsiTheme="minorHAnsi" w:cstheme="minorHAnsi"/>
          <w:szCs w:val="24"/>
          <w:lang w:bidi="en-US"/>
        </w:rPr>
        <w:t>Respondents</w:t>
      </w:r>
    </w:p>
    <w:p w:rsidR="009B2AA4" w:rsidRPr="008B2CDD" w:rsidP="009B2AA4" w14:paraId="47FC3196" w14:textId="77777777">
      <w:pPr>
        <w:rPr>
          <w:rFonts w:asciiTheme="minorHAnsi" w:hAnsiTheme="minorHAnsi" w:cstheme="minorHAnsi"/>
          <w:szCs w:val="24"/>
        </w:rPr>
      </w:pPr>
      <w:r w:rsidRPr="008B2CDD">
        <w:rPr>
          <w:rFonts w:asciiTheme="minorHAnsi" w:hAnsiTheme="minorHAnsi" w:cstheme="minorHAnsi"/>
          <w:szCs w:val="24"/>
        </w:rPr>
        <w:t xml:space="preserve">Based on the rule’s compliance dates and exemptions, the following activities involving the use of PIP (3:1) may still be ongoing: </w:t>
      </w:r>
    </w:p>
    <w:p w:rsidR="009B2AA4" w:rsidRPr="008B2CDD" w:rsidP="009B2AA4" w14:paraId="31072621"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Processing and distribution in commerce for use in hydraulic fluids either for the aviation industry or to meet military specifications for safety and performance where no alternative chemical is available that meets U.S. Department of Defense specification requirements;</w:t>
      </w:r>
    </w:p>
    <w:p w:rsidR="00E31C24" w:rsidRPr="008B2CDD" w:rsidP="00131A12" w14:paraId="203037B4"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Processing and distribution in commerce for use in lubricants and greases</w:t>
      </w:r>
      <w:r w:rsidRPr="008B2CDD" w:rsidR="00E37851">
        <w:rPr>
          <w:rFonts w:asciiTheme="minorHAnsi" w:hAnsiTheme="minorHAnsi" w:cstheme="minorHAnsi"/>
          <w:szCs w:val="24"/>
        </w:rPr>
        <w:t xml:space="preserve"> for turbine and aviation use</w:t>
      </w:r>
      <w:r w:rsidRPr="008B2CDD">
        <w:rPr>
          <w:rFonts w:asciiTheme="minorHAnsi" w:hAnsiTheme="minorHAnsi" w:cstheme="minorHAnsi"/>
          <w:szCs w:val="24"/>
        </w:rPr>
        <w:t xml:space="preserve">; </w:t>
      </w:r>
    </w:p>
    <w:p w:rsidR="00E31C24" w:rsidRPr="008B2CDD" w:rsidP="00131A12" w14:paraId="74D5A790"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 xml:space="preserve">Processing and distribution in commerce for use in new and replacement parts for the automotive and aerospace industry, and the distribution in commerce of the parts to which PIP (3:1) has been added; </w:t>
      </w:r>
    </w:p>
    <w:p w:rsidR="00E31C24" w:rsidRPr="008B2CDD" w:rsidP="00131A12" w14:paraId="438A41D6"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 xml:space="preserve">Processing and distribution in commerce for use as an intermediate in a closed system to produce cyanoacrylate adhesives; </w:t>
      </w:r>
    </w:p>
    <w:p w:rsidR="009B2AA4" w:rsidRPr="008B2CDD" w:rsidP="009B2AA4" w14:paraId="14980EC2"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 xml:space="preserve">Processing and distribution in commerce for use as an adhesive and sealant until four years after January 6, 2025; </w:t>
      </w:r>
    </w:p>
    <w:p w:rsidR="009B2AA4" w:rsidRPr="008B2CDD" w:rsidP="009B2AA4" w14:paraId="287ADE6D"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 xml:space="preserve">Processing and distribution in commerce for use in specialized engine filters for locomotive and marine applications; </w:t>
      </w:r>
    </w:p>
    <w:p w:rsidR="009B2AA4" w:rsidRPr="008B2CDD" w:rsidP="009B2AA4" w14:paraId="0CB3CD0C"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Processing for recycling and distribution in commerce for the recycling of PIP (3:1) containing plastic that has no new PIP (3:1) added during the recycling process;</w:t>
      </w:r>
    </w:p>
    <w:p w:rsidR="009B2AA4" w:rsidRPr="008B2CDD" w:rsidP="009B2AA4" w14:paraId="68CE09D7"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 xml:space="preserve">Processing and distribution in commerce of articles and products made from recycled PIP (3:1) containing plastic that has no new PIP (3:1) added during the recycling process or to the articles and products made from the recycled plastic; and </w:t>
      </w:r>
    </w:p>
    <w:p w:rsidR="009B2AA4" w:rsidRPr="008B2CDD" w:rsidP="009B2AA4" w14:paraId="435C7E0F" w14:textId="77777777">
      <w:pPr>
        <w:pStyle w:val="ListParagraph"/>
        <w:widowControl w:val="0"/>
        <w:numPr>
          <w:ilvl w:val="0"/>
          <w:numId w:val="28"/>
        </w:numPr>
        <w:tabs>
          <w:tab w:val="left" w:pos="983"/>
        </w:tabs>
        <w:autoSpaceDE w:val="0"/>
        <w:autoSpaceDN w:val="0"/>
        <w:ind w:left="720" w:hanging="360"/>
        <w:rPr>
          <w:rFonts w:asciiTheme="minorHAnsi" w:hAnsiTheme="minorHAnsi" w:cstheme="minorHAnsi"/>
          <w:szCs w:val="24"/>
        </w:rPr>
      </w:pPr>
      <w:r w:rsidRPr="008B2CDD">
        <w:rPr>
          <w:rFonts w:asciiTheme="minorHAnsi" w:hAnsiTheme="minorHAnsi" w:cstheme="minorHAnsi"/>
          <w:szCs w:val="24"/>
        </w:rPr>
        <w:t>Processing and distribution in commerce of PIP (3:1) for use in articles and PIP (3:1)-containing articles after October 31, 2024.</w:t>
      </w:r>
    </w:p>
    <w:p w:rsidR="009B2AA4" w:rsidRPr="008B2CDD" w:rsidP="009B2AA4" w14:paraId="4E5CD014" w14:textId="77777777">
      <w:pPr>
        <w:pStyle w:val="ListParagraph"/>
        <w:widowControl w:val="0"/>
        <w:tabs>
          <w:tab w:val="left" w:pos="983"/>
        </w:tabs>
        <w:autoSpaceDE w:val="0"/>
        <w:autoSpaceDN w:val="0"/>
        <w:rPr>
          <w:rFonts w:asciiTheme="minorHAnsi" w:hAnsiTheme="minorHAnsi" w:cstheme="minorHAnsi"/>
          <w:szCs w:val="24"/>
        </w:rPr>
      </w:pPr>
    </w:p>
    <w:p w:rsidR="00FD5A9A" w:rsidRPr="008B2CDD" w:rsidP="005702C3" w14:paraId="20254684" w14:textId="51524735">
      <w:pPr>
        <w:pStyle w:val="NoSpacing"/>
        <w:rPr>
          <w:rFonts w:asciiTheme="minorHAnsi" w:hAnsiTheme="minorHAnsi" w:cstheme="minorHAnsi"/>
          <w:szCs w:val="24"/>
        </w:rPr>
      </w:pPr>
      <w:r w:rsidRPr="008B2CDD">
        <w:rPr>
          <w:rFonts w:asciiTheme="minorHAnsi" w:hAnsiTheme="minorHAnsi" w:cstheme="minorHAnsi"/>
          <w:szCs w:val="24"/>
        </w:rPr>
        <w:t xml:space="preserve">Companies identified with these uses of PIP (3:1), and thus most likely affected by the paperwork requirements for </w:t>
      </w:r>
      <w:r w:rsidRPr="008B2CDD" w:rsidR="00C67AF8">
        <w:rPr>
          <w:rFonts w:asciiTheme="minorHAnsi" w:hAnsiTheme="minorHAnsi" w:cstheme="minorHAnsi"/>
          <w:szCs w:val="24"/>
        </w:rPr>
        <w:t>PIP (3:1)</w:t>
      </w:r>
      <w:r w:rsidRPr="008B2CDD">
        <w:rPr>
          <w:rFonts w:asciiTheme="minorHAnsi" w:hAnsiTheme="minorHAnsi" w:cstheme="minorHAnsi"/>
          <w:szCs w:val="24"/>
        </w:rPr>
        <w:t xml:space="preserve"> are associated with the North American Industrial Classification System codes associated with </w:t>
      </w:r>
      <w:r w:rsidRPr="008B2CDD" w:rsidR="005D49DD">
        <w:rPr>
          <w:rFonts w:asciiTheme="minorHAnsi" w:hAnsiTheme="minorHAnsi" w:cstheme="minorHAnsi"/>
          <w:szCs w:val="24"/>
        </w:rPr>
        <w:t xml:space="preserve">the following </w:t>
      </w:r>
      <w:r w:rsidRPr="008B2CDD">
        <w:rPr>
          <w:rFonts w:asciiTheme="minorHAnsi" w:hAnsiTheme="minorHAnsi" w:cstheme="minorHAnsi"/>
          <w:szCs w:val="24"/>
        </w:rPr>
        <w:t xml:space="preserve">industries: </w:t>
      </w:r>
    </w:p>
    <w:p w:rsidR="00CB23F0" w:rsidRPr="008B2CDD" w:rsidP="00CB23F0" w14:paraId="77259B6D" w14:textId="404B14EB">
      <w:pPr>
        <w:pStyle w:val="NoSpacing"/>
        <w:rPr>
          <w:rFonts w:asciiTheme="minorHAnsi" w:hAnsiTheme="minorHAnsi" w:cstheme="minorHAnsi"/>
          <w:szCs w:val="24"/>
        </w:rPr>
      </w:pPr>
    </w:p>
    <w:p w:rsidR="00CB23F0" w:rsidRPr="008B2CDD" w:rsidP="00CB23F0" w14:paraId="78C89F1A"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Adhesive Manufacturing (NAICS Code 325520);</w:t>
      </w:r>
    </w:p>
    <w:p w:rsidR="00CB23F0" w:rsidRPr="008B2CDD" w:rsidP="00CB23F0" w14:paraId="438CA80C"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Air and Gas Compressor Manufacturing (NAICS Code 333912);</w:t>
      </w:r>
    </w:p>
    <w:p w:rsidR="00CB23F0" w:rsidRPr="008B2CDD" w:rsidP="00CB23F0" w14:paraId="0617BB17"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Air-Conditioning and Warm Air Heating Equipment and Commercial and Industrial Refrigeration Equipment Manufacturing (NAICS Code 333415);</w:t>
      </w:r>
    </w:p>
    <w:p w:rsidR="00CB23F0" w:rsidRPr="008B2CDD" w:rsidP="00CB23F0" w14:paraId="577115F4"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Aircraft Engine and Engine Parts Manufacturing (NAICS Code 336412);</w:t>
      </w:r>
    </w:p>
    <w:p w:rsidR="00CB23F0" w:rsidRPr="008B2CDD" w:rsidP="00CB23F0" w14:paraId="28641F1D"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Aircraft Manufacturing (NAICS Code 336411);</w:t>
      </w:r>
    </w:p>
    <w:p w:rsidR="00CB23F0" w:rsidRPr="008B2CDD" w:rsidP="00CB23F0" w14:paraId="240A5D79"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All Other Basic Organic Chemical Manufacturing (NAICS Code 325199);</w:t>
      </w:r>
    </w:p>
    <w:p w:rsidR="00CB23F0" w:rsidRPr="008B2CDD" w:rsidP="00CB23F0" w14:paraId="3CB0BECD"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All Other Industrial Machinery Manufacturing (NAICS Code 333248);</w:t>
      </w:r>
    </w:p>
    <w:p w:rsidR="00CB23F0" w:rsidRPr="008B2CDD" w:rsidP="00CB23F0" w14:paraId="6394A22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All Other Miscellaneous Electrical Equipment and Component Manufacturing (NAICS Code 335999);</w:t>
      </w:r>
    </w:p>
    <w:p w:rsidR="00CB23F0" w:rsidRPr="008B2CDD" w:rsidP="00CB23F0" w14:paraId="581C95CB"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All Other Miscellaneous General Purpose Machinery Manufacturing (NAICS Code 333998);</w:t>
      </w:r>
    </w:p>
    <w:p w:rsidR="00CB23F0" w:rsidRPr="008B2CDD" w:rsidP="00CB23F0" w14:paraId="5BAB635D"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All Other Plastics Product Manufacturing (NAICS Code 326199);</w:t>
      </w:r>
    </w:p>
    <w:p w:rsidR="00CB23F0" w:rsidRPr="008B2CDD" w:rsidP="00CB23F0" w14:paraId="590FBFB9"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All Other Transportation Equipment Manufacturing (NAICS Code 336999);</w:t>
      </w:r>
    </w:p>
    <w:p w:rsidR="00CB23F0" w:rsidRPr="008B2CDD" w:rsidP="00CB23F0" w14:paraId="4C3B0D59"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Analytical Laboratory Instrument Manufacturing (NAICS Code 334516);</w:t>
      </w:r>
    </w:p>
    <w:p w:rsidR="00CB23F0" w:rsidRPr="008B2CDD" w:rsidP="00CB23F0" w14:paraId="107BF3D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Appliance Repair and Maintenance (NAICS Code 811412);</w:t>
      </w:r>
    </w:p>
    <w:p w:rsidR="00CB23F0" w:rsidRPr="008B2CDD" w:rsidP="00CB23F0" w14:paraId="7E453C4A"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Audio and Video Equipment Manufacturing (NAICS Code 334310);</w:t>
      </w:r>
    </w:p>
    <w:p w:rsidR="00CB23F0" w:rsidRPr="008B2CDD" w:rsidP="00CB23F0" w14:paraId="4126D8E5"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Automobile and Light Duty Motor Vehicle Manufacturing (NAICS Code 336110);</w:t>
      </w:r>
    </w:p>
    <w:p w:rsidR="00CB23F0" w:rsidRPr="008B2CDD" w:rsidP="00CB23F0" w14:paraId="0A5BA655"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Automobile and Other Motor Vehicle Merchant Wholesalers (NAICS Code 423110);</w:t>
      </w:r>
    </w:p>
    <w:p w:rsidR="00CB23F0" w:rsidRPr="008B2CDD" w:rsidP="00CB23F0" w14:paraId="7908B5E2"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Bare Printed Circuit Board Manufacturing (NAICS Code 334412);</w:t>
      </w:r>
    </w:p>
    <w:p w:rsidR="00CB23F0" w:rsidRPr="008B2CDD" w:rsidP="00CB23F0" w14:paraId="5E36A958"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Boat Building (NAICS Code 336612);</w:t>
      </w:r>
    </w:p>
    <w:p w:rsidR="00CB23F0" w:rsidRPr="008B2CDD" w:rsidP="00CB23F0" w14:paraId="720B73C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Broadwoven</w:t>
      </w:r>
      <w:r w:rsidRPr="008B2CDD">
        <w:rPr>
          <w:rFonts w:asciiTheme="minorHAnsi" w:hAnsiTheme="minorHAnsi" w:cstheme="minorHAnsi"/>
          <w:szCs w:val="24"/>
        </w:rPr>
        <w:t xml:space="preserve"> Fabric Mills (NAICS Code 313210);</w:t>
      </w:r>
    </w:p>
    <w:p w:rsidR="00CB23F0" w:rsidRPr="008B2CDD" w:rsidP="00CB23F0" w14:paraId="3C648456"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Computer and Computer Peripheral Equipment and Software Merchant Wholesalers (NAICS Code 432430);</w:t>
      </w:r>
    </w:p>
    <w:p w:rsidR="00CB23F0" w:rsidRPr="008B2CDD" w:rsidP="00CB23F0" w14:paraId="7735AD2F"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Computer Storage Device Manufacturing (NAICS Code 334112);</w:t>
      </w:r>
    </w:p>
    <w:p w:rsidR="00CB23F0" w:rsidRPr="008B2CDD" w:rsidP="00CB23F0" w14:paraId="6141CB06"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Computer Terminal and Other Computer Peripheral Equipment Manufacturing (NAICS Code 334118);</w:t>
      </w:r>
    </w:p>
    <w:p w:rsidR="00CB23F0" w:rsidRPr="008B2CDD" w:rsidP="00CB23F0" w14:paraId="34169533"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Construction Machinery Manufacturing (NAICS Code 333120);</w:t>
      </w:r>
    </w:p>
    <w:p w:rsidR="00CB23F0" w:rsidRPr="008B2CDD" w:rsidP="00CB23F0" w14:paraId="61668E35"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Current-Carrying Wiring Device Manufacturing (NAICS Code 335931);</w:t>
      </w:r>
    </w:p>
    <w:p w:rsidR="00CB23F0" w:rsidRPr="008B2CDD" w:rsidP="00CB23F0" w14:paraId="366A687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Custom Compounding of Purchased Resins (NAICS Code 325991);</w:t>
      </w:r>
    </w:p>
    <w:p w:rsidR="00CB23F0" w:rsidRPr="008B2CDD" w:rsidP="00CB23F0" w14:paraId="2B355AB8"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Electronic Computer Manufacturing (NAICS Code 334111);</w:t>
      </w:r>
    </w:p>
    <w:p w:rsidR="00CB23F0" w:rsidRPr="008B2CDD" w:rsidP="00CB23F0" w14:paraId="38E60A01"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Electronic Connector Manufacturing (NAICS Code 334417);</w:t>
      </w:r>
    </w:p>
    <w:p w:rsidR="00CB23F0" w:rsidRPr="008B2CDD" w:rsidP="00CB23F0" w14:paraId="6C1A94F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Farm and Garden Machinery and Equipment Merchant Wholesalers (NAICS Code 423820);</w:t>
      </w:r>
    </w:p>
    <w:p w:rsidR="00CB23F0" w:rsidRPr="008B2CDD" w:rsidP="00CB23F0" w14:paraId="52D0AD74"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Farm Machinery and Equipment Manufacturing (NAICS Code 333111);</w:t>
      </w:r>
    </w:p>
    <w:p w:rsidR="00CB23F0" w:rsidRPr="008B2CDD" w:rsidP="00CB23F0" w14:paraId="2A9B1522"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Guided Missile and Space Vehicle Manufacturing (NAICS Code 336414);</w:t>
      </w:r>
    </w:p>
    <w:p w:rsidR="00CB23F0" w:rsidRPr="008B2CDD" w:rsidP="00CB23F0" w14:paraId="1A867299"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Guided Missile and Space Vehicle Propulsion Unit Parts Manufacturing (NAICS Code 336415);</w:t>
      </w:r>
    </w:p>
    <w:p w:rsidR="00CB23F0" w:rsidRPr="008B2CDD" w:rsidP="00CB23F0" w14:paraId="32E728BB"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Heating Equipment (except Warm Air Furnaces) Manufacturing (NAICS Code 333414);</w:t>
      </w:r>
    </w:p>
    <w:p w:rsidR="00CB23F0" w:rsidRPr="008B2CDD" w:rsidP="00CB23F0" w14:paraId="69125CE8"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Heavy Duty Truck Manufacturing (NAICS Code 336120);</w:t>
      </w:r>
    </w:p>
    <w:p w:rsidR="00CB23F0" w:rsidRPr="008B2CDD" w:rsidP="00CB23F0" w14:paraId="00831B5C"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Household Appliances, Electric Housewares, and Consumer Electronics Merchant Wholesalers (NAICS Code 423620);</w:t>
      </w:r>
    </w:p>
    <w:p w:rsidR="00CB23F0" w:rsidRPr="008B2CDD" w:rsidP="00CB23F0" w14:paraId="40BD3B3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Industrial Machinery and Equipment Merchant Wholesalers (NAICS Code 423830);</w:t>
      </w:r>
    </w:p>
    <w:p w:rsidR="00CB23F0" w:rsidRPr="008B2CDD" w:rsidP="00CB23F0" w14:paraId="36948511"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Industrial Supplies Merchant Wholesalers (NAICS Code 423840);</w:t>
      </w:r>
    </w:p>
    <w:p w:rsidR="00CB23F0" w:rsidRPr="008B2CDD" w:rsidP="00CB23F0" w14:paraId="7AC1C04D"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Industrial Truck, Tractor, Trailer and Stacker Machinery Manufacturing (NAICS Code 333924);</w:t>
      </w:r>
    </w:p>
    <w:p w:rsidR="00CB23F0" w:rsidRPr="008B2CDD" w:rsidP="00CB23F0" w14:paraId="75FB5616"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Industrial and Commercial Fan and Blower and Air Purification Equipment Manufacturing  (NAICS Code 333413);</w:t>
      </w:r>
    </w:p>
    <w:p w:rsidR="00CB23F0" w:rsidRPr="008B2CDD" w:rsidP="00CB23F0" w14:paraId="46227D9B"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Instruments and Related Products Manufacturing for Measuring, Displaying, and Controlling Industrial Process Variables (NAICS 334513);</w:t>
      </w:r>
    </w:p>
    <w:p w:rsidR="00CB23F0" w:rsidRPr="008B2CDD" w:rsidP="00CB23F0" w14:paraId="343987A3"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Lawn and Garden Tractor and Home Lawn and Garden Equipment Manufacturing (NAICS Code 333112);</w:t>
      </w:r>
    </w:p>
    <w:p w:rsidR="00CB23F0" w:rsidRPr="008B2CDD" w:rsidP="00CB23F0" w14:paraId="1E155A6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Major Household Appliance Manufacturing (NAICS Code 335220);</w:t>
      </w:r>
    </w:p>
    <w:p w:rsidR="00CB23F0" w:rsidRPr="008B2CDD" w:rsidP="00CB23F0" w14:paraId="3438C667"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Manufacturing and Reproducing Magnetic and Optical Media (NAICS Code 334610);</w:t>
      </w:r>
    </w:p>
    <w:p w:rsidR="00CB23F0" w:rsidRPr="008B2CDD" w:rsidP="00CB23F0" w14:paraId="012039BC"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Mechanical Power Transmission Equipment Manufacturing (NAICS Code 333613);</w:t>
      </w:r>
    </w:p>
    <w:p w:rsidR="00CB23F0" w:rsidRPr="008B2CDD" w:rsidP="00CB23F0" w14:paraId="4C538C61"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Medical, Dental, and Hospital Equipment and Supplies Merchant Wholesalers (NAICS Code 423450);</w:t>
      </w:r>
    </w:p>
    <w:p w:rsidR="00CB23F0" w:rsidRPr="008B2CDD" w:rsidP="00CB23F0" w14:paraId="3C3D5016"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Mining Machinery and Equipment Manufacturing (NAICS Code 333131);</w:t>
      </w:r>
    </w:p>
    <w:p w:rsidR="00CB23F0" w:rsidRPr="008B2CDD" w:rsidP="00CB23F0" w14:paraId="1736420C"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Miscellaneous Intermediation (NAICS Code 523910);</w:t>
      </w:r>
    </w:p>
    <w:p w:rsidR="00CB23F0" w:rsidRPr="008B2CDD" w:rsidP="00CB23F0" w14:paraId="179088F9"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Motor and Generator Manufacturing (NAICS Code 335312);</w:t>
      </w:r>
    </w:p>
    <w:p w:rsidR="00CB23F0" w:rsidRPr="008B2CDD" w:rsidP="00CB23F0" w14:paraId="1EE37E4B"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Motor Vehicle Electrical and Electronic Equipment Manufacturing (NAICS Code 336320);</w:t>
      </w:r>
    </w:p>
    <w:p w:rsidR="00CB23F0" w:rsidRPr="008B2CDD" w:rsidP="00CB23F0" w14:paraId="1870C1D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Motor Vehicle Gasoline Engine and Engine Parts Manufacturing (NAICS Code 336310);</w:t>
      </w:r>
    </w:p>
    <w:p w:rsidR="00CB23F0" w:rsidRPr="008B2CDD" w:rsidP="00CB23F0" w14:paraId="38C815BD"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Motor Vehicle Supplies and New Parts Merchant Wholesalers (NAICS Code 423120);</w:t>
      </w:r>
    </w:p>
    <w:p w:rsidR="00CB23F0" w:rsidRPr="008B2CDD" w:rsidP="00CB23F0" w14:paraId="6EF6D0F1"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Motorcycle, Bicycle and Parts Manufacturing (NAICS Code 336991);</w:t>
      </w:r>
    </w:p>
    <w:p w:rsidR="00CB23F0" w:rsidRPr="008B2CDD" w:rsidP="00CB23F0" w14:paraId="0DBAB33A"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New Car Dealers (NAICS Code 441110);</w:t>
      </w:r>
    </w:p>
    <w:p w:rsidR="00CB23F0" w:rsidRPr="008B2CDD" w:rsidP="00CB23F0" w14:paraId="4E7A6D58"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Aircraft Part and Auxiliary Equipment Manufacturing (NAICS Code 336413);</w:t>
      </w:r>
    </w:p>
    <w:p w:rsidR="00CB23F0" w:rsidRPr="008B2CDD" w:rsidP="00CB23F0" w14:paraId="49C1A86D"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Basic Inorganic Chemical Manufacturing (NAICS Code 325180);</w:t>
      </w:r>
    </w:p>
    <w:p w:rsidR="00CB23F0" w:rsidRPr="008B2CDD" w:rsidP="00CB23F0" w14:paraId="2567472C"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Chemical and Allied Products Merchant Wholesalers (NAICS Code 424690);</w:t>
      </w:r>
    </w:p>
    <w:p w:rsidR="00CB23F0" w:rsidRPr="008B2CDD" w:rsidP="00CB23F0" w14:paraId="06223A34"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Commercial and Industrial Machinery and Equipment Rental and Leasing (NAICS Code 532490);</w:t>
      </w:r>
    </w:p>
    <w:p w:rsidR="00CB23F0" w:rsidRPr="008B2CDD" w:rsidP="00CB23F0" w14:paraId="6A1FA0D9"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Communications and Energy Wire Manufacturing (NAICS Code 335929);</w:t>
      </w:r>
    </w:p>
    <w:p w:rsidR="00CB23F0" w:rsidRPr="008B2CDD" w:rsidP="00CB23F0" w14:paraId="5A6A9B5E"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Communications Equipment Manufacturing (NAICS Code 334290);</w:t>
      </w:r>
    </w:p>
    <w:p w:rsidR="00CB23F0" w:rsidRPr="008B2CDD" w:rsidP="00CB23F0" w14:paraId="46D74CA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Electronic Component Manufacturing (NAICS Code 334419);</w:t>
      </w:r>
    </w:p>
    <w:p w:rsidR="00CB23F0" w:rsidRPr="008B2CDD" w:rsidP="00CB23F0" w14:paraId="4CA36A0B"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Electronic Parts and Equipment Merchant Wholesalers (NAICS Code 432690);</w:t>
      </w:r>
    </w:p>
    <w:p w:rsidR="00CB23F0" w:rsidRPr="008B2CDD" w:rsidP="00CB23F0" w14:paraId="3428129F"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Engine Equipment Manufacturing (NAICS Code 333618);</w:t>
      </w:r>
    </w:p>
    <w:p w:rsidR="00CB23F0" w:rsidRPr="008B2CDD" w:rsidP="00CB23F0" w14:paraId="005F2373"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Guided Missile and Space Vehicle Parts and Auxiliary Equipment Manufacturing (NAICS Code 336419);</w:t>
      </w:r>
    </w:p>
    <w:p w:rsidR="00CB23F0" w:rsidRPr="008B2CDD" w:rsidP="00CB23F0" w14:paraId="5CDFA368"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Other Motor Vehicle Parts Manufacturing (NAICS Code 336390);</w:t>
      </w:r>
    </w:p>
    <w:p w:rsidR="00CB23F0" w:rsidRPr="008B2CDD" w:rsidP="00CB23F0" w14:paraId="0A8CA234"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Paint and Coating Manufacturing (NAICS Code 325510);</w:t>
      </w:r>
    </w:p>
    <w:p w:rsidR="00CB23F0" w:rsidRPr="008B2CDD" w:rsidP="00CB23F0" w14:paraId="50376973"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Petroleum Lubricating Oil and Grease Manufacturing (324191);</w:t>
      </w:r>
    </w:p>
    <w:p w:rsidR="00CB23F0" w:rsidRPr="008B2CDD" w:rsidP="00CB23F0" w14:paraId="78D54255"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Petroleum Refineries (NAICS Code 324110);</w:t>
      </w:r>
    </w:p>
    <w:p w:rsidR="00CB23F0" w:rsidRPr="008B2CDD" w:rsidP="00CB23F0" w14:paraId="285EA3C0"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Plastics Material and Resin Manufacturing (NAICS Code 325211);</w:t>
      </w:r>
    </w:p>
    <w:p w:rsidR="00CB23F0" w:rsidRPr="008B2CDD" w:rsidP="00CB23F0" w14:paraId="51BCD3BE"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Plastics Product Manufacturing (NAICS Code 3261);</w:t>
      </w:r>
    </w:p>
    <w:p w:rsidR="00CB23F0" w:rsidRPr="008B2CDD" w:rsidP="00CB23F0" w14:paraId="5413F571"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Printed Circuit Assembly (Electronic Assembly) Manufacturing (NAICS Code 334418);</w:t>
      </w:r>
    </w:p>
    <w:p w:rsidR="00CB23F0" w:rsidRPr="008B2CDD" w:rsidP="00CB23F0" w14:paraId="1CBBCC97"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Plumbing, Heating, and Air-Conditioning Contractors (NAICS Code 238220);</w:t>
      </w:r>
    </w:p>
    <w:p w:rsidR="00CB23F0" w:rsidRPr="008B2CDD" w:rsidP="00CB23F0" w14:paraId="6BA47CD8"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Relay and Industrial Control Manufacturing (NAICS Code 335314);</w:t>
      </w:r>
    </w:p>
    <w:p w:rsidR="00CB23F0" w:rsidRPr="008B2CDD" w:rsidP="00CB23F0" w14:paraId="205648F5"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Semiconductor and Related Device Manufacturing (NAICS Code 334413);</w:t>
      </w:r>
    </w:p>
    <w:p w:rsidR="00CB23F0" w:rsidRPr="008B2CDD" w:rsidP="00CB23F0" w14:paraId="2939946E"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Semiconductor Machinery Manufacturing (NAICS Code 333242);</w:t>
      </w:r>
    </w:p>
    <w:p w:rsidR="00CB23F0" w:rsidRPr="008B2CDD" w:rsidP="00CB23F0" w14:paraId="210006FF"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Ship Building and Repairing (NAICS Code 336611);</w:t>
      </w:r>
    </w:p>
    <w:p w:rsidR="00CB23F0" w:rsidRPr="008B2CDD" w:rsidP="00CB23F0" w14:paraId="19191F9C"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Small Electrical Appliance Manufacturing (NAICS Code 335210);</w:t>
      </w:r>
    </w:p>
    <w:p w:rsidR="00CB23F0" w:rsidRPr="008B2CDD" w:rsidP="00CB23F0" w14:paraId="73DE5546"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Sporting and Athletic Goods Manufacturing (NAICS Code 339920);</w:t>
      </w:r>
    </w:p>
    <w:p w:rsidR="00CB23F0" w:rsidRPr="008B2CDD" w:rsidP="00CB23F0" w14:paraId="337A41B6"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Surface Active Agency Manufacturing (NAICS Code 325613);</w:t>
      </w:r>
    </w:p>
    <w:p w:rsidR="00CB23F0" w:rsidRPr="008B2CDD" w:rsidP="00CB23F0" w14:paraId="7437B084"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Surgical Appliance and Supplies Manufacturing (NAICS Code 339113);</w:t>
      </w:r>
    </w:p>
    <w:p w:rsidR="00CB23F0" w:rsidRPr="008B2CDD" w:rsidP="00CB23F0" w14:paraId="177BAA26"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Switchgear and Switchboard Apparatus Manufacturing (NAICS Code 335313); and</w:t>
      </w:r>
    </w:p>
    <w:p w:rsidR="00CB23F0" w:rsidRPr="008B2CDD" w:rsidP="00CB23F0" w14:paraId="7E3B2062" w14:textId="77777777">
      <w:pPr>
        <w:numPr>
          <w:ilvl w:val="0"/>
          <w:numId w:val="39"/>
        </w:numPr>
        <w:spacing w:line="259" w:lineRule="auto"/>
        <w:rPr>
          <w:rFonts w:asciiTheme="minorHAnsi" w:hAnsiTheme="minorHAnsi" w:cstheme="minorHAnsi"/>
          <w:szCs w:val="24"/>
        </w:rPr>
      </w:pPr>
      <w:r w:rsidRPr="008B2CDD">
        <w:rPr>
          <w:rFonts w:asciiTheme="minorHAnsi" w:hAnsiTheme="minorHAnsi" w:cstheme="minorHAnsi"/>
          <w:szCs w:val="24"/>
        </w:rPr>
        <w:t>Travel Trailer and Camper Manufacturing (NAICS Code 336214).</w:t>
      </w:r>
    </w:p>
    <w:p w:rsidR="00FD5A9A" w:rsidRPr="008B2CDD" w:rsidP="005702C3" w14:paraId="7DA2F78F" w14:textId="77777777">
      <w:pPr>
        <w:widowControl w:val="0"/>
        <w:autoSpaceDE w:val="0"/>
        <w:autoSpaceDN w:val="0"/>
        <w:rPr>
          <w:rFonts w:asciiTheme="minorHAnsi" w:hAnsiTheme="minorHAnsi" w:cstheme="minorHAnsi"/>
          <w:szCs w:val="24"/>
        </w:rPr>
      </w:pPr>
    </w:p>
    <w:p w:rsidR="00FD5A9A" w:rsidRPr="008B2CDD" w:rsidP="00C37D47" w14:paraId="70001452" w14:textId="1CC116DA">
      <w:pPr>
        <w:rPr>
          <w:rFonts w:asciiTheme="minorHAnsi" w:hAnsiTheme="minorHAnsi" w:cstheme="minorHAnsi"/>
          <w:i/>
          <w:iCs/>
          <w:szCs w:val="24"/>
          <w:u w:val="single"/>
        </w:rPr>
      </w:pPr>
      <w:r w:rsidRPr="008B2CDD">
        <w:rPr>
          <w:rFonts w:asciiTheme="minorHAnsi" w:hAnsiTheme="minorHAnsi" w:cstheme="minorHAnsi"/>
          <w:i/>
          <w:iCs/>
          <w:szCs w:val="24"/>
          <w:u w:val="single"/>
        </w:rPr>
        <w:t xml:space="preserve">Estimated Number of Potential Respondents </w:t>
      </w:r>
    </w:p>
    <w:p w:rsidR="00797E59" w:rsidRPr="008B2CDD" w:rsidP="00797E59" w14:paraId="33361BD4" w14:textId="140BDBE2">
      <w:pPr>
        <w:rPr>
          <w:rFonts w:asciiTheme="minorHAnsi" w:hAnsiTheme="minorHAnsi" w:cstheme="minorHAnsi"/>
          <w:szCs w:val="24"/>
        </w:rPr>
      </w:pPr>
      <w:r w:rsidRPr="008B2CDD">
        <w:rPr>
          <w:rFonts w:asciiTheme="minorHAnsi" w:hAnsiTheme="minorHAnsi" w:cstheme="minorHAnsi"/>
          <w:szCs w:val="24"/>
        </w:rPr>
        <w:t xml:space="preserve">Based on EPA’s Public 2020 Chemical Data Reporting (CDR) data (EPA 2019) and the activities prohibited for PIP (3:1), EPA estimates that </w:t>
      </w:r>
      <w:r w:rsidRPr="008B2CDD" w:rsidR="002563A9">
        <w:rPr>
          <w:rFonts w:asciiTheme="minorHAnsi" w:hAnsiTheme="minorHAnsi" w:cstheme="minorHAnsi"/>
          <w:szCs w:val="24"/>
        </w:rPr>
        <w:t>26,803</w:t>
      </w:r>
      <w:r w:rsidRPr="008B2CDD">
        <w:rPr>
          <w:rFonts w:asciiTheme="minorHAnsi" w:hAnsiTheme="minorHAnsi" w:cstheme="minorHAnsi"/>
          <w:szCs w:val="24"/>
        </w:rPr>
        <w:t xml:space="preserve"> respondents are subject to the paperwork requirements of the final rule for PIP (3:1). </w:t>
      </w:r>
    </w:p>
    <w:p w:rsidR="00797E59" w:rsidRPr="008B2CDD" w:rsidP="000132D4" w14:paraId="5E448E68" w14:textId="77777777">
      <w:pPr>
        <w:pStyle w:val="NoSpacing"/>
        <w:rPr>
          <w:rFonts w:asciiTheme="minorHAnsi" w:hAnsiTheme="minorHAnsi" w:cstheme="minorHAnsi"/>
          <w:szCs w:val="24"/>
        </w:rPr>
      </w:pPr>
    </w:p>
    <w:p w:rsidR="00FD5A9A" w:rsidRPr="008B2CDD" w:rsidP="00C37D47" w14:paraId="404D720D" w14:textId="77777777">
      <w:pPr>
        <w:pStyle w:val="Heading3"/>
        <w:tabs>
          <w:tab w:val="left" w:pos="1800"/>
        </w:tabs>
        <w:spacing w:after="200"/>
        <w:rPr>
          <w:rFonts w:asciiTheme="minorHAnsi" w:hAnsiTheme="minorHAnsi" w:cstheme="minorHAnsi"/>
          <w:szCs w:val="24"/>
        </w:rPr>
      </w:pPr>
      <w:r w:rsidRPr="008B2CDD">
        <w:rPr>
          <w:rFonts w:asciiTheme="minorHAnsi" w:hAnsiTheme="minorHAnsi" w:cstheme="minorHAnsi"/>
          <w:szCs w:val="24"/>
        </w:rPr>
        <w:t>Information Collection Activities</w:t>
      </w:r>
    </w:p>
    <w:p w:rsidR="00FD5A9A" w:rsidRPr="008B2CDD" w:rsidP="00BF6FAE" w14:paraId="761D31B0" w14:textId="77777777">
      <w:pPr>
        <w:rPr>
          <w:rFonts w:asciiTheme="minorHAnsi" w:hAnsiTheme="minorHAnsi" w:cstheme="minorHAnsi"/>
          <w:i/>
          <w:iCs/>
          <w:szCs w:val="24"/>
          <w:u w:val="single"/>
        </w:rPr>
      </w:pPr>
      <w:r w:rsidRPr="008B2CDD">
        <w:rPr>
          <w:rFonts w:asciiTheme="minorHAnsi" w:hAnsiTheme="minorHAnsi" w:cstheme="minorHAnsi"/>
          <w:i/>
          <w:iCs/>
          <w:szCs w:val="24"/>
          <w:u w:val="single"/>
        </w:rPr>
        <w:t xml:space="preserve">Activities and Data Items </w:t>
      </w:r>
    </w:p>
    <w:p w:rsidR="00FD5A9A" w:rsidRPr="008B2CDD" w:rsidP="00BF6FAE" w14:paraId="59082C64" w14:textId="77777777">
      <w:pPr>
        <w:pStyle w:val="NoSpacing"/>
        <w:rPr>
          <w:rFonts w:asciiTheme="minorHAnsi" w:hAnsiTheme="minorHAnsi" w:cstheme="minorHAnsi"/>
          <w:szCs w:val="24"/>
          <w:u w:val="single"/>
        </w:rPr>
      </w:pPr>
    </w:p>
    <w:p w:rsidR="0008231A" w:rsidRPr="008B2CDD" w:rsidP="0008231A" w14:paraId="1EC77162" w14:textId="77777777">
      <w:pPr>
        <w:pStyle w:val="NoSpacing"/>
        <w:rPr>
          <w:rFonts w:asciiTheme="minorHAnsi" w:hAnsiTheme="minorHAnsi" w:cstheme="minorHAnsi"/>
          <w:szCs w:val="24"/>
          <w:u w:val="single"/>
        </w:rPr>
      </w:pPr>
      <w:r w:rsidRPr="008B2CDD">
        <w:rPr>
          <w:rFonts w:asciiTheme="minorHAnsi" w:hAnsiTheme="minorHAnsi" w:cstheme="minorHAnsi"/>
          <w:szCs w:val="24"/>
          <w:u w:val="single"/>
        </w:rPr>
        <w:t>Rule Familiarization Burden</w:t>
      </w:r>
    </w:p>
    <w:p w:rsidR="0008231A" w:rsidRPr="008B2CDD" w:rsidP="0008231A" w14:paraId="3D9C96B9" w14:textId="764D7AAB">
      <w:pPr>
        <w:rPr>
          <w:rFonts w:asciiTheme="minorHAnsi" w:hAnsiTheme="minorHAnsi" w:cstheme="minorHAnsi"/>
          <w:szCs w:val="24"/>
        </w:rPr>
      </w:pPr>
      <w:r w:rsidRPr="008B2CDD">
        <w:rPr>
          <w:rFonts w:asciiTheme="minorHAnsi" w:hAnsiTheme="minorHAnsi" w:cstheme="minorHAnsi"/>
          <w:szCs w:val="24"/>
        </w:rPr>
        <w:t>EPA assumes that each manufacturer (including importers), processor, and distributor of products or articles that contain the regulated chemicals will spend three hours in the first year of the rule</w:t>
      </w:r>
      <w:r w:rsidRPr="008B2CDD" w:rsidR="00375A62">
        <w:rPr>
          <w:rFonts w:asciiTheme="minorHAnsi" w:hAnsiTheme="minorHAnsi" w:cstheme="minorHAnsi"/>
          <w:szCs w:val="24"/>
        </w:rPr>
        <w:t xml:space="preserve"> for those subject to PPE requirements and one hour for those not subject to PPE requirements for </w:t>
      </w:r>
      <w:r w:rsidRPr="008B2CDD">
        <w:rPr>
          <w:rFonts w:asciiTheme="minorHAnsi" w:hAnsiTheme="minorHAnsi" w:cstheme="minorHAnsi"/>
          <w:szCs w:val="24"/>
        </w:rPr>
        <w:t xml:space="preserve">becoming familiar with the requirements of the rule and developing an understanding of what actions are necessary to comply with the rule’s requirements. </w:t>
      </w:r>
    </w:p>
    <w:p w:rsidR="0008231A" w:rsidRPr="008B2CDD" w:rsidP="0008231A" w14:paraId="3B4EFDF1" w14:textId="77777777">
      <w:pPr>
        <w:rPr>
          <w:rFonts w:asciiTheme="minorHAnsi" w:hAnsiTheme="minorHAnsi" w:cstheme="minorHAnsi"/>
          <w:szCs w:val="24"/>
        </w:rPr>
      </w:pPr>
    </w:p>
    <w:p w:rsidR="0008231A" w:rsidRPr="008B2CDD" w:rsidP="0008231A" w14:paraId="6070CC02" w14:textId="77777777">
      <w:pPr>
        <w:keepNext/>
        <w:rPr>
          <w:rFonts w:asciiTheme="minorHAnsi" w:hAnsiTheme="minorHAnsi" w:cstheme="minorHAnsi"/>
          <w:szCs w:val="24"/>
          <w:u w:val="single"/>
        </w:rPr>
      </w:pPr>
      <w:r w:rsidRPr="008B2CDD">
        <w:rPr>
          <w:rFonts w:asciiTheme="minorHAnsi" w:hAnsiTheme="minorHAnsi" w:cstheme="minorHAnsi"/>
          <w:szCs w:val="24"/>
          <w:u w:val="single"/>
        </w:rPr>
        <w:t>Export Notification Burden</w:t>
      </w:r>
    </w:p>
    <w:p w:rsidR="0008231A" w:rsidRPr="008B2CDD" w:rsidP="0008231A" w14:paraId="17EA0D22" w14:textId="6D774B25">
      <w:pPr>
        <w:pStyle w:val="NoSpacing"/>
        <w:rPr>
          <w:rFonts w:asciiTheme="minorHAnsi" w:hAnsiTheme="minorHAnsi" w:cstheme="minorHAnsi"/>
          <w:szCs w:val="24"/>
        </w:rPr>
      </w:pPr>
      <w:r w:rsidRPr="008B2CDD">
        <w:rPr>
          <w:rFonts w:asciiTheme="minorHAnsi" w:hAnsiTheme="minorHAnsi" w:cstheme="minorHAnsi"/>
          <w:szCs w:val="24"/>
        </w:rPr>
        <w:t xml:space="preserve">There are no </w:t>
      </w:r>
      <w:r w:rsidRPr="008B2CDD" w:rsidR="008E3118">
        <w:rPr>
          <w:rFonts w:asciiTheme="minorHAnsi" w:hAnsiTheme="minorHAnsi" w:cstheme="minorHAnsi"/>
          <w:szCs w:val="24"/>
        </w:rPr>
        <w:t>export notification</w:t>
      </w:r>
      <w:r w:rsidRPr="008B2CDD">
        <w:rPr>
          <w:rFonts w:asciiTheme="minorHAnsi" w:hAnsiTheme="minorHAnsi" w:cstheme="minorHAnsi"/>
          <w:szCs w:val="24"/>
        </w:rPr>
        <w:t xml:space="preserve"> requirements for firms using PIP (3:1).</w:t>
      </w:r>
    </w:p>
    <w:p w:rsidR="0055160A" w:rsidRPr="008B2CDD" w:rsidP="0008231A" w14:paraId="32C04139" w14:textId="77777777">
      <w:pPr>
        <w:pStyle w:val="NoSpacing"/>
        <w:rPr>
          <w:rFonts w:asciiTheme="minorHAnsi" w:hAnsiTheme="minorHAnsi" w:cstheme="minorHAnsi"/>
          <w:szCs w:val="24"/>
        </w:rPr>
      </w:pPr>
    </w:p>
    <w:p w:rsidR="0055160A" w:rsidRPr="008B2CDD" w:rsidP="0055160A" w14:paraId="3222D0BA" w14:textId="77777777">
      <w:pPr>
        <w:keepNext/>
        <w:rPr>
          <w:rFonts w:asciiTheme="minorHAnsi" w:hAnsiTheme="minorHAnsi" w:cstheme="minorHAnsi"/>
          <w:szCs w:val="24"/>
          <w:u w:val="single"/>
        </w:rPr>
      </w:pPr>
      <w:r w:rsidRPr="008B2CDD">
        <w:rPr>
          <w:rFonts w:asciiTheme="minorHAnsi" w:hAnsiTheme="minorHAnsi" w:cstheme="minorHAnsi"/>
          <w:szCs w:val="24"/>
          <w:u w:val="single"/>
        </w:rPr>
        <w:t>Downstream Notification Burden</w:t>
      </w:r>
    </w:p>
    <w:p w:rsidR="0055160A" w:rsidRPr="008B2CDD" w:rsidP="0055160A" w14:paraId="423815DD" w14:textId="77777777">
      <w:pPr>
        <w:pStyle w:val="NoSpacing"/>
        <w:rPr>
          <w:rFonts w:asciiTheme="minorHAnsi" w:hAnsiTheme="minorHAnsi" w:cstheme="minorHAnsi"/>
          <w:szCs w:val="24"/>
        </w:rPr>
      </w:pPr>
      <w:r w:rsidRPr="008B2CDD">
        <w:rPr>
          <w:rFonts w:asciiTheme="minorHAnsi" w:hAnsiTheme="minorHAnsi" w:cstheme="minorHAnsi"/>
          <w:szCs w:val="24"/>
        </w:rPr>
        <w:t>EPA is also amending the downstream notification statement that must accompany shipments of PIP (3:1) or PIP (3:1) containing products to conform to the terms of the prohibitions in the final rule. Since downstream notification was required in the 2021 PIP (3:1) PBT rule, EPA generally assumes that firms have updated their product’s Safety Data Sheets (SDS) in the baseline. EPA believes that the costs of making any minor adjustments to the SDS text needed as a result of this final rule would be minimal, but since the exact number of firms modifying their SDS is unknown, incremental downstream notification costs are not quantified.</w:t>
      </w:r>
    </w:p>
    <w:p w:rsidR="0008231A" w:rsidRPr="008B2CDD" w:rsidP="0008231A" w14:paraId="09068668" w14:textId="77777777">
      <w:pPr>
        <w:pStyle w:val="NoSpacing"/>
        <w:rPr>
          <w:rFonts w:asciiTheme="minorHAnsi" w:hAnsiTheme="minorHAnsi" w:cstheme="minorHAnsi"/>
          <w:szCs w:val="24"/>
        </w:rPr>
      </w:pPr>
    </w:p>
    <w:p w:rsidR="0008231A" w:rsidRPr="008B2CDD" w:rsidP="0008231A" w14:paraId="5A5EE7F8" w14:textId="77777777">
      <w:pPr>
        <w:rPr>
          <w:rFonts w:asciiTheme="minorHAnsi" w:hAnsiTheme="minorHAnsi" w:cstheme="minorHAnsi"/>
          <w:szCs w:val="24"/>
          <w:u w:val="single"/>
        </w:rPr>
      </w:pPr>
      <w:r w:rsidRPr="008B2CDD">
        <w:rPr>
          <w:rFonts w:asciiTheme="minorHAnsi" w:hAnsiTheme="minorHAnsi" w:cstheme="minorHAnsi"/>
          <w:szCs w:val="24"/>
          <w:u w:val="single"/>
        </w:rPr>
        <w:t>Recordkeeping Burden</w:t>
      </w:r>
    </w:p>
    <w:p w:rsidR="0008231A" w:rsidRPr="008B2CDD" w:rsidP="0008231A" w14:paraId="4B120800" w14:textId="1A39B365">
      <w:pPr>
        <w:pStyle w:val="BodyText"/>
        <w:rPr>
          <w:rFonts w:asciiTheme="minorHAnsi" w:hAnsiTheme="minorHAnsi" w:cstheme="minorHAnsi"/>
          <w:szCs w:val="24"/>
        </w:rPr>
      </w:pPr>
      <w:bookmarkStart w:id="16" w:name="_Hlk165364096"/>
      <w:r w:rsidRPr="008B2CDD">
        <w:rPr>
          <w:rFonts w:asciiTheme="minorHAnsi" w:hAnsiTheme="minorHAnsi" w:cstheme="minorHAnsi"/>
          <w:szCs w:val="24"/>
        </w:rPr>
        <w:t xml:space="preserve">Manufacturers (including importers), processors, and </w:t>
      </w:r>
      <w:r w:rsidRPr="008B2CDD">
        <w:rPr>
          <w:rFonts w:asciiTheme="minorHAnsi" w:hAnsiTheme="minorHAnsi" w:cstheme="minorHAnsi"/>
          <w:color w:val="000000" w:themeColor="text1"/>
          <w:szCs w:val="24"/>
        </w:rPr>
        <w:t>distributors of the chemicals are required by the</w:t>
      </w:r>
      <w:r w:rsidRPr="008B2CDD" w:rsidR="009C7CA9">
        <w:rPr>
          <w:rFonts w:asciiTheme="minorHAnsi" w:hAnsiTheme="minorHAnsi" w:cstheme="minorHAnsi"/>
          <w:color w:val="000000" w:themeColor="text1"/>
          <w:szCs w:val="24"/>
        </w:rPr>
        <w:t xml:space="preserve"> </w:t>
      </w:r>
      <w:r w:rsidRPr="008B2CDD">
        <w:rPr>
          <w:rFonts w:asciiTheme="minorHAnsi" w:hAnsiTheme="minorHAnsi" w:cstheme="minorHAnsi"/>
          <w:color w:val="000000" w:themeColor="text1"/>
          <w:szCs w:val="24"/>
        </w:rPr>
        <w:t xml:space="preserve">final rule to maintain, for a period of </w:t>
      </w:r>
      <w:r w:rsidRPr="008B2CDD" w:rsidR="000303BC">
        <w:rPr>
          <w:rFonts w:asciiTheme="minorHAnsi" w:hAnsiTheme="minorHAnsi" w:cstheme="minorHAnsi"/>
          <w:color w:val="000000" w:themeColor="text1"/>
          <w:szCs w:val="24"/>
        </w:rPr>
        <w:t>five</w:t>
      </w:r>
      <w:r w:rsidRPr="008B2CDD">
        <w:rPr>
          <w:rFonts w:asciiTheme="minorHAnsi" w:hAnsiTheme="minorHAnsi" w:cstheme="minorHAnsi"/>
          <w:color w:val="000000" w:themeColor="text1"/>
          <w:szCs w:val="24"/>
        </w:rPr>
        <w:t xml:space="preserve"> years from the date the record is generated, </w:t>
      </w:r>
      <w:r w:rsidRPr="008B2CDD">
        <w:rPr>
          <w:rFonts w:asciiTheme="minorHAnsi" w:hAnsiTheme="minorHAnsi" w:cstheme="minorHAnsi"/>
          <w:szCs w:val="24"/>
        </w:rPr>
        <w:t xml:space="preserve">ordinary business records, such as </w:t>
      </w:r>
      <w:r w:rsidRPr="008B2CDD">
        <w:rPr>
          <w:rFonts w:asciiTheme="minorHAnsi" w:hAnsiTheme="minorHAnsi" w:cstheme="minorHAnsi"/>
          <w:color w:val="000000" w:themeColor="text1"/>
          <w:szCs w:val="24"/>
        </w:rPr>
        <w:t>bills of lading, invoices, or comparable documents related to compliance with this rule</w:t>
      </w:r>
      <w:r w:rsidRPr="008B2CDD">
        <w:rPr>
          <w:rFonts w:asciiTheme="minorHAnsi" w:hAnsiTheme="minorHAnsi" w:cstheme="minorHAnsi"/>
          <w:szCs w:val="24"/>
        </w:rPr>
        <w:t xml:space="preserve">. </w:t>
      </w:r>
    </w:p>
    <w:bookmarkEnd w:id="16"/>
    <w:p w:rsidR="0008231A" w:rsidRPr="008B2CDD" w:rsidP="0008231A" w14:paraId="0DC9B687" w14:textId="44CE91F6">
      <w:pPr>
        <w:pStyle w:val="BodyText"/>
        <w:spacing w:after="180"/>
        <w:rPr>
          <w:rFonts w:asciiTheme="minorHAnsi" w:hAnsiTheme="minorHAnsi" w:cstheme="minorHAnsi"/>
          <w:szCs w:val="24"/>
        </w:rPr>
      </w:pPr>
      <w:r w:rsidRPr="008B2CDD">
        <w:rPr>
          <w:rFonts w:asciiTheme="minorHAnsi" w:hAnsiTheme="minorHAnsi" w:cstheme="minorHAnsi"/>
          <w:szCs w:val="24"/>
        </w:rPr>
        <w:t xml:space="preserve">However, under some conditions of use, this </w:t>
      </w:r>
      <w:r w:rsidRPr="008B2CDD" w:rsidR="004372D4">
        <w:rPr>
          <w:rFonts w:asciiTheme="minorHAnsi" w:hAnsiTheme="minorHAnsi" w:cstheme="minorHAnsi"/>
          <w:szCs w:val="24"/>
        </w:rPr>
        <w:t xml:space="preserve">current </w:t>
      </w:r>
      <w:r w:rsidRPr="008B2CDD">
        <w:rPr>
          <w:rFonts w:asciiTheme="minorHAnsi" w:hAnsiTheme="minorHAnsi" w:cstheme="minorHAnsi"/>
          <w:szCs w:val="24"/>
        </w:rPr>
        <w:t xml:space="preserve">rule requires that companies provide respiratory and dermal PPE to workers. There are recordkeeping costs associated with PPE requirements, listed below. EPA estimates that PPE documentation will take small firms (less than 20 employees) </w:t>
      </w:r>
      <w:r w:rsidRPr="008B2CDD">
        <w:rPr>
          <w:rFonts w:asciiTheme="minorHAnsi" w:hAnsiTheme="minorHAnsi" w:cstheme="minorHAnsi"/>
          <w:szCs w:val="24"/>
        </w:rPr>
        <w:t>1 hour</w:t>
      </w:r>
      <w:r w:rsidRPr="008B2CDD">
        <w:rPr>
          <w:rFonts w:asciiTheme="minorHAnsi" w:hAnsiTheme="minorHAnsi" w:cstheme="minorHAnsi"/>
          <w:szCs w:val="24"/>
        </w:rPr>
        <w:t xml:space="preserve">, medium firms (20-499 employees) 4 hours, and large firms (more than 500 employees) 16 hours </w:t>
      </w:r>
      <w:r w:rsidRPr="008B2CDD" w:rsidR="00FD3D82">
        <w:rPr>
          <w:rFonts w:asciiTheme="minorHAnsi" w:hAnsiTheme="minorHAnsi" w:cstheme="minorHAnsi"/>
          <w:szCs w:val="24"/>
        </w:rPr>
        <w:t>in the first year of the rule</w:t>
      </w:r>
      <w:r w:rsidRPr="008B2CDD">
        <w:rPr>
          <w:rFonts w:asciiTheme="minorHAnsi" w:hAnsiTheme="minorHAnsi" w:cstheme="minorHAnsi"/>
          <w:szCs w:val="24"/>
        </w:rPr>
        <w:t>.</w:t>
      </w:r>
    </w:p>
    <w:p w:rsidR="0008231A" w:rsidRPr="008B2CDD" w:rsidP="0008231A" w14:paraId="0E6C1A4F" w14:textId="77777777">
      <w:pPr>
        <w:pStyle w:val="BodyText"/>
        <w:spacing w:after="180"/>
        <w:rPr>
          <w:rFonts w:asciiTheme="minorHAnsi" w:hAnsiTheme="minorHAnsi" w:cstheme="minorHAnsi"/>
          <w:b/>
          <w:szCs w:val="24"/>
        </w:rPr>
      </w:pPr>
      <w:r w:rsidRPr="008B2CDD">
        <w:rPr>
          <w:rFonts w:asciiTheme="minorHAnsi" w:hAnsiTheme="minorHAnsi" w:cstheme="minorHAnsi"/>
          <w:szCs w:val="24"/>
        </w:rPr>
        <w:t xml:space="preserve">The following must be documented according to the rule:  </w:t>
      </w:r>
    </w:p>
    <w:p w:rsidR="0008231A" w:rsidRPr="008B2CDD" w:rsidP="0008231A" w14:paraId="643A0431" w14:textId="3CADDFD0">
      <w:pPr>
        <w:pStyle w:val="BodyText"/>
        <w:spacing w:after="180"/>
        <w:rPr>
          <w:rFonts w:asciiTheme="minorHAnsi" w:hAnsiTheme="minorHAnsi" w:cstheme="minorHAnsi"/>
          <w:b/>
          <w:szCs w:val="24"/>
        </w:rPr>
      </w:pPr>
      <w:r w:rsidRPr="008B2CDD">
        <w:rPr>
          <w:rFonts w:asciiTheme="minorHAnsi" w:hAnsiTheme="minorHAnsi" w:cstheme="minorHAnsi"/>
          <w:szCs w:val="24"/>
        </w:rPr>
        <w:t>(A) The name, workplace address, work shift, job classification, and work area of each person reasonably likely to directly handle the chemical (</w:t>
      </w:r>
      <w:r w:rsidRPr="008B2CDD" w:rsidR="00964DA7">
        <w:rPr>
          <w:rFonts w:asciiTheme="minorHAnsi" w:hAnsiTheme="minorHAnsi" w:cstheme="minorHAnsi"/>
          <w:szCs w:val="24"/>
        </w:rPr>
        <w:t>PIP (3:1))</w:t>
      </w:r>
      <w:r w:rsidRPr="008B2CDD">
        <w:rPr>
          <w:rFonts w:asciiTheme="minorHAnsi" w:hAnsiTheme="minorHAnsi" w:cstheme="minorHAnsi"/>
          <w:szCs w:val="24"/>
        </w:rPr>
        <w:t xml:space="preserve"> or handle equipment or materials on which the chemical may present</w:t>
      </w:r>
      <w:r w:rsidRPr="008B2CDD" w:rsidR="00B63B09">
        <w:rPr>
          <w:rFonts w:asciiTheme="minorHAnsi" w:hAnsiTheme="minorHAnsi" w:cstheme="minorHAnsi"/>
          <w:szCs w:val="24"/>
        </w:rPr>
        <w:t>,</w:t>
      </w:r>
      <w:r w:rsidRPr="008B2CDD">
        <w:rPr>
          <w:rFonts w:asciiTheme="minorHAnsi" w:hAnsiTheme="minorHAnsi" w:cstheme="minorHAnsi"/>
          <w:szCs w:val="24"/>
        </w:rPr>
        <w:t xml:space="preserve"> and the type of PPE selected to be worn by each of these persons;</w:t>
      </w:r>
    </w:p>
    <w:p w:rsidR="0008231A" w:rsidRPr="008B2CDD" w:rsidP="0008231A" w14:paraId="20BFAE2F" w14:textId="57C702DE">
      <w:pPr>
        <w:pStyle w:val="BodyText"/>
        <w:spacing w:after="180"/>
        <w:rPr>
          <w:rFonts w:asciiTheme="minorHAnsi" w:hAnsiTheme="minorHAnsi" w:cstheme="minorHAnsi"/>
          <w:b/>
          <w:szCs w:val="24"/>
        </w:rPr>
      </w:pPr>
      <w:r w:rsidRPr="008B2CDD">
        <w:rPr>
          <w:rFonts w:asciiTheme="minorHAnsi" w:hAnsiTheme="minorHAnsi" w:cstheme="minorHAnsi"/>
          <w:szCs w:val="24"/>
        </w:rPr>
        <w:t>(B) The basis for PPE selection (e.g., demonstration based on permeation testing or manufacturer specifications that each item of PPE selected provides an impervious barrier to prevent exposure during expected duration and conditions of exposure, including the likely combinations of chemical substances to which the PPE may be exposed in the work area)</w:t>
      </w:r>
      <w:r w:rsidRPr="008B2CDD" w:rsidR="006E6FA5">
        <w:rPr>
          <w:rFonts w:asciiTheme="minorHAnsi" w:hAnsiTheme="minorHAnsi" w:cstheme="minorHAnsi"/>
          <w:szCs w:val="24"/>
        </w:rPr>
        <w:t>;</w:t>
      </w:r>
    </w:p>
    <w:p w:rsidR="0008231A" w:rsidRPr="008B2CDD" w:rsidP="0008231A" w14:paraId="748A0781" w14:textId="0E8AB1BF">
      <w:pPr>
        <w:pStyle w:val="BodyText"/>
        <w:spacing w:after="180"/>
        <w:rPr>
          <w:rFonts w:asciiTheme="minorHAnsi" w:hAnsiTheme="minorHAnsi" w:cstheme="minorHAnsi"/>
          <w:szCs w:val="24"/>
        </w:rPr>
      </w:pPr>
      <w:r w:rsidRPr="008B2CDD">
        <w:rPr>
          <w:rFonts w:asciiTheme="minorHAnsi" w:hAnsiTheme="minorHAnsi" w:cstheme="minorHAnsi"/>
          <w:szCs w:val="24"/>
        </w:rPr>
        <w:t>(C) Appropriately sized PPE and training on proper application, wear, and removal of PPE, and proper care/disposal of PPE</w:t>
      </w:r>
      <w:r w:rsidRPr="008B2CDD" w:rsidR="006E6FA5">
        <w:rPr>
          <w:rFonts w:asciiTheme="minorHAnsi" w:hAnsiTheme="minorHAnsi" w:cstheme="minorHAnsi"/>
          <w:szCs w:val="24"/>
        </w:rPr>
        <w:t xml:space="preserve">; </w:t>
      </w:r>
    </w:p>
    <w:p w:rsidR="006E6FA5" w:rsidRPr="008B2CDD" w:rsidP="0008231A" w14:paraId="30806C21" w14:textId="1FED86AC">
      <w:pPr>
        <w:pStyle w:val="BodyText"/>
        <w:spacing w:after="180"/>
        <w:rPr>
          <w:rStyle w:val="normaltextrun"/>
          <w:rFonts w:asciiTheme="minorHAnsi" w:hAnsiTheme="minorHAnsi" w:cstheme="minorHAnsi"/>
          <w:color w:val="000000"/>
          <w:szCs w:val="24"/>
          <w:shd w:val="clear" w:color="auto" w:fill="FFFFFF"/>
        </w:rPr>
      </w:pPr>
      <w:r w:rsidRPr="008B2CDD">
        <w:rPr>
          <w:rStyle w:val="normaltextrun"/>
          <w:rFonts w:asciiTheme="minorHAnsi" w:hAnsiTheme="minorHAnsi" w:cstheme="minorHAnsi"/>
          <w:color w:val="000000"/>
          <w:szCs w:val="24"/>
          <w:shd w:val="clear" w:color="auto" w:fill="FFFFFF"/>
        </w:rPr>
        <w:t>(D) The basis for the regulated area,</w:t>
      </w:r>
      <w:r w:rsidRPr="008B2CDD" w:rsidR="00041783">
        <w:rPr>
          <w:rStyle w:val="normaltextrun"/>
          <w:rFonts w:asciiTheme="minorHAnsi" w:hAnsiTheme="minorHAnsi" w:cstheme="minorHAnsi"/>
          <w:color w:val="000000"/>
          <w:szCs w:val="24"/>
          <w:shd w:val="clear" w:color="auto" w:fill="FFFFFF"/>
        </w:rPr>
        <w:t xml:space="preserve"> </w:t>
      </w:r>
      <w:r w:rsidRPr="008B2CDD">
        <w:rPr>
          <w:rStyle w:val="normaltextrun"/>
          <w:rFonts w:asciiTheme="minorHAnsi" w:hAnsiTheme="minorHAnsi" w:cstheme="minorHAnsi"/>
          <w:color w:val="000000"/>
          <w:szCs w:val="24"/>
          <w:shd w:val="clear" w:color="auto" w:fill="FFFFFF"/>
        </w:rPr>
        <w:t xml:space="preserve">including monitoring data and documentation of any </w:t>
      </w:r>
      <w:r w:rsidRPr="008B2CDD">
        <w:rPr>
          <w:rStyle w:val="findhit"/>
          <w:rFonts w:asciiTheme="minorHAnsi" w:hAnsiTheme="minorHAnsi" w:cstheme="minorHAnsi"/>
          <w:color w:val="000000"/>
          <w:szCs w:val="24"/>
        </w:rPr>
        <w:t>controls</w:t>
      </w:r>
      <w:r w:rsidRPr="008B2CDD">
        <w:rPr>
          <w:rStyle w:val="normaltextrun"/>
          <w:rFonts w:asciiTheme="minorHAnsi" w:hAnsiTheme="minorHAnsi" w:cstheme="minorHAnsi"/>
          <w:color w:val="000000"/>
          <w:szCs w:val="24"/>
          <w:shd w:val="clear" w:color="auto" w:fill="FFFFFF"/>
        </w:rPr>
        <w:t xml:space="preserve"> or combination of </w:t>
      </w:r>
      <w:r w:rsidRPr="008B2CDD">
        <w:rPr>
          <w:rStyle w:val="findhit"/>
          <w:rFonts w:asciiTheme="minorHAnsi" w:hAnsiTheme="minorHAnsi" w:cstheme="minorHAnsi"/>
          <w:color w:val="000000"/>
          <w:szCs w:val="24"/>
        </w:rPr>
        <w:t>controls</w:t>
      </w:r>
      <w:r w:rsidRPr="008B2CDD">
        <w:rPr>
          <w:rStyle w:val="normaltextrun"/>
          <w:rFonts w:asciiTheme="minorHAnsi" w:hAnsiTheme="minorHAnsi" w:cstheme="minorHAnsi"/>
          <w:color w:val="000000"/>
          <w:szCs w:val="24"/>
          <w:shd w:val="clear" w:color="auto" w:fill="FFFFFF"/>
        </w:rPr>
        <w:t xml:space="preserve"> that have reduced exposure to where airborne concentrations of PIP (3:1) can no longer reasonably be expected resulting in a smaller or no regulated area being established; and</w:t>
      </w:r>
    </w:p>
    <w:p w:rsidR="006E6FA5" w:rsidRPr="008B2CDD" w:rsidP="0008231A" w14:paraId="10ACD118" w14:textId="53867BDB">
      <w:pPr>
        <w:pStyle w:val="BodyText"/>
        <w:spacing w:after="180"/>
        <w:rPr>
          <w:rFonts w:asciiTheme="minorHAnsi" w:hAnsiTheme="minorHAnsi" w:cstheme="minorHAnsi"/>
          <w:szCs w:val="24"/>
        </w:rPr>
      </w:pPr>
      <w:r w:rsidRPr="008B2CDD">
        <w:rPr>
          <w:rStyle w:val="normaltextrun"/>
          <w:rFonts w:asciiTheme="minorHAnsi" w:hAnsiTheme="minorHAnsi" w:cstheme="minorHAnsi"/>
          <w:color w:val="000000"/>
          <w:szCs w:val="24"/>
          <w:shd w:val="clear" w:color="auto" w:fill="FFFFFF"/>
        </w:rPr>
        <w:t xml:space="preserve">(E) </w:t>
      </w:r>
      <w:r w:rsidRPr="008B2CDD" w:rsidR="00D6507C">
        <w:rPr>
          <w:rStyle w:val="normaltextrun"/>
          <w:rFonts w:asciiTheme="minorHAnsi" w:hAnsiTheme="minorHAnsi" w:cstheme="minorHAnsi"/>
          <w:color w:val="000000"/>
          <w:szCs w:val="24"/>
          <w:shd w:val="clear" w:color="auto" w:fill="FFFFFF"/>
        </w:rPr>
        <w:t>Procedures to notify</w:t>
      </w:r>
      <w:r w:rsidRPr="008B2CDD" w:rsidR="001A4C69">
        <w:rPr>
          <w:rStyle w:val="normaltextrun"/>
          <w:rFonts w:asciiTheme="minorHAnsi" w:hAnsiTheme="minorHAnsi" w:cstheme="minorHAnsi"/>
          <w:color w:val="000000"/>
          <w:szCs w:val="24"/>
          <w:shd w:val="clear" w:color="auto" w:fill="FFFFFF"/>
        </w:rPr>
        <w:t xml:space="preserve"> potentially exposed persons (employees and others in the workplace) about how they can access the exposure control plans, exposure monitoring records, PPE program implementation documentation, and respirator program documentation</w:t>
      </w:r>
      <w:r w:rsidRPr="008B2CDD" w:rsidR="00D6507C">
        <w:rPr>
          <w:rStyle w:val="normaltextrun"/>
          <w:rFonts w:asciiTheme="minorHAnsi" w:hAnsiTheme="minorHAnsi" w:cstheme="minorHAnsi"/>
          <w:color w:val="000000"/>
          <w:szCs w:val="24"/>
          <w:shd w:val="clear" w:color="auto" w:fill="FFFFFF"/>
        </w:rPr>
        <w:t>.</w:t>
      </w:r>
    </w:p>
    <w:p w:rsidR="00FD5A9A" w:rsidRPr="008B2CDD" w:rsidP="00A00F5F" w14:paraId="4FB22462" w14:textId="77777777">
      <w:pPr>
        <w:keepNext/>
        <w:rPr>
          <w:rFonts w:asciiTheme="minorHAnsi" w:hAnsiTheme="minorHAnsi" w:cstheme="minorHAnsi"/>
          <w:szCs w:val="24"/>
        </w:rPr>
      </w:pPr>
      <w:r w:rsidRPr="008B2CDD">
        <w:rPr>
          <w:rFonts w:asciiTheme="minorHAnsi" w:hAnsiTheme="minorHAnsi" w:cstheme="minorHAnsi"/>
          <w:i/>
          <w:iCs/>
          <w:szCs w:val="24"/>
          <w:u w:val="single"/>
        </w:rPr>
        <w:t>Estimated Annual IC Burden and Cost</w:t>
      </w:r>
    </w:p>
    <w:p w:rsidR="00FD5A9A" w:rsidRPr="008B2CDD" w:rsidP="00AF28CA" w14:paraId="6C48ECE6" w14:textId="44FEDDA9">
      <w:pPr>
        <w:pStyle w:val="NoSpacing"/>
        <w:keepNext/>
        <w:rPr>
          <w:rFonts w:asciiTheme="minorHAnsi" w:hAnsiTheme="minorHAnsi" w:cstheme="minorHAnsi"/>
          <w:szCs w:val="24"/>
        </w:rPr>
      </w:pPr>
      <w:r w:rsidRPr="008B2CDD">
        <w:rPr>
          <w:rFonts w:asciiTheme="minorHAnsi" w:hAnsiTheme="minorHAnsi" w:cstheme="minorHAnsi"/>
          <w:szCs w:val="24"/>
        </w:rPr>
        <w:t xml:space="preserve">EPA estimates that paperwork burden associated with rule requirements for PIP (3:1) is about </w:t>
      </w:r>
      <w:r w:rsidRPr="008B2CDD" w:rsidR="002563A9">
        <w:rPr>
          <w:rFonts w:asciiTheme="minorHAnsi" w:hAnsiTheme="minorHAnsi" w:cstheme="minorHAnsi"/>
          <w:szCs w:val="24"/>
        </w:rPr>
        <w:t>42,</w:t>
      </w:r>
      <w:r w:rsidRPr="008B2CDD" w:rsidR="00907D7B">
        <w:rPr>
          <w:rFonts w:asciiTheme="minorHAnsi" w:hAnsiTheme="minorHAnsi" w:cstheme="minorHAnsi"/>
          <w:szCs w:val="24"/>
        </w:rPr>
        <w:t>300</w:t>
      </w:r>
      <w:r w:rsidRPr="008B2CDD" w:rsidR="002563A9">
        <w:rPr>
          <w:rFonts w:asciiTheme="minorHAnsi" w:hAnsiTheme="minorHAnsi" w:cstheme="minorHAnsi"/>
          <w:szCs w:val="24"/>
        </w:rPr>
        <w:t xml:space="preserve"> </w:t>
      </w:r>
      <w:r w:rsidRPr="008B2CDD">
        <w:rPr>
          <w:rFonts w:asciiTheme="minorHAnsi" w:hAnsiTheme="minorHAnsi" w:cstheme="minorHAnsi"/>
          <w:szCs w:val="24"/>
        </w:rPr>
        <w:t>hours per year, as shown in</w:t>
      </w:r>
      <w:r w:rsidRPr="008B2CDD" w:rsidR="009C332A">
        <w:rPr>
          <w:rFonts w:asciiTheme="minorHAnsi" w:hAnsiTheme="minorHAnsi" w:cstheme="minorHAnsi"/>
          <w:szCs w:val="24"/>
        </w:rPr>
        <w:t xml:space="preserve"> </w:t>
      </w:r>
      <w:r w:rsidRPr="008B2CDD" w:rsidR="009C332A">
        <w:rPr>
          <w:rFonts w:asciiTheme="minorHAnsi" w:hAnsiTheme="minorHAnsi" w:cstheme="minorHAnsi"/>
          <w:szCs w:val="24"/>
        </w:rPr>
        <w:fldChar w:fldCharType="begin"/>
      </w:r>
      <w:r w:rsidRPr="008B2CDD" w:rsidR="009C332A">
        <w:rPr>
          <w:rFonts w:asciiTheme="minorHAnsi" w:hAnsiTheme="minorHAnsi" w:cstheme="minorHAnsi"/>
          <w:szCs w:val="24"/>
        </w:rPr>
        <w:instrText xml:space="preserve"> REF _Ref138078636 \h  \* MERGEFORMAT </w:instrText>
      </w:r>
      <w:r w:rsidRPr="008B2CDD" w:rsidR="009C332A">
        <w:rPr>
          <w:rFonts w:asciiTheme="minorHAnsi" w:hAnsiTheme="minorHAnsi" w:cstheme="minorHAnsi"/>
          <w:szCs w:val="24"/>
        </w:rPr>
        <w:fldChar w:fldCharType="separate"/>
      </w:r>
      <w:r w:rsidRPr="008B2CDD" w:rsidR="009C332A">
        <w:rPr>
          <w:rFonts w:asciiTheme="minorHAnsi" w:hAnsiTheme="minorHAnsi" w:cstheme="minorHAnsi"/>
          <w:szCs w:val="24"/>
        </w:rPr>
        <w:t>Table 4</w:t>
      </w:r>
      <w:r w:rsidRPr="008B2CDD" w:rsidR="009C332A">
        <w:rPr>
          <w:rFonts w:asciiTheme="minorHAnsi" w:hAnsiTheme="minorHAnsi" w:cstheme="minorHAnsi"/>
          <w:szCs w:val="24"/>
        </w:rPr>
        <w:fldChar w:fldCharType="end"/>
      </w:r>
      <w:r w:rsidRPr="008B2CDD">
        <w:rPr>
          <w:rFonts w:asciiTheme="minorHAnsi" w:hAnsiTheme="minorHAnsi" w:cstheme="minorHAnsi"/>
          <w:szCs w:val="24"/>
        </w:rPr>
        <w:t>.</w:t>
      </w:r>
    </w:p>
    <w:p w:rsidR="004D237C" w:rsidRPr="008B2CDD" w:rsidP="00547A2E" w14:paraId="71AB32FD" w14:textId="6E732330">
      <w:pPr>
        <w:pStyle w:val="Caption"/>
        <w:keepNext/>
        <w:rPr>
          <w:rFonts w:asciiTheme="minorHAnsi" w:hAnsiTheme="minorHAnsi" w:cstheme="minorHAnsi"/>
          <w:sz w:val="24"/>
          <w:szCs w:val="24"/>
        </w:rPr>
      </w:pPr>
    </w:p>
    <w:tbl>
      <w:tblPr>
        <w:tblW w:w="5000" w:type="pct"/>
        <w:tblLook w:val="04A0"/>
      </w:tblPr>
      <w:tblGrid>
        <w:gridCol w:w="6831"/>
        <w:gridCol w:w="1708"/>
        <w:gridCol w:w="1521"/>
      </w:tblGrid>
      <w:tr w14:paraId="707C4106" w14:textId="77777777" w:rsidTr="658CAF48">
        <w:tblPrEx>
          <w:tblW w:w="5000" w:type="pct"/>
          <w:tblLook w:val="04A0"/>
        </w:tblPrEx>
        <w:trPr>
          <w:trHeight w:val="25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vAlign w:val="center"/>
          </w:tcPr>
          <w:p w:rsidR="00152D91" w:rsidRPr="008B2CDD" w:rsidP="004D237C" w14:paraId="1BBB0359" w14:textId="3D8BA8CF">
            <w:pPr>
              <w:keepNext/>
              <w:jc w:val="center"/>
              <w:rPr>
                <w:rFonts w:eastAsia="Times New Roman" w:asciiTheme="minorHAnsi" w:hAnsiTheme="minorHAnsi" w:cstheme="minorHAnsi"/>
                <w:b/>
                <w:bCs/>
                <w:color w:val="000000"/>
                <w:szCs w:val="24"/>
              </w:rPr>
            </w:pPr>
            <w:bookmarkStart w:id="17" w:name="_Ref138078636"/>
            <w:r w:rsidRPr="008B2CDD">
              <w:rPr>
                <w:rFonts w:eastAsia="Times New Roman" w:asciiTheme="minorHAnsi" w:hAnsiTheme="minorHAnsi" w:cstheme="minorHAnsi"/>
                <w:b/>
                <w:bCs/>
                <w:color w:val="000000"/>
                <w:szCs w:val="24"/>
              </w:rPr>
              <w:t xml:space="preserve">Table </w:t>
            </w:r>
            <w:r w:rsidRPr="008B2CDD">
              <w:rPr>
                <w:rFonts w:eastAsia="Times New Roman" w:asciiTheme="minorHAnsi" w:hAnsiTheme="minorHAnsi" w:cstheme="minorHAnsi"/>
                <w:b/>
                <w:bCs/>
                <w:color w:val="000000"/>
                <w:szCs w:val="24"/>
              </w:rPr>
              <w:fldChar w:fldCharType="begin"/>
            </w:r>
            <w:r w:rsidRPr="008B2CDD">
              <w:rPr>
                <w:rFonts w:eastAsia="Times New Roman" w:asciiTheme="minorHAnsi" w:hAnsiTheme="minorHAnsi" w:cstheme="minorHAnsi"/>
                <w:b/>
                <w:bCs/>
                <w:color w:val="000000"/>
                <w:szCs w:val="24"/>
              </w:rPr>
              <w:instrText xml:space="preserve"> SEQ Table \* ARABIC </w:instrText>
            </w:r>
            <w:r w:rsidRPr="008B2CDD">
              <w:rPr>
                <w:rFonts w:eastAsia="Times New Roman" w:asciiTheme="minorHAnsi" w:hAnsiTheme="minorHAnsi" w:cstheme="minorHAnsi"/>
                <w:b/>
                <w:bCs/>
                <w:color w:val="000000"/>
                <w:szCs w:val="24"/>
              </w:rPr>
              <w:fldChar w:fldCharType="separate"/>
            </w:r>
            <w:r w:rsidRPr="008B2CDD">
              <w:rPr>
                <w:rFonts w:eastAsia="Times New Roman" w:asciiTheme="minorHAnsi" w:hAnsiTheme="minorHAnsi" w:cstheme="minorHAnsi"/>
                <w:b/>
                <w:bCs/>
                <w:color w:val="000000"/>
                <w:szCs w:val="24"/>
              </w:rPr>
              <w:t>4</w:t>
            </w:r>
            <w:r w:rsidRPr="008B2CDD">
              <w:rPr>
                <w:rFonts w:eastAsia="Times New Roman" w:asciiTheme="minorHAnsi" w:hAnsiTheme="minorHAnsi" w:cstheme="minorHAnsi"/>
                <w:b/>
                <w:bCs/>
                <w:color w:val="000000"/>
                <w:szCs w:val="24"/>
              </w:rPr>
              <w:fldChar w:fldCharType="end"/>
            </w:r>
            <w:bookmarkEnd w:id="17"/>
            <w:r w:rsidRPr="008B2CDD">
              <w:rPr>
                <w:rFonts w:eastAsia="Times New Roman" w:asciiTheme="minorHAnsi" w:hAnsiTheme="minorHAnsi" w:cstheme="minorHAnsi"/>
                <w:b/>
                <w:bCs/>
                <w:color w:val="000000"/>
                <w:szCs w:val="24"/>
              </w:rPr>
              <w:t>: IC Estimates for PIP (3:1)</w:t>
            </w:r>
          </w:p>
        </w:tc>
      </w:tr>
      <w:tr w14:paraId="41D13C9F" w14:textId="77777777" w:rsidTr="658CAF48">
        <w:tblPrEx>
          <w:tblW w:w="5000" w:type="pct"/>
          <w:tblLook w:val="04A0"/>
        </w:tblPrEx>
        <w:trPr>
          <w:trHeight w:val="250"/>
        </w:trPr>
        <w:tc>
          <w:tcPr>
            <w:tcW w:w="3395"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730582" w:rsidRPr="008B2CDD" w:rsidP="00534DA6" w14:paraId="7D1334D2"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IC Calculation:</w:t>
            </w:r>
          </w:p>
        </w:tc>
        <w:tc>
          <w:tcPr>
            <w:tcW w:w="1605" w:type="pct"/>
            <w:gridSpan w:val="2"/>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rsidR="00730582" w:rsidRPr="008B2CDD" w:rsidP="00534DA6" w14:paraId="64DE5E36" w14:textId="01174361">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EPA’s Estimates:</w:t>
            </w:r>
            <w:r w:rsidRPr="008B2CDD" w:rsidR="00CB541F">
              <w:rPr>
                <w:rFonts w:eastAsia="Times New Roman" w:asciiTheme="minorHAnsi" w:hAnsiTheme="minorHAnsi" w:cstheme="minorHAnsi"/>
                <w:b/>
                <w:bCs/>
                <w:color w:val="000000"/>
                <w:szCs w:val="24"/>
                <w:vertAlign w:val="superscript"/>
              </w:rPr>
              <w:t xml:space="preserve"> </w:t>
            </w:r>
            <w:r w:rsidRPr="008B2CDD">
              <w:rPr>
                <w:rFonts w:eastAsia="Times New Roman" w:asciiTheme="minorHAnsi" w:hAnsiTheme="minorHAnsi" w:cstheme="minorHAnsi"/>
                <w:b/>
                <w:bCs/>
                <w:color w:val="000000"/>
                <w:szCs w:val="24"/>
                <w:vertAlign w:val="superscript"/>
              </w:rPr>
              <w:t>a</w:t>
            </w:r>
          </w:p>
        </w:tc>
      </w:tr>
      <w:tr w14:paraId="53098281" w14:textId="77777777" w:rsidTr="658CAF48">
        <w:tblPrEx>
          <w:tblW w:w="5000" w:type="pct"/>
          <w:tblLook w:val="04A0"/>
        </w:tblPrEx>
        <w:trPr>
          <w:trHeight w:val="133"/>
        </w:trPr>
        <w:tc>
          <w:tcPr>
            <w:tcW w:w="5000" w:type="pct"/>
            <w:gridSpan w:val="3"/>
            <w:tcBorders>
              <w:top w:val="single" w:sz="8"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rsidR="00730582" w:rsidRPr="008B2CDD" w:rsidP="00534DA6" w14:paraId="130F7508"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1.  Responses:</w:t>
            </w:r>
          </w:p>
        </w:tc>
      </w:tr>
      <w:tr w14:paraId="45D039EA" w14:textId="77777777" w:rsidTr="658CAF48">
        <w:tblPrEx>
          <w:tblW w:w="5000" w:type="pct"/>
          <w:tblLook w:val="04A0"/>
        </w:tblPrEx>
        <w:trPr>
          <w:trHeight w:val="197"/>
        </w:trPr>
        <w:tc>
          <w:tcPr>
            <w:tcW w:w="3395" w:type="pct"/>
            <w:tcBorders>
              <w:top w:val="nil"/>
              <w:left w:val="single" w:sz="8" w:space="0" w:color="auto"/>
              <w:bottom w:val="single" w:sz="4" w:space="0" w:color="auto"/>
              <w:right w:val="single" w:sz="4" w:space="0" w:color="auto"/>
            </w:tcBorders>
            <w:vAlign w:val="center"/>
            <w:hideMark/>
          </w:tcPr>
          <w:p w:rsidR="003043C9" w:rsidRPr="008B2CDD" w:rsidP="003043C9" w14:paraId="2EE07D75" w14:textId="2B5EFBD5">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Total Number of Respondents</w:t>
            </w:r>
          </w:p>
        </w:tc>
        <w:tc>
          <w:tcPr>
            <w:tcW w:w="1605" w:type="pct"/>
            <w:gridSpan w:val="2"/>
            <w:tcBorders>
              <w:top w:val="single" w:sz="4" w:space="0" w:color="auto"/>
              <w:left w:val="nil"/>
              <w:bottom w:val="single" w:sz="4" w:space="0" w:color="auto"/>
              <w:right w:val="single" w:sz="8" w:space="0" w:color="000000" w:themeColor="text1"/>
            </w:tcBorders>
            <w:vAlign w:val="center"/>
            <w:hideMark/>
          </w:tcPr>
          <w:p w:rsidR="003043C9" w:rsidRPr="008B2CDD" w:rsidP="003043C9" w14:paraId="7539CF3C" w14:textId="495655E4">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26,803</w:t>
            </w:r>
          </w:p>
        </w:tc>
      </w:tr>
      <w:tr w14:paraId="218C4C83" w14:textId="77777777" w:rsidTr="00537081">
        <w:tblPrEx>
          <w:tblW w:w="5000" w:type="pct"/>
          <w:tblLook w:val="04A0"/>
        </w:tblPrEx>
        <w:trPr>
          <w:trHeight w:val="242"/>
        </w:trPr>
        <w:tc>
          <w:tcPr>
            <w:tcW w:w="3395" w:type="pct"/>
            <w:tcBorders>
              <w:top w:val="nil"/>
              <w:left w:val="single" w:sz="8" w:space="0" w:color="auto"/>
              <w:bottom w:val="single" w:sz="4" w:space="0" w:color="auto"/>
              <w:right w:val="single" w:sz="4" w:space="0" w:color="auto"/>
            </w:tcBorders>
            <w:vAlign w:val="center"/>
            <w:hideMark/>
          </w:tcPr>
          <w:p w:rsidR="003043C9" w:rsidRPr="008B2CDD" w:rsidP="003043C9" w14:paraId="604AAF6E"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Number of Responses (chemicals) per Respondent</w:t>
            </w:r>
          </w:p>
        </w:tc>
        <w:tc>
          <w:tcPr>
            <w:tcW w:w="1605" w:type="pct"/>
            <w:gridSpan w:val="2"/>
            <w:tcBorders>
              <w:top w:val="single" w:sz="4" w:space="0" w:color="auto"/>
              <w:left w:val="nil"/>
              <w:bottom w:val="single" w:sz="4" w:space="0" w:color="auto"/>
              <w:right w:val="single" w:sz="8" w:space="0" w:color="000000" w:themeColor="text1"/>
            </w:tcBorders>
            <w:vAlign w:val="center"/>
          </w:tcPr>
          <w:p w:rsidR="003043C9" w:rsidRPr="008B2CDD" w:rsidP="003043C9" w14:paraId="2C38FE9B" w14:textId="786ED19D">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1</w:t>
            </w:r>
          </w:p>
        </w:tc>
      </w:tr>
      <w:tr w14:paraId="6169A970" w14:textId="77777777" w:rsidTr="00537081">
        <w:tblPrEx>
          <w:tblW w:w="5000" w:type="pct"/>
          <w:tblLook w:val="04A0"/>
        </w:tblPrEx>
        <w:trPr>
          <w:trHeight w:val="260"/>
        </w:trPr>
        <w:tc>
          <w:tcPr>
            <w:tcW w:w="3395" w:type="pct"/>
            <w:tcBorders>
              <w:top w:val="nil"/>
              <w:left w:val="single" w:sz="8" w:space="0" w:color="auto"/>
              <w:bottom w:val="single" w:sz="4" w:space="0" w:color="auto"/>
              <w:right w:val="single" w:sz="4" w:space="0" w:color="auto"/>
            </w:tcBorders>
            <w:vAlign w:val="center"/>
            <w:hideMark/>
          </w:tcPr>
          <w:p w:rsidR="003043C9" w:rsidRPr="008B2CDD" w:rsidP="003043C9" w14:paraId="1E600D04"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Time Period for Each Response</w:t>
            </w:r>
          </w:p>
        </w:tc>
        <w:tc>
          <w:tcPr>
            <w:tcW w:w="1605" w:type="pct"/>
            <w:gridSpan w:val="2"/>
            <w:tcBorders>
              <w:top w:val="single" w:sz="4" w:space="0" w:color="auto"/>
              <w:left w:val="nil"/>
              <w:bottom w:val="single" w:sz="4" w:space="0" w:color="auto"/>
              <w:right w:val="single" w:sz="8" w:space="0" w:color="000000" w:themeColor="text1"/>
            </w:tcBorders>
            <w:vAlign w:val="center"/>
          </w:tcPr>
          <w:p w:rsidR="003043C9" w:rsidRPr="008B2CDD" w:rsidP="003043C9" w14:paraId="65E01A9B" w14:textId="4E6C7523">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 xml:space="preserve">On occasion </w:t>
            </w:r>
          </w:p>
        </w:tc>
      </w:tr>
      <w:tr w14:paraId="18C419D9" w14:textId="77777777" w:rsidTr="00537081">
        <w:tblPrEx>
          <w:tblW w:w="5000" w:type="pct"/>
          <w:tblLook w:val="04A0"/>
        </w:tblPrEx>
        <w:trPr>
          <w:trHeight w:val="170"/>
        </w:trPr>
        <w:tc>
          <w:tcPr>
            <w:tcW w:w="3395" w:type="pct"/>
            <w:tcBorders>
              <w:top w:val="nil"/>
              <w:left w:val="single" w:sz="8" w:space="0" w:color="auto"/>
              <w:bottom w:val="single" w:sz="4" w:space="0" w:color="auto"/>
              <w:right w:val="single" w:sz="4" w:space="0" w:color="auto"/>
            </w:tcBorders>
            <w:vAlign w:val="center"/>
            <w:hideMark/>
          </w:tcPr>
          <w:p w:rsidR="003043C9" w:rsidRPr="008B2CDD" w:rsidP="003043C9" w14:paraId="2D961491"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Annual Frequency (times per year, per respondent)</w:t>
            </w:r>
          </w:p>
        </w:tc>
        <w:tc>
          <w:tcPr>
            <w:tcW w:w="1605" w:type="pct"/>
            <w:gridSpan w:val="2"/>
            <w:tcBorders>
              <w:top w:val="single" w:sz="4" w:space="0" w:color="auto"/>
              <w:left w:val="nil"/>
              <w:bottom w:val="single" w:sz="4" w:space="0" w:color="auto"/>
              <w:right w:val="single" w:sz="8" w:space="0" w:color="000000" w:themeColor="text1"/>
            </w:tcBorders>
            <w:vAlign w:val="center"/>
          </w:tcPr>
          <w:p w:rsidR="003043C9" w:rsidRPr="008B2CDD" w:rsidP="003043C9" w14:paraId="719FC136" w14:textId="31D6985B">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1</w:t>
            </w:r>
          </w:p>
        </w:tc>
      </w:tr>
      <w:tr w14:paraId="4751F499" w14:textId="77777777" w:rsidTr="658CAF48">
        <w:tblPrEx>
          <w:tblW w:w="5000" w:type="pct"/>
          <w:tblLook w:val="04A0"/>
        </w:tblPrEx>
        <w:trPr>
          <w:trHeight w:val="197"/>
        </w:trPr>
        <w:tc>
          <w:tcPr>
            <w:tcW w:w="3395" w:type="pct"/>
            <w:tcBorders>
              <w:top w:val="nil"/>
              <w:left w:val="single" w:sz="8" w:space="0" w:color="auto"/>
              <w:bottom w:val="single" w:sz="4" w:space="0" w:color="auto"/>
              <w:right w:val="single" w:sz="4" w:space="0" w:color="auto"/>
            </w:tcBorders>
            <w:vAlign w:val="center"/>
            <w:hideMark/>
          </w:tcPr>
          <w:p w:rsidR="003043C9" w:rsidRPr="008B2CDD" w:rsidP="003043C9" w14:paraId="36205C98" w14:textId="42D0746F">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 xml:space="preserve">Annual Number of </w:t>
            </w:r>
            <w:r w:rsidRPr="008B2CDD" w:rsidR="004B0AB0">
              <w:rPr>
                <w:rFonts w:eastAsia="Times New Roman" w:asciiTheme="minorHAnsi" w:hAnsiTheme="minorHAnsi" w:cstheme="minorHAnsi"/>
                <w:b/>
                <w:bCs/>
                <w:color w:val="000000"/>
                <w:szCs w:val="24"/>
              </w:rPr>
              <w:t>Responses</w:t>
            </w:r>
          </w:p>
        </w:tc>
        <w:tc>
          <w:tcPr>
            <w:tcW w:w="1605" w:type="pct"/>
            <w:gridSpan w:val="2"/>
            <w:tcBorders>
              <w:top w:val="single" w:sz="4" w:space="0" w:color="auto"/>
              <w:left w:val="nil"/>
              <w:bottom w:val="single" w:sz="4" w:space="0" w:color="auto"/>
              <w:right w:val="single" w:sz="8" w:space="0" w:color="000000" w:themeColor="text1"/>
            </w:tcBorders>
            <w:vAlign w:val="center"/>
            <w:hideMark/>
          </w:tcPr>
          <w:p w:rsidR="003043C9" w:rsidRPr="008B2CDD" w:rsidP="003043C9" w14:paraId="128D06FE" w14:textId="53F98008">
            <w:pPr>
              <w:keepNext/>
              <w:jc w:val="right"/>
              <w:rPr>
                <w:rFonts w:eastAsia="Times New Roman" w:asciiTheme="minorHAnsi" w:hAnsiTheme="minorHAnsi" w:cstheme="minorHAnsi"/>
                <w:b/>
                <w:bCs/>
                <w:color w:val="000000"/>
                <w:szCs w:val="24"/>
              </w:rPr>
            </w:pPr>
            <w:r w:rsidRPr="008B2CDD">
              <w:rPr>
                <w:rFonts w:asciiTheme="minorHAnsi" w:hAnsiTheme="minorHAnsi" w:cstheme="minorHAnsi"/>
                <w:color w:val="000000"/>
                <w:szCs w:val="24"/>
              </w:rPr>
              <w:t>26,803</w:t>
            </w:r>
          </w:p>
        </w:tc>
      </w:tr>
      <w:tr w14:paraId="5159D478" w14:textId="77777777" w:rsidTr="658CAF48">
        <w:tblPrEx>
          <w:tblW w:w="5000" w:type="pct"/>
          <w:tblLook w:val="04A0"/>
        </w:tblPrEx>
        <w:trPr>
          <w:trHeight w:val="98"/>
        </w:trPr>
        <w:tc>
          <w:tcPr>
            <w:tcW w:w="5000" w:type="pct"/>
            <w:gridSpan w:val="3"/>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rsidR="00730582" w:rsidRPr="008B2CDD" w:rsidP="00534DA6" w14:paraId="2E215F82"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2.  Burden Hours:</w:t>
            </w:r>
          </w:p>
        </w:tc>
      </w:tr>
      <w:tr w14:paraId="151709BD" w14:textId="77777777" w:rsidTr="658CAF48">
        <w:tblPrEx>
          <w:tblW w:w="5000" w:type="pct"/>
          <w:tblLook w:val="04A0"/>
        </w:tblPrEx>
        <w:trPr>
          <w:trHeight w:val="395"/>
        </w:trPr>
        <w:tc>
          <w:tcPr>
            <w:tcW w:w="3395" w:type="pct"/>
            <w:tcBorders>
              <w:top w:val="nil"/>
              <w:left w:val="single" w:sz="8" w:space="0" w:color="auto"/>
              <w:bottom w:val="single" w:sz="4" w:space="0" w:color="auto"/>
              <w:right w:val="single" w:sz="4" w:space="0" w:color="auto"/>
            </w:tcBorders>
            <w:shd w:val="clear" w:color="auto" w:fill="BFBFBF" w:themeFill="background1" w:themeFillShade="BF"/>
            <w:vAlign w:val="center"/>
            <w:hideMark/>
          </w:tcPr>
          <w:p w:rsidR="00730582" w:rsidRPr="008B2CDD" w:rsidP="00534DA6" w14:paraId="7E38DC0D"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Activities</w:t>
            </w:r>
          </w:p>
        </w:tc>
        <w:tc>
          <w:tcPr>
            <w:tcW w:w="849" w:type="pct"/>
            <w:tcBorders>
              <w:top w:val="nil"/>
              <w:left w:val="nil"/>
              <w:bottom w:val="single" w:sz="4" w:space="0" w:color="auto"/>
              <w:right w:val="single" w:sz="4" w:space="0" w:color="auto"/>
            </w:tcBorders>
            <w:shd w:val="clear" w:color="auto" w:fill="BFBFBF" w:themeFill="background1" w:themeFillShade="BF"/>
            <w:vAlign w:val="center"/>
            <w:hideMark/>
          </w:tcPr>
          <w:p w:rsidR="00730582" w:rsidRPr="008B2CDD" w:rsidP="00534DA6" w14:paraId="665EE478" w14:textId="7D4FAA98">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 xml:space="preserve">Hour per </w:t>
            </w:r>
            <w:r w:rsidRPr="008B2CDD">
              <w:rPr>
                <w:rFonts w:eastAsia="Times New Roman" w:asciiTheme="minorHAnsi" w:hAnsiTheme="minorHAnsi" w:cstheme="minorHAnsi"/>
                <w:b/>
                <w:bCs/>
                <w:color w:val="000000"/>
                <w:szCs w:val="24"/>
              </w:rPr>
              <w:t>Response</w:t>
            </w:r>
            <w:r w:rsidRPr="008B2CDD" w:rsidR="0074400A">
              <w:rPr>
                <w:rFonts w:eastAsia="Times New Roman" w:asciiTheme="minorHAnsi" w:hAnsiTheme="minorHAnsi" w:cstheme="minorHAnsi"/>
                <w:b/>
                <w:bCs/>
                <w:color w:val="000000"/>
                <w:szCs w:val="24"/>
                <w:vertAlign w:val="superscript"/>
              </w:rPr>
              <w:t>b</w:t>
            </w:r>
          </w:p>
        </w:tc>
        <w:tc>
          <w:tcPr>
            <w:tcW w:w="756" w:type="pct"/>
            <w:tcBorders>
              <w:top w:val="nil"/>
              <w:left w:val="nil"/>
              <w:bottom w:val="single" w:sz="4" w:space="0" w:color="auto"/>
              <w:right w:val="single" w:sz="8" w:space="0" w:color="auto"/>
            </w:tcBorders>
            <w:shd w:val="clear" w:color="auto" w:fill="BFBFBF" w:themeFill="background1" w:themeFillShade="BF"/>
            <w:vAlign w:val="center"/>
            <w:hideMark/>
          </w:tcPr>
          <w:p w:rsidR="00730582" w:rsidRPr="008B2CDD" w:rsidP="00534DA6" w14:paraId="616FB246"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Annual Hour Burden</w:t>
            </w:r>
          </w:p>
        </w:tc>
      </w:tr>
      <w:tr w14:paraId="49BE2BBA" w14:textId="77777777" w:rsidTr="00547A2E">
        <w:tblPrEx>
          <w:tblW w:w="5000" w:type="pct"/>
          <w:tblLook w:val="04A0"/>
        </w:tblPrEx>
        <w:trPr>
          <w:trHeight w:val="260"/>
        </w:trPr>
        <w:tc>
          <w:tcPr>
            <w:tcW w:w="3395" w:type="pct"/>
            <w:tcBorders>
              <w:top w:val="nil"/>
              <w:left w:val="single" w:sz="8" w:space="0" w:color="auto"/>
              <w:bottom w:val="single" w:sz="4" w:space="0" w:color="auto"/>
              <w:right w:val="single" w:sz="4" w:space="0" w:color="auto"/>
            </w:tcBorders>
            <w:vAlign w:val="center"/>
            <w:hideMark/>
          </w:tcPr>
          <w:p w:rsidR="003043C9" w:rsidRPr="008B2CDD" w:rsidP="003043C9" w14:paraId="2FDD5720" w14:textId="125EAB96">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Reporting (Rule Familiarization)</w:t>
            </w:r>
          </w:p>
        </w:tc>
        <w:tc>
          <w:tcPr>
            <w:tcW w:w="849" w:type="pct"/>
            <w:tcBorders>
              <w:top w:val="nil"/>
              <w:left w:val="nil"/>
              <w:bottom w:val="single" w:sz="4" w:space="0" w:color="auto"/>
              <w:right w:val="single" w:sz="4" w:space="0" w:color="auto"/>
            </w:tcBorders>
            <w:vAlign w:val="center"/>
            <w:hideMark/>
          </w:tcPr>
          <w:p w:rsidR="003043C9" w:rsidRPr="008B2CDD" w:rsidP="003043C9" w14:paraId="59643AB1" w14:textId="54E95283">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1.0</w:t>
            </w:r>
          </w:p>
        </w:tc>
        <w:tc>
          <w:tcPr>
            <w:tcW w:w="756" w:type="pct"/>
            <w:tcBorders>
              <w:top w:val="nil"/>
              <w:left w:val="nil"/>
              <w:bottom w:val="single" w:sz="4" w:space="0" w:color="auto"/>
              <w:right w:val="single" w:sz="8" w:space="0" w:color="auto"/>
            </w:tcBorders>
            <w:vAlign w:val="center"/>
          </w:tcPr>
          <w:p w:rsidR="003043C9" w:rsidRPr="008B2CDD" w:rsidP="00804971" w14:paraId="752C90DC" w14:textId="3539E069">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26,803</w:t>
            </w:r>
          </w:p>
        </w:tc>
      </w:tr>
      <w:tr w14:paraId="15C8F62F" w14:textId="77777777" w:rsidTr="00547A2E">
        <w:tblPrEx>
          <w:tblW w:w="5000" w:type="pct"/>
          <w:tblLook w:val="04A0"/>
        </w:tblPrEx>
        <w:trPr>
          <w:trHeight w:val="315"/>
        </w:trPr>
        <w:tc>
          <w:tcPr>
            <w:tcW w:w="3395" w:type="pct"/>
            <w:tcBorders>
              <w:top w:val="nil"/>
              <w:left w:val="single" w:sz="8" w:space="0" w:color="auto"/>
              <w:bottom w:val="single" w:sz="4" w:space="0" w:color="auto"/>
              <w:right w:val="single" w:sz="4" w:space="0" w:color="auto"/>
            </w:tcBorders>
            <w:vAlign w:val="center"/>
          </w:tcPr>
          <w:p w:rsidR="003043C9" w:rsidRPr="008B2CDD" w:rsidP="003043C9" w14:paraId="3B51243B" w14:textId="6296D7DC">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Third-Party Disclosure (Export Notification)</w:t>
            </w:r>
          </w:p>
        </w:tc>
        <w:tc>
          <w:tcPr>
            <w:tcW w:w="849" w:type="pct"/>
            <w:tcBorders>
              <w:top w:val="nil"/>
              <w:left w:val="nil"/>
              <w:bottom w:val="single" w:sz="4" w:space="0" w:color="auto"/>
              <w:right w:val="single" w:sz="4" w:space="0" w:color="auto"/>
            </w:tcBorders>
            <w:vAlign w:val="center"/>
          </w:tcPr>
          <w:p w:rsidR="003043C9" w:rsidRPr="008B2CDD" w:rsidP="003043C9" w14:paraId="32E7AE6C" w14:textId="1990C3A4">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0.0</w:t>
            </w:r>
          </w:p>
        </w:tc>
        <w:tc>
          <w:tcPr>
            <w:tcW w:w="756" w:type="pct"/>
            <w:tcBorders>
              <w:top w:val="nil"/>
              <w:left w:val="nil"/>
              <w:bottom w:val="single" w:sz="4" w:space="0" w:color="auto"/>
              <w:right w:val="single" w:sz="8" w:space="0" w:color="auto"/>
            </w:tcBorders>
            <w:vAlign w:val="center"/>
          </w:tcPr>
          <w:p w:rsidR="003043C9" w:rsidRPr="008B2CDD" w:rsidP="00804971" w14:paraId="7D1B278B" w14:textId="72E684BD">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0</w:t>
            </w:r>
          </w:p>
        </w:tc>
      </w:tr>
      <w:tr w14:paraId="289B8A56" w14:textId="77777777" w:rsidTr="00547A2E">
        <w:tblPrEx>
          <w:tblW w:w="5000" w:type="pct"/>
          <w:tblLook w:val="04A0"/>
        </w:tblPrEx>
        <w:trPr>
          <w:trHeight w:val="315"/>
        </w:trPr>
        <w:tc>
          <w:tcPr>
            <w:tcW w:w="3395" w:type="pct"/>
            <w:tcBorders>
              <w:top w:val="nil"/>
              <w:left w:val="single" w:sz="8" w:space="0" w:color="auto"/>
              <w:bottom w:val="single" w:sz="4" w:space="0" w:color="auto"/>
              <w:right w:val="single" w:sz="4" w:space="0" w:color="auto"/>
            </w:tcBorders>
            <w:vAlign w:val="center"/>
          </w:tcPr>
          <w:p w:rsidR="00804971" w:rsidRPr="008B2CDD" w:rsidP="00804971" w14:paraId="6EB5E9F2" w14:textId="4FE3EBDC">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Recordkeeping (PPE Documentation, Small Manufacturer)</w:t>
            </w:r>
          </w:p>
        </w:tc>
        <w:tc>
          <w:tcPr>
            <w:tcW w:w="849" w:type="pct"/>
            <w:tcBorders>
              <w:top w:val="nil"/>
              <w:left w:val="nil"/>
              <w:bottom w:val="single" w:sz="4" w:space="0" w:color="auto"/>
              <w:right w:val="single" w:sz="4" w:space="0" w:color="auto"/>
            </w:tcBorders>
            <w:vAlign w:val="center"/>
          </w:tcPr>
          <w:p w:rsidR="00804971" w:rsidRPr="008B2CDD" w:rsidP="00804971" w14:paraId="53DCDD5A" w14:textId="6B779F48">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1.0</w:t>
            </w:r>
          </w:p>
        </w:tc>
        <w:tc>
          <w:tcPr>
            <w:tcW w:w="756" w:type="pct"/>
            <w:tcBorders>
              <w:top w:val="nil"/>
              <w:left w:val="nil"/>
              <w:bottom w:val="single" w:sz="4" w:space="0" w:color="auto"/>
              <w:right w:val="single" w:sz="8" w:space="0" w:color="auto"/>
            </w:tcBorders>
            <w:vAlign w:val="center"/>
          </w:tcPr>
          <w:p w:rsidR="00804971" w:rsidRPr="008B2CDD" w:rsidP="00804971" w14:paraId="5B24AA06" w14:textId="5FD7C6C8">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2,524</w:t>
            </w:r>
          </w:p>
        </w:tc>
      </w:tr>
      <w:tr w14:paraId="279337FA" w14:textId="77777777" w:rsidTr="00547A2E">
        <w:tblPrEx>
          <w:tblW w:w="5000" w:type="pct"/>
          <w:tblLook w:val="04A0"/>
        </w:tblPrEx>
        <w:trPr>
          <w:trHeight w:val="315"/>
        </w:trPr>
        <w:tc>
          <w:tcPr>
            <w:tcW w:w="3395" w:type="pct"/>
            <w:tcBorders>
              <w:top w:val="nil"/>
              <w:left w:val="single" w:sz="8" w:space="0" w:color="auto"/>
              <w:bottom w:val="single" w:sz="4" w:space="0" w:color="auto"/>
              <w:right w:val="single" w:sz="4" w:space="0" w:color="auto"/>
            </w:tcBorders>
            <w:vAlign w:val="center"/>
            <w:hideMark/>
          </w:tcPr>
          <w:p w:rsidR="00804971" w:rsidRPr="008B2CDD" w:rsidP="00804971" w14:paraId="1FA05650" w14:textId="4754AB73">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Recordkeeping (PPE Documentation, Medium Manufacturer)</w:t>
            </w:r>
          </w:p>
        </w:tc>
        <w:tc>
          <w:tcPr>
            <w:tcW w:w="849" w:type="pct"/>
            <w:tcBorders>
              <w:top w:val="nil"/>
              <w:left w:val="nil"/>
              <w:bottom w:val="single" w:sz="4" w:space="0" w:color="auto"/>
              <w:right w:val="single" w:sz="4" w:space="0" w:color="auto"/>
            </w:tcBorders>
            <w:vAlign w:val="center"/>
            <w:hideMark/>
          </w:tcPr>
          <w:p w:rsidR="00804971" w:rsidRPr="008B2CDD" w:rsidP="00804971" w14:paraId="651C0970" w14:textId="0DF390B7">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4.0</w:t>
            </w:r>
          </w:p>
        </w:tc>
        <w:tc>
          <w:tcPr>
            <w:tcW w:w="756" w:type="pct"/>
            <w:tcBorders>
              <w:top w:val="nil"/>
              <w:left w:val="nil"/>
              <w:bottom w:val="single" w:sz="4" w:space="0" w:color="auto"/>
              <w:right w:val="single" w:sz="8" w:space="0" w:color="auto"/>
            </w:tcBorders>
            <w:vAlign w:val="center"/>
          </w:tcPr>
          <w:p w:rsidR="00804971" w:rsidRPr="008B2CDD" w:rsidP="00804971" w14:paraId="7FA2E760" w14:textId="36E19C5B">
            <w:pPr>
              <w:keepNext/>
              <w:jc w:val="right"/>
              <w:rPr>
                <w:rFonts w:asciiTheme="minorHAnsi" w:hAnsiTheme="minorHAnsi" w:cstheme="minorHAnsi"/>
                <w:color w:val="000000"/>
                <w:szCs w:val="24"/>
              </w:rPr>
            </w:pPr>
            <w:r w:rsidRPr="008B2CDD">
              <w:rPr>
                <w:rFonts w:asciiTheme="minorHAnsi" w:hAnsiTheme="minorHAnsi" w:cstheme="minorHAnsi"/>
                <w:color w:val="000000" w:themeColor="text1"/>
                <w:szCs w:val="24"/>
              </w:rPr>
              <w:t>6,</w:t>
            </w:r>
            <w:r w:rsidRPr="008B2CDD" w:rsidR="5F834415">
              <w:rPr>
                <w:rFonts w:asciiTheme="minorHAnsi" w:hAnsiTheme="minorHAnsi" w:cstheme="minorHAnsi"/>
                <w:color w:val="000000" w:themeColor="text1"/>
                <w:szCs w:val="24"/>
              </w:rPr>
              <w:t>30</w:t>
            </w:r>
            <w:r w:rsidRPr="008B2CDD" w:rsidR="17AF57B2">
              <w:rPr>
                <w:rFonts w:asciiTheme="minorHAnsi" w:hAnsiTheme="minorHAnsi" w:cstheme="minorHAnsi"/>
                <w:color w:val="000000" w:themeColor="text1"/>
                <w:szCs w:val="24"/>
              </w:rPr>
              <w:t>4</w:t>
            </w:r>
          </w:p>
        </w:tc>
      </w:tr>
      <w:tr w14:paraId="3D28EB2C" w14:textId="77777777" w:rsidTr="00547A2E">
        <w:tblPrEx>
          <w:tblW w:w="5000" w:type="pct"/>
          <w:tblLook w:val="04A0"/>
        </w:tblPrEx>
        <w:trPr>
          <w:trHeight w:val="152"/>
        </w:trPr>
        <w:tc>
          <w:tcPr>
            <w:tcW w:w="3395" w:type="pct"/>
            <w:tcBorders>
              <w:top w:val="nil"/>
              <w:left w:val="single" w:sz="8" w:space="0" w:color="auto"/>
              <w:bottom w:val="single" w:sz="4" w:space="0" w:color="auto"/>
              <w:right w:val="single" w:sz="4" w:space="0" w:color="auto"/>
            </w:tcBorders>
            <w:vAlign w:val="center"/>
            <w:hideMark/>
          </w:tcPr>
          <w:p w:rsidR="00804971" w:rsidRPr="008B2CDD" w:rsidP="00804971" w14:paraId="55D72D16" w14:textId="365C020F">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Recordkeeping (PPE Documentation, Large Manufacturer)</w:t>
            </w:r>
          </w:p>
        </w:tc>
        <w:tc>
          <w:tcPr>
            <w:tcW w:w="849" w:type="pct"/>
            <w:tcBorders>
              <w:top w:val="nil"/>
              <w:left w:val="nil"/>
              <w:bottom w:val="single" w:sz="4" w:space="0" w:color="auto"/>
              <w:right w:val="single" w:sz="4" w:space="0" w:color="auto"/>
            </w:tcBorders>
            <w:vAlign w:val="center"/>
            <w:hideMark/>
          </w:tcPr>
          <w:p w:rsidR="00804971" w:rsidRPr="008B2CDD" w:rsidP="00804971" w14:paraId="3AE998D5" w14:textId="28433D60">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16.0</w:t>
            </w:r>
          </w:p>
        </w:tc>
        <w:tc>
          <w:tcPr>
            <w:tcW w:w="756" w:type="pct"/>
            <w:tcBorders>
              <w:top w:val="nil"/>
              <w:left w:val="nil"/>
              <w:bottom w:val="single" w:sz="4" w:space="0" w:color="auto"/>
              <w:right w:val="single" w:sz="8" w:space="0" w:color="auto"/>
            </w:tcBorders>
            <w:vAlign w:val="center"/>
          </w:tcPr>
          <w:p w:rsidR="00804971" w:rsidRPr="008B2CDD" w:rsidP="00804971" w14:paraId="2E98F62D" w14:textId="3216CF63">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6,661</w:t>
            </w:r>
          </w:p>
        </w:tc>
      </w:tr>
      <w:tr w14:paraId="1976F0A5" w14:textId="77777777" w:rsidTr="00547A2E">
        <w:tblPrEx>
          <w:tblW w:w="5000" w:type="pct"/>
          <w:tblLook w:val="04A0"/>
        </w:tblPrEx>
        <w:trPr>
          <w:trHeight w:val="188"/>
        </w:trPr>
        <w:tc>
          <w:tcPr>
            <w:tcW w:w="3395" w:type="pct"/>
            <w:tcBorders>
              <w:top w:val="nil"/>
              <w:left w:val="single" w:sz="8" w:space="0" w:color="auto"/>
              <w:bottom w:val="single" w:sz="4" w:space="0" w:color="auto"/>
              <w:right w:val="single" w:sz="4" w:space="0" w:color="auto"/>
            </w:tcBorders>
            <w:vAlign w:val="center"/>
            <w:hideMark/>
          </w:tcPr>
          <w:p w:rsidR="003043C9" w:rsidRPr="008B2CDD" w:rsidP="003043C9" w14:paraId="65D2D41E"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Total Burden Hours:</w:t>
            </w:r>
          </w:p>
        </w:tc>
        <w:tc>
          <w:tcPr>
            <w:tcW w:w="849" w:type="pct"/>
            <w:tcBorders>
              <w:top w:val="nil"/>
              <w:left w:val="nil"/>
              <w:bottom w:val="single" w:sz="4" w:space="0" w:color="auto"/>
              <w:right w:val="single" w:sz="4" w:space="0" w:color="auto"/>
            </w:tcBorders>
            <w:vAlign w:val="center"/>
            <w:hideMark/>
          </w:tcPr>
          <w:p w:rsidR="003043C9" w:rsidRPr="008B2CDD" w:rsidP="003043C9" w14:paraId="64207AA2" w14:textId="747AFF02">
            <w:pPr>
              <w:keepNext/>
              <w:jc w:val="right"/>
              <w:rPr>
                <w:rFonts w:eastAsia="Times New Roman" w:asciiTheme="minorHAnsi" w:hAnsiTheme="minorHAnsi" w:cstheme="minorHAnsi"/>
                <w:b/>
                <w:bCs/>
                <w:color w:val="000000"/>
                <w:szCs w:val="24"/>
              </w:rPr>
            </w:pPr>
            <w:r w:rsidRPr="008B2CDD">
              <w:rPr>
                <w:rFonts w:asciiTheme="minorHAnsi" w:hAnsiTheme="minorHAnsi" w:cstheme="minorHAnsi"/>
                <w:b/>
                <w:bCs/>
                <w:color w:val="000000"/>
                <w:szCs w:val="24"/>
              </w:rPr>
              <w:t>-</w:t>
            </w:r>
          </w:p>
        </w:tc>
        <w:tc>
          <w:tcPr>
            <w:tcW w:w="756" w:type="pct"/>
            <w:tcBorders>
              <w:top w:val="nil"/>
              <w:left w:val="nil"/>
              <w:bottom w:val="single" w:sz="4" w:space="0" w:color="auto"/>
              <w:right w:val="single" w:sz="8" w:space="0" w:color="auto"/>
            </w:tcBorders>
            <w:vAlign w:val="center"/>
          </w:tcPr>
          <w:p w:rsidR="003043C9" w:rsidRPr="008B2CDD" w:rsidP="00547A2E" w14:paraId="4D0D7CBB" w14:textId="55E8FC67">
            <w:pPr>
              <w:jc w:val="right"/>
              <w:rPr>
                <w:rFonts w:asciiTheme="minorHAnsi" w:hAnsiTheme="minorHAnsi" w:cstheme="minorHAnsi"/>
                <w:b/>
                <w:bCs/>
                <w:color w:val="000000"/>
                <w:szCs w:val="24"/>
              </w:rPr>
            </w:pPr>
            <w:r w:rsidRPr="008B2CDD">
              <w:rPr>
                <w:rFonts w:asciiTheme="minorHAnsi" w:hAnsiTheme="minorHAnsi" w:cstheme="minorHAnsi"/>
                <w:b/>
                <w:bCs/>
                <w:color w:val="000000"/>
                <w:szCs w:val="24"/>
              </w:rPr>
              <w:t>42,293</w:t>
            </w:r>
          </w:p>
        </w:tc>
      </w:tr>
      <w:tr w14:paraId="66DFBC3A" w14:textId="77777777" w:rsidTr="658CAF48">
        <w:tblPrEx>
          <w:tblW w:w="5000" w:type="pct"/>
          <w:tblLook w:val="04A0"/>
        </w:tblPrEx>
        <w:trPr>
          <w:trHeight w:val="80"/>
        </w:trPr>
        <w:tc>
          <w:tcPr>
            <w:tcW w:w="5000" w:type="pct"/>
            <w:gridSpan w:val="3"/>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rsidR="00730582" w:rsidRPr="008B2CDD" w:rsidP="00534DA6" w14:paraId="02FAB433"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3.  Capital and O&amp;M Costs (</w:t>
            </w:r>
            <w:r w:rsidRPr="008B2CDD">
              <w:rPr>
                <w:rFonts w:eastAsia="Times New Roman" w:asciiTheme="minorHAnsi" w:hAnsiTheme="minorHAnsi" w:cstheme="minorHAnsi"/>
                <w:b/>
                <w:bCs/>
                <w:szCs w:val="24"/>
              </w:rPr>
              <w:t>this does NOT include labor costs</w:t>
            </w:r>
            <w:r w:rsidRPr="008B2CDD">
              <w:rPr>
                <w:rFonts w:eastAsia="Times New Roman" w:asciiTheme="minorHAnsi" w:hAnsiTheme="minorHAnsi" w:cstheme="minorHAnsi"/>
                <w:b/>
                <w:bCs/>
                <w:color w:val="000000"/>
                <w:szCs w:val="24"/>
              </w:rPr>
              <w:t>):</w:t>
            </w:r>
          </w:p>
        </w:tc>
      </w:tr>
      <w:tr w14:paraId="0C94B50F" w14:textId="77777777" w:rsidTr="658CAF48">
        <w:tblPrEx>
          <w:tblW w:w="5000" w:type="pct"/>
          <w:tblLook w:val="04A0"/>
        </w:tblPrEx>
        <w:trPr>
          <w:trHeight w:val="287"/>
        </w:trPr>
        <w:tc>
          <w:tcPr>
            <w:tcW w:w="3395" w:type="pc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730582" w:rsidRPr="008B2CDD" w:rsidP="00534DA6" w14:paraId="3044E3A7"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Activities</w:t>
            </w:r>
          </w:p>
        </w:tc>
        <w:tc>
          <w:tcPr>
            <w:tcW w:w="849" w:type="pct"/>
            <w:tcBorders>
              <w:top w:val="nil"/>
              <w:left w:val="nil"/>
              <w:bottom w:val="single" w:sz="4" w:space="0" w:color="auto"/>
              <w:right w:val="single" w:sz="4" w:space="0" w:color="auto"/>
            </w:tcBorders>
            <w:shd w:val="clear" w:color="auto" w:fill="BFBFBF" w:themeFill="background1" w:themeFillShade="BF"/>
            <w:vAlign w:val="center"/>
            <w:hideMark/>
          </w:tcPr>
          <w:p w:rsidR="00730582" w:rsidRPr="008B2CDD" w:rsidP="00534DA6" w14:paraId="5DDE3B55"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Cost per Response</w:t>
            </w:r>
          </w:p>
        </w:tc>
        <w:tc>
          <w:tcPr>
            <w:tcW w:w="756" w:type="pct"/>
            <w:tcBorders>
              <w:top w:val="nil"/>
              <w:left w:val="nil"/>
              <w:bottom w:val="single" w:sz="4" w:space="0" w:color="auto"/>
              <w:right w:val="single" w:sz="8" w:space="0" w:color="auto"/>
            </w:tcBorders>
            <w:shd w:val="clear" w:color="auto" w:fill="BFBFBF" w:themeFill="background1" w:themeFillShade="BF"/>
            <w:vAlign w:val="center"/>
            <w:hideMark/>
          </w:tcPr>
          <w:p w:rsidR="00730582" w:rsidRPr="008B2CDD" w:rsidP="00534DA6" w14:paraId="31971887"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Annual Cost</w:t>
            </w:r>
          </w:p>
        </w:tc>
      </w:tr>
      <w:tr w14:paraId="45B2F9DD" w14:textId="77777777" w:rsidTr="00AC5621">
        <w:tblPrEx>
          <w:tblW w:w="5000" w:type="pct"/>
          <w:tblLook w:val="04A0"/>
        </w:tblPrEx>
        <w:trPr>
          <w:trHeight w:val="98"/>
        </w:trPr>
        <w:tc>
          <w:tcPr>
            <w:tcW w:w="3395" w:type="pct"/>
            <w:tcBorders>
              <w:top w:val="single" w:sz="4" w:space="0" w:color="auto"/>
              <w:left w:val="single" w:sz="8" w:space="0" w:color="auto"/>
              <w:bottom w:val="single" w:sz="4" w:space="0" w:color="auto"/>
              <w:right w:val="single" w:sz="4" w:space="0" w:color="auto"/>
            </w:tcBorders>
            <w:vAlign w:val="center"/>
            <w:hideMark/>
          </w:tcPr>
          <w:p w:rsidR="003043C9" w:rsidRPr="008B2CDD" w:rsidP="003043C9" w14:paraId="3FF2B4E6" w14:textId="6CB208BD">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Reporting (Rule Familiarization)</w:t>
            </w:r>
          </w:p>
        </w:tc>
        <w:tc>
          <w:tcPr>
            <w:tcW w:w="849" w:type="pct"/>
            <w:tcBorders>
              <w:top w:val="nil"/>
              <w:left w:val="nil"/>
              <w:bottom w:val="single" w:sz="4" w:space="0" w:color="auto"/>
              <w:right w:val="single" w:sz="4" w:space="0" w:color="auto"/>
            </w:tcBorders>
            <w:vAlign w:val="center"/>
            <w:hideMark/>
          </w:tcPr>
          <w:p w:rsidR="003043C9" w:rsidRPr="008B2CDD" w:rsidP="003043C9" w14:paraId="5D12BB16" w14:textId="59E4EF47">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756" w:type="pct"/>
            <w:tcBorders>
              <w:top w:val="nil"/>
              <w:left w:val="nil"/>
              <w:bottom w:val="single" w:sz="4" w:space="0" w:color="auto"/>
              <w:right w:val="single" w:sz="4" w:space="0" w:color="auto"/>
            </w:tcBorders>
            <w:vAlign w:val="center"/>
            <w:hideMark/>
          </w:tcPr>
          <w:p w:rsidR="003043C9" w:rsidRPr="008B2CDD" w:rsidP="003043C9" w14:paraId="32A02B89" w14:textId="59BBC508">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39ADBACB" w14:textId="77777777" w:rsidTr="00AC5621">
        <w:tblPrEx>
          <w:tblW w:w="5000" w:type="pct"/>
          <w:tblLook w:val="04A0"/>
        </w:tblPrEx>
        <w:trPr>
          <w:trHeight w:val="125"/>
        </w:trPr>
        <w:tc>
          <w:tcPr>
            <w:tcW w:w="3395" w:type="pct"/>
            <w:tcBorders>
              <w:top w:val="single" w:sz="4" w:space="0" w:color="auto"/>
              <w:left w:val="single" w:sz="8" w:space="0" w:color="auto"/>
              <w:bottom w:val="single" w:sz="4" w:space="0" w:color="auto"/>
              <w:right w:val="single" w:sz="4" w:space="0" w:color="auto"/>
            </w:tcBorders>
            <w:vAlign w:val="center"/>
            <w:hideMark/>
          </w:tcPr>
          <w:p w:rsidR="003043C9" w:rsidRPr="008B2CDD" w:rsidP="003043C9" w14:paraId="7E287DFB" w14:textId="1382A11F">
            <w:pPr>
              <w:keepNext/>
              <w:rPr>
                <w:rFonts w:eastAsia="Times New Roman" w:asciiTheme="minorHAnsi" w:hAnsiTheme="minorHAnsi" w:cstheme="minorHAnsi"/>
                <w:color w:val="000000"/>
                <w:szCs w:val="24"/>
              </w:rPr>
            </w:pPr>
            <w:r w:rsidRPr="008B2CDD">
              <w:rPr>
                <w:rFonts w:asciiTheme="minorHAnsi" w:hAnsiTheme="minorHAnsi" w:cstheme="minorHAnsi"/>
                <w:color w:val="000000"/>
                <w:szCs w:val="24"/>
              </w:rPr>
              <w:t>Third-Party Disclosure (Export Notification)</w:t>
            </w:r>
          </w:p>
        </w:tc>
        <w:tc>
          <w:tcPr>
            <w:tcW w:w="849" w:type="pct"/>
            <w:tcBorders>
              <w:top w:val="nil"/>
              <w:left w:val="nil"/>
              <w:bottom w:val="single" w:sz="4" w:space="0" w:color="auto"/>
              <w:right w:val="single" w:sz="4" w:space="0" w:color="auto"/>
            </w:tcBorders>
            <w:vAlign w:val="center"/>
            <w:hideMark/>
          </w:tcPr>
          <w:p w:rsidR="003043C9" w:rsidRPr="008B2CDD" w:rsidP="003043C9" w14:paraId="7275F932" w14:textId="64BA07EB">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756" w:type="pct"/>
            <w:tcBorders>
              <w:top w:val="nil"/>
              <w:left w:val="nil"/>
              <w:bottom w:val="single" w:sz="4" w:space="0" w:color="auto"/>
              <w:right w:val="single" w:sz="4" w:space="0" w:color="auto"/>
            </w:tcBorders>
            <w:vAlign w:val="center"/>
            <w:hideMark/>
          </w:tcPr>
          <w:p w:rsidR="003043C9" w:rsidRPr="008B2CDD" w:rsidP="003043C9" w14:paraId="32E5EC79" w14:textId="4514CC3C">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58E8283D" w14:textId="77777777" w:rsidTr="00AC5621">
        <w:tblPrEx>
          <w:tblW w:w="5000" w:type="pct"/>
          <w:tblLook w:val="04A0"/>
        </w:tblPrEx>
        <w:trPr>
          <w:trHeight w:val="152"/>
        </w:trPr>
        <w:tc>
          <w:tcPr>
            <w:tcW w:w="3395" w:type="pct"/>
            <w:tcBorders>
              <w:top w:val="single" w:sz="4" w:space="0" w:color="auto"/>
              <w:left w:val="single" w:sz="8" w:space="0" w:color="auto"/>
              <w:bottom w:val="single" w:sz="4" w:space="0" w:color="auto"/>
              <w:right w:val="single" w:sz="4" w:space="0" w:color="auto"/>
            </w:tcBorders>
            <w:vAlign w:val="center"/>
          </w:tcPr>
          <w:p w:rsidR="003043C9" w:rsidRPr="008B2CDD" w:rsidP="003043C9" w14:paraId="1F6A57C7" w14:textId="298AEA0E">
            <w:pPr>
              <w:keepNext/>
              <w:rPr>
                <w:rFonts w:eastAsia="Times New Roman" w:asciiTheme="minorHAnsi" w:hAnsiTheme="minorHAnsi" w:cstheme="minorHAnsi"/>
                <w:color w:val="000000"/>
                <w:szCs w:val="24"/>
              </w:rPr>
            </w:pPr>
            <w:r w:rsidRPr="008B2CDD">
              <w:rPr>
                <w:rFonts w:asciiTheme="minorHAnsi" w:hAnsiTheme="minorHAnsi" w:cstheme="minorHAnsi"/>
                <w:color w:val="000000" w:themeColor="text1"/>
                <w:szCs w:val="24"/>
              </w:rPr>
              <w:t>Recordkeeping (PPE Documentation, Small Manufacturer)</w:t>
            </w:r>
            <w:r w:rsidRPr="008B2CDD" w:rsidR="2357E99F">
              <w:rPr>
                <w:rFonts w:asciiTheme="minorHAnsi" w:hAnsiTheme="minorHAnsi" w:cstheme="minorHAnsi"/>
                <w:color w:val="000000" w:themeColor="text1"/>
                <w:szCs w:val="24"/>
                <w:vertAlign w:val="superscript"/>
              </w:rPr>
              <w:t>c</w:t>
            </w:r>
          </w:p>
        </w:tc>
        <w:tc>
          <w:tcPr>
            <w:tcW w:w="849" w:type="pct"/>
            <w:tcBorders>
              <w:top w:val="nil"/>
              <w:left w:val="nil"/>
              <w:bottom w:val="single" w:sz="4" w:space="0" w:color="auto"/>
              <w:right w:val="single" w:sz="4" w:space="0" w:color="auto"/>
            </w:tcBorders>
            <w:vAlign w:val="center"/>
          </w:tcPr>
          <w:p w:rsidR="003043C9" w:rsidRPr="008B2CDD" w:rsidP="003043C9" w14:paraId="4DB62676" w14:textId="031A9082">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756" w:type="pct"/>
            <w:tcBorders>
              <w:top w:val="nil"/>
              <w:left w:val="nil"/>
              <w:bottom w:val="single" w:sz="4" w:space="0" w:color="auto"/>
              <w:right w:val="single" w:sz="8" w:space="0" w:color="auto"/>
            </w:tcBorders>
            <w:vAlign w:val="center"/>
          </w:tcPr>
          <w:p w:rsidR="003043C9" w:rsidRPr="008B2CDD" w:rsidP="003043C9" w14:paraId="5FEE6D68" w14:textId="2D26855F">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32B2461C" w14:textId="77777777" w:rsidTr="00AC5621">
        <w:tblPrEx>
          <w:tblW w:w="5000" w:type="pct"/>
          <w:tblLook w:val="04A0"/>
        </w:tblPrEx>
        <w:trPr>
          <w:trHeight w:val="152"/>
        </w:trPr>
        <w:tc>
          <w:tcPr>
            <w:tcW w:w="3395" w:type="pct"/>
            <w:tcBorders>
              <w:top w:val="single" w:sz="4" w:space="0" w:color="auto"/>
              <w:left w:val="single" w:sz="8" w:space="0" w:color="auto"/>
              <w:bottom w:val="single" w:sz="4" w:space="0" w:color="auto"/>
              <w:right w:val="single" w:sz="4" w:space="0" w:color="auto"/>
            </w:tcBorders>
            <w:vAlign w:val="center"/>
          </w:tcPr>
          <w:p w:rsidR="003043C9" w:rsidRPr="008B2CDD" w:rsidP="00AF28CA" w14:paraId="45B00B83" w14:textId="79C6159B">
            <w:pPr>
              <w:pStyle w:val="NoSpacing"/>
              <w:keepNext/>
              <w:rPr>
                <w:rFonts w:eastAsia="Times New Roman" w:asciiTheme="minorHAnsi" w:hAnsiTheme="minorHAnsi" w:cstheme="minorHAnsi"/>
                <w:color w:val="000000"/>
                <w:szCs w:val="24"/>
              </w:rPr>
            </w:pPr>
            <w:r w:rsidRPr="008B2CDD">
              <w:rPr>
                <w:rFonts w:asciiTheme="minorHAnsi" w:hAnsiTheme="minorHAnsi" w:cstheme="minorHAnsi"/>
                <w:color w:val="000000" w:themeColor="text1"/>
                <w:szCs w:val="24"/>
              </w:rPr>
              <w:t>Recordkeeping (PPE Documentation, Medium Manufacturer)</w:t>
            </w:r>
            <w:r w:rsidRPr="008B2CDD" w:rsidR="17CA28C5">
              <w:rPr>
                <w:rFonts w:asciiTheme="minorHAnsi" w:hAnsiTheme="minorHAnsi" w:cstheme="minorHAnsi"/>
                <w:color w:val="000000" w:themeColor="text1"/>
                <w:szCs w:val="24"/>
              </w:rPr>
              <w:t>)</w:t>
            </w:r>
            <w:r w:rsidRPr="008B2CDD" w:rsidR="17CA28C5">
              <w:rPr>
                <w:rFonts w:asciiTheme="minorHAnsi" w:hAnsiTheme="minorHAnsi" w:cstheme="minorHAnsi"/>
                <w:color w:val="000000" w:themeColor="text1"/>
                <w:szCs w:val="24"/>
                <w:vertAlign w:val="superscript"/>
              </w:rPr>
              <w:t>c</w:t>
            </w:r>
          </w:p>
        </w:tc>
        <w:tc>
          <w:tcPr>
            <w:tcW w:w="849" w:type="pct"/>
            <w:tcBorders>
              <w:top w:val="nil"/>
              <w:left w:val="nil"/>
              <w:bottom w:val="single" w:sz="4" w:space="0" w:color="auto"/>
              <w:right w:val="single" w:sz="4" w:space="0" w:color="auto"/>
            </w:tcBorders>
            <w:vAlign w:val="center"/>
          </w:tcPr>
          <w:p w:rsidR="003043C9" w:rsidRPr="008B2CDD" w:rsidP="003043C9" w14:paraId="0DB6878B" w14:textId="39D7658E">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756" w:type="pct"/>
            <w:tcBorders>
              <w:top w:val="nil"/>
              <w:left w:val="nil"/>
              <w:bottom w:val="single" w:sz="4" w:space="0" w:color="auto"/>
              <w:right w:val="single" w:sz="8" w:space="0" w:color="auto"/>
            </w:tcBorders>
            <w:vAlign w:val="center"/>
          </w:tcPr>
          <w:p w:rsidR="003043C9" w:rsidRPr="008B2CDD" w:rsidP="003043C9" w14:paraId="2E7AA901" w14:textId="175FD37A">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24BC1702" w14:textId="77777777" w:rsidTr="00AC5621">
        <w:tblPrEx>
          <w:tblW w:w="5000" w:type="pct"/>
          <w:tblLook w:val="04A0"/>
        </w:tblPrEx>
        <w:trPr>
          <w:trHeight w:val="152"/>
        </w:trPr>
        <w:tc>
          <w:tcPr>
            <w:tcW w:w="3395" w:type="pct"/>
            <w:tcBorders>
              <w:top w:val="single" w:sz="4" w:space="0" w:color="auto"/>
              <w:left w:val="single" w:sz="8" w:space="0" w:color="auto"/>
              <w:bottom w:val="single" w:sz="4" w:space="0" w:color="auto"/>
              <w:right w:val="single" w:sz="4" w:space="0" w:color="auto"/>
            </w:tcBorders>
            <w:vAlign w:val="center"/>
            <w:hideMark/>
          </w:tcPr>
          <w:p w:rsidR="003043C9" w:rsidRPr="008B2CDD" w:rsidP="00AF28CA" w14:paraId="58E3D99B" w14:textId="063ADD39">
            <w:pPr>
              <w:pStyle w:val="NoSpacing"/>
              <w:keepNext/>
              <w:rPr>
                <w:rFonts w:eastAsia="Times New Roman" w:asciiTheme="minorHAnsi" w:hAnsiTheme="minorHAnsi" w:cstheme="minorHAnsi"/>
                <w:color w:val="000000"/>
                <w:szCs w:val="24"/>
              </w:rPr>
            </w:pPr>
            <w:r w:rsidRPr="008B2CDD">
              <w:rPr>
                <w:rFonts w:asciiTheme="minorHAnsi" w:hAnsiTheme="minorHAnsi" w:cstheme="minorHAnsi"/>
                <w:color w:val="000000" w:themeColor="text1"/>
                <w:szCs w:val="24"/>
              </w:rPr>
              <w:t>Recordkeeping (PPE Documentation, Large Manufacturer)</w:t>
            </w:r>
            <w:r w:rsidRPr="008B2CDD" w:rsidR="4FF96AA8">
              <w:rPr>
                <w:rFonts w:asciiTheme="minorHAnsi" w:hAnsiTheme="minorHAnsi" w:cstheme="minorHAnsi"/>
                <w:color w:val="000000" w:themeColor="text1"/>
                <w:szCs w:val="24"/>
              </w:rPr>
              <w:t>)</w:t>
            </w:r>
            <w:r w:rsidRPr="008B2CDD" w:rsidR="4FF96AA8">
              <w:rPr>
                <w:rFonts w:asciiTheme="minorHAnsi" w:hAnsiTheme="minorHAnsi" w:cstheme="minorHAnsi"/>
                <w:color w:val="000000" w:themeColor="text1"/>
                <w:szCs w:val="24"/>
                <w:vertAlign w:val="superscript"/>
              </w:rPr>
              <w:t>c</w:t>
            </w:r>
          </w:p>
        </w:tc>
        <w:tc>
          <w:tcPr>
            <w:tcW w:w="849" w:type="pct"/>
            <w:tcBorders>
              <w:top w:val="nil"/>
              <w:left w:val="nil"/>
              <w:bottom w:val="single" w:sz="4" w:space="0" w:color="auto"/>
              <w:right w:val="single" w:sz="4" w:space="0" w:color="auto"/>
            </w:tcBorders>
            <w:vAlign w:val="center"/>
            <w:hideMark/>
          </w:tcPr>
          <w:p w:rsidR="003043C9" w:rsidRPr="008B2CDD" w:rsidP="003043C9" w14:paraId="382003AC" w14:textId="6A96749C">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c>
          <w:tcPr>
            <w:tcW w:w="756" w:type="pct"/>
            <w:tcBorders>
              <w:top w:val="nil"/>
              <w:left w:val="nil"/>
              <w:bottom w:val="single" w:sz="4" w:space="0" w:color="auto"/>
              <w:right w:val="single" w:sz="8" w:space="0" w:color="auto"/>
            </w:tcBorders>
            <w:vAlign w:val="center"/>
            <w:hideMark/>
          </w:tcPr>
          <w:p w:rsidR="003043C9" w:rsidRPr="008B2CDD" w:rsidP="003043C9" w14:paraId="3F39BAB2" w14:textId="2DA99434">
            <w:pPr>
              <w:keepNext/>
              <w:jc w:val="right"/>
              <w:rPr>
                <w:rFonts w:asciiTheme="minorHAnsi" w:hAnsiTheme="minorHAnsi" w:cstheme="minorHAnsi"/>
                <w:color w:val="000000"/>
                <w:szCs w:val="24"/>
              </w:rPr>
            </w:pPr>
            <w:r w:rsidRPr="008B2CDD">
              <w:rPr>
                <w:rFonts w:asciiTheme="minorHAnsi" w:hAnsiTheme="minorHAnsi" w:cstheme="minorHAnsi"/>
                <w:color w:val="000000"/>
                <w:szCs w:val="24"/>
              </w:rPr>
              <w:t xml:space="preserve">$0.00 </w:t>
            </w:r>
          </w:p>
        </w:tc>
      </w:tr>
      <w:tr w14:paraId="2FCF63A3" w14:textId="77777777" w:rsidTr="00AC5621">
        <w:tblPrEx>
          <w:tblW w:w="5000" w:type="pct"/>
          <w:tblLook w:val="04A0"/>
        </w:tblPrEx>
        <w:trPr>
          <w:trHeight w:val="98"/>
        </w:trPr>
        <w:tc>
          <w:tcPr>
            <w:tcW w:w="3395" w:type="pct"/>
            <w:tcBorders>
              <w:top w:val="single" w:sz="4" w:space="0" w:color="auto"/>
              <w:left w:val="single" w:sz="8" w:space="0" w:color="auto"/>
              <w:bottom w:val="single" w:sz="4" w:space="0" w:color="auto"/>
              <w:right w:val="single" w:sz="4" w:space="0" w:color="auto"/>
            </w:tcBorders>
            <w:vAlign w:val="center"/>
            <w:hideMark/>
          </w:tcPr>
          <w:p w:rsidR="003043C9" w:rsidRPr="008B2CDD" w:rsidP="003043C9" w14:paraId="5ECB611F"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Total Capital and O&amp;M Costs:</w:t>
            </w:r>
          </w:p>
        </w:tc>
        <w:tc>
          <w:tcPr>
            <w:tcW w:w="849" w:type="pct"/>
            <w:tcBorders>
              <w:top w:val="nil"/>
              <w:left w:val="nil"/>
              <w:bottom w:val="single" w:sz="4" w:space="0" w:color="auto"/>
              <w:right w:val="single" w:sz="4" w:space="0" w:color="auto"/>
            </w:tcBorders>
            <w:vAlign w:val="center"/>
            <w:hideMark/>
          </w:tcPr>
          <w:p w:rsidR="003043C9" w:rsidRPr="008B2CDD" w:rsidP="003043C9" w14:paraId="3B59C159" w14:textId="7841B86F">
            <w:pPr>
              <w:keepNext/>
              <w:jc w:val="right"/>
              <w:rPr>
                <w:rFonts w:asciiTheme="minorHAnsi" w:hAnsiTheme="minorHAnsi" w:cstheme="minorHAnsi"/>
                <w:b/>
                <w:color w:val="000000"/>
                <w:szCs w:val="24"/>
              </w:rPr>
            </w:pPr>
            <w:r w:rsidRPr="008B2CDD">
              <w:rPr>
                <w:rFonts w:asciiTheme="minorHAnsi" w:hAnsiTheme="minorHAnsi" w:cstheme="minorHAnsi"/>
                <w:b/>
                <w:bCs/>
                <w:color w:val="000000"/>
                <w:szCs w:val="24"/>
              </w:rPr>
              <w:t xml:space="preserve">$0.00 </w:t>
            </w:r>
          </w:p>
        </w:tc>
        <w:tc>
          <w:tcPr>
            <w:tcW w:w="756" w:type="pct"/>
            <w:tcBorders>
              <w:top w:val="nil"/>
              <w:left w:val="nil"/>
              <w:bottom w:val="single" w:sz="4" w:space="0" w:color="auto"/>
              <w:right w:val="single" w:sz="8" w:space="0" w:color="auto"/>
            </w:tcBorders>
            <w:vAlign w:val="center"/>
            <w:hideMark/>
          </w:tcPr>
          <w:p w:rsidR="003043C9" w:rsidRPr="008B2CDD" w:rsidP="003043C9" w14:paraId="7D5B3A10" w14:textId="11293866">
            <w:pPr>
              <w:keepNext/>
              <w:jc w:val="right"/>
              <w:rPr>
                <w:rFonts w:asciiTheme="minorHAnsi" w:hAnsiTheme="minorHAnsi" w:cstheme="minorHAnsi"/>
                <w:b/>
                <w:color w:val="000000"/>
                <w:szCs w:val="24"/>
              </w:rPr>
            </w:pPr>
            <w:r w:rsidRPr="008B2CDD">
              <w:rPr>
                <w:rFonts w:asciiTheme="minorHAnsi" w:hAnsiTheme="minorHAnsi" w:cstheme="minorHAnsi"/>
                <w:b/>
                <w:bCs/>
                <w:color w:val="000000"/>
                <w:szCs w:val="24"/>
              </w:rPr>
              <w:t xml:space="preserve">$0.00 </w:t>
            </w:r>
          </w:p>
        </w:tc>
      </w:tr>
      <w:tr w14:paraId="7F83199F" w14:textId="77777777" w:rsidTr="658CAF48">
        <w:tblPrEx>
          <w:tblW w:w="5000" w:type="pct"/>
          <w:tblLook w:val="04A0"/>
        </w:tblPrEx>
        <w:trPr>
          <w:trHeight w:val="215"/>
        </w:trPr>
        <w:tc>
          <w:tcPr>
            <w:tcW w:w="5000" w:type="pct"/>
            <w:gridSpan w:val="3"/>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rsidR="00730582" w:rsidRPr="008B2CDD" w:rsidP="00534DA6" w14:paraId="422E2660" w14:textId="77777777">
            <w:pPr>
              <w:keepNext/>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4.  Annual Responses and Burdens:</w:t>
            </w:r>
          </w:p>
        </w:tc>
      </w:tr>
      <w:tr w14:paraId="2D45A166" w14:textId="77777777" w:rsidTr="658CAF48">
        <w:tblPrEx>
          <w:tblW w:w="5000" w:type="pct"/>
          <w:tblLook w:val="04A0"/>
        </w:tblPrEx>
        <w:trPr>
          <w:trHeight w:val="242"/>
        </w:trPr>
        <w:tc>
          <w:tcPr>
            <w:tcW w:w="3395" w:type="pc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730582" w:rsidRPr="008B2CDD" w:rsidP="00534DA6" w14:paraId="637AE66A"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Annual Totals</w:t>
            </w:r>
          </w:p>
        </w:tc>
        <w:tc>
          <w:tcPr>
            <w:tcW w:w="1605" w:type="pct"/>
            <w:gridSpan w:val="2"/>
            <w:tcBorders>
              <w:top w:val="single" w:sz="4" w:space="0" w:color="auto"/>
              <w:left w:val="nil"/>
              <w:bottom w:val="single" w:sz="4" w:space="0" w:color="auto"/>
              <w:right w:val="single" w:sz="8" w:space="0" w:color="000000" w:themeColor="text1"/>
            </w:tcBorders>
            <w:shd w:val="clear" w:color="auto" w:fill="BFBFBF" w:themeFill="background1" w:themeFillShade="BF"/>
            <w:vAlign w:val="center"/>
            <w:hideMark/>
          </w:tcPr>
          <w:p w:rsidR="00730582" w:rsidRPr="008B2CDD" w:rsidP="00534DA6" w14:paraId="7CE661DF" w14:textId="77777777">
            <w:pPr>
              <w:keepNext/>
              <w:jc w:val="center"/>
              <w:rPr>
                <w:rFonts w:eastAsia="Times New Roman" w:asciiTheme="minorHAnsi" w:hAnsiTheme="minorHAnsi" w:cstheme="minorHAnsi"/>
                <w:b/>
                <w:bCs/>
                <w:color w:val="000000"/>
                <w:szCs w:val="24"/>
              </w:rPr>
            </w:pPr>
            <w:r w:rsidRPr="008B2CDD">
              <w:rPr>
                <w:rFonts w:eastAsia="Times New Roman" w:asciiTheme="minorHAnsi" w:hAnsiTheme="minorHAnsi" w:cstheme="minorHAnsi"/>
                <w:b/>
                <w:bCs/>
                <w:color w:val="000000"/>
                <w:szCs w:val="24"/>
              </w:rPr>
              <w:t>Total Requested</w:t>
            </w:r>
          </w:p>
        </w:tc>
      </w:tr>
      <w:tr w14:paraId="3128FA39" w14:textId="77777777" w:rsidTr="658CAF48">
        <w:tblPrEx>
          <w:tblW w:w="5000" w:type="pct"/>
          <w:tblLook w:val="04A0"/>
        </w:tblPrEx>
        <w:trPr>
          <w:trHeight w:val="98"/>
        </w:trPr>
        <w:tc>
          <w:tcPr>
            <w:tcW w:w="3395" w:type="pct"/>
            <w:tcBorders>
              <w:top w:val="single" w:sz="4" w:space="0" w:color="auto"/>
              <w:left w:val="single" w:sz="8" w:space="0" w:color="auto"/>
              <w:bottom w:val="single" w:sz="4" w:space="0" w:color="auto"/>
              <w:right w:val="single" w:sz="4" w:space="0" w:color="auto"/>
            </w:tcBorders>
            <w:vAlign w:val="center"/>
            <w:hideMark/>
          </w:tcPr>
          <w:p w:rsidR="003043C9" w:rsidRPr="008B2CDD" w:rsidP="003043C9" w14:paraId="634D836B"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Annual Responses</w:t>
            </w:r>
          </w:p>
        </w:tc>
        <w:tc>
          <w:tcPr>
            <w:tcW w:w="1605" w:type="pct"/>
            <w:gridSpan w:val="2"/>
            <w:tcBorders>
              <w:top w:val="single" w:sz="4" w:space="0" w:color="auto"/>
              <w:left w:val="nil"/>
              <w:bottom w:val="single" w:sz="4" w:space="0" w:color="auto"/>
              <w:right w:val="single" w:sz="8" w:space="0" w:color="000000" w:themeColor="text1"/>
            </w:tcBorders>
            <w:vAlign w:val="center"/>
            <w:hideMark/>
          </w:tcPr>
          <w:p w:rsidR="003043C9" w:rsidRPr="008B2CDD" w:rsidP="003043C9" w14:paraId="2FB79702" w14:textId="5EFA09CC">
            <w:pPr>
              <w:keepNext/>
              <w:jc w:val="right"/>
              <w:rPr>
                <w:rFonts w:eastAsia="Times New Roman" w:asciiTheme="minorHAnsi" w:hAnsiTheme="minorHAnsi" w:cstheme="minorHAnsi"/>
                <w:color w:val="000000"/>
                <w:szCs w:val="24"/>
              </w:rPr>
            </w:pPr>
            <w:r w:rsidRPr="008B2CDD">
              <w:rPr>
                <w:rFonts w:asciiTheme="minorHAnsi" w:hAnsiTheme="minorHAnsi" w:cstheme="minorHAnsi"/>
                <w:color w:val="000000"/>
                <w:szCs w:val="24"/>
              </w:rPr>
              <w:t>26,803</w:t>
            </w:r>
          </w:p>
        </w:tc>
      </w:tr>
      <w:tr w14:paraId="287FD790" w14:textId="77777777" w:rsidTr="658CAF48">
        <w:tblPrEx>
          <w:tblW w:w="5000" w:type="pct"/>
          <w:tblLook w:val="04A0"/>
        </w:tblPrEx>
        <w:trPr>
          <w:trHeight w:val="125"/>
        </w:trPr>
        <w:tc>
          <w:tcPr>
            <w:tcW w:w="3395" w:type="pct"/>
            <w:tcBorders>
              <w:top w:val="single" w:sz="4" w:space="0" w:color="auto"/>
              <w:left w:val="single" w:sz="8" w:space="0" w:color="auto"/>
              <w:bottom w:val="nil"/>
              <w:right w:val="single" w:sz="4" w:space="0" w:color="auto"/>
            </w:tcBorders>
            <w:vAlign w:val="center"/>
            <w:hideMark/>
          </w:tcPr>
          <w:p w:rsidR="003043C9" w:rsidRPr="008B2CDD" w:rsidP="003043C9" w14:paraId="0C143606" w14:textId="43E3E540">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Annual Hour Burden (rounded to nearest hour)</w:t>
            </w:r>
          </w:p>
        </w:tc>
        <w:tc>
          <w:tcPr>
            <w:tcW w:w="1605" w:type="pct"/>
            <w:gridSpan w:val="2"/>
            <w:tcBorders>
              <w:top w:val="single" w:sz="4" w:space="0" w:color="auto"/>
              <w:left w:val="nil"/>
              <w:bottom w:val="nil"/>
              <w:right w:val="single" w:sz="8" w:space="0" w:color="000000" w:themeColor="text1"/>
            </w:tcBorders>
            <w:vAlign w:val="center"/>
            <w:hideMark/>
          </w:tcPr>
          <w:p w:rsidR="003043C9" w:rsidRPr="008B2CDD" w:rsidP="00804971" w14:paraId="7E694B6F" w14:textId="38572CBB">
            <w:pPr>
              <w:keepNext/>
              <w:jc w:val="right"/>
              <w:rPr>
                <w:rFonts w:asciiTheme="minorHAnsi" w:hAnsiTheme="minorHAnsi" w:cstheme="minorHAnsi"/>
                <w:color w:val="000000"/>
                <w:szCs w:val="24"/>
              </w:rPr>
            </w:pPr>
            <w:r w:rsidRPr="008B2CDD">
              <w:rPr>
                <w:rFonts w:asciiTheme="minorHAnsi" w:hAnsiTheme="minorHAnsi" w:cstheme="minorHAnsi"/>
                <w:color w:val="000000" w:themeColor="text1"/>
                <w:szCs w:val="24"/>
              </w:rPr>
              <w:t>42,</w:t>
            </w:r>
            <w:r w:rsidRPr="008B2CDD" w:rsidR="2DCF48B8">
              <w:rPr>
                <w:rFonts w:asciiTheme="minorHAnsi" w:hAnsiTheme="minorHAnsi" w:cstheme="minorHAnsi"/>
                <w:color w:val="000000" w:themeColor="text1"/>
                <w:szCs w:val="24"/>
              </w:rPr>
              <w:t>300</w:t>
            </w:r>
          </w:p>
        </w:tc>
      </w:tr>
      <w:tr w14:paraId="650A440C" w14:textId="77777777" w:rsidTr="658CAF48">
        <w:tblPrEx>
          <w:tblW w:w="5000" w:type="pct"/>
          <w:tblLook w:val="04A0"/>
        </w:tblPrEx>
        <w:trPr>
          <w:trHeight w:val="152"/>
        </w:trPr>
        <w:tc>
          <w:tcPr>
            <w:tcW w:w="3395" w:type="pct"/>
            <w:tcBorders>
              <w:top w:val="single" w:sz="4" w:space="0" w:color="auto"/>
              <w:left w:val="single" w:sz="8" w:space="0" w:color="auto"/>
              <w:bottom w:val="single" w:sz="8" w:space="0" w:color="auto"/>
              <w:right w:val="single" w:sz="4" w:space="0" w:color="auto"/>
            </w:tcBorders>
            <w:vAlign w:val="center"/>
            <w:hideMark/>
          </w:tcPr>
          <w:p w:rsidR="003043C9" w:rsidRPr="008B2CDD" w:rsidP="003043C9" w14:paraId="4B7D7B11"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rPr>
              <w:t>Annual Cost (Non-Labor)</w:t>
            </w:r>
          </w:p>
        </w:tc>
        <w:tc>
          <w:tcPr>
            <w:tcW w:w="1605" w:type="pct"/>
            <w:gridSpan w:val="2"/>
            <w:tcBorders>
              <w:top w:val="single" w:sz="4" w:space="0" w:color="auto"/>
              <w:left w:val="nil"/>
              <w:bottom w:val="single" w:sz="8" w:space="0" w:color="auto"/>
              <w:right w:val="single" w:sz="8" w:space="0" w:color="000000" w:themeColor="text1"/>
            </w:tcBorders>
            <w:vAlign w:val="center"/>
            <w:hideMark/>
          </w:tcPr>
          <w:p w:rsidR="003043C9" w:rsidRPr="008B2CDD" w:rsidP="003043C9" w14:paraId="27E70728" w14:textId="2051B469">
            <w:pPr>
              <w:keepNext/>
              <w:jc w:val="right"/>
              <w:rPr>
                <w:rFonts w:eastAsia="Times New Roman" w:asciiTheme="minorHAnsi" w:hAnsiTheme="minorHAnsi" w:cstheme="minorHAnsi"/>
                <w:b/>
                <w:bCs/>
                <w:color w:val="000000"/>
                <w:szCs w:val="24"/>
              </w:rPr>
            </w:pPr>
            <w:r w:rsidRPr="008B2CDD">
              <w:rPr>
                <w:rFonts w:asciiTheme="minorHAnsi" w:hAnsiTheme="minorHAnsi" w:cstheme="minorHAnsi"/>
                <w:b/>
                <w:bCs/>
                <w:color w:val="000000"/>
                <w:szCs w:val="24"/>
              </w:rPr>
              <w:t xml:space="preserve">$0 </w:t>
            </w:r>
          </w:p>
        </w:tc>
      </w:tr>
      <w:tr w14:paraId="65B56FB3" w14:textId="77777777" w:rsidTr="658CAF48">
        <w:tblPrEx>
          <w:tblW w:w="5000" w:type="pct"/>
          <w:tblLook w:val="04A0"/>
        </w:tblPrEx>
        <w:trPr>
          <w:trHeight w:val="550"/>
        </w:trPr>
        <w:tc>
          <w:tcPr>
            <w:tcW w:w="5000" w:type="pct"/>
            <w:gridSpan w:val="3"/>
            <w:tcBorders>
              <w:top w:val="single" w:sz="8" w:space="0" w:color="auto"/>
              <w:left w:val="single" w:sz="8" w:space="0" w:color="auto"/>
              <w:bottom w:val="single" w:sz="4" w:space="0" w:color="auto"/>
              <w:right w:val="single" w:sz="8" w:space="0" w:color="000000" w:themeColor="text1"/>
            </w:tcBorders>
            <w:vAlign w:val="center"/>
            <w:hideMark/>
          </w:tcPr>
          <w:p w:rsidR="00730582" w:rsidRPr="008B2CDD" w:rsidP="00534DA6" w14:paraId="55E17B3E"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szCs w:val="24"/>
                <w:vertAlign w:val="superscript"/>
              </w:rPr>
              <w:t>a</w:t>
            </w:r>
            <w:r w:rsidRPr="008B2CDD">
              <w:rPr>
                <w:rFonts w:eastAsia="Times New Roman" w:asciiTheme="minorHAnsi" w:hAnsiTheme="minorHAnsi" w:cstheme="minorHAnsi"/>
                <w:color w:val="000000"/>
                <w:szCs w:val="24"/>
              </w:rPr>
              <w:t xml:space="preserve"> </w:t>
            </w:r>
            <w:r w:rsidRPr="008B2CDD">
              <w:rPr>
                <w:rFonts w:eastAsia="Times New Roman" w:asciiTheme="minorHAnsi" w:hAnsiTheme="minorHAnsi" w:cstheme="minorHAnsi"/>
                <w:color w:val="000000"/>
                <w:szCs w:val="24"/>
              </w:rPr>
              <w:t>Based on</w:t>
            </w:r>
            <w:r w:rsidRPr="008B2CDD">
              <w:rPr>
                <w:rFonts w:eastAsia="Times New Roman" w:asciiTheme="minorHAnsi" w:hAnsiTheme="minorHAnsi" w:cstheme="minorHAnsi"/>
                <w:color w:val="000000"/>
                <w:szCs w:val="24"/>
              </w:rPr>
              <w:t xml:space="preserve"> details provided in the Tables presented earlier in this section.</w:t>
            </w:r>
          </w:p>
          <w:p w:rsidR="00730582" w:rsidRPr="008B2CDD" w:rsidP="00534DA6" w14:paraId="167AE992" w14:textId="77777777">
            <w:pPr>
              <w:keepNext/>
              <w:rPr>
                <w:rFonts w:eastAsia="Times New Roman" w:asciiTheme="minorHAnsi" w:hAnsiTheme="minorHAnsi" w:cstheme="minorHAnsi"/>
                <w:color w:val="000000"/>
                <w:szCs w:val="24"/>
              </w:rPr>
            </w:pPr>
            <w:r w:rsidRPr="008B2CDD">
              <w:rPr>
                <w:rFonts w:eastAsia="Times New Roman" w:asciiTheme="minorHAnsi" w:hAnsiTheme="minorHAnsi" w:cstheme="minorHAnsi"/>
                <w:color w:val="000000" w:themeColor="text1"/>
                <w:szCs w:val="24"/>
                <w:vertAlign w:val="superscript"/>
              </w:rPr>
              <w:t>b</w:t>
            </w:r>
            <w:r w:rsidRPr="008B2CDD">
              <w:rPr>
                <w:rFonts w:eastAsia="Times New Roman" w:asciiTheme="minorHAnsi" w:hAnsiTheme="minorHAnsi" w:cstheme="minorHAnsi"/>
                <w:color w:val="000000" w:themeColor="text1"/>
                <w:szCs w:val="24"/>
              </w:rPr>
              <w:t xml:space="preserve"> This number is used as a multiplier to calculate the Annual Burden hours and costs.</w:t>
            </w:r>
          </w:p>
          <w:p w:rsidR="6DCD5B7D" w:rsidRPr="008B2CDD" w:rsidP="00AF28CA" w14:paraId="4D92A94E" w14:textId="66B75C63">
            <w:pPr>
              <w:pStyle w:val="NoSpacing"/>
              <w:rPr>
                <w:rFonts w:eastAsia="Arial" w:asciiTheme="minorHAnsi" w:hAnsiTheme="minorHAnsi" w:cstheme="minorHAnsi"/>
                <w:color w:val="000000" w:themeColor="text1"/>
                <w:szCs w:val="24"/>
              </w:rPr>
            </w:pPr>
            <w:r w:rsidRPr="008B2CDD">
              <w:rPr>
                <w:rFonts w:eastAsia="Arial" w:asciiTheme="minorHAnsi" w:hAnsiTheme="minorHAnsi" w:cstheme="minorHAnsi"/>
                <w:color w:val="000000" w:themeColor="text1"/>
                <w:szCs w:val="24"/>
                <w:vertAlign w:val="superscript"/>
              </w:rPr>
              <w:t>c</w:t>
            </w:r>
            <w:r w:rsidRPr="008B2CDD">
              <w:rPr>
                <w:rFonts w:eastAsia="Arial" w:asciiTheme="minorHAnsi" w:hAnsiTheme="minorHAnsi" w:cstheme="minorHAnsi"/>
                <w:color w:val="000000" w:themeColor="text1"/>
                <w:szCs w:val="24"/>
              </w:rPr>
              <w:t xml:space="preserve"> Burden incurred in first year only. Average 3-year burdens are 0.3, 1.3, and 5.3 hour for small, medium, and large manufacturers, respectively.</w:t>
            </w:r>
          </w:p>
          <w:p w:rsidR="00730582" w:rsidRPr="008B2CDD" w:rsidP="00AF28CA" w14:paraId="4641CF2B" w14:textId="76AD3521">
            <w:pPr>
              <w:pStyle w:val="NoSpacing"/>
              <w:rPr>
                <w:rFonts w:asciiTheme="minorHAnsi" w:hAnsiTheme="minorHAnsi" w:cstheme="minorHAnsi"/>
                <w:szCs w:val="24"/>
              </w:rPr>
            </w:pPr>
            <w:r w:rsidRPr="008B2CDD">
              <w:rPr>
                <w:rFonts w:eastAsia="Times New Roman" w:asciiTheme="minorHAnsi" w:hAnsiTheme="minorHAnsi" w:cstheme="minorHAnsi"/>
                <w:color w:val="000000"/>
                <w:szCs w:val="24"/>
              </w:rPr>
              <w:t>Note: Totals may not sum due to rounding.</w:t>
            </w:r>
          </w:p>
        </w:tc>
      </w:tr>
    </w:tbl>
    <w:p w:rsidR="00FD5A9A" w:rsidRPr="008B2CDD" w:rsidP="00B40758" w14:paraId="38EE6B30" w14:textId="77777777">
      <w:pPr>
        <w:pStyle w:val="NoSpacing"/>
        <w:rPr>
          <w:rFonts w:asciiTheme="minorHAnsi" w:hAnsiTheme="minorHAnsi" w:cstheme="minorHAnsi"/>
          <w:szCs w:val="24"/>
        </w:rPr>
      </w:pPr>
    </w:p>
    <w:p w:rsidR="00EA005C" w:rsidRPr="008B2CDD" w:rsidP="00EA005C" w14:paraId="5FF09A1D" w14:textId="77777777">
      <w:pPr>
        <w:pStyle w:val="Heading2"/>
        <w:rPr>
          <w:rFonts w:asciiTheme="minorHAnsi" w:hAnsiTheme="minorHAnsi" w:cstheme="minorHAnsi"/>
          <w:szCs w:val="24"/>
        </w:rPr>
      </w:pPr>
      <w:bookmarkStart w:id="18" w:name="_Toc447203190"/>
      <w:r w:rsidRPr="008B2CDD">
        <w:rPr>
          <w:rFonts w:asciiTheme="minorHAnsi" w:hAnsiTheme="minorHAnsi" w:cstheme="minorHAnsi"/>
          <w:szCs w:val="24"/>
        </w:rPr>
        <w:t>13. Provide an estimate for the total annual cost burden to respondents or recordkeepers resulting from the collection of information.</w:t>
      </w:r>
    </w:p>
    <w:p w:rsidR="00EA005C" w:rsidRPr="008B2CDD" w:rsidP="00EA005C" w14:paraId="2C55420C" w14:textId="77777777">
      <w:pPr>
        <w:pStyle w:val="ListParagraph"/>
        <w:numPr>
          <w:ilvl w:val="0"/>
          <w:numId w:val="34"/>
        </w:numPr>
        <w:spacing w:after="200"/>
        <w:contextualSpacing w:val="0"/>
        <w:rPr>
          <w:rFonts w:asciiTheme="minorHAnsi" w:hAnsiTheme="minorHAnsi" w:cstheme="minorHAnsi"/>
          <w:b/>
          <w:bCs/>
          <w:szCs w:val="24"/>
        </w:rPr>
      </w:pPr>
      <w:r w:rsidRPr="008B2CDD">
        <w:rPr>
          <w:rFonts w:asciiTheme="minorHAnsi" w:hAnsiTheme="minorHAnsi" w:cstheme="minorHAnsi"/>
          <w:b/>
          <w:bCs/>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A005C" w:rsidRPr="008B2CDD" w:rsidP="00EA005C" w14:paraId="5DD39555" w14:textId="77777777">
      <w:pPr>
        <w:pStyle w:val="ListParagraph"/>
        <w:numPr>
          <w:ilvl w:val="0"/>
          <w:numId w:val="34"/>
        </w:numPr>
        <w:spacing w:after="200"/>
        <w:contextualSpacing w:val="0"/>
        <w:rPr>
          <w:rFonts w:asciiTheme="minorHAnsi" w:hAnsiTheme="minorHAnsi" w:cstheme="minorHAnsi"/>
          <w:b/>
          <w:bCs/>
          <w:szCs w:val="24"/>
        </w:rPr>
      </w:pPr>
      <w:r w:rsidRPr="008B2CDD">
        <w:rPr>
          <w:rFonts w:asciiTheme="minorHAnsi" w:hAnsiTheme="minorHAnsi" w:cstheme="minorHAnsi"/>
          <w:b/>
          <w:bCs/>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A005C" w:rsidRPr="008B2CDD" w:rsidP="00EA005C" w14:paraId="1914C8F4" w14:textId="77777777">
      <w:pPr>
        <w:pStyle w:val="ListParagraph"/>
        <w:numPr>
          <w:ilvl w:val="0"/>
          <w:numId w:val="34"/>
        </w:numPr>
        <w:spacing w:after="200"/>
        <w:contextualSpacing w:val="0"/>
        <w:rPr>
          <w:rFonts w:asciiTheme="minorHAnsi" w:hAnsiTheme="minorHAnsi" w:cstheme="minorHAnsi"/>
          <w:b/>
          <w:bCs/>
          <w:szCs w:val="24"/>
        </w:rPr>
      </w:pPr>
      <w:r w:rsidRPr="008B2CDD">
        <w:rPr>
          <w:rFonts w:asciiTheme="minorHAnsi" w:hAnsiTheme="minorHAnsi" w:cstheme="minorHAnsi"/>
          <w:b/>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005C" w:rsidRPr="008B2CDD" w:rsidP="00EA005C" w14:paraId="4D6E01C5" w14:textId="1AD81F24">
      <w:pPr>
        <w:rPr>
          <w:rFonts w:asciiTheme="minorHAnsi" w:hAnsiTheme="minorHAnsi" w:cstheme="minorHAnsi"/>
          <w:szCs w:val="24"/>
        </w:rPr>
      </w:pPr>
      <w:r w:rsidRPr="008B2CDD">
        <w:rPr>
          <w:rFonts w:asciiTheme="minorHAnsi" w:hAnsiTheme="minorHAnsi" w:cstheme="minorHAnsi"/>
          <w:szCs w:val="24"/>
        </w:rPr>
        <w:t>There are no operational and/or maintenance costs.</w:t>
      </w:r>
    </w:p>
    <w:p w:rsidR="00B21032" w:rsidRPr="008B2CDD" w:rsidP="00B21032" w14:paraId="03BB9853" w14:textId="77777777">
      <w:pPr>
        <w:pStyle w:val="NoSpacing"/>
        <w:rPr>
          <w:rFonts w:asciiTheme="minorHAnsi" w:hAnsiTheme="minorHAnsi" w:cstheme="minorHAnsi"/>
          <w:szCs w:val="24"/>
        </w:rPr>
      </w:pPr>
    </w:p>
    <w:p w:rsidR="00EA005C" w:rsidRPr="008B2CDD" w:rsidP="00EA005C" w14:paraId="4ECF655E" w14:textId="77777777">
      <w:pPr>
        <w:pStyle w:val="Heading2"/>
        <w:rPr>
          <w:rFonts w:asciiTheme="minorHAnsi" w:hAnsiTheme="minorHAnsi" w:cstheme="minorHAnsi"/>
          <w:szCs w:val="24"/>
        </w:rPr>
      </w:pPr>
      <w:r w:rsidRPr="008B2CDD">
        <w:rPr>
          <w:rFonts w:asciiTheme="minorHAnsi" w:hAnsiTheme="minorHAnsi" w:cstheme="minorHAnsi"/>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417BF" w:rsidRPr="008B2CDD" w:rsidP="004163F4" w14:paraId="1A58E35B" w14:textId="69C8CAA2">
      <w:pPr>
        <w:rPr>
          <w:rFonts w:asciiTheme="minorHAnsi" w:hAnsiTheme="minorHAnsi" w:cstheme="minorHAnsi"/>
          <w:szCs w:val="24"/>
        </w:rPr>
      </w:pPr>
      <w:r w:rsidRPr="008B2CDD">
        <w:rPr>
          <w:rFonts w:asciiTheme="minorHAnsi" w:hAnsiTheme="minorHAnsi" w:cstheme="minorHAnsi"/>
          <w:szCs w:val="24"/>
        </w:rPr>
        <w:t xml:space="preserve">The rules include reporting information to third parties as needed via Safety Data Sheet, recordkeeping requirements, and reporting to EPA via export notification requirements as described below. </w:t>
      </w:r>
    </w:p>
    <w:p w:rsidR="004163F4" w:rsidRPr="008B2CDD" w:rsidP="004163F4" w14:paraId="1A6204A5" w14:textId="77777777">
      <w:pPr>
        <w:pStyle w:val="NoSpacing"/>
        <w:rPr>
          <w:rFonts w:asciiTheme="minorHAnsi" w:hAnsiTheme="minorHAnsi" w:cstheme="minorHAnsi"/>
          <w:szCs w:val="24"/>
        </w:rPr>
      </w:pPr>
    </w:p>
    <w:p w:rsidR="007417BF" w:rsidRPr="008B2CDD" w:rsidP="004163F4" w14:paraId="0CD44489" w14:textId="3342A67D">
      <w:pPr>
        <w:rPr>
          <w:rFonts w:asciiTheme="minorHAnsi" w:hAnsiTheme="minorHAnsi" w:cstheme="minorHAnsi"/>
          <w:szCs w:val="24"/>
        </w:rPr>
      </w:pPr>
      <w:r w:rsidRPr="008B2CDD">
        <w:rPr>
          <w:rFonts w:asciiTheme="minorHAnsi" w:hAnsiTheme="minorHAnsi" w:cstheme="minorHAnsi"/>
          <w:szCs w:val="24"/>
        </w:rPr>
        <w:t>For the economic analyses for the 2021 final PBT rules (</w:t>
      </w:r>
      <w:hyperlink r:id="rId12" w:anchor="_ENREF_135" w:history="1">
        <w:r w:rsidRPr="008B2CDD">
          <w:rPr>
            <w:rStyle w:val="Hyperlink"/>
            <w:rFonts w:asciiTheme="minorHAnsi" w:hAnsiTheme="minorHAnsi" w:cstheme="minorHAnsi"/>
            <w:szCs w:val="24"/>
          </w:rPr>
          <w:t>EPA 2021a</w:t>
        </w:r>
      </w:hyperlink>
      <w:r w:rsidRPr="008B2CDD">
        <w:rPr>
          <w:rFonts w:asciiTheme="minorHAnsi" w:hAnsiTheme="minorHAnsi" w:cstheme="minorHAnsi"/>
          <w:szCs w:val="24"/>
        </w:rPr>
        <w:t>) and (</w:t>
      </w:r>
      <w:hyperlink r:id="rId12" w:anchor="_ENREF_136" w:history="1">
        <w:r w:rsidRPr="008B2CDD">
          <w:rPr>
            <w:rStyle w:val="Hyperlink"/>
            <w:rFonts w:asciiTheme="minorHAnsi" w:hAnsiTheme="minorHAnsi" w:cstheme="minorHAnsi"/>
            <w:szCs w:val="24"/>
          </w:rPr>
          <w:t>EPA 2021b</w:t>
        </w:r>
      </w:hyperlink>
      <w:r w:rsidRPr="008B2CDD">
        <w:rPr>
          <w:rFonts w:asciiTheme="minorHAnsi" w:hAnsiTheme="minorHAnsi" w:cstheme="minorHAnsi"/>
          <w:szCs w:val="24"/>
        </w:rPr>
        <w:t xml:space="preserve">), EPA estimated that it would need one FTE employee for implementation (e.g., compliance assistance and enforcement) activities under both the </w:t>
      </w:r>
      <w:r w:rsidRPr="008B2CDD" w:rsidR="005E30C3">
        <w:rPr>
          <w:rFonts w:asciiTheme="minorHAnsi" w:hAnsiTheme="minorHAnsi" w:cstheme="minorHAnsi"/>
          <w:szCs w:val="24"/>
        </w:rPr>
        <w:t>d</w:t>
      </w:r>
      <w:r w:rsidRPr="008B2CDD">
        <w:rPr>
          <w:rFonts w:asciiTheme="minorHAnsi" w:hAnsiTheme="minorHAnsi" w:cstheme="minorHAnsi"/>
          <w:szCs w:val="24"/>
        </w:rPr>
        <w:t>ecaBDE</w:t>
      </w:r>
      <w:r w:rsidRPr="008B2CDD">
        <w:rPr>
          <w:rFonts w:asciiTheme="minorHAnsi" w:hAnsiTheme="minorHAnsi" w:cstheme="minorHAnsi"/>
          <w:szCs w:val="24"/>
        </w:rPr>
        <w:t xml:space="preserve"> and PIP (3:1) rules (two FTEs total). This </w:t>
      </w:r>
      <w:r w:rsidRPr="008B2CDD" w:rsidR="004163F4">
        <w:rPr>
          <w:rFonts w:asciiTheme="minorHAnsi" w:hAnsiTheme="minorHAnsi" w:cstheme="minorHAnsi"/>
          <w:szCs w:val="24"/>
        </w:rPr>
        <w:t>final</w:t>
      </w:r>
      <w:r w:rsidRPr="008B2CDD">
        <w:rPr>
          <w:rFonts w:asciiTheme="minorHAnsi" w:hAnsiTheme="minorHAnsi" w:cstheme="minorHAnsi"/>
          <w:szCs w:val="24"/>
        </w:rPr>
        <w:t xml:space="preserve"> rule would modify the existing rules. EPA does not expect that it will require any additional (incremental) Agency staff time to implement the rules under the proposed revisions (proposed or primary alternative options). The additional one company subject to the export notification requirement under the proposed rule does not change the 2021 estimate of 1 FTE and therefore EPA expects no additional Federal government cost for this ICR.</w:t>
      </w:r>
    </w:p>
    <w:p w:rsidR="004163F4" w:rsidRPr="008B2CDD" w:rsidP="004163F4" w14:paraId="14E3C205" w14:textId="77777777">
      <w:pPr>
        <w:pStyle w:val="NoSpacing"/>
        <w:rPr>
          <w:rFonts w:asciiTheme="minorHAnsi" w:hAnsiTheme="minorHAnsi" w:cstheme="minorHAnsi"/>
          <w:szCs w:val="24"/>
        </w:rPr>
      </w:pPr>
    </w:p>
    <w:p w:rsidR="00DB7F57" w:rsidRPr="008B2CDD" w:rsidP="004163F4" w14:paraId="3FB45F0C" w14:textId="0770FB7A">
      <w:pPr>
        <w:rPr>
          <w:rFonts w:asciiTheme="minorHAnsi" w:hAnsiTheme="minorHAnsi" w:cstheme="minorHAnsi"/>
          <w:szCs w:val="24"/>
        </w:rPr>
      </w:pPr>
      <w:r w:rsidRPr="008B2CDD">
        <w:rPr>
          <w:rFonts w:asciiTheme="minorHAnsi" w:hAnsiTheme="minorHAnsi" w:cstheme="minorHAnsi"/>
          <w:szCs w:val="24"/>
        </w:rPr>
        <w:t xml:space="preserve">EPA will not receive or process any information as a result of the collection. Therefore, EPA estimates that it costs the Agency approximately $0 to carry out the activities associated with the information collection activities covered by this ICR. </w:t>
      </w:r>
      <w:r w:rsidRPr="008B2CDD">
        <w:rPr>
          <w:rFonts w:asciiTheme="minorHAnsi" w:hAnsiTheme="minorHAnsi" w:cstheme="minorHAnsi"/>
          <w:szCs w:val="24"/>
        </w:rPr>
        <w:br/>
      </w:r>
    </w:p>
    <w:p w:rsidR="00EA005C" w:rsidRPr="008B2CDD" w:rsidP="00EA005C" w14:paraId="2459B2DE" w14:textId="77777777">
      <w:pPr>
        <w:pStyle w:val="Heading2"/>
        <w:rPr>
          <w:rFonts w:asciiTheme="minorHAnsi" w:hAnsiTheme="minorHAnsi" w:cstheme="minorHAnsi"/>
          <w:szCs w:val="24"/>
        </w:rPr>
      </w:pPr>
      <w:r w:rsidRPr="008B2CDD">
        <w:rPr>
          <w:rFonts w:asciiTheme="minorHAnsi" w:hAnsiTheme="minorHAnsi" w:cstheme="minorHAnsi"/>
          <w:szCs w:val="24"/>
        </w:rPr>
        <w:t>15. Explain the reasons for any program changes or adjustments reported on the burden worksheet.</w:t>
      </w:r>
    </w:p>
    <w:p w:rsidR="00A7185A" w:rsidRPr="008B2CDD" w:rsidP="008B2CDD" w14:paraId="454A2E34" w14:textId="6E60F291">
      <w:pPr>
        <w:pStyle w:val="pf0"/>
        <w:rPr>
          <w:rFonts w:asciiTheme="minorHAnsi" w:hAnsiTheme="minorHAnsi" w:cstheme="minorHAnsi"/>
        </w:rPr>
      </w:pPr>
      <w:bookmarkStart w:id="19" w:name="_Hlk26358529"/>
      <w:r w:rsidRPr="008B2CDD">
        <w:rPr>
          <w:rFonts w:asciiTheme="minorHAnsi" w:hAnsiTheme="minorHAnsi" w:cstheme="minorHAnsi"/>
        </w:rPr>
        <w:t>The change in the total estimated respondent burden is a</w:t>
      </w:r>
      <w:r w:rsidRPr="008B2CDD" w:rsidR="00597F36">
        <w:rPr>
          <w:rFonts w:asciiTheme="minorHAnsi" w:hAnsiTheme="minorHAnsi" w:cstheme="minorHAnsi"/>
        </w:rPr>
        <w:t xml:space="preserve">n increase of 42,259 from the </w:t>
      </w:r>
      <w:r w:rsidRPr="008B2CDD" w:rsidR="00597F36">
        <w:rPr>
          <w:rFonts w:asciiTheme="minorHAnsi" w:eastAsiaTheme="majorEastAsia" w:hAnsiTheme="minorHAnsi" w:cstheme="minorHAnsi"/>
        </w:rPr>
        <w:t>2024 renewal of the 2021 rule ICR</w:t>
      </w:r>
      <w:r w:rsidR="008B2CDD">
        <w:rPr>
          <w:rFonts w:asciiTheme="minorHAnsi" w:eastAsiaTheme="majorEastAsia" w:hAnsiTheme="minorHAnsi" w:cstheme="minorHAnsi"/>
        </w:rPr>
        <w:t xml:space="preserve">. </w:t>
      </w:r>
      <w:r w:rsidRPr="008B2CDD">
        <w:rPr>
          <w:rFonts w:asciiTheme="minorHAnsi" w:hAnsiTheme="minorHAnsi" w:cstheme="minorHAnsi"/>
        </w:rPr>
        <w:t xml:space="preserve">This </w:t>
      </w:r>
      <w:r w:rsidRPr="008B2CDD" w:rsidR="00597F36">
        <w:rPr>
          <w:rFonts w:asciiTheme="minorHAnsi" w:hAnsiTheme="minorHAnsi" w:cstheme="minorHAnsi"/>
        </w:rPr>
        <w:t>i</w:t>
      </w:r>
      <w:r w:rsidRPr="008B2CDD">
        <w:rPr>
          <w:rFonts w:asciiTheme="minorHAnsi" w:hAnsiTheme="minorHAnsi" w:cstheme="minorHAnsi"/>
        </w:rPr>
        <w:t>n</w:t>
      </w:r>
      <w:r w:rsidRPr="008B2CDD" w:rsidR="00597F36">
        <w:rPr>
          <w:rFonts w:asciiTheme="minorHAnsi" w:hAnsiTheme="minorHAnsi" w:cstheme="minorHAnsi"/>
        </w:rPr>
        <w:t>crease in</w:t>
      </w:r>
      <w:r w:rsidRPr="008B2CDD">
        <w:rPr>
          <w:rFonts w:asciiTheme="minorHAnsi" w:hAnsiTheme="minorHAnsi" w:cstheme="minorHAnsi"/>
        </w:rPr>
        <w:t xml:space="preserve"> burden reflects the addition of programmatic changes from the final rule. The baseline burden estimate is from the </w:t>
      </w:r>
      <w:r w:rsidRPr="008B2CDD" w:rsidR="008E06CD">
        <w:rPr>
          <w:rFonts w:asciiTheme="minorHAnsi" w:hAnsiTheme="minorHAnsi" w:cstheme="minorHAnsi"/>
        </w:rPr>
        <w:t xml:space="preserve">2024 ICR renewal of the </w:t>
      </w:r>
      <w:r w:rsidRPr="008B2CDD">
        <w:rPr>
          <w:rFonts w:asciiTheme="minorHAnsi" w:hAnsiTheme="minorHAnsi" w:cstheme="minorHAnsi"/>
        </w:rPr>
        <w:t>existing ICR prior to the final rule, with adjustments to the burden estimates, including changes in the number of respondents and the number of responses provided by those respondents, to capture changes and updates since the existing ICR was published.</w:t>
      </w:r>
      <w:r w:rsidRPr="008B2CDD" w:rsidR="005A2DAE">
        <w:rPr>
          <w:rFonts w:asciiTheme="minorHAnsi" w:hAnsiTheme="minorHAnsi" w:cstheme="minorHAnsi"/>
        </w:rPr>
        <w:t xml:space="preserve"> These regulatory changes include additional rule familiarization, export notification, and PPE documentation requirements. </w:t>
      </w:r>
    </w:p>
    <w:bookmarkEnd w:id="19"/>
    <w:p w:rsidR="00EA005C" w:rsidRPr="008B2CDD" w:rsidP="00EA005C" w14:paraId="62342BB6" w14:textId="77777777">
      <w:pPr>
        <w:pStyle w:val="Heading2"/>
        <w:rPr>
          <w:rFonts w:asciiTheme="minorHAnsi" w:hAnsiTheme="minorHAnsi" w:cstheme="minorHAnsi"/>
          <w:szCs w:val="24"/>
        </w:rPr>
      </w:pPr>
      <w:r w:rsidRPr="008B2CDD">
        <w:rPr>
          <w:rFonts w:asciiTheme="minorHAnsi" w:hAnsiTheme="minorHAnsi" w:cstheme="minorHAnsi"/>
          <w:szCs w:val="24"/>
        </w:rPr>
        <w:t>16. For collections whose results will be published, outline the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A005C" w:rsidRPr="008B2CDD" w:rsidP="00EA005C" w14:paraId="067DDD28" w14:textId="4BF3148A">
      <w:pPr>
        <w:rPr>
          <w:rFonts w:asciiTheme="minorHAnsi" w:hAnsiTheme="minorHAnsi" w:cstheme="minorHAnsi"/>
          <w:szCs w:val="24"/>
        </w:rPr>
      </w:pPr>
      <w:r w:rsidRPr="008B2CDD">
        <w:rPr>
          <w:rFonts w:asciiTheme="minorHAnsi" w:hAnsiTheme="minorHAnsi" w:cstheme="minorHAnsi"/>
          <w:szCs w:val="24"/>
        </w:rPr>
        <w:t>This question is not applicable</w:t>
      </w:r>
      <w:r w:rsidRPr="008B2CDD" w:rsidR="00A42DA6">
        <w:rPr>
          <w:rFonts w:asciiTheme="minorHAnsi" w:hAnsiTheme="minorHAnsi" w:cstheme="minorHAnsi"/>
          <w:szCs w:val="24"/>
        </w:rPr>
        <w:t xml:space="preserve"> to this ICR</w:t>
      </w:r>
      <w:r w:rsidRPr="008B2CDD">
        <w:rPr>
          <w:rFonts w:asciiTheme="minorHAnsi" w:hAnsiTheme="minorHAnsi" w:cstheme="minorHAnsi"/>
          <w:szCs w:val="24"/>
        </w:rPr>
        <w:t xml:space="preserve">. </w:t>
      </w:r>
    </w:p>
    <w:p w:rsidR="00691B10" w:rsidRPr="008B2CDD" w:rsidP="00B738D9" w14:paraId="5B84A39E" w14:textId="77777777">
      <w:pPr>
        <w:rPr>
          <w:rFonts w:asciiTheme="minorHAnsi" w:hAnsiTheme="minorHAnsi" w:cstheme="minorHAnsi"/>
          <w:szCs w:val="24"/>
        </w:rPr>
      </w:pPr>
    </w:p>
    <w:p w:rsidR="00EA005C" w:rsidRPr="008B2CDD" w:rsidP="00EA005C" w14:paraId="2599FA8F" w14:textId="0534F416">
      <w:pPr>
        <w:pStyle w:val="Heading2"/>
        <w:rPr>
          <w:rFonts w:asciiTheme="minorHAnsi" w:hAnsiTheme="minorHAnsi" w:cstheme="minorHAnsi"/>
          <w:szCs w:val="24"/>
        </w:rPr>
      </w:pPr>
      <w:r w:rsidRPr="008B2CDD">
        <w:rPr>
          <w:rFonts w:asciiTheme="minorHAnsi" w:hAnsiTheme="minorHAnsi" w:cstheme="minorHAnsi"/>
          <w:szCs w:val="24"/>
        </w:rPr>
        <w:t xml:space="preserve">17. If seeking approval to not display the expiration date for OMB approval of the information collection, explain the reasons why display would be inappropriate. </w:t>
      </w:r>
    </w:p>
    <w:p w:rsidR="00EA005C" w:rsidRPr="008B2CDD" w:rsidP="00EA005C" w14:paraId="1F2E0E2D" w14:textId="59FD0063">
      <w:pPr>
        <w:rPr>
          <w:rFonts w:asciiTheme="minorHAnsi" w:hAnsiTheme="minorHAnsi" w:cstheme="minorHAnsi"/>
          <w:szCs w:val="24"/>
        </w:rPr>
      </w:pPr>
      <w:r w:rsidRPr="008B2CDD">
        <w:rPr>
          <w:rFonts w:asciiTheme="minorHAnsi" w:hAnsiTheme="minorHAnsi" w:cstheme="minorHAnsi"/>
          <w:szCs w:val="24"/>
        </w:rPr>
        <w:t xml:space="preserve">This question </w:t>
      </w:r>
      <w:r w:rsidRPr="008B2CDD" w:rsidR="00686AEC">
        <w:rPr>
          <w:rFonts w:asciiTheme="minorHAnsi" w:hAnsiTheme="minorHAnsi" w:cstheme="minorHAnsi"/>
          <w:szCs w:val="24"/>
        </w:rPr>
        <w:t xml:space="preserve">is </w:t>
      </w:r>
      <w:r w:rsidRPr="008B2CDD">
        <w:rPr>
          <w:rFonts w:asciiTheme="minorHAnsi" w:hAnsiTheme="minorHAnsi" w:cstheme="minorHAnsi"/>
          <w:szCs w:val="24"/>
        </w:rPr>
        <w:t>not applicable to this ICR.</w:t>
      </w:r>
    </w:p>
    <w:p w:rsidR="00691B10" w:rsidRPr="008B2CDD" w:rsidP="00B738D9" w14:paraId="48BD51E0" w14:textId="77777777">
      <w:pPr>
        <w:rPr>
          <w:rFonts w:asciiTheme="minorHAnsi" w:hAnsiTheme="minorHAnsi" w:cstheme="minorHAnsi"/>
          <w:szCs w:val="24"/>
        </w:rPr>
      </w:pPr>
    </w:p>
    <w:p w:rsidR="00EA005C" w:rsidRPr="008B2CDD" w:rsidP="00EA005C" w14:paraId="44E2A01A" w14:textId="0A85C403">
      <w:pPr>
        <w:pStyle w:val="Heading2"/>
        <w:rPr>
          <w:rFonts w:asciiTheme="minorHAnsi" w:hAnsiTheme="minorHAnsi" w:cstheme="minorHAnsi"/>
          <w:szCs w:val="24"/>
        </w:rPr>
      </w:pPr>
      <w:r w:rsidRPr="008B2CDD">
        <w:rPr>
          <w:rFonts w:asciiTheme="minorHAnsi" w:hAnsiTheme="minorHAnsi" w:cstheme="minorHAnsi"/>
          <w:szCs w:val="24"/>
        </w:rPr>
        <w:t>18. Explain each exception to the topics of the certification statement identified in “Certification for Paperwork Reduction Act Submissions.”</w:t>
      </w:r>
    </w:p>
    <w:p w:rsidR="00EA005C" w:rsidRPr="008B2CDD" w:rsidP="00EA005C" w14:paraId="4524D16C" w14:textId="77777777">
      <w:pPr>
        <w:rPr>
          <w:rFonts w:asciiTheme="minorHAnsi" w:hAnsiTheme="minorHAnsi" w:cstheme="minorHAnsi"/>
          <w:szCs w:val="24"/>
        </w:rPr>
      </w:pPr>
      <w:r w:rsidRPr="008B2CDD">
        <w:rPr>
          <w:rFonts w:asciiTheme="minorHAnsi" w:hAnsiTheme="minorHAnsi" w:cstheme="minorHAnsi"/>
          <w:szCs w:val="24"/>
        </w:rPr>
        <w:t>EPA does not request an exception to the certification of this information collection.</w:t>
      </w:r>
    </w:p>
    <w:p w:rsidR="00EA005C" w:rsidRPr="008B2CDD" w:rsidP="00B738D9" w14:paraId="2FCB3D95" w14:textId="77777777">
      <w:pPr>
        <w:rPr>
          <w:rFonts w:asciiTheme="minorHAnsi" w:hAnsiTheme="minorHAnsi" w:cstheme="minorHAnsi"/>
          <w:szCs w:val="24"/>
        </w:rPr>
      </w:pPr>
    </w:p>
    <w:p w:rsidR="00EA005C" w:rsidRPr="008B2CDD" w:rsidP="00EA005C" w14:paraId="3082FD1E" w14:textId="51CFE684">
      <w:pPr>
        <w:pStyle w:val="Heading1"/>
        <w:rPr>
          <w:rFonts w:asciiTheme="minorHAnsi" w:hAnsiTheme="minorHAnsi" w:cstheme="minorHAnsi"/>
          <w:sz w:val="24"/>
          <w:szCs w:val="24"/>
        </w:rPr>
      </w:pPr>
      <w:r w:rsidRPr="008B2CDD">
        <w:rPr>
          <w:rFonts w:asciiTheme="minorHAnsi" w:hAnsiTheme="minorHAnsi" w:cstheme="minorHAnsi"/>
          <w:sz w:val="24"/>
          <w:szCs w:val="24"/>
        </w:rPr>
        <w:t>SUPPLEMENTAL INFORMATION</w:t>
      </w:r>
    </w:p>
    <w:p w:rsidR="00EA005C" w:rsidRPr="008B2CDD" w:rsidP="00BF6FAE" w14:paraId="115BAA84" w14:textId="77777777">
      <w:pPr>
        <w:pStyle w:val="Heading2"/>
        <w:rPr>
          <w:rFonts w:asciiTheme="minorHAnsi" w:hAnsiTheme="minorHAnsi" w:cstheme="minorHAnsi"/>
          <w:szCs w:val="24"/>
        </w:rPr>
      </w:pPr>
      <w:r w:rsidRPr="008B2CDD">
        <w:rPr>
          <w:rFonts w:asciiTheme="minorHAnsi" w:hAnsiTheme="minorHAnsi" w:cstheme="minorHAnsi"/>
          <w:szCs w:val="24"/>
        </w:rPr>
        <w:t xml:space="preserve">PRA Burden Statement </w:t>
      </w:r>
    </w:p>
    <w:p w:rsidR="00EA005C" w:rsidP="00B60032" w14:paraId="06F968C2" w14:textId="644CFC9A">
      <w:pPr>
        <w:rPr>
          <w:rFonts w:asciiTheme="minorHAnsi" w:hAnsiTheme="minorHAnsi" w:cstheme="minorHAnsi"/>
          <w:szCs w:val="24"/>
        </w:rPr>
      </w:pPr>
      <w:r w:rsidRPr="008B2CDD">
        <w:rPr>
          <w:rFonts w:asciiTheme="minorHAnsi" w:hAnsiTheme="minorHAnsi" w:cstheme="minorHAnsi"/>
          <w:szCs w:val="24"/>
        </w:rPr>
        <w:t xml:space="preserve">This collection of information is approved by OMB under the </w:t>
      </w:r>
      <w:r w:rsidRPr="008B2CDD" w:rsidR="00B63B09">
        <w:rPr>
          <w:rFonts w:asciiTheme="minorHAnsi" w:hAnsiTheme="minorHAnsi" w:cstheme="minorHAnsi"/>
          <w:szCs w:val="24"/>
        </w:rPr>
        <w:t>PRA</w:t>
      </w:r>
      <w:r w:rsidRPr="008B2CDD">
        <w:rPr>
          <w:rFonts w:asciiTheme="minorHAnsi" w:hAnsiTheme="minorHAnsi" w:cstheme="minorHAnsi"/>
          <w:szCs w:val="24"/>
        </w:rPr>
        <w:t>, 44 U.S.C. 3501 et seq. OMB Control No. 2070-</w:t>
      </w:r>
      <w:r w:rsidRPr="008B2CDD" w:rsidR="00537081">
        <w:rPr>
          <w:rFonts w:asciiTheme="minorHAnsi" w:hAnsiTheme="minorHAnsi" w:cstheme="minorHAnsi"/>
          <w:szCs w:val="24"/>
        </w:rPr>
        <w:t>0230</w:t>
      </w:r>
      <w:r w:rsidRPr="008B2CDD">
        <w:rPr>
          <w:rFonts w:asciiTheme="minorHAnsi" w:hAnsiTheme="minorHAnsi" w:cstheme="minorHAnsi"/>
          <w:szCs w:val="24"/>
        </w:rPr>
        <w:t xml:space="preserve">. Responses to this collection of information are mandatory for certain persons, as specified at 40 CFR </w:t>
      </w:r>
      <w:bookmarkStart w:id="20" w:name="_Hlk125804213"/>
      <w:r w:rsidRPr="008B2CDD" w:rsidR="009679BA">
        <w:rPr>
          <w:rFonts w:asciiTheme="minorHAnsi" w:hAnsiTheme="minorHAnsi" w:cstheme="minorHAnsi"/>
          <w:szCs w:val="24"/>
        </w:rPr>
        <w:t>751.401-413</w:t>
      </w:r>
      <w:bookmarkEnd w:id="20"/>
      <w:r w:rsidRPr="008B2CDD" w:rsidR="009679BA">
        <w:rPr>
          <w:rFonts w:asciiTheme="minorHAnsi" w:hAnsiTheme="minorHAnsi" w:cstheme="minorHAnsi"/>
          <w:szCs w:val="24"/>
        </w:rPr>
        <w:t>.</w:t>
      </w:r>
      <w:r w:rsidRPr="008B2CDD">
        <w:rPr>
          <w:rFonts w:asciiTheme="minorHAnsi" w:hAnsiTheme="minorHAnsi" w:cstheme="minorHAnsi"/>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8B2CDD" w:rsidR="001556FD">
        <w:rPr>
          <w:rFonts w:asciiTheme="minorHAnsi" w:hAnsiTheme="minorHAnsi" w:cstheme="minorHAnsi"/>
          <w:szCs w:val="24"/>
        </w:rPr>
        <w:t>10</w:t>
      </w:r>
      <w:r w:rsidRPr="008B2CDD" w:rsidR="001556FD">
        <w:rPr>
          <w:rFonts w:asciiTheme="minorHAnsi" w:hAnsiTheme="minorHAnsi" w:cstheme="minorHAnsi"/>
          <w:color w:val="000000" w:themeColor="text1"/>
          <w:szCs w:val="24"/>
        </w:rPr>
        <w:t xml:space="preserve"> </w:t>
      </w:r>
      <w:r w:rsidRPr="008B2CDD">
        <w:rPr>
          <w:rFonts w:asciiTheme="minorHAnsi" w:hAnsiTheme="minorHAnsi" w:cstheme="minorHAnsi"/>
          <w:color w:val="000000" w:themeColor="text1"/>
          <w:szCs w:val="24"/>
        </w:rPr>
        <w:t>hours per year (</w:t>
      </w:r>
      <w:r w:rsidRPr="008B2CDD" w:rsidR="009679BA">
        <w:rPr>
          <w:rFonts w:asciiTheme="minorHAnsi" w:hAnsiTheme="minorHAnsi" w:cstheme="minorHAnsi"/>
          <w:color w:val="000000" w:themeColor="text1"/>
          <w:szCs w:val="24"/>
        </w:rPr>
        <w:t>17</w:t>
      </w:r>
      <w:r w:rsidRPr="008B2CDD">
        <w:rPr>
          <w:rFonts w:asciiTheme="minorHAnsi" w:hAnsiTheme="minorHAnsi" w:cstheme="minorHAnsi"/>
          <w:color w:val="000000" w:themeColor="text1"/>
          <w:szCs w:val="24"/>
        </w:rPr>
        <w:t xml:space="preserve"> hours for </w:t>
      </w:r>
      <w:r w:rsidRPr="008B2CDD">
        <w:rPr>
          <w:rFonts w:asciiTheme="minorHAnsi" w:hAnsiTheme="minorHAnsi" w:cstheme="minorHAnsi"/>
          <w:color w:val="000000" w:themeColor="text1"/>
          <w:szCs w:val="24"/>
        </w:rPr>
        <w:t>decaBDE</w:t>
      </w:r>
      <w:r w:rsidRPr="008B2CDD" w:rsidR="41CD9C49">
        <w:rPr>
          <w:rFonts w:asciiTheme="minorHAnsi" w:hAnsiTheme="minorHAnsi" w:cstheme="minorHAnsi"/>
          <w:color w:val="000000" w:themeColor="text1"/>
          <w:szCs w:val="24"/>
        </w:rPr>
        <w:t xml:space="preserve"> and</w:t>
      </w:r>
      <w:r w:rsidRPr="008B2CDD">
        <w:rPr>
          <w:rFonts w:asciiTheme="minorHAnsi" w:hAnsiTheme="minorHAnsi" w:cstheme="minorHAnsi"/>
          <w:color w:val="000000" w:themeColor="text1"/>
          <w:szCs w:val="24"/>
        </w:rPr>
        <w:t xml:space="preserve"> </w:t>
      </w:r>
      <w:r w:rsidRPr="008B2CDD" w:rsidR="005825B7">
        <w:rPr>
          <w:rFonts w:asciiTheme="minorHAnsi" w:hAnsiTheme="minorHAnsi" w:cstheme="minorHAnsi"/>
          <w:color w:val="000000" w:themeColor="text1"/>
          <w:szCs w:val="24"/>
        </w:rPr>
        <w:t>65,435</w:t>
      </w:r>
      <w:r w:rsidRPr="008B2CDD">
        <w:rPr>
          <w:rFonts w:asciiTheme="minorHAnsi" w:hAnsiTheme="minorHAnsi" w:cstheme="minorHAnsi"/>
          <w:color w:val="000000" w:themeColor="text1"/>
          <w:szCs w:val="24"/>
        </w:rPr>
        <w:t xml:space="preserve"> hours for PIP (3:1))</w:t>
      </w:r>
      <w:r w:rsidRPr="008B2CDD">
        <w:rPr>
          <w:rFonts w:asciiTheme="minorHAnsi" w:hAnsiTheme="minorHAnsi" w:cstheme="minorHAnsi"/>
          <w:szCs w:val="24"/>
        </w:rPr>
        <w:t xml:space="preserve">. Send comments on the Agency’s need for this information, the accuracy of the provided burden estimates and any suggested methods for minimizing respondent burden to the </w:t>
      </w:r>
      <w:r w:rsidRPr="008B2CDD" w:rsidR="00537081">
        <w:rPr>
          <w:rFonts w:asciiTheme="minorHAnsi" w:hAnsiTheme="minorHAnsi" w:cstheme="minorHAnsi"/>
          <w:szCs w:val="24"/>
        </w:rPr>
        <w:t xml:space="preserve">Information Engagement </w:t>
      </w:r>
      <w:r w:rsidRPr="008B2CDD">
        <w:rPr>
          <w:rFonts w:asciiTheme="minorHAnsi" w:hAnsiTheme="minorHAnsi" w:cstheme="minorHAnsi"/>
          <w:szCs w:val="24"/>
        </w:rPr>
        <w:t>Division Director, U.S. Environmental Protection Agency (2821T), 1200 Pennsylvania Ave. NW, Washington, D.C. 20460. Include the OMB control number in any correspondence. Do not send the completed form to this address.</w:t>
      </w:r>
    </w:p>
    <w:p w:rsidR="008B2CDD" w:rsidRPr="008B2CDD" w:rsidP="008B2CDD" w14:paraId="1379AE5D" w14:textId="77777777">
      <w:pPr>
        <w:pStyle w:val="NoSpacing"/>
      </w:pPr>
    </w:p>
    <w:bookmarkEnd w:id="18"/>
    <w:p w:rsidR="008B2CDD" w:rsidP="008B2CDD" w14:paraId="418F1E51" w14:textId="77777777">
      <w:pPr>
        <w:rPr>
          <w:rFonts w:ascii="Calibri" w:hAnsi="Calibri" w:cs="Calibri"/>
        </w:rPr>
      </w:pPr>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8B2CDD" w:rsidRPr="008B2CDD" w:rsidP="008B2CDD" w14:paraId="5C6574F2" w14:textId="77777777">
      <w:pPr>
        <w:pStyle w:val="NoSpacing"/>
      </w:pPr>
    </w:p>
    <w:p w:rsidR="008B2CDD" w:rsidRPr="00F93A42" w:rsidP="008B2CDD" w14:paraId="2A8AE48A" w14:textId="77777777">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537081" w:rsidRPr="008B2CDD" w:rsidP="00EA7743" w14:paraId="664C123A" w14:textId="77777777">
      <w:pPr>
        <w:pStyle w:val="NoSpacing"/>
        <w:rPr>
          <w:rFonts w:asciiTheme="minorHAnsi" w:hAnsiTheme="minorHAnsi" w:cstheme="minorHAnsi"/>
          <w:b/>
          <w:color w:val="000000" w:themeColor="text1"/>
          <w:szCs w:val="24"/>
        </w:rPr>
      </w:pPr>
    </w:p>
    <w:p w:rsidR="00EA7743" w:rsidRPr="008B2CDD" w:rsidP="00537081" w14:paraId="2E98B213" w14:textId="666C5D81">
      <w:pPr>
        <w:pStyle w:val="Heading2"/>
        <w:rPr>
          <w:rFonts w:asciiTheme="minorHAnsi" w:hAnsiTheme="minorHAnsi" w:cstheme="minorHAnsi"/>
          <w:szCs w:val="24"/>
          <w:lang w:bidi="en-US"/>
        </w:rPr>
      </w:pPr>
      <w:r w:rsidRPr="008B2CDD">
        <w:rPr>
          <w:rFonts w:asciiTheme="minorHAnsi" w:hAnsiTheme="minorHAnsi" w:cstheme="minorHAnsi"/>
          <w:szCs w:val="24"/>
        </w:rPr>
        <w:t>References</w:t>
      </w:r>
    </w:p>
    <w:p w:rsidR="00154983" w:rsidRPr="008B2CDD" w:rsidP="00537081" w14:paraId="029551FF" w14:textId="61BB5936">
      <w:pPr>
        <w:pStyle w:val="EndNoteBibliography"/>
        <w:ind w:left="720" w:hanging="720"/>
        <w:rPr>
          <w:rFonts w:asciiTheme="minorHAnsi" w:hAnsiTheme="minorHAnsi" w:cstheme="minorHAnsi"/>
          <w:szCs w:val="24"/>
        </w:rPr>
      </w:pPr>
      <w:r w:rsidRPr="008B2CDD">
        <w:rPr>
          <w:rFonts w:asciiTheme="minorHAnsi" w:hAnsiTheme="minorHAnsi" w:cstheme="minorHAnsi"/>
          <w:szCs w:val="24"/>
        </w:rPr>
        <w:tab/>
      </w:r>
      <w:hyperlink r:id="rId13" w:history="1">
        <w:r w:rsidRPr="008B2CDD">
          <w:rPr>
            <w:rStyle w:val="Hyperlink"/>
            <w:rFonts w:asciiTheme="minorHAnsi" w:hAnsiTheme="minorHAnsi" w:cstheme="minorHAnsi"/>
            <w:color w:val="auto"/>
            <w:szCs w:val="24"/>
          </w:rPr>
          <w:t>15 U.S.C. 2605(h)</w:t>
        </w:r>
      </w:hyperlink>
      <w:r w:rsidRPr="008B2CDD">
        <w:rPr>
          <w:rFonts w:asciiTheme="minorHAnsi" w:hAnsiTheme="minorHAnsi" w:cstheme="minorHAnsi"/>
          <w:szCs w:val="24"/>
        </w:rPr>
        <w:t xml:space="preserve"> </w:t>
      </w:r>
    </w:p>
    <w:p w:rsidR="00537081" w:rsidRPr="008B2CDD" w:rsidP="00537081" w14:paraId="692E4652" w14:textId="77777777">
      <w:pPr>
        <w:pStyle w:val="EndNoteBibliography"/>
        <w:ind w:left="720" w:hanging="720"/>
        <w:rPr>
          <w:rFonts w:asciiTheme="minorHAnsi" w:hAnsiTheme="minorHAnsi" w:cstheme="minorHAnsi"/>
          <w:szCs w:val="24"/>
        </w:rPr>
      </w:pPr>
    </w:p>
    <w:p w:rsidR="00537081" w:rsidRPr="008B2CDD" w:rsidP="00537081" w14:paraId="0F96FC29" w14:textId="77777777">
      <w:pPr>
        <w:pStyle w:val="EndNoteBibliography"/>
        <w:ind w:left="720" w:hanging="720"/>
        <w:rPr>
          <w:rFonts w:asciiTheme="minorHAnsi" w:hAnsiTheme="minorHAnsi" w:cstheme="minorHAnsi"/>
          <w:szCs w:val="24"/>
        </w:rPr>
      </w:pPr>
      <w:r w:rsidRPr="008B2CDD">
        <w:rPr>
          <w:rFonts w:asciiTheme="minorHAnsi" w:hAnsiTheme="minorHAnsi" w:cstheme="minorHAnsi"/>
          <w:szCs w:val="24"/>
        </w:rPr>
        <w:tab/>
      </w:r>
      <w:r w:rsidRPr="008B2CDD">
        <w:rPr>
          <w:rFonts w:asciiTheme="minorHAnsi" w:hAnsiTheme="minorHAnsi" w:cstheme="minorHAnsi"/>
          <w:szCs w:val="24"/>
        </w:rPr>
        <w:fldChar w:fldCharType="begin"/>
      </w:r>
      <w:r w:rsidRPr="008B2CDD" w:rsidR="00D12F7B">
        <w:rPr>
          <w:rFonts w:asciiTheme="minorHAnsi" w:hAnsiTheme="minorHAnsi" w:cstheme="minorHAnsi"/>
          <w:szCs w:val="24"/>
        </w:rPr>
        <w:instrText xml:space="preserve"> ADDIN EN.REFLIST </w:instrText>
      </w:r>
      <w:r w:rsidRPr="008B2CDD">
        <w:rPr>
          <w:rFonts w:asciiTheme="minorHAnsi" w:hAnsiTheme="minorHAnsi" w:cstheme="minorHAnsi"/>
          <w:szCs w:val="24"/>
        </w:rPr>
        <w:fldChar w:fldCharType="separate"/>
      </w:r>
      <w:r w:rsidRPr="008B2CDD" w:rsidR="0047628E">
        <w:rPr>
          <w:rFonts w:asciiTheme="minorHAnsi" w:hAnsiTheme="minorHAnsi" w:cstheme="minorHAnsi"/>
          <w:szCs w:val="24"/>
        </w:rPr>
        <w:t>U.S. Bureau of Labor Statistics (BLS). (2023). Employer Costs for Employee</w:t>
      </w:r>
    </w:p>
    <w:p w:rsidR="0047628E" w:rsidRPr="008B2CDD" w:rsidP="00537081" w14:paraId="60F9DD5A" w14:textId="57FF2444">
      <w:pPr>
        <w:pStyle w:val="EndNoteBibliography"/>
        <w:rPr>
          <w:rStyle w:val="Hyperlink"/>
          <w:rFonts w:asciiTheme="minorHAnsi" w:hAnsiTheme="minorHAnsi" w:cstheme="minorHAnsi"/>
          <w:color w:val="auto"/>
          <w:szCs w:val="24"/>
          <w:u w:val="none"/>
        </w:rPr>
      </w:pPr>
      <w:r w:rsidRPr="008B2CDD">
        <w:rPr>
          <w:rFonts w:asciiTheme="minorHAnsi" w:hAnsiTheme="minorHAnsi" w:cstheme="minorHAnsi"/>
          <w:szCs w:val="24"/>
        </w:rPr>
        <w:t>Compensation</w:t>
      </w:r>
      <w:r w:rsidRPr="008B2CDD" w:rsidR="00537081">
        <w:rPr>
          <w:rFonts w:asciiTheme="minorHAnsi" w:hAnsiTheme="minorHAnsi" w:cstheme="minorHAnsi"/>
          <w:szCs w:val="24"/>
        </w:rPr>
        <w:t xml:space="preserve"> </w:t>
      </w:r>
      <w:r w:rsidRPr="008B2CDD">
        <w:rPr>
          <w:rFonts w:asciiTheme="minorHAnsi" w:hAnsiTheme="minorHAnsi" w:cstheme="minorHAnsi"/>
          <w:szCs w:val="24"/>
        </w:rPr>
        <w:t>(ECEC) Supplemental Tables. Retrieved from</w:t>
      </w:r>
      <w:r w:rsidRPr="008B2CDD" w:rsidR="00537081">
        <w:rPr>
          <w:rFonts w:asciiTheme="minorHAnsi" w:hAnsiTheme="minorHAnsi" w:cstheme="minorHAnsi"/>
          <w:szCs w:val="24"/>
        </w:rPr>
        <w:t xml:space="preserve"> </w:t>
      </w:r>
      <w:r w:rsidRPr="008B2CDD">
        <w:rPr>
          <w:rFonts w:asciiTheme="minorHAnsi" w:hAnsiTheme="minorHAnsi" w:cstheme="minorHAnsi"/>
          <w:szCs w:val="24"/>
        </w:rPr>
        <w:t>https://www.bls.gov/web/ecec.supp.toc.htm</w:t>
      </w:r>
    </w:p>
    <w:p w:rsidR="00537081" w:rsidRPr="008B2CDD" w:rsidP="00537081" w14:paraId="2A0541EF" w14:textId="77777777">
      <w:pPr>
        <w:pStyle w:val="EndNoteBibliography"/>
        <w:ind w:left="720" w:hanging="720"/>
        <w:rPr>
          <w:rFonts w:asciiTheme="minorHAnsi" w:hAnsiTheme="minorHAnsi" w:cstheme="minorHAnsi"/>
          <w:szCs w:val="24"/>
        </w:rPr>
      </w:pPr>
    </w:p>
    <w:p w:rsidR="00537081" w:rsidRPr="008B2CDD" w:rsidP="00537081" w14:paraId="1183A993" w14:textId="53423513">
      <w:pPr>
        <w:pStyle w:val="EndNoteBibliography"/>
        <w:ind w:left="720" w:hanging="720"/>
        <w:rPr>
          <w:rFonts w:asciiTheme="minorHAnsi" w:hAnsiTheme="minorHAnsi" w:cstheme="minorHAnsi"/>
          <w:szCs w:val="24"/>
        </w:rPr>
      </w:pPr>
      <w:r w:rsidRPr="008B2CDD">
        <w:rPr>
          <w:rFonts w:asciiTheme="minorHAnsi" w:hAnsiTheme="minorHAnsi" w:cstheme="minorHAnsi"/>
          <w:szCs w:val="24"/>
        </w:rPr>
        <w:tab/>
      </w:r>
      <w:r w:rsidRPr="008B2CDD" w:rsidR="0047628E">
        <w:rPr>
          <w:rFonts w:asciiTheme="minorHAnsi" w:hAnsiTheme="minorHAnsi" w:cstheme="minorHAnsi"/>
          <w:szCs w:val="24"/>
        </w:rPr>
        <w:t>U.S. Environmental Protection Agency (EPA). (2020a). CDR Data 2016-2019.</w:t>
      </w:r>
    </w:p>
    <w:p w:rsidR="0047628E" w:rsidRPr="008B2CDD" w:rsidP="00537081" w14:paraId="5CB9D1D6" w14:textId="403E8C6E">
      <w:pPr>
        <w:pStyle w:val="EndNoteBibliography"/>
        <w:ind w:left="720" w:hanging="720"/>
        <w:rPr>
          <w:rFonts w:asciiTheme="minorHAnsi" w:hAnsiTheme="minorHAnsi" w:cstheme="minorHAnsi"/>
          <w:szCs w:val="24"/>
        </w:rPr>
      </w:pPr>
    </w:p>
    <w:p w:rsidR="00537081" w:rsidRPr="008B2CDD" w:rsidP="00537081" w14:paraId="2FEB36A6" w14:textId="77777777">
      <w:pPr>
        <w:pStyle w:val="EndNoteBibliography"/>
        <w:ind w:left="720" w:hanging="720"/>
        <w:rPr>
          <w:rFonts w:asciiTheme="minorHAnsi" w:hAnsiTheme="minorHAnsi" w:cstheme="minorHAnsi"/>
          <w:szCs w:val="24"/>
        </w:rPr>
      </w:pPr>
      <w:r w:rsidRPr="008B2CDD">
        <w:rPr>
          <w:rFonts w:asciiTheme="minorHAnsi" w:hAnsiTheme="minorHAnsi" w:cstheme="minorHAnsi"/>
          <w:szCs w:val="24"/>
        </w:rPr>
        <w:tab/>
      </w:r>
      <w:r w:rsidRPr="008B2CDD" w:rsidR="0047628E">
        <w:rPr>
          <w:rFonts w:asciiTheme="minorHAnsi" w:hAnsiTheme="minorHAnsi" w:cstheme="minorHAnsi"/>
          <w:szCs w:val="24"/>
        </w:rPr>
        <w:t>U.S. Environmental Protection Agency (EPA). (2020b). Handbook on Valuing Changes</w:t>
      </w:r>
    </w:p>
    <w:p w:rsidR="00537081" w:rsidRPr="008B2CDD" w:rsidP="00537081" w14:paraId="4E9611A9" w14:textId="77777777">
      <w:pPr>
        <w:pStyle w:val="EndNoteBibliography"/>
        <w:ind w:left="720" w:hanging="720"/>
        <w:rPr>
          <w:rFonts w:asciiTheme="minorHAnsi" w:hAnsiTheme="minorHAnsi" w:cstheme="minorHAnsi"/>
          <w:szCs w:val="24"/>
        </w:rPr>
      </w:pPr>
      <w:r w:rsidRPr="008B2CDD">
        <w:rPr>
          <w:rFonts w:asciiTheme="minorHAnsi" w:hAnsiTheme="minorHAnsi" w:cstheme="minorHAnsi"/>
          <w:szCs w:val="24"/>
        </w:rPr>
        <w:t>in Time Use Induced by Regulatory Requirements and Other EPA Actions. EPA-236-B-15-001.</w:t>
      </w:r>
    </w:p>
    <w:p w:rsidR="0047628E" w:rsidRPr="008B2CDD" w:rsidP="00537081" w14:paraId="6268A8CD" w14:textId="182A8151">
      <w:pPr>
        <w:pStyle w:val="EndNoteBibliography"/>
        <w:ind w:left="720" w:hanging="720"/>
        <w:rPr>
          <w:rFonts w:asciiTheme="minorHAnsi" w:hAnsiTheme="minorHAnsi" w:cstheme="minorHAnsi"/>
          <w:szCs w:val="24"/>
        </w:rPr>
      </w:pPr>
      <w:r w:rsidRPr="008B2CDD">
        <w:rPr>
          <w:rFonts w:asciiTheme="minorHAnsi" w:hAnsiTheme="minorHAnsi" w:cstheme="minorHAnsi"/>
          <w:szCs w:val="24"/>
        </w:rPr>
        <w:t>In</w:t>
      </w:r>
      <w:r w:rsidRPr="008B2CDD" w:rsidR="00537081">
        <w:rPr>
          <w:rFonts w:asciiTheme="minorHAnsi" w:hAnsiTheme="minorHAnsi" w:cstheme="minorHAnsi"/>
          <w:szCs w:val="24"/>
        </w:rPr>
        <w:t xml:space="preserve"> </w:t>
      </w:r>
      <w:r w:rsidRPr="008B2CDD">
        <w:rPr>
          <w:rFonts w:asciiTheme="minorHAnsi" w:hAnsiTheme="minorHAnsi" w:cstheme="minorHAnsi"/>
          <w:szCs w:val="24"/>
        </w:rPr>
        <w:t>National Center for Environmental Economics (Ed.).</w:t>
      </w:r>
    </w:p>
    <w:p w:rsidR="00537081" w:rsidRPr="008B2CDD" w:rsidP="00537081" w14:paraId="28E613EA" w14:textId="77777777">
      <w:pPr>
        <w:pStyle w:val="EndNoteBibliography"/>
        <w:ind w:left="720" w:hanging="720"/>
        <w:rPr>
          <w:rFonts w:asciiTheme="minorHAnsi" w:hAnsiTheme="minorHAnsi" w:cstheme="minorHAnsi"/>
          <w:szCs w:val="24"/>
        </w:rPr>
      </w:pPr>
    </w:p>
    <w:p w:rsidR="00D0440D" w:rsidRPr="008B2CDD" w:rsidP="00537081" w14:paraId="0F1A2404" w14:textId="397F8E3D">
      <w:pPr>
        <w:pStyle w:val="Default"/>
        <w:spacing w:after="0" w:line="240" w:lineRule="auto"/>
        <w:rPr>
          <w:rFonts w:eastAsiaTheme="minorHAnsi" w:cstheme="minorHAnsi"/>
          <w:color w:val="auto"/>
          <w:sz w:val="24"/>
          <w:szCs w:val="24"/>
          <w:lang w:bidi="ar-SA"/>
        </w:rPr>
      </w:pPr>
      <w:r w:rsidRPr="008B2CDD">
        <w:rPr>
          <w:rFonts w:cstheme="minorHAnsi"/>
          <w:color w:val="auto"/>
          <w:sz w:val="24"/>
          <w:szCs w:val="24"/>
        </w:rPr>
        <w:fldChar w:fldCharType="end"/>
      </w:r>
      <w:r w:rsidRPr="008B2CDD" w:rsidR="00537081">
        <w:rPr>
          <w:rFonts w:cstheme="minorHAnsi"/>
          <w:color w:val="auto"/>
          <w:sz w:val="24"/>
          <w:szCs w:val="24"/>
        </w:rPr>
        <w:tab/>
      </w:r>
      <w:r w:rsidRPr="008B2CDD">
        <w:rPr>
          <w:rFonts w:eastAsiaTheme="minorHAnsi" w:cstheme="minorHAnsi"/>
          <w:color w:val="auto"/>
          <w:sz w:val="24"/>
          <w:szCs w:val="24"/>
          <w:lang w:bidi="ar-SA"/>
        </w:rPr>
        <w:t>U.S. Environmental Protection Agency (EPA). (2021a). Decabromodiphenyl Ether (</w:t>
      </w:r>
      <w:r w:rsidRPr="008B2CDD">
        <w:rPr>
          <w:rFonts w:eastAsiaTheme="minorHAnsi" w:cstheme="minorHAnsi"/>
          <w:color w:val="auto"/>
          <w:sz w:val="24"/>
          <w:szCs w:val="24"/>
          <w:lang w:bidi="ar-SA"/>
        </w:rPr>
        <w:t>DecaBDE</w:t>
      </w:r>
      <w:r w:rsidRPr="008B2CDD">
        <w:rPr>
          <w:rFonts w:eastAsiaTheme="minorHAnsi" w:cstheme="minorHAnsi"/>
          <w:color w:val="auto"/>
          <w:sz w:val="24"/>
          <w:szCs w:val="24"/>
          <w:lang w:bidi="ar-SA"/>
        </w:rPr>
        <w:t xml:space="preserve">); Regulation of Persistent, Bioaccumulative, and Toxic Chemicals Under TSCA Section 6(h), (2021a). </w:t>
      </w:r>
    </w:p>
    <w:p w:rsidR="00537081" w:rsidRPr="008B2CDD" w:rsidP="00537081" w14:paraId="4CD2ABF2" w14:textId="77777777">
      <w:pPr>
        <w:pStyle w:val="Default"/>
        <w:spacing w:after="0" w:line="240" w:lineRule="auto"/>
        <w:rPr>
          <w:rFonts w:eastAsiaTheme="minorHAnsi" w:cstheme="minorHAnsi"/>
          <w:color w:val="auto"/>
          <w:sz w:val="24"/>
          <w:szCs w:val="24"/>
          <w:lang w:bidi="ar-SA"/>
        </w:rPr>
      </w:pPr>
    </w:p>
    <w:p w:rsidR="00537081" w:rsidRPr="008B2CDD" w:rsidP="00537081" w14:paraId="11B2328E" w14:textId="77777777">
      <w:pPr>
        <w:pStyle w:val="BodyText"/>
        <w:spacing w:after="0"/>
        <w:ind w:left="720" w:hanging="720"/>
        <w:rPr>
          <w:rFonts w:asciiTheme="minorHAnsi" w:eastAsiaTheme="minorHAnsi" w:hAnsiTheme="minorHAnsi" w:cstheme="minorHAnsi"/>
          <w:szCs w:val="24"/>
          <w:lang w:bidi="ar-SA"/>
        </w:rPr>
      </w:pPr>
      <w:r w:rsidRPr="008B2CDD">
        <w:rPr>
          <w:rFonts w:asciiTheme="minorHAnsi" w:eastAsiaTheme="minorHAnsi" w:hAnsiTheme="minorHAnsi" w:cstheme="minorHAnsi"/>
          <w:szCs w:val="24"/>
          <w:lang w:bidi="ar-SA"/>
        </w:rPr>
        <w:tab/>
      </w:r>
      <w:r w:rsidRPr="008B2CDD" w:rsidR="00D0440D">
        <w:rPr>
          <w:rFonts w:asciiTheme="minorHAnsi" w:eastAsiaTheme="minorHAnsi" w:hAnsiTheme="minorHAnsi" w:cstheme="minorHAnsi"/>
          <w:szCs w:val="24"/>
          <w:lang w:bidi="ar-SA"/>
        </w:rPr>
        <w:t>U.S. Environmental Protection Agency (EPA). (2021a). Phenol, Isopropylated Phosphate</w:t>
      </w:r>
    </w:p>
    <w:p w:rsidR="00537081" w:rsidRPr="008B2CDD" w:rsidP="00537081" w14:paraId="02F74DCF" w14:textId="77777777">
      <w:pPr>
        <w:pStyle w:val="BodyText"/>
        <w:spacing w:after="0"/>
        <w:ind w:left="720" w:hanging="720"/>
        <w:rPr>
          <w:rFonts w:asciiTheme="minorHAnsi" w:eastAsiaTheme="minorHAnsi" w:hAnsiTheme="minorHAnsi" w:cstheme="minorHAnsi"/>
          <w:szCs w:val="24"/>
          <w:lang w:bidi="ar-SA"/>
        </w:rPr>
      </w:pPr>
      <w:r w:rsidRPr="008B2CDD">
        <w:rPr>
          <w:rFonts w:asciiTheme="minorHAnsi" w:eastAsiaTheme="minorHAnsi" w:hAnsiTheme="minorHAnsi" w:cstheme="minorHAnsi"/>
          <w:szCs w:val="24"/>
          <w:lang w:bidi="ar-SA"/>
        </w:rPr>
        <w:t>(3:1) (PIP 3:1); Regulation of Persistent, Bioaccumulative, and Toxic Chemicals Under TSCA</w:t>
      </w:r>
    </w:p>
    <w:p w:rsidR="00794D78" w:rsidRPr="008B2CDD" w:rsidP="00537081" w14:paraId="4335E1B6" w14:textId="4288537A">
      <w:pPr>
        <w:pStyle w:val="BodyText"/>
        <w:spacing w:after="0"/>
        <w:ind w:left="720" w:hanging="720"/>
        <w:rPr>
          <w:rFonts w:asciiTheme="minorHAnsi" w:hAnsiTheme="minorHAnsi" w:cstheme="minorHAnsi"/>
          <w:szCs w:val="24"/>
        </w:rPr>
      </w:pPr>
      <w:r w:rsidRPr="008B2CDD">
        <w:rPr>
          <w:rFonts w:asciiTheme="minorHAnsi" w:eastAsiaTheme="minorHAnsi" w:hAnsiTheme="minorHAnsi" w:cstheme="minorHAnsi"/>
          <w:szCs w:val="24"/>
          <w:lang w:bidi="ar-SA"/>
        </w:rPr>
        <w:t>Section 6(h), (2021b).</w:t>
      </w:r>
    </w:p>
    <w:sectPr w:rsidSect="00BA5526">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5603617"/>
      <w:docPartObj>
        <w:docPartGallery w:val="Page Numbers (Bottom of Page)"/>
        <w:docPartUnique/>
      </w:docPartObj>
    </w:sdtPr>
    <w:sdtContent>
      <w:sdt>
        <w:sdtPr>
          <w:id w:val="800965415"/>
          <w:docPartObj>
            <w:docPartGallery w:val="Page Numbers (Top of Page)"/>
            <w:docPartUnique/>
          </w:docPartObj>
        </w:sdtPr>
        <w:sdtContent>
          <w:p w:rsidR="002940D3" w:rsidP="00BF6FAE" w14:paraId="31EC4373" w14:textId="41F36289">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27</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27</w:t>
            </w:r>
            <w:r w:rsidRPr="002B34A0">
              <w:rPr>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18C0505"/>
    <w:multiLevelType w:val="hybridMultilevel"/>
    <w:tmpl w:val="49187764"/>
    <w:lvl w:ilvl="0">
      <w:start w:val="0"/>
      <w:numFmt w:val="bullet"/>
      <w:lvlText w:val="•"/>
      <w:lvlJc w:val="left"/>
      <w:pPr>
        <w:ind w:left="720" w:hanging="360"/>
      </w:pPr>
      <w:rPr>
        <w:rFonts w:ascii="Times New Roman" w:hAnsi="Times New Roman" w:hint="default"/>
        <w:w w:val="100"/>
        <w:sz w:val="24"/>
        <w:szCs w:val="24"/>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2B78E4"/>
    <w:multiLevelType w:val="hybridMultilevel"/>
    <w:tmpl w:val="2B26C02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D207A8"/>
    <w:multiLevelType w:val="multilevel"/>
    <w:tmpl w:val="CF98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4323E7"/>
    <w:multiLevelType w:val="hybridMultilevel"/>
    <w:tmpl w:val="0C52F82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F4A0E11"/>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72F6878"/>
    <w:multiLevelType w:val="hybridMultilevel"/>
    <w:tmpl w:val="3D881B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257FD4"/>
    <w:multiLevelType w:val="hybridMultilevel"/>
    <w:tmpl w:val="8786BD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C8E08FF"/>
    <w:multiLevelType w:val="hybridMultilevel"/>
    <w:tmpl w:val="A8321ABC"/>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abstractNum w:abstractNumId="16">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F970070"/>
    <w:multiLevelType w:val="hybridMultilevel"/>
    <w:tmpl w:val="DECE2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766BFB"/>
    <w:multiLevelType w:val="hybridMultilevel"/>
    <w:tmpl w:val="AD4474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47CE0BF"/>
    <w:multiLevelType w:val="hybridMultilevel"/>
    <w:tmpl w:val="74AC541A"/>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64C2EAA"/>
    <w:multiLevelType w:val="hybridMultilevel"/>
    <w:tmpl w:val="D8F26D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97F7095"/>
    <w:multiLevelType w:val="hybridMultilevel"/>
    <w:tmpl w:val="A7C6EE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3A3B1BB4"/>
    <w:multiLevelType w:val="hybridMultilevel"/>
    <w:tmpl w:val="A1722DFC"/>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AF3C84"/>
    <w:multiLevelType w:val="hybridMultilevel"/>
    <w:tmpl w:val="B3D21F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D605406"/>
    <w:multiLevelType w:val="hybridMultilevel"/>
    <w:tmpl w:val="1B1AF886"/>
    <w:lvl w:ilvl="0">
      <w:start w:val="2"/>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A81B19"/>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3374972"/>
    <w:multiLevelType w:val="hybridMultilevel"/>
    <w:tmpl w:val="B8A4F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851A7D"/>
    <w:multiLevelType w:val="hybridMultilevel"/>
    <w:tmpl w:val="D922A9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4180FF2"/>
    <w:multiLevelType w:val="multilevel"/>
    <w:tmpl w:val="C9E62EDA"/>
    <w:lvl w:ilvl="0">
      <w:start w:val="1"/>
      <w:numFmt w:val="decimal"/>
      <w:lvlText w:val="(%1)"/>
      <w:lvlJc w:val="left"/>
      <w:pPr>
        <w:tabs>
          <w:tab w:val="num" w:pos="720"/>
        </w:tabs>
        <w:ind w:left="720" w:hanging="360"/>
      </w:pPr>
      <w:rPr>
        <w:rFonts w:eastAsia="Times New Roman" w:asciiTheme="minorHAnsi" w:hAnsiTheme="minorHAnsi" w:cstheme="minorHAnsi"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02094E"/>
    <w:multiLevelType w:val="hybridMultilevel"/>
    <w:tmpl w:val="867A9530"/>
    <w:lvl w:ilvl="0">
      <w:start w:val="0"/>
      <w:numFmt w:val="bullet"/>
      <w:lvlText w:val="•"/>
      <w:lvlJc w:val="left"/>
      <w:pPr>
        <w:ind w:left="720" w:hanging="360"/>
      </w:pPr>
      <w:rPr>
        <w:rFonts w:ascii="Times New Roman" w:eastAsia="Times New Roman" w:hAnsi="Times New Roman" w:cs="Times New Roman"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713FDC"/>
    <w:multiLevelType w:val="hybridMultilevel"/>
    <w:tmpl w:val="540EFB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FF70645"/>
    <w:multiLevelType w:val="hybridMultilevel"/>
    <w:tmpl w:val="F48E92E2"/>
    <w:lvl w:ilvl="0">
      <w:start w:val="0"/>
      <w:numFmt w:val="bullet"/>
      <w:lvlText w:val="•"/>
      <w:lvlJc w:val="left"/>
      <w:pPr>
        <w:ind w:left="720" w:hanging="360"/>
      </w:pPr>
      <w:rPr>
        <w:rFonts w:ascii="Times New Roman" w:eastAsia="Times New Roman" w:hAnsi="Times New Roman" w:cs="Times New Roman"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2D1EE2"/>
    <w:multiLevelType w:val="hybridMultilevel"/>
    <w:tmpl w:val="E6B66A30"/>
    <w:lvl w:ilvl="0">
      <w:start w:val="0"/>
      <w:numFmt w:val="bullet"/>
      <w:lvlText w:val="•"/>
      <w:lvlJc w:val="left"/>
      <w:pPr>
        <w:ind w:left="720" w:hanging="360"/>
      </w:pPr>
      <w:rPr>
        <w:rFonts w:ascii="Times New Roman" w:eastAsia="Times New Roman" w:hAnsi="Times New Roman" w:cs="Times New Roman"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FE0AC4"/>
    <w:multiLevelType w:val="hybridMultilevel"/>
    <w:tmpl w:val="5A4A5D32"/>
    <w:lvl w:ilvl="0">
      <w:start w:val="0"/>
      <w:numFmt w:val="bullet"/>
      <w:lvlText w:val="•"/>
      <w:lvlJc w:val="left"/>
      <w:pPr>
        <w:ind w:left="120" w:hanging="143"/>
      </w:pPr>
      <w:rPr>
        <w:rFonts w:ascii="Times New Roman" w:eastAsia="Times New Roman" w:hAnsi="Times New Roman" w:cs="Times New Roman" w:hint="default"/>
        <w:w w:val="100"/>
        <w:sz w:val="24"/>
        <w:szCs w:val="24"/>
      </w:rPr>
    </w:lvl>
    <w:lvl w:ilvl="1">
      <w:start w:val="0"/>
      <w:numFmt w:val="bullet"/>
      <w:lvlText w:val="•"/>
      <w:lvlJc w:val="left"/>
      <w:pPr>
        <w:ind w:left="1068" w:hanging="143"/>
      </w:pPr>
    </w:lvl>
    <w:lvl w:ilvl="2">
      <w:start w:val="0"/>
      <w:numFmt w:val="bullet"/>
      <w:lvlText w:val="•"/>
      <w:lvlJc w:val="left"/>
      <w:pPr>
        <w:ind w:left="2016" w:hanging="143"/>
      </w:pPr>
    </w:lvl>
    <w:lvl w:ilvl="3">
      <w:start w:val="0"/>
      <w:numFmt w:val="bullet"/>
      <w:lvlText w:val="•"/>
      <w:lvlJc w:val="left"/>
      <w:pPr>
        <w:ind w:left="2964" w:hanging="143"/>
      </w:pPr>
    </w:lvl>
    <w:lvl w:ilvl="4">
      <w:start w:val="0"/>
      <w:numFmt w:val="bullet"/>
      <w:lvlText w:val="•"/>
      <w:lvlJc w:val="left"/>
      <w:pPr>
        <w:ind w:left="3912" w:hanging="143"/>
      </w:pPr>
    </w:lvl>
    <w:lvl w:ilvl="5">
      <w:start w:val="0"/>
      <w:numFmt w:val="bullet"/>
      <w:lvlText w:val="•"/>
      <w:lvlJc w:val="left"/>
      <w:pPr>
        <w:ind w:left="4860" w:hanging="143"/>
      </w:pPr>
    </w:lvl>
    <w:lvl w:ilvl="6">
      <w:start w:val="0"/>
      <w:numFmt w:val="bullet"/>
      <w:lvlText w:val="•"/>
      <w:lvlJc w:val="left"/>
      <w:pPr>
        <w:ind w:left="5808" w:hanging="143"/>
      </w:pPr>
    </w:lvl>
    <w:lvl w:ilvl="7">
      <w:start w:val="0"/>
      <w:numFmt w:val="bullet"/>
      <w:lvlText w:val="•"/>
      <w:lvlJc w:val="left"/>
      <w:pPr>
        <w:ind w:left="6756" w:hanging="143"/>
      </w:pPr>
    </w:lvl>
    <w:lvl w:ilvl="8">
      <w:start w:val="0"/>
      <w:numFmt w:val="bullet"/>
      <w:lvlText w:val="•"/>
      <w:lvlJc w:val="left"/>
      <w:pPr>
        <w:ind w:left="7704" w:hanging="143"/>
      </w:pPr>
    </w:lvl>
  </w:abstractNum>
  <w:abstractNum w:abstractNumId="34">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886A0B"/>
    <w:multiLevelType w:val="hybridMultilevel"/>
    <w:tmpl w:val="D676F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3D48965"/>
    <w:multiLevelType w:val="hybridMultilevel"/>
    <w:tmpl w:val="5502B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620F45"/>
    <w:multiLevelType w:val="hybridMultilevel"/>
    <w:tmpl w:val="E5DA8E6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EF460BA"/>
    <w:multiLevelType w:val="hybridMultilevel"/>
    <w:tmpl w:val="2C367D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3E8680C"/>
    <w:multiLevelType w:val="hybridMultilevel"/>
    <w:tmpl w:val="AB7A17C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E6A0CAA"/>
    <w:multiLevelType w:val="hybridMultilevel"/>
    <w:tmpl w:val="EDFC78E0"/>
    <w:lvl w:ilvl="0">
      <w:start w:val="0"/>
      <w:numFmt w:val="bullet"/>
      <w:lvlText w:val="•"/>
      <w:lvlJc w:val="left"/>
      <w:pPr>
        <w:ind w:left="120" w:hanging="143"/>
      </w:pPr>
      <w:rPr>
        <w:rFonts w:ascii="Times New Roman" w:eastAsia="Times New Roman" w:hAnsi="Times New Roman" w:cs="Times New Roman" w:hint="default"/>
        <w:w w:val="100"/>
        <w:sz w:val="24"/>
        <w:szCs w:val="24"/>
      </w:rPr>
    </w:lvl>
    <w:lvl w:ilvl="1">
      <w:start w:val="0"/>
      <w:numFmt w:val="bullet"/>
      <w:lvlText w:val="•"/>
      <w:lvlJc w:val="left"/>
      <w:pPr>
        <w:ind w:left="1068" w:hanging="143"/>
      </w:pPr>
      <w:rPr>
        <w:rFonts w:hint="default"/>
      </w:rPr>
    </w:lvl>
    <w:lvl w:ilvl="2">
      <w:start w:val="0"/>
      <w:numFmt w:val="bullet"/>
      <w:lvlText w:val="•"/>
      <w:lvlJc w:val="left"/>
      <w:pPr>
        <w:ind w:left="2016" w:hanging="143"/>
      </w:pPr>
      <w:rPr>
        <w:rFonts w:hint="default"/>
      </w:rPr>
    </w:lvl>
    <w:lvl w:ilvl="3">
      <w:start w:val="0"/>
      <w:numFmt w:val="bullet"/>
      <w:lvlText w:val="•"/>
      <w:lvlJc w:val="left"/>
      <w:pPr>
        <w:ind w:left="2964" w:hanging="143"/>
      </w:pPr>
      <w:rPr>
        <w:rFonts w:hint="default"/>
      </w:rPr>
    </w:lvl>
    <w:lvl w:ilvl="4">
      <w:start w:val="0"/>
      <w:numFmt w:val="bullet"/>
      <w:lvlText w:val="•"/>
      <w:lvlJc w:val="left"/>
      <w:pPr>
        <w:ind w:left="3912" w:hanging="143"/>
      </w:pPr>
      <w:rPr>
        <w:rFonts w:hint="default"/>
      </w:rPr>
    </w:lvl>
    <w:lvl w:ilvl="5">
      <w:start w:val="0"/>
      <w:numFmt w:val="bullet"/>
      <w:lvlText w:val="•"/>
      <w:lvlJc w:val="left"/>
      <w:pPr>
        <w:ind w:left="4860" w:hanging="143"/>
      </w:pPr>
      <w:rPr>
        <w:rFonts w:hint="default"/>
      </w:rPr>
    </w:lvl>
    <w:lvl w:ilvl="6">
      <w:start w:val="0"/>
      <w:numFmt w:val="bullet"/>
      <w:lvlText w:val="•"/>
      <w:lvlJc w:val="left"/>
      <w:pPr>
        <w:ind w:left="5808" w:hanging="143"/>
      </w:pPr>
      <w:rPr>
        <w:rFonts w:hint="default"/>
      </w:rPr>
    </w:lvl>
    <w:lvl w:ilvl="7">
      <w:start w:val="0"/>
      <w:numFmt w:val="bullet"/>
      <w:lvlText w:val="•"/>
      <w:lvlJc w:val="left"/>
      <w:pPr>
        <w:ind w:left="6756" w:hanging="143"/>
      </w:pPr>
      <w:rPr>
        <w:rFonts w:hint="default"/>
      </w:rPr>
    </w:lvl>
    <w:lvl w:ilvl="8">
      <w:start w:val="0"/>
      <w:numFmt w:val="bullet"/>
      <w:lvlText w:val="•"/>
      <w:lvlJc w:val="left"/>
      <w:pPr>
        <w:ind w:left="7704" w:hanging="143"/>
      </w:pPr>
      <w:rPr>
        <w:rFonts w:hint="default"/>
      </w:rPr>
    </w:lvl>
  </w:abstractNum>
  <w:num w:numId="1" w16cid:durableId="852573741">
    <w:abstractNumId w:val="37"/>
  </w:num>
  <w:num w:numId="2" w16cid:durableId="709494043">
    <w:abstractNumId w:val="19"/>
  </w:num>
  <w:num w:numId="3" w16cid:durableId="666593373">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999892626">
    <w:abstractNumId w:val="0"/>
  </w:num>
  <w:num w:numId="5" w16cid:durableId="1078749052">
    <w:abstractNumId w:val="8"/>
  </w:num>
  <w:num w:numId="6" w16cid:durableId="299001230">
    <w:abstractNumId w:val="35"/>
  </w:num>
  <w:num w:numId="7" w16cid:durableId="165637370">
    <w:abstractNumId w:val="38"/>
  </w:num>
  <w:num w:numId="8" w16cid:durableId="16779484">
    <w:abstractNumId w:val="23"/>
  </w:num>
  <w:num w:numId="9" w16cid:durableId="86856028">
    <w:abstractNumId w:val="40"/>
  </w:num>
  <w:num w:numId="10" w16cid:durableId="1142037852">
    <w:abstractNumId w:val="21"/>
  </w:num>
  <w:num w:numId="11" w16cid:durableId="1556427254">
    <w:abstractNumId w:val="41"/>
  </w:num>
  <w:num w:numId="12" w16cid:durableId="1402949575">
    <w:abstractNumId w:val="13"/>
  </w:num>
  <w:num w:numId="13" w16cid:durableId="711926261">
    <w:abstractNumId w:val="11"/>
  </w:num>
  <w:num w:numId="14" w16cid:durableId="886144727">
    <w:abstractNumId w:val="7"/>
  </w:num>
  <w:num w:numId="15" w16cid:durableId="1400862302">
    <w:abstractNumId w:val="14"/>
  </w:num>
  <w:num w:numId="16" w16cid:durableId="651759976">
    <w:abstractNumId w:val="39"/>
  </w:num>
  <w:num w:numId="17" w16cid:durableId="1071393846">
    <w:abstractNumId w:val="20"/>
  </w:num>
  <w:num w:numId="18" w16cid:durableId="808789114">
    <w:abstractNumId w:val="30"/>
  </w:num>
  <w:num w:numId="19" w16cid:durableId="1697731868">
    <w:abstractNumId w:val="18"/>
  </w:num>
  <w:num w:numId="20" w16cid:durableId="642581177">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760832070">
    <w:abstractNumId w:val="28"/>
  </w:num>
  <w:num w:numId="22" w16cid:durableId="505902771">
    <w:abstractNumId w:val="16"/>
  </w:num>
  <w:num w:numId="23" w16cid:durableId="942689476">
    <w:abstractNumId w:val="24"/>
  </w:num>
  <w:num w:numId="24" w16cid:durableId="985233557">
    <w:abstractNumId w:val="12"/>
  </w:num>
  <w:num w:numId="25" w16cid:durableId="647781886">
    <w:abstractNumId w:val="29"/>
  </w:num>
  <w:num w:numId="26" w16cid:durableId="1964191965">
    <w:abstractNumId w:val="31"/>
  </w:num>
  <w:num w:numId="27" w16cid:durableId="956570161">
    <w:abstractNumId w:val="32"/>
  </w:num>
  <w:num w:numId="28" w16cid:durableId="885796459">
    <w:abstractNumId w:val="33"/>
  </w:num>
  <w:num w:numId="29" w16cid:durableId="363292968">
    <w:abstractNumId w:val="6"/>
  </w:num>
  <w:num w:numId="30" w16cid:durableId="541328878">
    <w:abstractNumId w:val="22"/>
  </w:num>
  <w:num w:numId="31" w16cid:durableId="1909226412">
    <w:abstractNumId w:val="42"/>
  </w:num>
  <w:num w:numId="32" w16cid:durableId="1019351582">
    <w:abstractNumId w:val="25"/>
  </w:num>
  <w:num w:numId="33" w16cid:durableId="1832401881">
    <w:abstractNumId w:val="9"/>
  </w:num>
  <w:num w:numId="34" w16cid:durableId="1881047022">
    <w:abstractNumId w:val="34"/>
  </w:num>
  <w:num w:numId="35" w16cid:durableId="1805007458">
    <w:abstractNumId w:val="26"/>
  </w:num>
  <w:num w:numId="36" w16cid:durableId="1157917542">
    <w:abstractNumId w:val="27"/>
  </w:num>
  <w:num w:numId="37" w16cid:durableId="57290403">
    <w:abstractNumId w:val="15"/>
  </w:num>
  <w:num w:numId="38" w16cid:durableId="1082486610">
    <w:abstractNumId w:val="17"/>
  </w:num>
  <w:num w:numId="39" w16cid:durableId="145367450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0CE"/>
    <w:rsid w:val="00001640"/>
    <w:rsid w:val="0000374C"/>
    <w:rsid w:val="00003968"/>
    <w:rsid w:val="00003C59"/>
    <w:rsid w:val="00003EFE"/>
    <w:rsid w:val="00004163"/>
    <w:rsid w:val="00004C9E"/>
    <w:rsid w:val="00005662"/>
    <w:rsid w:val="00005D6A"/>
    <w:rsid w:val="000069E3"/>
    <w:rsid w:val="00006EC6"/>
    <w:rsid w:val="00007842"/>
    <w:rsid w:val="00011ED3"/>
    <w:rsid w:val="00011ED5"/>
    <w:rsid w:val="000125C0"/>
    <w:rsid w:val="00012757"/>
    <w:rsid w:val="00012C7C"/>
    <w:rsid w:val="000132D4"/>
    <w:rsid w:val="00014D31"/>
    <w:rsid w:val="00014F52"/>
    <w:rsid w:val="0001558A"/>
    <w:rsid w:val="000161ED"/>
    <w:rsid w:val="000173C6"/>
    <w:rsid w:val="000175D6"/>
    <w:rsid w:val="00020384"/>
    <w:rsid w:val="0002070E"/>
    <w:rsid w:val="00020ABF"/>
    <w:rsid w:val="000212B5"/>
    <w:rsid w:val="0002178B"/>
    <w:rsid w:val="0002255B"/>
    <w:rsid w:val="000244E2"/>
    <w:rsid w:val="00024DF3"/>
    <w:rsid w:val="00025468"/>
    <w:rsid w:val="000265E6"/>
    <w:rsid w:val="000303BC"/>
    <w:rsid w:val="00030A46"/>
    <w:rsid w:val="00030A58"/>
    <w:rsid w:val="00031678"/>
    <w:rsid w:val="00032FBE"/>
    <w:rsid w:val="00033196"/>
    <w:rsid w:val="00034BD3"/>
    <w:rsid w:val="00034C0B"/>
    <w:rsid w:val="0003537D"/>
    <w:rsid w:val="00035721"/>
    <w:rsid w:val="00035750"/>
    <w:rsid w:val="00035C5E"/>
    <w:rsid w:val="00036DDC"/>
    <w:rsid w:val="000375CC"/>
    <w:rsid w:val="00037F3D"/>
    <w:rsid w:val="0004104B"/>
    <w:rsid w:val="00041647"/>
    <w:rsid w:val="00041783"/>
    <w:rsid w:val="00042A05"/>
    <w:rsid w:val="00043D0D"/>
    <w:rsid w:val="00044051"/>
    <w:rsid w:val="000441D5"/>
    <w:rsid w:val="00044B5B"/>
    <w:rsid w:val="000464CE"/>
    <w:rsid w:val="00047BE8"/>
    <w:rsid w:val="00051415"/>
    <w:rsid w:val="000525A8"/>
    <w:rsid w:val="00052779"/>
    <w:rsid w:val="00052AD0"/>
    <w:rsid w:val="000530F2"/>
    <w:rsid w:val="00053145"/>
    <w:rsid w:val="00053361"/>
    <w:rsid w:val="000539D4"/>
    <w:rsid w:val="00053D9D"/>
    <w:rsid w:val="00055147"/>
    <w:rsid w:val="00055451"/>
    <w:rsid w:val="00060412"/>
    <w:rsid w:val="00062507"/>
    <w:rsid w:val="000666EA"/>
    <w:rsid w:val="00070179"/>
    <w:rsid w:val="00070ACE"/>
    <w:rsid w:val="00070BCF"/>
    <w:rsid w:val="00071069"/>
    <w:rsid w:val="00071571"/>
    <w:rsid w:val="000742C5"/>
    <w:rsid w:val="00077910"/>
    <w:rsid w:val="0008007A"/>
    <w:rsid w:val="000803C1"/>
    <w:rsid w:val="00080514"/>
    <w:rsid w:val="000811C2"/>
    <w:rsid w:val="000812A8"/>
    <w:rsid w:val="00081FA0"/>
    <w:rsid w:val="0008231A"/>
    <w:rsid w:val="000826F5"/>
    <w:rsid w:val="000836DB"/>
    <w:rsid w:val="00083E1A"/>
    <w:rsid w:val="00084277"/>
    <w:rsid w:val="000856F5"/>
    <w:rsid w:val="00086F52"/>
    <w:rsid w:val="00090709"/>
    <w:rsid w:val="00091891"/>
    <w:rsid w:val="000930A7"/>
    <w:rsid w:val="00093690"/>
    <w:rsid w:val="00094D63"/>
    <w:rsid w:val="000952DE"/>
    <w:rsid w:val="000959CA"/>
    <w:rsid w:val="00095D91"/>
    <w:rsid w:val="000968BF"/>
    <w:rsid w:val="00096E80"/>
    <w:rsid w:val="00097B26"/>
    <w:rsid w:val="000A02BA"/>
    <w:rsid w:val="000A185F"/>
    <w:rsid w:val="000A22C8"/>
    <w:rsid w:val="000A2F92"/>
    <w:rsid w:val="000A409C"/>
    <w:rsid w:val="000A5056"/>
    <w:rsid w:val="000A522E"/>
    <w:rsid w:val="000A5FEA"/>
    <w:rsid w:val="000A6200"/>
    <w:rsid w:val="000A65CA"/>
    <w:rsid w:val="000B24B3"/>
    <w:rsid w:val="000B24BF"/>
    <w:rsid w:val="000B424E"/>
    <w:rsid w:val="000B43E5"/>
    <w:rsid w:val="000B538E"/>
    <w:rsid w:val="000B76CD"/>
    <w:rsid w:val="000B7888"/>
    <w:rsid w:val="000B7C4E"/>
    <w:rsid w:val="000C21A2"/>
    <w:rsid w:val="000C3269"/>
    <w:rsid w:val="000C42F1"/>
    <w:rsid w:val="000C4A45"/>
    <w:rsid w:val="000C54BC"/>
    <w:rsid w:val="000D0374"/>
    <w:rsid w:val="000D1990"/>
    <w:rsid w:val="000D1CB5"/>
    <w:rsid w:val="000D3066"/>
    <w:rsid w:val="000D354E"/>
    <w:rsid w:val="000D3970"/>
    <w:rsid w:val="000D4D8E"/>
    <w:rsid w:val="000D5651"/>
    <w:rsid w:val="000D5722"/>
    <w:rsid w:val="000D5948"/>
    <w:rsid w:val="000D5A64"/>
    <w:rsid w:val="000D6261"/>
    <w:rsid w:val="000D6F50"/>
    <w:rsid w:val="000E19FB"/>
    <w:rsid w:val="000E1C35"/>
    <w:rsid w:val="000E3483"/>
    <w:rsid w:val="000E657E"/>
    <w:rsid w:val="000E788C"/>
    <w:rsid w:val="000E7B38"/>
    <w:rsid w:val="000F0B77"/>
    <w:rsid w:val="000F0C52"/>
    <w:rsid w:val="000F0FF8"/>
    <w:rsid w:val="000F3826"/>
    <w:rsid w:val="000F3FC4"/>
    <w:rsid w:val="000F5611"/>
    <w:rsid w:val="000F69AE"/>
    <w:rsid w:val="000F731C"/>
    <w:rsid w:val="00100E76"/>
    <w:rsid w:val="00101CF7"/>
    <w:rsid w:val="00102480"/>
    <w:rsid w:val="00103F89"/>
    <w:rsid w:val="001047F2"/>
    <w:rsid w:val="0010504A"/>
    <w:rsid w:val="0010560E"/>
    <w:rsid w:val="00105851"/>
    <w:rsid w:val="00105F59"/>
    <w:rsid w:val="00106832"/>
    <w:rsid w:val="0010776C"/>
    <w:rsid w:val="0010790D"/>
    <w:rsid w:val="001100FA"/>
    <w:rsid w:val="00110B9E"/>
    <w:rsid w:val="00110EB7"/>
    <w:rsid w:val="0011224D"/>
    <w:rsid w:val="001138C8"/>
    <w:rsid w:val="00113D34"/>
    <w:rsid w:val="00114440"/>
    <w:rsid w:val="00115BFD"/>
    <w:rsid w:val="001164AD"/>
    <w:rsid w:val="0011790C"/>
    <w:rsid w:val="001203BA"/>
    <w:rsid w:val="00121CD3"/>
    <w:rsid w:val="00121DF9"/>
    <w:rsid w:val="00123D5B"/>
    <w:rsid w:val="00125B5B"/>
    <w:rsid w:val="00125B89"/>
    <w:rsid w:val="00126EAC"/>
    <w:rsid w:val="00131A12"/>
    <w:rsid w:val="0013228E"/>
    <w:rsid w:val="00132828"/>
    <w:rsid w:val="00133F32"/>
    <w:rsid w:val="00135C29"/>
    <w:rsid w:val="00136D8F"/>
    <w:rsid w:val="00136DA3"/>
    <w:rsid w:val="00136F1D"/>
    <w:rsid w:val="001417FF"/>
    <w:rsid w:val="0014207F"/>
    <w:rsid w:val="001439AA"/>
    <w:rsid w:val="00144724"/>
    <w:rsid w:val="001448D3"/>
    <w:rsid w:val="00145605"/>
    <w:rsid w:val="00145A03"/>
    <w:rsid w:val="00146061"/>
    <w:rsid w:val="001462BA"/>
    <w:rsid w:val="00146FFF"/>
    <w:rsid w:val="001501D4"/>
    <w:rsid w:val="001527D5"/>
    <w:rsid w:val="00152D91"/>
    <w:rsid w:val="00154983"/>
    <w:rsid w:val="001554B5"/>
    <w:rsid w:val="00155585"/>
    <w:rsid w:val="001556FD"/>
    <w:rsid w:val="0015601E"/>
    <w:rsid w:val="00156207"/>
    <w:rsid w:val="00156D27"/>
    <w:rsid w:val="00156D78"/>
    <w:rsid w:val="00157337"/>
    <w:rsid w:val="00157CAD"/>
    <w:rsid w:val="001606AF"/>
    <w:rsid w:val="001608BB"/>
    <w:rsid w:val="00160A73"/>
    <w:rsid w:val="00161CE9"/>
    <w:rsid w:val="00161F57"/>
    <w:rsid w:val="001635AE"/>
    <w:rsid w:val="00165581"/>
    <w:rsid w:val="001655DF"/>
    <w:rsid w:val="00165C9A"/>
    <w:rsid w:val="00165CC9"/>
    <w:rsid w:val="0016777D"/>
    <w:rsid w:val="00171D01"/>
    <w:rsid w:val="00172C63"/>
    <w:rsid w:val="00172E09"/>
    <w:rsid w:val="0017447C"/>
    <w:rsid w:val="00176015"/>
    <w:rsid w:val="00176685"/>
    <w:rsid w:val="00180417"/>
    <w:rsid w:val="0018132B"/>
    <w:rsid w:val="00181E15"/>
    <w:rsid w:val="00181F87"/>
    <w:rsid w:val="0018203B"/>
    <w:rsid w:val="0018266B"/>
    <w:rsid w:val="00182FEA"/>
    <w:rsid w:val="001836B6"/>
    <w:rsid w:val="001840EE"/>
    <w:rsid w:val="0018440A"/>
    <w:rsid w:val="001849AE"/>
    <w:rsid w:val="001849D3"/>
    <w:rsid w:val="0018581E"/>
    <w:rsid w:val="00185866"/>
    <w:rsid w:val="00185D29"/>
    <w:rsid w:val="00190D04"/>
    <w:rsid w:val="00191899"/>
    <w:rsid w:val="00191AA7"/>
    <w:rsid w:val="00192D8D"/>
    <w:rsid w:val="0019305C"/>
    <w:rsid w:val="001934B6"/>
    <w:rsid w:val="0019470B"/>
    <w:rsid w:val="00195B56"/>
    <w:rsid w:val="00197B76"/>
    <w:rsid w:val="001A0362"/>
    <w:rsid w:val="001A11AE"/>
    <w:rsid w:val="001A1D00"/>
    <w:rsid w:val="001A2515"/>
    <w:rsid w:val="001A2953"/>
    <w:rsid w:val="001A42FB"/>
    <w:rsid w:val="001A4997"/>
    <w:rsid w:val="001A4C69"/>
    <w:rsid w:val="001B0EFE"/>
    <w:rsid w:val="001B11AA"/>
    <w:rsid w:val="001B12AF"/>
    <w:rsid w:val="001B2877"/>
    <w:rsid w:val="001B2F25"/>
    <w:rsid w:val="001B4439"/>
    <w:rsid w:val="001C0FAD"/>
    <w:rsid w:val="001C1C09"/>
    <w:rsid w:val="001C248D"/>
    <w:rsid w:val="001C315C"/>
    <w:rsid w:val="001C36F8"/>
    <w:rsid w:val="001C3BC2"/>
    <w:rsid w:val="001C4012"/>
    <w:rsid w:val="001C4A80"/>
    <w:rsid w:val="001C52BD"/>
    <w:rsid w:val="001D010C"/>
    <w:rsid w:val="001D031B"/>
    <w:rsid w:val="001D089C"/>
    <w:rsid w:val="001D3125"/>
    <w:rsid w:val="001D3543"/>
    <w:rsid w:val="001D382A"/>
    <w:rsid w:val="001D41E1"/>
    <w:rsid w:val="001D4766"/>
    <w:rsid w:val="001E0110"/>
    <w:rsid w:val="001E01CF"/>
    <w:rsid w:val="001E06E3"/>
    <w:rsid w:val="001E1971"/>
    <w:rsid w:val="001E1DE4"/>
    <w:rsid w:val="001E1EE6"/>
    <w:rsid w:val="001E28DD"/>
    <w:rsid w:val="001E47A9"/>
    <w:rsid w:val="001E5FA8"/>
    <w:rsid w:val="001E6980"/>
    <w:rsid w:val="001E7129"/>
    <w:rsid w:val="001F3915"/>
    <w:rsid w:val="001F51DE"/>
    <w:rsid w:val="001F5906"/>
    <w:rsid w:val="001F6425"/>
    <w:rsid w:val="001F6D48"/>
    <w:rsid w:val="00200219"/>
    <w:rsid w:val="002011E3"/>
    <w:rsid w:val="00201431"/>
    <w:rsid w:val="0020292E"/>
    <w:rsid w:val="00202FF9"/>
    <w:rsid w:val="00203D98"/>
    <w:rsid w:val="00204C29"/>
    <w:rsid w:val="00206A87"/>
    <w:rsid w:val="00210657"/>
    <w:rsid w:val="00212298"/>
    <w:rsid w:val="002132E5"/>
    <w:rsid w:val="002155EB"/>
    <w:rsid w:val="00215F6B"/>
    <w:rsid w:val="002170DF"/>
    <w:rsid w:val="002179E0"/>
    <w:rsid w:val="00220CC5"/>
    <w:rsid w:val="00220E4D"/>
    <w:rsid w:val="00220F1D"/>
    <w:rsid w:val="00221077"/>
    <w:rsid w:val="0022191B"/>
    <w:rsid w:val="00223695"/>
    <w:rsid w:val="002265F2"/>
    <w:rsid w:val="00226E60"/>
    <w:rsid w:val="00227679"/>
    <w:rsid w:val="00227DD9"/>
    <w:rsid w:val="00227EE2"/>
    <w:rsid w:val="00230064"/>
    <w:rsid w:val="00231C1B"/>
    <w:rsid w:val="002321AA"/>
    <w:rsid w:val="002326D0"/>
    <w:rsid w:val="0023306D"/>
    <w:rsid w:val="002332C7"/>
    <w:rsid w:val="00233677"/>
    <w:rsid w:val="00233F11"/>
    <w:rsid w:val="00234AED"/>
    <w:rsid w:val="00235FF1"/>
    <w:rsid w:val="0023639B"/>
    <w:rsid w:val="0023698F"/>
    <w:rsid w:val="00237907"/>
    <w:rsid w:val="00237A63"/>
    <w:rsid w:val="002406C5"/>
    <w:rsid w:val="00241D9A"/>
    <w:rsid w:val="0024273C"/>
    <w:rsid w:val="002447C1"/>
    <w:rsid w:val="00244846"/>
    <w:rsid w:val="00244C14"/>
    <w:rsid w:val="0024633A"/>
    <w:rsid w:val="00247F31"/>
    <w:rsid w:val="00250322"/>
    <w:rsid w:val="0025095E"/>
    <w:rsid w:val="002526AB"/>
    <w:rsid w:val="002529E5"/>
    <w:rsid w:val="002537ED"/>
    <w:rsid w:val="00255C09"/>
    <w:rsid w:val="00255D63"/>
    <w:rsid w:val="002563A9"/>
    <w:rsid w:val="00256E25"/>
    <w:rsid w:val="00257B62"/>
    <w:rsid w:val="00260275"/>
    <w:rsid w:val="0026059C"/>
    <w:rsid w:val="002613CF"/>
    <w:rsid w:val="002630A0"/>
    <w:rsid w:val="00264268"/>
    <w:rsid w:val="00265B72"/>
    <w:rsid w:val="00265C1F"/>
    <w:rsid w:val="00265C4E"/>
    <w:rsid w:val="0026757B"/>
    <w:rsid w:val="00270944"/>
    <w:rsid w:val="00271BE5"/>
    <w:rsid w:val="00272846"/>
    <w:rsid w:val="002743C7"/>
    <w:rsid w:val="00274956"/>
    <w:rsid w:val="002769CC"/>
    <w:rsid w:val="002800DF"/>
    <w:rsid w:val="00280301"/>
    <w:rsid w:val="00281904"/>
    <w:rsid w:val="00282443"/>
    <w:rsid w:val="002829F7"/>
    <w:rsid w:val="00283183"/>
    <w:rsid w:val="0028357D"/>
    <w:rsid w:val="0028369E"/>
    <w:rsid w:val="00283C0B"/>
    <w:rsid w:val="002840C6"/>
    <w:rsid w:val="00284B0F"/>
    <w:rsid w:val="002850A4"/>
    <w:rsid w:val="00285304"/>
    <w:rsid w:val="002855FA"/>
    <w:rsid w:val="00286581"/>
    <w:rsid w:val="00286682"/>
    <w:rsid w:val="00287E90"/>
    <w:rsid w:val="00290693"/>
    <w:rsid w:val="00290B69"/>
    <w:rsid w:val="00290F27"/>
    <w:rsid w:val="002940D3"/>
    <w:rsid w:val="00294C0D"/>
    <w:rsid w:val="002951E5"/>
    <w:rsid w:val="00295A23"/>
    <w:rsid w:val="00296D25"/>
    <w:rsid w:val="002A078B"/>
    <w:rsid w:val="002A0A47"/>
    <w:rsid w:val="002A0BEE"/>
    <w:rsid w:val="002A13C4"/>
    <w:rsid w:val="002A1A06"/>
    <w:rsid w:val="002A22F0"/>
    <w:rsid w:val="002A25A5"/>
    <w:rsid w:val="002A2957"/>
    <w:rsid w:val="002A2F49"/>
    <w:rsid w:val="002A523B"/>
    <w:rsid w:val="002A5998"/>
    <w:rsid w:val="002A5DBC"/>
    <w:rsid w:val="002A6018"/>
    <w:rsid w:val="002A64E4"/>
    <w:rsid w:val="002A7AC4"/>
    <w:rsid w:val="002A7BEE"/>
    <w:rsid w:val="002B03D6"/>
    <w:rsid w:val="002B34A0"/>
    <w:rsid w:val="002B3CA1"/>
    <w:rsid w:val="002B5029"/>
    <w:rsid w:val="002B58C1"/>
    <w:rsid w:val="002B61B4"/>
    <w:rsid w:val="002B62EC"/>
    <w:rsid w:val="002C0604"/>
    <w:rsid w:val="002C1B36"/>
    <w:rsid w:val="002C2112"/>
    <w:rsid w:val="002C2DAC"/>
    <w:rsid w:val="002C331D"/>
    <w:rsid w:val="002C34B1"/>
    <w:rsid w:val="002C395B"/>
    <w:rsid w:val="002C4FDE"/>
    <w:rsid w:val="002C50D8"/>
    <w:rsid w:val="002C5AA8"/>
    <w:rsid w:val="002C5D4A"/>
    <w:rsid w:val="002C5DC6"/>
    <w:rsid w:val="002C66D1"/>
    <w:rsid w:val="002C6C2D"/>
    <w:rsid w:val="002D00BA"/>
    <w:rsid w:val="002D04A7"/>
    <w:rsid w:val="002D0FCC"/>
    <w:rsid w:val="002D2302"/>
    <w:rsid w:val="002D2665"/>
    <w:rsid w:val="002D2931"/>
    <w:rsid w:val="002D3008"/>
    <w:rsid w:val="002D371B"/>
    <w:rsid w:val="002D408B"/>
    <w:rsid w:val="002D4F95"/>
    <w:rsid w:val="002D5B0B"/>
    <w:rsid w:val="002D5C2A"/>
    <w:rsid w:val="002D6B59"/>
    <w:rsid w:val="002E0400"/>
    <w:rsid w:val="002E099F"/>
    <w:rsid w:val="002E156D"/>
    <w:rsid w:val="002E2BC0"/>
    <w:rsid w:val="002E2D0B"/>
    <w:rsid w:val="002E327B"/>
    <w:rsid w:val="002E3699"/>
    <w:rsid w:val="002E3969"/>
    <w:rsid w:val="002E51C6"/>
    <w:rsid w:val="002E5240"/>
    <w:rsid w:val="002E5718"/>
    <w:rsid w:val="002E58DE"/>
    <w:rsid w:val="002E7136"/>
    <w:rsid w:val="002E7838"/>
    <w:rsid w:val="002F01B9"/>
    <w:rsid w:val="002F1F7D"/>
    <w:rsid w:val="002F30B3"/>
    <w:rsid w:val="002F4002"/>
    <w:rsid w:val="002F4BBC"/>
    <w:rsid w:val="002F5C6B"/>
    <w:rsid w:val="002F7241"/>
    <w:rsid w:val="0030002F"/>
    <w:rsid w:val="00300831"/>
    <w:rsid w:val="00301205"/>
    <w:rsid w:val="0030229F"/>
    <w:rsid w:val="00303C07"/>
    <w:rsid w:val="003043C9"/>
    <w:rsid w:val="003048DC"/>
    <w:rsid w:val="00304F9B"/>
    <w:rsid w:val="003051F9"/>
    <w:rsid w:val="0030521D"/>
    <w:rsid w:val="00305CF1"/>
    <w:rsid w:val="00306DBD"/>
    <w:rsid w:val="00310A0F"/>
    <w:rsid w:val="00310CD3"/>
    <w:rsid w:val="00313F4C"/>
    <w:rsid w:val="00317542"/>
    <w:rsid w:val="00317691"/>
    <w:rsid w:val="00317939"/>
    <w:rsid w:val="00320C94"/>
    <w:rsid w:val="00321395"/>
    <w:rsid w:val="003222F9"/>
    <w:rsid w:val="0032236E"/>
    <w:rsid w:val="00322F20"/>
    <w:rsid w:val="0032425B"/>
    <w:rsid w:val="00324A60"/>
    <w:rsid w:val="003269AC"/>
    <w:rsid w:val="00326BA2"/>
    <w:rsid w:val="00327271"/>
    <w:rsid w:val="00327497"/>
    <w:rsid w:val="00327C9E"/>
    <w:rsid w:val="00327CF3"/>
    <w:rsid w:val="00327F46"/>
    <w:rsid w:val="00330422"/>
    <w:rsid w:val="00334223"/>
    <w:rsid w:val="00334380"/>
    <w:rsid w:val="003347AB"/>
    <w:rsid w:val="0033540C"/>
    <w:rsid w:val="0033644F"/>
    <w:rsid w:val="0033668C"/>
    <w:rsid w:val="00336ADE"/>
    <w:rsid w:val="00340243"/>
    <w:rsid w:val="00340C8F"/>
    <w:rsid w:val="0034121C"/>
    <w:rsid w:val="003412C9"/>
    <w:rsid w:val="003422F8"/>
    <w:rsid w:val="0034411C"/>
    <w:rsid w:val="00344C5A"/>
    <w:rsid w:val="0034656C"/>
    <w:rsid w:val="0034717C"/>
    <w:rsid w:val="00352516"/>
    <w:rsid w:val="00352760"/>
    <w:rsid w:val="0035280E"/>
    <w:rsid w:val="003552E0"/>
    <w:rsid w:val="003557FD"/>
    <w:rsid w:val="00355DA6"/>
    <w:rsid w:val="003561CD"/>
    <w:rsid w:val="00356731"/>
    <w:rsid w:val="00360250"/>
    <w:rsid w:val="0036061B"/>
    <w:rsid w:val="00360761"/>
    <w:rsid w:val="003618BD"/>
    <w:rsid w:val="00361DFC"/>
    <w:rsid w:val="0036340C"/>
    <w:rsid w:val="0036430D"/>
    <w:rsid w:val="00364368"/>
    <w:rsid w:val="00364670"/>
    <w:rsid w:val="0036489E"/>
    <w:rsid w:val="00364CA5"/>
    <w:rsid w:val="00364D69"/>
    <w:rsid w:val="003663FA"/>
    <w:rsid w:val="0036683A"/>
    <w:rsid w:val="003679B0"/>
    <w:rsid w:val="00367EB3"/>
    <w:rsid w:val="00371C40"/>
    <w:rsid w:val="00374293"/>
    <w:rsid w:val="00374615"/>
    <w:rsid w:val="003750C6"/>
    <w:rsid w:val="0037567B"/>
    <w:rsid w:val="00375A62"/>
    <w:rsid w:val="00375ADB"/>
    <w:rsid w:val="00375B42"/>
    <w:rsid w:val="00375C33"/>
    <w:rsid w:val="003765A3"/>
    <w:rsid w:val="00376846"/>
    <w:rsid w:val="00377E70"/>
    <w:rsid w:val="003803FB"/>
    <w:rsid w:val="003807DD"/>
    <w:rsid w:val="00381DE2"/>
    <w:rsid w:val="00382595"/>
    <w:rsid w:val="00383972"/>
    <w:rsid w:val="00383AB5"/>
    <w:rsid w:val="0038462B"/>
    <w:rsid w:val="00385278"/>
    <w:rsid w:val="003857D8"/>
    <w:rsid w:val="0038668A"/>
    <w:rsid w:val="0038761D"/>
    <w:rsid w:val="00387E2A"/>
    <w:rsid w:val="00387F20"/>
    <w:rsid w:val="003915C3"/>
    <w:rsid w:val="00393EB3"/>
    <w:rsid w:val="00393F92"/>
    <w:rsid w:val="0039446B"/>
    <w:rsid w:val="00394D5C"/>
    <w:rsid w:val="003950FD"/>
    <w:rsid w:val="00396F7B"/>
    <w:rsid w:val="003A0601"/>
    <w:rsid w:val="003A1E25"/>
    <w:rsid w:val="003A247A"/>
    <w:rsid w:val="003A268B"/>
    <w:rsid w:val="003A2D1D"/>
    <w:rsid w:val="003A3381"/>
    <w:rsid w:val="003A52F6"/>
    <w:rsid w:val="003A5C9E"/>
    <w:rsid w:val="003A5E99"/>
    <w:rsid w:val="003A7FD9"/>
    <w:rsid w:val="003B0C78"/>
    <w:rsid w:val="003B1154"/>
    <w:rsid w:val="003B2DD8"/>
    <w:rsid w:val="003B3326"/>
    <w:rsid w:val="003B4B02"/>
    <w:rsid w:val="003B53BD"/>
    <w:rsid w:val="003B5F90"/>
    <w:rsid w:val="003C09E5"/>
    <w:rsid w:val="003C103C"/>
    <w:rsid w:val="003C148D"/>
    <w:rsid w:val="003C1896"/>
    <w:rsid w:val="003C1C6B"/>
    <w:rsid w:val="003C26C1"/>
    <w:rsid w:val="003C27DD"/>
    <w:rsid w:val="003C2F5A"/>
    <w:rsid w:val="003C2FD3"/>
    <w:rsid w:val="003C30C1"/>
    <w:rsid w:val="003C32D5"/>
    <w:rsid w:val="003C4851"/>
    <w:rsid w:val="003C62AD"/>
    <w:rsid w:val="003C6D4B"/>
    <w:rsid w:val="003C76C7"/>
    <w:rsid w:val="003C7FDC"/>
    <w:rsid w:val="003D08A0"/>
    <w:rsid w:val="003D0A08"/>
    <w:rsid w:val="003D180B"/>
    <w:rsid w:val="003D2796"/>
    <w:rsid w:val="003D2C9F"/>
    <w:rsid w:val="003D2F08"/>
    <w:rsid w:val="003D350F"/>
    <w:rsid w:val="003D3F56"/>
    <w:rsid w:val="003D53A3"/>
    <w:rsid w:val="003D552F"/>
    <w:rsid w:val="003D5612"/>
    <w:rsid w:val="003D5A12"/>
    <w:rsid w:val="003D614C"/>
    <w:rsid w:val="003D7422"/>
    <w:rsid w:val="003E0627"/>
    <w:rsid w:val="003E13FE"/>
    <w:rsid w:val="003E14CD"/>
    <w:rsid w:val="003E2D0B"/>
    <w:rsid w:val="003E39A7"/>
    <w:rsid w:val="003E4856"/>
    <w:rsid w:val="003E530C"/>
    <w:rsid w:val="003E563D"/>
    <w:rsid w:val="003E6143"/>
    <w:rsid w:val="003E75A8"/>
    <w:rsid w:val="003F1086"/>
    <w:rsid w:val="003F1EB9"/>
    <w:rsid w:val="003F382E"/>
    <w:rsid w:val="003F449F"/>
    <w:rsid w:val="00400030"/>
    <w:rsid w:val="004019A9"/>
    <w:rsid w:val="00401BCB"/>
    <w:rsid w:val="00403F39"/>
    <w:rsid w:val="00404860"/>
    <w:rsid w:val="00405A07"/>
    <w:rsid w:val="00405CE5"/>
    <w:rsid w:val="00406130"/>
    <w:rsid w:val="0040626E"/>
    <w:rsid w:val="00406FCD"/>
    <w:rsid w:val="00407824"/>
    <w:rsid w:val="004078A1"/>
    <w:rsid w:val="004111C3"/>
    <w:rsid w:val="0041246D"/>
    <w:rsid w:val="004124F7"/>
    <w:rsid w:val="0041290C"/>
    <w:rsid w:val="00412D81"/>
    <w:rsid w:val="00413204"/>
    <w:rsid w:val="004138CC"/>
    <w:rsid w:val="00414430"/>
    <w:rsid w:val="00415092"/>
    <w:rsid w:val="004163F4"/>
    <w:rsid w:val="00416D2C"/>
    <w:rsid w:val="00420AD1"/>
    <w:rsid w:val="00420B75"/>
    <w:rsid w:val="0042295A"/>
    <w:rsid w:val="00423275"/>
    <w:rsid w:val="004236AE"/>
    <w:rsid w:val="00423A88"/>
    <w:rsid w:val="0042487F"/>
    <w:rsid w:val="00425050"/>
    <w:rsid w:val="00425515"/>
    <w:rsid w:val="0042678C"/>
    <w:rsid w:val="00427A47"/>
    <w:rsid w:val="00430D9C"/>
    <w:rsid w:val="00432B1F"/>
    <w:rsid w:val="0043426C"/>
    <w:rsid w:val="004343B8"/>
    <w:rsid w:val="00436714"/>
    <w:rsid w:val="00436E24"/>
    <w:rsid w:val="00436E92"/>
    <w:rsid w:val="004372D4"/>
    <w:rsid w:val="00437482"/>
    <w:rsid w:val="004378E4"/>
    <w:rsid w:val="00437B65"/>
    <w:rsid w:val="0044083C"/>
    <w:rsid w:val="004419CF"/>
    <w:rsid w:val="00441F7E"/>
    <w:rsid w:val="00442A44"/>
    <w:rsid w:val="00443C7E"/>
    <w:rsid w:val="0044471A"/>
    <w:rsid w:val="00446301"/>
    <w:rsid w:val="004503E9"/>
    <w:rsid w:val="00450E1D"/>
    <w:rsid w:val="004514D0"/>
    <w:rsid w:val="0045168F"/>
    <w:rsid w:val="00452297"/>
    <w:rsid w:val="00455004"/>
    <w:rsid w:val="00455B87"/>
    <w:rsid w:val="0046099E"/>
    <w:rsid w:val="00462346"/>
    <w:rsid w:val="0046257F"/>
    <w:rsid w:val="00467CBE"/>
    <w:rsid w:val="004724A9"/>
    <w:rsid w:val="00473CF0"/>
    <w:rsid w:val="00474DD9"/>
    <w:rsid w:val="0047628E"/>
    <w:rsid w:val="004766E8"/>
    <w:rsid w:val="00476F7F"/>
    <w:rsid w:val="0047703D"/>
    <w:rsid w:val="00477F3E"/>
    <w:rsid w:val="00481D03"/>
    <w:rsid w:val="0048229D"/>
    <w:rsid w:val="00482842"/>
    <w:rsid w:val="00483E28"/>
    <w:rsid w:val="004842E9"/>
    <w:rsid w:val="00484B2B"/>
    <w:rsid w:val="0048562D"/>
    <w:rsid w:val="0048697A"/>
    <w:rsid w:val="00487113"/>
    <w:rsid w:val="0049008D"/>
    <w:rsid w:val="004919ED"/>
    <w:rsid w:val="00491BCA"/>
    <w:rsid w:val="00493035"/>
    <w:rsid w:val="00495D9C"/>
    <w:rsid w:val="004965C5"/>
    <w:rsid w:val="00496791"/>
    <w:rsid w:val="0049732F"/>
    <w:rsid w:val="004976C8"/>
    <w:rsid w:val="004A02FF"/>
    <w:rsid w:val="004A0F35"/>
    <w:rsid w:val="004A1E60"/>
    <w:rsid w:val="004A2020"/>
    <w:rsid w:val="004A239F"/>
    <w:rsid w:val="004A2D75"/>
    <w:rsid w:val="004A37B5"/>
    <w:rsid w:val="004A3A85"/>
    <w:rsid w:val="004A492D"/>
    <w:rsid w:val="004A518C"/>
    <w:rsid w:val="004A7303"/>
    <w:rsid w:val="004A7A3D"/>
    <w:rsid w:val="004B0832"/>
    <w:rsid w:val="004B0AB0"/>
    <w:rsid w:val="004B169C"/>
    <w:rsid w:val="004B1B1E"/>
    <w:rsid w:val="004B3889"/>
    <w:rsid w:val="004B3BC5"/>
    <w:rsid w:val="004B4FE0"/>
    <w:rsid w:val="004B600E"/>
    <w:rsid w:val="004B6C81"/>
    <w:rsid w:val="004B6E47"/>
    <w:rsid w:val="004B7815"/>
    <w:rsid w:val="004B7D91"/>
    <w:rsid w:val="004C096D"/>
    <w:rsid w:val="004C28C6"/>
    <w:rsid w:val="004C2EA9"/>
    <w:rsid w:val="004C3729"/>
    <w:rsid w:val="004C5ADF"/>
    <w:rsid w:val="004C68E2"/>
    <w:rsid w:val="004C7770"/>
    <w:rsid w:val="004C7ED2"/>
    <w:rsid w:val="004D0002"/>
    <w:rsid w:val="004D1373"/>
    <w:rsid w:val="004D1471"/>
    <w:rsid w:val="004D237C"/>
    <w:rsid w:val="004D2F41"/>
    <w:rsid w:val="004D3EDF"/>
    <w:rsid w:val="004D4B86"/>
    <w:rsid w:val="004D4C7C"/>
    <w:rsid w:val="004D519D"/>
    <w:rsid w:val="004D59DC"/>
    <w:rsid w:val="004D678B"/>
    <w:rsid w:val="004D7591"/>
    <w:rsid w:val="004E12ED"/>
    <w:rsid w:val="004E1DF2"/>
    <w:rsid w:val="004E1E81"/>
    <w:rsid w:val="004E33E1"/>
    <w:rsid w:val="004E341A"/>
    <w:rsid w:val="004E3826"/>
    <w:rsid w:val="004E4981"/>
    <w:rsid w:val="004E5FCC"/>
    <w:rsid w:val="004E61F0"/>
    <w:rsid w:val="004E6987"/>
    <w:rsid w:val="004E7767"/>
    <w:rsid w:val="004F354D"/>
    <w:rsid w:val="004F4446"/>
    <w:rsid w:val="004F6829"/>
    <w:rsid w:val="004F69BD"/>
    <w:rsid w:val="004F7C06"/>
    <w:rsid w:val="00500022"/>
    <w:rsid w:val="005001E4"/>
    <w:rsid w:val="005017EF"/>
    <w:rsid w:val="00501DF2"/>
    <w:rsid w:val="00503035"/>
    <w:rsid w:val="005039F8"/>
    <w:rsid w:val="00503C49"/>
    <w:rsid w:val="0050501D"/>
    <w:rsid w:val="0050524A"/>
    <w:rsid w:val="00506B1E"/>
    <w:rsid w:val="00507312"/>
    <w:rsid w:val="0051135E"/>
    <w:rsid w:val="0051161C"/>
    <w:rsid w:val="00512609"/>
    <w:rsid w:val="00512823"/>
    <w:rsid w:val="00512C7A"/>
    <w:rsid w:val="00513A61"/>
    <w:rsid w:val="00514D07"/>
    <w:rsid w:val="005168AD"/>
    <w:rsid w:val="00520A9D"/>
    <w:rsid w:val="005210DE"/>
    <w:rsid w:val="00521617"/>
    <w:rsid w:val="00524BBC"/>
    <w:rsid w:val="00525DA8"/>
    <w:rsid w:val="00526193"/>
    <w:rsid w:val="005263E6"/>
    <w:rsid w:val="00526ED2"/>
    <w:rsid w:val="0053065B"/>
    <w:rsid w:val="00530E97"/>
    <w:rsid w:val="0053199B"/>
    <w:rsid w:val="00531F7C"/>
    <w:rsid w:val="00532AEF"/>
    <w:rsid w:val="00532B03"/>
    <w:rsid w:val="00533D94"/>
    <w:rsid w:val="00534DA6"/>
    <w:rsid w:val="005357E6"/>
    <w:rsid w:val="00535BB4"/>
    <w:rsid w:val="00535E76"/>
    <w:rsid w:val="00536EBE"/>
    <w:rsid w:val="00537081"/>
    <w:rsid w:val="00537DD1"/>
    <w:rsid w:val="00540CDB"/>
    <w:rsid w:val="005417C1"/>
    <w:rsid w:val="00541D82"/>
    <w:rsid w:val="00541F38"/>
    <w:rsid w:val="00544BE0"/>
    <w:rsid w:val="00544CF7"/>
    <w:rsid w:val="00547A2E"/>
    <w:rsid w:val="00550136"/>
    <w:rsid w:val="005504B5"/>
    <w:rsid w:val="005508AE"/>
    <w:rsid w:val="0055160A"/>
    <w:rsid w:val="00551752"/>
    <w:rsid w:val="00551F16"/>
    <w:rsid w:val="00554B1C"/>
    <w:rsid w:val="00554E4A"/>
    <w:rsid w:val="00555759"/>
    <w:rsid w:val="005564D2"/>
    <w:rsid w:val="00556801"/>
    <w:rsid w:val="00556903"/>
    <w:rsid w:val="00556CC3"/>
    <w:rsid w:val="00556DB2"/>
    <w:rsid w:val="00562605"/>
    <w:rsid w:val="00564BEF"/>
    <w:rsid w:val="005650CA"/>
    <w:rsid w:val="005666FA"/>
    <w:rsid w:val="00566FEE"/>
    <w:rsid w:val="0056735E"/>
    <w:rsid w:val="00567F1D"/>
    <w:rsid w:val="005702C3"/>
    <w:rsid w:val="00570A11"/>
    <w:rsid w:val="00570FC3"/>
    <w:rsid w:val="00572485"/>
    <w:rsid w:val="00573B7B"/>
    <w:rsid w:val="00574388"/>
    <w:rsid w:val="005747E0"/>
    <w:rsid w:val="00574A56"/>
    <w:rsid w:val="00574FBA"/>
    <w:rsid w:val="005752E9"/>
    <w:rsid w:val="00575F41"/>
    <w:rsid w:val="005810B1"/>
    <w:rsid w:val="00581DFD"/>
    <w:rsid w:val="005825B7"/>
    <w:rsid w:val="00584B1F"/>
    <w:rsid w:val="00586271"/>
    <w:rsid w:val="00587DDB"/>
    <w:rsid w:val="00590642"/>
    <w:rsid w:val="00591280"/>
    <w:rsid w:val="005914B3"/>
    <w:rsid w:val="00592962"/>
    <w:rsid w:val="00594445"/>
    <w:rsid w:val="00595A54"/>
    <w:rsid w:val="00596353"/>
    <w:rsid w:val="00597F36"/>
    <w:rsid w:val="005A00B4"/>
    <w:rsid w:val="005A0CD8"/>
    <w:rsid w:val="005A1E50"/>
    <w:rsid w:val="005A2D06"/>
    <w:rsid w:val="005A2DAE"/>
    <w:rsid w:val="005A30AA"/>
    <w:rsid w:val="005A31BA"/>
    <w:rsid w:val="005A3E25"/>
    <w:rsid w:val="005A411B"/>
    <w:rsid w:val="005A566C"/>
    <w:rsid w:val="005A7AEA"/>
    <w:rsid w:val="005B0214"/>
    <w:rsid w:val="005B0C89"/>
    <w:rsid w:val="005B1BE2"/>
    <w:rsid w:val="005B4F77"/>
    <w:rsid w:val="005B67CE"/>
    <w:rsid w:val="005B6AE1"/>
    <w:rsid w:val="005B7B08"/>
    <w:rsid w:val="005C160E"/>
    <w:rsid w:val="005C3C32"/>
    <w:rsid w:val="005C696C"/>
    <w:rsid w:val="005C6C5B"/>
    <w:rsid w:val="005C72EA"/>
    <w:rsid w:val="005D193A"/>
    <w:rsid w:val="005D283C"/>
    <w:rsid w:val="005D29EB"/>
    <w:rsid w:val="005D3611"/>
    <w:rsid w:val="005D3D13"/>
    <w:rsid w:val="005D4000"/>
    <w:rsid w:val="005D49DD"/>
    <w:rsid w:val="005D5DC2"/>
    <w:rsid w:val="005D6447"/>
    <w:rsid w:val="005D7A19"/>
    <w:rsid w:val="005D7BD1"/>
    <w:rsid w:val="005E03F9"/>
    <w:rsid w:val="005E0E71"/>
    <w:rsid w:val="005E217C"/>
    <w:rsid w:val="005E30C3"/>
    <w:rsid w:val="005E3164"/>
    <w:rsid w:val="005E3F9C"/>
    <w:rsid w:val="005E410F"/>
    <w:rsid w:val="005E4E99"/>
    <w:rsid w:val="005E5522"/>
    <w:rsid w:val="005E799E"/>
    <w:rsid w:val="005E7D3F"/>
    <w:rsid w:val="005F0023"/>
    <w:rsid w:val="005F411C"/>
    <w:rsid w:val="005F59B2"/>
    <w:rsid w:val="005F6C03"/>
    <w:rsid w:val="005F6F85"/>
    <w:rsid w:val="005F7651"/>
    <w:rsid w:val="0060219F"/>
    <w:rsid w:val="006033D5"/>
    <w:rsid w:val="006040C8"/>
    <w:rsid w:val="0060434F"/>
    <w:rsid w:val="00605066"/>
    <w:rsid w:val="00605079"/>
    <w:rsid w:val="00605607"/>
    <w:rsid w:val="00606205"/>
    <w:rsid w:val="0060683C"/>
    <w:rsid w:val="00607948"/>
    <w:rsid w:val="006102DB"/>
    <w:rsid w:val="006120AE"/>
    <w:rsid w:val="0061240D"/>
    <w:rsid w:val="0061263E"/>
    <w:rsid w:val="00613326"/>
    <w:rsid w:val="006133A7"/>
    <w:rsid w:val="00614138"/>
    <w:rsid w:val="00614E0A"/>
    <w:rsid w:val="00615AE8"/>
    <w:rsid w:val="0061653A"/>
    <w:rsid w:val="00617931"/>
    <w:rsid w:val="00617E82"/>
    <w:rsid w:val="00622EA0"/>
    <w:rsid w:val="00624051"/>
    <w:rsid w:val="00624EAF"/>
    <w:rsid w:val="006253F1"/>
    <w:rsid w:val="006269C5"/>
    <w:rsid w:val="00627B88"/>
    <w:rsid w:val="00627E06"/>
    <w:rsid w:val="0063079B"/>
    <w:rsid w:val="00631575"/>
    <w:rsid w:val="006338B4"/>
    <w:rsid w:val="006341A0"/>
    <w:rsid w:val="00635782"/>
    <w:rsid w:val="0063628D"/>
    <w:rsid w:val="00637AAC"/>
    <w:rsid w:val="006407F8"/>
    <w:rsid w:val="00640E29"/>
    <w:rsid w:val="00641732"/>
    <w:rsid w:val="00642746"/>
    <w:rsid w:val="006431D8"/>
    <w:rsid w:val="006443D6"/>
    <w:rsid w:val="0064488E"/>
    <w:rsid w:val="00644EB1"/>
    <w:rsid w:val="00645F94"/>
    <w:rsid w:val="006470C0"/>
    <w:rsid w:val="0064799A"/>
    <w:rsid w:val="006501DC"/>
    <w:rsid w:val="00651573"/>
    <w:rsid w:val="00652C31"/>
    <w:rsid w:val="00652CC0"/>
    <w:rsid w:val="0065340A"/>
    <w:rsid w:val="00654445"/>
    <w:rsid w:val="00654621"/>
    <w:rsid w:val="00654E8E"/>
    <w:rsid w:val="00655619"/>
    <w:rsid w:val="00655C10"/>
    <w:rsid w:val="00655D0B"/>
    <w:rsid w:val="00656A37"/>
    <w:rsid w:val="006579DE"/>
    <w:rsid w:val="00660CEA"/>
    <w:rsid w:val="00661704"/>
    <w:rsid w:val="00661774"/>
    <w:rsid w:val="00662811"/>
    <w:rsid w:val="006631EF"/>
    <w:rsid w:val="00663506"/>
    <w:rsid w:val="00665187"/>
    <w:rsid w:val="006658DD"/>
    <w:rsid w:val="00665C30"/>
    <w:rsid w:val="00667805"/>
    <w:rsid w:val="00672040"/>
    <w:rsid w:val="00673434"/>
    <w:rsid w:val="0067377A"/>
    <w:rsid w:val="00674586"/>
    <w:rsid w:val="00674A6C"/>
    <w:rsid w:val="00674B42"/>
    <w:rsid w:val="00675BAE"/>
    <w:rsid w:val="006760EA"/>
    <w:rsid w:val="0068004C"/>
    <w:rsid w:val="006801E7"/>
    <w:rsid w:val="00680D8E"/>
    <w:rsid w:val="00680F94"/>
    <w:rsid w:val="0068224E"/>
    <w:rsid w:val="00683A80"/>
    <w:rsid w:val="006848BC"/>
    <w:rsid w:val="00684EBB"/>
    <w:rsid w:val="0068525E"/>
    <w:rsid w:val="00685B6A"/>
    <w:rsid w:val="006861FD"/>
    <w:rsid w:val="00686ABD"/>
    <w:rsid w:val="00686AEC"/>
    <w:rsid w:val="00687DB0"/>
    <w:rsid w:val="0069061F"/>
    <w:rsid w:val="00690CBF"/>
    <w:rsid w:val="00691B10"/>
    <w:rsid w:val="00691F5F"/>
    <w:rsid w:val="0069234B"/>
    <w:rsid w:val="00692F0A"/>
    <w:rsid w:val="0069338C"/>
    <w:rsid w:val="00694FCA"/>
    <w:rsid w:val="006956AD"/>
    <w:rsid w:val="006965CE"/>
    <w:rsid w:val="00696C3C"/>
    <w:rsid w:val="00696E15"/>
    <w:rsid w:val="00696F15"/>
    <w:rsid w:val="006A24E5"/>
    <w:rsid w:val="006A27D3"/>
    <w:rsid w:val="006A29BC"/>
    <w:rsid w:val="006A3133"/>
    <w:rsid w:val="006A4CF9"/>
    <w:rsid w:val="006A6E98"/>
    <w:rsid w:val="006A77D9"/>
    <w:rsid w:val="006A7A28"/>
    <w:rsid w:val="006A7F78"/>
    <w:rsid w:val="006B04C4"/>
    <w:rsid w:val="006B0CC4"/>
    <w:rsid w:val="006B1C64"/>
    <w:rsid w:val="006B207A"/>
    <w:rsid w:val="006B261D"/>
    <w:rsid w:val="006B2F10"/>
    <w:rsid w:val="006B352B"/>
    <w:rsid w:val="006B43A5"/>
    <w:rsid w:val="006B4509"/>
    <w:rsid w:val="006B4863"/>
    <w:rsid w:val="006B4A0C"/>
    <w:rsid w:val="006B4B0B"/>
    <w:rsid w:val="006B51CE"/>
    <w:rsid w:val="006B53D3"/>
    <w:rsid w:val="006B6ABE"/>
    <w:rsid w:val="006B6B81"/>
    <w:rsid w:val="006B736E"/>
    <w:rsid w:val="006B7A52"/>
    <w:rsid w:val="006C106E"/>
    <w:rsid w:val="006C157D"/>
    <w:rsid w:val="006C2173"/>
    <w:rsid w:val="006C39FF"/>
    <w:rsid w:val="006C41FB"/>
    <w:rsid w:val="006C6CA1"/>
    <w:rsid w:val="006C7C07"/>
    <w:rsid w:val="006D07F2"/>
    <w:rsid w:val="006D1D9D"/>
    <w:rsid w:val="006D33FB"/>
    <w:rsid w:val="006D5A15"/>
    <w:rsid w:val="006D617C"/>
    <w:rsid w:val="006D62F1"/>
    <w:rsid w:val="006D7B41"/>
    <w:rsid w:val="006E10DE"/>
    <w:rsid w:val="006E1164"/>
    <w:rsid w:val="006E1E2D"/>
    <w:rsid w:val="006E262E"/>
    <w:rsid w:val="006E344B"/>
    <w:rsid w:val="006E4B24"/>
    <w:rsid w:val="006E4E8C"/>
    <w:rsid w:val="006E6FA5"/>
    <w:rsid w:val="006E7720"/>
    <w:rsid w:val="006F0D6F"/>
    <w:rsid w:val="006F1873"/>
    <w:rsid w:val="006F36EC"/>
    <w:rsid w:val="006F372B"/>
    <w:rsid w:val="006F5AC3"/>
    <w:rsid w:val="006F5EFC"/>
    <w:rsid w:val="006F6272"/>
    <w:rsid w:val="006F66FD"/>
    <w:rsid w:val="006F7E14"/>
    <w:rsid w:val="007008AA"/>
    <w:rsid w:val="0070167E"/>
    <w:rsid w:val="007017A9"/>
    <w:rsid w:val="0070216B"/>
    <w:rsid w:val="00702929"/>
    <w:rsid w:val="00702CF7"/>
    <w:rsid w:val="0070534F"/>
    <w:rsid w:val="00705E82"/>
    <w:rsid w:val="00706839"/>
    <w:rsid w:val="00707599"/>
    <w:rsid w:val="00710516"/>
    <w:rsid w:val="0071121D"/>
    <w:rsid w:val="00713B20"/>
    <w:rsid w:val="00716624"/>
    <w:rsid w:val="007166F3"/>
    <w:rsid w:val="00717213"/>
    <w:rsid w:val="0072047D"/>
    <w:rsid w:val="007215C6"/>
    <w:rsid w:val="00721F73"/>
    <w:rsid w:val="00722434"/>
    <w:rsid w:val="0072355B"/>
    <w:rsid w:val="00724348"/>
    <w:rsid w:val="00727420"/>
    <w:rsid w:val="00727AD1"/>
    <w:rsid w:val="00730582"/>
    <w:rsid w:val="00731F56"/>
    <w:rsid w:val="00733163"/>
    <w:rsid w:val="00735492"/>
    <w:rsid w:val="00735A14"/>
    <w:rsid w:val="00735FA0"/>
    <w:rsid w:val="007363B2"/>
    <w:rsid w:val="0073645F"/>
    <w:rsid w:val="00736998"/>
    <w:rsid w:val="00737C66"/>
    <w:rsid w:val="007403A5"/>
    <w:rsid w:val="007417BF"/>
    <w:rsid w:val="00741C0E"/>
    <w:rsid w:val="007427B0"/>
    <w:rsid w:val="00742A9D"/>
    <w:rsid w:val="00742E8F"/>
    <w:rsid w:val="00743598"/>
    <w:rsid w:val="007439AA"/>
    <w:rsid w:val="0074400A"/>
    <w:rsid w:val="00744381"/>
    <w:rsid w:val="00744536"/>
    <w:rsid w:val="00747AAA"/>
    <w:rsid w:val="0075081D"/>
    <w:rsid w:val="00750A3B"/>
    <w:rsid w:val="00750E68"/>
    <w:rsid w:val="00751189"/>
    <w:rsid w:val="00751FD3"/>
    <w:rsid w:val="0075219A"/>
    <w:rsid w:val="00753705"/>
    <w:rsid w:val="007540DD"/>
    <w:rsid w:val="007558DE"/>
    <w:rsid w:val="007567EC"/>
    <w:rsid w:val="0075769F"/>
    <w:rsid w:val="00761599"/>
    <w:rsid w:val="0076331C"/>
    <w:rsid w:val="007637C4"/>
    <w:rsid w:val="0076428F"/>
    <w:rsid w:val="00765062"/>
    <w:rsid w:val="007658A4"/>
    <w:rsid w:val="00765A85"/>
    <w:rsid w:val="00767352"/>
    <w:rsid w:val="007716B4"/>
    <w:rsid w:val="00772578"/>
    <w:rsid w:val="00772E5C"/>
    <w:rsid w:val="00773622"/>
    <w:rsid w:val="00774041"/>
    <w:rsid w:val="007756F8"/>
    <w:rsid w:val="007758CB"/>
    <w:rsid w:val="007760F0"/>
    <w:rsid w:val="0077631B"/>
    <w:rsid w:val="00776AFC"/>
    <w:rsid w:val="00777A60"/>
    <w:rsid w:val="0078022B"/>
    <w:rsid w:val="007814BE"/>
    <w:rsid w:val="0078242C"/>
    <w:rsid w:val="00782D0A"/>
    <w:rsid w:val="007838F1"/>
    <w:rsid w:val="00783F30"/>
    <w:rsid w:val="007852C8"/>
    <w:rsid w:val="00785354"/>
    <w:rsid w:val="00785E8C"/>
    <w:rsid w:val="00787079"/>
    <w:rsid w:val="007870B9"/>
    <w:rsid w:val="00787D5D"/>
    <w:rsid w:val="007903A5"/>
    <w:rsid w:val="00790C2E"/>
    <w:rsid w:val="007919E5"/>
    <w:rsid w:val="007928E5"/>
    <w:rsid w:val="00792DDB"/>
    <w:rsid w:val="00792FE2"/>
    <w:rsid w:val="00793390"/>
    <w:rsid w:val="007945B6"/>
    <w:rsid w:val="00794603"/>
    <w:rsid w:val="00794D78"/>
    <w:rsid w:val="007959AA"/>
    <w:rsid w:val="007961B8"/>
    <w:rsid w:val="00796AA3"/>
    <w:rsid w:val="00796E54"/>
    <w:rsid w:val="00797DEC"/>
    <w:rsid w:val="00797E59"/>
    <w:rsid w:val="007A07D6"/>
    <w:rsid w:val="007A166D"/>
    <w:rsid w:val="007A1B37"/>
    <w:rsid w:val="007A1F53"/>
    <w:rsid w:val="007A2103"/>
    <w:rsid w:val="007A3DB2"/>
    <w:rsid w:val="007A5501"/>
    <w:rsid w:val="007A5E0E"/>
    <w:rsid w:val="007A5EF0"/>
    <w:rsid w:val="007A6EA0"/>
    <w:rsid w:val="007A7EB2"/>
    <w:rsid w:val="007B075C"/>
    <w:rsid w:val="007B08F5"/>
    <w:rsid w:val="007B5AC2"/>
    <w:rsid w:val="007B621D"/>
    <w:rsid w:val="007C12EF"/>
    <w:rsid w:val="007C2DB3"/>
    <w:rsid w:val="007C3574"/>
    <w:rsid w:val="007C3EBC"/>
    <w:rsid w:val="007C5780"/>
    <w:rsid w:val="007C7D67"/>
    <w:rsid w:val="007D0DE6"/>
    <w:rsid w:val="007D2709"/>
    <w:rsid w:val="007D36AF"/>
    <w:rsid w:val="007E1B0C"/>
    <w:rsid w:val="007E317C"/>
    <w:rsid w:val="007E3DA7"/>
    <w:rsid w:val="007E4E7D"/>
    <w:rsid w:val="007E5558"/>
    <w:rsid w:val="007E648B"/>
    <w:rsid w:val="007E6CD9"/>
    <w:rsid w:val="007E774C"/>
    <w:rsid w:val="007F0710"/>
    <w:rsid w:val="007F2D56"/>
    <w:rsid w:val="007F3A74"/>
    <w:rsid w:val="007F4506"/>
    <w:rsid w:val="007F4564"/>
    <w:rsid w:val="007F50C4"/>
    <w:rsid w:val="007F5223"/>
    <w:rsid w:val="007F60AA"/>
    <w:rsid w:val="007F67FE"/>
    <w:rsid w:val="007F7564"/>
    <w:rsid w:val="007F757C"/>
    <w:rsid w:val="007F773B"/>
    <w:rsid w:val="00800304"/>
    <w:rsid w:val="0080115D"/>
    <w:rsid w:val="008012AE"/>
    <w:rsid w:val="00801DEE"/>
    <w:rsid w:val="008022D9"/>
    <w:rsid w:val="008025A0"/>
    <w:rsid w:val="0080337B"/>
    <w:rsid w:val="0080363E"/>
    <w:rsid w:val="00804971"/>
    <w:rsid w:val="0080693E"/>
    <w:rsid w:val="008072EA"/>
    <w:rsid w:val="00807A1A"/>
    <w:rsid w:val="008105FC"/>
    <w:rsid w:val="0081083F"/>
    <w:rsid w:val="0081321F"/>
    <w:rsid w:val="00813463"/>
    <w:rsid w:val="008138F9"/>
    <w:rsid w:val="008140DA"/>
    <w:rsid w:val="00815960"/>
    <w:rsid w:val="0081683C"/>
    <w:rsid w:val="00817E58"/>
    <w:rsid w:val="008226B6"/>
    <w:rsid w:val="00822D03"/>
    <w:rsid w:val="0082473C"/>
    <w:rsid w:val="00824E50"/>
    <w:rsid w:val="00824FC2"/>
    <w:rsid w:val="008266F3"/>
    <w:rsid w:val="00826A7A"/>
    <w:rsid w:val="00826F81"/>
    <w:rsid w:val="00827326"/>
    <w:rsid w:val="00827822"/>
    <w:rsid w:val="00827B34"/>
    <w:rsid w:val="0083038A"/>
    <w:rsid w:val="00830487"/>
    <w:rsid w:val="0083049D"/>
    <w:rsid w:val="008332FF"/>
    <w:rsid w:val="00833F9E"/>
    <w:rsid w:val="00835A3D"/>
    <w:rsid w:val="00835ACA"/>
    <w:rsid w:val="00836507"/>
    <w:rsid w:val="00841079"/>
    <w:rsid w:val="008410E7"/>
    <w:rsid w:val="008427A3"/>
    <w:rsid w:val="00842AA6"/>
    <w:rsid w:val="00842C8C"/>
    <w:rsid w:val="008438CA"/>
    <w:rsid w:val="00843F2F"/>
    <w:rsid w:val="008444CB"/>
    <w:rsid w:val="008444FF"/>
    <w:rsid w:val="00844D1C"/>
    <w:rsid w:val="0084547A"/>
    <w:rsid w:val="008455D8"/>
    <w:rsid w:val="0084621D"/>
    <w:rsid w:val="008469F4"/>
    <w:rsid w:val="00847342"/>
    <w:rsid w:val="00847766"/>
    <w:rsid w:val="008514B8"/>
    <w:rsid w:val="008524CF"/>
    <w:rsid w:val="00852E49"/>
    <w:rsid w:val="0085388B"/>
    <w:rsid w:val="00854358"/>
    <w:rsid w:val="008569D9"/>
    <w:rsid w:val="00857177"/>
    <w:rsid w:val="00857A2F"/>
    <w:rsid w:val="00857C49"/>
    <w:rsid w:val="00860D83"/>
    <w:rsid w:val="008648B5"/>
    <w:rsid w:val="00865AE8"/>
    <w:rsid w:val="008660C5"/>
    <w:rsid w:val="008675BB"/>
    <w:rsid w:val="0087185C"/>
    <w:rsid w:val="00871AB6"/>
    <w:rsid w:val="00871EBD"/>
    <w:rsid w:val="00874232"/>
    <w:rsid w:val="00875BB3"/>
    <w:rsid w:val="0087637A"/>
    <w:rsid w:val="008763E7"/>
    <w:rsid w:val="008766FD"/>
    <w:rsid w:val="00880280"/>
    <w:rsid w:val="008804F5"/>
    <w:rsid w:val="00884766"/>
    <w:rsid w:val="0088508A"/>
    <w:rsid w:val="0088633C"/>
    <w:rsid w:val="00886EEA"/>
    <w:rsid w:val="0089356F"/>
    <w:rsid w:val="008936D7"/>
    <w:rsid w:val="00894848"/>
    <w:rsid w:val="008969D8"/>
    <w:rsid w:val="008A1050"/>
    <w:rsid w:val="008A2036"/>
    <w:rsid w:val="008A4922"/>
    <w:rsid w:val="008A49B3"/>
    <w:rsid w:val="008A4C75"/>
    <w:rsid w:val="008A5933"/>
    <w:rsid w:val="008A7C53"/>
    <w:rsid w:val="008B00CD"/>
    <w:rsid w:val="008B13A9"/>
    <w:rsid w:val="008B1AF9"/>
    <w:rsid w:val="008B2652"/>
    <w:rsid w:val="008B2817"/>
    <w:rsid w:val="008B2CDD"/>
    <w:rsid w:val="008B31F2"/>
    <w:rsid w:val="008B332F"/>
    <w:rsid w:val="008B4785"/>
    <w:rsid w:val="008B4890"/>
    <w:rsid w:val="008B593D"/>
    <w:rsid w:val="008B696A"/>
    <w:rsid w:val="008B6C55"/>
    <w:rsid w:val="008B7176"/>
    <w:rsid w:val="008C0802"/>
    <w:rsid w:val="008C2758"/>
    <w:rsid w:val="008C3E27"/>
    <w:rsid w:val="008C42E3"/>
    <w:rsid w:val="008C6D25"/>
    <w:rsid w:val="008D0DA8"/>
    <w:rsid w:val="008D23E2"/>
    <w:rsid w:val="008D26A9"/>
    <w:rsid w:val="008D2A4F"/>
    <w:rsid w:val="008D36C4"/>
    <w:rsid w:val="008D42D8"/>
    <w:rsid w:val="008D5A93"/>
    <w:rsid w:val="008D67A2"/>
    <w:rsid w:val="008D7033"/>
    <w:rsid w:val="008E06CD"/>
    <w:rsid w:val="008E1300"/>
    <w:rsid w:val="008E1E25"/>
    <w:rsid w:val="008E2771"/>
    <w:rsid w:val="008E3118"/>
    <w:rsid w:val="008E31EE"/>
    <w:rsid w:val="008E3649"/>
    <w:rsid w:val="008E3797"/>
    <w:rsid w:val="008E49AF"/>
    <w:rsid w:val="008E4CA1"/>
    <w:rsid w:val="008E4D1D"/>
    <w:rsid w:val="008E5122"/>
    <w:rsid w:val="008E5258"/>
    <w:rsid w:val="008E63B5"/>
    <w:rsid w:val="008E6C60"/>
    <w:rsid w:val="008E751B"/>
    <w:rsid w:val="008E7D56"/>
    <w:rsid w:val="008E7D94"/>
    <w:rsid w:val="008F14E3"/>
    <w:rsid w:val="008F2270"/>
    <w:rsid w:val="008F27D1"/>
    <w:rsid w:val="008F3996"/>
    <w:rsid w:val="008F3DD7"/>
    <w:rsid w:val="008F4003"/>
    <w:rsid w:val="008F4A3F"/>
    <w:rsid w:val="008F4AD5"/>
    <w:rsid w:val="008F5423"/>
    <w:rsid w:val="008F5602"/>
    <w:rsid w:val="008F5B2C"/>
    <w:rsid w:val="008F6544"/>
    <w:rsid w:val="00901041"/>
    <w:rsid w:val="00901598"/>
    <w:rsid w:val="00901CD2"/>
    <w:rsid w:val="00902078"/>
    <w:rsid w:val="00902F9E"/>
    <w:rsid w:val="0090356A"/>
    <w:rsid w:val="009037A2"/>
    <w:rsid w:val="00904514"/>
    <w:rsid w:val="00904BBF"/>
    <w:rsid w:val="00905E37"/>
    <w:rsid w:val="00907560"/>
    <w:rsid w:val="00907D7B"/>
    <w:rsid w:val="009103F9"/>
    <w:rsid w:val="00911E15"/>
    <w:rsid w:val="0091244B"/>
    <w:rsid w:val="009126AB"/>
    <w:rsid w:val="009130F9"/>
    <w:rsid w:val="00913C37"/>
    <w:rsid w:val="00914485"/>
    <w:rsid w:val="00914A6C"/>
    <w:rsid w:val="00915CA6"/>
    <w:rsid w:val="00916AD4"/>
    <w:rsid w:val="00916BA4"/>
    <w:rsid w:val="00917201"/>
    <w:rsid w:val="0091773D"/>
    <w:rsid w:val="009177FE"/>
    <w:rsid w:val="00917D7C"/>
    <w:rsid w:val="00921C80"/>
    <w:rsid w:val="009255C9"/>
    <w:rsid w:val="0092694D"/>
    <w:rsid w:val="00926B1D"/>
    <w:rsid w:val="00927509"/>
    <w:rsid w:val="00927C53"/>
    <w:rsid w:val="009304EA"/>
    <w:rsid w:val="00930BD3"/>
    <w:rsid w:val="00930FCC"/>
    <w:rsid w:val="0093149D"/>
    <w:rsid w:val="0093193E"/>
    <w:rsid w:val="00931CFD"/>
    <w:rsid w:val="00932F42"/>
    <w:rsid w:val="00933034"/>
    <w:rsid w:val="00933E76"/>
    <w:rsid w:val="009358C0"/>
    <w:rsid w:val="00936522"/>
    <w:rsid w:val="009377D8"/>
    <w:rsid w:val="00937FB9"/>
    <w:rsid w:val="00940937"/>
    <w:rsid w:val="00941034"/>
    <w:rsid w:val="00941ACB"/>
    <w:rsid w:val="0094246B"/>
    <w:rsid w:val="00942BAB"/>
    <w:rsid w:val="00943756"/>
    <w:rsid w:val="00943E43"/>
    <w:rsid w:val="0094474D"/>
    <w:rsid w:val="009449D8"/>
    <w:rsid w:val="00944D8B"/>
    <w:rsid w:val="00945639"/>
    <w:rsid w:val="00946A9F"/>
    <w:rsid w:val="00951B6A"/>
    <w:rsid w:val="00952831"/>
    <w:rsid w:val="00953144"/>
    <w:rsid w:val="009541E7"/>
    <w:rsid w:val="00954EDE"/>
    <w:rsid w:val="0095514D"/>
    <w:rsid w:val="009558F9"/>
    <w:rsid w:val="00955C55"/>
    <w:rsid w:val="009569EA"/>
    <w:rsid w:val="00956BB1"/>
    <w:rsid w:val="00956FF7"/>
    <w:rsid w:val="0095717E"/>
    <w:rsid w:val="00957E41"/>
    <w:rsid w:val="00957E5C"/>
    <w:rsid w:val="00961018"/>
    <w:rsid w:val="00961160"/>
    <w:rsid w:val="00962228"/>
    <w:rsid w:val="00962D84"/>
    <w:rsid w:val="00962FD3"/>
    <w:rsid w:val="00963C71"/>
    <w:rsid w:val="009641C1"/>
    <w:rsid w:val="00964DA7"/>
    <w:rsid w:val="0096646D"/>
    <w:rsid w:val="009667FF"/>
    <w:rsid w:val="00966BA9"/>
    <w:rsid w:val="0096786C"/>
    <w:rsid w:val="009679BA"/>
    <w:rsid w:val="00967C86"/>
    <w:rsid w:val="00967F7E"/>
    <w:rsid w:val="009710D5"/>
    <w:rsid w:val="009746B0"/>
    <w:rsid w:val="0097501F"/>
    <w:rsid w:val="009757D8"/>
    <w:rsid w:val="00975B4D"/>
    <w:rsid w:val="00975B75"/>
    <w:rsid w:val="00975F17"/>
    <w:rsid w:val="009779DE"/>
    <w:rsid w:val="00977E9A"/>
    <w:rsid w:val="00980369"/>
    <w:rsid w:val="009805AD"/>
    <w:rsid w:val="00981308"/>
    <w:rsid w:val="00981A36"/>
    <w:rsid w:val="00981ED7"/>
    <w:rsid w:val="009837C4"/>
    <w:rsid w:val="009848FB"/>
    <w:rsid w:val="00984BCB"/>
    <w:rsid w:val="00984C87"/>
    <w:rsid w:val="0098513C"/>
    <w:rsid w:val="0098584B"/>
    <w:rsid w:val="00986685"/>
    <w:rsid w:val="00987014"/>
    <w:rsid w:val="00990D16"/>
    <w:rsid w:val="009920C4"/>
    <w:rsid w:val="0099270A"/>
    <w:rsid w:val="009973F4"/>
    <w:rsid w:val="009A09DF"/>
    <w:rsid w:val="009A28CB"/>
    <w:rsid w:val="009A2C35"/>
    <w:rsid w:val="009A4FAB"/>
    <w:rsid w:val="009A7344"/>
    <w:rsid w:val="009B043B"/>
    <w:rsid w:val="009B060F"/>
    <w:rsid w:val="009B0BED"/>
    <w:rsid w:val="009B24C2"/>
    <w:rsid w:val="009B2637"/>
    <w:rsid w:val="009B2AA4"/>
    <w:rsid w:val="009B3D00"/>
    <w:rsid w:val="009B4A00"/>
    <w:rsid w:val="009B5A20"/>
    <w:rsid w:val="009B622A"/>
    <w:rsid w:val="009B6B48"/>
    <w:rsid w:val="009C032A"/>
    <w:rsid w:val="009C035D"/>
    <w:rsid w:val="009C0AE6"/>
    <w:rsid w:val="009C196B"/>
    <w:rsid w:val="009C3316"/>
    <w:rsid w:val="009C332A"/>
    <w:rsid w:val="009C4CAC"/>
    <w:rsid w:val="009C5DD0"/>
    <w:rsid w:val="009C6247"/>
    <w:rsid w:val="009C6B7F"/>
    <w:rsid w:val="009C6F48"/>
    <w:rsid w:val="009C7CA9"/>
    <w:rsid w:val="009D1478"/>
    <w:rsid w:val="009D16EA"/>
    <w:rsid w:val="009D1F8D"/>
    <w:rsid w:val="009D2A59"/>
    <w:rsid w:val="009D3FC5"/>
    <w:rsid w:val="009D47B8"/>
    <w:rsid w:val="009D497D"/>
    <w:rsid w:val="009D74BC"/>
    <w:rsid w:val="009D77E6"/>
    <w:rsid w:val="009E0A39"/>
    <w:rsid w:val="009E2785"/>
    <w:rsid w:val="009E31AD"/>
    <w:rsid w:val="009E3832"/>
    <w:rsid w:val="009E386C"/>
    <w:rsid w:val="009E41E1"/>
    <w:rsid w:val="009E5F45"/>
    <w:rsid w:val="009F33C4"/>
    <w:rsid w:val="009F37A0"/>
    <w:rsid w:val="009F58A8"/>
    <w:rsid w:val="009F5C14"/>
    <w:rsid w:val="009F710C"/>
    <w:rsid w:val="00A00083"/>
    <w:rsid w:val="00A001E3"/>
    <w:rsid w:val="00A00BBC"/>
    <w:rsid w:val="00A00F5F"/>
    <w:rsid w:val="00A0221D"/>
    <w:rsid w:val="00A03ABA"/>
    <w:rsid w:val="00A04149"/>
    <w:rsid w:val="00A045E4"/>
    <w:rsid w:val="00A04C7E"/>
    <w:rsid w:val="00A05AF8"/>
    <w:rsid w:val="00A05BD4"/>
    <w:rsid w:val="00A05C4B"/>
    <w:rsid w:val="00A071E8"/>
    <w:rsid w:val="00A07236"/>
    <w:rsid w:val="00A10CF0"/>
    <w:rsid w:val="00A1172B"/>
    <w:rsid w:val="00A11F52"/>
    <w:rsid w:val="00A12976"/>
    <w:rsid w:val="00A12EDF"/>
    <w:rsid w:val="00A131BF"/>
    <w:rsid w:val="00A14073"/>
    <w:rsid w:val="00A140C9"/>
    <w:rsid w:val="00A1513C"/>
    <w:rsid w:val="00A15CE8"/>
    <w:rsid w:val="00A2040B"/>
    <w:rsid w:val="00A20A0E"/>
    <w:rsid w:val="00A20AD3"/>
    <w:rsid w:val="00A20CE9"/>
    <w:rsid w:val="00A22A81"/>
    <w:rsid w:val="00A24364"/>
    <w:rsid w:val="00A26AD4"/>
    <w:rsid w:val="00A314D3"/>
    <w:rsid w:val="00A31A45"/>
    <w:rsid w:val="00A31D14"/>
    <w:rsid w:val="00A322C3"/>
    <w:rsid w:val="00A328FD"/>
    <w:rsid w:val="00A32A89"/>
    <w:rsid w:val="00A33535"/>
    <w:rsid w:val="00A33AF8"/>
    <w:rsid w:val="00A356A9"/>
    <w:rsid w:val="00A3693A"/>
    <w:rsid w:val="00A371E4"/>
    <w:rsid w:val="00A379BE"/>
    <w:rsid w:val="00A40805"/>
    <w:rsid w:val="00A40F80"/>
    <w:rsid w:val="00A412C0"/>
    <w:rsid w:val="00A415A3"/>
    <w:rsid w:val="00A4169D"/>
    <w:rsid w:val="00A42DA6"/>
    <w:rsid w:val="00A440F9"/>
    <w:rsid w:val="00A445B1"/>
    <w:rsid w:val="00A446D1"/>
    <w:rsid w:val="00A455E0"/>
    <w:rsid w:val="00A46202"/>
    <w:rsid w:val="00A4642F"/>
    <w:rsid w:val="00A466DF"/>
    <w:rsid w:val="00A468E2"/>
    <w:rsid w:val="00A5122C"/>
    <w:rsid w:val="00A513F8"/>
    <w:rsid w:val="00A5188E"/>
    <w:rsid w:val="00A530D1"/>
    <w:rsid w:val="00A5495D"/>
    <w:rsid w:val="00A554C4"/>
    <w:rsid w:val="00A56A0F"/>
    <w:rsid w:val="00A5791E"/>
    <w:rsid w:val="00A57CDC"/>
    <w:rsid w:val="00A57D08"/>
    <w:rsid w:val="00A60897"/>
    <w:rsid w:val="00A61FE9"/>
    <w:rsid w:val="00A63AA3"/>
    <w:rsid w:val="00A6533D"/>
    <w:rsid w:val="00A66927"/>
    <w:rsid w:val="00A66B89"/>
    <w:rsid w:val="00A67B78"/>
    <w:rsid w:val="00A67E30"/>
    <w:rsid w:val="00A707D4"/>
    <w:rsid w:val="00A7185A"/>
    <w:rsid w:val="00A74E50"/>
    <w:rsid w:val="00A75378"/>
    <w:rsid w:val="00A756AC"/>
    <w:rsid w:val="00A76180"/>
    <w:rsid w:val="00A7629F"/>
    <w:rsid w:val="00A77745"/>
    <w:rsid w:val="00A82C34"/>
    <w:rsid w:val="00A83461"/>
    <w:rsid w:val="00A84026"/>
    <w:rsid w:val="00A84343"/>
    <w:rsid w:val="00A8463F"/>
    <w:rsid w:val="00A85CF1"/>
    <w:rsid w:val="00A86864"/>
    <w:rsid w:val="00A86CD2"/>
    <w:rsid w:val="00A86CE9"/>
    <w:rsid w:val="00A87227"/>
    <w:rsid w:val="00A903FC"/>
    <w:rsid w:val="00A90473"/>
    <w:rsid w:val="00A9111B"/>
    <w:rsid w:val="00A91B82"/>
    <w:rsid w:val="00A92EE7"/>
    <w:rsid w:val="00A92F4F"/>
    <w:rsid w:val="00A93191"/>
    <w:rsid w:val="00A93298"/>
    <w:rsid w:val="00A94CA8"/>
    <w:rsid w:val="00A96273"/>
    <w:rsid w:val="00A96716"/>
    <w:rsid w:val="00A96CE5"/>
    <w:rsid w:val="00A97251"/>
    <w:rsid w:val="00AA11B0"/>
    <w:rsid w:val="00AA14FB"/>
    <w:rsid w:val="00AA2424"/>
    <w:rsid w:val="00AA34C5"/>
    <w:rsid w:val="00AA4726"/>
    <w:rsid w:val="00AA6D11"/>
    <w:rsid w:val="00AA6F17"/>
    <w:rsid w:val="00AA6FB8"/>
    <w:rsid w:val="00AA73A3"/>
    <w:rsid w:val="00AA777E"/>
    <w:rsid w:val="00AB02B4"/>
    <w:rsid w:val="00AB0AA4"/>
    <w:rsid w:val="00AB1124"/>
    <w:rsid w:val="00AB1434"/>
    <w:rsid w:val="00AB1836"/>
    <w:rsid w:val="00AB22ED"/>
    <w:rsid w:val="00AB3026"/>
    <w:rsid w:val="00AB3AAF"/>
    <w:rsid w:val="00AB4274"/>
    <w:rsid w:val="00AB56F2"/>
    <w:rsid w:val="00AB5C53"/>
    <w:rsid w:val="00AB67A3"/>
    <w:rsid w:val="00AC0031"/>
    <w:rsid w:val="00AC0227"/>
    <w:rsid w:val="00AC2D0F"/>
    <w:rsid w:val="00AC450E"/>
    <w:rsid w:val="00AC5621"/>
    <w:rsid w:val="00AC61D5"/>
    <w:rsid w:val="00AC66D5"/>
    <w:rsid w:val="00AC71EB"/>
    <w:rsid w:val="00AC73A9"/>
    <w:rsid w:val="00AC7C63"/>
    <w:rsid w:val="00AD003E"/>
    <w:rsid w:val="00AD26C9"/>
    <w:rsid w:val="00AD43F8"/>
    <w:rsid w:val="00AD570B"/>
    <w:rsid w:val="00AD5BB0"/>
    <w:rsid w:val="00AD5C47"/>
    <w:rsid w:val="00AD70A9"/>
    <w:rsid w:val="00AE1EFC"/>
    <w:rsid w:val="00AE3BE9"/>
    <w:rsid w:val="00AE4E19"/>
    <w:rsid w:val="00AE5001"/>
    <w:rsid w:val="00AE5D54"/>
    <w:rsid w:val="00AE7E44"/>
    <w:rsid w:val="00AF0703"/>
    <w:rsid w:val="00AF1FD1"/>
    <w:rsid w:val="00AF263A"/>
    <w:rsid w:val="00AF28CA"/>
    <w:rsid w:val="00AF332B"/>
    <w:rsid w:val="00AF33F7"/>
    <w:rsid w:val="00AF3792"/>
    <w:rsid w:val="00AF40AA"/>
    <w:rsid w:val="00AF49C4"/>
    <w:rsid w:val="00AF4CFB"/>
    <w:rsid w:val="00AF53E0"/>
    <w:rsid w:val="00AF6755"/>
    <w:rsid w:val="00AF6DE4"/>
    <w:rsid w:val="00AF7E86"/>
    <w:rsid w:val="00B0057B"/>
    <w:rsid w:val="00B00625"/>
    <w:rsid w:val="00B00E4B"/>
    <w:rsid w:val="00B00EC2"/>
    <w:rsid w:val="00B01052"/>
    <w:rsid w:val="00B0130B"/>
    <w:rsid w:val="00B015B5"/>
    <w:rsid w:val="00B01A93"/>
    <w:rsid w:val="00B0246F"/>
    <w:rsid w:val="00B025D6"/>
    <w:rsid w:val="00B02810"/>
    <w:rsid w:val="00B0371C"/>
    <w:rsid w:val="00B04685"/>
    <w:rsid w:val="00B05144"/>
    <w:rsid w:val="00B072C2"/>
    <w:rsid w:val="00B112F1"/>
    <w:rsid w:val="00B116F2"/>
    <w:rsid w:val="00B12414"/>
    <w:rsid w:val="00B13C0B"/>
    <w:rsid w:val="00B14530"/>
    <w:rsid w:val="00B1466B"/>
    <w:rsid w:val="00B15593"/>
    <w:rsid w:val="00B17636"/>
    <w:rsid w:val="00B2037A"/>
    <w:rsid w:val="00B2038F"/>
    <w:rsid w:val="00B20D70"/>
    <w:rsid w:val="00B21032"/>
    <w:rsid w:val="00B22528"/>
    <w:rsid w:val="00B2652D"/>
    <w:rsid w:val="00B26B2F"/>
    <w:rsid w:val="00B276C9"/>
    <w:rsid w:val="00B27B83"/>
    <w:rsid w:val="00B302C6"/>
    <w:rsid w:val="00B30673"/>
    <w:rsid w:val="00B30F2F"/>
    <w:rsid w:val="00B31CF6"/>
    <w:rsid w:val="00B323B9"/>
    <w:rsid w:val="00B32B65"/>
    <w:rsid w:val="00B34813"/>
    <w:rsid w:val="00B35D45"/>
    <w:rsid w:val="00B35FC9"/>
    <w:rsid w:val="00B36DDB"/>
    <w:rsid w:val="00B37574"/>
    <w:rsid w:val="00B40059"/>
    <w:rsid w:val="00B40758"/>
    <w:rsid w:val="00B41728"/>
    <w:rsid w:val="00B41B6E"/>
    <w:rsid w:val="00B421B3"/>
    <w:rsid w:val="00B42A12"/>
    <w:rsid w:val="00B43E36"/>
    <w:rsid w:val="00B440E3"/>
    <w:rsid w:val="00B440FB"/>
    <w:rsid w:val="00B44AC0"/>
    <w:rsid w:val="00B44F7B"/>
    <w:rsid w:val="00B453B7"/>
    <w:rsid w:val="00B4755C"/>
    <w:rsid w:val="00B51031"/>
    <w:rsid w:val="00B52B10"/>
    <w:rsid w:val="00B54176"/>
    <w:rsid w:val="00B55D88"/>
    <w:rsid w:val="00B60032"/>
    <w:rsid w:val="00B628D9"/>
    <w:rsid w:val="00B62C59"/>
    <w:rsid w:val="00B63384"/>
    <w:rsid w:val="00B63B09"/>
    <w:rsid w:val="00B63D54"/>
    <w:rsid w:val="00B63EEC"/>
    <w:rsid w:val="00B65CD2"/>
    <w:rsid w:val="00B6613E"/>
    <w:rsid w:val="00B67033"/>
    <w:rsid w:val="00B67388"/>
    <w:rsid w:val="00B67ABE"/>
    <w:rsid w:val="00B70B12"/>
    <w:rsid w:val="00B713E9"/>
    <w:rsid w:val="00B71800"/>
    <w:rsid w:val="00B71A7E"/>
    <w:rsid w:val="00B7315B"/>
    <w:rsid w:val="00B737CA"/>
    <w:rsid w:val="00B738D9"/>
    <w:rsid w:val="00B7437D"/>
    <w:rsid w:val="00B756C6"/>
    <w:rsid w:val="00B75AE4"/>
    <w:rsid w:val="00B75B73"/>
    <w:rsid w:val="00B75F79"/>
    <w:rsid w:val="00B76762"/>
    <w:rsid w:val="00B77F7F"/>
    <w:rsid w:val="00B80020"/>
    <w:rsid w:val="00B80EE4"/>
    <w:rsid w:val="00B80F41"/>
    <w:rsid w:val="00B82873"/>
    <w:rsid w:val="00B83C12"/>
    <w:rsid w:val="00B83E24"/>
    <w:rsid w:val="00B84A17"/>
    <w:rsid w:val="00B8548B"/>
    <w:rsid w:val="00B868A4"/>
    <w:rsid w:val="00B90309"/>
    <w:rsid w:val="00B91A44"/>
    <w:rsid w:val="00B9300A"/>
    <w:rsid w:val="00B95D15"/>
    <w:rsid w:val="00B975C3"/>
    <w:rsid w:val="00BA0426"/>
    <w:rsid w:val="00BA07A1"/>
    <w:rsid w:val="00BA1CD4"/>
    <w:rsid w:val="00BA2B38"/>
    <w:rsid w:val="00BA318E"/>
    <w:rsid w:val="00BA4AA9"/>
    <w:rsid w:val="00BA4AC9"/>
    <w:rsid w:val="00BA5526"/>
    <w:rsid w:val="00BA58B0"/>
    <w:rsid w:val="00BA704B"/>
    <w:rsid w:val="00BB0257"/>
    <w:rsid w:val="00BB06BD"/>
    <w:rsid w:val="00BB0AA9"/>
    <w:rsid w:val="00BB4106"/>
    <w:rsid w:val="00BB41F6"/>
    <w:rsid w:val="00BC081F"/>
    <w:rsid w:val="00BC08D3"/>
    <w:rsid w:val="00BC1E64"/>
    <w:rsid w:val="00BC2963"/>
    <w:rsid w:val="00BC3721"/>
    <w:rsid w:val="00BC375D"/>
    <w:rsid w:val="00BC3A70"/>
    <w:rsid w:val="00BC4C5F"/>
    <w:rsid w:val="00BC78BC"/>
    <w:rsid w:val="00BD0085"/>
    <w:rsid w:val="00BD06EE"/>
    <w:rsid w:val="00BD1D8D"/>
    <w:rsid w:val="00BD2C4E"/>
    <w:rsid w:val="00BD2D33"/>
    <w:rsid w:val="00BD46DF"/>
    <w:rsid w:val="00BD5774"/>
    <w:rsid w:val="00BD5CAA"/>
    <w:rsid w:val="00BD6CBA"/>
    <w:rsid w:val="00BD6FAC"/>
    <w:rsid w:val="00BD757F"/>
    <w:rsid w:val="00BD7609"/>
    <w:rsid w:val="00BD77A8"/>
    <w:rsid w:val="00BD7EDE"/>
    <w:rsid w:val="00BE0067"/>
    <w:rsid w:val="00BE066E"/>
    <w:rsid w:val="00BE17D3"/>
    <w:rsid w:val="00BE208D"/>
    <w:rsid w:val="00BE2764"/>
    <w:rsid w:val="00BE3201"/>
    <w:rsid w:val="00BE4CBD"/>
    <w:rsid w:val="00BE513F"/>
    <w:rsid w:val="00BE5369"/>
    <w:rsid w:val="00BE5E09"/>
    <w:rsid w:val="00BE5F80"/>
    <w:rsid w:val="00BE64E0"/>
    <w:rsid w:val="00BF03AD"/>
    <w:rsid w:val="00BF0A98"/>
    <w:rsid w:val="00BF1965"/>
    <w:rsid w:val="00BF1A35"/>
    <w:rsid w:val="00BF330E"/>
    <w:rsid w:val="00BF6FAE"/>
    <w:rsid w:val="00BF7AD0"/>
    <w:rsid w:val="00C001AC"/>
    <w:rsid w:val="00C00B6F"/>
    <w:rsid w:val="00C01B5F"/>
    <w:rsid w:val="00C0276C"/>
    <w:rsid w:val="00C0354B"/>
    <w:rsid w:val="00C03C00"/>
    <w:rsid w:val="00C04040"/>
    <w:rsid w:val="00C04395"/>
    <w:rsid w:val="00C05048"/>
    <w:rsid w:val="00C06E7A"/>
    <w:rsid w:val="00C10862"/>
    <w:rsid w:val="00C11C59"/>
    <w:rsid w:val="00C11E60"/>
    <w:rsid w:val="00C12C9F"/>
    <w:rsid w:val="00C1332D"/>
    <w:rsid w:val="00C14432"/>
    <w:rsid w:val="00C1541C"/>
    <w:rsid w:val="00C167BB"/>
    <w:rsid w:val="00C20AD9"/>
    <w:rsid w:val="00C20FE9"/>
    <w:rsid w:val="00C24C6D"/>
    <w:rsid w:val="00C2660B"/>
    <w:rsid w:val="00C267CB"/>
    <w:rsid w:val="00C26DAA"/>
    <w:rsid w:val="00C275FB"/>
    <w:rsid w:val="00C305F4"/>
    <w:rsid w:val="00C31803"/>
    <w:rsid w:val="00C3183B"/>
    <w:rsid w:val="00C31BB8"/>
    <w:rsid w:val="00C31BEF"/>
    <w:rsid w:val="00C32E01"/>
    <w:rsid w:val="00C333CF"/>
    <w:rsid w:val="00C33808"/>
    <w:rsid w:val="00C33894"/>
    <w:rsid w:val="00C34860"/>
    <w:rsid w:val="00C34F51"/>
    <w:rsid w:val="00C352AF"/>
    <w:rsid w:val="00C35AC7"/>
    <w:rsid w:val="00C35E29"/>
    <w:rsid w:val="00C37A8D"/>
    <w:rsid w:val="00C37D47"/>
    <w:rsid w:val="00C40247"/>
    <w:rsid w:val="00C40B2B"/>
    <w:rsid w:val="00C4115B"/>
    <w:rsid w:val="00C418B7"/>
    <w:rsid w:val="00C4521E"/>
    <w:rsid w:val="00C45D36"/>
    <w:rsid w:val="00C46131"/>
    <w:rsid w:val="00C471BC"/>
    <w:rsid w:val="00C473B6"/>
    <w:rsid w:val="00C50421"/>
    <w:rsid w:val="00C50D66"/>
    <w:rsid w:val="00C5162F"/>
    <w:rsid w:val="00C53DA9"/>
    <w:rsid w:val="00C54579"/>
    <w:rsid w:val="00C565C5"/>
    <w:rsid w:val="00C578CE"/>
    <w:rsid w:val="00C57BFB"/>
    <w:rsid w:val="00C6173B"/>
    <w:rsid w:val="00C622B8"/>
    <w:rsid w:val="00C62F93"/>
    <w:rsid w:val="00C63425"/>
    <w:rsid w:val="00C64002"/>
    <w:rsid w:val="00C6475F"/>
    <w:rsid w:val="00C64DE4"/>
    <w:rsid w:val="00C656B4"/>
    <w:rsid w:val="00C6615B"/>
    <w:rsid w:val="00C662CD"/>
    <w:rsid w:val="00C66533"/>
    <w:rsid w:val="00C679EB"/>
    <w:rsid w:val="00C67AF8"/>
    <w:rsid w:val="00C70C3B"/>
    <w:rsid w:val="00C716EA"/>
    <w:rsid w:val="00C7188A"/>
    <w:rsid w:val="00C71F68"/>
    <w:rsid w:val="00C7273D"/>
    <w:rsid w:val="00C74E75"/>
    <w:rsid w:val="00C75732"/>
    <w:rsid w:val="00C76F17"/>
    <w:rsid w:val="00C770F6"/>
    <w:rsid w:val="00C77603"/>
    <w:rsid w:val="00C80719"/>
    <w:rsid w:val="00C80C10"/>
    <w:rsid w:val="00C82E35"/>
    <w:rsid w:val="00C85C93"/>
    <w:rsid w:val="00C85CA9"/>
    <w:rsid w:val="00C85ED0"/>
    <w:rsid w:val="00C85F64"/>
    <w:rsid w:val="00C87678"/>
    <w:rsid w:val="00C8772F"/>
    <w:rsid w:val="00C92863"/>
    <w:rsid w:val="00C9346F"/>
    <w:rsid w:val="00C944E8"/>
    <w:rsid w:val="00C949BD"/>
    <w:rsid w:val="00C96D21"/>
    <w:rsid w:val="00CA005D"/>
    <w:rsid w:val="00CA16CF"/>
    <w:rsid w:val="00CA3CD9"/>
    <w:rsid w:val="00CA3DA7"/>
    <w:rsid w:val="00CA4D5A"/>
    <w:rsid w:val="00CA5C56"/>
    <w:rsid w:val="00CA6AA7"/>
    <w:rsid w:val="00CA7432"/>
    <w:rsid w:val="00CB0D4B"/>
    <w:rsid w:val="00CB23F0"/>
    <w:rsid w:val="00CB3220"/>
    <w:rsid w:val="00CB3A7E"/>
    <w:rsid w:val="00CB4A57"/>
    <w:rsid w:val="00CB541F"/>
    <w:rsid w:val="00CB5C0F"/>
    <w:rsid w:val="00CB6812"/>
    <w:rsid w:val="00CB7340"/>
    <w:rsid w:val="00CB7D4F"/>
    <w:rsid w:val="00CC11EF"/>
    <w:rsid w:val="00CC12C7"/>
    <w:rsid w:val="00CC1A0D"/>
    <w:rsid w:val="00CC1BCC"/>
    <w:rsid w:val="00CC2299"/>
    <w:rsid w:val="00CC2874"/>
    <w:rsid w:val="00CC3066"/>
    <w:rsid w:val="00CC41E3"/>
    <w:rsid w:val="00CC457F"/>
    <w:rsid w:val="00CC7D40"/>
    <w:rsid w:val="00CD0016"/>
    <w:rsid w:val="00CD0E26"/>
    <w:rsid w:val="00CD1CF1"/>
    <w:rsid w:val="00CD21B4"/>
    <w:rsid w:val="00CD25D9"/>
    <w:rsid w:val="00CD391C"/>
    <w:rsid w:val="00CD3AB7"/>
    <w:rsid w:val="00CD420E"/>
    <w:rsid w:val="00CD5437"/>
    <w:rsid w:val="00CD5513"/>
    <w:rsid w:val="00CD5980"/>
    <w:rsid w:val="00CD5A48"/>
    <w:rsid w:val="00CD607A"/>
    <w:rsid w:val="00CD647C"/>
    <w:rsid w:val="00CD6927"/>
    <w:rsid w:val="00CD7197"/>
    <w:rsid w:val="00CD7394"/>
    <w:rsid w:val="00CD7814"/>
    <w:rsid w:val="00CD7879"/>
    <w:rsid w:val="00CE0537"/>
    <w:rsid w:val="00CE0966"/>
    <w:rsid w:val="00CE12C8"/>
    <w:rsid w:val="00CE186C"/>
    <w:rsid w:val="00CE28A1"/>
    <w:rsid w:val="00CE293D"/>
    <w:rsid w:val="00CE3888"/>
    <w:rsid w:val="00CE5955"/>
    <w:rsid w:val="00CE5CF9"/>
    <w:rsid w:val="00CE6A91"/>
    <w:rsid w:val="00CF1AF8"/>
    <w:rsid w:val="00CF1F3F"/>
    <w:rsid w:val="00CF25E0"/>
    <w:rsid w:val="00CF4734"/>
    <w:rsid w:val="00CF4847"/>
    <w:rsid w:val="00CF5391"/>
    <w:rsid w:val="00CF53C3"/>
    <w:rsid w:val="00CF75B2"/>
    <w:rsid w:val="00CF7798"/>
    <w:rsid w:val="00D01367"/>
    <w:rsid w:val="00D013BA"/>
    <w:rsid w:val="00D035B0"/>
    <w:rsid w:val="00D0440D"/>
    <w:rsid w:val="00D047A8"/>
    <w:rsid w:val="00D049C2"/>
    <w:rsid w:val="00D04B71"/>
    <w:rsid w:val="00D05598"/>
    <w:rsid w:val="00D07AB3"/>
    <w:rsid w:val="00D10187"/>
    <w:rsid w:val="00D10C1A"/>
    <w:rsid w:val="00D12F7B"/>
    <w:rsid w:val="00D1338A"/>
    <w:rsid w:val="00D13D11"/>
    <w:rsid w:val="00D14D6F"/>
    <w:rsid w:val="00D16B3D"/>
    <w:rsid w:val="00D17842"/>
    <w:rsid w:val="00D17EA2"/>
    <w:rsid w:val="00D209EF"/>
    <w:rsid w:val="00D21819"/>
    <w:rsid w:val="00D220DF"/>
    <w:rsid w:val="00D24E7A"/>
    <w:rsid w:val="00D256FD"/>
    <w:rsid w:val="00D2572E"/>
    <w:rsid w:val="00D259E8"/>
    <w:rsid w:val="00D318B0"/>
    <w:rsid w:val="00D33DD6"/>
    <w:rsid w:val="00D358D9"/>
    <w:rsid w:val="00D368E3"/>
    <w:rsid w:val="00D37209"/>
    <w:rsid w:val="00D3733D"/>
    <w:rsid w:val="00D4083E"/>
    <w:rsid w:val="00D421B9"/>
    <w:rsid w:val="00D433B3"/>
    <w:rsid w:val="00D44759"/>
    <w:rsid w:val="00D448EC"/>
    <w:rsid w:val="00D4574B"/>
    <w:rsid w:val="00D4779C"/>
    <w:rsid w:val="00D5015E"/>
    <w:rsid w:val="00D50209"/>
    <w:rsid w:val="00D50451"/>
    <w:rsid w:val="00D507C5"/>
    <w:rsid w:val="00D50CA0"/>
    <w:rsid w:val="00D515F9"/>
    <w:rsid w:val="00D51F98"/>
    <w:rsid w:val="00D52074"/>
    <w:rsid w:val="00D52117"/>
    <w:rsid w:val="00D52ED2"/>
    <w:rsid w:val="00D53F66"/>
    <w:rsid w:val="00D54563"/>
    <w:rsid w:val="00D605E7"/>
    <w:rsid w:val="00D62697"/>
    <w:rsid w:val="00D62B94"/>
    <w:rsid w:val="00D63126"/>
    <w:rsid w:val="00D6490F"/>
    <w:rsid w:val="00D64BC0"/>
    <w:rsid w:val="00D6507C"/>
    <w:rsid w:val="00D651D2"/>
    <w:rsid w:val="00D672FE"/>
    <w:rsid w:val="00D702A6"/>
    <w:rsid w:val="00D70460"/>
    <w:rsid w:val="00D70814"/>
    <w:rsid w:val="00D708B1"/>
    <w:rsid w:val="00D71588"/>
    <w:rsid w:val="00D71846"/>
    <w:rsid w:val="00D719D9"/>
    <w:rsid w:val="00D73FF3"/>
    <w:rsid w:val="00D74614"/>
    <w:rsid w:val="00D74D99"/>
    <w:rsid w:val="00D80044"/>
    <w:rsid w:val="00D80F77"/>
    <w:rsid w:val="00D83F2E"/>
    <w:rsid w:val="00D85F30"/>
    <w:rsid w:val="00D8631D"/>
    <w:rsid w:val="00D86C84"/>
    <w:rsid w:val="00D86DF5"/>
    <w:rsid w:val="00D86E85"/>
    <w:rsid w:val="00D875FF"/>
    <w:rsid w:val="00D93BB1"/>
    <w:rsid w:val="00D93F4F"/>
    <w:rsid w:val="00D9464D"/>
    <w:rsid w:val="00D9520D"/>
    <w:rsid w:val="00D9546B"/>
    <w:rsid w:val="00D95B40"/>
    <w:rsid w:val="00D95BA9"/>
    <w:rsid w:val="00D9616C"/>
    <w:rsid w:val="00D968F7"/>
    <w:rsid w:val="00D9730A"/>
    <w:rsid w:val="00D97D7B"/>
    <w:rsid w:val="00D97EF8"/>
    <w:rsid w:val="00DA0105"/>
    <w:rsid w:val="00DA0478"/>
    <w:rsid w:val="00DA1962"/>
    <w:rsid w:val="00DA35F7"/>
    <w:rsid w:val="00DA47BE"/>
    <w:rsid w:val="00DA4D51"/>
    <w:rsid w:val="00DA6B65"/>
    <w:rsid w:val="00DB0F77"/>
    <w:rsid w:val="00DB17AB"/>
    <w:rsid w:val="00DB2E12"/>
    <w:rsid w:val="00DB2FCE"/>
    <w:rsid w:val="00DB4D13"/>
    <w:rsid w:val="00DB5F9A"/>
    <w:rsid w:val="00DB65B3"/>
    <w:rsid w:val="00DB7F57"/>
    <w:rsid w:val="00DC1390"/>
    <w:rsid w:val="00DC13A3"/>
    <w:rsid w:val="00DC140E"/>
    <w:rsid w:val="00DC1493"/>
    <w:rsid w:val="00DC2121"/>
    <w:rsid w:val="00DC2E81"/>
    <w:rsid w:val="00DC5842"/>
    <w:rsid w:val="00DC5966"/>
    <w:rsid w:val="00DC68F6"/>
    <w:rsid w:val="00DC74EA"/>
    <w:rsid w:val="00DD00E4"/>
    <w:rsid w:val="00DD05CC"/>
    <w:rsid w:val="00DD3B93"/>
    <w:rsid w:val="00DD5D7D"/>
    <w:rsid w:val="00DD60C2"/>
    <w:rsid w:val="00DD66CB"/>
    <w:rsid w:val="00DD710B"/>
    <w:rsid w:val="00DD754F"/>
    <w:rsid w:val="00DD758B"/>
    <w:rsid w:val="00DE0B38"/>
    <w:rsid w:val="00DE1015"/>
    <w:rsid w:val="00DE3EB7"/>
    <w:rsid w:val="00DE657A"/>
    <w:rsid w:val="00DE6946"/>
    <w:rsid w:val="00DE6E9D"/>
    <w:rsid w:val="00DE71B4"/>
    <w:rsid w:val="00DF0896"/>
    <w:rsid w:val="00DF1320"/>
    <w:rsid w:val="00DF1387"/>
    <w:rsid w:val="00DF149C"/>
    <w:rsid w:val="00DF54BA"/>
    <w:rsid w:val="00DF5C97"/>
    <w:rsid w:val="00DF6680"/>
    <w:rsid w:val="00E00612"/>
    <w:rsid w:val="00E006C0"/>
    <w:rsid w:val="00E00FA5"/>
    <w:rsid w:val="00E01C78"/>
    <w:rsid w:val="00E01ED2"/>
    <w:rsid w:val="00E03E1C"/>
    <w:rsid w:val="00E0466E"/>
    <w:rsid w:val="00E049B1"/>
    <w:rsid w:val="00E0540E"/>
    <w:rsid w:val="00E06336"/>
    <w:rsid w:val="00E07513"/>
    <w:rsid w:val="00E07EAA"/>
    <w:rsid w:val="00E101E9"/>
    <w:rsid w:val="00E1095D"/>
    <w:rsid w:val="00E11265"/>
    <w:rsid w:val="00E116B1"/>
    <w:rsid w:val="00E11B64"/>
    <w:rsid w:val="00E125E2"/>
    <w:rsid w:val="00E12DDD"/>
    <w:rsid w:val="00E15646"/>
    <w:rsid w:val="00E15F1A"/>
    <w:rsid w:val="00E21987"/>
    <w:rsid w:val="00E21B03"/>
    <w:rsid w:val="00E21B99"/>
    <w:rsid w:val="00E21FE8"/>
    <w:rsid w:val="00E24AB5"/>
    <w:rsid w:val="00E2506B"/>
    <w:rsid w:val="00E25D46"/>
    <w:rsid w:val="00E276B1"/>
    <w:rsid w:val="00E31ACF"/>
    <w:rsid w:val="00E31C24"/>
    <w:rsid w:val="00E33A13"/>
    <w:rsid w:val="00E37851"/>
    <w:rsid w:val="00E40B93"/>
    <w:rsid w:val="00E40F38"/>
    <w:rsid w:val="00E42152"/>
    <w:rsid w:val="00E422FE"/>
    <w:rsid w:val="00E426C5"/>
    <w:rsid w:val="00E441AB"/>
    <w:rsid w:val="00E44C92"/>
    <w:rsid w:val="00E457F1"/>
    <w:rsid w:val="00E474D6"/>
    <w:rsid w:val="00E47DCF"/>
    <w:rsid w:val="00E47F73"/>
    <w:rsid w:val="00E50CF3"/>
    <w:rsid w:val="00E51904"/>
    <w:rsid w:val="00E54B41"/>
    <w:rsid w:val="00E55620"/>
    <w:rsid w:val="00E56043"/>
    <w:rsid w:val="00E56F8F"/>
    <w:rsid w:val="00E571A7"/>
    <w:rsid w:val="00E6036A"/>
    <w:rsid w:val="00E61B66"/>
    <w:rsid w:val="00E61CB2"/>
    <w:rsid w:val="00E62BEB"/>
    <w:rsid w:val="00E62F2E"/>
    <w:rsid w:val="00E63681"/>
    <w:rsid w:val="00E638A8"/>
    <w:rsid w:val="00E64344"/>
    <w:rsid w:val="00E643DA"/>
    <w:rsid w:val="00E650C2"/>
    <w:rsid w:val="00E65DB2"/>
    <w:rsid w:val="00E66771"/>
    <w:rsid w:val="00E66B5E"/>
    <w:rsid w:val="00E66B85"/>
    <w:rsid w:val="00E67053"/>
    <w:rsid w:val="00E67B3B"/>
    <w:rsid w:val="00E706C3"/>
    <w:rsid w:val="00E70C26"/>
    <w:rsid w:val="00E711F2"/>
    <w:rsid w:val="00E7159B"/>
    <w:rsid w:val="00E72302"/>
    <w:rsid w:val="00E73CDA"/>
    <w:rsid w:val="00E7520C"/>
    <w:rsid w:val="00E7591A"/>
    <w:rsid w:val="00E76A68"/>
    <w:rsid w:val="00E8026D"/>
    <w:rsid w:val="00E8306D"/>
    <w:rsid w:val="00E8468E"/>
    <w:rsid w:val="00E85723"/>
    <w:rsid w:val="00E85A2D"/>
    <w:rsid w:val="00E8C0F8"/>
    <w:rsid w:val="00E90DC2"/>
    <w:rsid w:val="00E918B0"/>
    <w:rsid w:val="00E944D9"/>
    <w:rsid w:val="00E94DDB"/>
    <w:rsid w:val="00E94E02"/>
    <w:rsid w:val="00E95659"/>
    <w:rsid w:val="00E95A50"/>
    <w:rsid w:val="00E971AF"/>
    <w:rsid w:val="00E97E4F"/>
    <w:rsid w:val="00E97EA8"/>
    <w:rsid w:val="00E97F08"/>
    <w:rsid w:val="00EA005C"/>
    <w:rsid w:val="00EA260A"/>
    <w:rsid w:val="00EA2C44"/>
    <w:rsid w:val="00EA4817"/>
    <w:rsid w:val="00EA716F"/>
    <w:rsid w:val="00EA7743"/>
    <w:rsid w:val="00EB02F3"/>
    <w:rsid w:val="00EB0521"/>
    <w:rsid w:val="00EB16E4"/>
    <w:rsid w:val="00EB1A4A"/>
    <w:rsid w:val="00EB3B66"/>
    <w:rsid w:val="00EB5687"/>
    <w:rsid w:val="00EB623A"/>
    <w:rsid w:val="00EB62F7"/>
    <w:rsid w:val="00EB6901"/>
    <w:rsid w:val="00EB7B83"/>
    <w:rsid w:val="00EC0A4B"/>
    <w:rsid w:val="00EC0AB4"/>
    <w:rsid w:val="00EC0CC6"/>
    <w:rsid w:val="00EC0D20"/>
    <w:rsid w:val="00EC0D28"/>
    <w:rsid w:val="00EC10E5"/>
    <w:rsid w:val="00EC15FC"/>
    <w:rsid w:val="00EC1876"/>
    <w:rsid w:val="00EC20AD"/>
    <w:rsid w:val="00EC2628"/>
    <w:rsid w:val="00EC357E"/>
    <w:rsid w:val="00EC3C02"/>
    <w:rsid w:val="00EC4165"/>
    <w:rsid w:val="00EC5A47"/>
    <w:rsid w:val="00EC5C0D"/>
    <w:rsid w:val="00EC6A0A"/>
    <w:rsid w:val="00EC6CF2"/>
    <w:rsid w:val="00ED0B0D"/>
    <w:rsid w:val="00ED23D1"/>
    <w:rsid w:val="00ED2F46"/>
    <w:rsid w:val="00ED388F"/>
    <w:rsid w:val="00ED38D8"/>
    <w:rsid w:val="00ED3E65"/>
    <w:rsid w:val="00ED443E"/>
    <w:rsid w:val="00ED48B9"/>
    <w:rsid w:val="00ED4B4E"/>
    <w:rsid w:val="00ED5629"/>
    <w:rsid w:val="00ED5ACA"/>
    <w:rsid w:val="00ED6B7A"/>
    <w:rsid w:val="00ED6E54"/>
    <w:rsid w:val="00ED7177"/>
    <w:rsid w:val="00ED73C9"/>
    <w:rsid w:val="00ED7945"/>
    <w:rsid w:val="00EE02DE"/>
    <w:rsid w:val="00EE2B57"/>
    <w:rsid w:val="00EE3A66"/>
    <w:rsid w:val="00EE3F2F"/>
    <w:rsid w:val="00EE4C8A"/>
    <w:rsid w:val="00EE6696"/>
    <w:rsid w:val="00EE7213"/>
    <w:rsid w:val="00EF0B41"/>
    <w:rsid w:val="00EF138F"/>
    <w:rsid w:val="00EF28E8"/>
    <w:rsid w:val="00EF2928"/>
    <w:rsid w:val="00EF35AC"/>
    <w:rsid w:val="00EF41A6"/>
    <w:rsid w:val="00EF45B5"/>
    <w:rsid w:val="00F0035E"/>
    <w:rsid w:val="00F011A5"/>
    <w:rsid w:val="00F02996"/>
    <w:rsid w:val="00F0322F"/>
    <w:rsid w:val="00F03904"/>
    <w:rsid w:val="00F04011"/>
    <w:rsid w:val="00F04899"/>
    <w:rsid w:val="00F0515C"/>
    <w:rsid w:val="00F06B4C"/>
    <w:rsid w:val="00F07228"/>
    <w:rsid w:val="00F11847"/>
    <w:rsid w:val="00F13140"/>
    <w:rsid w:val="00F1407C"/>
    <w:rsid w:val="00F1637F"/>
    <w:rsid w:val="00F172B1"/>
    <w:rsid w:val="00F177D4"/>
    <w:rsid w:val="00F202F4"/>
    <w:rsid w:val="00F20628"/>
    <w:rsid w:val="00F20D1C"/>
    <w:rsid w:val="00F22817"/>
    <w:rsid w:val="00F22AFD"/>
    <w:rsid w:val="00F23F7D"/>
    <w:rsid w:val="00F23F7F"/>
    <w:rsid w:val="00F24D66"/>
    <w:rsid w:val="00F25762"/>
    <w:rsid w:val="00F25BED"/>
    <w:rsid w:val="00F260ED"/>
    <w:rsid w:val="00F26571"/>
    <w:rsid w:val="00F274C2"/>
    <w:rsid w:val="00F27F3B"/>
    <w:rsid w:val="00F31384"/>
    <w:rsid w:val="00F31976"/>
    <w:rsid w:val="00F31B27"/>
    <w:rsid w:val="00F33193"/>
    <w:rsid w:val="00F339AA"/>
    <w:rsid w:val="00F35F75"/>
    <w:rsid w:val="00F3647A"/>
    <w:rsid w:val="00F374A0"/>
    <w:rsid w:val="00F37935"/>
    <w:rsid w:val="00F40219"/>
    <w:rsid w:val="00F4027D"/>
    <w:rsid w:val="00F41CA6"/>
    <w:rsid w:val="00F41FE8"/>
    <w:rsid w:val="00F4215F"/>
    <w:rsid w:val="00F43558"/>
    <w:rsid w:val="00F436FF"/>
    <w:rsid w:val="00F438F2"/>
    <w:rsid w:val="00F4437E"/>
    <w:rsid w:val="00F44411"/>
    <w:rsid w:val="00F4454E"/>
    <w:rsid w:val="00F44B08"/>
    <w:rsid w:val="00F44FF1"/>
    <w:rsid w:val="00F450CD"/>
    <w:rsid w:val="00F45153"/>
    <w:rsid w:val="00F46143"/>
    <w:rsid w:val="00F465D2"/>
    <w:rsid w:val="00F476B3"/>
    <w:rsid w:val="00F50E41"/>
    <w:rsid w:val="00F51AE7"/>
    <w:rsid w:val="00F53EA2"/>
    <w:rsid w:val="00F5415A"/>
    <w:rsid w:val="00F5602F"/>
    <w:rsid w:val="00F56659"/>
    <w:rsid w:val="00F5691D"/>
    <w:rsid w:val="00F57D14"/>
    <w:rsid w:val="00F61EA7"/>
    <w:rsid w:val="00F62441"/>
    <w:rsid w:val="00F62DF2"/>
    <w:rsid w:val="00F62DFA"/>
    <w:rsid w:val="00F63390"/>
    <w:rsid w:val="00F64119"/>
    <w:rsid w:val="00F64252"/>
    <w:rsid w:val="00F64975"/>
    <w:rsid w:val="00F65331"/>
    <w:rsid w:val="00F654AA"/>
    <w:rsid w:val="00F656B1"/>
    <w:rsid w:val="00F65E1C"/>
    <w:rsid w:val="00F66569"/>
    <w:rsid w:val="00F701CE"/>
    <w:rsid w:val="00F70D30"/>
    <w:rsid w:val="00F71A0B"/>
    <w:rsid w:val="00F7293A"/>
    <w:rsid w:val="00F73A71"/>
    <w:rsid w:val="00F748A8"/>
    <w:rsid w:val="00F7581E"/>
    <w:rsid w:val="00F75F45"/>
    <w:rsid w:val="00F764F8"/>
    <w:rsid w:val="00F8319A"/>
    <w:rsid w:val="00F835D8"/>
    <w:rsid w:val="00F854A7"/>
    <w:rsid w:val="00F85972"/>
    <w:rsid w:val="00F85E70"/>
    <w:rsid w:val="00F85F6E"/>
    <w:rsid w:val="00F86C0D"/>
    <w:rsid w:val="00F86F98"/>
    <w:rsid w:val="00F87214"/>
    <w:rsid w:val="00F87325"/>
    <w:rsid w:val="00F876A5"/>
    <w:rsid w:val="00F877D8"/>
    <w:rsid w:val="00F90493"/>
    <w:rsid w:val="00F904DE"/>
    <w:rsid w:val="00F90D38"/>
    <w:rsid w:val="00F91683"/>
    <w:rsid w:val="00F919B6"/>
    <w:rsid w:val="00F91EA9"/>
    <w:rsid w:val="00F920E5"/>
    <w:rsid w:val="00F922A1"/>
    <w:rsid w:val="00F923C3"/>
    <w:rsid w:val="00F927CF"/>
    <w:rsid w:val="00F9298A"/>
    <w:rsid w:val="00F935B4"/>
    <w:rsid w:val="00F93707"/>
    <w:rsid w:val="00F93A42"/>
    <w:rsid w:val="00F94CBA"/>
    <w:rsid w:val="00F96972"/>
    <w:rsid w:val="00F971DA"/>
    <w:rsid w:val="00FA147A"/>
    <w:rsid w:val="00FA2366"/>
    <w:rsid w:val="00FA3C69"/>
    <w:rsid w:val="00FA6999"/>
    <w:rsid w:val="00FA6BBA"/>
    <w:rsid w:val="00FA760A"/>
    <w:rsid w:val="00FB077A"/>
    <w:rsid w:val="00FB0FC4"/>
    <w:rsid w:val="00FB1C04"/>
    <w:rsid w:val="00FB2BDD"/>
    <w:rsid w:val="00FB4661"/>
    <w:rsid w:val="00FB53E2"/>
    <w:rsid w:val="00FB6237"/>
    <w:rsid w:val="00FB6AA1"/>
    <w:rsid w:val="00FB77CF"/>
    <w:rsid w:val="00FC2AC8"/>
    <w:rsid w:val="00FC426A"/>
    <w:rsid w:val="00FC4578"/>
    <w:rsid w:val="00FC45D7"/>
    <w:rsid w:val="00FC6D19"/>
    <w:rsid w:val="00FD0B23"/>
    <w:rsid w:val="00FD21DB"/>
    <w:rsid w:val="00FD3C80"/>
    <w:rsid w:val="00FD3D82"/>
    <w:rsid w:val="00FD5A9A"/>
    <w:rsid w:val="00FD5AA7"/>
    <w:rsid w:val="00FD753D"/>
    <w:rsid w:val="00FD7CAE"/>
    <w:rsid w:val="00FE0173"/>
    <w:rsid w:val="00FE053B"/>
    <w:rsid w:val="00FE05CA"/>
    <w:rsid w:val="00FE0644"/>
    <w:rsid w:val="00FE1363"/>
    <w:rsid w:val="00FE5445"/>
    <w:rsid w:val="00FE61D7"/>
    <w:rsid w:val="00FE6240"/>
    <w:rsid w:val="00FE7F37"/>
    <w:rsid w:val="00FF0363"/>
    <w:rsid w:val="00FF0939"/>
    <w:rsid w:val="00FF0A87"/>
    <w:rsid w:val="00FF212F"/>
    <w:rsid w:val="00FF28C6"/>
    <w:rsid w:val="00FF3546"/>
    <w:rsid w:val="00FF362D"/>
    <w:rsid w:val="00FF4191"/>
    <w:rsid w:val="00FF4FBE"/>
    <w:rsid w:val="00FF6973"/>
    <w:rsid w:val="00FF7100"/>
    <w:rsid w:val="01AC9B10"/>
    <w:rsid w:val="0277270B"/>
    <w:rsid w:val="028DD62D"/>
    <w:rsid w:val="02BF0D99"/>
    <w:rsid w:val="02DF5CC5"/>
    <w:rsid w:val="043C6C2A"/>
    <w:rsid w:val="055A5524"/>
    <w:rsid w:val="060A3C38"/>
    <w:rsid w:val="06C86560"/>
    <w:rsid w:val="0707896A"/>
    <w:rsid w:val="077CE8FA"/>
    <w:rsid w:val="077E6786"/>
    <w:rsid w:val="07B4FF31"/>
    <w:rsid w:val="08806E26"/>
    <w:rsid w:val="0936E2D1"/>
    <w:rsid w:val="097F9866"/>
    <w:rsid w:val="098E8D73"/>
    <w:rsid w:val="099BA3E8"/>
    <w:rsid w:val="0A554713"/>
    <w:rsid w:val="0BAD3399"/>
    <w:rsid w:val="0BD1002C"/>
    <w:rsid w:val="0C9E6FC2"/>
    <w:rsid w:val="0D23B609"/>
    <w:rsid w:val="0D2912DE"/>
    <w:rsid w:val="0D7F24F3"/>
    <w:rsid w:val="0E86AB16"/>
    <w:rsid w:val="0EFD607E"/>
    <w:rsid w:val="0FDF1F93"/>
    <w:rsid w:val="1045E46F"/>
    <w:rsid w:val="10B013A2"/>
    <w:rsid w:val="110E1DE3"/>
    <w:rsid w:val="1125B84E"/>
    <w:rsid w:val="1178FDE4"/>
    <w:rsid w:val="126B186B"/>
    <w:rsid w:val="12DEAFC6"/>
    <w:rsid w:val="137E29DE"/>
    <w:rsid w:val="14473957"/>
    <w:rsid w:val="15EE3DB3"/>
    <w:rsid w:val="1672B431"/>
    <w:rsid w:val="16C1DCB4"/>
    <w:rsid w:val="17AF57B2"/>
    <w:rsid w:val="17CA28C5"/>
    <w:rsid w:val="18B8A2EE"/>
    <w:rsid w:val="18D48665"/>
    <w:rsid w:val="18DCF0D8"/>
    <w:rsid w:val="197BAFFA"/>
    <w:rsid w:val="19E7280D"/>
    <w:rsid w:val="1B304E0A"/>
    <w:rsid w:val="1BCB259C"/>
    <w:rsid w:val="1C0C2727"/>
    <w:rsid w:val="1CBA5508"/>
    <w:rsid w:val="1CD96D39"/>
    <w:rsid w:val="1DA82F85"/>
    <w:rsid w:val="1E2E9F47"/>
    <w:rsid w:val="1E65BA9B"/>
    <w:rsid w:val="2061861A"/>
    <w:rsid w:val="2090F5BF"/>
    <w:rsid w:val="20B3BA21"/>
    <w:rsid w:val="217B48E0"/>
    <w:rsid w:val="217E9AB1"/>
    <w:rsid w:val="21B3C8A9"/>
    <w:rsid w:val="229F9E16"/>
    <w:rsid w:val="22FD1C72"/>
    <w:rsid w:val="232B7ABA"/>
    <w:rsid w:val="232D13DC"/>
    <w:rsid w:val="2357E99F"/>
    <w:rsid w:val="23A811CC"/>
    <w:rsid w:val="23D0F365"/>
    <w:rsid w:val="23D656CE"/>
    <w:rsid w:val="2417390C"/>
    <w:rsid w:val="24FE219B"/>
    <w:rsid w:val="250918AD"/>
    <w:rsid w:val="2568CACF"/>
    <w:rsid w:val="25871072"/>
    <w:rsid w:val="258F38E2"/>
    <w:rsid w:val="25949C51"/>
    <w:rsid w:val="26492696"/>
    <w:rsid w:val="268E1BD5"/>
    <w:rsid w:val="2728F289"/>
    <w:rsid w:val="273D846C"/>
    <w:rsid w:val="27849C82"/>
    <w:rsid w:val="282FAF62"/>
    <w:rsid w:val="28652583"/>
    <w:rsid w:val="28878C6E"/>
    <w:rsid w:val="295253EC"/>
    <w:rsid w:val="2A2E711F"/>
    <w:rsid w:val="2A7679E8"/>
    <w:rsid w:val="2A81E507"/>
    <w:rsid w:val="2B00549E"/>
    <w:rsid w:val="2B6606A9"/>
    <w:rsid w:val="2BC4A527"/>
    <w:rsid w:val="2BE820B5"/>
    <w:rsid w:val="2BF93E5A"/>
    <w:rsid w:val="2C48ACA2"/>
    <w:rsid w:val="2C4E649A"/>
    <w:rsid w:val="2CBACDC5"/>
    <w:rsid w:val="2CBC615C"/>
    <w:rsid w:val="2D7CCDD9"/>
    <w:rsid w:val="2D950EBB"/>
    <w:rsid w:val="2DCF48B8"/>
    <w:rsid w:val="2E26DAAF"/>
    <w:rsid w:val="2E48EDC0"/>
    <w:rsid w:val="2E773DC1"/>
    <w:rsid w:val="2E7809F3"/>
    <w:rsid w:val="2EC20242"/>
    <w:rsid w:val="2EE6AEC2"/>
    <w:rsid w:val="2F46E3C9"/>
    <w:rsid w:val="2F61D939"/>
    <w:rsid w:val="2F9934D5"/>
    <w:rsid w:val="300205CA"/>
    <w:rsid w:val="305382DB"/>
    <w:rsid w:val="317CAA71"/>
    <w:rsid w:val="32044593"/>
    <w:rsid w:val="32A2F2FF"/>
    <w:rsid w:val="32C64081"/>
    <w:rsid w:val="32F0FA23"/>
    <w:rsid w:val="341282EC"/>
    <w:rsid w:val="341A54EC"/>
    <w:rsid w:val="3421F589"/>
    <w:rsid w:val="3422C72B"/>
    <w:rsid w:val="342E2BBB"/>
    <w:rsid w:val="346033EA"/>
    <w:rsid w:val="3476B3B7"/>
    <w:rsid w:val="3492A395"/>
    <w:rsid w:val="34ACC673"/>
    <w:rsid w:val="34C5DFAA"/>
    <w:rsid w:val="34E4E39B"/>
    <w:rsid w:val="35A81CDE"/>
    <w:rsid w:val="35B7CC4F"/>
    <w:rsid w:val="363C0D62"/>
    <w:rsid w:val="367024F6"/>
    <w:rsid w:val="36E9A14B"/>
    <w:rsid w:val="37EF2BDC"/>
    <w:rsid w:val="37FEB5F0"/>
    <w:rsid w:val="3801F0A2"/>
    <w:rsid w:val="3838FF12"/>
    <w:rsid w:val="38AD7B60"/>
    <w:rsid w:val="38DC7BAF"/>
    <w:rsid w:val="39163796"/>
    <w:rsid w:val="399DC103"/>
    <w:rsid w:val="399F0DB9"/>
    <w:rsid w:val="3B3656B2"/>
    <w:rsid w:val="3B371A67"/>
    <w:rsid w:val="3B54A451"/>
    <w:rsid w:val="3B61ABC1"/>
    <w:rsid w:val="3C62F26C"/>
    <w:rsid w:val="3C78A18E"/>
    <w:rsid w:val="3C8AA95A"/>
    <w:rsid w:val="3C974E39"/>
    <w:rsid w:val="3CB165A4"/>
    <w:rsid w:val="3D1AF6D7"/>
    <w:rsid w:val="3D93A4DF"/>
    <w:rsid w:val="3DC30445"/>
    <w:rsid w:val="3E0420D2"/>
    <w:rsid w:val="3E06CC44"/>
    <w:rsid w:val="3E1C405B"/>
    <w:rsid w:val="3EB6C738"/>
    <w:rsid w:val="3F3890BD"/>
    <w:rsid w:val="3F56CCC2"/>
    <w:rsid w:val="3FFAD814"/>
    <w:rsid w:val="403CA876"/>
    <w:rsid w:val="40689B21"/>
    <w:rsid w:val="4115B149"/>
    <w:rsid w:val="414C7BDB"/>
    <w:rsid w:val="41B30943"/>
    <w:rsid w:val="41BAF63E"/>
    <w:rsid w:val="41CD9C49"/>
    <w:rsid w:val="424AF820"/>
    <w:rsid w:val="427048C0"/>
    <w:rsid w:val="42AE663F"/>
    <w:rsid w:val="4311576B"/>
    <w:rsid w:val="438FEEB3"/>
    <w:rsid w:val="43A360B8"/>
    <w:rsid w:val="43FB7663"/>
    <w:rsid w:val="447CB1D3"/>
    <w:rsid w:val="44F06B81"/>
    <w:rsid w:val="44F19F69"/>
    <w:rsid w:val="4512E88C"/>
    <w:rsid w:val="4550B2A6"/>
    <w:rsid w:val="4590C262"/>
    <w:rsid w:val="46C78F75"/>
    <w:rsid w:val="46E89FEA"/>
    <w:rsid w:val="476FBA49"/>
    <w:rsid w:val="481B91BC"/>
    <w:rsid w:val="48DB144D"/>
    <w:rsid w:val="49678B79"/>
    <w:rsid w:val="4967FCDC"/>
    <w:rsid w:val="4974DD15"/>
    <w:rsid w:val="49C130D4"/>
    <w:rsid w:val="4A305286"/>
    <w:rsid w:val="4B24074F"/>
    <w:rsid w:val="4B33521F"/>
    <w:rsid w:val="4BA4709C"/>
    <w:rsid w:val="4CAE6846"/>
    <w:rsid w:val="4E43BC49"/>
    <w:rsid w:val="4EFD118E"/>
    <w:rsid w:val="4F42F51B"/>
    <w:rsid w:val="4F630730"/>
    <w:rsid w:val="4F6BFC7F"/>
    <w:rsid w:val="4F8ADFCC"/>
    <w:rsid w:val="4FF96AA8"/>
    <w:rsid w:val="50819C96"/>
    <w:rsid w:val="50A6C5D3"/>
    <w:rsid w:val="5105ACDB"/>
    <w:rsid w:val="51BDB3B2"/>
    <w:rsid w:val="51D39B16"/>
    <w:rsid w:val="5235CB0B"/>
    <w:rsid w:val="52FE95C3"/>
    <w:rsid w:val="5316B833"/>
    <w:rsid w:val="53AA2BBE"/>
    <w:rsid w:val="53FA5B75"/>
    <w:rsid w:val="542C2C42"/>
    <w:rsid w:val="545B6427"/>
    <w:rsid w:val="5514BEAA"/>
    <w:rsid w:val="552C53FD"/>
    <w:rsid w:val="559FF293"/>
    <w:rsid w:val="55C0122E"/>
    <w:rsid w:val="5606EE06"/>
    <w:rsid w:val="5610E54A"/>
    <w:rsid w:val="562A08BD"/>
    <w:rsid w:val="56E309F5"/>
    <w:rsid w:val="571EF195"/>
    <w:rsid w:val="5791EEBF"/>
    <w:rsid w:val="579304E9"/>
    <w:rsid w:val="58449E0C"/>
    <w:rsid w:val="587EDA56"/>
    <w:rsid w:val="599C00FC"/>
    <w:rsid w:val="5A1C2ED6"/>
    <w:rsid w:val="5A5BCA31"/>
    <w:rsid w:val="5A8DB464"/>
    <w:rsid w:val="5AD7447E"/>
    <w:rsid w:val="5ADC411C"/>
    <w:rsid w:val="5AEA383F"/>
    <w:rsid w:val="5B6A2779"/>
    <w:rsid w:val="5BA745BE"/>
    <w:rsid w:val="5C69B939"/>
    <w:rsid w:val="5CA7ECE1"/>
    <w:rsid w:val="5D1E31D4"/>
    <w:rsid w:val="5D2DC9AD"/>
    <w:rsid w:val="5D54E249"/>
    <w:rsid w:val="5DA74602"/>
    <w:rsid w:val="5DA8F811"/>
    <w:rsid w:val="5DC73DEF"/>
    <w:rsid w:val="5DC934F4"/>
    <w:rsid w:val="5DEFB3A0"/>
    <w:rsid w:val="5E55C7EA"/>
    <w:rsid w:val="5E890431"/>
    <w:rsid w:val="5E8EB6D9"/>
    <w:rsid w:val="5EF0B2AA"/>
    <w:rsid w:val="5F35192E"/>
    <w:rsid w:val="5F44C872"/>
    <w:rsid w:val="5F834415"/>
    <w:rsid w:val="604AC895"/>
    <w:rsid w:val="606DA456"/>
    <w:rsid w:val="60735AAE"/>
    <w:rsid w:val="6110D1AC"/>
    <w:rsid w:val="61A6EEFF"/>
    <w:rsid w:val="620F2B0F"/>
    <w:rsid w:val="628ECAE3"/>
    <w:rsid w:val="6338FAD7"/>
    <w:rsid w:val="63713630"/>
    <w:rsid w:val="63B55423"/>
    <w:rsid w:val="63C7A176"/>
    <w:rsid w:val="6481BD31"/>
    <w:rsid w:val="6529D8A4"/>
    <w:rsid w:val="65870D47"/>
    <w:rsid w:val="658A4C5B"/>
    <w:rsid w:val="658CAF48"/>
    <w:rsid w:val="65CC4962"/>
    <w:rsid w:val="665671B6"/>
    <w:rsid w:val="66B2D880"/>
    <w:rsid w:val="671E7E3D"/>
    <w:rsid w:val="684282B3"/>
    <w:rsid w:val="689C4AE6"/>
    <w:rsid w:val="692353BF"/>
    <w:rsid w:val="693B17F9"/>
    <w:rsid w:val="696B821F"/>
    <w:rsid w:val="69D58562"/>
    <w:rsid w:val="69DDEAF0"/>
    <w:rsid w:val="6A226A7C"/>
    <w:rsid w:val="6A556CB9"/>
    <w:rsid w:val="6A5C4998"/>
    <w:rsid w:val="6ABB18B9"/>
    <w:rsid w:val="6B1081EC"/>
    <w:rsid w:val="6B6B6474"/>
    <w:rsid w:val="6B7ACD92"/>
    <w:rsid w:val="6C7A93EA"/>
    <w:rsid w:val="6CBA1E11"/>
    <w:rsid w:val="6CCBBFE0"/>
    <w:rsid w:val="6D4C275E"/>
    <w:rsid w:val="6DCD5B7D"/>
    <w:rsid w:val="6E059B8E"/>
    <w:rsid w:val="6E4309D9"/>
    <w:rsid w:val="6F3C4862"/>
    <w:rsid w:val="6F5345B0"/>
    <w:rsid w:val="6F92E59C"/>
    <w:rsid w:val="6F985707"/>
    <w:rsid w:val="70CC678A"/>
    <w:rsid w:val="71206E41"/>
    <w:rsid w:val="737DD26B"/>
    <w:rsid w:val="7390DEC0"/>
    <w:rsid w:val="754154BA"/>
    <w:rsid w:val="756459BF"/>
    <w:rsid w:val="759CFDFA"/>
    <w:rsid w:val="75D9E164"/>
    <w:rsid w:val="76124145"/>
    <w:rsid w:val="76D5F088"/>
    <w:rsid w:val="77A72759"/>
    <w:rsid w:val="77C27A62"/>
    <w:rsid w:val="785F391C"/>
    <w:rsid w:val="7886A770"/>
    <w:rsid w:val="7906A3B5"/>
    <w:rsid w:val="791B416E"/>
    <w:rsid w:val="79CB3C62"/>
    <w:rsid w:val="79CBF3A7"/>
    <w:rsid w:val="7A2972E0"/>
    <w:rsid w:val="7B670CC3"/>
    <w:rsid w:val="7B6EFF86"/>
    <w:rsid w:val="7B91105D"/>
    <w:rsid w:val="7C4D4159"/>
    <w:rsid w:val="7CA1155D"/>
    <w:rsid w:val="7CA1E453"/>
    <w:rsid w:val="7CC29D7B"/>
    <w:rsid w:val="7D39FDEC"/>
    <w:rsid w:val="7D521F0A"/>
    <w:rsid w:val="7D542FD9"/>
    <w:rsid w:val="7D988DDA"/>
    <w:rsid w:val="7E0B6ECC"/>
    <w:rsid w:val="7E4C409D"/>
    <w:rsid w:val="7ED6D7B6"/>
    <w:rsid w:val="7F0D8052"/>
    <w:rsid w:val="7F460808"/>
  </w:rsids>
  <w:docVars>
    <w:docVar w:name="EN.InstantFormat" w:val="&lt;ENInstantFormat&gt;&lt;Enabled&gt;1&lt;/Enabled&gt;&lt;ScanUnformatted&gt;1&lt;/ScanUnformatted&gt;&lt;ScanChanges&gt;1&lt;/ScanChanges&gt;&lt;Suspended&gt;1&lt;/Suspended&gt;&lt;/ENInstantFormat&gt;"/>
    <w:docVar w:name="EN.Layout" w:val="&lt;ENLayout&gt;&lt;Style&gt;Author-Date (year a,b) no parenth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re5dttozfpabe5feupfdavtd2z2950tpfe&quot;&gt;DecaBDE &amp;amp; PIP (1)&lt;record-ids&gt;&lt;item&gt;46&lt;/item&gt;&lt;item&gt;114&lt;/item&gt;&lt;item&gt;144&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34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1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10"/>
    <w:unhideWhenUsed/>
    <w:rsid w:val="002B34A0"/>
    <w:pPr>
      <w:tabs>
        <w:tab w:val="center" w:pos="4680"/>
        <w:tab w:val="right" w:pos="9360"/>
      </w:tabs>
    </w:pPr>
  </w:style>
  <w:style w:type="character" w:customStyle="1" w:styleId="HeaderChar">
    <w:name w:val="Header Char"/>
    <w:basedOn w:val="DefaultParagraphFont"/>
    <w:link w:val="Header"/>
    <w:uiPriority w:val="10"/>
    <w:rsid w:val="002B34A0"/>
    <w:rPr>
      <w:rFonts w:ascii="Arial" w:hAnsi="Arial"/>
      <w:sz w:val="24"/>
    </w:rPr>
  </w:style>
  <w:style w:type="paragraph" w:styleId="Footer">
    <w:name w:val="footer"/>
    <w:basedOn w:val="Normal"/>
    <w:link w:val="FooterChar"/>
    <w:unhideWhenUsed/>
    <w:qFormat/>
    <w:rsid w:val="002B34A0"/>
    <w:pPr>
      <w:tabs>
        <w:tab w:val="center" w:pos="4680"/>
        <w:tab w:val="right" w:pos="9360"/>
      </w:tabs>
    </w:pPr>
  </w:style>
  <w:style w:type="character" w:customStyle="1" w:styleId="FooterChar">
    <w:name w:val="Footer Char"/>
    <w:basedOn w:val="DefaultParagraphFont"/>
    <w:link w:val="Footer"/>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3"/>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4"/>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uiPriority w:val="16"/>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aliases w:val=" Char, Char4,ALTS FOOTNOTE,Char2,Char3,Char4,Footnote Text - Preamble,Footnote Text - Preamble1,Footnote Text Char Char,Footnote Text Char Char Char Char,Footnote Text Char Char1,Footnote Text Char1 Char Char,f,fn"/>
    <w:basedOn w:val="Normal"/>
    <w:link w:val="FootnoteTextChar"/>
    <w:qFormat/>
    <w:rsid w:val="002B34A0"/>
    <w:rPr>
      <w:rFonts w:ascii="Times New Roman" w:hAnsi="Times New Roman" w:eastAsiaTheme="minorEastAsia"/>
      <w:sz w:val="20"/>
      <w:szCs w:val="20"/>
      <w:lang w:bidi="en-US"/>
    </w:rPr>
  </w:style>
  <w:style w:type="character" w:customStyle="1" w:styleId="FootnoteTextChar">
    <w:name w:val="Footnote Text Char"/>
    <w:aliases w:val=" Char Char, Char4 Char,ALTS FOOTNOTE Char,Char2 Char,Char3 Char,Char4 Char,Footnote Text - Preamble Char,Footnote Text - Preamble1 Char,Footnote Text Char Char Char,Footnote Text Char Char Char Char Char,Footnote Text Char Char1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rsid w:val="002B34A0"/>
    <w:rPr>
      <w:sz w:val="16"/>
      <w:szCs w:val="16"/>
    </w:rPr>
  </w:style>
  <w:style w:type="paragraph" w:styleId="CommentText">
    <w:name w:val="annotation text"/>
    <w:basedOn w:val="Normal"/>
    <w:link w:val="CommentTextChar"/>
    <w:rsid w:val="002B34A0"/>
    <w:rPr>
      <w:rFonts w:eastAsiaTheme="minorEastAsia"/>
      <w:sz w:val="20"/>
      <w:szCs w:val="20"/>
      <w:lang w:bidi="en-US"/>
    </w:rPr>
  </w:style>
  <w:style w:type="character" w:customStyle="1" w:styleId="CommentTextChar">
    <w:name w:val="Comment Text Char"/>
    <w:basedOn w:val="DefaultParagraphFont"/>
    <w:link w:val="CommentText"/>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qFormat/>
    <w:rsid w:val="002B34A0"/>
    <w:rPr>
      <w:b/>
      <w:bCs/>
    </w:rPr>
  </w:style>
  <w:style w:type="character" w:customStyle="1" w:styleId="UnresolvedMention100000">
    <w:name w:val="Unresolved Mention100000"/>
    <w:basedOn w:val="DefaultParagraphFont"/>
    <w:uiPriority w:val="99"/>
    <w:unhideWhenUsed/>
    <w:rsid w:val="00C96D21"/>
    <w:rPr>
      <w:color w:val="605E5C"/>
      <w:shd w:val="clear" w:color="auto" w:fill="E1DFDD"/>
    </w:rPr>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4A0"/>
    <w:pPr>
      <w:autoSpaceDE w:val="0"/>
      <w:autoSpaceDN w:val="0"/>
      <w:adjustRightInd w:val="0"/>
    </w:pPr>
    <w:rPr>
      <w:rFonts w:eastAsiaTheme="minorEastAsia"/>
      <w:color w:val="000000"/>
      <w:lang w:bidi="en-US"/>
    </w:rPr>
  </w:style>
  <w:style w:type="paragraph" w:styleId="ListParagraph">
    <w:name w:val="List Paragraph"/>
    <w:basedOn w:val="Normal"/>
    <w:link w:val="ListParagraphChar"/>
    <w:uiPriority w:val="1"/>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eastAsia="Times New Roman" w:cs="Arial"/>
      <w:noProof/>
      <w:szCs w:val="20"/>
    </w:rPr>
  </w:style>
  <w:style w:type="character" w:customStyle="1" w:styleId="EndNoteBibliographyChar">
    <w:name w:val="EndNote Bibliography Char"/>
    <w:basedOn w:val="DefaultParagraphFont"/>
    <w:link w:val="EndNoteBibliography"/>
    <w:rsid w:val="002A5DBC"/>
    <w:rPr>
      <w:rFonts w:ascii="Arial" w:eastAsia="Times New Roman" w:hAnsi="Arial" w:cs="Arial"/>
      <w:noProof/>
      <w:sz w:val="24"/>
      <w:szCs w:val="20"/>
    </w:rPr>
  </w:style>
  <w:style w:type="paragraph" w:customStyle="1" w:styleId="LTableTextAbt">
    <w:name w:val="(L)Table Text Abt"/>
    <w:link w:val="LTableTextAbtChar"/>
    <w:uiPriority w:val="12"/>
    <w:qFormat/>
    <w:rsid w:val="00320C94"/>
    <w:pPr>
      <w:keepNext/>
      <w:keepLines/>
      <w:spacing w:before="20" w:after="20" w:line="240" w:lineRule="auto"/>
    </w:pPr>
    <w:rPr>
      <w:rFonts w:ascii="Times New Roman" w:hAnsi="Times New Roman" w:cs="Times New Roman"/>
      <w:bCs/>
      <w:color w:val="000000"/>
      <w:sz w:val="18"/>
      <w:szCs w:val="20"/>
    </w:rPr>
  </w:style>
  <w:style w:type="character" w:customStyle="1" w:styleId="LTableTextAbtChar">
    <w:name w:val="(L)Table Text Abt Char"/>
    <w:link w:val="LTableTextAbt"/>
    <w:uiPriority w:val="12"/>
    <w:rsid w:val="00320C94"/>
    <w:rPr>
      <w:rFonts w:ascii="Times New Roman" w:hAnsi="Times New Roman" w:cs="Times New Roman"/>
      <w:bCs/>
      <w:color w:val="000000"/>
      <w:sz w:val="18"/>
      <w:szCs w:val="20"/>
    </w:rPr>
  </w:style>
  <w:style w:type="paragraph" w:customStyle="1" w:styleId="RTableTextAbt">
    <w:name w:val="(R) Table Text Abt"/>
    <w:link w:val="RTableTextAbtChar"/>
    <w:uiPriority w:val="14"/>
    <w:qFormat/>
    <w:rsid w:val="00967F7E"/>
    <w:pPr>
      <w:spacing w:after="0" w:line="240" w:lineRule="auto"/>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967F7E"/>
    <w:rPr>
      <w:rFonts w:ascii="Times New Roman" w:hAnsi="Times New Roman" w:cs="Times New Roman"/>
      <w:bCs/>
      <w:color w:val="000000"/>
      <w:sz w:val="18"/>
      <w:szCs w:val="20"/>
    </w:rPr>
  </w:style>
  <w:style w:type="paragraph" w:customStyle="1" w:styleId="TableTitleAbt">
    <w:name w:val="Table Title Abt"/>
    <w:link w:val="TableTitleAbtChar"/>
    <w:uiPriority w:val="7"/>
    <w:qFormat/>
    <w:rsid w:val="00967F7E"/>
    <w:pPr>
      <w:keepNext/>
      <w:widowControl w:val="0"/>
      <w:shd w:val="solid" w:color="DA291C" w:fill="DA291C"/>
      <w:spacing w:after="0" w:line="240" w:lineRule="auto"/>
    </w:pPr>
    <w:rPr>
      <w:rFonts w:ascii="Arial Bold" w:hAnsi="Arial Bold" w:cs="Arial"/>
      <w:b/>
      <w:color w:val="F0F4F6"/>
      <w:shd w:val="clear" w:color="auto" w:fill="DA291C"/>
    </w:rPr>
  </w:style>
  <w:style w:type="character" w:customStyle="1" w:styleId="TableTitleAbtChar">
    <w:name w:val="Table Title Abt Char"/>
    <w:basedOn w:val="DefaultParagraphFont"/>
    <w:link w:val="TableTitleAbt"/>
    <w:uiPriority w:val="7"/>
    <w:rsid w:val="00967F7E"/>
    <w:rPr>
      <w:rFonts w:ascii="Arial Bold" w:hAnsi="Arial Bold" w:cs="Arial"/>
      <w:b/>
      <w:color w:val="F0F4F6"/>
      <w:shd w:val="solid" w:color="DA291C" w:fill="DA291C"/>
    </w:rPr>
  </w:style>
  <w:style w:type="paragraph" w:customStyle="1" w:styleId="LTableHeadingAbt">
    <w:name w:val="(L)Table Heading Abt"/>
    <w:link w:val="LTableHeadingAbtChar"/>
    <w:uiPriority w:val="8"/>
    <w:qFormat/>
    <w:rsid w:val="00967F7E"/>
    <w:pPr>
      <w:keepNext/>
      <w:keepLines/>
      <w:shd w:val="clear" w:color="auto" w:fill="C3C6A8"/>
      <w:spacing w:after="0" w:line="240" w:lineRule="auto"/>
    </w:pPr>
    <w:rPr>
      <w:rFonts w:ascii="Arial" w:eastAsia="Times New Roman" w:hAnsi="Arial" w:cs="Arial"/>
      <w:b/>
      <w:bCs/>
      <w:color w:val="000000"/>
      <w:sz w:val="20"/>
      <w:szCs w:val="18"/>
    </w:rPr>
  </w:style>
  <w:style w:type="character" w:customStyle="1" w:styleId="LTableHeadingAbtChar">
    <w:name w:val="(L)Table Heading Abt Char"/>
    <w:basedOn w:val="DefaultParagraphFont"/>
    <w:link w:val="LTableHeadingAbt"/>
    <w:uiPriority w:val="8"/>
    <w:rsid w:val="00967F7E"/>
    <w:rPr>
      <w:rFonts w:ascii="Arial" w:eastAsia="Times New Roman" w:hAnsi="Arial" w:cs="Arial"/>
      <w:b/>
      <w:bCs/>
      <w:color w:val="000000"/>
      <w:sz w:val="20"/>
      <w:szCs w:val="18"/>
      <w:shd w:val="clear" w:color="auto" w:fill="C3C6A8"/>
    </w:rPr>
  </w:style>
  <w:style w:type="paragraph" w:customStyle="1" w:styleId="TableNotesAbt">
    <w:name w:val="Table Notes Abt"/>
    <w:uiPriority w:val="17"/>
    <w:qFormat/>
    <w:rsid w:val="00967F7E"/>
    <w:pPr>
      <w:spacing w:before="80" w:after="40" w:line="240" w:lineRule="auto"/>
      <w:ind w:left="86" w:hanging="86"/>
    </w:pPr>
    <w:rPr>
      <w:rFonts w:ascii="Times New Roman" w:hAnsi="Times New Roman" w:cs="Times New Roman"/>
      <w:bCs/>
      <w:color w:val="000000"/>
      <w:sz w:val="16"/>
      <w:szCs w:val="20"/>
    </w:rPr>
  </w:style>
  <w:style w:type="paragraph" w:customStyle="1" w:styleId="CTableTextAbt">
    <w:name w:val="(C)Table Text Abt"/>
    <w:link w:val="CTableTextAbtChar"/>
    <w:uiPriority w:val="13"/>
    <w:qFormat/>
    <w:rsid w:val="00787079"/>
    <w:pPr>
      <w:spacing w:after="0" w:line="240" w:lineRule="auto"/>
      <w:jc w:val="center"/>
    </w:pPr>
    <w:rPr>
      <w:rFonts w:ascii="Times New Roman" w:hAnsi="Times New Roman" w:cs="Times New Roman"/>
      <w:bCs/>
      <w:color w:val="000000"/>
      <w:sz w:val="18"/>
      <w:szCs w:val="20"/>
    </w:rPr>
  </w:style>
  <w:style w:type="character" w:customStyle="1" w:styleId="CTableTextAbtChar">
    <w:name w:val="(C)Table Text Abt Char"/>
    <w:basedOn w:val="RTableTextAbtChar"/>
    <w:link w:val="CTableTextAbt"/>
    <w:uiPriority w:val="13"/>
    <w:rsid w:val="00787079"/>
    <w:rPr>
      <w:rFonts w:ascii="Times New Roman" w:hAnsi="Times New Roman" w:cs="Times New Roman"/>
      <w:bCs/>
      <w:color w:val="000000"/>
      <w:sz w:val="18"/>
      <w:szCs w:val="20"/>
    </w:rPr>
  </w:style>
  <w:style w:type="paragraph" w:customStyle="1" w:styleId="TableNote">
    <w:name w:val="TableNote"/>
    <w:basedOn w:val="Normal"/>
    <w:autoRedefine/>
    <w:uiPriority w:val="99"/>
    <w:qFormat/>
    <w:rsid w:val="002769CC"/>
    <w:pPr>
      <w:widowControl w:val="0"/>
      <w:autoSpaceDE w:val="0"/>
      <w:autoSpaceDN w:val="0"/>
      <w:adjustRightInd w:val="0"/>
    </w:pPr>
    <w:rPr>
      <w:rFonts w:ascii="Times New Roman" w:eastAsia="Times New Roman" w:hAnsi="Times New Roman" w:cs="Times New Roman"/>
      <w:sz w:val="16"/>
      <w:szCs w:val="16"/>
    </w:rPr>
  </w:style>
  <w:style w:type="character" w:styleId="LineNumber">
    <w:name w:val="line number"/>
    <w:basedOn w:val="DefaultParagraphFont"/>
    <w:uiPriority w:val="99"/>
    <w:semiHidden/>
    <w:unhideWhenUsed/>
    <w:rsid w:val="00037F3D"/>
  </w:style>
  <w:style w:type="character" w:customStyle="1" w:styleId="ListParagraphChar">
    <w:name w:val="List Paragraph Char"/>
    <w:basedOn w:val="DefaultParagraphFont"/>
    <w:link w:val="ListParagraph"/>
    <w:uiPriority w:val="34"/>
    <w:rsid w:val="003D3F56"/>
    <w:rPr>
      <w:rFonts w:ascii="Arial" w:hAnsi="Arial" w:eastAsiaTheme="minorEastAsia"/>
      <w:sz w:val="24"/>
      <w:lang w:bidi="en-US"/>
    </w:rPr>
  </w:style>
  <w:style w:type="character" w:customStyle="1" w:styleId="UnresolvedMention1">
    <w:name w:val="Unresolved Mention1"/>
    <w:basedOn w:val="DefaultParagraphFont"/>
    <w:uiPriority w:val="99"/>
    <w:unhideWhenUsed/>
    <w:rsid w:val="005A00B4"/>
    <w:rPr>
      <w:color w:val="605E5C"/>
      <w:shd w:val="clear" w:color="auto" w:fill="E1DFDD"/>
    </w:rPr>
  </w:style>
  <w:style w:type="character" w:customStyle="1" w:styleId="Mention1">
    <w:name w:val="Mention1"/>
    <w:basedOn w:val="DefaultParagraphFont"/>
    <w:uiPriority w:val="99"/>
    <w:unhideWhenUsed/>
    <w:rsid w:val="005A00B4"/>
    <w:rPr>
      <w:color w:val="2B579A"/>
      <w:shd w:val="clear" w:color="auto" w:fill="E1DFDD"/>
    </w:rPr>
  </w:style>
  <w:style w:type="character" w:customStyle="1" w:styleId="UnresolvedMention10">
    <w:name w:val="Unresolved Mention10"/>
    <w:basedOn w:val="DefaultParagraphFont"/>
    <w:uiPriority w:val="99"/>
    <w:unhideWhenUsed/>
    <w:rsid w:val="00B43E36"/>
    <w:rPr>
      <w:color w:val="605E5C"/>
      <w:shd w:val="clear" w:color="auto" w:fill="E1DFDD"/>
    </w:rPr>
  </w:style>
  <w:style w:type="character" w:customStyle="1" w:styleId="Mention10">
    <w:name w:val="Mention10"/>
    <w:basedOn w:val="DefaultParagraphFont"/>
    <w:uiPriority w:val="99"/>
    <w:unhideWhenUsed/>
    <w:rsid w:val="00B43E36"/>
    <w:rPr>
      <w:color w:val="2B579A"/>
      <w:shd w:val="clear" w:color="auto" w:fill="E1DFDD"/>
    </w:rPr>
  </w:style>
  <w:style w:type="character" w:styleId="UnresolvedMention">
    <w:name w:val="Unresolved Mention"/>
    <w:basedOn w:val="DefaultParagraphFont"/>
    <w:uiPriority w:val="99"/>
    <w:unhideWhenUsed/>
    <w:rsid w:val="00181E15"/>
    <w:rPr>
      <w:color w:val="605E5C"/>
      <w:shd w:val="clear" w:color="auto" w:fill="E1DFDD"/>
    </w:rPr>
  </w:style>
  <w:style w:type="character" w:styleId="Mention">
    <w:name w:val="Mention"/>
    <w:basedOn w:val="DefaultParagraphFont"/>
    <w:uiPriority w:val="99"/>
    <w:unhideWhenUsed/>
    <w:rsid w:val="00181E15"/>
    <w:rPr>
      <w:color w:val="2B579A"/>
      <w:shd w:val="clear" w:color="auto" w:fill="E1DFDD"/>
    </w:rPr>
  </w:style>
  <w:style w:type="character" w:customStyle="1" w:styleId="NoSpacingChar">
    <w:name w:val="No Spacing Char"/>
    <w:basedOn w:val="DefaultParagraphFont"/>
    <w:link w:val="NoSpacing"/>
    <w:uiPriority w:val="1"/>
    <w:locked/>
    <w:rsid w:val="006801E7"/>
    <w:rPr>
      <w:rFonts w:ascii="Arial" w:hAnsi="Arial"/>
      <w:sz w:val="24"/>
    </w:rPr>
  </w:style>
  <w:style w:type="character" w:customStyle="1" w:styleId="UnresolvedMention100">
    <w:name w:val="Unresolved Mention100"/>
    <w:basedOn w:val="DefaultParagraphFont"/>
    <w:uiPriority w:val="99"/>
    <w:unhideWhenUsed/>
    <w:rsid w:val="00B60032"/>
    <w:rPr>
      <w:color w:val="605E5C"/>
      <w:shd w:val="clear" w:color="auto" w:fill="E1DFDD"/>
    </w:rPr>
  </w:style>
  <w:style w:type="character" w:customStyle="1" w:styleId="Mention100">
    <w:name w:val="Mention100"/>
    <w:basedOn w:val="DefaultParagraphFont"/>
    <w:uiPriority w:val="99"/>
    <w:unhideWhenUsed/>
    <w:rsid w:val="00B60032"/>
    <w:rPr>
      <w:color w:val="2B579A"/>
      <w:shd w:val="clear" w:color="auto" w:fill="E1DFDD"/>
    </w:rPr>
  </w:style>
  <w:style w:type="character" w:customStyle="1" w:styleId="UnresolvedMention1000">
    <w:name w:val="Unresolved Mention1000"/>
    <w:basedOn w:val="DefaultParagraphFont"/>
    <w:uiPriority w:val="99"/>
    <w:unhideWhenUsed/>
    <w:rsid w:val="00B60032"/>
    <w:rPr>
      <w:color w:val="605E5C"/>
      <w:shd w:val="clear" w:color="auto" w:fill="E1DFDD"/>
    </w:rPr>
  </w:style>
  <w:style w:type="character" w:customStyle="1" w:styleId="Mention1000">
    <w:name w:val="Mention1000"/>
    <w:basedOn w:val="DefaultParagraphFont"/>
    <w:uiPriority w:val="99"/>
    <w:unhideWhenUsed/>
    <w:rsid w:val="00B60032"/>
    <w:rPr>
      <w:color w:val="2B579A"/>
      <w:shd w:val="clear" w:color="auto" w:fill="E1DFDD"/>
    </w:rPr>
  </w:style>
  <w:style w:type="character" w:customStyle="1" w:styleId="UnresolvedMention10000">
    <w:name w:val="Unresolved Mention10000"/>
    <w:basedOn w:val="DefaultParagraphFont"/>
    <w:uiPriority w:val="99"/>
    <w:unhideWhenUsed/>
    <w:rsid w:val="00B60032"/>
    <w:rPr>
      <w:color w:val="605E5C"/>
      <w:shd w:val="clear" w:color="auto" w:fill="E1DFDD"/>
    </w:rPr>
  </w:style>
  <w:style w:type="character" w:customStyle="1" w:styleId="Mention10000">
    <w:name w:val="Mention10000"/>
    <w:basedOn w:val="DefaultParagraphFont"/>
    <w:uiPriority w:val="99"/>
    <w:unhideWhenUsed/>
    <w:rsid w:val="00B60032"/>
    <w:rPr>
      <w:color w:val="2B579A"/>
      <w:shd w:val="clear" w:color="auto" w:fill="E1DFDD"/>
    </w:rPr>
  </w:style>
  <w:style w:type="character" w:customStyle="1" w:styleId="UnresolvedMention100001">
    <w:name w:val="Unresolved Mention100001"/>
    <w:basedOn w:val="DefaultParagraphFont"/>
    <w:uiPriority w:val="99"/>
    <w:unhideWhenUsed/>
    <w:rsid w:val="00B60032"/>
    <w:rPr>
      <w:color w:val="605E5C"/>
      <w:shd w:val="clear" w:color="auto" w:fill="E1DFDD"/>
    </w:rPr>
  </w:style>
  <w:style w:type="character" w:customStyle="1" w:styleId="Mention100000">
    <w:name w:val="Mention100000"/>
    <w:basedOn w:val="DefaultParagraphFont"/>
    <w:uiPriority w:val="99"/>
    <w:unhideWhenUsed/>
    <w:rsid w:val="00B60032"/>
    <w:rPr>
      <w:color w:val="2B579A"/>
      <w:shd w:val="clear" w:color="auto" w:fill="E1DFDD"/>
    </w:rPr>
  </w:style>
  <w:style w:type="character" w:customStyle="1" w:styleId="Mention1000000">
    <w:name w:val="Mention1000000"/>
    <w:basedOn w:val="DefaultParagraphFont"/>
    <w:uiPriority w:val="99"/>
    <w:unhideWhenUsed/>
    <w:rsid w:val="00C96D21"/>
    <w:rPr>
      <w:color w:val="2B579A"/>
      <w:shd w:val="clear" w:color="auto" w:fill="E1DFDD"/>
    </w:rPr>
  </w:style>
  <w:style w:type="paragraph" w:customStyle="1" w:styleId="EndNoteBibliographyTitle">
    <w:name w:val="EndNote Bibliography Title"/>
    <w:basedOn w:val="Normal"/>
    <w:link w:val="EndNoteBibliographyTitleChar"/>
    <w:rsid w:val="00D12F7B"/>
    <w:pPr>
      <w:jc w:val="center"/>
    </w:pPr>
    <w:rPr>
      <w:rFonts w:cs="Arial"/>
      <w:noProof/>
    </w:rPr>
  </w:style>
  <w:style w:type="character" w:customStyle="1" w:styleId="EndNoteBibliographyTitleChar">
    <w:name w:val="EndNote Bibliography Title Char"/>
    <w:basedOn w:val="DefaultParagraphFont"/>
    <w:link w:val="EndNoteBibliographyTitle"/>
    <w:rsid w:val="00D12F7B"/>
    <w:rPr>
      <w:rFonts w:ascii="Arial" w:hAnsi="Arial" w:cs="Arial"/>
      <w:noProof/>
      <w:sz w:val="24"/>
    </w:rPr>
  </w:style>
  <w:style w:type="character" w:customStyle="1" w:styleId="normaltextrun">
    <w:name w:val="normaltextrun"/>
    <w:basedOn w:val="DefaultParagraphFont"/>
    <w:rsid w:val="00554E4A"/>
  </w:style>
  <w:style w:type="character" w:customStyle="1" w:styleId="findhit">
    <w:name w:val="findhit"/>
    <w:basedOn w:val="DefaultParagraphFont"/>
    <w:rsid w:val="00554E4A"/>
  </w:style>
  <w:style w:type="character" w:customStyle="1" w:styleId="cf01">
    <w:name w:val="cf01"/>
    <w:basedOn w:val="DefaultParagraphFont"/>
    <w:rsid w:val="00597F36"/>
    <w:rPr>
      <w:rFonts w:ascii="Segoe UI" w:hAnsi="Segoe UI" w:cs="Segoe UI" w:hint="default"/>
      <w:color w:val="0033CC"/>
      <w:sz w:val="18"/>
      <w:szCs w:val="18"/>
      <w:shd w:val="clear" w:color="auto" w:fill="00FFFF"/>
    </w:rPr>
  </w:style>
  <w:style w:type="character" w:customStyle="1" w:styleId="cf11">
    <w:name w:val="cf11"/>
    <w:basedOn w:val="DefaultParagraphFont"/>
    <w:rsid w:val="00597F36"/>
    <w:rPr>
      <w:rFonts w:ascii="Segoe UI" w:hAnsi="Segoe UI" w:cs="Segoe UI" w:hint="default"/>
      <w:sz w:val="18"/>
      <w:szCs w:val="18"/>
      <w:shd w:val="clear" w:color="auto" w:fill="00FFFF"/>
    </w:rPr>
  </w:style>
  <w:style w:type="paragraph" w:customStyle="1" w:styleId="pf0">
    <w:name w:val="pf0"/>
    <w:basedOn w:val="Normal"/>
    <w:rsid w:val="005A2DAE"/>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PRAViewIC?ref_nbr=202101-2070-001&amp;icID=245233" TargetMode="External" /><Relationship Id="rId11" Type="http://schemas.openxmlformats.org/officeDocument/2006/relationships/footer" Target="footer1.xml" /><Relationship Id="rId12" Type="http://schemas.openxmlformats.org/officeDocument/2006/relationships/hyperlink" Target="https://gbc-word-edit.officeapps.live.com/we/wordeditorframe.aspx?ui=en%2DUS&amp;rs=en%2DUS&amp;actnavid=eyJjIjo2ODA1NjkyMzR9&amp;wopisrc=https%3A%2F%2Fusepa.sharepoint.com%2Fsites%2FOCSPP_Community%2FRCS%2FEO12866%2FPBT-Amendments%2F_vti_bin%2Fwopi.ashx%2Ffiles%2Fae4420a8e0eb493b9b8e2466a2819ffc&amp;wdenableroaming=1&amp;mscc=1&amp;hid=4963D3A0-4012-4000-1546-21E7419E0776&amp;wdorigin=Outlook-Body.Sharing.DirectLink&amp;wdhostclicktime=1692821599638&amp;jsapi=1&amp;jsapiver=v1&amp;newsession=1&amp;corrid=51773836-a401-4207-b60c-ee31416871c5&amp;usid=51773836-a401-4207-b60c-ee31416871c5&amp;sftc=1&amp;cac=1&amp;mtf=1&amp;sfp=1&amp;instantedit=1&amp;wopicomplete=1&amp;wdredirectionreason=Unified_SingleFlush&amp;rct=Normal&amp;ctp=LeastProtected" TargetMode="External" /><Relationship Id="rId13" Type="http://schemas.openxmlformats.org/officeDocument/2006/relationships/hyperlink" Target="https://www.govinfo.gov/content/pkg/USCODE-2022-title19/pdf/USCODE-2022-title19-chap14-sec2605.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reginfo.gov/public/do/PRAViewIC?ref_nbr=202101-2070-001&amp;icID=2452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E6E001053044BAECBE69E7F3A223B" ma:contentTypeVersion="42" ma:contentTypeDescription="Create a new document." ma:contentTypeScope="" ma:versionID="03781ac7d319a7fe1261aa84b7fb7b3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b6b822c6-4efe-4b71-a48c-d4bcb401f135" targetNamespace="http://schemas.microsoft.com/office/2006/metadata/properties" ma:root="true" ma:fieldsID="ae41f2b285e730488e0f979e925ee57f"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b6b822c6-4efe-4b71-a48c-d4bcb401f13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element ref="ns7:MediaServiceGenerationTime" minOccurs="0"/>
                <xsd:element ref="ns7:MediaServiceEventHashCode"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earchProperties" minOccurs="0"/>
                <xsd:element ref="ns7: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0a05e12-3ce5-4564-9ff5-4a3fa86f0129}"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0a05e12-3ce5-4564-9ff5-4a3fa86f0129}"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b822c6-4efe-4b71-a48c-d4bcb401f135"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MediaServic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SystemTags" ma:index="4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_activity xmlns="b6b822c6-4efe-4b71-a48c-d4bcb401f135" xsi:nil="tru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2024-10-24T15:15:47+00:00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623BC2C-D4E9-464A-95A2-4350D1753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b6b822c6-4efe-4b71-a48c-d4bcb401f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578AF-09FE-4812-A635-4AFD120FA215}">
  <ds:schemaRefs>
    <ds:schemaRef ds:uri="http://schemas.openxmlformats.org/officeDocument/2006/bibliography"/>
  </ds:schemaRefs>
</ds:datastoreItem>
</file>

<file path=customXml/itemProps3.xml><?xml version="1.0" encoding="utf-8"?>
<ds:datastoreItem xmlns:ds="http://schemas.openxmlformats.org/officeDocument/2006/customXml" ds:itemID="{480D4238-9624-4C25-98FC-9D71A4BCE508}">
  <ds:schemaRefs>
    <ds:schemaRef ds:uri="http://schemas.microsoft.com/office/2006/documentManagement/types"/>
    <ds:schemaRef ds:uri="http://schemas.microsoft.com/office/2006/metadata/properties"/>
    <ds:schemaRef ds:uri="f15e4d92-675c-4df7-a5c5-11f59c7da362"/>
    <ds:schemaRef ds:uri="http://purl.org/dc/elements/1.1/"/>
    <ds:schemaRef ds:uri="http://purl.org/dc/terms/"/>
    <ds:schemaRef ds:uri="http://schemas.microsoft.com/sharepoint/v3/fields"/>
    <ds:schemaRef ds:uri="http://schemas.microsoft.com/office/infopath/2007/PartnerControls"/>
    <ds:schemaRef ds:uri="http://schemas.openxmlformats.org/package/2006/metadata/core-properties"/>
    <ds:schemaRef ds:uri="http://www.w3.org/XML/1998/namespace"/>
    <ds:schemaRef ds:uri="http://schemas.microsoft.com/sharepoint/v3"/>
    <ds:schemaRef ds:uri="http://purl.org/dc/dcmitype/"/>
    <ds:schemaRef ds:uri="b6b822c6-4efe-4b71-a48c-d4bcb401f135"/>
    <ds:schemaRef ds:uri="http://schemas.microsoft.com/sharepoint.v3"/>
    <ds:schemaRef ds:uri="4ffa91fb-a0ff-4ac5-b2db-65c790d184a4"/>
  </ds:schemaRefs>
</ds:datastoreItem>
</file>

<file path=customXml/itemProps4.xml><?xml version="1.0" encoding="utf-8"?>
<ds:datastoreItem xmlns:ds="http://schemas.openxmlformats.org/officeDocument/2006/customXml" ds:itemID="{97153101-9185-477D-B1B6-23D3E39C8BD2}">
  <ds:schemaRefs>
    <ds:schemaRef ds:uri="http://schemas.microsoft.com/sharepoint/v3/contenttype/forms"/>
  </ds:schemaRefs>
</ds:datastoreItem>
</file>

<file path=customXml/itemProps5.xml><?xml version="1.0" encoding="utf-8"?>
<ds:datastoreItem xmlns:ds="http://schemas.openxmlformats.org/officeDocument/2006/customXml" ds:itemID="{8AD3AB70-A7F3-4460-9393-807B5BC084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8606</Words>
  <Characters>49060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2024-10-29T22:01:00Z</dcterms:created>
  <dcterms:modified xsi:type="dcterms:W3CDTF">2024-10-29T22:01:00Z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0x010100E09E6E001053044BAECBE69E7F3A223B</vt:lpwstr>
  </property>
</Properties>
</file>