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14:paraId="239DB472" w14:textId="2E39B749">
      <w:pPr>
        <w:pStyle w:val="Title"/>
        <w:rPr>
          <w:rFonts w:ascii="Times New Roman" w:hAnsi="Times New Roman"/>
          <w:u w:val="none"/>
        </w:rPr>
      </w:pPr>
      <w:r w:rsidRPr="00E52D4D">
        <w:rPr>
          <w:rFonts w:ascii="Times New Roman" w:hAnsi="Times New Roman"/>
          <w:u w:val="none"/>
        </w:rPr>
        <w:t>Department of Transportation</w:t>
      </w:r>
      <w:r w:rsidR="00110089">
        <w:rPr>
          <w:rFonts w:ascii="Times New Roman" w:hAnsi="Times New Roman"/>
          <w:u w:val="none"/>
        </w:rPr>
        <w:t xml:space="preserve"> (DOT)</w:t>
      </w:r>
    </w:p>
    <w:p w:rsidR="001814CA" w14:paraId="062D1B1E" w14:textId="6D8714CA">
      <w:pPr>
        <w:pStyle w:val="Title"/>
        <w:rPr>
          <w:rFonts w:ascii="Times New Roman" w:hAnsi="Times New Roman"/>
          <w:u w:val="none"/>
        </w:rPr>
      </w:pPr>
      <w:r>
        <w:rPr>
          <w:rFonts w:ascii="Times New Roman" w:hAnsi="Times New Roman"/>
          <w:u w:val="none"/>
        </w:rPr>
        <w:t>Maritime Administration</w:t>
      </w:r>
    </w:p>
    <w:p w:rsidR="001814CA" w14:paraId="58F6A765" w14:textId="31CD8C98">
      <w:pPr>
        <w:pStyle w:val="Title"/>
        <w:rPr>
          <w:rFonts w:ascii="Times New Roman" w:hAnsi="Times New Roman"/>
          <w:u w:val="none"/>
        </w:rPr>
      </w:pPr>
      <w:r>
        <w:rPr>
          <w:rFonts w:ascii="Times New Roman" w:hAnsi="Times New Roman"/>
          <w:u w:val="none"/>
        </w:rPr>
        <w:t>Information Collection Request (ICR)</w:t>
      </w:r>
    </w:p>
    <w:p w:rsidR="001814CA" w14:paraId="46B6BEED" w14:textId="027EE3C8">
      <w:pPr>
        <w:pStyle w:val="Title"/>
        <w:rPr>
          <w:rFonts w:ascii="Times New Roman" w:hAnsi="Times New Roman"/>
          <w:u w:val="none"/>
        </w:rPr>
      </w:pPr>
      <w:r>
        <w:rPr>
          <w:rFonts w:ascii="Times New Roman" w:hAnsi="Times New Roman"/>
          <w:u w:val="none"/>
        </w:rPr>
        <w:t>OMB 2133-0549</w:t>
      </w:r>
    </w:p>
    <w:p w:rsidR="001814CA" w:rsidRPr="00B928A5" w:rsidP="001814CA" w14:paraId="0F387840" w14:textId="5492495F">
      <w:pPr>
        <w:jc w:val="center"/>
        <w:rPr>
          <w:rFonts w:ascii="Times New Roman" w:hAnsi="Times New Roman"/>
          <w:b/>
          <w:bCs/>
          <w:sz w:val="24"/>
          <w:szCs w:val="24"/>
        </w:rPr>
      </w:pPr>
      <w:r w:rsidRPr="00B928A5">
        <w:rPr>
          <w:rFonts w:ascii="Times New Roman" w:hAnsi="Times New Roman"/>
          <w:b/>
          <w:bCs/>
          <w:sz w:val="24"/>
          <w:szCs w:val="24"/>
        </w:rPr>
        <w:t xml:space="preserve">Center of Excellence </w:t>
      </w:r>
      <w:r w:rsidR="00C71746">
        <w:rPr>
          <w:rFonts w:ascii="Times New Roman" w:hAnsi="Times New Roman"/>
          <w:b/>
          <w:bCs/>
          <w:sz w:val="24"/>
          <w:szCs w:val="24"/>
        </w:rPr>
        <w:t xml:space="preserve">(CoE) </w:t>
      </w:r>
      <w:r w:rsidRPr="00B928A5">
        <w:rPr>
          <w:rFonts w:ascii="Times New Roman" w:hAnsi="Times New Roman"/>
          <w:b/>
          <w:bCs/>
          <w:sz w:val="24"/>
          <w:szCs w:val="24"/>
        </w:rPr>
        <w:t>for Domestic Maritime Workforce Training and Education</w:t>
      </w:r>
    </w:p>
    <w:p w:rsidR="001814CA" w:rsidRPr="00B928A5" w:rsidP="001814CA" w14:paraId="0469F23D" w14:textId="77777777">
      <w:pPr>
        <w:jc w:val="center"/>
        <w:rPr>
          <w:rFonts w:ascii="Times New Roman" w:hAnsi="Times New Roman"/>
          <w:b/>
          <w:sz w:val="24"/>
          <w:szCs w:val="24"/>
        </w:rPr>
      </w:pPr>
      <w:r w:rsidRPr="00B928A5">
        <w:rPr>
          <w:rFonts w:ascii="Times New Roman" w:hAnsi="Times New Roman"/>
          <w:b/>
          <w:sz w:val="24"/>
          <w:szCs w:val="24"/>
        </w:rPr>
        <w:t>Annual Applications for Designation</w:t>
      </w:r>
    </w:p>
    <w:p w:rsidR="001814CA" w:rsidRPr="00E52D4D" w:rsidP="00B928A5" w14:paraId="1FD83FBE" w14:textId="77777777">
      <w:pPr>
        <w:pStyle w:val="Title"/>
        <w:jc w:val="left"/>
        <w:rPr>
          <w:rFonts w:ascii="Times New Roman" w:hAnsi="Times New Roman"/>
          <w:u w:val="none"/>
        </w:rPr>
      </w:pPr>
    </w:p>
    <w:p w:rsidR="00470720" w:rsidRPr="00E52D4D" w14:paraId="742031C2" w14:textId="77777777">
      <w:pPr>
        <w:pStyle w:val="Title"/>
        <w:rPr>
          <w:rFonts w:ascii="Times New Roman" w:hAnsi="Times New Roman"/>
          <w:u w:val="none"/>
        </w:rPr>
      </w:pPr>
    </w:p>
    <w:p w:rsidR="00540F62" w:rsidRPr="00E52D4D" w14:paraId="1221D019" w14:textId="77777777">
      <w:pPr>
        <w:pStyle w:val="Title"/>
        <w:rPr>
          <w:rFonts w:ascii="Times New Roman" w:hAnsi="Times New Roman"/>
          <w:u w:val="none"/>
        </w:rPr>
      </w:pPr>
      <w:r w:rsidRPr="00E52D4D">
        <w:rPr>
          <w:rFonts w:ascii="Times New Roman" w:hAnsi="Times New Roman"/>
          <w:u w:val="none"/>
        </w:rPr>
        <w:t>SUPPORTING STATEMENT</w:t>
      </w:r>
      <w:r w:rsidRPr="00E52D4D">
        <w:rPr>
          <w:rFonts w:ascii="Times New Roman" w:hAnsi="Times New Roman"/>
          <w:u w:val="none"/>
        </w:rPr>
        <w:t xml:space="preserve"> </w:t>
      </w:r>
    </w:p>
    <w:p w:rsidR="00811BEC" w:rsidP="001E19BA" w14:paraId="039D2F99" w14:textId="4037B841">
      <w:pPr>
        <w:jc w:val="center"/>
        <w:rPr>
          <w:rFonts w:ascii="Times New Roman" w:hAnsi="Times New Roman"/>
          <w:b/>
          <w:sz w:val="24"/>
          <w:szCs w:val="24"/>
          <w:u w:val="single"/>
        </w:rPr>
      </w:pPr>
    </w:p>
    <w:p w:rsidR="00105F8E" w:rsidRPr="00E52D4D" w14:paraId="6C45C9B6" w14:textId="77777777">
      <w:pPr>
        <w:rPr>
          <w:rFonts w:ascii="Times New Roman" w:hAnsi="Times New Roman"/>
          <w:b/>
          <w:bCs/>
          <w:sz w:val="24"/>
          <w:szCs w:val="24"/>
        </w:rPr>
      </w:pPr>
    </w:p>
    <w:p w:rsidR="0004749E" w:rsidRPr="00B928A5" w14:paraId="4C584134" w14:textId="77777777">
      <w:pPr>
        <w:pStyle w:val="Subtitle"/>
        <w:rPr>
          <w:rFonts w:ascii="Times New Roman" w:hAnsi="Times New Roman"/>
          <w:u w:val="none"/>
        </w:rPr>
      </w:pPr>
      <w:r w:rsidRPr="00B928A5">
        <w:rPr>
          <w:rFonts w:ascii="Times New Roman" w:hAnsi="Times New Roman"/>
          <w:u w:val="none"/>
        </w:rPr>
        <w:t>INTRODUCTION</w:t>
      </w:r>
    </w:p>
    <w:p w:rsidR="0004749E" w:rsidRPr="00E52D4D" w14:paraId="70CA4BEB" w14:textId="77777777">
      <w:pPr>
        <w:rPr>
          <w:rFonts w:ascii="Times New Roman" w:hAnsi="Times New Roman"/>
          <w:b/>
          <w:bCs/>
          <w:sz w:val="24"/>
          <w:szCs w:val="24"/>
        </w:rPr>
      </w:pPr>
    </w:p>
    <w:p w:rsidR="00E5090F" w:rsidP="006D4163" w14:paraId="1BCF6305" w14:textId="54C1324C">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6695C">
        <w:rPr>
          <w:rFonts w:ascii="Times New Roman" w:hAnsi="Times New Roman"/>
          <w:color w:val="auto"/>
        </w:rPr>
        <w:t>This</w:t>
      </w:r>
      <w:r w:rsidR="001814CA">
        <w:rPr>
          <w:rFonts w:ascii="Times New Roman" w:hAnsi="Times New Roman"/>
          <w:color w:val="auto"/>
        </w:rPr>
        <w:t xml:space="preserve"> submission</w:t>
      </w:r>
      <w:r w:rsidRPr="00F6695C">
        <w:rPr>
          <w:rFonts w:ascii="Times New Roman" w:hAnsi="Times New Roman"/>
          <w:color w:val="auto"/>
        </w:rPr>
        <w:t xml:space="preserve"> is to request</w:t>
      </w:r>
      <w:r w:rsidR="001814CA">
        <w:rPr>
          <w:rFonts w:ascii="Times New Roman" w:hAnsi="Times New Roman"/>
          <w:color w:val="auto"/>
        </w:rPr>
        <w:t xml:space="preserve"> a </w:t>
      </w:r>
      <w:r w:rsidRPr="001814CA" w:rsidR="001814CA">
        <w:rPr>
          <w:rFonts w:ascii="Times New Roman" w:hAnsi="Times New Roman"/>
          <w:color w:val="auto"/>
        </w:rPr>
        <w:t>three-year approval</w:t>
      </w:r>
      <w:r w:rsidR="001814CA">
        <w:rPr>
          <w:rFonts w:ascii="Times New Roman" w:hAnsi="Times New Roman"/>
          <w:color w:val="auto"/>
        </w:rPr>
        <w:t xml:space="preserve"> from</w:t>
      </w:r>
      <w:r w:rsidRPr="001814CA" w:rsidR="001814CA">
        <w:rPr>
          <w:rFonts w:ascii="Times New Roman" w:hAnsi="Times New Roman"/>
          <w:color w:val="auto"/>
        </w:rPr>
        <w:t xml:space="preserve"> </w:t>
      </w:r>
      <w:r w:rsidRPr="00F6695C">
        <w:rPr>
          <w:rFonts w:ascii="Times New Roman" w:hAnsi="Times New Roman"/>
          <w:color w:val="auto"/>
        </w:rPr>
        <w:t>the Office of Management and Budget (OMB) for</w:t>
      </w:r>
      <w:r w:rsidR="001814CA">
        <w:rPr>
          <w:rFonts w:ascii="Times New Roman" w:hAnsi="Times New Roman"/>
          <w:color w:val="auto"/>
        </w:rPr>
        <w:t xml:space="preserve"> the</w:t>
      </w:r>
      <w:r w:rsidRPr="00F6695C">
        <w:rPr>
          <w:rFonts w:ascii="Times New Roman" w:hAnsi="Times New Roman"/>
          <w:color w:val="auto"/>
        </w:rPr>
        <w:t xml:space="preserve"> </w:t>
      </w:r>
      <w:r w:rsidRPr="00F6695C" w:rsidR="006D4163">
        <w:rPr>
          <w:rFonts w:ascii="Times New Roman" w:hAnsi="Times New Roman"/>
          <w:color w:val="auto"/>
        </w:rPr>
        <w:t xml:space="preserve">renewal </w:t>
      </w:r>
      <w:r w:rsidR="001814CA">
        <w:rPr>
          <w:rFonts w:ascii="Times New Roman" w:hAnsi="Times New Roman"/>
          <w:color w:val="auto"/>
        </w:rPr>
        <w:t xml:space="preserve">of the </w:t>
      </w:r>
      <w:r w:rsidRPr="00F6695C" w:rsidR="003A4302">
        <w:rPr>
          <w:rFonts w:ascii="Times New Roman" w:hAnsi="Times New Roman"/>
          <w:color w:val="auto"/>
        </w:rPr>
        <w:t>information</w:t>
      </w:r>
      <w:r w:rsidRPr="00F6695C">
        <w:rPr>
          <w:rFonts w:ascii="Times New Roman" w:hAnsi="Times New Roman"/>
          <w:color w:val="auto"/>
        </w:rPr>
        <w:t xml:space="preserve"> </w:t>
      </w:r>
      <w:r w:rsidRPr="00F6695C" w:rsidR="00F6695C">
        <w:rPr>
          <w:rFonts w:ascii="Times New Roman" w:hAnsi="Times New Roman"/>
          <w:color w:val="auto"/>
        </w:rPr>
        <w:t xml:space="preserve">collection </w:t>
      </w:r>
      <w:r w:rsidRPr="00F6695C">
        <w:rPr>
          <w:rFonts w:ascii="Times New Roman" w:hAnsi="Times New Roman"/>
          <w:color w:val="auto"/>
        </w:rPr>
        <w:t>entitled</w:t>
      </w:r>
      <w:r w:rsidR="001814CA">
        <w:rPr>
          <w:rFonts w:ascii="Times New Roman" w:hAnsi="Times New Roman"/>
          <w:color w:val="auto"/>
        </w:rPr>
        <w:t xml:space="preserve"> OMB 2133-0549 (</w:t>
      </w:r>
      <w:r w:rsidRPr="00F6695C" w:rsidR="001E19BA">
        <w:rPr>
          <w:rFonts w:ascii="Times New Roman" w:hAnsi="Times New Roman"/>
          <w:color w:val="auto"/>
        </w:rPr>
        <w:t>Center of Excellence</w:t>
      </w:r>
      <w:r w:rsidR="00C71746">
        <w:rPr>
          <w:rFonts w:ascii="Times New Roman" w:hAnsi="Times New Roman"/>
          <w:color w:val="auto"/>
        </w:rPr>
        <w:t xml:space="preserve"> (CoE)</w:t>
      </w:r>
      <w:r w:rsidRPr="00F6695C" w:rsidR="001E19BA">
        <w:rPr>
          <w:rFonts w:ascii="Times New Roman" w:hAnsi="Times New Roman"/>
          <w:color w:val="auto"/>
        </w:rPr>
        <w:t xml:space="preserve"> for Domestic Maritime Workforce Training and Education</w:t>
      </w:r>
      <w:r w:rsidR="00083FAB">
        <w:rPr>
          <w:rFonts w:ascii="Times New Roman" w:hAnsi="Times New Roman"/>
          <w:color w:val="auto"/>
        </w:rPr>
        <w:t>)</w:t>
      </w:r>
      <w:r w:rsidR="001814CA">
        <w:rPr>
          <w:rFonts w:ascii="Times New Roman" w:hAnsi="Times New Roman"/>
          <w:color w:val="auto"/>
        </w:rPr>
        <w:t xml:space="preserve">, which </w:t>
      </w:r>
      <w:r w:rsidR="00046F98">
        <w:rPr>
          <w:rFonts w:ascii="Times New Roman" w:hAnsi="Times New Roman"/>
          <w:color w:val="auto"/>
        </w:rPr>
        <w:t>expire</w:t>
      </w:r>
      <w:r w:rsidR="001814CA">
        <w:rPr>
          <w:rFonts w:ascii="Times New Roman" w:hAnsi="Times New Roman"/>
          <w:color w:val="auto"/>
        </w:rPr>
        <w:t>s on</w:t>
      </w:r>
      <w:r w:rsidR="00046F98">
        <w:rPr>
          <w:rFonts w:ascii="Times New Roman" w:hAnsi="Times New Roman"/>
          <w:color w:val="auto"/>
        </w:rPr>
        <w:t xml:space="preserve"> </w:t>
      </w:r>
      <w:r w:rsidR="00E7099B">
        <w:rPr>
          <w:rFonts w:ascii="Times New Roman" w:hAnsi="Times New Roman"/>
          <w:color w:val="auto"/>
        </w:rPr>
        <w:t xml:space="preserve">December </w:t>
      </w:r>
      <w:r w:rsidR="00046F98">
        <w:rPr>
          <w:rFonts w:ascii="Times New Roman" w:hAnsi="Times New Roman"/>
          <w:color w:val="auto"/>
        </w:rPr>
        <w:t>31, 202</w:t>
      </w:r>
      <w:r w:rsidR="00E7099B">
        <w:rPr>
          <w:rFonts w:ascii="Times New Roman" w:hAnsi="Times New Roman"/>
          <w:color w:val="auto"/>
        </w:rPr>
        <w:t>4</w:t>
      </w:r>
      <w:r w:rsidRPr="00F6695C" w:rsidR="001E19BA">
        <w:rPr>
          <w:rFonts w:ascii="Times New Roman" w:hAnsi="Times New Roman"/>
          <w:color w:val="auto"/>
        </w:rPr>
        <w:t>.</w:t>
      </w:r>
      <w:r w:rsidR="001814CA">
        <w:rPr>
          <w:rFonts w:ascii="Times New Roman" w:hAnsi="Times New Roman"/>
          <w:color w:val="auto"/>
        </w:rPr>
        <w:t xml:space="preserve"> Since the last renewal, there was a reduction in the total respondents, responses, and total burden hours associated with this collection. There are no other changes, as such, this collection will be submitted as </w:t>
      </w:r>
      <w:r w:rsidRPr="00B928A5" w:rsidR="001814CA">
        <w:rPr>
          <w:rFonts w:ascii="Times New Roman" w:hAnsi="Times New Roman"/>
          <w:i/>
          <w:iCs/>
          <w:color w:val="auto"/>
        </w:rPr>
        <w:t>an extension with change of a currently approved collection.</w:t>
      </w:r>
    </w:p>
    <w:p w:rsidR="00660F5B" w:rsidP="006D4163" w14:paraId="29F6B40C" w14:textId="7865F41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B928A5" w:rsidP="00B928A5" w14:paraId="75EC0E8C" w14:textId="2CB55E4D">
      <w:pPr>
        <w:pStyle w:val="ListParagraph"/>
        <w:numPr>
          <w:ilvl w:val="0"/>
          <w:numId w:val="40"/>
        </w:numPr>
        <w:rPr>
          <w:rFonts w:ascii="Times New Roman" w:hAnsi="Times New Roman"/>
          <w:b/>
          <w:bCs/>
          <w:sz w:val="24"/>
          <w:szCs w:val="24"/>
        </w:rPr>
      </w:pPr>
      <w:r w:rsidRPr="00B928A5">
        <w:rPr>
          <w:rFonts w:ascii="Times New Roman" w:hAnsi="Times New Roman"/>
          <w:b/>
          <w:bCs/>
          <w:sz w:val="24"/>
          <w:szCs w:val="24"/>
        </w:rPr>
        <w:t>JUSTIFICATION</w:t>
      </w:r>
    </w:p>
    <w:p w:rsidR="0004749E" w:rsidRPr="00E52D4D" w14:paraId="7BF6FB0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B928A5" w:rsidP="00B928A5" w14:paraId="4D094A95" w14:textId="469C5524">
      <w:pPr>
        <w:pStyle w:val="ListParagraph"/>
        <w:numPr>
          <w:ilvl w:val="0"/>
          <w:numId w:val="41"/>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B928A5">
        <w:rPr>
          <w:rFonts w:ascii="Times New Roman" w:hAnsi="Times New Roman"/>
          <w:b/>
          <w:bCs/>
          <w:sz w:val="24"/>
          <w:szCs w:val="24"/>
        </w:rPr>
        <w:t xml:space="preserve">Circumstances </w:t>
      </w:r>
      <w:r w:rsidRPr="00B928A5" w:rsidR="006E1D5C">
        <w:rPr>
          <w:rFonts w:ascii="Times New Roman" w:hAnsi="Times New Roman"/>
          <w:b/>
          <w:bCs/>
          <w:sz w:val="24"/>
          <w:szCs w:val="24"/>
        </w:rPr>
        <w:t>M</w:t>
      </w:r>
      <w:r w:rsidRPr="00B928A5">
        <w:rPr>
          <w:rFonts w:ascii="Times New Roman" w:hAnsi="Times New Roman"/>
          <w:b/>
          <w:bCs/>
          <w:sz w:val="24"/>
          <w:szCs w:val="24"/>
        </w:rPr>
        <w:t>ak</w:t>
      </w:r>
      <w:r w:rsidRPr="00B928A5" w:rsidR="006E1D5C">
        <w:rPr>
          <w:rFonts w:ascii="Times New Roman" w:hAnsi="Times New Roman"/>
          <w:b/>
          <w:bCs/>
          <w:sz w:val="24"/>
          <w:szCs w:val="24"/>
        </w:rPr>
        <w:t>ing the</w:t>
      </w:r>
      <w:r w:rsidRPr="00B928A5">
        <w:rPr>
          <w:rFonts w:ascii="Times New Roman" w:hAnsi="Times New Roman"/>
          <w:b/>
          <w:bCs/>
          <w:sz w:val="24"/>
          <w:szCs w:val="24"/>
        </w:rPr>
        <w:t xml:space="preserve"> </w:t>
      </w:r>
      <w:r w:rsidRPr="00B928A5" w:rsidR="006E1D5C">
        <w:rPr>
          <w:rFonts w:ascii="Times New Roman" w:hAnsi="Times New Roman"/>
          <w:b/>
          <w:bCs/>
          <w:sz w:val="24"/>
          <w:szCs w:val="24"/>
        </w:rPr>
        <w:t xml:space="preserve">Collection </w:t>
      </w:r>
      <w:r w:rsidRPr="00B928A5">
        <w:rPr>
          <w:rFonts w:ascii="Times New Roman" w:hAnsi="Times New Roman"/>
          <w:b/>
          <w:bCs/>
          <w:sz w:val="24"/>
          <w:szCs w:val="24"/>
        </w:rPr>
        <w:t xml:space="preserve">of </w:t>
      </w:r>
      <w:r w:rsidRPr="00B928A5" w:rsidR="006E1D5C">
        <w:rPr>
          <w:rFonts w:ascii="Times New Roman" w:hAnsi="Times New Roman"/>
          <w:b/>
          <w:bCs/>
          <w:sz w:val="24"/>
          <w:szCs w:val="24"/>
        </w:rPr>
        <w:t xml:space="preserve">Information </w:t>
      </w:r>
      <w:r w:rsidR="00FE3D68">
        <w:rPr>
          <w:rFonts w:ascii="Times New Roman" w:hAnsi="Times New Roman"/>
          <w:b/>
          <w:bCs/>
          <w:sz w:val="24"/>
          <w:szCs w:val="24"/>
        </w:rPr>
        <w:t>N</w:t>
      </w:r>
      <w:r w:rsidRPr="00B928A5" w:rsidR="00FE3D68">
        <w:rPr>
          <w:rFonts w:ascii="Times New Roman" w:hAnsi="Times New Roman"/>
          <w:b/>
          <w:bCs/>
          <w:sz w:val="24"/>
          <w:szCs w:val="24"/>
        </w:rPr>
        <w:t>ecessary</w:t>
      </w:r>
    </w:p>
    <w:p w:rsidR="00F54442" w:rsidP="002E119C" w14:paraId="787F0686" w14:textId="77777777">
      <w:pPr>
        <w:rPr>
          <w:rFonts w:ascii="Times New Roman" w:hAnsi="Times New Roman"/>
          <w:sz w:val="24"/>
          <w:szCs w:val="24"/>
        </w:rPr>
      </w:pPr>
    </w:p>
    <w:p w:rsidR="003C230D" w:rsidP="00B928A5" w14:paraId="3C2A3F10" w14:textId="6DAC5EB8">
      <w:pPr>
        <w:ind w:left="360"/>
        <w:rPr>
          <w:rFonts w:ascii="Times New Roman" w:hAnsi="Times New Roman"/>
          <w:sz w:val="24"/>
          <w:szCs w:val="24"/>
        </w:rPr>
      </w:pPr>
      <w:r>
        <w:rPr>
          <w:rFonts w:ascii="Times New Roman" w:hAnsi="Times New Roman"/>
          <w:sz w:val="24"/>
          <w:szCs w:val="24"/>
        </w:rPr>
        <w:t>T</w:t>
      </w:r>
      <w:r w:rsidRPr="00E52D4D" w:rsidR="000D471B">
        <w:rPr>
          <w:rFonts w:ascii="Times New Roman" w:hAnsi="Times New Roman"/>
          <w:sz w:val="24"/>
          <w:szCs w:val="24"/>
        </w:rPr>
        <w:t>h</w:t>
      </w:r>
      <w:r>
        <w:rPr>
          <w:rFonts w:ascii="Times New Roman" w:hAnsi="Times New Roman"/>
          <w:sz w:val="24"/>
          <w:szCs w:val="24"/>
        </w:rPr>
        <w:t>is</w:t>
      </w:r>
      <w:r w:rsidRPr="00E52D4D" w:rsidR="000D471B">
        <w:rPr>
          <w:rFonts w:ascii="Times New Roman" w:hAnsi="Times New Roman"/>
          <w:sz w:val="24"/>
          <w:szCs w:val="24"/>
        </w:rPr>
        <w:t xml:space="preserve"> collection of information is</w:t>
      </w:r>
      <w:r>
        <w:rPr>
          <w:rFonts w:ascii="Times New Roman" w:hAnsi="Times New Roman"/>
          <w:sz w:val="24"/>
          <w:szCs w:val="24"/>
        </w:rPr>
        <w:t xml:space="preserve"> required</w:t>
      </w:r>
      <w:r w:rsidRPr="00E52D4D" w:rsidR="000D471B">
        <w:rPr>
          <w:rFonts w:ascii="Times New Roman" w:hAnsi="Times New Roman"/>
          <w:sz w:val="24"/>
          <w:szCs w:val="24"/>
        </w:rPr>
        <w:t xml:space="preserve"> to implement Section 3507 of the National Defense Authorization Act </w:t>
      </w:r>
      <w:r w:rsidR="001927E0">
        <w:rPr>
          <w:rFonts w:ascii="Times New Roman" w:hAnsi="Times New Roman"/>
          <w:sz w:val="24"/>
          <w:szCs w:val="24"/>
        </w:rPr>
        <w:t xml:space="preserve">(NDAA) </w:t>
      </w:r>
      <w:r w:rsidRPr="00E52D4D" w:rsidR="000D471B">
        <w:rPr>
          <w:rFonts w:ascii="Times New Roman" w:hAnsi="Times New Roman"/>
          <w:sz w:val="24"/>
          <w:szCs w:val="24"/>
        </w:rPr>
        <w:t>of 2018, Public Law 115–91 (the ‘‘</w:t>
      </w:r>
      <w:r w:rsidR="00A372B1">
        <w:rPr>
          <w:rFonts w:ascii="Times New Roman" w:hAnsi="Times New Roman"/>
          <w:sz w:val="24"/>
          <w:szCs w:val="24"/>
        </w:rPr>
        <w:t>Act”</w:t>
      </w:r>
      <w:r w:rsidRPr="00E52D4D" w:rsidR="000D471B">
        <w:rPr>
          <w:rFonts w:ascii="Times New Roman" w:hAnsi="Times New Roman"/>
          <w:sz w:val="24"/>
          <w:szCs w:val="24"/>
        </w:rPr>
        <w:t>)</w:t>
      </w:r>
      <w:r w:rsidRPr="00E52D4D" w:rsidR="009142F5">
        <w:rPr>
          <w:rFonts w:ascii="Times New Roman" w:hAnsi="Times New Roman"/>
          <w:sz w:val="24"/>
          <w:szCs w:val="24"/>
        </w:rPr>
        <w:t xml:space="preserve">, codified at </w:t>
      </w:r>
      <w:r w:rsidRPr="00652A07" w:rsidR="00652A07">
        <w:rPr>
          <w:rFonts w:ascii="Times New Roman" w:hAnsi="Times New Roman"/>
          <w:sz w:val="24"/>
          <w:szCs w:val="24"/>
        </w:rPr>
        <w:t>46 U.S.C. 5170</w:t>
      </w:r>
      <w:r w:rsidR="003C6000">
        <w:rPr>
          <w:rFonts w:ascii="Times New Roman" w:hAnsi="Times New Roman"/>
          <w:sz w:val="24"/>
          <w:szCs w:val="24"/>
        </w:rPr>
        <w:t>6</w:t>
      </w:r>
      <w:r w:rsidR="002E119C">
        <w:rPr>
          <w:rFonts w:ascii="Times New Roman" w:hAnsi="Times New Roman"/>
          <w:sz w:val="24"/>
          <w:szCs w:val="24"/>
        </w:rPr>
        <w:t xml:space="preserve">, which </w:t>
      </w:r>
      <w:r w:rsidRPr="002E119C" w:rsidR="002E119C">
        <w:rPr>
          <w:rFonts w:ascii="Times New Roman" w:hAnsi="Times New Roman"/>
          <w:sz w:val="24"/>
          <w:szCs w:val="24"/>
        </w:rPr>
        <w:t>provided the Secretary of Transportation with the discretionary</w:t>
      </w:r>
      <w:r w:rsidR="002E119C">
        <w:rPr>
          <w:rFonts w:ascii="Times New Roman" w:hAnsi="Times New Roman"/>
          <w:sz w:val="24"/>
          <w:szCs w:val="24"/>
        </w:rPr>
        <w:t xml:space="preserve"> </w:t>
      </w:r>
      <w:r w:rsidRPr="002E119C" w:rsidR="002E119C">
        <w:rPr>
          <w:rFonts w:ascii="Times New Roman" w:hAnsi="Times New Roman"/>
          <w:sz w:val="24"/>
          <w:szCs w:val="24"/>
        </w:rPr>
        <w:t>authority to designate eligible and qualified entities as</w:t>
      </w:r>
      <w:r w:rsidR="00FF65AF">
        <w:rPr>
          <w:rFonts w:ascii="Times New Roman" w:hAnsi="Times New Roman"/>
          <w:sz w:val="24"/>
          <w:szCs w:val="24"/>
        </w:rPr>
        <w:t xml:space="preserve"> Centers of Excellence (</w:t>
      </w:r>
      <w:r w:rsidRPr="002E119C" w:rsidR="002E119C">
        <w:rPr>
          <w:rFonts w:ascii="Times New Roman" w:hAnsi="Times New Roman"/>
          <w:sz w:val="24"/>
          <w:szCs w:val="24"/>
        </w:rPr>
        <w:t>CoEs</w:t>
      </w:r>
      <w:r w:rsidR="00FF65AF">
        <w:rPr>
          <w:rFonts w:ascii="Times New Roman" w:hAnsi="Times New Roman"/>
          <w:sz w:val="24"/>
          <w:szCs w:val="24"/>
        </w:rPr>
        <w:t>)</w:t>
      </w:r>
      <w:r w:rsidRPr="002E119C" w:rsidR="002E119C">
        <w:rPr>
          <w:rFonts w:ascii="Times New Roman" w:hAnsi="Times New Roman"/>
          <w:sz w:val="24"/>
          <w:szCs w:val="24"/>
        </w:rPr>
        <w:t>. CoE designations</w:t>
      </w:r>
      <w:r w:rsidR="002E119C">
        <w:rPr>
          <w:rFonts w:ascii="Times New Roman" w:hAnsi="Times New Roman"/>
          <w:sz w:val="24"/>
          <w:szCs w:val="24"/>
        </w:rPr>
        <w:t xml:space="preserve"> </w:t>
      </w:r>
      <w:r w:rsidRPr="002E119C" w:rsidR="002E119C">
        <w:rPr>
          <w:rFonts w:ascii="Times New Roman" w:hAnsi="Times New Roman"/>
          <w:sz w:val="24"/>
          <w:szCs w:val="24"/>
        </w:rPr>
        <w:t>will serve to assist the maritime industry in obtaining and maintaining the highest</w:t>
      </w:r>
      <w:r w:rsidR="002E119C">
        <w:rPr>
          <w:rFonts w:ascii="Times New Roman" w:hAnsi="Times New Roman"/>
          <w:sz w:val="24"/>
          <w:szCs w:val="24"/>
        </w:rPr>
        <w:t xml:space="preserve"> </w:t>
      </w:r>
      <w:r w:rsidRPr="002E119C" w:rsidR="002E119C">
        <w:rPr>
          <w:rFonts w:ascii="Times New Roman" w:hAnsi="Times New Roman"/>
          <w:sz w:val="24"/>
          <w:szCs w:val="24"/>
        </w:rPr>
        <w:t>quality workforce.</w:t>
      </w:r>
    </w:p>
    <w:p w:rsidR="00DF3FCB" w:rsidP="00B928A5" w14:paraId="3BC2105F" w14:textId="77777777">
      <w:pPr>
        <w:ind w:left="360"/>
        <w:rPr>
          <w:rFonts w:ascii="Times New Roman" w:hAnsi="Times New Roman"/>
          <w:sz w:val="24"/>
          <w:szCs w:val="24"/>
        </w:rPr>
      </w:pPr>
    </w:p>
    <w:p w:rsidR="00DF3FCB" w:rsidP="00B928A5" w14:paraId="1EFAD1E6" w14:textId="613D0158">
      <w:pPr>
        <w:ind w:left="360"/>
        <w:rPr>
          <w:rFonts w:ascii="Times New Roman" w:hAnsi="Times New Roman"/>
          <w:sz w:val="24"/>
          <w:szCs w:val="24"/>
        </w:rPr>
      </w:pPr>
      <w:r>
        <w:rPr>
          <w:rFonts w:ascii="Times New Roman" w:hAnsi="Times New Roman"/>
          <w:sz w:val="24"/>
          <w:szCs w:val="24"/>
        </w:rPr>
        <w:t>Further, the ongoing annual c</w:t>
      </w:r>
      <w:r w:rsidRPr="00E52D4D">
        <w:rPr>
          <w:rFonts w:ascii="Times New Roman" w:hAnsi="Times New Roman"/>
          <w:sz w:val="24"/>
          <w:szCs w:val="24"/>
        </w:rPr>
        <w:t>ollection</w:t>
      </w:r>
      <w:r>
        <w:rPr>
          <w:rFonts w:ascii="Times New Roman" w:hAnsi="Times New Roman"/>
          <w:sz w:val="24"/>
          <w:szCs w:val="24"/>
        </w:rPr>
        <w:t xml:space="preserve"> of information </w:t>
      </w:r>
      <w:r w:rsidRPr="00E52D4D">
        <w:rPr>
          <w:rFonts w:ascii="Times New Roman" w:hAnsi="Times New Roman"/>
          <w:sz w:val="24"/>
          <w:szCs w:val="24"/>
        </w:rPr>
        <w:t xml:space="preserve">is </w:t>
      </w:r>
      <w:r>
        <w:rPr>
          <w:rFonts w:ascii="Times New Roman" w:hAnsi="Times New Roman"/>
          <w:sz w:val="24"/>
          <w:szCs w:val="24"/>
        </w:rPr>
        <w:t>necessary</w:t>
      </w:r>
      <w:r w:rsidRPr="00E52D4D">
        <w:rPr>
          <w:rFonts w:ascii="Times New Roman" w:hAnsi="Times New Roman"/>
          <w:sz w:val="24"/>
          <w:szCs w:val="24"/>
        </w:rPr>
        <w:t xml:space="preserve"> to administer the </w:t>
      </w:r>
      <w:r w:rsidR="00CF6F49">
        <w:rPr>
          <w:rFonts w:ascii="Times New Roman" w:hAnsi="Times New Roman"/>
          <w:sz w:val="24"/>
          <w:szCs w:val="24"/>
        </w:rPr>
        <w:t xml:space="preserve">COE </w:t>
      </w:r>
      <w:r w:rsidRPr="00E52D4D">
        <w:rPr>
          <w:rFonts w:ascii="Times New Roman" w:hAnsi="Times New Roman"/>
          <w:sz w:val="24"/>
          <w:szCs w:val="24"/>
        </w:rPr>
        <w:t>program</w:t>
      </w:r>
      <w:r w:rsidR="00727C55">
        <w:rPr>
          <w:rFonts w:ascii="Times New Roman" w:hAnsi="Times New Roman"/>
          <w:sz w:val="24"/>
          <w:szCs w:val="24"/>
        </w:rPr>
        <w:t>,</w:t>
      </w:r>
      <w:r>
        <w:rPr>
          <w:rFonts w:ascii="Times New Roman" w:hAnsi="Times New Roman"/>
          <w:sz w:val="24"/>
          <w:szCs w:val="24"/>
        </w:rPr>
        <w:t xml:space="preserve"> which</w:t>
      </w:r>
      <w:r w:rsidRPr="00E52D4D">
        <w:rPr>
          <w:rFonts w:ascii="Times New Roman" w:hAnsi="Times New Roman"/>
          <w:sz w:val="24"/>
          <w:szCs w:val="24"/>
        </w:rPr>
        <w:t xml:space="preserve"> supports the DOT strategic goal</w:t>
      </w:r>
      <w:r>
        <w:rPr>
          <w:rFonts w:ascii="Times New Roman" w:hAnsi="Times New Roman"/>
          <w:sz w:val="24"/>
          <w:szCs w:val="24"/>
        </w:rPr>
        <w:t xml:space="preserve"> of E</w:t>
      </w:r>
      <w:r w:rsidRPr="00E52D4D">
        <w:rPr>
          <w:rFonts w:ascii="Times New Roman" w:hAnsi="Times New Roman"/>
          <w:sz w:val="24"/>
          <w:szCs w:val="24"/>
        </w:rPr>
        <w:t xml:space="preserve">conomic </w:t>
      </w:r>
      <w:r>
        <w:rPr>
          <w:rFonts w:ascii="Times New Roman" w:hAnsi="Times New Roman"/>
          <w:sz w:val="24"/>
          <w:szCs w:val="24"/>
        </w:rPr>
        <w:t>C</w:t>
      </w:r>
      <w:r w:rsidRPr="00E52D4D">
        <w:rPr>
          <w:rFonts w:ascii="Times New Roman" w:hAnsi="Times New Roman"/>
          <w:sz w:val="24"/>
          <w:szCs w:val="24"/>
        </w:rPr>
        <w:t>ompetitiveness, and the MARAD strategic goal</w:t>
      </w:r>
      <w:r>
        <w:rPr>
          <w:rFonts w:ascii="Times New Roman" w:hAnsi="Times New Roman"/>
          <w:sz w:val="24"/>
          <w:szCs w:val="24"/>
        </w:rPr>
        <w:t xml:space="preserve"> to M</w:t>
      </w:r>
      <w:r w:rsidRPr="00E52D4D">
        <w:rPr>
          <w:rFonts w:ascii="Times New Roman" w:hAnsi="Times New Roman"/>
          <w:sz w:val="24"/>
          <w:szCs w:val="24"/>
        </w:rPr>
        <w:t xml:space="preserve">aintain and </w:t>
      </w:r>
      <w:r>
        <w:rPr>
          <w:rFonts w:ascii="Times New Roman" w:hAnsi="Times New Roman"/>
          <w:sz w:val="24"/>
          <w:szCs w:val="24"/>
        </w:rPr>
        <w:t>M</w:t>
      </w:r>
      <w:r w:rsidRPr="00E52D4D">
        <w:rPr>
          <w:rFonts w:ascii="Times New Roman" w:hAnsi="Times New Roman"/>
          <w:sz w:val="24"/>
          <w:szCs w:val="24"/>
        </w:rPr>
        <w:t>oderni</w:t>
      </w:r>
      <w:r>
        <w:rPr>
          <w:rFonts w:ascii="Times New Roman" w:hAnsi="Times New Roman"/>
          <w:sz w:val="24"/>
          <w:szCs w:val="24"/>
        </w:rPr>
        <w:t>ze</w:t>
      </w:r>
      <w:r w:rsidRPr="00E52D4D">
        <w:rPr>
          <w:rFonts w:ascii="Times New Roman" w:hAnsi="Times New Roman"/>
          <w:sz w:val="24"/>
          <w:szCs w:val="24"/>
        </w:rPr>
        <w:t xml:space="preserve"> the Maritime workforce</w:t>
      </w:r>
      <w:r>
        <w:rPr>
          <w:rFonts w:ascii="Times New Roman" w:hAnsi="Times New Roman"/>
          <w:sz w:val="24"/>
          <w:szCs w:val="24"/>
        </w:rPr>
        <w:t>.</w:t>
      </w:r>
    </w:p>
    <w:p w:rsidR="00E451D7" w:rsidRPr="00E52D4D" w:rsidP="00B928A5" w14:paraId="6AF2EF62" w14:textId="77777777">
      <w:pPr>
        <w:ind w:left="360"/>
        <w:rPr>
          <w:rFonts w:ascii="Times New Roman" w:hAnsi="Times New Roman"/>
          <w:sz w:val="24"/>
          <w:szCs w:val="24"/>
        </w:rPr>
      </w:pPr>
    </w:p>
    <w:p w:rsidR="00A372B1" w:rsidP="00B928A5" w14:paraId="04D68402" w14:textId="7CA373B7">
      <w:pPr>
        <w:ind w:left="360"/>
        <w:rPr>
          <w:rFonts w:ascii="Times New Roman" w:hAnsi="Times New Roman"/>
          <w:sz w:val="24"/>
          <w:szCs w:val="24"/>
        </w:rPr>
      </w:pPr>
      <w:r>
        <w:rPr>
          <w:rFonts w:ascii="Times New Roman" w:hAnsi="Times New Roman"/>
          <w:sz w:val="24"/>
          <w:szCs w:val="24"/>
        </w:rPr>
        <w:t xml:space="preserve">Following </w:t>
      </w:r>
      <w:r w:rsidRPr="00E52D4D" w:rsidR="00E451D7">
        <w:rPr>
          <w:rFonts w:ascii="Times New Roman" w:hAnsi="Times New Roman"/>
          <w:sz w:val="24"/>
          <w:szCs w:val="24"/>
        </w:rPr>
        <w:t xml:space="preserve">the enactment of the </w:t>
      </w:r>
      <w:r>
        <w:rPr>
          <w:rFonts w:ascii="Times New Roman" w:hAnsi="Times New Roman"/>
          <w:sz w:val="24"/>
          <w:szCs w:val="24"/>
        </w:rPr>
        <w:t>Act</w:t>
      </w:r>
      <w:r w:rsidR="00FF54B4">
        <w:rPr>
          <w:rFonts w:ascii="Times New Roman" w:hAnsi="Times New Roman"/>
          <w:sz w:val="24"/>
          <w:szCs w:val="24"/>
        </w:rPr>
        <w:t xml:space="preserve">, </w:t>
      </w:r>
      <w:r w:rsidRPr="00E52D4D" w:rsidR="00E451D7">
        <w:rPr>
          <w:rFonts w:ascii="Times New Roman" w:hAnsi="Times New Roman"/>
          <w:sz w:val="24"/>
          <w:szCs w:val="24"/>
        </w:rPr>
        <w:t xml:space="preserve">MARAD </w:t>
      </w:r>
      <w:r w:rsidRPr="00E52D4D" w:rsidR="006C3736">
        <w:rPr>
          <w:rFonts w:ascii="Times New Roman" w:hAnsi="Times New Roman"/>
          <w:sz w:val="24"/>
          <w:szCs w:val="24"/>
        </w:rPr>
        <w:t>developed</w:t>
      </w:r>
      <w:r w:rsidRPr="00E52D4D" w:rsidR="00E451D7">
        <w:rPr>
          <w:rFonts w:ascii="Times New Roman" w:hAnsi="Times New Roman"/>
          <w:sz w:val="24"/>
          <w:szCs w:val="24"/>
        </w:rPr>
        <w:t xml:space="preserve"> a procedure to </w:t>
      </w:r>
      <w:r w:rsidRPr="00A372B1">
        <w:rPr>
          <w:rFonts w:ascii="Times New Roman" w:hAnsi="Times New Roman"/>
          <w:sz w:val="24"/>
          <w:szCs w:val="24"/>
        </w:rPr>
        <w:t>recommend to the Secretary the designation of eligible institutions</w:t>
      </w:r>
      <w:r>
        <w:rPr>
          <w:rFonts w:ascii="Times New Roman" w:hAnsi="Times New Roman"/>
          <w:sz w:val="24"/>
          <w:szCs w:val="24"/>
        </w:rPr>
        <w:t xml:space="preserve"> </w:t>
      </w:r>
      <w:r w:rsidRPr="00A372B1">
        <w:rPr>
          <w:rFonts w:ascii="Times New Roman" w:hAnsi="Times New Roman"/>
          <w:sz w:val="24"/>
          <w:szCs w:val="24"/>
        </w:rPr>
        <w:t>as CoE</w:t>
      </w:r>
      <w:r w:rsidR="00FF65AF">
        <w:rPr>
          <w:rFonts w:ascii="Times New Roman" w:hAnsi="Times New Roman"/>
          <w:sz w:val="24"/>
          <w:szCs w:val="24"/>
        </w:rPr>
        <w:t>s</w:t>
      </w:r>
      <w:r w:rsidRPr="00A372B1">
        <w:rPr>
          <w:rFonts w:ascii="Times New Roman" w:hAnsi="Times New Roman"/>
          <w:sz w:val="24"/>
          <w:szCs w:val="24"/>
        </w:rPr>
        <w:t>.</w:t>
      </w:r>
      <w:r w:rsidRPr="00E52D4D" w:rsidR="00E451D7">
        <w:rPr>
          <w:rFonts w:ascii="Times New Roman" w:hAnsi="Times New Roman"/>
          <w:sz w:val="24"/>
          <w:szCs w:val="24"/>
        </w:rPr>
        <w:t xml:space="preserve"> </w:t>
      </w:r>
      <w:r w:rsidRPr="00A372B1">
        <w:rPr>
          <w:rFonts w:ascii="Times New Roman" w:hAnsi="Times New Roman"/>
          <w:sz w:val="24"/>
          <w:szCs w:val="24"/>
        </w:rPr>
        <w:t>Pursuant to the Act, the Secretary of Transportation may</w:t>
      </w:r>
      <w:r>
        <w:rPr>
          <w:rFonts w:ascii="Times New Roman" w:hAnsi="Times New Roman"/>
          <w:sz w:val="24"/>
          <w:szCs w:val="24"/>
        </w:rPr>
        <w:t xml:space="preserve"> </w:t>
      </w:r>
      <w:r w:rsidRPr="00A372B1">
        <w:rPr>
          <w:rFonts w:ascii="Times New Roman" w:hAnsi="Times New Roman"/>
          <w:sz w:val="24"/>
          <w:szCs w:val="24"/>
        </w:rPr>
        <w:t>designate certain eligible and qualified training entities as CoEs</w:t>
      </w:r>
      <w:r w:rsidR="00E7099B">
        <w:rPr>
          <w:rFonts w:ascii="Times New Roman" w:hAnsi="Times New Roman"/>
          <w:sz w:val="24"/>
          <w:szCs w:val="24"/>
        </w:rPr>
        <w:t>.</w:t>
      </w:r>
      <w:r w:rsidRPr="00A372B1">
        <w:rPr>
          <w:rFonts w:ascii="Times New Roman" w:hAnsi="Times New Roman"/>
          <w:sz w:val="24"/>
          <w:szCs w:val="24"/>
        </w:rPr>
        <w:t xml:space="preserve"> Authority to</w:t>
      </w:r>
      <w:r>
        <w:rPr>
          <w:rFonts w:ascii="Times New Roman" w:hAnsi="Times New Roman"/>
          <w:sz w:val="24"/>
          <w:szCs w:val="24"/>
        </w:rPr>
        <w:t xml:space="preserve"> </w:t>
      </w:r>
      <w:r w:rsidRPr="00A372B1">
        <w:rPr>
          <w:rFonts w:ascii="Times New Roman" w:hAnsi="Times New Roman"/>
          <w:sz w:val="24"/>
          <w:szCs w:val="24"/>
        </w:rPr>
        <w:t xml:space="preserve">administer the CoE program is delegated to MARAD in 49 </w:t>
      </w:r>
      <w:r w:rsidR="00FF65AF">
        <w:rPr>
          <w:rFonts w:ascii="Times New Roman" w:hAnsi="Times New Roman"/>
          <w:sz w:val="24"/>
          <w:szCs w:val="24"/>
        </w:rPr>
        <w:t>Code of Federal Regulation (</w:t>
      </w:r>
      <w:r w:rsidRPr="00A372B1">
        <w:rPr>
          <w:rFonts w:ascii="Times New Roman" w:hAnsi="Times New Roman"/>
          <w:sz w:val="24"/>
          <w:szCs w:val="24"/>
        </w:rPr>
        <w:t>CFR</w:t>
      </w:r>
      <w:r w:rsidR="00FF65AF">
        <w:rPr>
          <w:rFonts w:ascii="Times New Roman" w:hAnsi="Times New Roman"/>
          <w:sz w:val="24"/>
          <w:szCs w:val="24"/>
        </w:rPr>
        <w:t>)</w:t>
      </w:r>
      <w:r w:rsidRPr="00A372B1">
        <w:rPr>
          <w:rFonts w:ascii="Times New Roman" w:hAnsi="Times New Roman"/>
          <w:sz w:val="24"/>
          <w:szCs w:val="24"/>
        </w:rPr>
        <w:t xml:space="preserve"> 1.93(a).</w:t>
      </w:r>
    </w:p>
    <w:p w:rsidR="00A372B1" w:rsidRPr="00A372B1" w:rsidP="00B928A5" w14:paraId="3492E884" w14:textId="77777777">
      <w:pPr>
        <w:ind w:left="360"/>
        <w:rPr>
          <w:rFonts w:ascii="Times New Roman" w:hAnsi="Times New Roman"/>
          <w:sz w:val="24"/>
          <w:szCs w:val="24"/>
        </w:rPr>
      </w:pPr>
    </w:p>
    <w:p w:rsidR="00A372B1" w:rsidP="00B928A5" w14:paraId="602FC0FC" w14:textId="0DBA4217">
      <w:pPr>
        <w:ind w:left="360"/>
        <w:rPr>
          <w:rFonts w:ascii="Times New Roman" w:hAnsi="Times New Roman"/>
          <w:sz w:val="24"/>
          <w:szCs w:val="24"/>
        </w:rPr>
      </w:pPr>
      <w:r w:rsidRPr="00A372B1">
        <w:rPr>
          <w:rFonts w:ascii="Times New Roman" w:hAnsi="Times New Roman"/>
          <w:sz w:val="24"/>
          <w:szCs w:val="24"/>
        </w:rPr>
        <w:t>Qualified training entities seeking to be designated as a CoE need to apply to</w:t>
      </w:r>
      <w:r>
        <w:rPr>
          <w:rFonts w:ascii="Times New Roman" w:hAnsi="Times New Roman"/>
          <w:sz w:val="24"/>
          <w:szCs w:val="24"/>
        </w:rPr>
        <w:t xml:space="preserve"> </w:t>
      </w:r>
      <w:r w:rsidRPr="00A372B1">
        <w:rPr>
          <w:rFonts w:ascii="Times New Roman" w:hAnsi="Times New Roman"/>
          <w:sz w:val="24"/>
          <w:szCs w:val="24"/>
        </w:rPr>
        <w:t xml:space="preserve">MARAD. MARAD has developed </w:t>
      </w:r>
      <w:r>
        <w:rPr>
          <w:rFonts w:ascii="Times New Roman" w:hAnsi="Times New Roman"/>
          <w:sz w:val="24"/>
          <w:szCs w:val="24"/>
        </w:rPr>
        <w:t>a</w:t>
      </w:r>
      <w:r w:rsidRPr="00A372B1">
        <w:rPr>
          <w:rFonts w:ascii="Times New Roman" w:hAnsi="Times New Roman"/>
          <w:sz w:val="24"/>
          <w:szCs w:val="24"/>
        </w:rPr>
        <w:t xml:space="preserve"> policy to provide interested parties with</w:t>
      </w:r>
      <w:r>
        <w:rPr>
          <w:rFonts w:ascii="Times New Roman" w:hAnsi="Times New Roman"/>
          <w:sz w:val="24"/>
          <w:szCs w:val="24"/>
        </w:rPr>
        <w:t xml:space="preserve"> </w:t>
      </w:r>
      <w:r w:rsidRPr="00A372B1">
        <w:rPr>
          <w:rFonts w:ascii="Times New Roman" w:hAnsi="Times New Roman"/>
          <w:sz w:val="24"/>
          <w:szCs w:val="24"/>
        </w:rPr>
        <w:t>comprehensive agency guidance on how to apply for CoE designation and how</w:t>
      </w:r>
      <w:r>
        <w:rPr>
          <w:rFonts w:ascii="Times New Roman" w:hAnsi="Times New Roman"/>
          <w:sz w:val="24"/>
          <w:szCs w:val="24"/>
        </w:rPr>
        <w:t xml:space="preserve"> </w:t>
      </w:r>
      <w:r w:rsidRPr="00A372B1">
        <w:rPr>
          <w:rFonts w:ascii="Times New Roman" w:hAnsi="Times New Roman"/>
          <w:sz w:val="24"/>
          <w:szCs w:val="24"/>
        </w:rPr>
        <w:t>the program will be administered. Applications should include information to</w:t>
      </w:r>
      <w:r>
        <w:rPr>
          <w:rFonts w:ascii="Times New Roman" w:hAnsi="Times New Roman"/>
          <w:sz w:val="24"/>
          <w:szCs w:val="24"/>
        </w:rPr>
        <w:t xml:space="preserve"> </w:t>
      </w:r>
      <w:r w:rsidRPr="00A372B1">
        <w:rPr>
          <w:rFonts w:ascii="Times New Roman" w:hAnsi="Times New Roman"/>
          <w:sz w:val="24"/>
          <w:szCs w:val="24"/>
        </w:rPr>
        <w:t xml:space="preserve">demonstrate that the applicant institution meets </w:t>
      </w:r>
      <w:r w:rsidRPr="00A372B1">
        <w:rPr>
          <w:rFonts w:ascii="Times New Roman" w:hAnsi="Times New Roman"/>
          <w:sz w:val="24"/>
          <w:szCs w:val="24"/>
        </w:rPr>
        <w:t>certain eligibility requirements,</w:t>
      </w:r>
      <w:r>
        <w:rPr>
          <w:rFonts w:ascii="Times New Roman" w:hAnsi="Times New Roman"/>
          <w:sz w:val="24"/>
          <w:szCs w:val="24"/>
        </w:rPr>
        <w:t xml:space="preserve"> </w:t>
      </w:r>
      <w:r w:rsidRPr="00A372B1">
        <w:rPr>
          <w:rFonts w:ascii="Times New Roman" w:hAnsi="Times New Roman"/>
          <w:sz w:val="24"/>
          <w:szCs w:val="24"/>
        </w:rPr>
        <w:t>selection criteria, and qualitative attributes consistent with Section 3507 of the</w:t>
      </w:r>
      <w:r w:rsidR="00CF6F49">
        <w:rPr>
          <w:rFonts w:ascii="Times New Roman" w:hAnsi="Times New Roman"/>
          <w:sz w:val="24"/>
          <w:szCs w:val="24"/>
        </w:rPr>
        <w:t xml:space="preserve"> </w:t>
      </w:r>
      <w:r w:rsidRPr="00A372B1">
        <w:rPr>
          <w:rFonts w:ascii="Times New Roman" w:hAnsi="Times New Roman"/>
          <w:sz w:val="24"/>
          <w:szCs w:val="24"/>
        </w:rPr>
        <w:t>Act.</w:t>
      </w:r>
    </w:p>
    <w:p w:rsidR="00A372B1" w:rsidRPr="00A372B1" w:rsidP="00B928A5" w14:paraId="230B7298" w14:textId="77777777">
      <w:pPr>
        <w:ind w:left="360"/>
        <w:rPr>
          <w:rFonts w:ascii="Times New Roman" w:hAnsi="Times New Roman"/>
          <w:sz w:val="24"/>
          <w:szCs w:val="24"/>
        </w:rPr>
      </w:pPr>
    </w:p>
    <w:p w:rsidR="000D471B" w:rsidRPr="00E52D4D" w:rsidP="00B928A5" w14:paraId="0937EC0B" w14:textId="77777777">
      <w:pPr>
        <w:ind w:left="360"/>
        <w:rPr>
          <w:rFonts w:ascii="Times New Roman" w:hAnsi="Times New Roman"/>
          <w:sz w:val="24"/>
          <w:szCs w:val="24"/>
        </w:rPr>
      </w:pPr>
      <w:r w:rsidRPr="00A372B1">
        <w:rPr>
          <w:rFonts w:ascii="Times New Roman" w:hAnsi="Times New Roman"/>
          <w:sz w:val="24"/>
          <w:szCs w:val="24"/>
        </w:rPr>
        <w:t xml:space="preserve">The MARAD application procedure and program details </w:t>
      </w:r>
      <w:r w:rsidR="001340C4">
        <w:rPr>
          <w:rFonts w:ascii="Times New Roman" w:hAnsi="Times New Roman"/>
          <w:sz w:val="24"/>
          <w:szCs w:val="24"/>
        </w:rPr>
        <w:t>are</w:t>
      </w:r>
      <w:r w:rsidRPr="00A372B1">
        <w:rPr>
          <w:rFonts w:ascii="Times New Roman" w:hAnsi="Times New Roman"/>
          <w:sz w:val="24"/>
          <w:szCs w:val="24"/>
        </w:rPr>
        <w:t xml:space="preserve"> available to the</w:t>
      </w:r>
      <w:r w:rsidR="001340C4">
        <w:rPr>
          <w:rFonts w:ascii="Times New Roman" w:hAnsi="Times New Roman"/>
          <w:sz w:val="24"/>
          <w:szCs w:val="24"/>
        </w:rPr>
        <w:t xml:space="preserve"> </w:t>
      </w:r>
      <w:r w:rsidRPr="00A372B1">
        <w:rPr>
          <w:rFonts w:ascii="Times New Roman" w:hAnsi="Times New Roman"/>
          <w:sz w:val="24"/>
          <w:szCs w:val="24"/>
        </w:rPr>
        <w:t xml:space="preserve">public on its website </w:t>
      </w:r>
      <w:hyperlink r:id="rId6" w:history="1">
        <w:r w:rsidRPr="00291404" w:rsidR="00291404">
          <w:rPr>
            <w:rStyle w:val="Hyperlink"/>
            <w:rFonts w:ascii="Times New Roman" w:hAnsi="Times New Roman"/>
            <w:sz w:val="24"/>
            <w:szCs w:val="24"/>
          </w:rPr>
          <w:t>https://www.maritime.dot.gov/education/maritime-centers-excellence</w:t>
        </w:r>
      </w:hyperlink>
      <w:r w:rsidRPr="00E52D4D">
        <w:rPr>
          <w:rFonts w:ascii="Times New Roman" w:hAnsi="Times New Roman"/>
          <w:sz w:val="24"/>
          <w:szCs w:val="24"/>
        </w:rPr>
        <w:t xml:space="preserve">. </w:t>
      </w:r>
    </w:p>
    <w:p w:rsidR="00E7099B" w:rsidRPr="004057D3" w:rsidP="00B928A5" w14:paraId="55E24767" w14:textId="77777777">
      <w:pPr>
        <w:ind w:left="360"/>
        <w:rPr>
          <w:rFonts w:ascii="Times New Roman" w:hAnsi="Times New Roman"/>
          <w:sz w:val="24"/>
          <w:szCs w:val="24"/>
        </w:rPr>
      </w:pPr>
    </w:p>
    <w:p w:rsidR="00E7099B" w:rsidRPr="00D77775" w:rsidP="00B928A5" w14:paraId="64DA2F4E" w14:textId="33E60CDE">
      <w:pPr>
        <w:ind w:left="360"/>
        <w:rPr>
          <w:rFonts w:ascii="Times New Roman" w:hAnsi="Times New Roman"/>
          <w:sz w:val="24"/>
          <w:szCs w:val="24"/>
        </w:rPr>
      </w:pPr>
      <w:r w:rsidRPr="004057D3">
        <w:rPr>
          <w:rFonts w:ascii="Times New Roman" w:hAnsi="Times New Roman"/>
          <w:kern w:val="28"/>
          <w:sz w:val="24"/>
          <w:szCs w:val="24"/>
        </w:rPr>
        <w:t>On July 19, 2022, MARAD published a Notice (87 FR 43103) inviting eligible and qualified institutions to apply by September 19, 2022 for designation for the 202</w:t>
      </w:r>
      <w:r>
        <w:rPr>
          <w:rFonts w:ascii="Times New Roman" w:hAnsi="Times New Roman"/>
          <w:kern w:val="28"/>
          <w:sz w:val="24"/>
          <w:szCs w:val="24"/>
        </w:rPr>
        <w:t>2</w:t>
      </w:r>
      <w:r w:rsidRPr="004057D3">
        <w:rPr>
          <w:rFonts w:ascii="Times New Roman" w:hAnsi="Times New Roman"/>
          <w:kern w:val="28"/>
          <w:sz w:val="24"/>
          <w:szCs w:val="24"/>
        </w:rPr>
        <w:t xml:space="preserve"> CoE program year. </w:t>
      </w:r>
      <w:r w:rsidRPr="004057D3">
        <w:rPr>
          <w:rFonts w:ascii="Times New Roman" w:hAnsi="Times New Roman"/>
          <w:sz w:val="24"/>
          <w:szCs w:val="24"/>
        </w:rPr>
        <w:t>Thirty-six a</w:t>
      </w:r>
      <w:r w:rsidRPr="00D77775">
        <w:rPr>
          <w:rFonts w:ascii="Times New Roman" w:hAnsi="Times New Roman"/>
          <w:sz w:val="24"/>
          <w:szCs w:val="24"/>
        </w:rPr>
        <w:t xml:space="preserve">pplications for designation were received. However, before MARAD could complete final agency action on these applications, Congress enacted the </w:t>
      </w:r>
      <w:r w:rsidR="00CF6F49">
        <w:rPr>
          <w:rFonts w:ascii="Times New Roman" w:hAnsi="Times New Roman"/>
          <w:sz w:val="24"/>
          <w:szCs w:val="24"/>
        </w:rPr>
        <w:t>Fiscal Year (</w:t>
      </w:r>
      <w:r w:rsidRPr="00D77775">
        <w:rPr>
          <w:rFonts w:ascii="Times New Roman" w:hAnsi="Times New Roman"/>
          <w:sz w:val="24"/>
          <w:szCs w:val="24"/>
        </w:rPr>
        <w:t>FY</w:t>
      </w:r>
      <w:r w:rsidR="00CF6F49">
        <w:rPr>
          <w:rFonts w:ascii="Times New Roman" w:hAnsi="Times New Roman"/>
          <w:sz w:val="24"/>
          <w:szCs w:val="24"/>
        </w:rPr>
        <w:t>)</w:t>
      </w:r>
      <w:r w:rsidRPr="00D77775">
        <w:rPr>
          <w:rFonts w:ascii="Times New Roman" w:hAnsi="Times New Roman"/>
          <w:sz w:val="24"/>
          <w:szCs w:val="24"/>
        </w:rPr>
        <w:t xml:space="preserve"> 2023 NDAA, which amended CoE designation eligibility c</w:t>
      </w:r>
      <w:r>
        <w:rPr>
          <w:rFonts w:ascii="Times New Roman" w:hAnsi="Times New Roman"/>
          <w:sz w:val="24"/>
          <w:szCs w:val="24"/>
        </w:rPr>
        <w:t>ategories</w:t>
      </w:r>
      <w:r w:rsidRPr="00D77775">
        <w:rPr>
          <w:rFonts w:ascii="Times New Roman" w:hAnsi="Times New Roman"/>
          <w:sz w:val="24"/>
          <w:szCs w:val="24"/>
        </w:rPr>
        <w:t>. MARAD terminated action on the 2022 applications</w:t>
      </w:r>
      <w:r w:rsidR="00CF6F49">
        <w:rPr>
          <w:rFonts w:ascii="Times New Roman" w:hAnsi="Times New Roman"/>
          <w:sz w:val="24"/>
          <w:szCs w:val="24"/>
        </w:rPr>
        <w:t>,</w:t>
      </w:r>
      <w:r w:rsidRPr="00D77775">
        <w:rPr>
          <w:rFonts w:ascii="Times New Roman" w:hAnsi="Times New Roman"/>
          <w:sz w:val="24"/>
          <w:szCs w:val="24"/>
        </w:rPr>
        <w:t xml:space="preserve"> which were based on eligibility criteria no longer valid under current law.</w:t>
      </w:r>
    </w:p>
    <w:p w:rsidR="00E7099B" w:rsidRPr="00D77775" w:rsidP="00B928A5" w14:paraId="2155AAF7" w14:textId="77777777">
      <w:pPr>
        <w:pStyle w:val="Default"/>
        <w:ind w:left="360"/>
        <w:rPr>
          <w:rFonts w:ascii="Times New Roman" w:hAnsi="Times New Roman" w:cs="Times New Roman"/>
        </w:rPr>
      </w:pPr>
    </w:p>
    <w:p w:rsidR="00E7099B" w:rsidP="00B928A5" w14:paraId="6E8C8139" w14:textId="77777777">
      <w:pPr>
        <w:ind w:left="360"/>
        <w:rPr>
          <w:rFonts w:ascii="Times New Roman" w:hAnsi="Times New Roman"/>
          <w:sz w:val="24"/>
          <w:szCs w:val="24"/>
        </w:rPr>
      </w:pPr>
      <w:r w:rsidRPr="00D77775">
        <w:rPr>
          <w:rFonts w:ascii="Times New Roman" w:hAnsi="Times New Roman"/>
          <w:sz w:val="24"/>
          <w:szCs w:val="24"/>
        </w:rPr>
        <w:t>To conform to the FY 2023 NDAA, MARAD published a Federal Register Notice on July 20, 2023</w:t>
      </w:r>
      <w:r>
        <w:rPr>
          <w:rFonts w:ascii="Times New Roman" w:hAnsi="Times New Roman"/>
          <w:sz w:val="24"/>
          <w:szCs w:val="24"/>
        </w:rPr>
        <w:t xml:space="preserve"> </w:t>
      </w:r>
      <w:r w:rsidRPr="00AE1E86">
        <w:rPr>
          <w:rFonts w:ascii="Times New Roman" w:hAnsi="Times New Roman"/>
        </w:rPr>
        <w:t>(</w:t>
      </w:r>
      <w:r w:rsidRPr="00AE1E86">
        <w:rPr>
          <w:rFonts w:ascii="Times New Roman" w:hAnsi="Times New Roman"/>
          <w:sz w:val="24"/>
          <w:szCs w:val="24"/>
        </w:rPr>
        <w:t>88 FR 46829</w:t>
      </w:r>
      <w:r w:rsidRPr="00AE1E86">
        <w:rPr>
          <w:rFonts w:ascii="Times New Roman" w:hAnsi="Times New Roman"/>
        </w:rPr>
        <w:t>)</w:t>
      </w:r>
      <w:r w:rsidRPr="00AE1E86">
        <w:rPr>
          <w:rFonts w:ascii="Times New Roman" w:hAnsi="Times New Roman"/>
          <w:sz w:val="24"/>
          <w:szCs w:val="24"/>
        </w:rPr>
        <w:t>,</w:t>
      </w:r>
      <w:r w:rsidRPr="00D77775">
        <w:rPr>
          <w:rFonts w:ascii="Times New Roman" w:hAnsi="Times New Roman"/>
          <w:sz w:val="24"/>
          <w:szCs w:val="24"/>
        </w:rPr>
        <w:t xml:space="preserve"> entitled </w:t>
      </w:r>
      <w:r w:rsidRPr="00AE1E86">
        <w:rPr>
          <w:rFonts w:ascii="Times New Roman" w:hAnsi="Times New Roman"/>
          <w:sz w:val="24"/>
          <w:szCs w:val="24"/>
        </w:rPr>
        <w:t>Centers of Excellence for Domestic Maritime Workforce Training and Education; Designation Policy Update and Notice of Opportunity To Apply for Designation for 2023</w:t>
      </w:r>
      <w:r>
        <w:rPr>
          <w:rFonts w:ascii="Times New Roman" w:hAnsi="Times New Roman"/>
          <w:sz w:val="24"/>
          <w:szCs w:val="24"/>
        </w:rPr>
        <w:t>,</w:t>
      </w:r>
      <w:r w:rsidRPr="00D77775">
        <w:rPr>
          <w:rFonts w:ascii="Times New Roman" w:hAnsi="Times New Roman"/>
          <w:sz w:val="24"/>
          <w:szCs w:val="24"/>
        </w:rPr>
        <w:t xml:space="preserve"> announcing termination of agency action on the 2022 applications, issuing an updated CoE designation policy, and soliciting applications from eligible and qualified training entities for 2023 CoE designations. </w:t>
      </w:r>
      <w:r w:rsidRPr="00340244">
        <w:rPr>
          <w:rFonts w:ascii="Times New Roman" w:hAnsi="Times New Roman"/>
          <w:sz w:val="24"/>
          <w:szCs w:val="24"/>
        </w:rPr>
        <w:t>Section 6 on pages 46832-46833 provides a detailed list of the information requested from the applicants. The application period closed on September 18, 2023. Thirty-four applications for designatio</w:t>
      </w:r>
      <w:r>
        <w:rPr>
          <w:rFonts w:ascii="Times New Roman" w:hAnsi="Times New Roman"/>
          <w:sz w:val="24"/>
          <w:szCs w:val="24"/>
        </w:rPr>
        <w:t xml:space="preserve">n were </w:t>
      </w:r>
      <w:r w:rsidRPr="00AE1E86">
        <w:rPr>
          <w:rFonts w:ascii="Times New Roman" w:hAnsi="Times New Roman"/>
          <w:sz w:val="24"/>
          <w:szCs w:val="24"/>
        </w:rPr>
        <w:t xml:space="preserve">received. Upon the Secretary’s approval, </w:t>
      </w:r>
      <w:r>
        <w:rPr>
          <w:rFonts w:ascii="Times New Roman" w:hAnsi="Times New Roman"/>
          <w:sz w:val="24"/>
          <w:szCs w:val="24"/>
        </w:rPr>
        <w:t>thirty-two</w:t>
      </w:r>
      <w:r w:rsidRPr="00AE1E86">
        <w:rPr>
          <w:rFonts w:ascii="Times New Roman" w:hAnsi="Times New Roman"/>
          <w:sz w:val="24"/>
          <w:szCs w:val="24"/>
        </w:rPr>
        <w:t xml:space="preserve"> </w:t>
      </w:r>
      <w:r>
        <w:rPr>
          <w:rFonts w:ascii="Times New Roman" w:hAnsi="Times New Roman"/>
          <w:sz w:val="24"/>
          <w:szCs w:val="24"/>
        </w:rPr>
        <w:t>entities</w:t>
      </w:r>
      <w:r w:rsidRPr="00AE1E86">
        <w:rPr>
          <w:rFonts w:ascii="Times New Roman" w:hAnsi="Times New Roman"/>
          <w:sz w:val="24"/>
          <w:szCs w:val="24"/>
        </w:rPr>
        <w:t xml:space="preserve"> were designated on </w:t>
      </w:r>
      <w:r>
        <w:rPr>
          <w:rFonts w:ascii="Times New Roman" w:hAnsi="Times New Roman"/>
          <w:sz w:val="24"/>
          <w:szCs w:val="24"/>
        </w:rPr>
        <w:t>February 22</w:t>
      </w:r>
      <w:r w:rsidRPr="00AE1E86">
        <w:rPr>
          <w:rFonts w:ascii="Times New Roman" w:hAnsi="Times New Roman"/>
          <w:sz w:val="24"/>
          <w:szCs w:val="24"/>
        </w:rPr>
        <w:t>, 202</w:t>
      </w:r>
      <w:r>
        <w:rPr>
          <w:rFonts w:ascii="Times New Roman" w:hAnsi="Times New Roman"/>
          <w:sz w:val="24"/>
          <w:szCs w:val="24"/>
        </w:rPr>
        <w:t>4</w:t>
      </w:r>
      <w:r w:rsidRPr="00AE1E86">
        <w:rPr>
          <w:rFonts w:ascii="Times New Roman" w:hAnsi="Times New Roman"/>
          <w:sz w:val="24"/>
          <w:szCs w:val="24"/>
        </w:rPr>
        <w:t xml:space="preserve">. </w:t>
      </w:r>
    </w:p>
    <w:p w:rsidR="00FF65AF" w:rsidP="00B928A5" w14:paraId="48A842DC" w14:textId="3DDE584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F6695C">
        <w:rPr>
          <w:rFonts w:ascii="Times New Roman" w:hAnsi="Times New Roman"/>
          <w:color w:val="auto"/>
        </w:rPr>
        <w:t>Pursuant to</w:t>
      </w:r>
      <w:r>
        <w:rPr>
          <w:rFonts w:ascii="Times New Roman" w:hAnsi="Times New Roman"/>
          <w:color w:val="auto"/>
        </w:rPr>
        <w:t xml:space="preserve"> </w:t>
      </w:r>
      <w:r w:rsidR="00CF6F49">
        <w:rPr>
          <w:rFonts w:ascii="Times New Roman" w:hAnsi="Times New Roman"/>
          <w:color w:val="auto"/>
        </w:rPr>
        <w:t>United States Code (</w:t>
      </w:r>
      <w:r>
        <w:rPr>
          <w:rFonts w:ascii="Times New Roman" w:hAnsi="Times New Roman"/>
          <w:color w:val="auto"/>
        </w:rPr>
        <w:t>USC</w:t>
      </w:r>
      <w:r w:rsidR="00CF6F49">
        <w:rPr>
          <w:rFonts w:ascii="Times New Roman" w:hAnsi="Times New Roman"/>
          <w:color w:val="auto"/>
        </w:rPr>
        <w:t>)</w:t>
      </w:r>
      <w:r>
        <w:rPr>
          <w:rFonts w:ascii="Times New Roman" w:hAnsi="Times New Roman"/>
          <w:color w:val="auto"/>
        </w:rPr>
        <w:t xml:space="preserve"> 51706</w:t>
      </w:r>
      <w:r w:rsidRPr="00F6695C">
        <w:rPr>
          <w:rFonts w:ascii="Times New Roman" w:hAnsi="Times New Roman"/>
          <w:color w:val="auto"/>
        </w:rPr>
        <w:t xml:space="preserve">, the Secretary of Transportation, acting through the Maritime Administrator, may designate eligible and qualified training entities as </w:t>
      </w:r>
      <w:r w:rsidR="00CF6F49">
        <w:rPr>
          <w:rFonts w:ascii="Times New Roman" w:hAnsi="Times New Roman"/>
          <w:color w:val="auto"/>
        </w:rPr>
        <w:t>CoEs</w:t>
      </w:r>
      <w:r w:rsidRPr="00F6695C">
        <w:rPr>
          <w:rFonts w:ascii="Times New Roman" w:hAnsi="Times New Roman"/>
          <w:color w:val="auto"/>
        </w:rPr>
        <w:t xml:space="preserve"> for Domestic Maritime Workforce Training and Education. </w:t>
      </w:r>
      <w:r w:rsidR="00CF6F49">
        <w:rPr>
          <w:rFonts w:ascii="Times New Roman" w:hAnsi="Times New Roman"/>
          <w:color w:val="auto"/>
        </w:rPr>
        <w:t xml:space="preserve">Individuals interested in obtaining a CoE designation for their </w:t>
      </w:r>
      <w:r w:rsidRPr="00F6695C">
        <w:rPr>
          <w:rFonts w:ascii="Times New Roman" w:hAnsi="Times New Roman"/>
          <w:color w:val="auto"/>
        </w:rPr>
        <w:t xml:space="preserve">training institutions </w:t>
      </w:r>
      <w:r w:rsidR="00A273DF">
        <w:rPr>
          <w:rFonts w:ascii="Times New Roman" w:hAnsi="Times New Roman"/>
          <w:color w:val="auto"/>
        </w:rPr>
        <w:t xml:space="preserve">must </w:t>
      </w:r>
      <w:r w:rsidRPr="00F6695C">
        <w:rPr>
          <w:rFonts w:ascii="Times New Roman" w:hAnsi="Times New Roman"/>
          <w:color w:val="auto"/>
        </w:rPr>
        <w:t xml:space="preserve">apply to MARAD with sufficient information to demonstrate </w:t>
      </w:r>
      <w:r w:rsidR="00A273DF">
        <w:rPr>
          <w:rFonts w:ascii="Times New Roman" w:hAnsi="Times New Roman"/>
          <w:color w:val="auto"/>
        </w:rPr>
        <w:t>their eligibility</w:t>
      </w:r>
      <w:r w:rsidRPr="00F6695C">
        <w:rPr>
          <w:rFonts w:ascii="Times New Roman" w:hAnsi="Times New Roman"/>
          <w:color w:val="auto"/>
        </w:rPr>
        <w:t>.</w:t>
      </w:r>
    </w:p>
    <w:p w:rsidR="00FF65AF" w:rsidP="00B928A5" w14:paraId="7A19C431"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FF65AF" w:rsidRPr="00935E63" w:rsidP="00B928A5" w14:paraId="49887693"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35E63">
        <w:rPr>
          <w:rFonts w:ascii="Times New Roman" w:hAnsi="Times New Roman"/>
          <w:color w:val="auto"/>
        </w:rPr>
        <w:t>Since the last approval of this information collection, the FY2023 NDAA amended CoE designation eligibility categories. Previously, the definition of “covered training entity” was restricted to institutions specifically identifying as a “Community or Technical College” or “Maritime Training Center.” The FY 2023 NDAA replaced those terms with new categories that include postsecondary educational and vocational entities, apprenticeship sponsors, and structured experiential learning training programs. Designation has also been extended from one to five years.</w:t>
      </w:r>
    </w:p>
    <w:p w:rsidR="00FF65AF" w14:paraId="1339B91A"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04749E" w:rsidRPr="00B928A5" w:rsidP="00B928A5" w14:paraId="4C2F02A0" w14:textId="75E82305">
      <w:pPr>
        <w:pStyle w:val="ListParagraph"/>
        <w:numPr>
          <w:ilvl w:val="0"/>
          <w:numId w:val="41"/>
        </w:numPr>
        <w:rPr>
          <w:rFonts w:ascii="Times New Roman" w:hAnsi="Times New Roman"/>
          <w:b/>
          <w:bCs/>
          <w:sz w:val="24"/>
          <w:szCs w:val="24"/>
        </w:rPr>
      </w:pPr>
      <w:r w:rsidRPr="00B928A5">
        <w:rPr>
          <w:rFonts w:ascii="Times New Roman" w:hAnsi="Times New Roman"/>
          <w:b/>
          <w:bCs/>
          <w:sz w:val="24"/>
          <w:szCs w:val="24"/>
        </w:rPr>
        <w:t>P</w:t>
      </w:r>
      <w:r w:rsidRPr="00B928A5">
        <w:rPr>
          <w:rFonts w:ascii="Times New Roman" w:hAnsi="Times New Roman"/>
          <w:b/>
          <w:bCs/>
          <w:sz w:val="24"/>
          <w:szCs w:val="24"/>
        </w:rPr>
        <w:t xml:space="preserve">urpose </w:t>
      </w:r>
      <w:r w:rsidRPr="00A528F4">
        <w:rPr>
          <w:rFonts w:ascii="Times New Roman" w:hAnsi="Times New Roman"/>
          <w:b/>
          <w:bCs/>
          <w:sz w:val="24"/>
          <w:szCs w:val="24"/>
        </w:rPr>
        <w:t>and Use of</w:t>
      </w:r>
      <w:r w:rsidRPr="00B928A5">
        <w:rPr>
          <w:rFonts w:ascii="Times New Roman" w:hAnsi="Times New Roman"/>
          <w:b/>
          <w:bCs/>
          <w:sz w:val="24"/>
          <w:szCs w:val="24"/>
        </w:rPr>
        <w:t xml:space="preserve"> the </w:t>
      </w:r>
      <w:r w:rsidRPr="00B928A5">
        <w:rPr>
          <w:rFonts w:ascii="Times New Roman" w:hAnsi="Times New Roman"/>
          <w:b/>
          <w:bCs/>
          <w:sz w:val="24"/>
          <w:szCs w:val="24"/>
        </w:rPr>
        <w:t>Information</w:t>
      </w:r>
      <w:r w:rsidRPr="00B928A5" w:rsidR="00470720">
        <w:rPr>
          <w:rFonts w:ascii="Times New Roman" w:hAnsi="Times New Roman"/>
          <w:b/>
          <w:bCs/>
          <w:sz w:val="24"/>
          <w:szCs w:val="24"/>
        </w:rPr>
        <w:t xml:space="preserve"> </w:t>
      </w:r>
      <w:r w:rsidRPr="00B928A5" w:rsidR="009D4F72">
        <w:rPr>
          <w:rFonts w:ascii="Times New Roman" w:hAnsi="Times New Roman"/>
          <w:b/>
          <w:bCs/>
          <w:sz w:val="24"/>
          <w:szCs w:val="24"/>
        </w:rPr>
        <w:t xml:space="preserve"> </w:t>
      </w:r>
    </w:p>
    <w:p w:rsidR="001303CB" w:rsidRPr="00E52D4D" w14:paraId="42848CC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E17B6D" w14:paraId="72191078" w14:textId="5D8A55A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MARAD personnel use the collected </w:t>
      </w:r>
      <w:r w:rsidRPr="00E52D4D" w:rsidR="00EC3663">
        <w:rPr>
          <w:rFonts w:ascii="Times New Roman" w:hAnsi="Times New Roman"/>
          <w:color w:val="auto"/>
        </w:rPr>
        <w:t xml:space="preserve">information </w:t>
      </w:r>
      <w:r w:rsidRPr="00E52D4D">
        <w:rPr>
          <w:rFonts w:ascii="Times New Roman" w:hAnsi="Times New Roman"/>
          <w:color w:val="auto"/>
        </w:rPr>
        <w:t>to administer the CoE program</w:t>
      </w:r>
      <w:r>
        <w:rPr>
          <w:rFonts w:ascii="Times New Roman" w:hAnsi="Times New Roman"/>
          <w:color w:val="auto"/>
        </w:rPr>
        <w:t xml:space="preserve"> and to </w:t>
      </w:r>
      <w:r w:rsidRPr="00E52D4D">
        <w:rPr>
          <w:rFonts w:ascii="Times New Roman" w:hAnsi="Times New Roman"/>
          <w:color w:val="auto"/>
        </w:rPr>
        <w:t xml:space="preserve">evaluate the </w:t>
      </w:r>
      <w:r>
        <w:rPr>
          <w:rFonts w:ascii="Times New Roman" w:hAnsi="Times New Roman"/>
          <w:color w:val="auto"/>
        </w:rPr>
        <w:t xml:space="preserve">eligibility of an </w:t>
      </w:r>
      <w:r w:rsidRPr="00E52D4D">
        <w:rPr>
          <w:rFonts w:ascii="Times New Roman" w:hAnsi="Times New Roman"/>
          <w:color w:val="auto"/>
        </w:rPr>
        <w:t>institution</w:t>
      </w:r>
      <w:r>
        <w:rPr>
          <w:rFonts w:ascii="Times New Roman" w:hAnsi="Times New Roman"/>
          <w:color w:val="auto"/>
        </w:rPr>
        <w:t xml:space="preserve"> </w:t>
      </w:r>
      <w:r w:rsidRPr="00E52D4D">
        <w:rPr>
          <w:rFonts w:ascii="Times New Roman" w:hAnsi="Times New Roman"/>
          <w:color w:val="auto"/>
        </w:rPr>
        <w:t xml:space="preserve">for </w:t>
      </w:r>
      <w:r>
        <w:rPr>
          <w:rFonts w:ascii="Times New Roman" w:hAnsi="Times New Roman"/>
          <w:color w:val="auto"/>
        </w:rPr>
        <w:t xml:space="preserve">CoE </w:t>
      </w:r>
      <w:r w:rsidRPr="00E52D4D">
        <w:rPr>
          <w:rFonts w:ascii="Times New Roman" w:hAnsi="Times New Roman"/>
          <w:color w:val="auto"/>
        </w:rPr>
        <w:t>designation</w:t>
      </w:r>
      <w:r w:rsidR="009124E8">
        <w:rPr>
          <w:rFonts w:ascii="Times New Roman" w:hAnsi="Times New Roman"/>
          <w:color w:val="auto"/>
        </w:rPr>
        <w:t>.</w:t>
      </w:r>
    </w:p>
    <w:p w:rsidR="00727C55" w:rsidP="00727C55" w14:paraId="104F409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A77231" w:rsidRPr="00B928A5" w:rsidP="00B928A5" w14:paraId="0EBD3DF5" w14:textId="3247D9F9">
      <w:pPr>
        <w:pStyle w:val="ListParagraph"/>
        <w:numPr>
          <w:ilvl w:val="0"/>
          <w:numId w:val="41"/>
        </w:numPr>
        <w:rPr>
          <w:rFonts w:ascii="Times New Roman" w:hAnsi="Times New Roman"/>
          <w:sz w:val="24"/>
          <w:szCs w:val="24"/>
        </w:rPr>
      </w:pPr>
      <w:r w:rsidRPr="00B928A5">
        <w:rPr>
          <w:rFonts w:ascii="Times New Roman" w:hAnsi="Times New Roman"/>
          <w:b/>
          <w:bCs/>
          <w:sz w:val="24"/>
          <w:szCs w:val="24"/>
        </w:rPr>
        <w:t>A</w:t>
      </w:r>
      <w:r w:rsidRPr="00B928A5" w:rsidR="0004749E">
        <w:rPr>
          <w:rFonts w:ascii="Times New Roman" w:hAnsi="Times New Roman"/>
          <w:b/>
          <w:bCs/>
          <w:sz w:val="24"/>
          <w:szCs w:val="24"/>
        </w:rPr>
        <w:t>utomat</w:t>
      </w:r>
      <w:r w:rsidRPr="00B928A5">
        <w:rPr>
          <w:rFonts w:ascii="Times New Roman" w:hAnsi="Times New Roman"/>
          <w:b/>
          <w:bCs/>
          <w:sz w:val="24"/>
          <w:szCs w:val="24"/>
        </w:rPr>
        <w:t>ion or Use of Information Technology</w:t>
      </w:r>
      <w:r w:rsidRPr="00B928A5" w:rsidR="00470720">
        <w:rPr>
          <w:rFonts w:ascii="Times New Roman" w:hAnsi="Times New Roman"/>
          <w:b/>
          <w:bCs/>
          <w:sz w:val="24"/>
          <w:szCs w:val="24"/>
        </w:rPr>
        <w:t xml:space="preserve"> </w:t>
      </w:r>
      <w:r w:rsidRPr="00B928A5" w:rsidR="009D4F72">
        <w:rPr>
          <w:rFonts w:ascii="Times New Roman" w:hAnsi="Times New Roman"/>
          <w:b/>
          <w:bCs/>
          <w:sz w:val="24"/>
          <w:szCs w:val="24"/>
        </w:rPr>
        <w:t xml:space="preserve"> </w:t>
      </w:r>
    </w:p>
    <w:p w:rsidR="00EF1155" w:rsidRPr="00B928A5" w:rsidP="00B928A5" w14:paraId="3C000051" w14:textId="77777777">
      <w:pPr>
        <w:pStyle w:val="ListParagraph"/>
        <w:contextualSpacing/>
        <w:rPr>
          <w:rFonts w:ascii="Times New Roman" w:hAnsi="Times New Roman"/>
          <w:i/>
          <w:iCs/>
          <w:color w:val="FF0000"/>
          <w:sz w:val="24"/>
          <w:szCs w:val="24"/>
        </w:rPr>
      </w:pPr>
    </w:p>
    <w:p w:rsidR="003F77B6" w14:paraId="6719020F" w14:textId="7AB0C3F1">
      <w:pPr>
        <w:ind w:left="360"/>
        <w:rPr>
          <w:rFonts w:ascii="Times New Roman" w:hAnsi="Times New Roman"/>
          <w:iCs/>
          <w:sz w:val="24"/>
          <w:szCs w:val="24"/>
        </w:rPr>
      </w:pPr>
      <w:r>
        <w:rPr>
          <w:rFonts w:ascii="Times New Roman" w:hAnsi="Times New Roman"/>
          <w:iCs/>
          <w:sz w:val="24"/>
          <w:szCs w:val="24"/>
        </w:rPr>
        <w:t xml:space="preserve">The Federal Register notice </w:t>
      </w:r>
      <w:r>
        <w:rPr>
          <w:rFonts w:ascii="Times New Roman" w:hAnsi="Times New Roman"/>
          <w:sz w:val="24"/>
          <w:szCs w:val="24"/>
        </w:rPr>
        <w:t xml:space="preserve">(85 FR </w:t>
      </w:r>
      <w:r w:rsidR="00E7099B">
        <w:rPr>
          <w:rFonts w:ascii="Times New Roman" w:hAnsi="Times New Roman"/>
          <w:sz w:val="24"/>
          <w:szCs w:val="24"/>
        </w:rPr>
        <w:t>46829</w:t>
      </w:r>
      <w:r>
        <w:rPr>
          <w:rFonts w:ascii="Times New Roman" w:hAnsi="Times New Roman"/>
          <w:sz w:val="24"/>
          <w:szCs w:val="24"/>
        </w:rPr>
        <w:t xml:space="preserve">) of </w:t>
      </w:r>
      <w:r w:rsidR="00E7099B">
        <w:rPr>
          <w:rFonts w:ascii="Times New Roman" w:hAnsi="Times New Roman"/>
          <w:sz w:val="24"/>
          <w:szCs w:val="24"/>
        </w:rPr>
        <w:t>July</w:t>
      </w:r>
      <w:r>
        <w:rPr>
          <w:rFonts w:ascii="Times New Roman" w:hAnsi="Times New Roman"/>
          <w:sz w:val="24"/>
          <w:szCs w:val="24"/>
        </w:rPr>
        <w:t xml:space="preserve"> 2</w:t>
      </w:r>
      <w:r w:rsidR="00E7099B">
        <w:rPr>
          <w:rFonts w:ascii="Times New Roman" w:hAnsi="Times New Roman"/>
          <w:sz w:val="24"/>
          <w:szCs w:val="24"/>
        </w:rPr>
        <w:t>0</w:t>
      </w:r>
      <w:r>
        <w:rPr>
          <w:rFonts w:ascii="Times New Roman" w:hAnsi="Times New Roman"/>
          <w:sz w:val="24"/>
          <w:szCs w:val="24"/>
        </w:rPr>
        <w:t xml:space="preserve">, </w:t>
      </w:r>
      <w:r w:rsidR="00A273DF">
        <w:rPr>
          <w:rFonts w:ascii="Times New Roman" w:hAnsi="Times New Roman"/>
          <w:sz w:val="24"/>
          <w:szCs w:val="24"/>
        </w:rPr>
        <w:t>2023,</w:t>
      </w:r>
      <w:r w:rsidRPr="00E52D4D">
        <w:rPr>
          <w:rFonts w:ascii="Times New Roman" w:hAnsi="Times New Roman"/>
          <w:sz w:val="24"/>
          <w:szCs w:val="24"/>
        </w:rPr>
        <w:t xml:space="preserve"> </w:t>
      </w:r>
      <w:r>
        <w:rPr>
          <w:rFonts w:ascii="Times New Roman" w:hAnsi="Times New Roman"/>
          <w:sz w:val="24"/>
          <w:szCs w:val="24"/>
        </w:rPr>
        <w:t xml:space="preserve">announcing the </w:t>
      </w:r>
      <w:r>
        <w:rPr>
          <w:rFonts w:ascii="Times New Roman" w:hAnsi="Times New Roman"/>
          <w:iCs/>
          <w:sz w:val="24"/>
          <w:szCs w:val="24"/>
        </w:rPr>
        <w:t xml:space="preserve">Notice of Opportunity to Apply </w:t>
      </w:r>
      <w:r>
        <w:rPr>
          <w:rFonts w:ascii="Times New Roman" w:hAnsi="Times New Roman"/>
          <w:sz w:val="24"/>
          <w:szCs w:val="24"/>
        </w:rPr>
        <w:t>specifically</w:t>
      </w:r>
      <w:r w:rsidRPr="00E52D4D" w:rsidR="00F13E27">
        <w:rPr>
          <w:rFonts w:ascii="Times New Roman" w:hAnsi="Times New Roman"/>
          <w:iCs/>
          <w:sz w:val="24"/>
          <w:szCs w:val="24"/>
        </w:rPr>
        <w:t xml:space="preserve"> </w:t>
      </w:r>
      <w:r>
        <w:rPr>
          <w:rFonts w:ascii="Times New Roman" w:hAnsi="Times New Roman"/>
          <w:iCs/>
          <w:sz w:val="24"/>
          <w:szCs w:val="24"/>
        </w:rPr>
        <w:t>required</w:t>
      </w:r>
      <w:r w:rsidRPr="00E52D4D" w:rsidR="00F13E27">
        <w:rPr>
          <w:rFonts w:ascii="Times New Roman" w:hAnsi="Times New Roman"/>
          <w:iCs/>
          <w:sz w:val="24"/>
          <w:szCs w:val="24"/>
        </w:rPr>
        <w:t xml:space="preserve"> </w:t>
      </w:r>
      <w:r w:rsidRPr="00E52D4D" w:rsidR="00EF1155">
        <w:rPr>
          <w:rFonts w:ascii="Times New Roman" w:hAnsi="Times New Roman"/>
          <w:iCs/>
          <w:sz w:val="24"/>
          <w:szCs w:val="24"/>
        </w:rPr>
        <w:t xml:space="preserve">electronic </w:t>
      </w:r>
      <w:r w:rsidRPr="00E52D4D" w:rsidR="00F13E27">
        <w:rPr>
          <w:rFonts w:ascii="Times New Roman" w:hAnsi="Times New Roman"/>
          <w:iCs/>
          <w:sz w:val="24"/>
          <w:szCs w:val="24"/>
        </w:rPr>
        <w:t xml:space="preserve">submission </w:t>
      </w:r>
      <w:r w:rsidRPr="00E52D4D" w:rsidR="00E56236">
        <w:rPr>
          <w:rFonts w:ascii="Times New Roman" w:hAnsi="Times New Roman"/>
          <w:iCs/>
          <w:sz w:val="24"/>
          <w:szCs w:val="24"/>
        </w:rPr>
        <w:t xml:space="preserve">via electronic mail </w:t>
      </w:r>
      <w:r w:rsidRPr="00E52D4D" w:rsidR="00F13E27">
        <w:rPr>
          <w:rFonts w:ascii="Times New Roman" w:hAnsi="Times New Roman"/>
          <w:iCs/>
          <w:sz w:val="24"/>
          <w:szCs w:val="24"/>
        </w:rPr>
        <w:t xml:space="preserve">of </w:t>
      </w:r>
      <w:r w:rsidRPr="00E52D4D" w:rsidR="00E17B6D">
        <w:rPr>
          <w:rFonts w:ascii="Times New Roman" w:hAnsi="Times New Roman"/>
          <w:iCs/>
          <w:sz w:val="24"/>
          <w:szCs w:val="24"/>
        </w:rPr>
        <w:t>applications</w:t>
      </w:r>
      <w:r>
        <w:rPr>
          <w:rFonts w:ascii="Times New Roman" w:hAnsi="Times New Roman"/>
          <w:iCs/>
          <w:sz w:val="24"/>
          <w:szCs w:val="24"/>
        </w:rPr>
        <w:t xml:space="preserve"> including</w:t>
      </w:r>
      <w:r w:rsidRPr="00E52D4D" w:rsidR="00F13E27">
        <w:rPr>
          <w:rFonts w:ascii="Times New Roman" w:hAnsi="Times New Roman"/>
          <w:iCs/>
          <w:sz w:val="24"/>
          <w:szCs w:val="24"/>
        </w:rPr>
        <w:t xml:space="preserve"> </w:t>
      </w:r>
      <w:r>
        <w:rPr>
          <w:rFonts w:ascii="Times New Roman" w:hAnsi="Times New Roman"/>
          <w:iCs/>
          <w:sz w:val="24"/>
          <w:szCs w:val="24"/>
        </w:rPr>
        <w:t xml:space="preserve">all </w:t>
      </w:r>
      <w:r w:rsidRPr="00E52D4D" w:rsidR="00F13E27">
        <w:rPr>
          <w:rFonts w:ascii="Times New Roman" w:hAnsi="Times New Roman"/>
          <w:iCs/>
          <w:sz w:val="24"/>
          <w:szCs w:val="24"/>
        </w:rPr>
        <w:t>s</w:t>
      </w:r>
      <w:r w:rsidRPr="00E52D4D" w:rsidR="00E17B6D">
        <w:rPr>
          <w:rFonts w:ascii="Times New Roman" w:hAnsi="Times New Roman"/>
          <w:iCs/>
          <w:sz w:val="24"/>
          <w:szCs w:val="24"/>
        </w:rPr>
        <w:t>upporting information</w:t>
      </w:r>
      <w:r w:rsidRPr="00E52D4D" w:rsidR="00F13E27">
        <w:rPr>
          <w:rFonts w:ascii="Times New Roman" w:hAnsi="Times New Roman"/>
          <w:iCs/>
          <w:sz w:val="24"/>
          <w:szCs w:val="24"/>
        </w:rPr>
        <w:t xml:space="preserve"> </w:t>
      </w:r>
      <w:r w:rsidRPr="00E52D4D" w:rsidR="00EF1155">
        <w:rPr>
          <w:rFonts w:ascii="Times New Roman" w:hAnsi="Times New Roman"/>
          <w:iCs/>
          <w:sz w:val="24"/>
          <w:szCs w:val="24"/>
        </w:rPr>
        <w:t>to MARAD</w:t>
      </w:r>
      <w:r w:rsidR="00A273DF">
        <w:rPr>
          <w:rFonts w:ascii="Times New Roman" w:hAnsi="Times New Roman"/>
          <w:iCs/>
          <w:sz w:val="24"/>
          <w:szCs w:val="24"/>
        </w:rPr>
        <w:t xml:space="preserve"> for CoE designation</w:t>
      </w:r>
      <w:r w:rsidRPr="00E52D4D" w:rsidR="00EF1155">
        <w:rPr>
          <w:rFonts w:ascii="Times New Roman" w:hAnsi="Times New Roman"/>
          <w:iCs/>
          <w:sz w:val="24"/>
          <w:szCs w:val="24"/>
        </w:rPr>
        <w:t xml:space="preserve">. </w:t>
      </w:r>
      <w:r w:rsidR="00B94BD9">
        <w:rPr>
          <w:rFonts w:ascii="Times New Roman" w:hAnsi="Times New Roman"/>
          <w:sz w:val="24"/>
          <w:szCs w:val="24"/>
        </w:rPr>
        <w:t xml:space="preserve">Section </w:t>
      </w:r>
      <w:r w:rsidR="00E7099B">
        <w:rPr>
          <w:rFonts w:ascii="Times New Roman" w:hAnsi="Times New Roman"/>
          <w:sz w:val="24"/>
          <w:szCs w:val="24"/>
        </w:rPr>
        <w:t>6</w:t>
      </w:r>
      <w:r w:rsidR="00B94BD9">
        <w:rPr>
          <w:rFonts w:ascii="Times New Roman" w:hAnsi="Times New Roman"/>
          <w:sz w:val="24"/>
          <w:szCs w:val="24"/>
        </w:rPr>
        <w:t xml:space="preserve"> </w:t>
      </w:r>
      <w:r w:rsidR="00E7099B">
        <w:rPr>
          <w:rFonts w:ascii="Times New Roman" w:hAnsi="Times New Roman"/>
          <w:sz w:val="24"/>
          <w:szCs w:val="24"/>
        </w:rPr>
        <w:t xml:space="preserve">on </w:t>
      </w:r>
      <w:r w:rsidRPr="00340244" w:rsidR="00E7099B">
        <w:rPr>
          <w:rFonts w:ascii="Times New Roman" w:hAnsi="Times New Roman"/>
          <w:sz w:val="24"/>
          <w:szCs w:val="24"/>
        </w:rPr>
        <w:t>pages 46832-46833</w:t>
      </w:r>
      <w:r w:rsidR="00B94BD9">
        <w:rPr>
          <w:rFonts w:ascii="Times New Roman" w:hAnsi="Times New Roman"/>
          <w:sz w:val="24"/>
          <w:szCs w:val="24"/>
        </w:rPr>
        <w:t xml:space="preserve"> </w:t>
      </w:r>
      <w:r w:rsidR="00F200A0">
        <w:rPr>
          <w:rFonts w:ascii="Times New Roman" w:hAnsi="Times New Roman"/>
          <w:iCs/>
          <w:sz w:val="24"/>
          <w:szCs w:val="24"/>
        </w:rPr>
        <w:t>of the</w:t>
      </w:r>
      <w:r w:rsidR="00D70F52">
        <w:rPr>
          <w:rFonts w:ascii="Times New Roman" w:hAnsi="Times New Roman"/>
          <w:iCs/>
          <w:sz w:val="24"/>
          <w:szCs w:val="24"/>
        </w:rPr>
        <w:t xml:space="preserve"> notice </w:t>
      </w:r>
      <w:r w:rsidR="00A273DF">
        <w:rPr>
          <w:rFonts w:ascii="Times New Roman" w:hAnsi="Times New Roman"/>
          <w:iCs/>
          <w:sz w:val="24"/>
          <w:szCs w:val="24"/>
        </w:rPr>
        <w:t xml:space="preserve">also </w:t>
      </w:r>
      <w:r w:rsidR="00F200A0">
        <w:rPr>
          <w:rFonts w:ascii="Times New Roman" w:hAnsi="Times New Roman"/>
          <w:iCs/>
          <w:sz w:val="24"/>
          <w:szCs w:val="24"/>
        </w:rPr>
        <w:t>provide</w:t>
      </w:r>
      <w:r w:rsidR="00A273DF">
        <w:rPr>
          <w:rFonts w:ascii="Times New Roman" w:hAnsi="Times New Roman"/>
          <w:iCs/>
          <w:sz w:val="24"/>
          <w:szCs w:val="24"/>
        </w:rPr>
        <w:t>s</w:t>
      </w:r>
      <w:r w:rsidR="00D70F52">
        <w:rPr>
          <w:rFonts w:ascii="Times New Roman" w:hAnsi="Times New Roman"/>
          <w:iCs/>
          <w:sz w:val="24"/>
          <w:szCs w:val="24"/>
        </w:rPr>
        <w:t xml:space="preserve"> a detailed list of the information </w:t>
      </w:r>
      <w:r w:rsidR="00F200A0">
        <w:rPr>
          <w:rFonts w:ascii="Times New Roman" w:hAnsi="Times New Roman"/>
          <w:iCs/>
          <w:sz w:val="24"/>
          <w:szCs w:val="24"/>
        </w:rPr>
        <w:t>requested from the</w:t>
      </w:r>
      <w:r w:rsidR="00D70F52">
        <w:rPr>
          <w:rFonts w:ascii="Times New Roman" w:hAnsi="Times New Roman"/>
          <w:iCs/>
          <w:sz w:val="24"/>
          <w:szCs w:val="24"/>
        </w:rPr>
        <w:t xml:space="preserve"> applicants. </w:t>
      </w:r>
      <w:r w:rsidRPr="00E52D4D" w:rsidR="00F13E27">
        <w:rPr>
          <w:rFonts w:ascii="Times New Roman" w:hAnsi="Times New Roman"/>
          <w:iCs/>
          <w:sz w:val="24"/>
          <w:szCs w:val="24"/>
        </w:rPr>
        <w:t xml:space="preserve">Respondents </w:t>
      </w:r>
      <w:r w:rsidR="008C5366">
        <w:rPr>
          <w:rFonts w:ascii="Times New Roman" w:hAnsi="Times New Roman"/>
          <w:iCs/>
          <w:sz w:val="24"/>
          <w:szCs w:val="24"/>
        </w:rPr>
        <w:t>could</w:t>
      </w:r>
      <w:r w:rsidRPr="00E52D4D" w:rsidR="00F13E27">
        <w:rPr>
          <w:rFonts w:ascii="Times New Roman" w:hAnsi="Times New Roman"/>
          <w:iCs/>
          <w:sz w:val="24"/>
          <w:szCs w:val="24"/>
        </w:rPr>
        <w:t xml:space="preserve"> submit </w:t>
      </w:r>
      <w:r w:rsidR="006A0664">
        <w:rPr>
          <w:rFonts w:ascii="Times New Roman" w:hAnsi="Times New Roman"/>
          <w:iCs/>
          <w:sz w:val="24"/>
          <w:szCs w:val="24"/>
        </w:rPr>
        <w:t>the requested</w:t>
      </w:r>
      <w:r w:rsidRPr="00E52D4D" w:rsidR="006A0664">
        <w:rPr>
          <w:rFonts w:ascii="Times New Roman" w:hAnsi="Times New Roman"/>
          <w:iCs/>
          <w:sz w:val="24"/>
          <w:szCs w:val="24"/>
        </w:rPr>
        <w:t xml:space="preserve"> </w:t>
      </w:r>
      <w:r w:rsidRPr="00E52D4D" w:rsidR="00F13E27">
        <w:rPr>
          <w:rFonts w:ascii="Times New Roman" w:hAnsi="Times New Roman"/>
          <w:iCs/>
          <w:sz w:val="24"/>
          <w:szCs w:val="24"/>
        </w:rPr>
        <w:t xml:space="preserve">information </w:t>
      </w:r>
      <w:r w:rsidR="00A273DF">
        <w:rPr>
          <w:rFonts w:ascii="Times New Roman" w:hAnsi="Times New Roman"/>
          <w:iCs/>
          <w:sz w:val="24"/>
          <w:szCs w:val="24"/>
        </w:rPr>
        <w:t>any</w:t>
      </w:r>
      <w:r w:rsidRPr="00E52D4D" w:rsidR="00F13E27">
        <w:rPr>
          <w:rFonts w:ascii="Times New Roman" w:hAnsi="Times New Roman"/>
          <w:iCs/>
          <w:sz w:val="24"/>
          <w:szCs w:val="24"/>
        </w:rPr>
        <w:t xml:space="preserve"> </w:t>
      </w:r>
      <w:r w:rsidR="008C5366">
        <w:rPr>
          <w:rFonts w:ascii="Times New Roman" w:hAnsi="Times New Roman"/>
          <w:iCs/>
          <w:sz w:val="24"/>
          <w:szCs w:val="24"/>
        </w:rPr>
        <w:t>digital format</w:t>
      </w:r>
      <w:r w:rsidRPr="00E52D4D" w:rsidR="00F13E27">
        <w:rPr>
          <w:rFonts w:ascii="Times New Roman" w:hAnsi="Times New Roman"/>
          <w:iCs/>
          <w:sz w:val="24"/>
          <w:szCs w:val="24"/>
        </w:rPr>
        <w:t xml:space="preserve"> </w:t>
      </w:r>
      <w:r w:rsidR="008C5366">
        <w:rPr>
          <w:rFonts w:ascii="Times New Roman" w:hAnsi="Times New Roman"/>
          <w:iCs/>
          <w:sz w:val="24"/>
          <w:szCs w:val="24"/>
        </w:rPr>
        <w:t>and were not</w:t>
      </w:r>
      <w:r w:rsidRPr="00E52D4D" w:rsidR="008C5366">
        <w:rPr>
          <w:rFonts w:ascii="Times New Roman" w:hAnsi="Times New Roman"/>
          <w:iCs/>
          <w:sz w:val="24"/>
          <w:szCs w:val="24"/>
        </w:rPr>
        <w:t xml:space="preserve"> required to fill out</w:t>
      </w:r>
      <w:r w:rsidR="00933A01">
        <w:rPr>
          <w:rFonts w:ascii="Times New Roman" w:hAnsi="Times New Roman"/>
          <w:iCs/>
          <w:sz w:val="24"/>
          <w:szCs w:val="24"/>
        </w:rPr>
        <w:t xml:space="preserve"> an agency form</w:t>
      </w:r>
      <w:r w:rsidR="008C5366">
        <w:rPr>
          <w:rFonts w:ascii="Times New Roman" w:hAnsi="Times New Roman"/>
          <w:iCs/>
          <w:sz w:val="24"/>
          <w:szCs w:val="24"/>
        </w:rPr>
        <w:t xml:space="preserve">. </w:t>
      </w:r>
    </w:p>
    <w:p w:rsidR="008C5366" w:rsidRPr="00E52D4D" w:rsidP="00B928A5" w14:paraId="21A75AE8" w14:textId="77777777">
      <w:pPr>
        <w:ind w:left="360"/>
        <w:rPr>
          <w:rFonts w:ascii="Times New Roman" w:hAnsi="Times New Roman"/>
          <w:iCs/>
          <w:sz w:val="24"/>
          <w:szCs w:val="24"/>
        </w:rPr>
      </w:pPr>
    </w:p>
    <w:p w:rsidR="00315888" w:rsidRPr="00B928A5" w:rsidP="00B928A5" w14:paraId="2B4516F9" w14:textId="56D6D020">
      <w:pPr>
        <w:pStyle w:val="NormalWeb"/>
        <w:numPr>
          <w:ilvl w:val="0"/>
          <w:numId w:val="41"/>
        </w:numPr>
        <w:rPr>
          <w:rFonts w:ascii="Times New Roman" w:hAnsi="Times New Roman"/>
        </w:rPr>
      </w:pPr>
      <w:r w:rsidRPr="00B928A5">
        <w:rPr>
          <w:rFonts w:ascii="Times New Roman" w:hAnsi="Times New Roman"/>
          <w:b/>
          <w:bCs/>
        </w:rPr>
        <w:t xml:space="preserve">Efforts to </w:t>
      </w:r>
      <w:r w:rsidRPr="00B928A5" w:rsidR="00933A01">
        <w:rPr>
          <w:rFonts w:ascii="Times New Roman" w:hAnsi="Times New Roman"/>
          <w:b/>
          <w:bCs/>
        </w:rPr>
        <w:t>Identify D</w:t>
      </w:r>
      <w:r w:rsidRPr="00B928A5">
        <w:rPr>
          <w:rFonts w:ascii="Times New Roman" w:hAnsi="Times New Roman"/>
          <w:b/>
          <w:bCs/>
        </w:rPr>
        <w:t>uplication</w:t>
      </w:r>
      <w:r w:rsidRPr="00933A01" w:rsidR="00470720">
        <w:rPr>
          <w:rFonts w:ascii="Times New Roman" w:hAnsi="Times New Roman" w:cs="Times New Roman"/>
          <w:bCs/>
        </w:rPr>
        <w:t xml:space="preserve"> </w:t>
      </w:r>
      <w:r w:rsidRPr="00933A01" w:rsidR="00470720">
        <w:rPr>
          <w:rFonts w:ascii="Times New Roman" w:hAnsi="Times New Roman" w:cs="Times New Roman"/>
          <w:b/>
          <w:bCs/>
        </w:rPr>
        <w:t xml:space="preserve"> </w:t>
      </w:r>
    </w:p>
    <w:p w:rsidR="00C62F0A" w:rsidRPr="00E52D4D" w:rsidP="00B928A5" w14:paraId="148F0DC6" w14:textId="0FBBFE3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E52D4D">
        <w:rPr>
          <w:rFonts w:ascii="Times New Roman" w:hAnsi="Times New Roman"/>
          <w:color w:val="auto"/>
        </w:rPr>
        <w:t>CoE is a voluntary program</w:t>
      </w:r>
      <w:r w:rsidRPr="00E52D4D" w:rsidR="00E56236">
        <w:rPr>
          <w:rFonts w:ascii="Times New Roman" w:hAnsi="Times New Roman"/>
          <w:color w:val="auto"/>
        </w:rPr>
        <w:t xml:space="preserve">. </w:t>
      </w:r>
      <w:r w:rsidR="008C5366">
        <w:rPr>
          <w:rFonts w:ascii="Times New Roman" w:hAnsi="Times New Roman"/>
          <w:color w:val="auto"/>
        </w:rPr>
        <w:t>Each</w:t>
      </w:r>
      <w:r w:rsidRPr="00E52D4D" w:rsidR="00E56236">
        <w:rPr>
          <w:rFonts w:ascii="Times New Roman" w:hAnsi="Times New Roman"/>
          <w:color w:val="auto"/>
        </w:rPr>
        <w:t xml:space="preserve"> applicant institution provide</w:t>
      </w:r>
      <w:r w:rsidR="008C5366">
        <w:rPr>
          <w:rFonts w:ascii="Times New Roman" w:hAnsi="Times New Roman"/>
          <w:color w:val="auto"/>
        </w:rPr>
        <w:t>s</w:t>
      </w:r>
      <w:r w:rsidRPr="00E52D4D" w:rsidR="00E56236">
        <w:rPr>
          <w:rFonts w:ascii="Times New Roman" w:hAnsi="Times New Roman"/>
          <w:color w:val="auto"/>
        </w:rPr>
        <w:t xml:space="preserve"> unique supporting information</w:t>
      </w:r>
      <w:r w:rsidR="00727C55">
        <w:rPr>
          <w:rFonts w:ascii="Times New Roman" w:hAnsi="Times New Roman"/>
          <w:color w:val="auto"/>
        </w:rPr>
        <w:t xml:space="preserve"> (i.e.</w:t>
      </w:r>
      <w:r w:rsidR="00AF4B09">
        <w:rPr>
          <w:rFonts w:ascii="Times New Roman" w:hAnsi="Times New Roman"/>
          <w:color w:val="auto"/>
        </w:rPr>
        <w:t>, enrollment trends, engagement practices, and community feedback</w:t>
      </w:r>
      <w:r w:rsidR="00727C55">
        <w:rPr>
          <w:rFonts w:ascii="Times New Roman" w:hAnsi="Times New Roman"/>
          <w:color w:val="auto"/>
        </w:rPr>
        <w:t xml:space="preserve"> etc.),</w:t>
      </w:r>
      <w:r w:rsidR="00AF4B09">
        <w:rPr>
          <w:rFonts w:ascii="Times New Roman" w:hAnsi="Times New Roman"/>
          <w:color w:val="auto"/>
        </w:rPr>
        <w:t xml:space="preserve"> </w:t>
      </w:r>
      <w:r w:rsidRPr="00E52D4D" w:rsidR="00E56236">
        <w:rPr>
          <w:rFonts w:ascii="Times New Roman" w:hAnsi="Times New Roman"/>
          <w:color w:val="auto"/>
        </w:rPr>
        <w:t xml:space="preserve">to demonstrate how it meets the </w:t>
      </w:r>
      <w:r w:rsidR="008C5366">
        <w:rPr>
          <w:rFonts w:ascii="Times New Roman" w:hAnsi="Times New Roman"/>
          <w:color w:val="auto"/>
        </w:rPr>
        <w:t xml:space="preserve">eligibility and </w:t>
      </w:r>
      <w:r w:rsidRPr="00E52D4D" w:rsidR="00E56236">
        <w:rPr>
          <w:rFonts w:ascii="Times New Roman" w:hAnsi="Times New Roman"/>
          <w:color w:val="auto"/>
        </w:rPr>
        <w:t xml:space="preserve">designation criteria. </w:t>
      </w:r>
      <w:r w:rsidR="00AF4B09">
        <w:rPr>
          <w:rFonts w:ascii="Times New Roman" w:hAnsi="Times New Roman"/>
          <w:color w:val="auto"/>
        </w:rPr>
        <w:t>D</w:t>
      </w:r>
      <w:r w:rsidRPr="00E52D4D">
        <w:rPr>
          <w:rFonts w:ascii="Times New Roman" w:hAnsi="Times New Roman"/>
          <w:color w:val="auto"/>
        </w:rPr>
        <w:t>uplication</w:t>
      </w:r>
      <w:r w:rsidR="00AF4B09">
        <w:rPr>
          <w:rFonts w:ascii="Times New Roman" w:hAnsi="Times New Roman"/>
          <w:color w:val="auto"/>
        </w:rPr>
        <w:t xml:space="preserve"> is highly </w:t>
      </w:r>
      <w:r w:rsidRPr="00E52D4D">
        <w:rPr>
          <w:rFonts w:ascii="Times New Roman" w:hAnsi="Times New Roman"/>
          <w:color w:val="auto"/>
        </w:rPr>
        <w:t xml:space="preserve">unlikely due to the differences </w:t>
      </w:r>
      <w:r w:rsidRPr="00E52D4D" w:rsidR="00E56236">
        <w:rPr>
          <w:rFonts w:ascii="Times New Roman" w:hAnsi="Times New Roman"/>
          <w:color w:val="auto"/>
        </w:rPr>
        <w:t>in</w:t>
      </w:r>
      <w:r w:rsidRPr="00E52D4D">
        <w:rPr>
          <w:rFonts w:ascii="Times New Roman" w:hAnsi="Times New Roman"/>
          <w:color w:val="auto"/>
        </w:rPr>
        <w:t xml:space="preserve"> the </w:t>
      </w:r>
      <w:r w:rsidRPr="00E52D4D" w:rsidR="00286575">
        <w:rPr>
          <w:rFonts w:ascii="Times New Roman" w:hAnsi="Times New Roman"/>
          <w:color w:val="auto"/>
        </w:rPr>
        <w:t>specific</w:t>
      </w:r>
      <w:r w:rsidRPr="00E52D4D" w:rsidR="00E56236">
        <w:rPr>
          <w:rFonts w:ascii="Times New Roman" w:hAnsi="Times New Roman"/>
          <w:color w:val="auto"/>
        </w:rPr>
        <w:t xml:space="preserve"> </w:t>
      </w:r>
      <w:r w:rsidRPr="00E52D4D">
        <w:rPr>
          <w:rFonts w:ascii="Times New Roman" w:hAnsi="Times New Roman"/>
          <w:color w:val="auto"/>
        </w:rPr>
        <w:t xml:space="preserve">information </w:t>
      </w:r>
      <w:r w:rsidRPr="00E52D4D" w:rsidR="00286575">
        <w:rPr>
          <w:rFonts w:ascii="Times New Roman" w:hAnsi="Times New Roman"/>
          <w:color w:val="auto"/>
        </w:rPr>
        <w:t>subm</w:t>
      </w:r>
      <w:r w:rsidRPr="00E52D4D" w:rsidR="00C431B1">
        <w:rPr>
          <w:rFonts w:ascii="Times New Roman" w:hAnsi="Times New Roman"/>
          <w:color w:val="auto"/>
        </w:rPr>
        <w:t xml:space="preserve">itted by each </w:t>
      </w:r>
      <w:r w:rsidRPr="00E52D4D" w:rsidR="00286575">
        <w:rPr>
          <w:rFonts w:ascii="Times New Roman" w:hAnsi="Times New Roman"/>
          <w:color w:val="auto"/>
        </w:rPr>
        <w:t>applica</w:t>
      </w:r>
      <w:r w:rsidRPr="00E52D4D">
        <w:rPr>
          <w:rFonts w:ascii="Times New Roman" w:hAnsi="Times New Roman"/>
          <w:color w:val="auto"/>
        </w:rPr>
        <w:t>n</w:t>
      </w:r>
      <w:r w:rsidRPr="00E52D4D" w:rsidR="00286575">
        <w:rPr>
          <w:rFonts w:ascii="Times New Roman" w:hAnsi="Times New Roman"/>
          <w:color w:val="auto"/>
        </w:rPr>
        <w:t>t institution</w:t>
      </w:r>
      <w:r w:rsidRPr="00E52D4D">
        <w:rPr>
          <w:rFonts w:ascii="Times New Roman" w:hAnsi="Times New Roman"/>
          <w:color w:val="auto"/>
        </w:rPr>
        <w:t>.</w:t>
      </w:r>
      <w:r w:rsidR="00933A01">
        <w:rPr>
          <w:rFonts w:ascii="Times New Roman" w:hAnsi="Times New Roman"/>
          <w:color w:val="auto"/>
        </w:rPr>
        <w:t xml:space="preserve"> No other information collection requires similar data as the CoE program. </w:t>
      </w:r>
    </w:p>
    <w:p w:rsidR="0004749E" w14:paraId="4B917D4E" w14:textId="77777777">
      <w:pPr>
        <w:rPr>
          <w:rFonts w:ascii="Times New Roman" w:hAnsi="Times New Roman"/>
          <w:sz w:val="24"/>
          <w:szCs w:val="24"/>
        </w:rPr>
      </w:pPr>
    </w:p>
    <w:p w:rsidR="00C62F0A" w:rsidRPr="00B928A5" w:rsidP="00B928A5" w14:paraId="2780F81F" w14:textId="2CB6803E">
      <w:pPr>
        <w:pStyle w:val="ListParagraph"/>
        <w:numPr>
          <w:ilvl w:val="0"/>
          <w:numId w:val="41"/>
        </w:numPr>
        <w:rPr>
          <w:rFonts w:ascii="Times New Roman" w:hAnsi="Times New Roman"/>
          <w:b/>
          <w:bCs/>
          <w:sz w:val="24"/>
          <w:szCs w:val="24"/>
        </w:rPr>
      </w:pPr>
      <w:r w:rsidRPr="00B928A5">
        <w:rPr>
          <w:rFonts w:ascii="Times New Roman" w:hAnsi="Times New Roman"/>
          <w:b/>
          <w:sz w:val="24"/>
          <w:szCs w:val="24"/>
        </w:rPr>
        <w:t>Impact on</w:t>
      </w:r>
      <w:r w:rsidRPr="00B928A5" w:rsidR="0004749E">
        <w:rPr>
          <w:rFonts w:ascii="Times New Roman" w:hAnsi="Times New Roman"/>
          <w:b/>
          <w:sz w:val="24"/>
          <w:szCs w:val="24"/>
        </w:rPr>
        <w:t xml:space="preserve"> </w:t>
      </w:r>
      <w:r w:rsidRPr="00B928A5">
        <w:rPr>
          <w:rFonts w:ascii="Times New Roman" w:hAnsi="Times New Roman"/>
          <w:b/>
          <w:sz w:val="24"/>
          <w:szCs w:val="24"/>
        </w:rPr>
        <w:t>S</w:t>
      </w:r>
      <w:r w:rsidRPr="00B928A5" w:rsidR="0004749E">
        <w:rPr>
          <w:rFonts w:ascii="Times New Roman" w:hAnsi="Times New Roman"/>
          <w:b/>
          <w:sz w:val="24"/>
          <w:szCs w:val="24"/>
        </w:rPr>
        <w:t xml:space="preserve">mall </w:t>
      </w:r>
      <w:r w:rsidRPr="00B928A5">
        <w:rPr>
          <w:rFonts w:ascii="Times New Roman" w:hAnsi="Times New Roman"/>
          <w:b/>
          <w:sz w:val="24"/>
          <w:szCs w:val="24"/>
        </w:rPr>
        <w:t>B</w:t>
      </w:r>
      <w:r w:rsidRPr="00B928A5" w:rsidR="0004749E">
        <w:rPr>
          <w:rFonts w:ascii="Times New Roman" w:hAnsi="Times New Roman"/>
          <w:b/>
          <w:sz w:val="24"/>
          <w:szCs w:val="24"/>
        </w:rPr>
        <w:t>usinesses</w:t>
      </w:r>
      <w:r w:rsidRPr="00B928A5">
        <w:rPr>
          <w:rFonts w:ascii="Times New Roman" w:hAnsi="Times New Roman"/>
          <w:b/>
          <w:sz w:val="24"/>
          <w:szCs w:val="24"/>
        </w:rPr>
        <w:t xml:space="preserve"> or Other Small Entities</w:t>
      </w:r>
    </w:p>
    <w:p w:rsidR="00F52CB9" w:rsidRPr="00E52D4D" w:rsidP="004814D8" w14:paraId="261DC1B4" w14:textId="77777777">
      <w:pPr>
        <w:rPr>
          <w:rFonts w:ascii="Times New Roman" w:hAnsi="Times New Roman"/>
          <w:sz w:val="24"/>
          <w:szCs w:val="24"/>
        </w:rPr>
      </w:pPr>
    </w:p>
    <w:p w:rsidR="003C0053" w:rsidRPr="00E52D4D" w:rsidP="00B928A5" w14:paraId="19BB8E7D" w14:textId="36682DD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This collection has no impact on small businesses or other small entities. </w:t>
      </w:r>
    </w:p>
    <w:p w:rsidR="0004749E" w:rsidRPr="00E52D4D" w:rsidP="003C0053" w14:paraId="4B5600F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E52D4D">
        <w:rPr>
          <w:rFonts w:ascii="Times New Roman" w:hAnsi="Times New Roman"/>
          <w:color w:val="auto"/>
        </w:rPr>
        <w:t xml:space="preserve"> </w:t>
      </w:r>
    </w:p>
    <w:p w:rsidR="009C2A25" w:rsidRPr="00B928A5" w:rsidP="00B928A5" w14:paraId="2C0977CB" w14:textId="29AAC5C2">
      <w:pPr>
        <w:pStyle w:val="ListParagraph"/>
        <w:numPr>
          <w:ilvl w:val="0"/>
          <w:numId w:val="41"/>
        </w:numPr>
        <w:rPr>
          <w:rFonts w:ascii="Times New Roman" w:hAnsi="Times New Roman"/>
          <w:b/>
          <w:sz w:val="24"/>
          <w:szCs w:val="24"/>
        </w:rPr>
      </w:pPr>
      <w:r w:rsidRPr="00B928A5">
        <w:rPr>
          <w:rFonts w:ascii="Times New Roman" w:hAnsi="Times New Roman"/>
          <w:b/>
          <w:sz w:val="24"/>
          <w:szCs w:val="24"/>
        </w:rPr>
        <w:t xml:space="preserve">Impact of </w:t>
      </w:r>
      <w:r w:rsidRPr="00B928A5" w:rsidR="0032428A">
        <w:rPr>
          <w:rFonts w:ascii="Times New Roman" w:hAnsi="Times New Roman"/>
          <w:b/>
          <w:sz w:val="24"/>
          <w:szCs w:val="24"/>
        </w:rPr>
        <w:t>Not Conducting or L</w:t>
      </w:r>
      <w:r w:rsidRPr="00B928A5">
        <w:rPr>
          <w:rFonts w:ascii="Times New Roman" w:hAnsi="Times New Roman"/>
          <w:b/>
          <w:sz w:val="24"/>
          <w:szCs w:val="24"/>
        </w:rPr>
        <w:t xml:space="preserve">ess </w:t>
      </w:r>
      <w:r w:rsidRPr="00B928A5" w:rsidR="0032428A">
        <w:rPr>
          <w:rFonts w:ascii="Times New Roman" w:hAnsi="Times New Roman"/>
          <w:b/>
          <w:sz w:val="24"/>
          <w:szCs w:val="24"/>
        </w:rPr>
        <w:t>F</w:t>
      </w:r>
      <w:r w:rsidRPr="00B928A5">
        <w:rPr>
          <w:rFonts w:ascii="Times New Roman" w:hAnsi="Times New Roman"/>
          <w:b/>
          <w:sz w:val="24"/>
          <w:szCs w:val="24"/>
        </w:rPr>
        <w:t xml:space="preserve">requent </w:t>
      </w:r>
      <w:r w:rsidRPr="00B928A5" w:rsidR="0032428A">
        <w:rPr>
          <w:rFonts w:ascii="Times New Roman" w:hAnsi="Times New Roman"/>
          <w:b/>
          <w:sz w:val="24"/>
          <w:szCs w:val="24"/>
        </w:rPr>
        <w:t>C</w:t>
      </w:r>
      <w:r w:rsidRPr="00B928A5">
        <w:rPr>
          <w:rFonts w:ascii="Times New Roman" w:hAnsi="Times New Roman"/>
          <w:b/>
          <w:sz w:val="24"/>
          <w:szCs w:val="24"/>
        </w:rPr>
        <w:t xml:space="preserve">ollection of </w:t>
      </w:r>
      <w:r w:rsidRPr="00B928A5" w:rsidR="0032428A">
        <w:rPr>
          <w:rFonts w:ascii="Times New Roman" w:hAnsi="Times New Roman"/>
          <w:b/>
          <w:sz w:val="24"/>
          <w:szCs w:val="24"/>
        </w:rPr>
        <w:t>I</w:t>
      </w:r>
      <w:r w:rsidRPr="00B928A5">
        <w:rPr>
          <w:rFonts w:ascii="Times New Roman" w:hAnsi="Times New Roman"/>
          <w:b/>
          <w:sz w:val="24"/>
          <w:szCs w:val="24"/>
        </w:rPr>
        <w:t>nformation</w:t>
      </w:r>
    </w:p>
    <w:p w:rsidR="004814D8" w:rsidRPr="007A388C" w:rsidP="00C62F0A" w14:paraId="0245617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32428A" w:rsidP="00E31AF7" w14:paraId="3D3D9B81" w14:textId="240DD1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rPr>
          <w:rFonts w:ascii="Times New Roman" w:hAnsi="Times New Roman"/>
          <w:color w:val="auto"/>
        </w:rPr>
      </w:pPr>
      <w:r w:rsidRPr="00E52D4D">
        <w:rPr>
          <w:rFonts w:ascii="Times New Roman" w:hAnsi="Times New Roman"/>
          <w:color w:val="auto"/>
        </w:rPr>
        <w:t xml:space="preserve">MARAD will </w:t>
      </w:r>
      <w:r w:rsidRPr="00E52D4D" w:rsidR="00345ADD">
        <w:rPr>
          <w:rFonts w:ascii="Times New Roman" w:hAnsi="Times New Roman"/>
          <w:color w:val="auto"/>
        </w:rPr>
        <w:t xml:space="preserve">be unable to </w:t>
      </w:r>
      <w:r w:rsidR="00712CF6">
        <w:rPr>
          <w:rFonts w:ascii="Times New Roman" w:hAnsi="Times New Roman"/>
          <w:color w:val="auto"/>
        </w:rPr>
        <w:t>continue</w:t>
      </w:r>
      <w:r w:rsidRPr="00E52D4D" w:rsidR="00345ADD">
        <w:rPr>
          <w:rFonts w:ascii="Times New Roman" w:hAnsi="Times New Roman"/>
          <w:color w:val="auto"/>
        </w:rPr>
        <w:t xml:space="preserve"> th</w:t>
      </w:r>
      <w:r>
        <w:rPr>
          <w:rFonts w:ascii="Times New Roman" w:hAnsi="Times New Roman"/>
          <w:color w:val="auto"/>
        </w:rPr>
        <w:t xml:space="preserve">e </w:t>
      </w:r>
      <w:r w:rsidRPr="00E52D4D" w:rsidR="00345ADD">
        <w:rPr>
          <w:rFonts w:ascii="Times New Roman" w:hAnsi="Times New Roman"/>
          <w:color w:val="auto"/>
        </w:rPr>
        <w:t>congressionally mandated CoE program</w:t>
      </w:r>
      <w:r>
        <w:rPr>
          <w:rFonts w:ascii="Times New Roman" w:hAnsi="Times New Roman"/>
          <w:color w:val="auto"/>
        </w:rPr>
        <w:t xml:space="preserve"> without this</w:t>
      </w:r>
    </w:p>
    <w:p w:rsidR="0004749E" w:rsidRPr="00E52D4D" w:rsidP="00B928A5" w14:paraId="3AB9E1D6" w14:textId="5846CA6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rPr>
          <w:rFonts w:ascii="Times New Roman" w:hAnsi="Times New Roman"/>
          <w:color w:val="auto"/>
        </w:rPr>
      </w:pPr>
      <w:r>
        <w:rPr>
          <w:rFonts w:ascii="Times New Roman" w:hAnsi="Times New Roman"/>
          <w:color w:val="auto"/>
        </w:rPr>
        <w:t>c</w:t>
      </w:r>
      <w:r w:rsidR="0032428A">
        <w:rPr>
          <w:rFonts w:ascii="Times New Roman" w:hAnsi="Times New Roman"/>
          <w:color w:val="auto"/>
        </w:rPr>
        <w:t>ollection of information</w:t>
      </w:r>
      <w:r w:rsidRPr="00E52D4D" w:rsidR="000865AF">
        <w:rPr>
          <w:rFonts w:ascii="Times New Roman" w:hAnsi="Times New Roman"/>
          <w:color w:val="auto"/>
        </w:rPr>
        <w:t>.</w:t>
      </w:r>
      <w:r w:rsidRPr="00E52D4D" w:rsidR="00C62F0A">
        <w:rPr>
          <w:rFonts w:ascii="Times New Roman" w:hAnsi="Times New Roman"/>
          <w:color w:val="auto"/>
        </w:rPr>
        <w:t xml:space="preserve">  </w:t>
      </w:r>
    </w:p>
    <w:p w:rsidR="000865AF" w:rsidRPr="00E52D4D" w:rsidP="00C62F0A" w14:paraId="0819980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32428A" w:rsidP="00E31AF7" w14:paraId="2DE72A22" w14:textId="77777777">
      <w:pPr>
        <w:pStyle w:val="ListParagraph"/>
        <w:numPr>
          <w:ilvl w:val="0"/>
          <w:numId w:val="41"/>
        </w:numPr>
        <w:rPr>
          <w:rFonts w:ascii="Times New Roman" w:hAnsi="Times New Roman"/>
          <w:b/>
          <w:sz w:val="24"/>
          <w:szCs w:val="24"/>
        </w:rPr>
      </w:pPr>
      <w:r w:rsidRPr="0032428A">
        <w:rPr>
          <w:rFonts w:ascii="Times New Roman" w:hAnsi="Times New Roman"/>
          <w:b/>
          <w:sz w:val="24"/>
          <w:szCs w:val="24"/>
        </w:rPr>
        <w:t>Special Circumstances Relating to the Guidelines 5 CFR 1320.5</w:t>
      </w:r>
    </w:p>
    <w:p w:rsidR="0032428A" w:rsidP="00E31AF7" w14:paraId="297AD38E" w14:textId="77777777">
      <w:pPr>
        <w:ind w:left="360"/>
        <w:rPr>
          <w:rFonts w:ascii="Times New Roman" w:hAnsi="Times New Roman"/>
          <w:b/>
          <w:sz w:val="24"/>
          <w:szCs w:val="24"/>
        </w:rPr>
      </w:pPr>
    </w:p>
    <w:p w:rsidR="0032428A" w:rsidP="00E31AF7" w14:paraId="660408A3" w14:textId="4066F485">
      <w:pPr>
        <w:ind w:left="360"/>
        <w:rPr>
          <w:rFonts w:ascii="Times New Roman" w:hAnsi="Times New Roman"/>
          <w:bCs/>
          <w:sz w:val="24"/>
          <w:szCs w:val="24"/>
        </w:rPr>
      </w:pPr>
      <w:r w:rsidRPr="00B928A5">
        <w:rPr>
          <w:rFonts w:ascii="Times New Roman" w:hAnsi="Times New Roman"/>
          <w:bCs/>
          <w:sz w:val="24"/>
          <w:szCs w:val="24"/>
        </w:rPr>
        <w:t xml:space="preserve">There are no special circumstances associated with this collection of information such as those outlined below: </w:t>
      </w:r>
    </w:p>
    <w:p w:rsidR="000669D0" w:rsidP="00E31AF7" w14:paraId="3FDFC45E" w14:textId="77777777">
      <w:pPr>
        <w:ind w:left="360"/>
        <w:rPr>
          <w:rFonts w:ascii="Times New Roman" w:hAnsi="Times New Roman"/>
          <w:bCs/>
          <w:sz w:val="24"/>
          <w:szCs w:val="24"/>
        </w:rPr>
      </w:pPr>
    </w:p>
    <w:p w:rsidR="000669D0" w:rsidRPr="00C94597" w:rsidP="00B928A5" w14:paraId="285D8322" w14:textId="77777777">
      <w:pPr>
        <w:numPr>
          <w:ilvl w:val="0"/>
          <w:numId w:val="43"/>
        </w:numPr>
        <w:contextualSpacing/>
        <w:rPr>
          <w:rFonts w:ascii="Times New Roman" w:hAnsi="Times New Roman"/>
          <w:bCs/>
          <w:sz w:val="24"/>
          <w:szCs w:val="24"/>
        </w:rPr>
      </w:pPr>
      <w:r w:rsidRPr="00C94597">
        <w:rPr>
          <w:rFonts w:ascii="Times New Roman" w:hAnsi="Times New Roman"/>
          <w:bCs/>
          <w:sz w:val="24"/>
          <w:szCs w:val="24"/>
        </w:rPr>
        <w:t>Requiring respondents to report information to MARAD more often than quarterly;</w:t>
      </w:r>
    </w:p>
    <w:p w:rsidR="000669D0" w:rsidRPr="00C94597" w:rsidP="00B928A5" w14:paraId="267C7A95" w14:textId="77777777">
      <w:pPr>
        <w:numPr>
          <w:ilvl w:val="0"/>
          <w:numId w:val="43"/>
        </w:numPr>
        <w:contextualSpacing/>
        <w:rPr>
          <w:rFonts w:ascii="Times New Roman" w:hAnsi="Times New Roman"/>
          <w:bCs/>
          <w:sz w:val="24"/>
          <w:szCs w:val="24"/>
        </w:rPr>
      </w:pPr>
      <w:r w:rsidRPr="00C94597">
        <w:rPr>
          <w:rFonts w:ascii="Times New Roman" w:hAnsi="Times New Roman"/>
          <w:bCs/>
          <w:sz w:val="24"/>
          <w:szCs w:val="24"/>
        </w:rPr>
        <w:t>Requiring respondents to prepare a written response in fewer than 30 days after receipt of a collection instrument;</w:t>
      </w:r>
    </w:p>
    <w:p w:rsidR="000669D0" w:rsidRPr="00C94597" w:rsidP="00B928A5" w14:paraId="107767B2" w14:textId="77777777">
      <w:pPr>
        <w:numPr>
          <w:ilvl w:val="0"/>
          <w:numId w:val="43"/>
        </w:numPr>
        <w:contextualSpacing/>
        <w:rPr>
          <w:rFonts w:ascii="Times New Roman" w:hAnsi="Times New Roman"/>
          <w:bCs/>
          <w:sz w:val="24"/>
          <w:szCs w:val="24"/>
        </w:rPr>
      </w:pPr>
      <w:r w:rsidRPr="00C94597">
        <w:rPr>
          <w:rFonts w:ascii="Times New Roman" w:hAnsi="Times New Roman"/>
          <w:bCs/>
          <w:sz w:val="24"/>
          <w:szCs w:val="24"/>
        </w:rPr>
        <w:t>Requiring respondents to submit more than one original copy of any document;</w:t>
      </w:r>
    </w:p>
    <w:p w:rsidR="000669D0" w:rsidRPr="00C94597" w:rsidP="00B928A5" w14:paraId="4FD1C8AB" w14:textId="77777777">
      <w:pPr>
        <w:numPr>
          <w:ilvl w:val="0"/>
          <w:numId w:val="43"/>
        </w:numPr>
        <w:contextualSpacing/>
        <w:rPr>
          <w:rFonts w:ascii="Times New Roman" w:hAnsi="Times New Roman"/>
          <w:bCs/>
          <w:sz w:val="24"/>
          <w:szCs w:val="24"/>
        </w:rPr>
      </w:pPr>
      <w:r w:rsidRPr="00C94597">
        <w:rPr>
          <w:rFonts w:ascii="Times New Roman" w:hAnsi="Times New Roman"/>
          <w:bCs/>
          <w:sz w:val="24"/>
          <w:szCs w:val="24"/>
        </w:rPr>
        <w:t>Requiring respondents to retain records, other than health, medical, government contract, grant-in-aid, or tax records for more than three years;</w:t>
      </w:r>
    </w:p>
    <w:p w:rsidR="000669D0" w:rsidRPr="00C94597" w:rsidP="00B928A5" w14:paraId="3E0C1A05" w14:textId="77777777">
      <w:pPr>
        <w:numPr>
          <w:ilvl w:val="0"/>
          <w:numId w:val="43"/>
        </w:numPr>
        <w:contextualSpacing/>
        <w:rPr>
          <w:rFonts w:ascii="Times New Roman" w:hAnsi="Times New Roman"/>
          <w:bCs/>
          <w:sz w:val="24"/>
          <w:szCs w:val="24"/>
        </w:rPr>
      </w:pPr>
      <w:r w:rsidRPr="00C94597">
        <w:rPr>
          <w:rFonts w:ascii="Times New Roman" w:hAnsi="Times New Roman"/>
          <w:bCs/>
          <w:sz w:val="24"/>
          <w:szCs w:val="24"/>
        </w:rPr>
        <w:t>Requiring the use of any statistical data that is not designed to produce valid and reliable results that can be generalized to the universe of study;</w:t>
      </w:r>
    </w:p>
    <w:p w:rsidR="000669D0" w:rsidRPr="00C94597" w:rsidP="00B928A5" w14:paraId="714EF9BF" w14:textId="77777777">
      <w:pPr>
        <w:numPr>
          <w:ilvl w:val="0"/>
          <w:numId w:val="43"/>
        </w:numPr>
        <w:contextualSpacing/>
        <w:rPr>
          <w:rFonts w:ascii="Times New Roman" w:hAnsi="Times New Roman"/>
          <w:bCs/>
          <w:sz w:val="24"/>
          <w:szCs w:val="24"/>
        </w:rPr>
      </w:pPr>
      <w:r w:rsidRPr="00C94597">
        <w:rPr>
          <w:rFonts w:ascii="Times New Roman" w:hAnsi="Times New Roman"/>
          <w:bCs/>
          <w:sz w:val="24"/>
          <w:szCs w:val="24"/>
        </w:rPr>
        <w:t>Requiring the use of a statistical data classification that has not been reviewed and approved by OMB;</w:t>
      </w:r>
    </w:p>
    <w:p w:rsidR="000669D0" w:rsidRPr="00C94597" w:rsidP="00B928A5" w14:paraId="7DCFFC9C" w14:textId="77777777">
      <w:pPr>
        <w:numPr>
          <w:ilvl w:val="0"/>
          <w:numId w:val="43"/>
        </w:numPr>
        <w:contextualSpacing/>
        <w:rPr>
          <w:rFonts w:ascii="Times New Roman" w:hAnsi="Times New Roman"/>
          <w:bCs/>
          <w:sz w:val="24"/>
          <w:szCs w:val="24"/>
        </w:rPr>
      </w:pPr>
      <w:r>
        <w:rPr>
          <w:rFonts w:ascii="Times New Roman" w:hAnsi="Times New Roman"/>
          <w:bCs/>
          <w:sz w:val="24"/>
          <w:szCs w:val="24"/>
        </w:rPr>
        <w:t>Requiring any</w:t>
      </w:r>
      <w:r w:rsidRPr="00C94597">
        <w:rPr>
          <w:rFonts w:ascii="Times New Roman" w:hAnsi="Times New Roman"/>
          <w:bCs/>
          <w:sz w:val="24"/>
          <w:szCs w:val="24"/>
        </w:rPr>
        <w:t xml:space="preserve"> pledge of confidentiality</w:t>
      </w:r>
      <w:r>
        <w:rPr>
          <w:rFonts w:ascii="Times New Roman" w:hAnsi="Times New Roman"/>
          <w:bCs/>
          <w:sz w:val="24"/>
          <w:szCs w:val="24"/>
        </w:rPr>
        <w:t xml:space="preserve">; </w:t>
      </w:r>
      <w:r w:rsidRPr="00C94597">
        <w:rPr>
          <w:rFonts w:ascii="Times New Roman" w:hAnsi="Times New Roman"/>
          <w:bCs/>
          <w:sz w:val="24"/>
          <w:szCs w:val="24"/>
        </w:rPr>
        <w:t xml:space="preserve">or </w:t>
      </w:r>
    </w:p>
    <w:p w:rsidR="0032428A" w:rsidRPr="00B928A5" w:rsidP="00B928A5" w14:paraId="0C41C912" w14:textId="48BF01A6">
      <w:pPr>
        <w:numPr>
          <w:ilvl w:val="0"/>
          <w:numId w:val="43"/>
        </w:numPr>
        <w:contextualSpacing/>
        <w:rPr>
          <w:rFonts w:ascii="Times New Roman" w:hAnsi="Times New Roman"/>
          <w:bCs/>
          <w:sz w:val="24"/>
          <w:szCs w:val="24"/>
        </w:rPr>
      </w:pPr>
      <w:r w:rsidRPr="00C94597">
        <w:rPr>
          <w:rFonts w:ascii="Times New Roman" w:hAnsi="Times New Roman"/>
          <w:bCs/>
          <w:sz w:val="24"/>
          <w:szCs w:val="24"/>
        </w:rPr>
        <w:t xml:space="preserve">Requiring respondents to submit </w:t>
      </w:r>
      <w:r>
        <w:rPr>
          <w:rFonts w:ascii="Times New Roman" w:hAnsi="Times New Roman"/>
          <w:bCs/>
          <w:sz w:val="24"/>
          <w:szCs w:val="24"/>
        </w:rPr>
        <w:t xml:space="preserve">any </w:t>
      </w:r>
      <w:r w:rsidRPr="00C94597">
        <w:rPr>
          <w:rFonts w:ascii="Times New Roman" w:hAnsi="Times New Roman"/>
          <w:bCs/>
          <w:sz w:val="24"/>
          <w:szCs w:val="24"/>
        </w:rPr>
        <w:t>proprietary</w:t>
      </w:r>
      <w:r>
        <w:rPr>
          <w:rFonts w:ascii="Times New Roman" w:hAnsi="Times New Roman"/>
          <w:bCs/>
          <w:sz w:val="24"/>
          <w:szCs w:val="24"/>
        </w:rPr>
        <w:t xml:space="preserve"> or</w:t>
      </w:r>
      <w:r w:rsidRPr="00C94597">
        <w:rPr>
          <w:rFonts w:ascii="Times New Roman" w:hAnsi="Times New Roman"/>
          <w:bCs/>
          <w:sz w:val="24"/>
          <w:szCs w:val="24"/>
        </w:rPr>
        <w:t xml:space="preserve"> trade secret</w:t>
      </w:r>
      <w:r>
        <w:rPr>
          <w:rFonts w:ascii="Times New Roman" w:hAnsi="Times New Roman"/>
          <w:bCs/>
          <w:sz w:val="24"/>
          <w:szCs w:val="24"/>
        </w:rPr>
        <w:t>s</w:t>
      </w:r>
      <w:r w:rsidRPr="00C94597">
        <w:rPr>
          <w:rFonts w:ascii="Times New Roman" w:hAnsi="Times New Roman"/>
          <w:bCs/>
          <w:sz w:val="24"/>
          <w:szCs w:val="24"/>
        </w:rPr>
        <w:t>.</w:t>
      </w:r>
    </w:p>
    <w:p w:rsidR="008C516A" w:rsidRPr="00E52D4D" w:rsidP="008C516A" w14:paraId="34485B61" w14:textId="77777777">
      <w:pPr>
        <w:ind w:left="720"/>
        <w:rPr>
          <w:rFonts w:ascii="Times New Roman" w:hAnsi="Times New Roman"/>
          <w:sz w:val="24"/>
          <w:szCs w:val="24"/>
        </w:rPr>
      </w:pPr>
    </w:p>
    <w:p w:rsidR="005552F6" w:rsidRPr="00B928A5" w:rsidP="00B928A5" w14:paraId="56E66364" w14:textId="63B0D533">
      <w:pPr>
        <w:pStyle w:val="ListParagraph"/>
        <w:numPr>
          <w:ilvl w:val="0"/>
          <w:numId w:val="41"/>
        </w:numPr>
        <w:rPr>
          <w:rFonts w:ascii="Times New Roman" w:hAnsi="Times New Roman"/>
          <w:b/>
          <w:sz w:val="24"/>
          <w:szCs w:val="24"/>
        </w:rPr>
      </w:pPr>
      <w:r w:rsidRPr="00B928A5">
        <w:rPr>
          <w:rFonts w:ascii="Times New Roman" w:hAnsi="Times New Roman"/>
          <w:b/>
          <w:sz w:val="24"/>
          <w:szCs w:val="24"/>
        </w:rPr>
        <w:t xml:space="preserve">Public Comments in Response to the Federal Register Notice and Outside Consultation </w:t>
      </w:r>
    </w:p>
    <w:p w:rsidR="00F52CB9" w:rsidP="008C516A" w14:paraId="428C4FC5" w14:textId="77777777">
      <w:pPr>
        <w:rPr>
          <w:rFonts w:ascii="Times New Roman" w:hAnsi="Times New Roman"/>
          <w:sz w:val="24"/>
          <w:szCs w:val="24"/>
        </w:rPr>
      </w:pPr>
    </w:p>
    <w:p w:rsidR="00A77231" w:rsidP="00A77231" w14:paraId="30EF1D40" w14:textId="50B07C92">
      <w:pPr>
        <w:ind w:left="360"/>
        <w:rPr>
          <w:rFonts w:ascii="Times New Roman" w:hAnsi="Times New Roman"/>
          <w:snapToGrid w:val="0"/>
          <w:sz w:val="24"/>
        </w:rPr>
      </w:pPr>
      <w:r>
        <w:rPr>
          <w:rFonts w:ascii="Times New Roman" w:hAnsi="Times New Roman"/>
          <w:snapToGrid w:val="0"/>
          <w:sz w:val="24"/>
        </w:rPr>
        <w:t xml:space="preserve">MARAD will publish both a 60-day and a 30-day notice in the Federal Register to solicit public comments. </w:t>
      </w:r>
    </w:p>
    <w:p w:rsidR="00991333" w:rsidRPr="00BB37E7" w:rsidP="00A77231" w14:paraId="1E87FA7B" w14:textId="77777777">
      <w:pPr>
        <w:ind w:left="360"/>
        <w:rPr>
          <w:rFonts w:ascii="Times New Roman" w:hAnsi="Times New Roman"/>
          <w:b/>
          <w:sz w:val="24"/>
          <w:szCs w:val="24"/>
        </w:rPr>
      </w:pPr>
    </w:p>
    <w:p w:rsidR="00D153D1" w:rsidP="00B928A5" w14:paraId="265C5820" w14:textId="6E874F23">
      <w:pPr>
        <w:ind w:left="360"/>
        <w:rPr>
          <w:rFonts w:ascii="Times New Roman" w:hAnsi="Times New Roman"/>
          <w:sz w:val="24"/>
          <w:szCs w:val="24"/>
        </w:rPr>
      </w:pPr>
      <w:r w:rsidRPr="00BB37E7">
        <w:rPr>
          <w:rFonts w:ascii="Times New Roman" w:hAnsi="Times New Roman"/>
          <w:sz w:val="24"/>
          <w:szCs w:val="24"/>
        </w:rPr>
        <w:t xml:space="preserve">Since the enactment of the authorizing statute on 12 December 2017, MARAD has met with </w:t>
      </w:r>
      <w:r w:rsidRPr="00BB37E7">
        <w:rPr>
          <w:rFonts w:ascii="Times New Roman" w:hAnsi="Times New Roman"/>
          <w:sz w:val="24"/>
          <w:szCs w:val="24"/>
        </w:rPr>
        <w:t>numerous interested stakeholders outside MARAD to receive their perspectives.</w:t>
      </w:r>
      <w:r w:rsidR="000669D0">
        <w:rPr>
          <w:rFonts w:ascii="Times New Roman" w:hAnsi="Times New Roman"/>
          <w:sz w:val="24"/>
          <w:szCs w:val="24"/>
        </w:rPr>
        <w:t xml:space="preserve"> </w:t>
      </w:r>
      <w:r w:rsidRPr="00BB37E7">
        <w:rPr>
          <w:rFonts w:ascii="Times New Roman" w:hAnsi="Times New Roman"/>
          <w:sz w:val="24"/>
          <w:szCs w:val="24"/>
        </w:rPr>
        <w:t>MARAD participated in the following conferences</w:t>
      </w:r>
      <w:r w:rsidR="00A765A8">
        <w:rPr>
          <w:rFonts w:ascii="Times New Roman" w:hAnsi="Times New Roman"/>
          <w:sz w:val="24"/>
          <w:szCs w:val="24"/>
        </w:rPr>
        <w:t>, webinars, and information sessions</w:t>
      </w:r>
      <w:r w:rsidRPr="00BB37E7">
        <w:rPr>
          <w:rFonts w:ascii="Times New Roman" w:hAnsi="Times New Roman"/>
          <w:sz w:val="24"/>
          <w:szCs w:val="24"/>
        </w:rPr>
        <w:t xml:space="preserve"> with CoE stakeholders:</w:t>
      </w:r>
    </w:p>
    <w:p w:rsidR="007A388C" w:rsidP="008C516A" w14:paraId="5C2CAC56" w14:textId="77777777">
      <w:pPr>
        <w:ind w:left="720"/>
        <w:rPr>
          <w:rFonts w:ascii="Times New Roman" w:hAnsi="Times New Roman"/>
          <w:sz w:val="24"/>
          <w:szCs w:val="24"/>
        </w:rPr>
      </w:pPr>
    </w:p>
    <w:p w:rsidR="004045ED" w:rsidRPr="001619E7" w:rsidP="00B928A5" w14:paraId="5E526AE9"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April 16, 2024: DOT “Mariner Work-Life Balance Symposium”, Washington DC</w:t>
      </w:r>
    </w:p>
    <w:p w:rsidR="004045ED" w:rsidRPr="001619E7" w:rsidP="00B928A5" w14:paraId="1ADC637C"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March 6, 2024: “Centers of Excellence Designee Briefing”</w:t>
      </w:r>
    </w:p>
    <w:p w:rsidR="004045ED" w:rsidRPr="001619E7" w:rsidP="00B928A5" w14:paraId="13E142AC"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July 27 &amp; August 1, 2023: MARAD “Center of Excellence Designation Application Submission Walk-Through”</w:t>
      </w:r>
    </w:p>
    <w:p w:rsidR="004045ED" w:rsidRPr="001619E7" w:rsidP="00B928A5" w14:paraId="43C783EC"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October 16-17, 2023: SOCP “Building the Maritime Workforce of the Future”, Linthicum, MD</w:t>
      </w:r>
    </w:p>
    <w:p w:rsidR="004045ED" w:rsidRPr="001619E7" w:rsidP="00B928A5" w14:paraId="581CBA7E"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August 2 &amp; 18, 2022: MARAD “Center of Excellence Application Webinar”</w:t>
      </w:r>
    </w:p>
    <w:p w:rsidR="004045ED" w:rsidRPr="001619E7" w:rsidP="00B928A5" w14:paraId="612B51BB"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May 26, 2022: MARAD “2021 Centers of Excellence: Designation Anniversary Meeting”</w:t>
      </w:r>
    </w:p>
    <w:p w:rsidR="004045ED" w:rsidRPr="001619E7" w:rsidP="00B928A5" w14:paraId="55EB6A98"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February 9, 2022: MPSEC &amp; Tall Ships America “Centers of Excellence: Navigating a Stronger Future”</w:t>
      </w:r>
    </w:p>
    <w:p w:rsidR="004045ED" w:rsidRPr="001619E7" w:rsidP="00B928A5" w14:paraId="43652621" w14:textId="77777777">
      <w:pPr>
        <w:numPr>
          <w:ilvl w:val="0"/>
          <w:numId w:val="35"/>
        </w:numPr>
        <w:ind w:left="810" w:hanging="450"/>
        <w:rPr>
          <w:rFonts w:ascii="Times New Roman" w:hAnsi="Times New Roman"/>
          <w:sz w:val="24"/>
          <w:szCs w:val="24"/>
        </w:rPr>
      </w:pPr>
      <w:r w:rsidRPr="001619E7">
        <w:rPr>
          <w:rFonts w:ascii="Times New Roman" w:hAnsi="Times New Roman"/>
          <w:sz w:val="24"/>
          <w:szCs w:val="24"/>
        </w:rPr>
        <w:t>November 18, 2021: SOCP “Building Maritime Workforce Pathways through the Centers of Excellence Program”</w:t>
      </w:r>
    </w:p>
    <w:p w:rsidR="00DA4261" w:rsidRPr="00BB37E7" w:rsidP="00DA4261" w14:paraId="4FC46F94" w14:textId="77777777">
      <w:pPr>
        <w:ind w:left="720"/>
        <w:rPr>
          <w:rFonts w:ascii="Times New Roman" w:hAnsi="Times New Roman"/>
          <w:sz w:val="24"/>
          <w:szCs w:val="24"/>
        </w:rPr>
      </w:pPr>
    </w:p>
    <w:p w:rsidR="00D153D1" w:rsidRPr="00BB37E7" w:rsidP="00B928A5" w14:paraId="3DF97295" w14:textId="58E911E7">
      <w:pPr>
        <w:ind w:left="360"/>
        <w:rPr>
          <w:rFonts w:ascii="Times New Roman" w:hAnsi="Times New Roman"/>
          <w:sz w:val="24"/>
          <w:szCs w:val="24"/>
        </w:rPr>
      </w:pPr>
      <w:r w:rsidRPr="00BB37E7">
        <w:rPr>
          <w:rFonts w:ascii="Times New Roman" w:hAnsi="Times New Roman"/>
          <w:sz w:val="24"/>
          <w:szCs w:val="24"/>
        </w:rPr>
        <w:t xml:space="preserve">Each of these conferences brought together academia and industry professionals from across the country to focus on how to </w:t>
      </w:r>
      <w:r w:rsidRPr="00BB37E7">
        <w:rPr>
          <w:rFonts w:ascii="Times New Roman" w:hAnsi="Times New Roman"/>
          <w:sz w:val="24"/>
          <w:szCs w:val="24"/>
          <w:lang w:val="en"/>
        </w:rPr>
        <w:t>enhance and expand maritime, marine technology and port management workforce training taking place at community and technical colleges.</w:t>
      </w:r>
      <w:r w:rsidRPr="00BB37E7">
        <w:rPr>
          <w:rFonts w:ascii="Times New Roman" w:hAnsi="Times New Roman"/>
          <w:sz w:val="24"/>
          <w:szCs w:val="24"/>
        </w:rPr>
        <w:t xml:space="preserve"> At each conference, MARAD received perspectives from approximately </w:t>
      </w:r>
      <w:r w:rsidRPr="00BB37E7" w:rsidR="000B0ECB">
        <w:rPr>
          <w:rFonts w:ascii="Times New Roman" w:hAnsi="Times New Roman"/>
          <w:sz w:val="24"/>
          <w:szCs w:val="24"/>
        </w:rPr>
        <w:t>45 -</w:t>
      </w:r>
      <w:r w:rsidRPr="00BB37E7">
        <w:rPr>
          <w:rFonts w:ascii="Times New Roman" w:hAnsi="Times New Roman"/>
          <w:sz w:val="24"/>
          <w:szCs w:val="24"/>
        </w:rPr>
        <w:t>75 representatives from technical and community colleges, maritime trainin</w:t>
      </w:r>
      <w:r w:rsidRPr="00BB37E7" w:rsidR="00E175B3">
        <w:rPr>
          <w:rFonts w:ascii="Times New Roman" w:hAnsi="Times New Roman"/>
          <w:sz w:val="24"/>
          <w:szCs w:val="24"/>
        </w:rPr>
        <w:t xml:space="preserve">g centers, </w:t>
      </w:r>
      <w:r w:rsidRPr="00BB37E7">
        <w:rPr>
          <w:rFonts w:ascii="Times New Roman" w:hAnsi="Times New Roman"/>
          <w:sz w:val="24"/>
          <w:szCs w:val="24"/>
        </w:rPr>
        <w:t xml:space="preserve">state maritime academies, universities, shipyards, port authorities and other maritime industry stakeholders </w:t>
      </w:r>
      <w:r w:rsidR="00672076">
        <w:rPr>
          <w:rFonts w:ascii="Times New Roman" w:hAnsi="Times New Roman"/>
          <w:sz w:val="24"/>
          <w:szCs w:val="24"/>
        </w:rPr>
        <w:t xml:space="preserve">of </w:t>
      </w:r>
      <w:r w:rsidRPr="00BB37E7">
        <w:rPr>
          <w:rFonts w:ascii="Times New Roman" w:hAnsi="Times New Roman"/>
          <w:sz w:val="24"/>
          <w:szCs w:val="24"/>
        </w:rPr>
        <w:t>the CoE program.</w:t>
      </w:r>
    </w:p>
    <w:p w:rsidR="00D153D1" w:rsidRPr="00BB37E7" w:rsidP="00B928A5" w14:paraId="25AD9499" w14:textId="77777777">
      <w:pPr>
        <w:ind w:left="360"/>
        <w:rPr>
          <w:rFonts w:ascii="Times New Roman" w:hAnsi="Times New Roman"/>
          <w:sz w:val="24"/>
          <w:szCs w:val="24"/>
        </w:rPr>
      </w:pPr>
    </w:p>
    <w:p w:rsidR="008C516A" w:rsidRPr="00BB37E7" w:rsidP="00B928A5" w14:paraId="0F2A7C97" w14:textId="1789665D">
      <w:pPr>
        <w:ind w:left="360"/>
        <w:rPr>
          <w:rFonts w:ascii="Times New Roman" w:hAnsi="Times New Roman"/>
          <w:sz w:val="24"/>
          <w:szCs w:val="24"/>
        </w:rPr>
      </w:pPr>
      <w:r w:rsidRPr="00BB37E7">
        <w:rPr>
          <w:rFonts w:ascii="Times New Roman" w:hAnsi="Times New Roman"/>
          <w:sz w:val="24"/>
          <w:szCs w:val="24"/>
        </w:rPr>
        <w:t xml:space="preserve">MARAD </w:t>
      </w:r>
      <w:r w:rsidR="00672076">
        <w:rPr>
          <w:rFonts w:ascii="Times New Roman" w:hAnsi="Times New Roman"/>
          <w:sz w:val="24"/>
          <w:szCs w:val="24"/>
        </w:rPr>
        <w:t xml:space="preserve">personnel </w:t>
      </w:r>
      <w:r w:rsidRPr="00BB37E7">
        <w:rPr>
          <w:rFonts w:ascii="Times New Roman" w:hAnsi="Times New Roman"/>
          <w:sz w:val="24"/>
          <w:szCs w:val="24"/>
        </w:rPr>
        <w:t xml:space="preserve">will continue to meet with CoE stakeholders to </w:t>
      </w:r>
      <w:r w:rsidRPr="00BB37E7" w:rsidR="00D153D1">
        <w:rPr>
          <w:rFonts w:ascii="Times New Roman" w:hAnsi="Times New Roman"/>
          <w:sz w:val="24"/>
          <w:szCs w:val="24"/>
        </w:rPr>
        <w:t xml:space="preserve">consult with them and </w:t>
      </w:r>
      <w:r w:rsidRPr="00BB37E7">
        <w:rPr>
          <w:rFonts w:ascii="Times New Roman" w:hAnsi="Times New Roman"/>
          <w:sz w:val="24"/>
          <w:szCs w:val="24"/>
        </w:rPr>
        <w:t>obtain their perspective</w:t>
      </w:r>
      <w:r w:rsidR="00672076">
        <w:rPr>
          <w:rFonts w:ascii="Times New Roman" w:hAnsi="Times New Roman"/>
          <w:sz w:val="24"/>
          <w:szCs w:val="24"/>
        </w:rPr>
        <w:t xml:space="preserve"> on program operation</w:t>
      </w:r>
      <w:r w:rsidRPr="00BB37E7">
        <w:rPr>
          <w:rFonts w:ascii="Times New Roman" w:hAnsi="Times New Roman"/>
          <w:sz w:val="24"/>
          <w:szCs w:val="24"/>
        </w:rPr>
        <w:t xml:space="preserve">. </w:t>
      </w:r>
      <w:r w:rsidR="00DD5C19">
        <w:rPr>
          <w:rFonts w:ascii="Times New Roman" w:hAnsi="Times New Roman"/>
          <w:sz w:val="24"/>
          <w:szCs w:val="24"/>
        </w:rPr>
        <w:t xml:space="preserve">MARAD </w:t>
      </w:r>
      <w:r w:rsidR="00672076">
        <w:rPr>
          <w:rFonts w:ascii="Times New Roman" w:hAnsi="Times New Roman"/>
          <w:sz w:val="24"/>
          <w:szCs w:val="24"/>
        </w:rPr>
        <w:t xml:space="preserve">personnel also </w:t>
      </w:r>
      <w:r w:rsidR="00DD5C19">
        <w:rPr>
          <w:rFonts w:ascii="Times New Roman" w:hAnsi="Times New Roman"/>
          <w:sz w:val="24"/>
          <w:szCs w:val="24"/>
        </w:rPr>
        <w:t>cooperat</w:t>
      </w:r>
      <w:r w:rsidR="00672076">
        <w:rPr>
          <w:rFonts w:ascii="Times New Roman" w:hAnsi="Times New Roman"/>
          <w:sz w:val="24"/>
          <w:szCs w:val="24"/>
        </w:rPr>
        <w:t>e</w:t>
      </w:r>
      <w:r w:rsidR="00DD5C19">
        <w:rPr>
          <w:rFonts w:ascii="Times New Roman" w:hAnsi="Times New Roman"/>
          <w:sz w:val="24"/>
          <w:szCs w:val="24"/>
        </w:rPr>
        <w:t xml:space="preserve"> with CoE designees on the planning of a nationwide CoE conference in 2025.</w:t>
      </w:r>
    </w:p>
    <w:p w:rsidR="008C516A" w:rsidRPr="00BB37E7" w:rsidP="00B928A5" w14:paraId="4BEC4CA3" w14:textId="77777777">
      <w:pPr>
        <w:rPr>
          <w:rFonts w:ascii="Times New Roman" w:hAnsi="Times New Roman"/>
          <w:sz w:val="24"/>
          <w:szCs w:val="24"/>
        </w:rPr>
      </w:pPr>
    </w:p>
    <w:p w:rsidR="009E23AE" w:rsidRPr="00B928A5" w:rsidP="00B928A5" w14:paraId="4344E2C1" w14:textId="73F0A492">
      <w:pPr>
        <w:pStyle w:val="ListParagraph"/>
        <w:numPr>
          <w:ilvl w:val="0"/>
          <w:numId w:val="41"/>
        </w:numPr>
        <w:rPr>
          <w:rFonts w:ascii="Times New Roman" w:hAnsi="Times New Roman"/>
          <w:b/>
          <w:sz w:val="24"/>
          <w:szCs w:val="24"/>
        </w:rPr>
      </w:pPr>
      <w:r w:rsidRPr="00B928A5">
        <w:rPr>
          <w:rFonts w:ascii="Times New Roman" w:hAnsi="Times New Roman"/>
          <w:b/>
          <w:sz w:val="24"/>
          <w:szCs w:val="24"/>
        </w:rPr>
        <w:t xml:space="preserve">Explanation of </w:t>
      </w:r>
      <w:r w:rsidRPr="00B928A5" w:rsidR="0004749E">
        <w:rPr>
          <w:rFonts w:ascii="Times New Roman" w:hAnsi="Times New Roman"/>
          <w:b/>
          <w:sz w:val="24"/>
          <w:szCs w:val="24"/>
        </w:rPr>
        <w:t xml:space="preserve">Payments or </w:t>
      </w:r>
      <w:r w:rsidRPr="00B928A5" w:rsidR="000D0BC8">
        <w:rPr>
          <w:rFonts w:ascii="Times New Roman" w:hAnsi="Times New Roman"/>
          <w:b/>
          <w:sz w:val="24"/>
          <w:szCs w:val="24"/>
        </w:rPr>
        <w:t xml:space="preserve">Gifts </w:t>
      </w:r>
      <w:r w:rsidRPr="00B928A5" w:rsidR="0004749E">
        <w:rPr>
          <w:rFonts w:ascii="Times New Roman" w:hAnsi="Times New Roman"/>
          <w:b/>
          <w:sz w:val="24"/>
          <w:szCs w:val="24"/>
        </w:rPr>
        <w:t xml:space="preserve">to </w:t>
      </w:r>
      <w:r w:rsidRPr="00B928A5" w:rsidR="000D0BC8">
        <w:rPr>
          <w:rFonts w:ascii="Times New Roman" w:hAnsi="Times New Roman"/>
          <w:b/>
          <w:sz w:val="24"/>
          <w:szCs w:val="24"/>
        </w:rPr>
        <w:t>Respondents</w:t>
      </w:r>
      <w:r w:rsidRPr="00B928A5" w:rsidR="00470720">
        <w:rPr>
          <w:rFonts w:ascii="Times New Roman" w:hAnsi="Times New Roman"/>
          <w:b/>
          <w:sz w:val="24"/>
          <w:szCs w:val="24"/>
        </w:rPr>
        <w:t xml:space="preserve">  </w:t>
      </w:r>
      <w:r w:rsidRPr="00B928A5" w:rsidR="008F2CDB">
        <w:rPr>
          <w:rFonts w:ascii="Times New Roman" w:hAnsi="Times New Roman"/>
          <w:b/>
          <w:sz w:val="24"/>
          <w:szCs w:val="24"/>
        </w:rPr>
        <w:br/>
      </w:r>
    </w:p>
    <w:p w:rsidR="009E23AE" w:rsidRPr="00BB37E7" w:rsidP="00B928A5" w14:paraId="44BBE24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BB37E7">
        <w:rPr>
          <w:rFonts w:ascii="Times New Roman" w:hAnsi="Times New Roman"/>
          <w:color w:val="auto"/>
        </w:rPr>
        <w:t>No payments or gifts are or will be provided to respondents.</w:t>
      </w:r>
    </w:p>
    <w:p w:rsidR="00660F5B" w:rsidRPr="00BB37E7" w14:paraId="70B85B97" w14:textId="77777777">
      <w:pPr>
        <w:rPr>
          <w:rFonts w:ascii="Times New Roman" w:hAnsi="Times New Roman"/>
          <w:sz w:val="24"/>
          <w:szCs w:val="24"/>
        </w:rPr>
      </w:pPr>
    </w:p>
    <w:p w:rsidR="0004749E" w:rsidRPr="00B928A5" w:rsidP="00B928A5" w14:paraId="37415A10" w14:textId="45E8F877">
      <w:pPr>
        <w:pStyle w:val="ListParagraph"/>
        <w:numPr>
          <w:ilvl w:val="0"/>
          <w:numId w:val="41"/>
        </w:numPr>
        <w:rPr>
          <w:rFonts w:ascii="Times New Roman" w:hAnsi="Times New Roman"/>
          <w:b/>
          <w:sz w:val="24"/>
          <w:szCs w:val="24"/>
        </w:rPr>
      </w:pPr>
      <w:r w:rsidRPr="00B928A5">
        <w:rPr>
          <w:rFonts w:ascii="Times New Roman" w:hAnsi="Times New Roman"/>
          <w:b/>
          <w:sz w:val="24"/>
          <w:szCs w:val="24"/>
        </w:rPr>
        <w:t xml:space="preserve">Assurance of </w:t>
      </w:r>
      <w:r w:rsidRPr="00B928A5" w:rsidR="000D0BC8">
        <w:rPr>
          <w:rFonts w:ascii="Times New Roman" w:hAnsi="Times New Roman"/>
          <w:b/>
          <w:sz w:val="24"/>
          <w:szCs w:val="24"/>
        </w:rPr>
        <w:t>Confidentiality and Protection of Privacy</w:t>
      </w:r>
    </w:p>
    <w:p w:rsidR="00F52CB9" w:rsidRPr="00BB37E7" w:rsidP="007B54E8" w14:paraId="694CB35C" w14:textId="77777777">
      <w:pPr>
        <w:rPr>
          <w:rFonts w:ascii="Times New Roman" w:hAnsi="Times New Roman"/>
          <w:sz w:val="24"/>
          <w:szCs w:val="24"/>
        </w:rPr>
      </w:pPr>
    </w:p>
    <w:p w:rsidR="00970896" w:rsidRPr="00BB37E7" w:rsidP="00B928A5" w14:paraId="6128F1A6" w14:textId="5BA44DA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BB37E7">
        <w:rPr>
          <w:rFonts w:ascii="Times New Roman" w:hAnsi="Times New Roman"/>
          <w:color w:val="auto"/>
        </w:rPr>
        <w:t xml:space="preserve">The respondents </w:t>
      </w:r>
      <w:r w:rsidRPr="00BB37E7" w:rsidR="0010019E">
        <w:rPr>
          <w:rFonts w:ascii="Times New Roman" w:hAnsi="Times New Roman"/>
          <w:color w:val="auto"/>
        </w:rPr>
        <w:t>are</w:t>
      </w:r>
      <w:r w:rsidRPr="00BB37E7">
        <w:rPr>
          <w:rFonts w:ascii="Times New Roman" w:hAnsi="Times New Roman"/>
          <w:color w:val="auto"/>
        </w:rPr>
        <w:t xml:space="preserve"> requested to</w:t>
      </w:r>
      <w:r w:rsidR="00672076">
        <w:rPr>
          <w:rFonts w:ascii="Times New Roman" w:hAnsi="Times New Roman"/>
          <w:color w:val="auto"/>
        </w:rPr>
        <w:t xml:space="preserve"> avoid</w:t>
      </w:r>
      <w:r w:rsidRPr="00BB37E7">
        <w:rPr>
          <w:rFonts w:ascii="Times New Roman" w:hAnsi="Times New Roman"/>
          <w:color w:val="auto"/>
        </w:rPr>
        <w:t xml:space="preserve"> submit</w:t>
      </w:r>
      <w:r w:rsidR="00672076">
        <w:rPr>
          <w:rFonts w:ascii="Times New Roman" w:hAnsi="Times New Roman"/>
          <w:color w:val="auto"/>
        </w:rPr>
        <w:t>ting</w:t>
      </w:r>
      <w:r w:rsidRPr="00BB37E7">
        <w:rPr>
          <w:rFonts w:ascii="Times New Roman" w:hAnsi="Times New Roman"/>
          <w:color w:val="auto"/>
        </w:rPr>
        <w:t xml:space="preserve"> any privacy information covered under the Privacy Act or any information covered by an exemption under the Freedom of Information Act (FOIA).</w:t>
      </w:r>
    </w:p>
    <w:p w:rsidR="00A05485" w:rsidRPr="00BB37E7" w14:paraId="7ACB655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755A4C" w:rsidRPr="00B928A5" w:rsidP="00B928A5" w14:paraId="1039A1C3" w14:textId="09A04388">
      <w:pPr>
        <w:pStyle w:val="ListParagraph"/>
        <w:numPr>
          <w:ilvl w:val="0"/>
          <w:numId w:val="41"/>
        </w:numPr>
        <w:rPr>
          <w:rFonts w:ascii="Times New Roman" w:hAnsi="Times New Roman"/>
          <w:b/>
          <w:sz w:val="24"/>
          <w:szCs w:val="24"/>
        </w:rPr>
      </w:pPr>
      <w:r w:rsidRPr="00B928A5">
        <w:rPr>
          <w:rFonts w:ascii="Times New Roman" w:hAnsi="Times New Roman"/>
          <w:b/>
          <w:sz w:val="24"/>
          <w:szCs w:val="24"/>
        </w:rPr>
        <w:t xml:space="preserve">Justification for </w:t>
      </w:r>
      <w:r w:rsidRPr="00B928A5" w:rsidR="000D0BC8">
        <w:rPr>
          <w:rFonts w:ascii="Times New Roman" w:hAnsi="Times New Roman"/>
          <w:b/>
          <w:sz w:val="24"/>
          <w:szCs w:val="24"/>
        </w:rPr>
        <w:t>S</w:t>
      </w:r>
      <w:r w:rsidRPr="00B928A5">
        <w:rPr>
          <w:rFonts w:ascii="Times New Roman" w:hAnsi="Times New Roman"/>
          <w:b/>
          <w:sz w:val="24"/>
          <w:szCs w:val="24"/>
        </w:rPr>
        <w:t xml:space="preserve">ensitive </w:t>
      </w:r>
      <w:r w:rsidRPr="00B928A5" w:rsidR="000D0BC8">
        <w:rPr>
          <w:rFonts w:ascii="Times New Roman" w:hAnsi="Times New Roman"/>
          <w:b/>
          <w:sz w:val="24"/>
          <w:szCs w:val="24"/>
        </w:rPr>
        <w:t>Questions</w:t>
      </w:r>
      <w:r w:rsidRPr="00B928A5" w:rsidR="00470720">
        <w:rPr>
          <w:rFonts w:ascii="Times New Roman" w:hAnsi="Times New Roman"/>
          <w:sz w:val="24"/>
          <w:szCs w:val="24"/>
        </w:rPr>
        <w:t xml:space="preserve">  </w:t>
      </w:r>
    </w:p>
    <w:p w:rsidR="00755A4C" w:rsidRPr="00BB37E7" w:rsidP="00470720" w14:paraId="0DFF60A1" w14:textId="77777777">
      <w:pPr>
        <w:rPr>
          <w:rFonts w:ascii="Times New Roman" w:hAnsi="Times New Roman"/>
          <w:b/>
          <w:sz w:val="24"/>
          <w:szCs w:val="24"/>
        </w:rPr>
      </w:pPr>
    </w:p>
    <w:p w:rsidR="00470720" w14:paraId="192AA91A" w14:textId="644B5CBF">
      <w:pPr>
        <w:ind w:left="360"/>
        <w:rPr>
          <w:rFonts w:ascii="Times New Roman" w:hAnsi="Times New Roman"/>
          <w:sz w:val="24"/>
          <w:szCs w:val="24"/>
        </w:rPr>
      </w:pPr>
      <w:r w:rsidRPr="00BB37E7">
        <w:rPr>
          <w:rFonts w:ascii="Times New Roman" w:hAnsi="Times New Roman"/>
          <w:sz w:val="24"/>
          <w:szCs w:val="24"/>
        </w:rPr>
        <w:t>Respondents are not required to submit any information commonly considered private or of a</w:t>
      </w:r>
      <w:r w:rsidRPr="00BB37E7" w:rsidR="00755A4C">
        <w:rPr>
          <w:rFonts w:ascii="Times New Roman" w:hAnsi="Times New Roman"/>
          <w:sz w:val="24"/>
          <w:szCs w:val="24"/>
        </w:rPr>
        <w:t xml:space="preserve"> sensitive nature.</w:t>
      </w:r>
      <w:r w:rsidRPr="00BB37E7" w:rsidR="008F2CDB">
        <w:rPr>
          <w:rFonts w:ascii="Times New Roman" w:hAnsi="Times New Roman"/>
          <w:sz w:val="24"/>
          <w:szCs w:val="24"/>
        </w:rPr>
        <w:br/>
      </w:r>
    </w:p>
    <w:p w:rsidR="007351A1" w:rsidRPr="00BB37E7" w:rsidP="007351A1" w14:paraId="34A7CB54" w14:textId="77777777">
      <w:pPr>
        <w:ind w:left="360"/>
        <w:rPr>
          <w:rFonts w:ascii="Times New Roman" w:hAnsi="Times New Roman"/>
          <w:sz w:val="24"/>
          <w:szCs w:val="24"/>
        </w:rPr>
      </w:pPr>
    </w:p>
    <w:p w:rsidR="00470720" w:rsidRPr="007A388C" w:rsidP="00B928A5" w14:paraId="3AF74A06" w14:textId="2F540222">
      <w:pPr>
        <w:ind w:left="360"/>
        <w:rPr>
          <w:rFonts w:ascii="Times New Roman" w:hAnsi="Times New Roman"/>
          <w:b/>
          <w:sz w:val="24"/>
          <w:szCs w:val="24"/>
        </w:rPr>
      </w:pPr>
      <w:r w:rsidRPr="007A388C">
        <w:rPr>
          <w:rFonts w:ascii="Times New Roman" w:hAnsi="Times New Roman"/>
          <w:b/>
          <w:sz w:val="24"/>
          <w:szCs w:val="24"/>
        </w:rPr>
        <w:t xml:space="preserve">12. </w:t>
      </w:r>
      <w:r w:rsidRPr="00B928A5">
        <w:rPr>
          <w:rFonts w:ascii="Times New Roman" w:hAnsi="Times New Roman"/>
          <w:b/>
          <w:sz w:val="24"/>
          <w:szCs w:val="24"/>
        </w:rPr>
        <w:t xml:space="preserve">Estimate of </w:t>
      </w:r>
      <w:r w:rsidRPr="00B928A5" w:rsidR="000D0BC8">
        <w:rPr>
          <w:rFonts w:ascii="Times New Roman" w:hAnsi="Times New Roman"/>
          <w:b/>
          <w:sz w:val="24"/>
          <w:szCs w:val="24"/>
        </w:rPr>
        <w:t>Annualized B</w:t>
      </w:r>
      <w:r w:rsidRPr="00B928A5">
        <w:rPr>
          <w:rFonts w:ascii="Times New Roman" w:hAnsi="Times New Roman"/>
          <w:b/>
          <w:sz w:val="24"/>
          <w:szCs w:val="24"/>
        </w:rPr>
        <w:t xml:space="preserve">urden </w:t>
      </w:r>
      <w:r w:rsidRPr="00B928A5" w:rsidR="000D0BC8">
        <w:rPr>
          <w:rFonts w:ascii="Times New Roman" w:hAnsi="Times New Roman"/>
          <w:b/>
          <w:sz w:val="24"/>
          <w:szCs w:val="24"/>
        </w:rPr>
        <w:t>Hours and Cost</w:t>
      </w:r>
    </w:p>
    <w:p w:rsidR="00470720" w:rsidP="00470720" w14:paraId="3BDF9FD9" w14:textId="4D692B03">
      <w:pPr>
        <w:rPr>
          <w:rFonts w:ascii="Times New Roman" w:hAnsi="Times New Roman"/>
          <w:b/>
          <w:sz w:val="24"/>
          <w:szCs w:val="24"/>
        </w:rPr>
      </w:pPr>
      <w:r>
        <w:rPr>
          <w:rFonts w:ascii="Times New Roman" w:hAnsi="Times New Roman"/>
          <w:b/>
          <w:sz w:val="24"/>
          <w:szCs w:val="24"/>
        </w:rPr>
        <w:t xml:space="preserve">      </w:t>
      </w:r>
    </w:p>
    <w:p w:rsidR="000D0BC8" w:rsidP="00E31AF7" w14:paraId="43553D73" w14:textId="65EC7628">
      <w:pPr>
        <w:pStyle w:val="ListParagraph"/>
        <w:numPr>
          <w:ilvl w:val="0"/>
          <w:numId w:val="44"/>
        </w:numPr>
        <w:ind w:left="720"/>
        <w:rPr>
          <w:rFonts w:ascii="Times New Roman" w:hAnsi="Times New Roman"/>
          <w:b/>
          <w:sz w:val="24"/>
          <w:szCs w:val="24"/>
        </w:rPr>
      </w:pPr>
      <w:r>
        <w:rPr>
          <w:rFonts w:ascii="Times New Roman" w:hAnsi="Times New Roman"/>
          <w:b/>
          <w:sz w:val="24"/>
          <w:szCs w:val="24"/>
        </w:rPr>
        <w:t xml:space="preserve">Estimated Annualized Burden Hours </w:t>
      </w:r>
    </w:p>
    <w:p w:rsidR="0034057D" w:rsidRPr="00B928A5" w:rsidP="00A528F4" w14:paraId="5C87450C" w14:textId="77777777">
      <w:pPr>
        <w:pStyle w:val="ListParagraph"/>
        <w:rPr>
          <w:rFonts w:ascii="Times New Roman" w:hAnsi="Times New Roman"/>
          <w:b/>
          <w:sz w:val="24"/>
          <w:szCs w:val="24"/>
        </w:rPr>
      </w:pPr>
    </w:p>
    <w:p w:rsidR="0024656A" w:rsidP="005434D9" w14:paraId="18537BFE" w14:textId="60BDC821">
      <w:pPr>
        <w:ind w:left="720"/>
        <w:rPr>
          <w:rFonts w:ascii="Times New Roman" w:hAnsi="Times New Roman"/>
          <w:sz w:val="24"/>
          <w:szCs w:val="24"/>
        </w:rPr>
      </w:pPr>
      <w:bookmarkStart w:id="0" w:name="_Hlk522095574"/>
      <w:bookmarkStart w:id="1" w:name="_Hlk520796478"/>
      <w:r w:rsidRPr="00BB37E7">
        <w:rPr>
          <w:rFonts w:ascii="Times New Roman" w:hAnsi="Times New Roman"/>
          <w:sz w:val="24"/>
          <w:szCs w:val="24"/>
        </w:rPr>
        <w:t xml:space="preserve">Under the authorizing statute, </w:t>
      </w:r>
      <w:r w:rsidRPr="00BB37E7" w:rsidR="004045ED">
        <w:rPr>
          <w:rFonts w:ascii="Times New Roman" w:hAnsi="Times New Roman"/>
          <w:sz w:val="24"/>
          <w:szCs w:val="24"/>
        </w:rPr>
        <w:t xml:space="preserve">only </w:t>
      </w:r>
      <w:r w:rsidRPr="002A5E00" w:rsidR="004045ED">
        <w:rPr>
          <w:rFonts w:ascii="Times New Roman" w:hAnsi="Times New Roman"/>
          <w:sz w:val="24"/>
          <w:szCs w:val="24"/>
        </w:rPr>
        <w:t xml:space="preserve">postsecondary education </w:t>
      </w:r>
      <w:r w:rsidR="004045ED">
        <w:rPr>
          <w:rFonts w:ascii="Times New Roman" w:hAnsi="Times New Roman"/>
          <w:sz w:val="24"/>
          <w:szCs w:val="24"/>
        </w:rPr>
        <w:t>and vocational institutions</w:t>
      </w:r>
      <w:r w:rsidRPr="002A5E00" w:rsidR="004045ED">
        <w:rPr>
          <w:rFonts w:ascii="Times New Roman" w:hAnsi="Times New Roman"/>
          <w:sz w:val="24"/>
          <w:szCs w:val="24"/>
        </w:rPr>
        <w:t>, apprenticeship sponsors, and structured experiential learning training programs</w:t>
      </w:r>
      <w:r w:rsidRPr="00BB37E7">
        <w:rPr>
          <w:rFonts w:ascii="Times New Roman" w:hAnsi="Times New Roman"/>
          <w:sz w:val="24"/>
          <w:szCs w:val="24"/>
        </w:rPr>
        <w:t xml:space="preserve"> in certain eligible locations are eligible to apply for CoE designation.  </w:t>
      </w:r>
      <w:bookmarkEnd w:id="0"/>
      <w:r w:rsidRPr="00BB37E7" w:rsidR="006369F3">
        <w:rPr>
          <w:rFonts w:ascii="Times New Roman" w:hAnsi="Times New Roman"/>
          <w:sz w:val="24"/>
          <w:szCs w:val="24"/>
        </w:rPr>
        <w:t xml:space="preserve">MARAD estimates that the total pool of eligible covered training entities </w:t>
      </w:r>
      <w:r w:rsidRPr="00BB37E7" w:rsidR="003A7436">
        <w:rPr>
          <w:rFonts w:ascii="Times New Roman" w:hAnsi="Times New Roman"/>
          <w:sz w:val="24"/>
          <w:szCs w:val="24"/>
        </w:rPr>
        <w:t xml:space="preserve">is </w:t>
      </w:r>
      <w:r w:rsidR="004045ED">
        <w:rPr>
          <w:rFonts w:ascii="Times New Roman" w:hAnsi="Times New Roman"/>
          <w:sz w:val="24"/>
          <w:szCs w:val="24"/>
        </w:rPr>
        <w:t>around</w:t>
      </w:r>
      <w:r w:rsidRPr="00BB37E7" w:rsidR="003A7436">
        <w:rPr>
          <w:rFonts w:ascii="Times New Roman" w:hAnsi="Times New Roman"/>
          <w:sz w:val="24"/>
          <w:szCs w:val="24"/>
        </w:rPr>
        <w:t xml:space="preserve"> 200.</w:t>
      </w:r>
    </w:p>
    <w:p w:rsidR="005C709E" w:rsidP="005434D9" w14:paraId="6AD5033B" w14:textId="77777777">
      <w:pPr>
        <w:ind w:left="720"/>
        <w:rPr>
          <w:rFonts w:ascii="Times New Roman" w:hAnsi="Times New Roman"/>
          <w:sz w:val="24"/>
          <w:szCs w:val="24"/>
        </w:rPr>
      </w:pPr>
    </w:p>
    <w:p w:rsidR="005C709E" w:rsidP="00A86765" w14:paraId="0D35BD3E" w14:textId="194ED83D">
      <w:pPr>
        <w:ind w:left="720"/>
        <w:rPr>
          <w:rFonts w:ascii="Times New Roman" w:hAnsi="Times New Roman"/>
          <w:sz w:val="24"/>
          <w:szCs w:val="24"/>
        </w:rPr>
      </w:pPr>
      <w:r>
        <w:rPr>
          <w:rFonts w:ascii="Times New Roman" w:hAnsi="Times New Roman"/>
          <w:sz w:val="24"/>
          <w:szCs w:val="24"/>
        </w:rPr>
        <w:t>However, a</w:t>
      </w:r>
      <w:r w:rsidR="00A86765">
        <w:rPr>
          <w:rFonts w:ascii="Times New Roman" w:hAnsi="Times New Roman"/>
          <w:sz w:val="24"/>
          <w:szCs w:val="24"/>
        </w:rPr>
        <w:t xml:space="preserve">fter </w:t>
      </w:r>
      <w:r w:rsidRPr="00A86765" w:rsidR="00A86765">
        <w:rPr>
          <w:rFonts w:ascii="Times New Roman" w:hAnsi="Times New Roman"/>
          <w:sz w:val="24"/>
          <w:szCs w:val="24"/>
        </w:rPr>
        <w:t>consultation with several potential respondents</w:t>
      </w:r>
      <w:r w:rsidR="00A86765">
        <w:rPr>
          <w:rFonts w:ascii="Times New Roman" w:hAnsi="Times New Roman"/>
          <w:sz w:val="24"/>
          <w:szCs w:val="24"/>
        </w:rPr>
        <w:t xml:space="preserve">, it </w:t>
      </w:r>
      <w:r>
        <w:rPr>
          <w:rFonts w:ascii="Times New Roman" w:hAnsi="Times New Roman"/>
          <w:sz w:val="24"/>
          <w:szCs w:val="24"/>
        </w:rPr>
        <w:t>is estimated that personnel from a total 50 eligible institutions will take approximately 48 hours to apply for CoE designation once annually</w:t>
      </w:r>
      <w:r w:rsidR="00A86765">
        <w:rPr>
          <w:rFonts w:ascii="Times New Roman" w:hAnsi="Times New Roman"/>
          <w:sz w:val="24"/>
          <w:szCs w:val="24"/>
        </w:rPr>
        <w:t>. Therefore</w:t>
      </w:r>
      <w:r>
        <w:rPr>
          <w:rFonts w:ascii="Times New Roman" w:hAnsi="Times New Roman"/>
          <w:sz w:val="24"/>
          <w:szCs w:val="24"/>
        </w:rPr>
        <w:t>,</w:t>
      </w:r>
      <w:r w:rsidR="00A86765">
        <w:rPr>
          <w:rFonts w:ascii="Times New Roman" w:hAnsi="Times New Roman"/>
          <w:sz w:val="24"/>
          <w:szCs w:val="24"/>
        </w:rPr>
        <w:t xml:space="preserve"> the total burden hours associated with this collection is 2,400, which can be calculated as shown in the table below: </w:t>
      </w:r>
    </w:p>
    <w:p w:rsidR="007351A1" w:rsidRPr="00BB37E7" w:rsidP="00A86765" w14:paraId="47B2F73A" w14:textId="77777777">
      <w:pPr>
        <w:ind w:left="720"/>
        <w:rPr>
          <w:rFonts w:ascii="Times New Roman" w:hAnsi="Times New Roman"/>
          <w:sz w:val="24"/>
          <w:szCs w:val="24"/>
        </w:rPr>
      </w:pPr>
    </w:p>
    <w:bookmarkEnd w:id="1"/>
    <w:p w:rsidR="0024656A" w:rsidP="005434D9" w14:paraId="55C88495" w14:textId="77777777">
      <w:pPr>
        <w:ind w:left="720"/>
        <w:rPr>
          <w:rFonts w:ascii="Times New Roman" w:hAnsi="Times New Roman"/>
          <w:sz w:val="24"/>
          <w:szCs w:val="24"/>
        </w:rPr>
      </w:pPr>
      <w:r w:rsidRPr="00BB37E7">
        <w:rPr>
          <w:rFonts w:ascii="Times New Roman" w:hAnsi="Times New Roman"/>
          <w:sz w:val="24"/>
          <w:szCs w:val="24"/>
        </w:rPr>
        <w:t xml:space="preserve"> </w:t>
      </w:r>
    </w:p>
    <w:tbl>
      <w:tblPr>
        <w:tblW w:w="10328" w:type="dxa"/>
        <w:tblLook w:val="04A0"/>
      </w:tblPr>
      <w:tblGrid>
        <w:gridCol w:w="1536"/>
        <w:gridCol w:w="856"/>
        <w:gridCol w:w="1443"/>
        <w:gridCol w:w="861"/>
        <w:gridCol w:w="1283"/>
        <w:gridCol w:w="856"/>
        <w:gridCol w:w="1124"/>
        <w:gridCol w:w="861"/>
        <w:gridCol w:w="1268"/>
        <w:gridCol w:w="240"/>
      </w:tblGrid>
      <w:tr w14:paraId="1CF9F654" w14:textId="77777777" w:rsidTr="00F711E3">
        <w:tblPrEx>
          <w:tblW w:w="10328" w:type="dxa"/>
          <w:tblLook w:val="04A0"/>
        </w:tblPrEx>
        <w:trPr>
          <w:gridAfter w:val="1"/>
          <w:wAfter w:w="240" w:type="dxa"/>
          <w:trHeight w:val="642"/>
        </w:trPr>
        <w:tc>
          <w:tcPr>
            <w:tcW w:w="153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A86765" w:rsidRPr="007351A1" w:rsidP="00A86765" w14:paraId="2B35AC13"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Total Respondents</w:t>
            </w:r>
          </w:p>
        </w:tc>
        <w:tc>
          <w:tcPr>
            <w:tcW w:w="856"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451723CD" w14:textId="77777777">
            <w:pPr>
              <w:widowControl/>
              <w:autoSpaceDE/>
              <w:autoSpaceDN/>
              <w:adjustRightInd/>
              <w:rPr>
                <w:rFonts w:ascii="Times New Roman" w:hAnsi="Times New Roman"/>
                <w:color w:val="000000"/>
                <w:sz w:val="22"/>
                <w:szCs w:val="22"/>
              </w:rPr>
            </w:pPr>
            <w:r w:rsidRPr="007351A1">
              <w:rPr>
                <w:rFonts w:ascii="Times New Roman" w:hAnsi="Times New Roman"/>
                <w:color w:val="000000"/>
                <w:sz w:val="22"/>
                <w:szCs w:val="22"/>
              </w:rPr>
              <w:t> </w:t>
            </w:r>
          </w:p>
        </w:tc>
        <w:tc>
          <w:tcPr>
            <w:tcW w:w="1443"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23C55394"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Total Responses per Respondent</w:t>
            </w:r>
          </w:p>
        </w:tc>
        <w:tc>
          <w:tcPr>
            <w:tcW w:w="861"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64242204"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 </w:t>
            </w:r>
          </w:p>
        </w:tc>
        <w:tc>
          <w:tcPr>
            <w:tcW w:w="1283"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5939D7B5"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Total Responses</w:t>
            </w:r>
          </w:p>
        </w:tc>
        <w:tc>
          <w:tcPr>
            <w:tcW w:w="856"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1B1515F2"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 </w:t>
            </w:r>
          </w:p>
        </w:tc>
        <w:tc>
          <w:tcPr>
            <w:tcW w:w="1124"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12F79A91"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Average Time Taken to Respond (Hour)</w:t>
            </w:r>
          </w:p>
        </w:tc>
        <w:tc>
          <w:tcPr>
            <w:tcW w:w="861"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3FF16240"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 </w:t>
            </w:r>
          </w:p>
        </w:tc>
        <w:tc>
          <w:tcPr>
            <w:tcW w:w="1268" w:type="dxa"/>
            <w:tcBorders>
              <w:top w:val="single" w:sz="12" w:space="0" w:color="auto"/>
              <w:left w:val="nil"/>
              <w:bottom w:val="single" w:sz="12" w:space="0" w:color="auto"/>
              <w:right w:val="single" w:sz="12" w:space="0" w:color="auto"/>
            </w:tcBorders>
            <w:shd w:val="clear" w:color="000000" w:fill="D0CECE"/>
            <w:vAlign w:val="center"/>
            <w:hideMark/>
          </w:tcPr>
          <w:p w:rsidR="00A86765" w:rsidRPr="007351A1" w:rsidP="00A86765" w14:paraId="2A530638" w14:textId="77777777">
            <w:pPr>
              <w:widowControl/>
              <w:autoSpaceDE/>
              <w:autoSpaceDN/>
              <w:adjustRightInd/>
              <w:jc w:val="center"/>
              <w:rPr>
                <w:rFonts w:ascii="Times New Roman" w:hAnsi="Times New Roman"/>
                <w:b/>
                <w:bCs/>
                <w:color w:val="000000"/>
                <w:sz w:val="22"/>
                <w:szCs w:val="22"/>
              </w:rPr>
            </w:pPr>
            <w:r w:rsidRPr="007351A1">
              <w:rPr>
                <w:rFonts w:ascii="Times New Roman" w:hAnsi="Times New Roman"/>
                <w:b/>
                <w:bCs/>
                <w:color w:val="000000"/>
                <w:sz w:val="22"/>
                <w:szCs w:val="22"/>
              </w:rPr>
              <w:t>Total Burden Hours</w:t>
            </w:r>
          </w:p>
        </w:tc>
      </w:tr>
      <w:tr w14:paraId="0F2EFA29" w14:textId="77777777" w:rsidTr="00F711E3">
        <w:tblPrEx>
          <w:tblW w:w="10328" w:type="dxa"/>
          <w:tblLook w:val="04A0"/>
        </w:tblPrEx>
        <w:trPr>
          <w:gridAfter w:val="1"/>
          <w:wAfter w:w="240" w:type="dxa"/>
          <w:trHeight w:val="618"/>
        </w:trPr>
        <w:tc>
          <w:tcPr>
            <w:tcW w:w="1536"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19805A0B"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50</w:t>
            </w:r>
          </w:p>
        </w:tc>
        <w:tc>
          <w:tcPr>
            <w:tcW w:w="856"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6C0B0DDE"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w:t>
            </w:r>
          </w:p>
        </w:tc>
        <w:tc>
          <w:tcPr>
            <w:tcW w:w="1443"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7F1FEE7D"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1</w:t>
            </w:r>
          </w:p>
        </w:tc>
        <w:tc>
          <w:tcPr>
            <w:tcW w:w="861"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070D2088"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w:t>
            </w:r>
          </w:p>
        </w:tc>
        <w:tc>
          <w:tcPr>
            <w:tcW w:w="1283"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528F4" w14:paraId="1DA5C345" w14:textId="14F97F61">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50</w:t>
            </w:r>
          </w:p>
        </w:tc>
        <w:tc>
          <w:tcPr>
            <w:tcW w:w="856"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7B40FAF1"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w:t>
            </w:r>
          </w:p>
        </w:tc>
        <w:tc>
          <w:tcPr>
            <w:tcW w:w="1124"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06E7D755"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48</w:t>
            </w:r>
          </w:p>
        </w:tc>
        <w:tc>
          <w:tcPr>
            <w:tcW w:w="861"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073C7B06" w14:textId="77777777">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w:t>
            </w:r>
          </w:p>
        </w:tc>
        <w:tc>
          <w:tcPr>
            <w:tcW w:w="1268" w:type="dxa"/>
            <w:vMerge w:val="restart"/>
            <w:tcBorders>
              <w:top w:val="nil"/>
              <w:left w:val="single" w:sz="12" w:space="0" w:color="auto"/>
              <w:bottom w:val="single" w:sz="12" w:space="0" w:color="000000"/>
              <w:right w:val="single" w:sz="12" w:space="0" w:color="auto"/>
            </w:tcBorders>
            <w:shd w:val="clear" w:color="auto" w:fill="auto"/>
            <w:vAlign w:val="center"/>
            <w:hideMark/>
          </w:tcPr>
          <w:p w:rsidR="00A86765" w:rsidRPr="007351A1" w:rsidP="00A86765" w14:paraId="36484FED" w14:textId="6C51AD7E">
            <w:pPr>
              <w:widowControl/>
              <w:autoSpaceDE/>
              <w:autoSpaceDN/>
              <w:adjustRightInd/>
              <w:jc w:val="center"/>
              <w:rPr>
                <w:rFonts w:ascii="Times New Roman" w:hAnsi="Times New Roman"/>
                <w:color w:val="000000"/>
                <w:sz w:val="22"/>
                <w:szCs w:val="22"/>
              </w:rPr>
            </w:pPr>
            <w:r w:rsidRPr="007351A1">
              <w:rPr>
                <w:rFonts w:ascii="Times New Roman" w:hAnsi="Times New Roman"/>
                <w:color w:val="000000"/>
                <w:sz w:val="22"/>
                <w:szCs w:val="22"/>
              </w:rPr>
              <w:t>2,400.00</w:t>
            </w:r>
          </w:p>
        </w:tc>
      </w:tr>
      <w:tr w14:paraId="64DF5CF5" w14:textId="77777777" w:rsidTr="00F711E3">
        <w:tblPrEx>
          <w:tblW w:w="10328" w:type="dxa"/>
          <w:tblLook w:val="04A0"/>
        </w:tblPrEx>
        <w:trPr>
          <w:trHeight w:val="204"/>
        </w:trPr>
        <w:tc>
          <w:tcPr>
            <w:tcW w:w="1536" w:type="dxa"/>
            <w:vMerge/>
            <w:tcBorders>
              <w:top w:val="nil"/>
              <w:left w:val="single" w:sz="12" w:space="0" w:color="auto"/>
              <w:bottom w:val="single" w:sz="12" w:space="0" w:color="000000"/>
              <w:right w:val="single" w:sz="12" w:space="0" w:color="auto"/>
            </w:tcBorders>
            <w:vAlign w:val="center"/>
            <w:hideMark/>
          </w:tcPr>
          <w:p w:rsidR="00A86765" w:rsidRPr="00A86765" w:rsidP="00A86765" w14:paraId="183FC02D" w14:textId="77777777">
            <w:pPr>
              <w:widowControl/>
              <w:autoSpaceDE/>
              <w:autoSpaceDN/>
              <w:adjustRightInd/>
              <w:rPr>
                <w:rFonts w:ascii="Times New Roman" w:hAnsi="Times New Roman"/>
                <w:color w:val="000000"/>
                <w:sz w:val="22"/>
                <w:szCs w:val="22"/>
              </w:rPr>
            </w:pPr>
          </w:p>
        </w:tc>
        <w:tc>
          <w:tcPr>
            <w:tcW w:w="856" w:type="dxa"/>
            <w:vMerge/>
            <w:tcBorders>
              <w:top w:val="nil"/>
              <w:left w:val="single" w:sz="12" w:space="0" w:color="auto"/>
              <w:bottom w:val="single" w:sz="12" w:space="0" w:color="000000"/>
              <w:right w:val="single" w:sz="12" w:space="0" w:color="auto"/>
            </w:tcBorders>
            <w:vAlign w:val="center"/>
            <w:hideMark/>
          </w:tcPr>
          <w:p w:rsidR="00A86765" w:rsidRPr="00A86765" w:rsidP="00A86765" w14:paraId="60BC4A8C" w14:textId="77777777">
            <w:pPr>
              <w:widowControl/>
              <w:autoSpaceDE/>
              <w:autoSpaceDN/>
              <w:adjustRightInd/>
              <w:rPr>
                <w:rFonts w:ascii="Times New Roman" w:hAnsi="Times New Roman"/>
                <w:color w:val="000000"/>
                <w:sz w:val="22"/>
                <w:szCs w:val="22"/>
              </w:rPr>
            </w:pPr>
          </w:p>
        </w:tc>
        <w:tc>
          <w:tcPr>
            <w:tcW w:w="1443" w:type="dxa"/>
            <w:vMerge/>
            <w:tcBorders>
              <w:top w:val="nil"/>
              <w:left w:val="single" w:sz="12" w:space="0" w:color="auto"/>
              <w:bottom w:val="single" w:sz="12" w:space="0" w:color="000000"/>
              <w:right w:val="single" w:sz="12" w:space="0" w:color="auto"/>
            </w:tcBorders>
            <w:vAlign w:val="center"/>
            <w:hideMark/>
          </w:tcPr>
          <w:p w:rsidR="00A86765" w:rsidRPr="00A86765" w:rsidP="00A86765" w14:paraId="3284D2A6" w14:textId="77777777">
            <w:pPr>
              <w:widowControl/>
              <w:autoSpaceDE/>
              <w:autoSpaceDN/>
              <w:adjustRightInd/>
              <w:rPr>
                <w:rFonts w:ascii="Times New Roman" w:hAnsi="Times New Roman"/>
                <w:color w:val="000000"/>
                <w:sz w:val="22"/>
                <w:szCs w:val="22"/>
              </w:rPr>
            </w:pPr>
          </w:p>
        </w:tc>
        <w:tc>
          <w:tcPr>
            <w:tcW w:w="861" w:type="dxa"/>
            <w:vMerge/>
            <w:tcBorders>
              <w:top w:val="nil"/>
              <w:left w:val="single" w:sz="12" w:space="0" w:color="auto"/>
              <w:bottom w:val="single" w:sz="12" w:space="0" w:color="000000"/>
              <w:right w:val="single" w:sz="12" w:space="0" w:color="auto"/>
            </w:tcBorders>
            <w:vAlign w:val="center"/>
            <w:hideMark/>
          </w:tcPr>
          <w:p w:rsidR="00A86765" w:rsidRPr="00A86765" w:rsidP="00A86765" w14:paraId="2C91F276" w14:textId="77777777">
            <w:pPr>
              <w:widowControl/>
              <w:autoSpaceDE/>
              <w:autoSpaceDN/>
              <w:adjustRightInd/>
              <w:rPr>
                <w:rFonts w:ascii="Times New Roman" w:hAnsi="Times New Roman"/>
                <w:color w:val="000000"/>
                <w:sz w:val="22"/>
                <w:szCs w:val="22"/>
              </w:rPr>
            </w:pPr>
          </w:p>
        </w:tc>
        <w:tc>
          <w:tcPr>
            <w:tcW w:w="1283" w:type="dxa"/>
            <w:vMerge/>
            <w:tcBorders>
              <w:top w:val="nil"/>
              <w:left w:val="single" w:sz="12" w:space="0" w:color="auto"/>
              <w:bottom w:val="single" w:sz="12" w:space="0" w:color="000000"/>
              <w:right w:val="single" w:sz="12" w:space="0" w:color="auto"/>
            </w:tcBorders>
            <w:vAlign w:val="center"/>
            <w:hideMark/>
          </w:tcPr>
          <w:p w:rsidR="00A86765" w:rsidRPr="00A86765" w:rsidP="00A86765" w14:paraId="760F6FA2" w14:textId="77777777">
            <w:pPr>
              <w:widowControl/>
              <w:autoSpaceDE/>
              <w:autoSpaceDN/>
              <w:adjustRightInd/>
              <w:rPr>
                <w:rFonts w:ascii="Times New Roman" w:hAnsi="Times New Roman"/>
                <w:color w:val="000000"/>
                <w:sz w:val="22"/>
                <w:szCs w:val="22"/>
              </w:rPr>
            </w:pPr>
          </w:p>
        </w:tc>
        <w:tc>
          <w:tcPr>
            <w:tcW w:w="856" w:type="dxa"/>
            <w:vMerge/>
            <w:tcBorders>
              <w:top w:val="nil"/>
              <w:left w:val="single" w:sz="12" w:space="0" w:color="auto"/>
              <w:bottom w:val="single" w:sz="12" w:space="0" w:color="000000"/>
              <w:right w:val="single" w:sz="12" w:space="0" w:color="auto"/>
            </w:tcBorders>
            <w:vAlign w:val="center"/>
            <w:hideMark/>
          </w:tcPr>
          <w:p w:rsidR="00A86765" w:rsidRPr="00A86765" w:rsidP="00A86765" w14:paraId="493A80BA" w14:textId="77777777">
            <w:pPr>
              <w:widowControl/>
              <w:autoSpaceDE/>
              <w:autoSpaceDN/>
              <w:adjustRightInd/>
              <w:rPr>
                <w:rFonts w:ascii="Times New Roman" w:hAnsi="Times New Roman"/>
                <w:color w:val="000000"/>
                <w:sz w:val="22"/>
                <w:szCs w:val="22"/>
              </w:rPr>
            </w:pPr>
          </w:p>
        </w:tc>
        <w:tc>
          <w:tcPr>
            <w:tcW w:w="1124" w:type="dxa"/>
            <w:vMerge/>
            <w:tcBorders>
              <w:top w:val="nil"/>
              <w:left w:val="single" w:sz="12" w:space="0" w:color="auto"/>
              <w:bottom w:val="single" w:sz="12" w:space="0" w:color="000000"/>
              <w:right w:val="single" w:sz="12" w:space="0" w:color="auto"/>
            </w:tcBorders>
            <w:vAlign w:val="center"/>
            <w:hideMark/>
          </w:tcPr>
          <w:p w:rsidR="00A86765" w:rsidRPr="00A86765" w:rsidP="00A86765" w14:paraId="6469488B" w14:textId="77777777">
            <w:pPr>
              <w:widowControl/>
              <w:autoSpaceDE/>
              <w:autoSpaceDN/>
              <w:adjustRightInd/>
              <w:rPr>
                <w:rFonts w:ascii="Times New Roman" w:hAnsi="Times New Roman"/>
                <w:color w:val="000000"/>
                <w:sz w:val="22"/>
                <w:szCs w:val="22"/>
              </w:rPr>
            </w:pPr>
          </w:p>
        </w:tc>
        <w:tc>
          <w:tcPr>
            <w:tcW w:w="861" w:type="dxa"/>
            <w:vMerge/>
            <w:tcBorders>
              <w:top w:val="nil"/>
              <w:left w:val="single" w:sz="12" w:space="0" w:color="auto"/>
              <w:bottom w:val="single" w:sz="12" w:space="0" w:color="000000"/>
              <w:right w:val="single" w:sz="12" w:space="0" w:color="auto"/>
            </w:tcBorders>
            <w:vAlign w:val="center"/>
            <w:hideMark/>
          </w:tcPr>
          <w:p w:rsidR="00A86765" w:rsidRPr="00A86765" w:rsidP="00A86765" w14:paraId="3610E8B2" w14:textId="77777777">
            <w:pPr>
              <w:widowControl/>
              <w:autoSpaceDE/>
              <w:autoSpaceDN/>
              <w:adjustRightInd/>
              <w:rPr>
                <w:rFonts w:ascii="Times New Roman" w:hAnsi="Times New Roman"/>
                <w:color w:val="000000"/>
                <w:sz w:val="22"/>
                <w:szCs w:val="22"/>
              </w:rPr>
            </w:pPr>
          </w:p>
        </w:tc>
        <w:tc>
          <w:tcPr>
            <w:tcW w:w="1268" w:type="dxa"/>
            <w:vMerge/>
            <w:tcBorders>
              <w:top w:val="nil"/>
              <w:left w:val="single" w:sz="12" w:space="0" w:color="auto"/>
              <w:bottom w:val="single" w:sz="12" w:space="0" w:color="000000"/>
              <w:right w:val="single" w:sz="12" w:space="0" w:color="auto"/>
            </w:tcBorders>
            <w:vAlign w:val="center"/>
            <w:hideMark/>
          </w:tcPr>
          <w:p w:rsidR="00A86765" w:rsidRPr="00A86765" w:rsidP="00A86765" w14:paraId="41BBB33B" w14:textId="77777777">
            <w:pPr>
              <w:widowControl/>
              <w:autoSpaceDE/>
              <w:autoSpaceDN/>
              <w:adjustRightInd/>
              <w:rPr>
                <w:rFonts w:ascii="Times New Roman" w:hAnsi="Times New Roman"/>
                <w:color w:val="000000"/>
                <w:sz w:val="22"/>
                <w:szCs w:val="22"/>
              </w:rPr>
            </w:pPr>
          </w:p>
        </w:tc>
        <w:tc>
          <w:tcPr>
            <w:tcW w:w="240" w:type="dxa"/>
            <w:tcBorders>
              <w:top w:val="nil"/>
              <w:left w:val="nil"/>
              <w:bottom w:val="nil"/>
              <w:right w:val="nil"/>
            </w:tcBorders>
            <w:shd w:val="clear" w:color="auto" w:fill="auto"/>
            <w:noWrap/>
            <w:vAlign w:val="bottom"/>
            <w:hideMark/>
          </w:tcPr>
          <w:p w:rsidR="00A86765" w:rsidRPr="00A86765" w:rsidP="00A86765" w14:paraId="58D7AB9C" w14:textId="77777777">
            <w:pPr>
              <w:widowControl/>
              <w:autoSpaceDE/>
              <w:autoSpaceDN/>
              <w:adjustRightInd/>
              <w:jc w:val="center"/>
              <w:rPr>
                <w:rFonts w:ascii="Times New Roman" w:hAnsi="Times New Roman"/>
                <w:color w:val="000000"/>
                <w:sz w:val="22"/>
                <w:szCs w:val="22"/>
              </w:rPr>
            </w:pPr>
          </w:p>
        </w:tc>
      </w:tr>
    </w:tbl>
    <w:p w:rsidR="00A26DDD" w:rsidRPr="00A528F4" w:rsidP="005434D9" w14:paraId="275D9ADB" w14:textId="77777777">
      <w:pPr>
        <w:ind w:left="720"/>
        <w:rPr>
          <w:rFonts w:ascii="Times New Roman" w:hAnsi="Times New Roman"/>
          <w:b/>
          <w:bCs/>
          <w:snapToGrid w:val="0"/>
          <w:sz w:val="24"/>
          <w:szCs w:val="24"/>
        </w:rPr>
      </w:pPr>
    </w:p>
    <w:p w:rsidR="0034057D" w:rsidP="00E31AF7" w14:paraId="65CF23B5" w14:textId="14B5BBEE">
      <w:pPr>
        <w:pStyle w:val="ListParagraph"/>
        <w:numPr>
          <w:ilvl w:val="0"/>
          <w:numId w:val="44"/>
        </w:numPr>
        <w:ind w:left="720"/>
        <w:rPr>
          <w:rFonts w:ascii="Times New Roman" w:hAnsi="Times New Roman"/>
          <w:snapToGrid w:val="0"/>
          <w:sz w:val="24"/>
          <w:szCs w:val="24"/>
        </w:rPr>
      </w:pPr>
      <w:r w:rsidRPr="00A528F4">
        <w:rPr>
          <w:rFonts w:ascii="Times New Roman" w:hAnsi="Times New Roman"/>
          <w:b/>
          <w:bCs/>
          <w:snapToGrid w:val="0"/>
          <w:sz w:val="24"/>
          <w:szCs w:val="24"/>
        </w:rPr>
        <w:t>Estimated Annualized Cost Burden</w:t>
      </w:r>
      <w:r>
        <w:rPr>
          <w:rFonts w:ascii="Times New Roman" w:hAnsi="Times New Roman"/>
          <w:snapToGrid w:val="0"/>
          <w:sz w:val="24"/>
          <w:szCs w:val="24"/>
        </w:rPr>
        <w:t xml:space="preserve"> </w:t>
      </w:r>
    </w:p>
    <w:p w:rsidR="0034057D" w:rsidRPr="00A528F4" w:rsidP="00A528F4" w14:paraId="5935EFD8" w14:textId="77777777">
      <w:pPr>
        <w:pStyle w:val="ListParagraph"/>
        <w:rPr>
          <w:rFonts w:ascii="Times New Roman" w:hAnsi="Times New Roman"/>
          <w:snapToGrid w:val="0"/>
          <w:sz w:val="24"/>
          <w:szCs w:val="24"/>
        </w:rPr>
      </w:pPr>
    </w:p>
    <w:p w:rsidR="00E86B09" w:rsidP="00DE3E73" w14:paraId="4D0A9335" w14:textId="4634961C">
      <w:pPr>
        <w:ind w:left="720"/>
        <w:rPr>
          <w:rFonts w:ascii="Times New Roman" w:hAnsi="Times New Roman"/>
          <w:snapToGrid w:val="0"/>
          <w:sz w:val="24"/>
          <w:szCs w:val="24"/>
        </w:rPr>
      </w:pPr>
      <w:r>
        <w:rPr>
          <w:rFonts w:ascii="Times New Roman" w:hAnsi="Times New Roman"/>
          <w:snapToGrid w:val="0"/>
          <w:sz w:val="24"/>
          <w:szCs w:val="24"/>
        </w:rPr>
        <w:t>The Bureau of Labor Statistics (BLS)</w:t>
      </w:r>
      <w:r>
        <w:rPr>
          <w:rStyle w:val="FootnoteReference"/>
          <w:rFonts w:ascii="Times New Roman" w:hAnsi="Times New Roman"/>
          <w:snapToGrid w:val="0"/>
          <w:sz w:val="24"/>
          <w:szCs w:val="24"/>
        </w:rPr>
        <w:footnoteReference w:id="2"/>
      </w:r>
      <w:r>
        <w:rPr>
          <w:rFonts w:ascii="Times New Roman" w:hAnsi="Times New Roman"/>
          <w:snapToGrid w:val="0"/>
          <w:sz w:val="24"/>
          <w:szCs w:val="24"/>
        </w:rPr>
        <w:t xml:space="preserve"> estimates that the average hourly wage for Education Administrators, Postsecondary professionals (11-9033) is $ 58.66. When combined with the total compensation rate of 29%</w:t>
      </w:r>
      <w:r>
        <w:rPr>
          <w:rStyle w:val="FootnoteReference"/>
          <w:rFonts w:ascii="Times New Roman" w:hAnsi="Times New Roman"/>
          <w:snapToGrid w:val="0"/>
          <w:sz w:val="24"/>
          <w:szCs w:val="24"/>
        </w:rPr>
        <w:footnoteReference w:id="3"/>
      </w:r>
      <w:r>
        <w:rPr>
          <w:rFonts w:ascii="Times New Roman" w:hAnsi="Times New Roman"/>
          <w:snapToGrid w:val="0"/>
          <w:sz w:val="24"/>
          <w:szCs w:val="24"/>
        </w:rPr>
        <w:t>, the total annualized hourly wage rate is: $75.</w:t>
      </w:r>
      <w:r w:rsidR="007351A1">
        <w:rPr>
          <w:rFonts w:ascii="Times New Roman" w:hAnsi="Times New Roman"/>
          <w:snapToGrid w:val="0"/>
          <w:sz w:val="24"/>
          <w:szCs w:val="24"/>
        </w:rPr>
        <w:t>67</w:t>
      </w:r>
      <w:r>
        <w:rPr>
          <w:rFonts w:ascii="Times New Roman" w:hAnsi="Times New Roman"/>
          <w:snapToGrid w:val="0"/>
          <w:sz w:val="24"/>
          <w:szCs w:val="24"/>
        </w:rPr>
        <w:t>. Therefore</w:t>
      </w:r>
      <w:r w:rsidR="00A528F4">
        <w:rPr>
          <w:rFonts w:ascii="Times New Roman" w:hAnsi="Times New Roman"/>
          <w:snapToGrid w:val="0"/>
          <w:sz w:val="24"/>
          <w:szCs w:val="24"/>
        </w:rPr>
        <w:t>,</w:t>
      </w:r>
      <w:r>
        <w:rPr>
          <w:rFonts w:ascii="Times New Roman" w:hAnsi="Times New Roman"/>
          <w:snapToGrid w:val="0"/>
          <w:sz w:val="24"/>
          <w:szCs w:val="24"/>
        </w:rPr>
        <w:t xml:space="preserve"> the total annualized cost burden for individuals associated with preparing and submitting data in response to this collection is: $ 181,608.00. Additionally, </w:t>
      </w:r>
      <w:r w:rsidR="00DE3E73">
        <w:rPr>
          <w:rFonts w:ascii="Times New Roman" w:hAnsi="Times New Roman"/>
          <w:snapToGrid w:val="0"/>
          <w:sz w:val="24"/>
          <w:szCs w:val="24"/>
        </w:rPr>
        <w:t>overhead,</w:t>
      </w:r>
      <w:r>
        <w:rPr>
          <w:rFonts w:ascii="Times New Roman" w:hAnsi="Times New Roman"/>
          <w:snapToGrid w:val="0"/>
          <w:sz w:val="24"/>
          <w:szCs w:val="24"/>
        </w:rPr>
        <w:t xml:space="preserve"> and general administrative costs</w:t>
      </w:r>
      <w:r w:rsidR="00DE3E73">
        <w:rPr>
          <w:rFonts w:ascii="Times New Roman" w:hAnsi="Times New Roman"/>
          <w:snapToGrid w:val="0"/>
          <w:sz w:val="24"/>
          <w:szCs w:val="24"/>
        </w:rPr>
        <w:t xml:space="preserve"> associated with the preparation and submission of applications for the CoE program is estimated to be 40% of the total annualized cost or $72,643</w:t>
      </w:r>
      <w:r w:rsidR="007351A1">
        <w:rPr>
          <w:rFonts w:ascii="Times New Roman" w:hAnsi="Times New Roman"/>
          <w:snapToGrid w:val="0"/>
          <w:sz w:val="24"/>
          <w:szCs w:val="24"/>
        </w:rPr>
        <w:t>.20</w:t>
      </w:r>
      <w:r w:rsidR="00DE3E73">
        <w:rPr>
          <w:rFonts w:ascii="Times New Roman" w:hAnsi="Times New Roman"/>
          <w:snapToGrid w:val="0"/>
          <w:sz w:val="24"/>
          <w:szCs w:val="24"/>
        </w:rPr>
        <w:t xml:space="preserve">. Therefore, the combined total annualized cost burden associated with this collection is: $ 254,251.20, which can be calculated as shown in the table below: </w:t>
      </w:r>
    </w:p>
    <w:p w:rsidR="00672076" w:rsidP="00DE3E73" w14:paraId="2AB8D9BD" w14:textId="77777777">
      <w:pPr>
        <w:ind w:left="720"/>
        <w:rPr>
          <w:rFonts w:ascii="Times New Roman" w:hAnsi="Times New Roman"/>
          <w:snapToGrid w:val="0"/>
          <w:sz w:val="24"/>
          <w:szCs w:val="24"/>
        </w:rPr>
      </w:pPr>
    </w:p>
    <w:p w:rsidR="00672076" w:rsidP="00DE3E73" w14:paraId="7F2B2639" w14:textId="77777777">
      <w:pPr>
        <w:ind w:left="720"/>
        <w:rPr>
          <w:rFonts w:ascii="Times New Roman" w:hAnsi="Times New Roman"/>
          <w:snapToGrid w:val="0"/>
          <w:sz w:val="24"/>
          <w:szCs w:val="24"/>
        </w:rPr>
      </w:pPr>
    </w:p>
    <w:p w:rsidR="00DE3E73" w:rsidP="00DE3E73" w14:paraId="7A0EE66D" w14:textId="77777777">
      <w:pPr>
        <w:ind w:left="720"/>
        <w:rPr>
          <w:rFonts w:ascii="Times New Roman" w:hAnsi="Times New Roman"/>
          <w:snapToGrid w:val="0"/>
          <w:sz w:val="24"/>
          <w:szCs w:val="24"/>
        </w:rPr>
      </w:pPr>
    </w:p>
    <w:p w:rsidR="00672076" w:rsidP="00A528F4" w14:paraId="3AAB5516" w14:textId="77777777">
      <w:pPr>
        <w:rPr>
          <w:rFonts w:ascii="Times New Roman" w:hAnsi="Times New Roman"/>
          <w:snapToGrid w:val="0"/>
          <w:sz w:val="24"/>
          <w:szCs w:val="24"/>
        </w:rPr>
      </w:pPr>
    </w:p>
    <w:tbl>
      <w:tblPr>
        <w:tblW w:w="11160" w:type="dxa"/>
        <w:tblInd w:w="-635" w:type="dxa"/>
        <w:tblLook w:val="04A0"/>
      </w:tblPr>
      <w:tblGrid>
        <w:gridCol w:w="2250"/>
        <w:gridCol w:w="1260"/>
        <w:gridCol w:w="1620"/>
        <w:gridCol w:w="1260"/>
        <w:gridCol w:w="1573"/>
        <w:gridCol w:w="1696"/>
        <w:gridCol w:w="1581"/>
      </w:tblGrid>
      <w:tr w14:paraId="62D41CED" w14:textId="77777777" w:rsidTr="00A528F4">
        <w:tblPrEx>
          <w:tblW w:w="11160" w:type="dxa"/>
          <w:tblInd w:w="-635" w:type="dxa"/>
          <w:tblLook w:val="04A0"/>
        </w:tblPrEx>
        <w:trPr>
          <w:trHeight w:val="1185"/>
        </w:trPr>
        <w:tc>
          <w:tcPr>
            <w:tcW w:w="22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3E73" w:rsidRPr="00A528F4" w:rsidP="00F57A97" w14:paraId="473CCE82" w14:textId="56029042">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 xml:space="preserve">          </w:t>
            </w:r>
          </w:p>
          <w:p w:rsidR="00DE3E73" w:rsidRPr="00A528F4" w:rsidP="00F57A97" w14:paraId="02CB2467" w14:textId="3084C8F1">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Title and Code of Respondents</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E3E73" w:rsidRPr="00A528F4" w:rsidP="00F57A97" w14:paraId="4640285C"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Hourly Wage</w:t>
            </w:r>
          </w:p>
        </w:tc>
        <w:tc>
          <w:tcPr>
            <w:tcW w:w="162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E3E73" w:rsidRPr="00A528F4" w:rsidP="00F57A97" w14:paraId="265919F5"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Compensation Rate of 29%</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E3E73" w:rsidRPr="00A528F4" w:rsidP="00F57A97" w14:paraId="43458FE4"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Number of Employees</w:t>
            </w:r>
          </w:p>
        </w:tc>
        <w:tc>
          <w:tcPr>
            <w:tcW w:w="153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E3E73" w:rsidRPr="00A528F4" w:rsidP="00F57A97" w14:paraId="5EADE708"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Total Compensation Rate for Each Respondent</w:t>
            </w:r>
          </w:p>
        </w:tc>
        <w:tc>
          <w:tcPr>
            <w:tcW w:w="16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E3E73" w:rsidRPr="00A528F4" w:rsidP="00F57A97" w14:paraId="50850981"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Total Annualized Burden Hours</w:t>
            </w:r>
          </w:p>
        </w:tc>
        <w:tc>
          <w:tcPr>
            <w:tcW w:w="158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DE3E73" w:rsidRPr="00A528F4" w:rsidP="00F57A97" w14:paraId="1ACA6D69"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Total Annualized Cost Burden</w:t>
            </w:r>
          </w:p>
        </w:tc>
      </w:tr>
      <w:tr w14:paraId="7C2A85CC" w14:textId="77777777" w:rsidTr="00A528F4">
        <w:tblPrEx>
          <w:tblW w:w="11160" w:type="dxa"/>
          <w:tblInd w:w="-635" w:type="dxa"/>
          <w:tblLook w:val="04A0"/>
        </w:tblPrEx>
        <w:trPr>
          <w:trHeight w:val="600"/>
        </w:trPr>
        <w:tc>
          <w:tcPr>
            <w:tcW w:w="2250" w:type="dxa"/>
            <w:tcBorders>
              <w:top w:val="nil"/>
              <w:left w:val="single" w:sz="4" w:space="0" w:color="auto"/>
              <w:bottom w:val="single" w:sz="4" w:space="0" w:color="auto"/>
              <w:right w:val="single" w:sz="4" w:space="0" w:color="auto"/>
            </w:tcBorders>
            <w:shd w:val="clear" w:color="auto" w:fill="auto"/>
            <w:vAlign w:val="bottom"/>
            <w:hideMark/>
          </w:tcPr>
          <w:p w:rsidR="00DE3E73" w:rsidRPr="00A528F4" w:rsidP="00F57A97" w14:paraId="7E668A62" w14:textId="77777777">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Education Administrator, Post Secondary (11-9033)</w:t>
            </w:r>
          </w:p>
        </w:tc>
        <w:tc>
          <w:tcPr>
            <w:tcW w:w="1260" w:type="dxa"/>
            <w:tcBorders>
              <w:top w:val="nil"/>
              <w:left w:val="nil"/>
              <w:bottom w:val="single" w:sz="4" w:space="0" w:color="auto"/>
              <w:right w:val="single" w:sz="4" w:space="0" w:color="auto"/>
            </w:tcBorders>
            <w:shd w:val="clear" w:color="auto" w:fill="auto"/>
            <w:noWrap/>
            <w:vAlign w:val="center"/>
            <w:hideMark/>
          </w:tcPr>
          <w:p w:rsidR="00DE3E73" w:rsidRPr="00A528F4" w:rsidP="00F57A97" w14:paraId="3ED7CD15" w14:textId="7777777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58.66</w:t>
            </w:r>
          </w:p>
        </w:tc>
        <w:tc>
          <w:tcPr>
            <w:tcW w:w="1620" w:type="dxa"/>
            <w:tcBorders>
              <w:top w:val="nil"/>
              <w:left w:val="nil"/>
              <w:bottom w:val="single" w:sz="4" w:space="0" w:color="auto"/>
              <w:right w:val="single" w:sz="4" w:space="0" w:color="auto"/>
            </w:tcBorders>
            <w:shd w:val="clear" w:color="auto" w:fill="auto"/>
            <w:noWrap/>
            <w:vAlign w:val="center"/>
            <w:hideMark/>
          </w:tcPr>
          <w:p w:rsidR="00DE3E73" w:rsidRPr="00A528F4" w:rsidP="00F57A97" w14:paraId="77E385A7" w14:textId="3B651935">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$ 75.67</w:t>
            </w:r>
          </w:p>
        </w:tc>
        <w:tc>
          <w:tcPr>
            <w:tcW w:w="1260" w:type="dxa"/>
            <w:tcBorders>
              <w:top w:val="nil"/>
              <w:left w:val="nil"/>
              <w:bottom w:val="single" w:sz="4" w:space="0" w:color="auto"/>
              <w:right w:val="single" w:sz="4" w:space="0" w:color="auto"/>
            </w:tcBorders>
            <w:shd w:val="clear" w:color="auto" w:fill="auto"/>
            <w:noWrap/>
            <w:vAlign w:val="center"/>
            <w:hideMark/>
          </w:tcPr>
          <w:p w:rsidR="00DE3E73" w:rsidRPr="00A528F4" w:rsidP="00F57A97" w14:paraId="6E8B4E80" w14:textId="7777777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center"/>
            <w:hideMark/>
          </w:tcPr>
          <w:p w:rsidR="00DE3E73" w:rsidRPr="00A528F4" w:rsidP="00F57A97" w14:paraId="714F87FF" w14:textId="7777777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75.67</w:t>
            </w:r>
          </w:p>
        </w:tc>
        <w:tc>
          <w:tcPr>
            <w:tcW w:w="1659" w:type="dxa"/>
            <w:tcBorders>
              <w:top w:val="nil"/>
              <w:left w:val="nil"/>
              <w:bottom w:val="single" w:sz="4" w:space="0" w:color="auto"/>
              <w:right w:val="single" w:sz="4" w:space="0" w:color="auto"/>
            </w:tcBorders>
            <w:shd w:val="clear" w:color="auto" w:fill="auto"/>
            <w:noWrap/>
            <w:vAlign w:val="center"/>
            <w:hideMark/>
          </w:tcPr>
          <w:p w:rsidR="00DE3E73" w:rsidRPr="00A528F4" w:rsidP="00F57A97" w14:paraId="13213973" w14:textId="7777777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2,400</w:t>
            </w:r>
          </w:p>
        </w:tc>
        <w:tc>
          <w:tcPr>
            <w:tcW w:w="1581" w:type="dxa"/>
            <w:tcBorders>
              <w:top w:val="nil"/>
              <w:left w:val="nil"/>
              <w:bottom w:val="single" w:sz="4" w:space="0" w:color="auto"/>
              <w:right w:val="single" w:sz="4" w:space="0" w:color="auto"/>
            </w:tcBorders>
            <w:shd w:val="clear" w:color="auto" w:fill="auto"/>
            <w:noWrap/>
            <w:vAlign w:val="center"/>
            <w:hideMark/>
          </w:tcPr>
          <w:p w:rsidR="00DE3E73" w:rsidRPr="00A528F4" w:rsidP="00F57A97" w14:paraId="7CA5B555" w14:textId="711D925A">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$ 181,608.00</w:t>
            </w:r>
          </w:p>
        </w:tc>
      </w:tr>
      <w:tr w14:paraId="1E0756D0" w14:textId="77777777" w:rsidTr="00A528F4">
        <w:tblPrEx>
          <w:tblW w:w="11160" w:type="dxa"/>
          <w:tblInd w:w="-635" w:type="dxa"/>
          <w:tblLook w:val="04A0"/>
        </w:tblPrEx>
        <w:trPr>
          <w:trHeight w:val="1500"/>
        </w:trPr>
        <w:tc>
          <w:tcPr>
            <w:tcW w:w="2250" w:type="dxa"/>
            <w:tcBorders>
              <w:top w:val="nil"/>
              <w:left w:val="nil"/>
              <w:bottom w:val="nil"/>
              <w:right w:val="nil"/>
            </w:tcBorders>
            <w:shd w:val="clear" w:color="auto" w:fill="auto"/>
            <w:noWrap/>
            <w:vAlign w:val="bottom"/>
            <w:hideMark/>
          </w:tcPr>
          <w:p w:rsidR="00DE3E73" w:rsidRPr="00A528F4" w:rsidP="00F57A97" w14:paraId="065BD022" w14:textId="77777777">
            <w:pPr>
              <w:widowControl/>
              <w:autoSpaceDE/>
              <w:autoSpaceDN/>
              <w:adjustRightInd/>
              <w:rPr>
                <w:rFonts w:ascii="Times New Roman" w:hAnsi="Times New Roman"/>
                <w:color w:val="000000"/>
                <w:sz w:val="22"/>
                <w:szCs w:val="22"/>
              </w:rPr>
            </w:pPr>
          </w:p>
        </w:tc>
        <w:tc>
          <w:tcPr>
            <w:tcW w:w="1260" w:type="dxa"/>
            <w:tcBorders>
              <w:top w:val="nil"/>
              <w:left w:val="nil"/>
              <w:bottom w:val="nil"/>
              <w:right w:val="nil"/>
            </w:tcBorders>
            <w:shd w:val="clear" w:color="auto" w:fill="auto"/>
            <w:noWrap/>
            <w:vAlign w:val="bottom"/>
            <w:hideMark/>
          </w:tcPr>
          <w:p w:rsidR="00DE3E73" w:rsidRPr="007351A1" w:rsidP="00F57A97" w14:paraId="0B4C66EC" w14:textId="77777777">
            <w:pPr>
              <w:widowControl/>
              <w:autoSpaceDE/>
              <w:autoSpaceDN/>
              <w:adjustRightInd/>
              <w:rPr>
                <w:rFonts w:ascii="Times New Roman" w:hAnsi="Times New Roman"/>
                <w:sz w:val="22"/>
                <w:szCs w:val="22"/>
              </w:rPr>
            </w:pPr>
          </w:p>
        </w:tc>
        <w:tc>
          <w:tcPr>
            <w:tcW w:w="1620" w:type="dxa"/>
            <w:tcBorders>
              <w:top w:val="nil"/>
              <w:left w:val="nil"/>
              <w:bottom w:val="nil"/>
              <w:right w:val="nil"/>
            </w:tcBorders>
            <w:shd w:val="clear" w:color="auto" w:fill="auto"/>
            <w:noWrap/>
            <w:vAlign w:val="bottom"/>
            <w:hideMark/>
          </w:tcPr>
          <w:p w:rsidR="00DE3E73" w:rsidRPr="007351A1" w:rsidP="00F57A97" w14:paraId="0D15128D" w14:textId="77777777">
            <w:pPr>
              <w:widowControl/>
              <w:autoSpaceDE/>
              <w:autoSpaceDN/>
              <w:adjustRightInd/>
              <w:rPr>
                <w:rFonts w:ascii="Times New Roman" w:hAnsi="Times New Roman"/>
                <w:sz w:val="22"/>
                <w:szCs w:val="22"/>
              </w:rPr>
            </w:pPr>
          </w:p>
        </w:tc>
        <w:tc>
          <w:tcPr>
            <w:tcW w:w="1260" w:type="dxa"/>
            <w:tcBorders>
              <w:top w:val="nil"/>
              <w:left w:val="nil"/>
              <w:bottom w:val="nil"/>
              <w:right w:val="nil"/>
            </w:tcBorders>
            <w:shd w:val="clear" w:color="auto" w:fill="auto"/>
            <w:noWrap/>
            <w:vAlign w:val="bottom"/>
            <w:hideMark/>
          </w:tcPr>
          <w:p w:rsidR="00DE3E73" w:rsidRPr="007351A1" w:rsidP="00F57A97" w14:paraId="7C756224" w14:textId="77777777">
            <w:pPr>
              <w:widowControl/>
              <w:autoSpaceDE/>
              <w:autoSpaceDN/>
              <w:adjustRightInd/>
              <w:rPr>
                <w:rFonts w:ascii="Times New Roman" w:hAnsi="Times New Roman"/>
                <w:sz w:val="22"/>
                <w:szCs w:val="22"/>
              </w:rPr>
            </w:pPr>
          </w:p>
        </w:tc>
        <w:tc>
          <w:tcPr>
            <w:tcW w:w="1530" w:type="dxa"/>
            <w:tcBorders>
              <w:top w:val="nil"/>
              <w:left w:val="nil"/>
              <w:bottom w:val="nil"/>
              <w:right w:val="nil"/>
            </w:tcBorders>
            <w:shd w:val="clear" w:color="auto" w:fill="auto"/>
            <w:noWrap/>
            <w:vAlign w:val="bottom"/>
            <w:hideMark/>
          </w:tcPr>
          <w:p w:rsidR="00DE3E73" w:rsidRPr="007351A1" w:rsidP="00F57A97" w14:paraId="3E4304C0" w14:textId="77777777">
            <w:pPr>
              <w:widowControl/>
              <w:autoSpaceDE/>
              <w:autoSpaceDN/>
              <w:adjustRightInd/>
              <w:rPr>
                <w:rFonts w:ascii="Times New Roman" w:hAnsi="Times New Roman"/>
                <w:sz w:val="22"/>
                <w:szCs w:val="22"/>
              </w:rPr>
            </w:pPr>
          </w:p>
        </w:tc>
        <w:tc>
          <w:tcPr>
            <w:tcW w:w="16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rsidR="00DE3E73" w:rsidRPr="00A528F4" w:rsidP="00F57A97" w14:paraId="2C1A1564" w14:textId="77777777">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 xml:space="preserve">Overhead and General Administrative Costs                           </w:t>
            </w:r>
            <w:r w:rsidRPr="00A528F4">
              <w:rPr>
                <w:rFonts w:ascii="Times New Roman" w:hAnsi="Times New Roman"/>
                <w:b/>
                <w:bCs/>
                <w:i/>
                <w:iCs/>
                <w:color w:val="000000"/>
                <w:sz w:val="22"/>
                <w:szCs w:val="22"/>
              </w:rPr>
              <w:t>(40% of Total Annualized  burden)</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DE3E73" w:rsidRPr="00A528F4" w:rsidP="00F57A97" w14:paraId="7FB3566C" w14:textId="7C9F28EB">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w:t>
            </w:r>
            <w:r w:rsidR="00A528F4">
              <w:rPr>
                <w:rFonts w:ascii="Times New Roman" w:hAnsi="Times New Roman"/>
                <w:color w:val="000000"/>
                <w:sz w:val="22"/>
                <w:szCs w:val="22"/>
              </w:rPr>
              <w:t xml:space="preserve"> </w:t>
            </w:r>
            <w:r w:rsidRPr="00A528F4">
              <w:rPr>
                <w:rFonts w:ascii="Times New Roman" w:hAnsi="Times New Roman"/>
                <w:color w:val="000000"/>
                <w:sz w:val="22"/>
                <w:szCs w:val="22"/>
              </w:rPr>
              <w:t>72,643.20</w:t>
            </w:r>
          </w:p>
        </w:tc>
      </w:tr>
      <w:tr w14:paraId="3E75ADD7" w14:textId="77777777" w:rsidTr="00A528F4">
        <w:tblPrEx>
          <w:tblW w:w="11160" w:type="dxa"/>
          <w:tblInd w:w="-635" w:type="dxa"/>
          <w:tblLook w:val="04A0"/>
        </w:tblPrEx>
        <w:trPr>
          <w:trHeight w:val="300"/>
        </w:trPr>
        <w:tc>
          <w:tcPr>
            <w:tcW w:w="2250" w:type="dxa"/>
            <w:tcBorders>
              <w:top w:val="nil"/>
              <w:left w:val="nil"/>
              <w:bottom w:val="nil"/>
              <w:right w:val="nil"/>
            </w:tcBorders>
            <w:shd w:val="clear" w:color="auto" w:fill="auto"/>
            <w:noWrap/>
            <w:vAlign w:val="bottom"/>
            <w:hideMark/>
          </w:tcPr>
          <w:p w:rsidR="00DE3E73" w:rsidRPr="00A528F4" w:rsidP="00F57A97" w14:paraId="1A9A1A7E" w14:textId="77777777">
            <w:pPr>
              <w:widowControl/>
              <w:autoSpaceDE/>
              <w:autoSpaceDN/>
              <w:adjustRightInd/>
              <w:rPr>
                <w:rFonts w:ascii="Times New Roman" w:hAnsi="Times New Roman"/>
                <w:color w:val="000000"/>
                <w:sz w:val="22"/>
                <w:szCs w:val="22"/>
              </w:rPr>
            </w:pPr>
          </w:p>
        </w:tc>
        <w:tc>
          <w:tcPr>
            <w:tcW w:w="1260" w:type="dxa"/>
            <w:tcBorders>
              <w:top w:val="nil"/>
              <w:left w:val="nil"/>
              <w:bottom w:val="nil"/>
              <w:right w:val="nil"/>
            </w:tcBorders>
            <w:shd w:val="clear" w:color="auto" w:fill="auto"/>
            <w:noWrap/>
            <w:vAlign w:val="bottom"/>
            <w:hideMark/>
          </w:tcPr>
          <w:p w:rsidR="00DE3E73" w:rsidRPr="007351A1" w:rsidP="00F57A97" w14:paraId="24F71EB4" w14:textId="77777777">
            <w:pPr>
              <w:widowControl/>
              <w:autoSpaceDE/>
              <w:autoSpaceDN/>
              <w:adjustRightInd/>
              <w:rPr>
                <w:rFonts w:ascii="Times New Roman" w:hAnsi="Times New Roman"/>
                <w:sz w:val="22"/>
                <w:szCs w:val="22"/>
              </w:rPr>
            </w:pPr>
          </w:p>
        </w:tc>
        <w:tc>
          <w:tcPr>
            <w:tcW w:w="1620" w:type="dxa"/>
            <w:tcBorders>
              <w:top w:val="nil"/>
              <w:left w:val="nil"/>
              <w:bottom w:val="nil"/>
              <w:right w:val="nil"/>
            </w:tcBorders>
            <w:shd w:val="clear" w:color="auto" w:fill="auto"/>
            <w:noWrap/>
            <w:vAlign w:val="bottom"/>
            <w:hideMark/>
          </w:tcPr>
          <w:p w:rsidR="00DE3E73" w:rsidRPr="007351A1" w:rsidP="00F57A97" w14:paraId="3761AB72" w14:textId="77777777">
            <w:pPr>
              <w:widowControl/>
              <w:autoSpaceDE/>
              <w:autoSpaceDN/>
              <w:adjustRightInd/>
              <w:rPr>
                <w:rFonts w:ascii="Times New Roman" w:hAnsi="Times New Roman"/>
                <w:sz w:val="22"/>
                <w:szCs w:val="22"/>
              </w:rPr>
            </w:pPr>
          </w:p>
        </w:tc>
        <w:tc>
          <w:tcPr>
            <w:tcW w:w="1260" w:type="dxa"/>
            <w:tcBorders>
              <w:top w:val="nil"/>
              <w:left w:val="nil"/>
              <w:bottom w:val="nil"/>
              <w:right w:val="nil"/>
            </w:tcBorders>
            <w:shd w:val="clear" w:color="auto" w:fill="auto"/>
            <w:noWrap/>
            <w:vAlign w:val="bottom"/>
            <w:hideMark/>
          </w:tcPr>
          <w:p w:rsidR="00DE3E73" w:rsidRPr="007351A1" w:rsidP="00F57A97" w14:paraId="38FAF5E7" w14:textId="77777777">
            <w:pPr>
              <w:widowControl/>
              <w:autoSpaceDE/>
              <w:autoSpaceDN/>
              <w:adjustRightInd/>
              <w:rPr>
                <w:rFonts w:ascii="Times New Roman" w:hAnsi="Times New Roman"/>
                <w:sz w:val="22"/>
                <w:szCs w:val="22"/>
              </w:rPr>
            </w:pPr>
          </w:p>
        </w:tc>
        <w:tc>
          <w:tcPr>
            <w:tcW w:w="1530" w:type="dxa"/>
            <w:tcBorders>
              <w:top w:val="nil"/>
              <w:left w:val="nil"/>
              <w:bottom w:val="nil"/>
              <w:right w:val="nil"/>
            </w:tcBorders>
            <w:shd w:val="clear" w:color="auto" w:fill="auto"/>
            <w:noWrap/>
            <w:vAlign w:val="bottom"/>
            <w:hideMark/>
          </w:tcPr>
          <w:p w:rsidR="00DE3E73" w:rsidRPr="007351A1" w:rsidP="00F57A97" w14:paraId="0EB86F52" w14:textId="77777777">
            <w:pPr>
              <w:widowControl/>
              <w:autoSpaceDE/>
              <w:autoSpaceDN/>
              <w:adjustRightInd/>
              <w:rPr>
                <w:rFonts w:ascii="Times New Roman" w:hAnsi="Times New Roman"/>
                <w:sz w:val="22"/>
                <w:szCs w:val="22"/>
              </w:rPr>
            </w:pPr>
          </w:p>
        </w:tc>
        <w:tc>
          <w:tcPr>
            <w:tcW w:w="1659" w:type="dxa"/>
            <w:tcBorders>
              <w:top w:val="nil"/>
              <w:left w:val="single" w:sz="4" w:space="0" w:color="auto"/>
              <w:bottom w:val="single" w:sz="4" w:space="0" w:color="auto"/>
              <w:right w:val="single" w:sz="4" w:space="0" w:color="auto"/>
            </w:tcBorders>
            <w:shd w:val="clear" w:color="000000" w:fill="AEAAAA"/>
            <w:noWrap/>
            <w:vAlign w:val="bottom"/>
            <w:hideMark/>
          </w:tcPr>
          <w:p w:rsidR="00DE3E73" w:rsidRPr="00A528F4" w:rsidP="00F57A97" w14:paraId="54934C71"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COMBINED TOTAL  ANNUALIZED COST BURDEN</w:t>
            </w:r>
          </w:p>
        </w:tc>
        <w:tc>
          <w:tcPr>
            <w:tcW w:w="1581" w:type="dxa"/>
            <w:tcBorders>
              <w:top w:val="nil"/>
              <w:left w:val="nil"/>
              <w:bottom w:val="single" w:sz="4" w:space="0" w:color="auto"/>
              <w:right w:val="single" w:sz="4" w:space="0" w:color="auto"/>
            </w:tcBorders>
            <w:shd w:val="clear" w:color="auto" w:fill="auto"/>
            <w:noWrap/>
            <w:vAlign w:val="center"/>
            <w:hideMark/>
          </w:tcPr>
          <w:p w:rsidR="00DE3E73" w:rsidRPr="00A528F4" w:rsidP="00A528F4" w14:paraId="31E878F9" w14:textId="6BB3656D">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254,251.20</w:t>
            </w:r>
          </w:p>
        </w:tc>
      </w:tr>
    </w:tbl>
    <w:p w:rsidR="00DE3E73" w:rsidRPr="00BB37E7" w:rsidP="00DE3E73" w14:paraId="44DFC44A" w14:textId="77777777">
      <w:pPr>
        <w:ind w:left="720"/>
        <w:rPr>
          <w:rFonts w:ascii="Times New Roman" w:hAnsi="Times New Roman"/>
          <w:snapToGrid w:val="0"/>
          <w:sz w:val="24"/>
          <w:szCs w:val="24"/>
        </w:rPr>
      </w:pPr>
    </w:p>
    <w:p w:rsidR="0004749E" w:rsidRPr="0034057D" w:rsidP="00A528F4" w14:paraId="7888CDD8" w14:textId="1C28E6D8">
      <w:pPr>
        <w:ind w:left="360"/>
        <w:rPr>
          <w:rFonts w:ascii="Times New Roman" w:hAnsi="Times New Roman"/>
          <w:b/>
        </w:rPr>
      </w:pPr>
      <w:r w:rsidRPr="007A388C">
        <w:rPr>
          <w:rFonts w:ascii="Times New Roman" w:hAnsi="Times New Roman"/>
          <w:b/>
          <w:sz w:val="24"/>
          <w:szCs w:val="24"/>
        </w:rPr>
        <w:t>13</w:t>
      </w:r>
      <w:r w:rsidRPr="0034057D">
        <w:rPr>
          <w:rFonts w:ascii="Times New Roman" w:hAnsi="Times New Roman"/>
          <w:b/>
          <w:sz w:val="24"/>
          <w:szCs w:val="24"/>
        </w:rPr>
        <w:t xml:space="preserve">. </w:t>
      </w:r>
      <w:r w:rsidRPr="00A528F4">
        <w:rPr>
          <w:rFonts w:ascii="Times New Roman" w:hAnsi="Times New Roman"/>
          <w:b/>
          <w:sz w:val="24"/>
          <w:szCs w:val="24"/>
        </w:rPr>
        <w:t xml:space="preserve">Estimate of </w:t>
      </w:r>
      <w:r w:rsidRPr="00A528F4" w:rsidR="0034057D">
        <w:rPr>
          <w:rFonts w:ascii="Times New Roman" w:hAnsi="Times New Roman"/>
          <w:b/>
          <w:sz w:val="24"/>
          <w:szCs w:val="24"/>
        </w:rPr>
        <w:t xml:space="preserve"> the T</w:t>
      </w:r>
      <w:r w:rsidRPr="00A528F4">
        <w:rPr>
          <w:rFonts w:ascii="Times New Roman" w:hAnsi="Times New Roman"/>
          <w:b/>
          <w:sz w:val="24"/>
          <w:szCs w:val="24"/>
        </w:rPr>
        <w:t xml:space="preserve">otal </w:t>
      </w:r>
      <w:r w:rsidRPr="00A528F4" w:rsidR="0034057D">
        <w:rPr>
          <w:rFonts w:ascii="Times New Roman" w:hAnsi="Times New Roman"/>
          <w:b/>
          <w:sz w:val="24"/>
          <w:szCs w:val="24"/>
        </w:rPr>
        <w:t xml:space="preserve">Annual Costs </w:t>
      </w:r>
      <w:r w:rsidRPr="00A528F4">
        <w:rPr>
          <w:rFonts w:ascii="Times New Roman" w:hAnsi="Times New Roman"/>
          <w:b/>
          <w:sz w:val="24"/>
          <w:szCs w:val="24"/>
        </w:rPr>
        <w:t xml:space="preserve">to </w:t>
      </w:r>
      <w:r w:rsidRPr="00A528F4" w:rsidR="0034057D">
        <w:rPr>
          <w:rFonts w:ascii="Times New Roman" w:hAnsi="Times New Roman"/>
          <w:b/>
          <w:sz w:val="24"/>
          <w:szCs w:val="24"/>
        </w:rPr>
        <w:t>Respondents and/or Recordkeepers</w:t>
      </w:r>
      <w:r w:rsidRPr="0034057D" w:rsidR="00105F8E">
        <w:rPr>
          <w:rFonts w:ascii="Times New Roman" w:hAnsi="Times New Roman"/>
          <w:b/>
          <w:sz w:val="24"/>
          <w:szCs w:val="24"/>
        </w:rPr>
        <w:t xml:space="preserve">  </w:t>
      </w:r>
    </w:p>
    <w:p w:rsidR="003D2CCC" w:rsidRPr="00BB37E7" w:rsidP="00A528F4" w14:paraId="7CF3C9B5" w14:textId="77777777">
      <w:pPr>
        <w:keepNext/>
        <w:keepLines/>
        <w:widowControl/>
        <w:ind w:left="360"/>
        <w:rPr>
          <w:rFonts w:ascii="Times New Roman" w:hAnsi="Times New Roman"/>
          <w:snapToGrid w:val="0"/>
          <w:sz w:val="24"/>
          <w:szCs w:val="24"/>
        </w:rPr>
      </w:pPr>
    </w:p>
    <w:p w:rsidR="008C516A" w:rsidRPr="00BB37E7" w:rsidP="00A528F4" w14:paraId="2F8E1B38" w14:textId="45B6BDE3">
      <w:pPr>
        <w:keepNext/>
        <w:keepLines/>
        <w:widowControl/>
        <w:ind w:left="360"/>
        <w:rPr>
          <w:rFonts w:ascii="Times New Roman" w:hAnsi="Times New Roman"/>
          <w:snapToGrid w:val="0"/>
          <w:sz w:val="24"/>
          <w:szCs w:val="24"/>
        </w:rPr>
      </w:pPr>
      <w:r w:rsidRPr="00BB37E7">
        <w:rPr>
          <w:rFonts w:ascii="Times New Roman" w:hAnsi="Times New Roman"/>
          <w:snapToGrid w:val="0"/>
          <w:sz w:val="24"/>
          <w:szCs w:val="24"/>
        </w:rPr>
        <w:t>There are no capital</w:t>
      </w:r>
      <w:r w:rsidR="0034057D">
        <w:rPr>
          <w:rFonts w:ascii="Times New Roman" w:hAnsi="Times New Roman"/>
          <w:snapToGrid w:val="0"/>
          <w:sz w:val="24"/>
          <w:szCs w:val="24"/>
        </w:rPr>
        <w:t xml:space="preserve">, </w:t>
      </w:r>
      <w:r w:rsidRPr="00BB37E7">
        <w:rPr>
          <w:rFonts w:ascii="Times New Roman" w:hAnsi="Times New Roman"/>
          <w:snapToGrid w:val="0"/>
          <w:sz w:val="24"/>
          <w:szCs w:val="24"/>
        </w:rPr>
        <w:t>start-up</w:t>
      </w:r>
      <w:r w:rsidR="0034057D">
        <w:rPr>
          <w:rFonts w:ascii="Times New Roman" w:hAnsi="Times New Roman"/>
          <w:snapToGrid w:val="0"/>
          <w:sz w:val="24"/>
          <w:szCs w:val="24"/>
        </w:rPr>
        <w:t>,</w:t>
      </w:r>
      <w:r w:rsidRPr="00BB37E7">
        <w:rPr>
          <w:rFonts w:ascii="Times New Roman" w:hAnsi="Times New Roman"/>
          <w:snapToGrid w:val="0"/>
          <w:sz w:val="24"/>
          <w:szCs w:val="24"/>
        </w:rPr>
        <w:t xml:space="preserve"> </w:t>
      </w:r>
      <w:r w:rsidRPr="00BB37E7" w:rsidR="0034057D">
        <w:rPr>
          <w:rFonts w:ascii="Times New Roman" w:hAnsi="Times New Roman"/>
          <w:snapToGrid w:val="0"/>
          <w:sz w:val="24"/>
          <w:szCs w:val="24"/>
        </w:rPr>
        <w:t xml:space="preserve">operation and maintenance </w:t>
      </w:r>
      <w:r w:rsidRPr="00BB37E7">
        <w:rPr>
          <w:rFonts w:ascii="Times New Roman" w:hAnsi="Times New Roman"/>
          <w:snapToGrid w:val="0"/>
          <w:sz w:val="24"/>
          <w:szCs w:val="24"/>
        </w:rPr>
        <w:t>costs associated with this information collection.</w:t>
      </w:r>
    </w:p>
    <w:p w:rsidR="0004749E" w:rsidRPr="00BB37E7" w:rsidP="00A528F4" w14:paraId="5D53D539" w14:textId="77777777">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rPr>
      </w:pPr>
    </w:p>
    <w:p w:rsidR="00105F8E" w:rsidRPr="0034057D" w:rsidP="00A528F4" w14:paraId="7427CCE3" w14:textId="30A7519D">
      <w:pPr>
        <w:ind w:left="360"/>
        <w:rPr>
          <w:rFonts w:ascii="Times New Roman" w:hAnsi="Times New Roman"/>
          <w:b/>
          <w:sz w:val="24"/>
          <w:szCs w:val="24"/>
        </w:rPr>
      </w:pPr>
      <w:r w:rsidRPr="007A388C">
        <w:rPr>
          <w:rFonts w:ascii="Times New Roman" w:hAnsi="Times New Roman"/>
          <w:b/>
          <w:sz w:val="24"/>
          <w:szCs w:val="24"/>
        </w:rPr>
        <w:t xml:space="preserve">14. </w:t>
      </w:r>
      <w:r w:rsidRPr="00A528F4">
        <w:rPr>
          <w:rFonts w:ascii="Times New Roman" w:hAnsi="Times New Roman"/>
          <w:b/>
          <w:sz w:val="24"/>
          <w:szCs w:val="24"/>
        </w:rPr>
        <w:t xml:space="preserve">Estimate of Federal </w:t>
      </w:r>
      <w:r w:rsidRPr="00A528F4" w:rsidR="0034057D">
        <w:rPr>
          <w:rFonts w:ascii="Times New Roman" w:hAnsi="Times New Roman"/>
          <w:b/>
          <w:sz w:val="24"/>
          <w:szCs w:val="24"/>
        </w:rPr>
        <w:t>Government Costs</w:t>
      </w:r>
      <w:r w:rsidRPr="0034057D">
        <w:rPr>
          <w:rFonts w:ascii="Times New Roman" w:hAnsi="Times New Roman"/>
          <w:b/>
          <w:sz w:val="24"/>
          <w:szCs w:val="24"/>
        </w:rPr>
        <w:t xml:space="preserve"> </w:t>
      </w:r>
      <w:r w:rsidRPr="0034057D" w:rsidR="009D4F72">
        <w:rPr>
          <w:rFonts w:ascii="Times New Roman" w:hAnsi="Times New Roman"/>
          <w:b/>
          <w:sz w:val="24"/>
          <w:szCs w:val="24"/>
        </w:rPr>
        <w:t xml:space="preserve"> </w:t>
      </w:r>
    </w:p>
    <w:p w:rsidR="00915D5B" w:rsidRPr="00BB37E7" w:rsidP="00A528F4" w14:paraId="35EC10DC" w14:textId="77777777">
      <w:pPr>
        <w:ind w:left="360"/>
        <w:rPr>
          <w:rFonts w:ascii="Times New Roman" w:hAnsi="Times New Roman"/>
          <w:sz w:val="24"/>
          <w:szCs w:val="24"/>
        </w:rPr>
      </w:pPr>
    </w:p>
    <w:p w:rsidR="00915D5B" w:rsidRPr="00BB37E7" w:rsidP="00A528F4" w14:paraId="3C4F8D15" w14:textId="2B7B474F">
      <w:pPr>
        <w:ind w:left="360"/>
        <w:rPr>
          <w:rFonts w:ascii="Times New Roman" w:hAnsi="Times New Roman"/>
          <w:sz w:val="24"/>
          <w:szCs w:val="24"/>
        </w:rPr>
      </w:pPr>
      <w:r w:rsidRPr="00BB37E7">
        <w:rPr>
          <w:rFonts w:ascii="Times New Roman" w:hAnsi="Times New Roman"/>
          <w:sz w:val="24"/>
          <w:szCs w:val="24"/>
        </w:rPr>
        <w:t>The total annual cost to the Federal Government for processing this information collection is</w:t>
      </w:r>
      <w:r w:rsidR="00D322FE">
        <w:rPr>
          <w:rFonts w:ascii="Times New Roman" w:hAnsi="Times New Roman"/>
          <w:sz w:val="24"/>
          <w:szCs w:val="24"/>
        </w:rPr>
        <w:t>:</w:t>
      </w:r>
      <w:r w:rsidRPr="00BB37E7">
        <w:rPr>
          <w:rFonts w:ascii="Times New Roman" w:hAnsi="Times New Roman"/>
          <w:sz w:val="24"/>
          <w:szCs w:val="24"/>
        </w:rPr>
        <w:t xml:space="preserve"> </w:t>
      </w:r>
      <w:r w:rsidRPr="00D322FE" w:rsidR="00D322FE">
        <w:rPr>
          <w:rFonts w:ascii="Times New Roman" w:hAnsi="Times New Roman"/>
          <w:sz w:val="24"/>
          <w:szCs w:val="24"/>
        </w:rPr>
        <w:t>$</w:t>
      </w:r>
      <w:r w:rsidR="00D322FE">
        <w:rPr>
          <w:rFonts w:ascii="Times New Roman" w:hAnsi="Times New Roman"/>
          <w:sz w:val="24"/>
          <w:szCs w:val="24"/>
        </w:rPr>
        <w:t xml:space="preserve"> </w:t>
      </w:r>
      <w:r w:rsidRPr="00D322FE" w:rsidR="00D322FE">
        <w:rPr>
          <w:rFonts w:ascii="Times New Roman" w:hAnsi="Times New Roman"/>
          <w:sz w:val="24"/>
          <w:szCs w:val="24"/>
        </w:rPr>
        <w:t>241,666</w:t>
      </w:r>
      <w:r w:rsidR="00D322FE">
        <w:rPr>
          <w:rFonts w:ascii="Times New Roman" w:hAnsi="Times New Roman"/>
          <w:sz w:val="24"/>
          <w:szCs w:val="24"/>
        </w:rPr>
        <w:t>.</w:t>
      </w:r>
    </w:p>
    <w:p w:rsidR="00915D5B" w:rsidP="00915D5B" w14:paraId="52E42B34" w14:textId="7F53BEC3">
      <w:pPr>
        <w:rPr>
          <w:rFonts w:ascii="Times New Roman" w:hAnsi="Times New Roman"/>
          <w:sz w:val="24"/>
          <w:szCs w:val="24"/>
        </w:rPr>
      </w:pPr>
      <w:r>
        <w:rPr>
          <w:rFonts w:ascii="Times New Roman" w:hAnsi="Times New Roman"/>
          <w:sz w:val="24"/>
          <w:szCs w:val="24"/>
        </w:rPr>
        <w:t xml:space="preserve">       </w:t>
      </w:r>
    </w:p>
    <w:p w:rsidR="007D09D4" w:rsidP="00915D5B" w14:paraId="24B6C8AD" w14:textId="77777777">
      <w:pPr>
        <w:rPr>
          <w:rFonts w:ascii="Times New Roman" w:hAnsi="Times New Roman"/>
          <w:sz w:val="24"/>
          <w:szCs w:val="24"/>
        </w:rPr>
      </w:pPr>
      <w:r>
        <w:rPr>
          <w:rFonts w:ascii="Times New Roman" w:hAnsi="Times New Roman"/>
          <w:sz w:val="24"/>
          <w:szCs w:val="24"/>
        </w:rPr>
        <w:t xml:space="preserve">      According to the Office of Personnel Management (OPM)</w:t>
      </w:r>
      <w:r>
        <w:rPr>
          <w:rStyle w:val="FootnoteReference"/>
          <w:rFonts w:ascii="Times New Roman" w:hAnsi="Times New Roman"/>
          <w:sz w:val="24"/>
          <w:szCs w:val="24"/>
        </w:rPr>
        <w:footnoteReference w:id="4"/>
      </w:r>
      <w:r>
        <w:rPr>
          <w:rFonts w:ascii="Times New Roman" w:hAnsi="Times New Roman"/>
          <w:sz w:val="24"/>
          <w:szCs w:val="24"/>
        </w:rPr>
        <w:t xml:space="preserve"> wage table</w:t>
      </w:r>
      <w:r>
        <w:rPr>
          <w:rFonts w:ascii="Times New Roman" w:hAnsi="Times New Roman"/>
          <w:sz w:val="24"/>
          <w:szCs w:val="24"/>
        </w:rPr>
        <w:t xml:space="preserve">, the average hourly    </w:t>
      </w:r>
    </w:p>
    <w:p w:rsidR="008E4B5F" w:rsidP="00915D5B" w14:paraId="5AD32BCA" w14:textId="22BBBDBA">
      <w:pPr>
        <w:rPr>
          <w:rFonts w:ascii="Times New Roman" w:hAnsi="Times New Roman"/>
          <w:sz w:val="24"/>
          <w:szCs w:val="24"/>
        </w:rPr>
      </w:pPr>
      <w:r>
        <w:rPr>
          <w:rFonts w:ascii="Times New Roman" w:hAnsi="Times New Roman"/>
          <w:sz w:val="24"/>
          <w:szCs w:val="24"/>
        </w:rPr>
        <w:t xml:space="preserve">      wage for the following Federal Employees </w:t>
      </w:r>
      <w:r>
        <w:rPr>
          <w:rFonts w:ascii="Times New Roman" w:hAnsi="Times New Roman"/>
          <w:sz w:val="24"/>
          <w:szCs w:val="24"/>
        </w:rPr>
        <w:t>(</w:t>
      </w:r>
      <w:r w:rsidR="00A528F4">
        <w:rPr>
          <w:rFonts w:ascii="Times New Roman" w:hAnsi="Times New Roman"/>
          <w:sz w:val="24"/>
          <w:szCs w:val="24"/>
        </w:rPr>
        <w:t>i.e.,</w:t>
      </w:r>
      <w:r>
        <w:rPr>
          <w:rFonts w:ascii="Times New Roman" w:hAnsi="Times New Roman"/>
          <w:sz w:val="24"/>
          <w:szCs w:val="24"/>
        </w:rPr>
        <w:t xml:space="preserve"> GS-11, Step 5 is $ 44.94, GS-14, Step 5 is </w:t>
      </w:r>
    </w:p>
    <w:p w:rsidR="00C43A4A" w:rsidP="00A528F4" w14:paraId="28456437" w14:textId="1AA23964">
      <w:pPr>
        <w:ind w:left="360"/>
        <w:rPr>
          <w:rFonts w:ascii="Times New Roman" w:hAnsi="Times New Roman"/>
          <w:sz w:val="24"/>
          <w:szCs w:val="24"/>
        </w:rPr>
      </w:pPr>
      <w:r>
        <w:rPr>
          <w:rFonts w:ascii="Times New Roman" w:hAnsi="Times New Roman"/>
          <w:sz w:val="24"/>
          <w:szCs w:val="24"/>
        </w:rPr>
        <w:t>$</w:t>
      </w:r>
      <w:r w:rsidR="00D322FE">
        <w:rPr>
          <w:rFonts w:ascii="Times New Roman" w:hAnsi="Times New Roman"/>
          <w:sz w:val="24"/>
          <w:szCs w:val="24"/>
        </w:rPr>
        <w:t xml:space="preserve"> </w:t>
      </w:r>
      <w:r>
        <w:rPr>
          <w:rFonts w:ascii="Times New Roman" w:hAnsi="Times New Roman"/>
          <w:sz w:val="24"/>
          <w:szCs w:val="24"/>
        </w:rPr>
        <w:t>75.70, GS-15, Step 5 $</w:t>
      </w:r>
      <w:r w:rsidR="00D322FE">
        <w:rPr>
          <w:rFonts w:ascii="Times New Roman" w:hAnsi="Times New Roman"/>
          <w:sz w:val="24"/>
          <w:szCs w:val="24"/>
        </w:rPr>
        <w:t xml:space="preserve"> </w:t>
      </w:r>
      <w:r>
        <w:rPr>
          <w:rFonts w:ascii="Times New Roman" w:hAnsi="Times New Roman"/>
          <w:sz w:val="24"/>
          <w:szCs w:val="24"/>
        </w:rPr>
        <w:t>89.04</w:t>
      </w:r>
      <w:r>
        <w:rPr>
          <w:rFonts w:ascii="Times New Roman" w:hAnsi="Times New Roman"/>
          <w:sz w:val="24"/>
          <w:szCs w:val="24"/>
        </w:rPr>
        <w:t>). Additionally</w:t>
      </w:r>
      <w:r w:rsidR="00290D98">
        <w:rPr>
          <w:rFonts w:ascii="Times New Roman" w:hAnsi="Times New Roman"/>
          <w:sz w:val="24"/>
          <w:szCs w:val="24"/>
        </w:rPr>
        <w:t>,</w:t>
      </w:r>
      <w:r>
        <w:rPr>
          <w:rFonts w:ascii="Times New Roman" w:hAnsi="Times New Roman"/>
          <w:sz w:val="24"/>
          <w:szCs w:val="24"/>
        </w:rPr>
        <w:t xml:space="preserve"> the hourly wage rate for</w:t>
      </w:r>
      <w:r w:rsidR="007D09D4">
        <w:rPr>
          <w:rFonts w:ascii="Times New Roman" w:hAnsi="Times New Roman"/>
          <w:sz w:val="24"/>
          <w:szCs w:val="24"/>
        </w:rPr>
        <w:t xml:space="preserve"> Senior Executive </w:t>
      </w:r>
      <w:r>
        <w:rPr>
          <w:rFonts w:ascii="Times New Roman" w:hAnsi="Times New Roman"/>
          <w:sz w:val="24"/>
          <w:szCs w:val="24"/>
        </w:rPr>
        <w:t>Schedule (SES)</w:t>
      </w:r>
      <w:r>
        <w:rPr>
          <w:rStyle w:val="FootnoteReference"/>
          <w:rFonts w:ascii="Times New Roman" w:hAnsi="Times New Roman"/>
          <w:sz w:val="24"/>
          <w:szCs w:val="24"/>
        </w:rPr>
        <w:footnoteReference w:id="5"/>
      </w:r>
      <w:r w:rsidR="007D09D4">
        <w:rPr>
          <w:rFonts w:ascii="Times New Roman" w:hAnsi="Times New Roman"/>
          <w:sz w:val="24"/>
          <w:szCs w:val="24"/>
        </w:rPr>
        <w:t xml:space="preserve"> </w:t>
      </w:r>
      <w:r w:rsidR="000204F8">
        <w:rPr>
          <w:rFonts w:ascii="Times New Roman" w:hAnsi="Times New Roman"/>
          <w:sz w:val="24"/>
          <w:szCs w:val="24"/>
        </w:rPr>
        <w:t>L</w:t>
      </w:r>
      <w:r>
        <w:rPr>
          <w:rFonts w:ascii="Times New Roman" w:hAnsi="Times New Roman"/>
          <w:sz w:val="24"/>
          <w:szCs w:val="24"/>
        </w:rPr>
        <w:t xml:space="preserve">evel 3 staff </w:t>
      </w:r>
      <w:r w:rsidR="007D09D4">
        <w:rPr>
          <w:rFonts w:ascii="Times New Roman" w:hAnsi="Times New Roman"/>
          <w:sz w:val="24"/>
          <w:szCs w:val="24"/>
        </w:rPr>
        <w:t xml:space="preserve">is </w:t>
      </w:r>
      <w:r>
        <w:rPr>
          <w:rFonts w:ascii="Times New Roman" w:hAnsi="Times New Roman"/>
          <w:sz w:val="24"/>
          <w:szCs w:val="24"/>
        </w:rPr>
        <w:t>$ 98. When combined with the Federal Compensation Rate of 31%</w:t>
      </w:r>
      <w:r>
        <w:rPr>
          <w:rStyle w:val="FootnoteReference"/>
          <w:rFonts w:ascii="Times New Roman" w:hAnsi="Times New Roman"/>
          <w:sz w:val="24"/>
          <w:szCs w:val="24"/>
        </w:rPr>
        <w:footnoteReference w:id="6"/>
      </w:r>
      <w:r>
        <w:rPr>
          <w:rFonts w:ascii="Times New Roman" w:hAnsi="Times New Roman"/>
          <w:sz w:val="24"/>
          <w:szCs w:val="24"/>
        </w:rPr>
        <w:t>, the hourly rate for each professional is</w:t>
      </w:r>
      <w:r w:rsidR="00290D98">
        <w:rPr>
          <w:rFonts w:ascii="Times New Roman" w:hAnsi="Times New Roman"/>
          <w:sz w:val="24"/>
          <w:szCs w:val="24"/>
        </w:rPr>
        <w:t xml:space="preserve"> as follows</w:t>
      </w:r>
      <w:r>
        <w:rPr>
          <w:rFonts w:ascii="Times New Roman" w:hAnsi="Times New Roman"/>
          <w:sz w:val="24"/>
          <w:szCs w:val="24"/>
        </w:rPr>
        <w:t>: Federal Employees (</w:t>
      </w:r>
      <w:r w:rsidR="00A528F4">
        <w:rPr>
          <w:rFonts w:ascii="Times New Roman" w:hAnsi="Times New Roman"/>
          <w:sz w:val="24"/>
          <w:szCs w:val="24"/>
        </w:rPr>
        <w:t>i.e.,</w:t>
      </w:r>
      <w:r>
        <w:rPr>
          <w:rFonts w:ascii="Times New Roman" w:hAnsi="Times New Roman"/>
          <w:sz w:val="24"/>
          <w:szCs w:val="24"/>
        </w:rPr>
        <w:t xml:space="preserve"> GS-11, Step 5 is $</w:t>
      </w:r>
      <w:r w:rsidR="000204F8">
        <w:rPr>
          <w:rFonts w:ascii="Times New Roman" w:hAnsi="Times New Roman"/>
          <w:sz w:val="24"/>
          <w:szCs w:val="24"/>
        </w:rPr>
        <w:t xml:space="preserve"> 58.87</w:t>
      </w:r>
      <w:r>
        <w:rPr>
          <w:rFonts w:ascii="Times New Roman" w:hAnsi="Times New Roman"/>
          <w:sz w:val="24"/>
          <w:szCs w:val="24"/>
        </w:rPr>
        <w:t>, GS-14, Step 5 is</w:t>
      </w:r>
      <w:r w:rsidR="000204F8">
        <w:rPr>
          <w:rFonts w:ascii="Times New Roman" w:hAnsi="Times New Roman"/>
          <w:sz w:val="24"/>
          <w:szCs w:val="24"/>
        </w:rPr>
        <w:t xml:space="preserve"> $ 99.17</w:t>
      </w:r>
      <w:r>
        <w:rPr>
          <w:rFonts w:ascii="Times New Roman" w:hAnsi="Times New Roman"/>
          <w:sz w:val="24"/>
          <w:szCs w:val="24"/>
        </w:rPr>
        <w:t>, GS-15, Step 5 $</w:t>
      </w:r>
      <w:r w:rsidR="000204F8">
        <w:rPr>
          <w:rFonts w:ascii="Times New Roman" w:hAnsi="Times New Roman"/>
          <w:sz w:val="24"/>
          <w:szCs w:val="24"/>
        </w:rPr>
        <w:t xml:space="preserve"> 116.64)</w:t>
      </w:r>
      <w:r>
        <w:rPr>
          <w:rFonts w:ascii="Times New Roman" w:hAnsi="Times New Roman"/>
          <w:sz w:val="24"/>
          <w:szCs w:val="24"/>
        </w:rPr>
        <w:t xml:space="preserve"> and </w:t>
      </w:r>
      <w:r w:rsidR="000204F8">
        <w:rPr>
          <w:rFonts w:ascii="Times New Roman" w:hAnsi="Times New Roman"/>
          <w:sz w:val="24"/>
          <w:szCs w:val="24"/>
        </w:rPr>
        <w:t xml:space="preserve">an </w:t>
      </w:r>
      <w:r>
        <w:rPr>
          <w:rFonts w:ascii="Times New Roman" w:hAnsi="Times New Roman"/>
          <w:sz w:val="24"/>
          <w:szCs w:val="24"/>
        </w:rPr>
        <w:t xml:space="preserve">SES </w:t>
      </w:r>
      <w:r w:rsidR="000204F8">
        <w:rPr>
          <w:rFonts w:ascii="Times New Roman" w:hAnsi="Times New Roman"/>
          <w:sz w:val="24"/>
          <w:szCs w:val="24"/>
        </w:rPr>
        <w:t xml:space="preserve">Level </w:t>
      </w:r>
      <w:r>
        <w:rPr>
          <w:rFonts w:ascii="Times New Roman" w:hAnsi="Times New Roman"/>
          <w:sz w:val="24"/>
          <w:szCs w:val="24"/>
        </w:rPr>
        <w:t xml:space="preserve">is $ </w:t>
      </w:r>
      <w:r w:rsidR="000204F8">
        <w:rPr>
          <w:rFonts w:ascii="Times New Roman" w:hAnsi="Times New Roman"/>
          <w:sz w:val="24"/>
          <w:szCs w:val="24"/>
        </w:rPr>
        <w:t>128.38 respectively.</w:t>
      </w:r>
      <w:r w:rsidR="00720912">
        <w:rPr>
          <w:rFonts w:ascii="Times New Roman" w:hAnsi="Times New Roman"/>
          <w:sz w:val="24"/>
          <w:szCs w:val="24"/>
        </w:rPr>
        <w:t xml:space="preserve"> All eleven (11) employees spend a combined total 33.0 hours performing various tasks (</w:t>
      </w:r>
      <w:r w:rsidR="00A528F4">
        <w:rPr>
          <w:rFonts w:ascii="Times New Roman" w:hAnsi="Times New Roman"/>
          <w:sz w:val="24"/>
          <w:szCs w:val="24"/>
        </w:rPr>
        <w:t>i.e.,</w:t>
      </w:r>
      <w:r w:rsidR="00720912">
        <w:rPr>
          <w:rFonts w:ascii="Times New Roman" w:hAnsi="Times New Roman"/>
          <w:sz w:val="24"/>
          <w:szCs w:val="24"/>
        </w:rPr>
        <w:t xml:space="preserve"> administer, review, and concur</w:t>
      </w:r>
      <w:r w:rsidR="008F48CF">
        <w:rPr>
          <w:rFonts w:ascii="Times New Roman" w:hAnsi="Times New Roman"/>
          <w:sz w:val="24"/>
          <w:szCs w:val="24"/>
        </w:rPr>
        <w:t>)</w:t>
      </w:r>
      <w:r w:rsidR="00720912">
        <w:rPr>
          <w:rFonts w:ascii="Times New Roman" w:hAnsi="Times New Roman"/>
          <w:sz w:val="24"/>
          <w:szCs w:val="24"/>
        </w:rPr>
        <w:t xml:space="preserve"> with applications received for</w:t>
      </w:r>
      <w:r w:rsidR="008F48CF">
        <w:rPr>
          <w:rFonts w:ascii="Times New Roman" w:hAnsi="Times New Roman"/>
          <w:sz w:val="24"/>
          <w:szCs w:val="24"/>
        </w:rPr>
        <w:t xml:space="preserve"> CoE program for a total </w:t>
      </w:r>
      <w:r w:rsidR="00225A3C">
        <w:rPr>
          <w:rFonts w:ascii="Times New Roman" w:hAnsi="Times New Roman"/>
          <w:sz w:val="24"/>
          <w:szCs w:val="24"/>
        </w:rPr>
        <w:t xml:space="preserve">cost of </w:t>
      </w:r>
      <w:r w:rsidR="008F48CF">
        <w:rPr>
          <w:rFonts w:ascii="Times New Roman" w:hAnsi="Times New Roman"/>
          <w:sz w:val="24"/>
          <w:szCs w:val="24"/>
        </w:rPr>
        <w:t xml:space="preserve">$ </w:t>
      </w:r>
      <w:r w:rsidRPr="008F48CF" w:rsidR="008F48CF">
        <w:rPr>
          <w:rFonts w:ascii="Times New Roman" w:hAnsi="Times New Roman"/>
          <w:sz w:val="24"/>
          <w:szCs w:val="24"/>
        </w:rPr>
        <w:t>4</w:t>
      </w:r>
      <w:r w:rsidR="00D322FE">
        <w:rPr>
          <w:rFonts w:ascii="Times New Roman" w:hAnsi="Times New Roman"/>
          <w:sz w:val="24"/>
          <w:szCs w:val="24"/>
        </w:rPr>
        <w:t>,</w:t>
      </w:r>
      <w:r w:rsidRPr="008F48CF" w:rsidR="008F48CF">
        <w:rPr>
          <w:rFonts w:ascii="Times New Roman" w:hAnsi="Times New Roman"/>
          <w:sz w:val="24"/>
          <w:szCs w:val="24"/>
        </w:rPr>
        <w:t>833.32</w:t>
      </w:r>
      <w:r w:rsidR="008F48CF">
        <w:rPr>
          <w:rFonts w:ascii="Times New Roman" w:hAnsi="Times New Roman"/>
          <w:sz w:val="24"/>
          <w:szCs w:val="24"/>
        </w:rPr>
        <w:t xml:space="preserve"> per application. Therefore, the </w:t>
      </w:r>
      <w:r w:rsidR="00225A3C">
        <w:rPr>
          <w:rFonts w:ascii="Times New Roman" w:hAnsi="Times New Roman"/>
          <w:sz w:val="24"/>
          <w:szCs w:val="24"/>
        </w:rPr>
        <w:t>total</w:t>
      </w:r>
      <w:r w:rsidR="008F48CF">
        <w:rPr>
          <w:rFonts w:ascii="Times New Roman" w:hAnsi="Times New Roman"/>
          <w:sz w:val="24"/>
          <w:szCs w:val="24"/>
        </w:rPr>
        <w:t xml:space="preserve"> combined Federal Government cost associated with processing</w:t>
      </w:r>
      <w:r w:rsidR="00225A3C">
        <w:rPr>
          <w:rFonts w:ascii="Times New Roman" w:hAnsi="Times New Roman"/>
          <w:sz w:val="24"/>
          <w:szCs w:val="24"/>
        </w:rPr>
        <w:t xml:space="preserve"> a total</w:t>
      </w:r>
      <w:r w:rsidR="008F48CF">
        <w:rPr>
          <w:rFonts w:ascii="Times New Roman" w:hAnsi="Times New Roman"/>
          <w:sz w:val="24"/>
          <w:szCs w:val="24"/>
        </w:rPr>
        <w:t xml:space="preserve"> 50 </w:t>
      </w:r>
      <w:r w:rsidR="00225A3C">
        <w:rPr>
          <w:rFonts w:ascii="Times New Roman" w:hAnsi="Times New Roman"/>
          <w:sz w:val="24"/>
          <w:szCs w:val="24"/>
        </w:rPr>
        <w:t xml:space="preserve">CoE </w:t>
      </w:r>
      <w:r w:rsidR="008F48CF">
        <w:rPr>
          <w:rFonts w:ascii="Times New Roman" w:hAnsi="Times New Roman"/>
          <w:sz w:val="24"/>
          <w:szCs w:val="24"/>
        </w:rPr>
        <w:t xml:space="preserve">applications annually </w:t>
      </w:r>
      <w:bookmarkStart w:id="3" w:name="_Hlk176956167"/>
      <w:r w:rsidR="008F48CF">
        <w:rPr>
          <w:rFonts w:ascii="Times New Roman" w:hAnsi="Times New Roman"/>
          <w:sz w:val="24"/>
          <w:szCs w:val="24"/>
        </w:rPr>
        <w:t xml:space="preserve">is </w:t>
      </w:r>
      <w:r w:rsidR="00225A3C">
        <w:rPr>
          <w:rFonts w:ascii="Times New Roman" w:hAnsi="Times New Roman"/>
          <w:sz w:val="24"/>
          <w:szCs w:val="24"/>
        </w:rPr>
        <w:t>$241,666</w:t>
      </w:r>
      <w:bookmarkEnd w:id="3"/>
      <w:r w:rsidR="00D322FE">
        <w:rPr>
          <w:rFonts w:ascii="Times New Roman" w:hAnsi="Times New Roman"/>
          <w:sz w:val="24"/>
          <w:szCs w:val="24"/>
        </w:rPr>
        <w:t>,</w:t>
      </w:r>
      <w:r w:rsidR="00225A3C">
        <w:rPr>
          <w:rFonts w:ascii="Times New Roman" w:hAnsi="Times New Roman"/>
          <w:sz w:val="24"/>
          <w:szCs w:val="24"/>
        </w:rPr>
        <w:t xml:space="preserve"> which can be calculated as shown in the tables below:</w:t>
      </w:r>
    </w:p>
    <w:p w:rsidR="00971317" w:rsidP="008E4B5F" w14:paraId="6439CED0" w14:textId="2CCF5039">
      <w:pPr>
        <w:rPr>
          <w:rFonts w:ascii="Times New Roman" w:hAnsi="Times New Roman"/>
          <w:sz w:val="24"/>
          <w:szCs w:val="24"/>
        </w:rPr>
      </w:pPr>
      <w:r>
        <w:rPr>
          <w:rFonts w:ascii="Times New Roman" w:hAnsi="Times New Roman"/>
          <w:sz w:val="24"/>
          <w:szCs w:val="24"/>
        </w:rPr>
        <w:t xml:space="preserve"> </w:t>
      </w:r>
    </w:p>
    <w:tbl>
      <w:tblPr>
        <w:tblW w:w="10525" w:type="dxa"/>
        <w:tblLook w:val="04A0"/>
      </w:tblPr>
      <w:tblGrid>
        <w:gridCol w:w="2515"/>
        <w:gridCol w:w="1260"/>
        <w:gridCol w:w="1573"/>
        <w:gridCol w:w="370"/>
        <w:gridCol w:w="1231"/>
        <w:gridCol w:w="362"/>
        <w:gridCol w:w="1268"/>
        <w:gridCol w:w="544"/>
        <w:gridCol w:w="1402"/>
      </w:tblGrid>
      <w:tr w14:paraId="7C26CD3A" w14:textId="77777777" w:rsidTr="008E7411">
        <w:tblPrEx>
          <w:tblW w:w="10525" w:type="dxa"/>
          <w:tblLook w:val="04A0"/>
        </w:tblPrEx>
        <w:trPr>
          <w:trHeight w:val="1275"/>
        </w:trPr>
        <w:tc>
          <w:tcPr>
            <w:tcW w:w="251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5A3C" w:rsidRPr="00A528F4" w:rsidP="00225A3C" w14:paraId="4430CF23" w14:textId="43A8210E">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 xml:space="preserve">FTE Grade and </w:t>
            </w:r>
            <w:r w:rsidRPr="00A528F4" w:rsidR="00A528F4">
              <w:rPr>
                <w:rFonts w:ascii="Times New Roman" w:hAnsi="Times New Roman"/>
                <w:b/>
                <w:bCs/>
                <w:color w:val="000000"/>
                <w:sz w:val="22"/>
                <w:szCs w:val="22"/>
              </w:rPr>
              <w:t>Step, Program</w:t>
            </w:r>
            <w:r w:rsidRPr="00A528F4">
              <w:rPr>
                <w:rFonts w:ascii="Times New Roman" w:hAnsi="Times New Roman"/>
                <w:b/>
                <w:bCs/>
                <w:color w:val="000000"/>
                <w:sz w:val="22"/>
                <w:szCs w:val="22"/>
              </w:rPr>
              <w:t xml:space="preserve"> Task, and MAR Code</w:t>
            </w:r>
          </w:p>
        </w:tc>
        <w:tc>
          <w:tcPr>
            <w:tcW w:w="12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225A3C" w:rsidRPr="00A528F4" w:rsidP="00225A3C" w14:paraId="1F873886"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Hourly Wage</w:t>
            </w:r>
          </w:p>
        </w:tc>
        <w:tc>
          <w:tcPr>
            <w:tcW w:w="1450" w:type="dxa"/>
            <w:tcBorders>
              <w:top w:val="single" w:sz="4" w:space="0" w:color="auto"/>
              <w:left w:val="nil"/>
              <w:bottom w:val="single" w:sz="4" w:space="0" w:color="auto"/>
              <w:right w:val="single" w:sz="4" w:space="0" w:color="auto"/>
            </w:tcBorders>
            <w:shd w:val="clear" w:color="000000" w:fill="D9D9D9"/>
            <w:vAlign w:val="center"/>
            <w:hideMark/>
          </w:tcPr>
          <w:p w:rsidR="00225A3C" w:rsidRPr="00A528F4" w:rsidP="00225A3C" w14:paraId="2190391C"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 xml:space="preserve">Average Hourly Wage Rate with 31% Compensation   </w:t>
            </w:r>
          </w:p>
        </w:tc>
        <w:tc>
          <w:tcPr>
            <w:tcW w:w="430" w:type="dxa"/>
            <w:tcBorders>
              <w:top w:val="single" w:sz="4" w:space="0" w:color="auto"/>
              <w:left w:val="nil"/>
              <w:bottom w:val="single" w:sz="4" w:space="0" w:color="auto"/>
              <w:right w:val="single" w:sz="4" w:space="0" w:color="auto"/>
            </w:tcBorders>
            <w:shd w:val="clear" w:color="000000" w:fill="D9D9D9"/>
          </w:tcPr>
          <w:p w:rsidR="00225A3C" w:rsidRPr="00A528F4" w:rsidP="00225A3C" w14:paraId="296E6A88" w14:textId="77777777">
            <w:pPr>
              <w:widowControl/>
              <w:autoSpaceDE/>
              <w:autoSpaceDN/>
              <w:adjustRightInd/>
              <w:jc w:val="center"/>
              <w:rPr>
                <w:rFonts w:ascii="Times New Roman" w:hAnsi="Times New Roman"/>
                <w:b/>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5A3C" w:rsidRPr="00A528F4" w:rsidP="00225A3C" w14:paraId="34EBA523" w14:textId="307591FD">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 xml:space="preserve">Total Employees </w:t>
            </w:r>
          </w:p>
        </w:tc>
        <w:tc>
          <w:tcPr>
            <w:tcW w:w="412" w:type="dxa"/>
            <w:tcBorders>
              <w:top w:val="single" w:sz="4" w:space="0" w:color="auto"/>
              <w:left w:val="nil"/>
              <w:bottom w:val="single" w:sz="4" w:space="0" w:color="auto"/>
              <w:right w:val="single" w:sz="4" w:space="0" w:color="auto"/>
            </w:tcBorders>
            <w:shd w:val="clear" w:color="000000" w:fill="D9D9D9"/>
          </w:tcPr>
          <w:p w:rsidR="00225A3C" w:rsidRPr="00A528F4" w:rsidP="00225A3C" w14:paraId="623763E1" w14:textId="77777777">
            <w:pPr>
              <w:widowControl/>
              <w:autoSpaceDE/>
              <w:autoSpaceDN/>
              <w:adjustRightInd/>
              <w:jc w:val="center"/>
              <w:rPr>
                <w:rFonts w:ascii="Times New Roman" w:hAnsi="Times New Roman"/>
                <w:b/>
                <w:bCs/>
                <w:color w:val="000000"/>
                <w:sz w:val="22"/>
                <w:szCs w:val="22"/>
              </w:rPr>
            </w:pPr>
          </w:p>
        </w:tc>
        <w:tc>
          <w:tcPr>
            <w:tcW w:w="117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5A3C" w:rsidRPr="00A528F4" w:rsidP="00225A3C" w14:paraId="4F2B11DF" w14:textId="03F21F68">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 xml:space="preserve">Total Time for Per </w:t>
            </w:r>
            <w:r w:rsidRPr="00A528F4" w:rsidR="00A528F4">
              <w:rPr>
                <w:rFonts w:ascii="Times New Roman" w:hAnsi="Times New Roman"/>
                <w:b/>
                <w:bCs/>
                <w:color w:val="000000"/>
                <w:sz w:val="22"/>
                <w:szCs w:val="22"/>
              </w:rPr>
              <w:t>application (</w:t>
            </w:r>
            <w:r w:rsidRPr="00A528F4">
              <w:rPr>
                <w:rFonts w:ascii="Times New Roman" w:hAnsi="Times New Roman"/>
                <w:b/>
                <w:bCs/>
                <w:color w:val="000000"/>
                <w:sz w:val="22"/>
                <w:szCs w:val="22"/>
              </w:rPr>
              <w:t>Hours in decimals)</w:t>
            </w:r>
          </w:p>
        </w:tc>
        <w:tc>
          <w:tcPr>
            <w:tcW w:w="822" w:type="dxa"/>
            <w:tcBorders>
              <w:top w:val="single" w:sz="4" w:space="0" w:color="auto"/>
              <w:left w:val="nil"/>
              <w:bottom w:val="single" w:sz="4" w:space="0" w:color="auto"/>
              <w:right w:val="single" w:sz="4" w:space="0" w:color="auto"/>
            </w:tcBorders>
            <w:shd w:val="clear" w:color="000000" w:fill="D9D9D9"/>
          </w:tcPr>
          <w:p w:rsidR="00225A3C" w:rsidRPr="00A528F4" w:rsidP="00225A3C" w14:paraId="5900F682" w14:textId="77777777">
            <w:pPr>
              <w:widowControl/>
              <w:autoSpaceDE/>
              <w:autoSpaceDN/>
              <w:adjustRightInd/>
              <w:jc w:val="center"/>
              <w:rPr>
                <w:rFonts w:ascii="Times New Roman" w:hAnsi="Times New Roman"/>
                <w:b/>
                <w:bCs/>
                <w:color w:val="000000"/>
                <w:sz w:val="22"/>
                <w:szCs w:val="22"/>
              </w:rPr>
            </w:pP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25A3C" w:rsidRPr="00A528F4" w:rsidP="00225A3C" w14:paraId="42596FE7" w14:textId="47DBDED9">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 xml:space="preserve">Total Federal Government Wages per Application  </w:t>
            </w:r>
          </w:p>
        </w:tc>
      </w:tr>
      <w:tr w14:paraId="70BD120E" w14:textId="77777777" w:rsidTr="00D53E7F">
        <w:tblPrEx>
          <w:tblW w:w="10525" w:type="dxa"/>
          <w:tblLook w:val="04A0"/>
        </w:tblPrEx>
        <w:trPr>
          <w:trHeight w:val="510"/>
        </w:trPr>
        <w:tc>
          <w:tcPr>
            <w:tcW w:w="2515" w:type="dxa"/>
            <w:tcBorders>
              <w:top w:val="nil"/>
              <w:left w:val="single" w:sz="4" w:space="0" w:color="auto"/>
              <w:bottom w:val="single" w:sz="4" w:space="0" w:color="auto"/>
              <w:right w:val="single" w:sz="4" w:space="0" w:color="auto"/>
            </w:tcBorders>
            <w:shd w:val="clear" w:color="000000" w:fill="FFFFFF"/>
            <w:hideMark/>
          </w:tcPr>
          <w:p w:rsidR="00225A3C" w:rsidRPr="00A528F4" w:rsidP="00225A3C" w14:paraId="779C21E1"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 xml:space="preserve">GS-11 (Step 5): Administer and Review (MAR 600.3) </w:t>
            </w:r>
          </w:p>
        </w:tc>
        <w:tc>
          <w:tcPr>
            <w:tcW w:w="1260" w:type="dxa"/>
            <w:tcBorders>
              <w:top w:val="nil"/>
              <w:left w:val="nil"/>
              <w:bottom w:val="single" w:sz="4" w:space="0" w:color="auto"/>
              <w:right w:val="single" w:sz="4" w:space="0" w:color="auto"/>
            </w:tcBorders>
            <w:shd w:val="clear" w:color="auto" w:fill="auto"/>
            <w:vAlign w:val="center"/>
            <w:hideMark/>
          </w:tcPr>
          <w:p w:rsidR="00225A3C" w:rsidRPr="00A528F4" w:rsidP="00A528F4" w14:paraId="3BCC9FA9" w14:textId="59E53B2D">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44.94</w:t>
            </w:r>
          </w:p>
        </w:tc>
        <w:tc>
          <w:tcPr>
            <w:tcW w:w="1450" w:type="dxa"/>
            <w:tcBorders>
              <w:top w:val="nil"/>
              <w:left w:val="nil"/>
              <w:bottom w:val="single" w:sz="4" w:space="0" w:color="auto"/>
              <w:right w:val="single" w:sz="4" w:space="0" w:color="auto"/>
            </w:tcBorders>
            <w:shd w:val="clear" w:color="auto" w:fill="auto"/>
            <w:vAlign w:val="center"/>
            <w:hideMark/>
          </w:tcPr>
          <w:p w:rsidR="00225A3C" w:rsidRPr="00A528F4" w:rsidP="00225A3C" w14:paraId="3415F807" w14:textId="1408FD21">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58.87</w:t>
            </w:r>
          </w:p>
        </w:tc>
        <w:tc>
          <w:tcPr>
            <w:tcW w:w="430" w:type="dxa"/>
            <w:vMerge w:val="restart"/>
            <w:tcBorders>
              <w:top w:val="single" w:sz="4" w:space="0" w:color="auto"/>
              <w:left w:val="nil"/>
              <w:right w:val="single" w:sz="4" w:space="0" w:color="auto"/>
            </w:tcBorders>
            <w:vAlign w:val="center"/>
          </w:tcPr>
          <w:p w:rsidR="00225A3C" w:rsidRPr="00A528F4" w:rsidP="00225A3C" w14:paraId="05347EB4" w14:textId="3D04C66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49D8F205" w14:textId="0BF9B229">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val="restart"/>
            <w:tcBorders>
              <w:top w:val="single" w:sz="4" w:space="0" w:color="auto"/>
              <w:left w:val="nil"/>
              <w:right w:val="single" w:sz="4" w:space="0" w:color="auto"/>
            </w:tcBorders>
            <w:vAlign w:val="center"/>
          </w:tcPr>
          <w:p w:rsidR="00225A3C" w:rsidRPr="00A528F4" w:rsidP="00225A3C" w14:paraId="31F06C25" w14:textId="77777777">
            <w:pPr>
              <w:widowControl/>
              <w:autoSpaceDE/>
              <w:autoSpaceDN/>
              <w:adjustRightInd/>
              <w:jc w:val="center"/>
              <w:rPr>
                <w:rFonts w:ascii="Times New Roman" w:hAnsi="Times New Roman"/>
                <w:color w:val="000000"/>
                <w:sz w:val="22"/>
                <w:szCs w:val="22"/>
              </w:rPr>
            </w:pPr>
          </w:p>
          <w:p w:rsidR="00225A3C" w:rsidRPr="00A528F4" w:rsidP="00225A3C" w14:paraId="43BA00D8" w14:textId="73A97788">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w:t>
            </w: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22C97C9D" w14:textId="01FF8C6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8</w:t>
            </w:r>
          </w:p>
        </w:tc>
        <w:tc>
          <w:tcPr>
            <w:tcW w:w="822" w:type="dxa"/>
            <w:vMerge w:val="restart"/>
            <w:tcBorders>
              <w:top w:val="single" w:sz="4" w:space="0" w:color="auto"/>
              <w:left w:val="nil"/>
              <w:right w:val="single" w:sz="4" w:space="0" w:color="auto"/>
            </w:tcBorders>
            <w:vAlign w:val="center"/>
          </w:tcPr>
          <w:p w:rsidR="00225A3C" w:rsidRPr="00A528F4" w:rsidP="00A528F4" w14:paraId="666C0695" w14:textId="23BAFBD4">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w:t>
            </w:r>
          </w:p>
        </w:tc>
        <w:tc>
          <w:tcPr>
            <w:tcW w:w="1294"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D53E7F" w14:paraId="26BE61DD" w14:textId="3A81C39F">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Pr>
                <w:rFonts w:ascii="Times New Roman" w:hAnsi="Times New Roman"/>
                <w:color w:val="000000"/>
                <w:sz w:val="22"/>
                <w:szCs w:val="22"/>
              </w:rPr>
              <w:t>470.96</w:t>
            </w:r>
          </w:p>
        </w:tc>
      </w:tr>
      <w:tr w14:paraId="04FECED6"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hideMark/>
          </w:tcPr>
          <w:p w:rsidR="00225A3C" w:rsidRPr="00A528F4" w:rsidP="00225A3C" w14:paraId="206A9AD3"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GS-14 (Step 5): Review (MAR 650)</w:t>
            </w:r>
          </w:p>
        </w:tc>
        <w:tc>
          <w:tcPr>
            <w:tcW w:w="1260" w:type="dxa"/>
            <w:tcBorders>
              <w:top w:val="nil"/>
              <w:left w:val="nil"/>
              <w:bottom w:val="single" w:sz="4" w:space="0" w:color="auto"/>
              <w:right w:val="single" w:sz="4" w:space="0" w:color="auto"/>
            </w:tcBorders>
            <w:shd w:val="clear" w:color="auto" w:fill="auto"/>
            <w:vAlign w:val="center"/>
            <w:hideMark/>
          </w:tcPr>
          <w:p w:rsidR="00225A3C" w:rsidRPr="00A528F4" w:rsidP="00A528F4" w14:paraId="34C24E52" w14:textId="4CC31F1E">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75.70</w:t>
            </w:r>
          </w:p>
        </w:tc>
        <w:tc>
          <w:tcPr>
            <w:tcW w:w="1450" w:type="dxa"/>
            <w:tcBorders>
              <w:top w:val="nil"/>
              <w:left w:val="nil"/>
              <w:bottom w:val="single" w:sz="4" w:space="0" w:color="auto"/>
              <w:right w:val="single" w:sz="4" w:space="0" w:color="auto"/>
            </w:tcBorders>
            <w:shd w:val="clear" w:color="auto" w:fill="auto"/>
            <w:vAlign w:val="center"/>
            <w:hideMark/>
          </w:tcPr>
          <w:p w:rsidR="00225A3C" w:rsidRPr="00A528F4" w:rsidP="00225A3C" w14:paraId="1D436613" w14:textId="619B25F5">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   99.17</w:t>
            </w:r>
          </w:p>
        </w:tc>
        <w:tc>
          <w:tcPr>
            <w:tcW w:w="430" w:type="dxa"/>
            <w:vMerge/>
            <w:tcBorders>
              <w:left w:val="nil"/>
              <w:right w:val="single" w:sz="4" w:space="0" w:color="auto"/>
            </w:tcBorders>
            <w:vAlign w:val="center"/>
          </w:tcPr>
          <w:p w:rsidR="00225A3C" w:rsidRPr="00A528F4" w:rsidP="00225A3C" w14:paraId="34B5C7D2"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3DAFA8EA" w14:textId="49ED6E85">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2</w:t>
            </w:r>
          </w:p>
        </w:tc>
        <w:tc>
          <w:tcPr>
            <w:tcW w:w="412" w:type="dxa"/>
            <w:vMerge/>
            <w:tcBorders>
              <w:left w:val="nil"/>
              <w:right w:val="single" w:sz="4" w:space="0" w:color="auto"/>
            </w:tcBorders>
            <w:vAlign w:val="center"/>
          </w:tcPr>
          <w:p w:rsidR="00225A3C" w:rsidRPr="00A528F4" w:rsidP="00225A3C" w14:paraId="2D0E97D6"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16EFF3D3" w14:textId="51BF2581">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8</w:t>
            </w:r>
          </w:p>
        </w:tc>
        <w:tc>
          <w:tcPr>
            <w:tcW w:w="822" w:type="dxa"/>
            <w:vMerge/>
            <w:tcBorders>
              <w:left w:val="nil"/>
              <w:right w:val="single" w:sz="4" w:space="0" w:color="auto"/>
            </w:tcBorders>
            <w:vAlign w:val="center"/>
          </w:tcPr>
          <w:p w:rsidR="00225A3C" w:rsidRPr="00A528F4" w:rsidP="00A528F4" w14:paraId="59CB5261"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0E699ED3" w14:textId="20F73FBF">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sidR="00A528F4">
              <w:rPr>
                <w:rFonts w:ascii="Times New Roman" w:hAnsi="Times New Roman"/>
                <w:color w:val="000000"/>
                <w:sz w:val="22"/>
                <w:szCs w:val="22"/>
              </w:rPr>
              <w:t>$ 1,586.72</w:t>
            </w:r>
          </w:p>
        </w:tc>
      </w:tr>
      <w:tr w14:paraId="0EB522D1"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hideMark/>
          </w:tcPr>
          <w:p w:rsidR="00225A3C" w:rsidRPr="00A528F4" w:rsidP="00225A3C" w14:paraId="3E51947A"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GS-15 (Step 5): Review (MAR 650)</w:t>
            </w:r>
          </w:p>
        </w:tc>
        <w:tc>
          <w:tcPr>
            <w:tcW w:w="1260" w:type="dxa"/>
            <w:tcBorders>
              <w:top w:val="nil"/>
              <w:left w:val="nil"/>
              <w:bottom w:val="single" w:sz="4" w:space="0" w:color="auto"/>
              <w:right w:val="single" w:sz="4" w:space="0" w:color="auto"/>
            </w:tcBorders>
            <w:shd w:val="clear" w:color="auto" w:fill="auto"/>
            <w:vAlign w:val="center"/>
            <w:hideMark/>
          </w:tcPr>
          <w:p w:rsidR="00225A3C" w:rsidRPr="00A528F4" w:rsidP="00A528F4" w14:paraId="5AB9D0A7" w14:textId="464C0EDF">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89.04</w:t>
            </w:r>
          </w:p>
        </w:tc>
        <w:tc>
          <w:tcPr>
            <w:tcW w:w="1450" w:type="dxa"/>
            <w:tcBorders>
              <w:top w:val="nil"/>
              <w:left w:val="nil"/>
              <w:bottom w:val="single" w:sz="4" w:space="0" w:color="auto"/>
              <w:right w:val="single" w:sz="4" w:space="0" w:color="auto"/>
            </w:tcBorders>
            <w:shd w:val="clear" w:color="auto" w:fill="auto"/>
            <w:vAlign w:val="center"/>
            <w:hideMark/>
          </w:tcPr>
          <w:p w:rsidR="00225A3C" w:rsidRPr="00A528F4" w:rsidP="00A528F4" w14:paraId="258689AF" w14:textId="2FCB1982">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$ 116</w:t>
            </w:r>
            <w:r w:rsidRPr="00A528F4">
              <w:rPr>
                <w:rFonts w:ascii="Times New Roman" w:hAnsi="Times New Roman"/>
                <w:color w:val="000000"/>
                <w:sz w:val="22"/>
                <w:szCs w:val="22"/>
              </w:rPr>
              <w:t>.64</w:t>
            </w:r>
          </w:p>
        </w:tc>
        <w:tc>
          <w:tcPr>
            <w:tcW w:w="430" w:type="dxa"/>
            <w:vMerge/>
            <w:tcBorders>
              <w:left w:val="nil"/>
              <w:right w:val="single" w:sz="4" w:space="0" w:color="auto"/>
            </w:tcBorders>
            <w:vAlign w:val="center"/>
          </w:tcPr>
          <w:p w:rsidR="00225A3C" w:rsidRPr="00A528F4" w:rsidP="00225A3C" w14:paraId="1F3DBE2E"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355CD172" w14:textId="3CBFA585">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tcBorders>
              <w:left w:val="nil"/>
              <w:right w:val="single" w:sz="4" w:space="0" w:color="auto"/>
            </w:tcBorders>
            <w:vAlign w:val="center"/>
          </w:tcPr>
          <w:p w:rsidR="00225A3C" w:rsidRPr="00A528F4" w:rsidP="00225A3C" w14:paraId="72A266AE"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vAlign w:val="center"/>
            <w:hideMark/>
          </w:tcPr>
          <w:p w:rsidR="00225A3C" w:rsidRPr="00A528F4" w:rsidP="00225A3C" w14:paraId="44DBD835" w14:textId="23E3BBA5">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4</w:t>
            </w:r>
          </w:p>
        </w:tc>
        <w:tc>
          <w:tcPr>
            <w:tcW w:w="822" w:type="dxa"/>
            <w:vMerge/>
            <w:tcBorders>
              <w:left w:val="nil"/>
              <w:right w:val="single" w:sz="4" w:space="0" w:color="auto"/>
            </w:tcBorders>
            <w:vAlign w:val="center"/>
          </w:tcPr>
          <w:p w:rsidR="00225A3C" w:rsidRPr="00A528F4" w:rsidP="00A528F4" w14:paraId="4FC25FD9"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41024245" w14:textId="6C40E4F8">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sidR="00D53E7F">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sidR="00D53E7F">
              <w:rPr>
                <w:rFonts w:ascii="Times New Roman" w:hAnsi="Times New Roman"/>
                <w:color w:val="000000"/>
                <w:sz w:val="22"/>
                <w:szCs w:val="22"/>
              </w:rPr>
              <w:t xml:space="preserve">   </w:t>
            </w:r>
            <w:r w:rsidRPr="00A528F4">
              <w:rPr>
                <w:rFonts w:ascii="Times New Roman" w:hAnsi="Times New Roman"/>
                <w:color w:val="000000"/>
                <w:sz w:val="22"/>
                <w:szCs w:val="22"/>
              </w:rPr>
              <w:t>466.56</w:t>
            </w:r>
          </w:p>
        </w:tc>
      </w:tr>
      <w:tr w14:paraId="6BDFCF09"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noWrap/>
            <w:vAlign w:val="bottom"/>
            <w:hideMark/>
          </w:tcPr>
          <w:p w:rsidR="00225A3C" w:rsidRPr="00A528F4" w:rsidP="00225A3C" w14:paraId="560565EB"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GS-14 (Step 5): Review (MAR 520)</w:t>
            </w:r>
          </w:p>
        </w:tc>
        <w:tc>
          <w:tcPr>
            <w:tcW w:w="126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2823D8D7" w14:textId="61B7D2D1">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75.70</w:t>
            </w:r>
          </w:p>
        </w:tc>
        <w:tc>
          <w:tcPr>
            <w:tcW w:w="1450" w:type="dxa"/>
            <w:tcBorders>
              <w:top w:val="nil"/>
              <w:left w:val="nil"/>
              <w:bottom w:val="single" w:sz="4" w:space="0" w:color="auto"/>
              <w:right w:val="single" w:sz="4" w:space="0" w:color="auto"/>
            </w:tcBorders>
            <w:shd w:val="clear" w:color="auto" w:fill="auto"/>
            <w:noWrap/>
            <w:vAlign w:val="center"/>
            <w:hideMark/>
          </w:tcPr>
          <w:p w:rsidR="00225A3C" w:rsidRPr="00A528F4" w:rsidP="00225A3C" w14:paraId="02427C3D" w14:textId="10B50927">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  </w:t>
            </w:r>
            <w:r w:rsidR="00290D98">
              <w:rPr>
                <w:rFonts w:ascii="Times New Roman" w:hAnsi="Times New Roman"/>
                <w:color w:val="000000"/>
                <w:sz w:val="22"/>
                <w:szCs w:val="22"/>
              </w:rPr>
              <w:t xml:space="preserve">  </w:t>
            </w:r>
            <w:r w:rsidRPr="00A528F4">
              <w:rPr>
                <w:rFonts w:ascii="Times New Roman" w:hAnsi="Times New Roman"/>
                <w:color w:val="000000"/>
                <w:sz w:val="22"/>
                <w:szCs w:val="22"/>
              </w:rPr>
              <w:t>99.17</w:t>
            </w:r>
          </w:p>
        </w:tc>
        <w:tc>
          <w:tcPr>
            <w:tcW w:w="430" w:type="dxa"/>
            <w:vMerge/>
            <w:tcBorders>
              <w:left w:val="nil"/>
              <w:right w:val="single" w:sz="4" w:space="0" w:color="auto"/>
            </w:tcBorders>
            <w:vAlign w:val="center"/>
          </w:tcPr>
          <w:p w:rsidR="00225A3C" w:rsidRPr="00A528F4" w:rsidP="00225A3C" w14:paraId="38432BF5"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4BA4D241" w14:textId="1EB59C8A">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2</w:t>
            </w:r>
          </w:p>
        </w:tc>
        <w:tc>
          <w:tcPr>
            <w:tcW w:w="412" w:type="dxa"/>
            <w:vMerge/>
            <w:tcBorders>
              <w:left w:val="nil"/>
              <w:right w:val="single" w:sz="4" w:space="0" w:color="auto"/>
            </w:tcBorders>
            <w:vAlign w:val="center"/>
          </w:tcPr>
          <w:p w:rsidR="00225A3C" w:rsidRPr="00A528F4" w:rsidP="00225A3C" w14:paraId="440DC6FB"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D22D3E5" w14:textId="5B4A14D3">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8</w:t>
            </w:r>
          </w:p>
        </w:tc>
        <w:tc>
          <w:tcPr>
            <w:tcW w:w="822" w:type="dxa"/>
            <w:vMerge/>
            <w:tcBorders>
              <w:left w:val="nil"/>
              <w:right w:val="single" w:sz="4" w:space="0" w:color="auto"/>
            </w:tcBorders>
            <w:vAlign w:val="center"/>
          </w:tcPr>
          <w:p w:rsidR="00225A3C" w:rsidRPr="00A528F4" w:rsidP="00A528F4" w14:paraId="3AD62CCF"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A528F4" w14:paraId="0C27BF3A" w14:textId="0C0542A9">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sidR="00A528F4">
              <w:rPr>
                <w:rFonts w:ascii="Times New Roman" w:hAnsi="Times New Roman"/>
                <w:color w:val="000000"/>
                <w:sz w:val="22"/>
                <w:szCs w:val="22"/>
              </w:rPr>
              <w:t>$ 1,586.72</w:t>
            </w:r>
          </w:p>
        </w:tc>
      </w:tr>
      <w:tr w14:paraId="5D64726B" w14:textId="77777777" w:rsidTr="00D53E7F">
        <w:tblPrEx>
          <w:tblW w:w="10525" w:type="dxa"/>
          <w:tblLook w:val="04A0"/>
        </w:tblPrEx>
        <w:trPr>
          <w:trHeight w:val="510"/>
        </w:trPr>
        <w:tc>
          <w:tcPr>
            <w:tcW w:w="2515" w:type="dxa"/>
            <w:tcBorders>
              <w:top w:val="nil"/>
              <w:left w:val="single" w:sz="4" w:space="0" w:color="auto"/>
              <w:bottom w:val="single" w:sz="4" w:space="0" w:color="auto"/>
              <w:right w:val="single" w:sz="4" w:space="0" w:color="auto"/>
            </w:tcBorders>
            <w:shd w:val="clear" w:color="000000" w:fill="FFFFFF"/>
            <w:vAlign w:val="center"/>
            <w:hideMark/>
          </w:tcPr>
          <w:p w:rsidR="00225A3C" w:rsidRPr="00A528F4" w:rsidP="00225A3C" w14:paraId="04168A9A"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SES: Review &amp; Concurrence                            (MAR 600.3)</w:t>
            </w:r>
          </w:p>
        </w:tc>
        <w:tc>
          <w:tcPr>
            <w:tcW w:w="126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6FCFF302" w14:textId="76EF9130">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98.00</w:t>
            </w:r>
          </w:p>
        </w:tc>
        <w:tc>
          <w:tcPr>
            <w:tcW w:w="145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17AA955B" w14:textId="6004AF1B">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$ 128</w:t>
            </w:r>
            <w:r w:rsidRPr="00A528F4">
              <w:rPr>
                <w:rFonts w:ascii="Times New Roman" w:hAnsi="Times New Roman"/>
                <w:color w:val="000000"/>
                <w:sz w:val="22"/>
                <w:szCs w:val="22"/>
              </w:rPr>
              <w:t>.38</w:t>
            </w:r>
          </w:p>
        </w:tc>
        <w:tc>
          <w:tcPr>
            <w:tcW w:w="430" w:type="dxa"/>
            <w:vMerge/>
            <w:tcBorders>
              <w:left w:val="nil"/>
              <w:right w:val="single" w:sz="4" w:space="0" w:color="auto"/>
            </w:tcBorders>
            <w:vAlign w:val="center"/>
          </w:tcPr>
          <w:p w:rsidR="00225A3C" w:rsidRPr="00A528F4" w:rsidP="00225A3C" w14:paraId="2C4FEE14"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63080D4" w14:textId="03FA16F9">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tcBorders>
              <w:left w:val="nil"/>
              <w:right w:val="single" w:sz="4" w:space="0" w:color="auto"/>
            </w:tcBorders>
            <w:vAlign w:val="center"/>
          </w:tcPr>
          <w:p w:rsidR="00225A3C" w:rsidRPr="00A528F4" w:rsidP="00225A3C" w14:paraId="4F4A7A7F"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DCB0469" w14:textId="5F976D57">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4</w:t>
            </w:r>
          </w:p>
        </w:tc>
        <w:tc>
          <w:tcPr>
            <w:tcW w:w="822" w:type="dxa"/>
            <w:vMerge/>
            <w:tcBorders>
              <w:left w:val="nil"/>
              <w:right w:val="single" w:sz="4" w:space="0" w:color="auto"/>
            </w:tcBorders>
            <w:vAlign w:val="center"/>
          </w:tcPr>
          <w:p w:rsidR="00225A3C" w:rsidRPr="00A528F4" w:rsidP="00A528F4" w14:paraId="1EBA82F7"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A528F4" w14:paraId="4074D6E2" w14:textId="45068B79">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xml:space="preserve">   $     513.52</w:t>
            </w:r>
          </w:p>
        </w:tc>
      </w:tr>
      <w:tr w14:paraId="5A742887"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noWrap/>
            <w:vAlign w:val="bottom"/>
            <w:hideMark/>
          </w:tcPr>
          <w:p w:rsidR="00225A3C" w:rsidRPr="00A528F4" w:rsidP="00225A3C" w14:paraId="7186564C"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GS-14 (Step 5):  Review (MAR 221)</w:t>
            </w:r>
          </w:p>
        </w:tc>
        <w:tc>
          <w:tcPr>
            <w:tcW w:w="126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49A9A33C" w14:textId="482F4F99">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75.70</w:t>
            </w:r>
          </w:p>
        </w:tc>
        <w:tc>
          <w:tcPr>
            <w:tcW w:w="145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0BE817EE" w14:textId="0B2F4765">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99.17</w:t>
            </w:r>
          </w:p>
        </w:tc>
        <w:tc>
          <w:tcPr>
            <w:tcW w:w="430" w:type="dxa"/>
            <w:vMerge/>
            <w:tcBorders>
              <w:left w:val="nil"/>
              <w:right w:val="single" w:sz="4" w:space="0" w:color="auto"/>
            </w:tcBorders>
            <w:vAlign w:val="center"/>
          </w:tcPr>
          <w:p w:rsidR="00225A3C" w:rsidRPr="00A528F4" w:rsidP="00225A3C" w14:paraId="2780E781"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61EAC4D9" w14:textId="116D41C5">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tcBorders>
              <w:left w:val="nil"/>
              <w:right w:val="single" w:sz="4" w:space="0" w:color="auto"/>
            </w:tcBorders>
            <w:vAlign w:val="center"/>
          </w:tcPr>
          <w:p w:rsidR="00225A3C" w:rsidRPr="00A528F4" w:rsidP="00225A3C" w14:paraId="7517AB39"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68EAC4D" w14:textId="774A3672">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822" w:type="dxa"/>
            <w:vMerge/>
            <w:tcBorders>
              <w:left w:val="nil"/>
              <w:right w:val="single" w:sz="4" w:space="0" w:color="auto"/>
            </w:tcBorders>
            <w:vAlign w:val="center"/>
          </w:tcPr>
          <w:p w:rsidR="00225A3C" w:rsidRPr="00A528F4" w:rsidP="00A528F4" w14:paraId="32305C75"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2A74B5EE" w14:textId="426DAE88">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      99.17</w:t>
            </w:r>
          </w:p>
        </w:tc>
      </w:tr>
      <w:tr w14:paraId="0AD93D41"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noWrap/>
            <w:vAlign w:val="bottom"/>
            <w:hideMark/>
          </w:tcPr>
          <w:p w:rsidR="00225A3C" w:rsidRPr="00A528F4" w:rsidP="00225A3C" w14:paraId="35439E4E"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GS-15 (Step 5): Review (MAR 221)</w:t>
            </w:r>
          </w:p>
        </w:tc>
        <w:tc>
          <w:tcPr>
            <w:tcW w:w="126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7E1CF950" w14:textId="41339B1D">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89.04</w:t>
            </w:r>
          </w:p>
        </w:tc>
        <w:tc>
          <w:tcPr>
            <w:tcW w:w="1450" w:type="dxa"/>
            <w:tcBorders>
              <w:top w:val="nil"/>
              <w:left w:val="nil"/>
              <w:bottom w:val="single" w:sz="4" w:space="0" w:color="auto"/>
              <w:right w:val="single" w:sz="4" w:space="0" w:color="auto"/>
            </w:tcBorders>
            <w:shd w:val="clear" w:color="auto" w:fill="auto"/>
            <w:noWrap/>
            <w:vAlign w:val="center"/>
            <w:hideMark/>
          </w:tcPr>
          <w:p w:rsidR="00225A3C" w:rsidRPr="00A528F4" w:rsidP="00225A3C" w14:paraId="3895703E" w14:textId="5FF89E01">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sidR="00A528F4">
              <w:rPr>
                <w:rFonts w:ascii="Times New Roman" w:hAnsi="Times New Roman"/>
                <w:color w:val="000000"/>
                <w:sz w:val="22"/>
                <w:szCs w:val="22"/>
              </w:rPr>
              <w:t>$ 116</w:t>
            </w:r>
            <w:r w:rsidRPr="00A528F4">
              <w:rPr>
                <w:rFonts w:ascii="Times New Roman" w:hAnsi="Times New Roman"/>
                <w:color w:val="000000"/>
                <w:sz w:val="22"/>
                <w:szCs w:val="22"/>
              </w:rPr>
              <w:t>.64</w:t>
            </w:r>
          </w:p>
        </w:tc>
        <w:tc>
          <w:tcPr>
            <w:tcW w:w="430" w:type="dxa"/>
            <w:vMerge/>
            <w:tcBorders>
              <w:left w:val="nil"/>
              <w:right w:val="single" w:sz="4" w:space="0" w:color="auto"/>
            </w:tcBorders>
            <w:vAlign w:val="center"/>
          </w:tcPr>
          <w:p w:rsidR="00225A3C" w:rsidRPr="00A528F4" w:rsidP="00225A3C" w14:paraId="3F4E1B09"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57FFCFDE" w14:textId="173DF78A">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tcBorders>
              <w:left w:val="nil"/>
              <w:right w:val="single" w:sz="4" w:space="0" w:color="auto"/>
            </w:tcBorders>
            <w:vAlign w:val="center"/>
          </w:tcPr>
          <w:p w:rsidR="00225A3C" w:rsidRPr="00A528F4" w:rsidP="00225A3C" w14:paraId="1F22C61F"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BD64D38" w14:textId="281094A2">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0.5</w:t>
            </w:r>
          </w:p>
        </w:tc>
        <w:tc>
          <w:tcPr>
            <w:tcW w:w="822" w:type="dxa"/>
            <w:vMerge/>
            <w:tcBorders>
              <w:left w:val="nil"/>
              <w:right w:val="single" w:sz="4" w:space="0" w:color="auto"/>
            </w:tcBorders>
            <w:vAlign w:val="center"/>
          </w:tcPr>
          <w:p w:rsidR="00225A3C" w:rsidRPr="00A528F4" w:rsidP="00A528F4" w14:paraId="332D0A56"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375D2174" w14:textId="46E974D0">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     58.32</w:t>
            </w:r>
          </w:p>
        </w:tc>
      </w:tr>
      <w:tr w14:paraId="2D54DDFD"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vAlign w:val="center"/>
            <w:hideMark/>
          </w:tcPr>
          <w:p w:rsidR="00225A3C" w:rsidRPr="00A528F4" w:rsidP="00225A3C" w14:paraId="4B0F9F7C" w14:textId="2A0A9DC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SES: Concurrence (MAR 220.1)</w:t>
            </w:r>
          </w:p>
        </w:tc>
        <w:tc>
          <w:tcPr>
            <w:tcW w:w="126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31662CB8" w14:textId="542C0E51">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98.00</w:t>
            </w:r>
          </w:p>
        </w:tc>
        <w:tc>
          <w:tcPr>
            <w:tcW w:w="145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37CE4C10" w14:textId="2853CBC9">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sidR="00A528F4">
              <w:rPr>
                <w:rFonts w:ascii="Times New Roman" w:hAnsi="Times New Roman"/>
                <w:color w:val="000000"/>
                <w:sz w:val="22"/>
                <w:szCs w:val="22"/>
              </w:rPr>
              <w:t>$ 128</w:t>
            </w:r>
            <w:r w:rsidRPr="00A528F4">
              <w:rPr>
                <w:rFonts w:ascii="Times New Roman" w:hAnsi="Times New Roman"/>
                <w:color w:val="000000"/>
                <w:sz w:val="22"/>
                <w:szCs w:val="22"/>
              </w:rPr>
              <w:t>.38</w:t>
            </w:r>
          </w:p>
        </w:tc>
        <w:tc>
          <w:tcPr>
            <w:tcW w:w="430" w:type="dxa"/>
            <w:vMerge/>
            <w:tcBorders>
              <w:left w:val="nil"/>
              <w:right w:val="single" w:sz="4" w:space="0" w:color="auto"/>
            </w:tcBorders>
            <w:vAlign w:val="center"/>
          </w:tcPr>
          <w:p w:rsidR="00225A3C" w:rsidRPr="00A528F4" w:rsidP="00225A3C" w14:paraId="0DE57FA8"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048C4A7" w14:textId="32700110">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tcBorders>
              <w:left w:val="nil"/>
              <w:right w:val="single" w:sz="4" w:space="0" w:color="auto"/>
            </w:tcBorders>
            <w:vAlign w:val="center"/>
          </w:tcPr>
          <w:p w:rsidR="00225A3C" w:rsidRPr="00A528F4" w:rsidP="00225A3C" w14:paraId="5FE70574"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2ACEF0C" w14:textId="141760BE">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0.25</w:t>
            </w:r>
          </w:p>
        </w:tc>
        <w:tc>
          <w:tcPr>
            <w:tcW w:w="822" w:type="dxa"/>
            <w:vMerge/>
            <w:tcBorders>
              <w:left w:val="nil"/>
              <w:right w:val="single" w:sz="4" w:space="0" w:color="auto"/>
            </w:tcBorders>
            <w:vAlign w:val="center"/>
          </w:tcPr>
          <w:p w:rsidR="00225A3C" w:rsidRPr="00A528F4" w:rsidP="00A528F4" w14:paraId="2AC633D6"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3F5B5190" w14:textId="5A4F5F5E">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Pr>
                <w:rFonts w:ascii="Times New Roman" w:hAnsi="Times New Roman"/>
                <w:color w:val="000000"/>
                <w:sz w:val="22"/>
                <w:szCs w:val="22"/>
              </w:rPr>
              <w:t>32.10</w:t>
            </w:r>
          </w:p>
        </w:tc>
      </w:tr>
      <w:tr w14:paraId="36EEAE98" w14:textId="77777777" w:rsidTr="00D53E7F">
        <w:tblPrEx>
          <w:tblW w:w="10525" w:type="dxa"/>
          <w:tblLook w:val="04A0"/>
        </w:tblPrEx>
        <w:trPr>
          <w:trHeight w:val="300"/>
        </w:trPr>
        <w:tc>
          <w:tcPr>
            <w:tcW w:w="2515" w:type="dxa"/>
            <w:tcBorders>
              <w:top w:val="nil"/>
              <w:left w:val="single" w:sz="4" w:space="0" w:color="auto"/>
              <w:bottom w:val="single" w:sz="4" w:space="0" w:color="auto"/>
              <w:right w:val="single" w:sz="4" w:space="0" w:color="auto"/>
            </w:tcBorders>
            <w:shd w:val="clear" w:color="000000" w:fill="FFFFFF"/>
            <w:vAlign w:val="center"/>
            <w:hideMark/>
          </w:tcPr>
          <w:p w:rsidR="00225A3C" w:rsidRPr="00A528F4" w:rsidP="00225A3C" w14:paraId="2BD500E9" w14:textId="77777777">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SES: Concurrence (MAR 220)</w:t>
            </w:r>
          </w:p>
        </w:tc>
        <w:tc>
          <w:tcPr>
            <w:tcW w:w="126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2590C7DB" w14:textId="3B15E80C">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98.00</w:t>
            </w:r>
          </w:p>
        </w:tc>
        <w:tc>
          <w:tcPr>
            <w:tcW w:w="1450" w:type="dxa"/>
            <w:tcBorders>
              <w:top w:val="nil"/>
              <w:left w:val="nil"/>
              <w:bottom w:val="single" w:sz="4" w:space="0" w:color="auto"/>
              <w:right w:val="single" w:sz="4" w:space="0" w:color="auto"/>
            </w:tcBorders>
            <w:shd w:val="clear" w:color="auto" w:fill="auto"/>
            <w:noWrap/>
            <w:vAlign w:val="center"/>
            <w:hideMark/>
          </w:tcPr>
          <w:p w:rsidR="00225A3C" w:rsidRPr="00A528F4" w:rsidP="00A528F4" w14:paraId="3E4FF4E6" w14:textId="52F06AE0">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sidR="00A528F4">
              <w:rPr>
                <w:rFonts w:ascii="Times New Roman" w:hAnsi="Times New Roman"/>
                <w:color w:val="000000"/>
                <w:sz w:val="22"/>
                <w:szCs w:val="22"/>
              </w:rPr>
              <w:t>$ 128</w:t>
            </w:r>
            <w:r w:rsidRPr="00A528F4">
              <w:rPr>
                <w:rFonts w:ascii="Times New Roman" w:hAnsi="Times New Roman"/>
                <w:color w:val="000000"/>
                <w:sz w:val="22"/>
                <w:szCs w:val="22"/>
              </w:rPr>
              <w:t>.38</w:t>
            </w:r>
          </w:p>
        </w:tc>
        <w:tc>
          <w:tcPr>
            <w:tcW w:w="430" w:type="dxa"/>
            <w:vMerge/>
            <w:tcBorders>
              <w:left w:val="nil"/>
              <w:bottom w:val="single" w:sz="4" w:space="0" w:color="auto"/>
              <w:right w:val="single" w:sz="4" w:space="0" w:color="auto"/>
            </w:tcBorders>
            <w:vAlign w:val="center"/>
          </w:tcPr>
          <w:p w:rsidR="00225A3C" w:rsidRPr="00A528F4" w:rsidP="00225A3C" w14:paraId="32EAC34F"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1C72FB51" w14:textId="385F1664">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1</w:t>
            </w:r>
          </w:p>
        </w:tc>
        <w:tc>
          <w:tcPr>
            <w:tcW w:w="412" w:type="dxa"/>
            <w:vMerge/>
            <w:tcBorders>
              <w:left w:val="nil"/>
              <w:bottom w:val="single" w:sz="4" w:space="0" w:color="auto"/>
              <w:right w:val="single" w:sz="4" w:space="0" w:color="auto"/>
            </w:tcBorders>
            <w:vAlign w:val="center"/>
          </w:tcPr>
          <w:p w:rsidR="00225A3C" w:rsidRPr="00A528F4" w:rsidP="00225A3C" w14:paraId="0C1CFBA8" w14:textId="77777777">
            <w:pPr>
              <w:widowControl/>
              <w:autoSpaceDE/>
              <w:autoSpaceDN/>
              <w:adjustRightInd/>
              <w:jc w:val="center"/>
              <w:rPr>
                <w:rFonts w:ascii="Times New Roman" w:hAnsi="Times New Roman"/>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225A3C" w14:paraId="02200B27" w14:textId="3CC92854">
            <w:pPr>
              <w:widowControl/>
              <w:autoSpaceDE/>
              <w:autoSpaceDN/>
              <w:adjustRightInd/>
              <w:jc w:val="center"/>
              <w:rPr>
                <w:rFonts w:ascii="Times New Roman" w:hAnsi="Times New Roman"/>
                <w:color w:val="000000"/>
                <w:sz w:val="22"/>
                <w:szCs w:val="22"/>
              </w:rPr>
            </w:pPr>
            <w:r w:rsidRPr="00A528F4">
              <w:rPr>
                <w:rFonts w:ascii="Times New Roman" w:hAnsi="Times New Roman"/>
                <w:color w:val="000000"/>
                <w:sz w:val="22"/>
                <w:szCs w:val="22"/>
              </w:rPr>
              <w:t>0.15</w:t>
            </w:r>
          </w:p>
        </w:tc>
        <w:tc>
          <w:tcPr>
            <w:tcW w:w="822" w:type="dxa"/>
            <w:vMerge/>
            <w:tcBorders>
              <w:left w:val="nil"/>
              <w:bottom w:val="single" w:sz="4" w:space="0" w:color="auto"/>
              <w:right w:val="single" w:sz="4" w:space="0" w:color="auto"/>
            </w:tcBorders>
            <w:vAlign w:val="center"/>
          </w:tcPr>
          <w:p w:rsidR="00225A3C" w:rsidRPr="00A528F4" w:rsidP="00A528F4" w14:paraId="19682927" w14:textId="77777777">
            <w:pPr>
              <w:widowControl/>
              <w:autoSpaceDE/>
              <w:autoSpaceDN/>
              <w:adjustRightInd/>
              <w:jc w:val="center"/>
              <w:rPr>
                <w:rFonts w:ascii="Times New Roman" w:hAnsi="Times New Roman"/>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225A3C" w:rsidRPr="00A528F4" w:rsidP="00D53E7F" w14:paraId="2258778A" w14:textId="320A8F29">
            <w:pPr>
              <w:widowControl/>
              <w:autoSpaceDE/>
              <w:autoSpaceDN/>
              <w:adjustRightInd/>
              <w:rPr>
                <w:rFonts w:ascii="Times New Roman" w:hAnsi="Times New Roman"/>
                <w:color w:val="000000"/>
                <w:sz w:val="22"/>
                <w:szCs w:val="22"/>
              </w:rPr>
            </w:pPr>
            <w:r w:rsidRPr="00A528F4">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Pr>
                <w:rFonts w:ascii="Times New Roman" w:hAnsi="Times New Roman"/>
                <w:color w:val="000000"/>
                <w:sz w:val="22"/>
                <w:szCs w:val="22"/>
              </w:rPr>
              <w:t xml:space="preserve">    </w:t>
            </w:r>
            <w:r w:rsidRPr="00A528F4">
              <w:rPr>
                <w:rFonts w:ascii="Times New Roman" w:hAnsi="Times New Roman"/>
                <w:color w:val="000000"/>
                <w:sz w:val="22"/>
                <w:szCs w:val="22"/>
              </w:rPr>
              <w:t>19.26</w:t>
            </w:r>
          </w:p>
        </w:tc>
      </w:tr>
      <w:tr w14:paraId="406BB72B" w14:textId="77777777" w:rsidTr="008E7411">
        <w:tblPrEx>
          <w:tblW w:w="10525" w:type="dxa"/>
          <w:tblLook w:val="04A0"/>
        </w:tblPrEx>
        <w:trPr>
          <w:trHeight w:val="300"/>
        </w:trPr>
        <w:tc>
          <w:tcPr>
            <w:tcW w:w="5225" w:type="dxa"/>
            <w:gridSpan w:val="3"/>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rsidR="00D53E7F" w:rsidRPr="00A528F4" w:rsidP="00A528F4" w14:paraId="0DC057BF" w14:textId="4C8F29EA">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 COMBINED TOTAL</w:t>
            </w:r>
          </w:p>
        </w:tc>
        <w:tc>
          <w:tcPr>
            <w:tcW w:w="430" w:type="dxa"/>
            <w:tcBorders>
              <w:top w:val="single" w:sz="4" w:space="0" w:color="auto"/>
              <w:left w:val="nil"/>
              <w:bottom w:val="single" w:sz="4" w:space="0" w:color="auto"/>
              <w:right w:val="single" w:sz="4" w:space="0" w:color="auto"/>
            </w:tcBorders>
            <w:vAlign w:val="center"/>
          </w:tcPr>
          <w:p w:rsidR="00D53E7F" w:rsidRPr="00A528F4" w:rsidP="00225A3C" w14:paraId="660AD03C" w14:textId="77777777">
            <w:pPr>
              <w:widowControl/>
              <w:autoSpaceDE/>
              <w:autoSpaceDN/>
              <w:adjustRightInd/>
              <w:jc w:val="center"/>
              <w:rPr>
                <w:rFonts w:ascii="Times New Roman" w:hAnsi="Times New Roman"/>
                <w:color w:val="000000"/>
                <w:sz w:val="22"/>
                <w:szCs w:val="22"/>
              </w:rPr>
            </w:pP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D53E7F" w:rsidRPr="00A528F4" w:rsidP="00225A3C" w14:paraId="26F304DE" w14:textId="73538463">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11</w:t>
            </w:r>
          </w:p>
        </w:tc>
        <w:tc>
          <w:tcPr>
            <w:tcW w:w="412" w:type="dxa"/>
            <w:tcBorders>
              <w:top w:val="single" w:sz="4" w:space="0" w:color="auto"/>
              <w:left w:val="nil"/>
              <w:bottom w:val="single" w:sz="4" w:space="0" w:color="auto"/>
              <w:right w:val="single" w:sz="4" w:space="0" w:color="auto"/>
            </w:tcBorders>
            <w:vAlign w:val="center"/>
          </w:tcPr>
          <w:p w:rsidR="00D53E7F" w:rsidRPr="00A528F4" w:rsidP="00225A3C" w14:paraId="42EDEE83" w14:textId="77777777">
            <w:pPr>
              <w:widowControl/>
              <w:autoSpaceDE/>
              <w:autoSpaceDN/>
              <w:adjustRightInd/>
              <w:jc w:val="center"/>
              <w:rPr>
                <w:rFonts w:ascii="Times New Roman" w:hAnsi="Times New Roman"/>
                <w:b/>
                <w:bCs/>
                <w:color w:val="000000"/>
                <w:sz w:val="22"/>
                <w:szCs w:val="22"/>
              </w:rPr>
            </w:pPr>
          </w:p>
        </w:tc>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D53E7F" w:rsidRPr="00A528F4" w:rsidP="00225A3C" w14:paraId="540E8141" w14:textId="4EEF070A">
            <w:pPr>
              <w:widowControl/>
              <w:autoSpaceDE/>
              <w:autoSpaceDN/>
              <w:adjustRightInd/>
              <w:jc w:val="center"/>
              <w:rPr>
                <w:rFonts w:ascii="Times New Roman" w:hAnsi="Times New Roman"/>
                <w:b/>
                <w:bCs/>
                <w:color w:val="000000"/>
                <w:sz w:val="22"/>
                <w:szCs w:val="22"/>
              </w:rPr>
            </w:pPr>
            <w:r w:rsidRPr="00A528F4">
              <w:rPr>
                <w:rFonts w:ascii="Times New Roman" w:hAnsi="Times New Roman"/>
                <w:b/>
                <w:bCs/>
                <w:color w:val="000000"/>
                <w:sz w:val="22"/>
                <w:szCs w:val="22"/>
              </w:rPr>
              <w:t>33.9</w:t>
            </w:r>
          </w:p>
        </w:tc>
        <w:tc>
          <w:tcPr>
            <w:tcW w:w="822" w:type="dxa"/>
            <w:tcBorders>
              <w:top w:val="single" w:sz="4" w:space="0" w:color="auto"/>
              <w:left w:val="nil"/>
              <w:bottom w:val="single" w:sz="4" w:space="0" w:color="auto"/>
              <w:right w:val="single" w:sz="4" w:space="0" w:color="auto"/>
            </w:tcBorders>
            <w:vAlign w:val="center"/>
          </w:tcPr>
          <w:p w:rsidR="00D53E7F" w:rsidRPr="00A528F4" w:rsidP="00225A3C" w14:paraId="21D078C5" w14:textId="77777777">
            <w:pPr>
              <w:widowControl/>
              <w:autoSpaceDE/>
              <w:autoSpaceDN/>
              <w:adjustRightInd/>
              <w:jc w:val="center"/>
              <w:rPr>
                <w:rFonts w:ascii="Times New Roman" w:hAnsi="Times New Roman"/>
                <w:b/>
                <w:bCs/>
                <w:color w:val="000000"/>
                <w:sz w:val="22"/>
                <w:szCs w:val="22"/>
              </w:rPr>
            </w:pPr>
          </w:p>
        </w:tc>
        <w:tc>
          <w:tcPr>
            <w:tcW w:w="1294" w:type="dxa"/>
            <w:tcBorders>
              <w:top w:val="nil"/>
              <w:left w:val="single" w:sz="4" w:space="0" w:color="auto"/>
              <w:bottom w:val="single" w:sz="4" w:space="0" w:color="auto"/>
              <w:right w:val="single" w:sz="4" w:space="0" w:color="auto"/>
            </w:tcBorders>
            <w:shd w:val="clear" w:color="auto" w:fill="auto"/>
            <w:noWrap/>
            <w:vAlign w:val="center"/>
            <w:hideMark/>
          </w:tcPr>
          <w:p w:rsidR="00D53E7F" w:rsidRPr="00A528F4" w:rsidP="00A528F4" w14:paraId="4B8174D4" w14:textId="5A22F4F4">
            <w:pPr>
              <w:widowControl/>
              <w:autoSpaceDE/>
              <w:autoSpaceDN/>
              <w:adjustRightInd/>
              <w:rPr>
                <w:rFonts w:ascii="Times New Roman" w:hAnsi="Times New Roman"/>
                <w:b/>
                <w:bCs/>
                <w:color w:val="000000"/>
                <w:sz w:val="22"/>
                <w:szCs w:val="22"/>
              </w:rPr>
            </w:pPr>
            <w:r w:rsidRPr="00A528F4">
              <w:rPr>
                <w:rFonts w:ascii="Times New Roman" w:hAnsi="Times New Roman"/>
                <w:b/>
                <w:bCs/>
                <w:color w:val="000000"/>
                <w:sz w:val="22"/>
                <w:szCs w:val="22"/>
              </w:rPr>
              <w:t>$     4,833.3</w:t>
            </w:r>
            <w:r w:rsidR="008E7411">
              <w:rPr>
                <w:rFonts w:ascii="Times New Roman" w:hAnsi="Times New Roman"/>
                <w:b/>
                <w:bCs/>
                <w:color w:val="000000"/>
                <w:sz w:val="22"/>
                <w:szCs w:val="22"/>
              </w:rPr>
              <w:t>3</w:t>
            </w:r>
          </w:p>
        </w:tc>
      </w:tr>
    </w:tbl>
    <w:p w:rsidR="00225A3C" w:rsidRPr="00A528F4" w:rsidP="008E4B5F" w14:paraId="20EDACC3" w14:textId="77777777">
      <w:pPr>
        <w:rPr>
          <w:rFonts w:ascii="Times New Roman" w:hAnsi="Times New Roman"/>
          <w:sz w:val="22"/>
          <w:szCs w:val="22"/>
        </w:rPr>
      </w:pPr>
    </w:p>
    <w:tbl>
      <w:tblPr>
        <w:tblStyle w:val="TableGrid"/>
        <w:tblW w:w="0" w:type="auto"/>
        <w:jc w:val="center"/>
        <w:tblLook w:val="04A0"/>
      </w:tblPr>
      <w:tblGrid>
        <w:gridCol w:w="3798"/>
        <w:gridCol w:w="1759"/>
        <w:gridCol w:w="2167"/>
      </w:tblGrid>
      <w:tr w14:paraId="60C5898C" w14:textId="77777777" w:rsidTr="00A528F4">
        <w:tblPrEx>
          <w:tblW w:w="0" w:type="auto"/>
          <w:jc w:val="center"/>
          <w:tblLook w:val="04A0"/>
        </w:tblPrEx>
        <w:trPr>
          <w:trHeight w:val="513"/>
          <w:jc w:val="center"/>
        </w:trPr>
        <w:tc>
          <w:tcPr>
            <w:tcW w:w="3798" w:type="dxa"/>
            <w:shd w:val="clear" w:color="auto" w:fill="D0CECE" w:themeFill="background2" w:themeFillShade="E6"/>
            <w:hideMark/>
          </w:tcPr>
          <w:p w:rsidR="00D53E7F" w:rsidRPr="00A528F4" w:rsidP="00A528F4" w14:paraId="2348EE47" w14:textId="77777777">
            <w:pPr>
              <w:jc w:val="center"/>
              <w:rPr>
                <w:rFonts w:ascii="Times New Roman" w:hAnsi="Times New Roman"/>
                <w:b/>
                <w:bCs/>
                <w:sz w:val="22"/>
                <w:szCs w:val="22"/>
              </w:rPr>
            </w:pPr>
            <w:r w:rsidRPr="00A528F4">
              <w:rPr>
                <w:rFonts w:ascii="Times New Roman" w:hAnsi="Times New Roman"/>
                <w:b/>
                <w:bCs/>
                <w:sz w:val="22"/>
                <w:szCs w:val="22"/>
              </w:rPr>
              <w:t>Total Cost to Process Each Application</w:t>
            </w:r>
          </w:p>
        </w:tc>
        <w:tc>
          <w:tcPr>
            <w:tcW w:w="1759" w:type="dxa"/>
            <w:shd w:val="clear" w:color="auto" w:fill="D0CECE" w:themeFill="background2" w:themeFillShade="E6"/>
            <w:hideMark/>
          </w:tcPr>
          <w:p w:rsidR="00D53E7F" w:rsidRPr="00A528F4" w:rsidP="00A528F4" w14:paraId="3FE9E6F8" w14:textId="77777777">
            <w:pPr>
              <w:jc w:val="center"/>
              <w:rPr>
                <w:rFonts w:ascii="Times New Roman" w:hAnsi="Times New Roman"/>
                <w:b/>
                <w:bCs/>
                <w:sz w:val="22"/>
                <w:szCs w:val="22"/>
              </w:rPr>
            </w:pPr>
            <w:r w:rsidRPr="00A528F4">
              <w:rPr>
                <w:rFonts w:ascii="Times New Roman" w:hAnsi="Times New Roman"/>
                <w:b/>
                <w:bCs/>
                <w:sz w:val="22"/>
                <w:szCs w:val="22"/>
              </w:rPr>
              <w:t>Total Applications</w:t>
            </w:r>
          </w:p>
        </w:tc>
        <w:tc>
          <w:tcPr>
            <w:tcW w:w="2167" w:type="dxa"/>
            <w:shd w:val="clear" w:color="auto" w:fill="D0CECE" w:themeFill="background2" w:themeFillShade="E6"/>
            <w:hideMark/>
          </w:tcPr>
          <w:p w:rsidR="00D53E7F" w:rsidRPr="00A528F4" w:rsidP="00A528F4" w14:paraId="0B4E9562" w14:textId="77777777">
            <w:pPr>
              <w:jc w:val="center"/>
              <w:rPr>
                <w:rFonts w:ascii="Times New Roman" w:hAnsi="Times New Roman"/>
                <w:b/>
                <w:bCs/>
                <w:sz w:val="22"/>
                <w:szCs w:val="22"/>
              </w:rPr>
            </w:pPr>
            <w:r w:rsidRPr="00A528F4">
              <w:rPr>
                <w:rFonts w:ascii="Times New Roman" w:hAnsi="Times New Roman"/>
                <w:b/>
                <w:bCs/>
                <w:sz w:val="22"/>
                <w:szCs w:val="22"/>
              </w:rPr>
              <w:t>Total Federal Government Wages</w:t>
            </w:r>
          </w:p>
        </w:tc>
      </w:tr>
      <w:tr w14:paraId="6A1698F6" w14:textId="77777777" w:rsidTr="00A528F4">
        <w:tblPrEx>
          <w:tblW w:w="0" w:type="auto"/>
          <w:jc w:val="center"/>
          <w:tblLook w:val="04A0"/>
        </w:tblPrEx>
        <w:trPr>
          <w:trHeight w:val="293"/>
          <w:jc w:val="center"/>
        </w:trPr>
        <w:tc>
          <w:tcPr>
            <w:tcW w:w="3798" w:type="dxa"/>
            <w:noWrap/>
            <w:hideMark/>
          </w:tcPr>
          <w:p w:rsidR="00D53E7F" w:rsidRPr="00A528F4" w:rsidP="00A528F4" w14:paraId="153A9B80" w14:textId="64E2C4E6">
            <w:pPr>
              <w:jc w:val="center"/>
              <w:rPr>
                <w:rFonts w:ascii="Times New Roman" w:hAnsi="Times New Roman"/>
                <w:sz w:val="22"/>
                <w:szCs w:val="22"/>
              </w:rPr>
            </w:pPr>
            <w:r w:rsidRPr="00A528F4">
              <w:rPr>
                <w:rFonts w:ascii="Times New Roman" w:hAnsi="Times New Roman"/>
                <w:sz w:val="22"/>
                <w:szCs w:val="22"/>
              </w:rPr>
              <w:t>$    4</w:t>
            </w:r>
            <w:r w:rsidR="00D322FE">
              <w:rPr>
                <w:rFonts w:ascii="Times New Roman" w:hAnsi="Times New Roman"/>
                <w:sz w:val="22"/>
                <w:szCs w:val="22"/>
              </w:rPr>
              <w:t>,</w:t>
            </w:r>
            <w:r w:rsidRPr="00A528F4">
              <w:rPr>
                <w:rFonts w:ascii="Times New Roman" w:hAnsi="Times New Roman"/>
                <w:sz w:val="22"/>
                <w:szCs w:val="22"/>
              </w:rPr>
              <w:t>833.3</w:t>
            </w:r>
            <w:r w:rsidR="008E7411">
              <w:rPr>
                <w:rFonts w:ascii="Times New Roman" w:hAnsi="Times New Roman"/>
                <w:sz w:val="22"/>
                <w:szCs w:val="22"/>
              </w:rPr>
              <w:t>3</w:t>
            </w:r>
          </w:p>
        </w:tc>
        <w:tc>
          <w:tcPr>
            <w:tcW w:w="1759" w:type="dxa"/>
            <w:noWrap/>
            <w:hideMark/>
          </w:tcPr>
          <w:p w:rsidR="00D53E7F" w:rsidRPr="00A528F4" w:rsidP="00A528F4" w14:paraId="046C3699" w14:textId="2F5691CF">
            <w:pPr>
              <w:jc w:val="center"/>
              <w:rPr>
                <w:rFonts w:ascii="Times New Roman" w:hAnsi="Times New Roman"/>
                <w:sz w:val="22"/>
                <w:szCs w:val="22"/>
              </w:rPr>
            </w:pPr>
            <w:r w:rsidRPr="00A528F4">
              <w:rPr>
                <w:rFonts w:ascii="Times New Roman" w:hAnsi="Times New Roman"/>
                <w:sz w:val="22"/>
                <w:szCs w:val="22"/>
              </w:rPr>
              <w:t>50</w:t>
            </w:r>
          </w:p>
        </w:tc>
        <w:tc>
          <w:tcPr>
            <w:tcW w:w="2167" w:type="dxa"/>
            <w:noWrap/>
            <w:hideMark/>
          </w:tcPr>
          <w:p w:rsidR="00D53E7F" w:rsidRPr="00A528F4" w:rsidP="00D53E7F" w14:paraId="46774ECB" w14:textId="5FEF6FE5">
            <w:pPr>
              <w:rPr>
                <w:rFonts w:ascii="Times New Roman" w:hAnsi="Times New Roman"/>
                <w:sz w:val="22"/>
                <w:szCs w:val="22"/>
              </w:rPr>
            </w:pPr>
            <w:r w:rsidRPr="00A528F4">
              <w:rPr>
                <w:rFonts w:ascii="Times New Roman" w:hAnsi="Times New Roman"/>
                <w:sz w:val="22"/>
                <w:szCs w:val="22"/>
              </w:rPr>
              <w:t>$          241,666.</w:t>
            </w:r>
            <w:r w:rsidR="008E7411">
              <w:rPr>
                <w:rFonts w:ascii="Times New Roman" w:hAnsi="Times New Roman"/>
                <w:sz w:val="22"/>
                <w:szCs w:val="22"/>
              </w:rPr>
              <w:t>5</w:t>
            </w:r>
            <w:r w:rsidRPr="00A528F4">
              <w:rPr>
                <w:rFonts w:ascii="Times New Roman" w:hAnsi="Times New Roman"/>
                <w:sz w:val="22"/>
                <w:szCs w:val="22"/>
              </w:rPr>
              <w:t>0</w:t>
            </w:r>
          </w:p>
        </w:tc>
      </w:tr>
    </w:tbl>
    <w:p w:rsidR="00D53E7F" w:rsidRPr="00BB37E7" w:rsidP="008E4B5F" w14:paraId="52341F08" w14:textId="77777777">
      <w:pPr>
        <w:rPr>
          <w:rFonts w:ascii="Times New Roman" w:hAnsi="Times New Roman"/>
          <w:sz w:val="24"/>
          <w:szCs w:val="24"/>
        </w:rPr>
      </w:pPr>
    </w:p>
    <w:p w:rsidR="00660F5B" w:rsidRPr="00A528F4" w:rsidP="00A528F4" w14:paraId="4FF86DD2" w14:textId="0B2D470E">
      <w:pPr>
        <w:pStyle w:val="ListParagraph"/>
        <w:numPr>
          <w:ilvl w:val="0"/>
          <w:numId w:val="48"/>
        </w:numPr>
        <w:rPr>
          <w:rFonts w:ascii="Times New Roman" w:hAnsi="Times New Roman"/>
          <w:b/>
          <w:sz w:val="24"/>
          <w:szCs w:val="24"/>
        </w:rPr>
      </w:pPr>
      <w:r w:rsidRPr="00A528F4">
        <w:rPr>
          <w:rFonts w:ascii="Times New Roman" w:hAnsi="Times New Roman"/>
          <w:b/>
          <w:sz w:val="24"/>
          <w:szCs w:val="24"/>
        </w:rPr>
        <w:t xml:space="preserve">Explanation of </w:t>
      </w:r>
      <w:r w:rsidRPr="00A528F4" w:rsidR="0034057D">
        <w:rPr>
          <w:rFonts w:ascii="Times New Roman" w:hAnsi="Times New Roman"/>
          <w:b/>
          <w:sz w:val="24"/>
          <w:szCs w:val="24"/>
        </w:rPr>
        <w:t xml:space="preserve">Program Changes </w:t>
      </w:r>
      <w:r w:rsidRPr="00A528F4">
        <w:rPr>
          <w:rFonts w:ascii="Times New Roman" w:hAnsi="Times New Roman"/>
          <w:b/>
          <w:sz w:val="24"/>
          <w:szCs w:val="24"/>
        </w:rPr>
        <w:t xml:space="preserve">or </w:t>
      </w:r>
      <w:r w:rsidRPr="00A528F4" w:rsidR="0034057D">
        <w:rPr>
          <w:rFonts w:ascii="Times New Roman" w:hAnsi="Times New Roman"/>
          <w:b/>
          <w:sz w:val="24"/>
          <w:szCs w:val="24"/>
        </w:rPr>
        <w:t>Adjustments</w:t>
      </w:r>
      <w:r w:rsidRPr="00A528F4" w:rsidR="009D4F72">
        <w:rPr>
          <w:rFonts w:ascii="Times New Roman" w:hAnsi="Times New Roman"/>
          <w:b/>
          <w:sz w:val="24"/>
          <w:szCs w:val="24"/>
        </w:rPr>
        <w:t xml:space="preserve"> </w:t>
      </w:r>
      <w:bookmarkStart w:id="4" w:name="_Hlk62468575"/>
    </w:p>
    <w:p w:rsidR="00660F5B" w:rsidRPr="00A528F4" w:rsidP="00660F5B" w14:paraId="15BB4D32" w14:textId="77777777">
      <w:pPr>
        <w:ind w:left="720"/>
        <w:rPr>
          <w:rFonts w:ascii="Times New Roman" w:hAnsi="Times New Roman"/>
          <w:sz w:val="24"/>
          <w:szCs w:val="24"/>
        </w:rPr>
      </w:pPr>
    </w:p>
    <w:p w:rsidR="00D0108E" w:rsidRPr="00660F5B" w:rsidP="00A528F4" w14:paraId="12C7509F" w14:textId="6D603EA1">
      <w:pPr>
        <w:ind w:left="360"/>
        <w:rPr>
          <w:rFonts w:ascii="Times New Roman" w:hAnsi="Times New Roman"/>
          <w:sz w:val="24"/>
          <w:szCs w:val="24"/>
        </w:rPr>
      </w:pPr>
      <w:r>
        <w:rPr>
          <w:rFonts w:ascii="Times New Roman" w:hAnsi="Times New Roman"/>
          <w:sz w:val="24"/>
          <w:szCs w:val="24"/>
        </w:rPr>
        <w:t xml:space="preserve">Since the last </w:t>
      </w:r>
      <w:r w:rsidR="008E7411">
        <w:rPr>
          <w:rFonts w:ascii="Times New Roman" w:hAnsi="Times New Roman"/>
          <w:sz w:val="24"/>
          <w:szCs w:val="24"/>
        </w:rPr>
        <w:t>renewal</w:t>
      </w:r>
      <w:r>
        <w:rPr>
          <w:rFonts w:ascii="Times New Roman" w:hAnsi="Times New Roman"/>
          <w:sz w:val="24"/>
          <w:szCs w:val="24"/>
        </w:rPr>
        <w:t xml:space="preserve"> of the collection, the CoE authorizing legislation revised institution eligibility categories and duration of designation. Applicant responsibilities to the collection of information activity remain the same. </w:t>
      </w:r>
      <w:r w:rsidRPr="00660F5B">
        <w:rPr>
          <w:rFonts w:ascii="Times New Roman" w:hAnsi="Times New Roman"/>
          <w:sz w:val="24"/>
          <w:szCs w:val="24"/>
        </w:rPr>
        <w:t>The actual number of responses received was lower than the number estimated in the previously approved collection</w:t>
      </w:r>
      <w:r w:rsidR="0034057D">
        <w:rPr>
          <w:rFonts w:ascii="Times New Roman" w:hAnsi="Times New Roman"/>
          <w:sz w:val="24"/>
          <w:szCs w:val="24"/>
        </w:rPr>
        <w:t>. G</w:t>
      </w:r>
      <w:r>
        <w:rPr>
          <w:rFonts w:ascii="Times New Roman" w:hAnsi="Times New Roman"/>
          <w:sz w:val="24"/>
          <w:szCs w:val="24"/>
        </w:rPr>
        <w:t xml:space="preserve">iven </w:t>
      </w:r>
      <w:r w:rsidR="00972B82">
        <w:rPr>
          <w:rFonts w:ascii="Times New Roman" w:hAnsi="Times New Roman"/>
          <w:sz w:val="24"/>
          <w:szCs w:val="24"/>
        </w:rPr>
        <w:t xml:space="preserve">the </w:t>
      </w:r>
      <w:r>
        <w:rPr>
          <w:rFonts w:ascii="Times New Roman" w:hAnsi="Times New Roman"/>
          <w:sz w:val="24"/>
          <w:szCs w:val="24"/>
        </w:rPr>
        <w:t>change in designation duration</w:t>
      </w:r>
      <w:r w:rsidRPr="00660F5B">
        <w:rPr>
          <w:rFonts w:ascii="Times New Roman" w:hAnsi="Times New Roman"/>
          <w:sz w:val="24"/>
          <w:szCs w:val="24"/>
        </w:rPr>
        <w:t xml:space="preserve">, the estimated </w:t>
      </w:r>
      <w:r w:rsidR="00D516DE">
        <w:rPr>
          <w:rFonts w:ascii="Times New Roman" w:hAnsi="Times New Roman"/>
          <w:sz w:val="24"/>
          <w:szCs w:val="24"/>
        </w:rPr>
        <w:t>total</w:t>
      </w:r>
      <w:r w:rsidRPr="00660F5B">
        <w:rPr>
          <w:rFonts w:ascii="Times New Roman" w:hAnsi="Times New Roman"/>
          <w:sz w:val="24"/>
          <w:szCs w:val="24"/>
        </w:rPr>
        <w:t xml:space="preserve"> </w:t>
      </w:r>
      <w:r w:rsidR="008E7411">
        <w:rPr>
          <w:rFonts w:ascii="Times New Roman" w:hAnsi="Times New Roman"/>
          <w:sz w:val="24"/>
          <w:szCs w:val="24"/>
        </w:rPr>
        <w:t>respondents and</w:t>
      </w:r>
      <w:r w:rsidRPr="00660F5B">
        <w:rPr>
          <w:rFonts w:ascii="Times New Roman" w:hAnsi="Times New Roman"/>
          <w:sz w:val="24"/>
          <w:szCs w:val="24"/>
        </w:rPr>
        <w:t xml:space="preserve"> responses </w:t>
      </w:r>
      <w:r w:rsidR="008E7411">
        <w:rPr>
          <w:rFonts w:ascii="Times New Roman" w:hAnsi="Times New Roman"/>
          <w:sz w:val="24"/>
          <w:szCs w:val="24"/>
        </w:rPr>
        <w:t>were</w:t>
      </w:r>
      <w:r w:rsidRPr="00660F5B">
        <w:rPr>
          <w:rFonts w:ascii="Times New Roman" w:hAnsi="Times New Roman"/>
          <w:sz w:val="24"/>
          <w:szCs w:val="24"/>
        </w:rPr>
        <w:t xml:space="preserve"> reduced </w:t>
      </w:r>
      <w:r w:rsidR="008E7411">
        <w:rPr>
          <w:rFonts w:ascii="Times New Roman" w:hAnsi="Times New Roman"/>
          <w:sz w:val="24"/>
          <w:szCs w:val="24"/>
        </w:rPr>
        <w:t xml:space="preserve">from 100 </w:t>
      </w:r>
      <w:r w:rsidRPr="00660F5B">
        <w:rPr>
          <w:rFonts w:ascii="Times New Roman" w:hAnsi="Times New Roman"/>
          <w:sz w:val="24"/>
          <w:szCs w:val="24"/>
        </w:rPr>
        <w:t xml:space="preserve">to </w:t>
      </w:r>
      <w:r>
        <w:rPr>
          <w:rFonts w:ascii="Times New Roman" w:hAnsi="Times New Roman"/>
          <w:sz w:val="24"/>
          <w:szCs w:val="24"/>
        </w:rPr>
        <w:t>5</w:t>
      </w:r>
      <w:r w:rsidRPr="00660F5B">
        <w:rPr>
          <w:rFonts w:ascii="Times New Roman" w:hAnsi="Times New Roman"/>
          <w:sz w:val="24"/>
          <w:szCs w:val="24"/>
        </w:rPr>
        <w:t xml:space="preserve">0. </w:t>
      </w:r>
      <w:r w:rsidR="008E7411">
        <w:rPr>
          <w:rFonts w:ascii="Times New Roman" w:hAnsi="Times New Roman"/>
          <w:sz w:val="24"/>
          <w:szCs w:val="24"/>
        </w:rPr>
        <w:t>Consequently, t</w:t>
      </w:r>
      <w:r w:rsidRPr="00660F5B">
        <w:rPr>
          <w:rFonts w:ascii="Times New Roman" w:hAnsi="Times New Roman"/>
          <w:sz w:val="24"/>
          <w:szCs w:val="24"/>
        </w:rPr>
        <w:t>he total annual</w:t>
      </w:r>
      <w:r w:rsidR="008E7411">
        <w:rPr>
          <w:rFonts w:ascii="Times New Roman" w:hAnsi="Times New Roman"/>
          <w:sz w:val="24"/>
          <w:szCs w:val="24"/>
        </w:rPr>
        <w:t xml:space="preserve"> estimated burden</w:t>
      </w:r>
      <w:r w:rsidRPr="00660F5B">
        <w:rPr>
          <w:rFonts w:ascii="Times New Roman" w:hAnsi="Times New Roman"/>
          <w:sz w:val="24"/>
          <w:szCs w:val="24"/>
        </w:rPr>
        <w:t xml:space="preserve"> hours </w:t>
      </w:r>
      <w:r w:rsidR="008E7411">
        <w:rPr>
          <w:rFonts w:ascii="Times New Roman" w:hAnsi="Times New Roman"/>
          <w:sz w:val="24"/>
          <w:szCs w:val="24"/>
        </w:rPr>
        <w:t>were reduced</w:t>
      </w:r>
      <w:r>
        <w:rPr>
          <w:rFonts w:ascii="Times New Roman" w:hAnsi="Times New Roman"/>
          <w:sz w:val="24"/>
          <w:szCs w:val="24"/>
        </w:rPr>
        <w:t xml:space="preserve"> from 4</w:t>
      </w:r>
      <w:r w:rsidR="00D322FE">
        <w:rPr>
          <w:rFonts w:ascii="Times New Roman" w:hAnsi="Times New Roman"/>
          <w:sz w:val="24"/>
          <w:szCs w:val="24"/>
        </w:rPr>
        <w:t>,</w:t>
      </w:r>
      <w:r>
        <w:rPr>
          <w:rFonts w:ascii="Times New Roman" w:hAnsi="Times New Roman"/>
          <w:sz w:val="24"/>
          <w:szCs w:val="24"/>
        </w:rPr>
        <w:t>800 to 2</w:t>
      </w:r>
      <w:r w:rsidR="00D322FE">
        <w:rPr>
          <w:rFonts w:ascii="Times New Roman" w:hAnsi="Times New Roman"/>
          <w:sz w:val="24"/>
          <w:szCs w:val="24"/>
        </w:rPr>
        <w:t>,</w:t>
      </w:r>
      <w:r>
        <w:rPr>
          <w:rFonts w:ascii="Times New Roman" w:hAnsi="Times New Roman"/>
          <w:sz w:val="24"/>
          <w:szCs w:val="24"/>
        </w:rPr>
        <w:t>400 hours.</w:t>
      </w:r>
    </w:p>
    <w:bookmarkEnd w:id="4"/>
    <w:p w:rsidR="0004749E" w:rsidRPr="00BB37E7" w14:paraId="2D0BF3D2" w14:textId="77777777">
      <w:pPr>
        <w:rPr>
          <w:rFonts w:ascii="Times New Roman" w:hAnsi="Times New Roman"/>
          <w:sz w:val="24"/>
          <w:szCs w:val="24"/>
        </w:rPr>
      </w:pPr>
    </w:p>
    <w:p w:rsidR="00105F8E" w:rsidRPr="00A528F4" w:rsidP="00A528F4" w14:paraId="3E9593BC" w14:textId="3F1BC6F9">
      <w:pPr>
        <w:pStyle w:val="ListParagraph"/>
        <w:numPr>
          <w:ilvl w:val="0"/>
          <w:numId w:val="48"/>
        </w:numPr>
        <w:rPr>
          <w:rFonts w:ascii="Times New Roman" w:hAnsi="Times New Roman"/>
          <w:b/>
          <w:sz w:val="24"/>
          <w:szCs w:val="24"/>
        </w:rPr>
      </w:pPr>
      <w:r w:rsidRPr="00A528F4">
        <w:rPr>
          <w:rFonts w:ascii="Times New Roman" w:hAnsi="Times New Roman"/>
          <w:b/>
          <w:sz w:val="24"/>
          <w:szCs w:val="24"/>
        </w:rPr>
        <w:t xml:space="preserve">Publication of </w:t>
      </w:r>
      <w:r w:rsidRPr="00A528F4" w:rsidR="0034057D">
        <w:rPr>
          <w:rFonts w:ascii="Times New Roman" w:hAnsi="Times New Roman"/>
          <w:b/>
          <w:sz w:val="24"/>
          <w:szCs w:val="24"/>
        </w:rPr>
        <w:t>Data Collection Results</w:t>
      </w:r>
      <w:r w:rsidRPr="00A528F4">
        <w:rPr>
          <w:rFonts w:ascii="Times New Roman" w:hAnsi="Times New Roman"/>
          <w:b/>
          <w:sz w:val="24"/>
          <w:szCs w:val="24"/>
        </w:rPr>
        <w:t>.</w:t>
      </w:r>
      <w:r w:rsidRPr="00A528F4">
        <w:rPr>
          <w:rFonts w:ascii="Times New Roman" w:hAnsi="Times New Roman"/>
          <w:b/>
          <w:sz w:val="24"/>
          <w:szCs w:val="24"/>
        </w:rPr>
        <w:t xml:space="preserve"> </w:t>
      </w:r>
      <w:r w:rsidRPr="00A528F4" w:rsidR="008D34A3">
        <w:rPr>
          <w:rFonts w:ascii="Times New Roman" w:hAnsi="Times New Roman"/>
          <w:b/>
          <w:sz w:val="24"/>
          <w:szCs w:val="24"/>
        </w:rPr>
        <w:t xml:space="preserve"> </w:t>
      </w:r>
    </w:p>
    <w:p w:rsidR="00F95515" w:rsidRPr="00BB37E7" w:rsidP="009D4F72" w14:paraId="0B5161F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2B6FD3" w:rsidRPr="00BB37E7" w:rsidP="00A528F4" w14:paraId="58760712" w14:textId="0B4DB4B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BB37E7">
        <w:rPr>
          <w:rFonts w:ascii="Times New Roman" w:hAnsi="Times New Roman"/>
          <w:color w:val="auto"/>
        </w:rPr>
        <w:t xml:space="preserve">The names of the designated CoEs and the effective period of the CoE designations will be published on the MARAD website at </w:t>
      </w:r>
      <w:hyperlink r:id="rId7" w:history="1">
        <w:r w:rsidRPr="00BB37E7">
          <w:rPr>
            <w:rStyle w:val="Hyperlink"/>
            <w:rFonts w:ascii="Times New Roman" w:hAnsi="Times New Roman"/>
            <w:color w:val="auto"/>
          </w:rPr>
          <w:t>www.marad.dot.gov</w:t>
        </w:r>
      </w:hyperlink>
      <w:r w:rsidRPr="00BB37E7">
        <w:rPr>
          <w:rFonts w:ascii="Times New Roman" w:hAnsi="Times New Roman"/>
          <w:color w:val="auto"/>
        </w:rPr>
        <w:t>. No complex analytical techniques will be utilized for collection or review of th</w:t>
      </w:r>
      <w:r w:rsidRPr="00BB37E7" w:rsidR="000F5CEB">
        <w:rPr>
          <w:rFonts w:ascii="Times New Roman" w:hAnsi="Times New Roman"/>
          <w:color w:val="auto"/>
        </w:rPr>
        <w:t>e collected</w:t>
      </w:r>
      <w:r w:rsidRPr="00BB37E7">
        <w:rPr>
          <w:rFonts w:ascii="Times New Roman" w:hAnsi="Times New Roman"/>
          <w:color w:val="auto"/>
        </w:rPr>
        <w:t xml:space="preserve"> information.</w:t>
      </w:r>
    </w:p>
    <w:p w:rsidR="002B6FD3" w:rsidRPr="00BB37E7" w:rsidP="00A528F4" w14:paraId="42FA234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7A388C" w:rsidP="00A528F4" w14:paraId="475C165E" w14:textId="27AD122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BB37E7">
        <w:rPr>
          <w:rFonts w:ascii="Times New Roman" w:hAnsi="Times New Roman"/>
          <w:color w:val="auto"/>
        </w:rPr>
        <w:t>The estimated time schedule is as follows:</w:t>
      </w:r>
    </w:p>
    <w:p w:rsidR="002B6FD3" w:rsidRPr="00BB37E7" w:rsidP="009D4F72" w14:paraId="64AC48B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995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7"/>
        <w:gridCol w:w="1991"/>
      </w:tblGrid>
      <w:tr w14:paraId="5DE76E23" w14:textId="77777777" w:rsidTr="008E7411">
        <w:tblPrEx>
          <w:tblW w:w="995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61"/>
        </w:trPr>
        <w:tc>
          <w:tcPr>
            <w:tcW w:w="7967" w:type="dxa"/>
            <w:shd w:val="clear" w:color="auto" w:fill="D0CECE" w:themeFill="background2" w:themeFillShade="E6"/>
          </w:tcPr>
          <w:p w:rsidR="00B9645E" w:rsidRPr="008E7411" w:rsidP="00B907C1" w14:paraId="406F2F8F" w14:textId="77777777">
            <w:pPr>
              <w:widowControl/>
              <w:autoSpaceDE/>
              <w:autoSpaceDN/>
              <w:adjustRightInd/>
              <w:jc w:val="center"/>
              <w:rPr>
                <w:rFonts w:ascii="Times New Roman" w:hAnsi="Times New Roman"/>
                <w:b/>
                <w:bCs/>
                <w:sz w:val="24"/>
                <w:szCs w:val="24"/>
              </w:rPr>
            </w:pPr>
            <w:r w:rsidRPr="008E7411">
              <w:rPr>
                <w:rFonts w:ascii="Times New Roman" w:hAnsi="Times New Roman"/>
                <w:b/>
                <w:bCs/>
                <w:sz w:val="24"/>
                <w:szCs w:val="24"/>
              </w:rPr>
              <w:t>Activity</w:t>
            </w:r>
          </w:p>
          <w:p w:rsidR="00B9645E" w:rsidRPr="008E7411" w:rsidP="002F6F6C" w14:paraId="048063E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rPr>
            </w:pPr>
          </w:p>
        </w:tc>
        <w:tc>
          <w:tcPr>
            <w:tcW w:w="1991" w:type="dxa"/>
            <w:shd w:val="clear" w:color="auto" w:fill="D0CECE" w:themeFill="background2" w:themeFillShade="E6"/>
          </w:tcPr>
          <w:p w:rsidR="00B9645E" w:rsidRPr="008E7411" w:rsidP="002F6F6C" w14:paraId="4C867947" w14:textId="77777777">
            <w:pPr>
              <w:widowControl/>
              <w:autoSpaceDE/>
              <w:autoSpaceDN/>
              <w:adjustRightInd/>
              <w:jc w:val="center"/>
              <w:rPr>
                <w:rFonts w:ascii="Times New Roman" w:hAnsi="Times New Roman"/>
              </w:rPr>
            </w:pPr>
            <w:r w:rsidRPr="008E7411">
              <w:rPr>
                <w:rFonts w:ascii="Times New Roman" w:hAnsi="Times New Roman"/>
                <w:b/>
                <w:bCs/>
                <w:sz w:val="24"/>
                <w:szCs w:val="24"/>
              </w:rPr>
              <w:t>Estimated Completion Date</w:t>
            </w:r>
          </w:p>
        </w:tc>
      </w:tr>
      <w:tr w14:paraId="4AE43C99" w14:textId="77777777" w:rsidTr="008E7411">
        <w:tblPrEx>
          <w:tblW w:w="9958" w:type="dxa"/>
          <w:tblInd w:w="198" w:type="dxa"/>
          <w:tblLook w:val="04A0"/>
        </w:tblPrEx>
        <w:trPr>
          <w:trHeight w:val="340"/>
        </w:trPr>
        <w:tc>
          <w:tcPr>
            <w:tcW w:w="7967" w:type="dxa"/>
            <w:shd w:val="clear" w:color="auto" w:fill="auto"/>
          </w:tcPr>
          <w:p w:rsidR="00B9645E" w:rsidRPr="00BB37E7" w:rsidP="00E52D4D" w14:paraId="12790A49" w14:textId="7648EE59">
            <w:pPr>
              <w:widowControl/>
              <w:autoSpaceDE/>
              <w:autoSpaceDN/>
              <w:adjustRightInd/>
              <w:rPr>
                <w:rFonts w:ascii="Times New Roman" w:hAnsi="Times New Roman"/>
                <w:sz w:val="24"/>
                <w:szCs w:val="24"/>
              </w:rPr>
            </w:pPr>
            <w:r w:rsidRPr="00BB37E7">
              <w:rPr>
                <w:rFonts w:ascii="Times New Roman" w:hAnsi="Times New Roman"/>
                <w:bCs/>
                <w:sz w:val="24"/>
                <w:szCs w:val="24"/>
              </w:rPr>
              <w:t xml:space="preserve">Publish 60-day FRN, </w:t>
            </w:r>
            <w:r w:rsidRPr="00972B82" w:rsidR="00D0108E">
              <w:rPr>
                <w:rFonts w:ascii="Times New Roman" w:hAnsi="Times New Roman"/>
                <w:bCs/>
                <w:color w:val="FF0000"/>
                <w:sz w:val="24"/>
                <w:szCs w:val="24"/>
              </w:rPr>
              <w:t>XX</w:t>
            </w:r>
            <w:r w:rsidR="00D0108E">
              <w:rPr>
                <w:rFonts w:ascii="Times New Roman" w:hAnsi="Times New Roman"/>
                <w:bCs/>
                <w:sz w:val="24"/>
                <w:szCs w:val="24"/>
              </w:rPr>
              <w:t xml:space="preserve"> </w:t>
            </w:r>
            <w:r w:rsidR="00180190">
              <w:rPr>
                <w:rFonts w:ascii="Times New Roman" w:hAnsi="Times New Roman"/>
                <w:snapToGrid w:val="0"/>
                <w:sz w:val="24"/>
              </w:rPr>
              <w:t xml:space="preserve">FR </w:t>
            </w:r>
            <w:r w:rsidRPr="00972B82" w:rsidR="00D0108E">
              <w:rPr>
                <w:rFonts w:ascii="Times New Roman" w:hAnsi="Times New Roman"/>
                <w:snapToGrid w:val="0"/>
                <w:color w:val="FF0000"/>
                <w:sz w:val="24"/>
              </w:rPr>
              <w:t>XXXXX</w:t>
            </w:r>
            <w:r w:rsidR="00D0108E">
              <w:rPr>
                <w:rFonts w:ascii="Times New Roman" w:hAnsi="Times New Roman"/>
                <w:snapToGrid w:val="0"/>
                <w:sz w:val="24"/>
              </w:rPr>
              <w:t xml:space="preserve"> </w:t>
            </w:r>
            <w:r w:rsidRPr="00BB37E7">
              <w:rPr>
                <w:rFonts w:ascii="Times New Roman" w:hAnsi="Times New Roman"/>
                <w:bCs/>
                <w:sz w:val="24"/>
                <w:szCs w:val="24"/>
              </w:rPr>
              <w:t>, to solicit comments on CoE ICR</w:t>
            </w:r>
            <w:r w:rsidRPr="00BB37E7">
              <w:rPr>
                <w:rFonts w:ascii="Times New Roman" w:hAnsi="Times New Roman"/>
                <w:sz w:val="24"/>
                <w:szCs w:val="24"/>
              </w:rPr>
              <w:t xml:space="preserve"> </w:t>
            </w:r>
          </w:p>
        </w:tc>
        <w:tc>
          <w:tcPr>
            <w:tcW w:w="1991" w:type="dxa"/>
            <w:shd w:val="clear" w:color="auto" w:fill="auto"/>
          </w:tcPr>
          <w:p w:rsidR="00B9645E" w:rsidRPr="00BB37E7" w:rsidP="00264582" w14:paraId="488C56A1" w14:textId="6EE88519">
            <w:pPr>
              <w:widowControl/>
              <w:autoSpaceDE/>
              <w:autoSpaceDN/>
              <w:adjustRightInd/>
              <w:jc w:val="center"/>
              <w:rPr>
                <w:rFonts w:ascii="Times New Roman" w:hAnsi="Times New Roman"/>
                <w:sz w:val="24"/>
                <w:szCs w:val="24"/>
              </w:rPr>
            </w:pPr>
            <w:r>
              <w:rPr>
                <w:rFonts w:ascii="Times New Roman" w:hAnsi="Times New Roman"/>
                <w:bCs/>
                <w:sz w:val="24"/>
                <w:szCs w:val="24"/>
              </w:rPr>
              <w:t>X</w:t>
            </w:r>
            <w:r w:rsidRPr="00BB37E7">
              <w:rPr>
                <w:rFonts w:ascii="Times New Roman" w:hAnsi="Times New Roman"/>
                <w:bCs/>
                <w:sz w:val="24"/>
                <w:szCs w:val="24"/>
              </w:rPr>
              <w:t>-</w:t>
            </w:r>
            <w:r>
              <w:rPr>
                <w:rFonts w:ascii="Times New Roman" w:hAnsi="Times New Roman"/>
                <w:bCs/>
                <w:sz w:val="24"/>
                <w:szCs w:val="24"/>
              </w:rPr>
              <w:t>Sept</w:t>
            </w:r>
            <w:r w:rsidRPr="00BB37E7" w:rsidR="00972B82">
              <w:rPr>
                <w:rFonts w:ascii="Times New Roman" w:hAnsi="Times New Roman"/>
                <w:bCs/>
                <w:sz w:val="24"/>
                <w:szCs w:val="24"/>
              </w:rPr>
              <w:t>-</w:t>
            </w:r>
            <w:r>
              <w:rPr>
                <w:rFonts w:ascii="Times New Roman" w:hAnsi="Times New Roman"/>
                <w:bCs/>
                <w:sz w:val="24"/>
                <w:szCs w:val="24"/>
              </w:rPr>
              <w:t>24</w:t>
            </w:r>
          </w:p>
        </w:tc>
      </w:tr>
      <w:tr w14:paraId="31DDD0CD" w14:textId="77777777" w:rsidTr="008E7411">
        <w:tblPrEx>
          <w:tblW w:w="9958" w:type="dxa"/>
          <w:tblInd w:w="198" w:type="dxa"/>
          <w:tblLook w:val="04A0"/>
        </w:tblPrEx>
        <w:trPr>
          <w:trHeight w:val="410"/>
        </w:trPr>
        <w:tc>
          <w:tcPr>
            <w:tcW w:w="7967" w:type="dxa"/>
            <w:shd w:val="clear" w:color="auto" w:fill="auto"/>
          </w:tcPr>
          <w:p w:rsidR="00B9645E" w:rsidRPr="00BB37E7" w:rsidP="00E52D4D" w14:paraId="30F598D1"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60-day FRN Comments Due to MARAD</w:t>
            </w:r>
          </w:p>
        </w:tc>
        <w:tc>
          <w:tcPr>
            <w:tcW w:w="1991" w:type="dxa"/>
            <w:shd w:val="clear" w:color="auto" w:fill="auto"/>
          </w:tcPr>
          <w:p w:rsidR="00B9645E" w:rsidRPr="00BB37E7" w:rsidP="0088018F" w14:paraId="58F45E98" w14:textId="0C115DCB">
            <w:pPr>
              <w:widowControl/>
              <w:autoSpaceDE/>
              <w:autoSpaceDN/>
              <w:adjustRightInd/>
              <w:jc w:val="center"/>
              <w:rPr>
                <w:rFonts w:ascii="Times New Roman" w:hAnsi="Times New Roman"/>
                <w:sz w:val="24"/>
                <w:szCs w:val="24"/>
              </w:rPr>
            </w:pPr>
            <w:r>
              <w:rPr>
                <w:rFonts w:ascii="Times New Roman" w:hAnsi="Times New Roman"/>
                <w:sz w:val="24"/>
                <w:szCs w:val="24"/>
              </w:rPr>
              <w:t>X</w:t>
            </w:r>
            <w:r w:rsidRPr="00BB37E7">
              <w:rPr>
                <w:rFonts w:ascii="Times New Roman" w:hAnsi="Times New Roman"/>
                <w:sz w:val="24"/>
                <w:szCs w:val="24"/>
              </w:rPr>
              <w:t>-</w:t>
            </w:r>
            <w:r w:rsidR="00D0108E">
              <w:rPr>
                <w:rFonts w:ascii="Times New Roman" w:hAnsi="Times New Roman"/>
                <w:sz w:val="24"/>
                <w:szCs w:val="24"/>
              </w:rPr>
              <w:t>Nov</w:t>
            </w:r>
            <w:r w:rsidRPr="00BB37E7">
              <w:rPr>
                <w:rFonts w:ascii="Times New Roman" w:hAnsi="Times New Roman"/>
                <w:sz w:val="24"/>
                <w:szCs w:val="24"/>
              </w:rPr>
              <w:t>-2</w:t>
            </w:r>
            <w:r w:rsidR="00D0108E">
              <w:rPr>
                <w:rFonts w:ascii="Times New Roman" w:hAnsi="Times New Roman"/>
                <w:sz w:val="24"/>
                <w:szCs w:val="24"/>
              </w:rPr>
              <w:t>4</w:t>
            </w:r>
          </w:p>
        </w:tc>
      </w:tr>
      <w:tr w14:paraId="05239142" w14:textId="77777777" w:rsidTr="008E7411">
        <w:tblPrEx>
          <w:tblW w:w="9958" w:type="dxa"/>
          <w:tblInd w:w="198" w:type="dxa"/>
          <w:tblLook w:val="04A0"/>
        </w:tblPrEx>
        <w:trPr>
          <w:cantSplit/>
          <w:trHeight w:val="340"/>
        </w:trPr>
        <w:tc>
          <w:tcPr>
            <w:tcW w:w="7967" w:type="dxa"/>
            <w:shd w:val="clear" w:color="auto" w:fill="auto"/>
          </w:tcPr>
          <w:p w:rsidR="00264582" w:rsidRPr="00BB37E7" w:rsidP="00264582" w14:paraId="25A00B50" w14:textId="3B15C504">
            <w:pPr>
              <w:widowControl/>
              <w:autoSpaceDE/>
              <w:autoSpaceDN/>
              <w:adjustRightInd/>
              <w:rPr>
                <w:rFonts w:ascii="Times New Roman" w:hAnsi="Times New Roman"/>
                <w:sz w:val="24"/>
                <w:szCs w:val="24"/>
              </w:rPr>
            </w:pPr>
            <w:r w:rsidRPr="00BB37E7">
              <w:rPr>
                <w:rFonts w:ascii="Times New Roman" w:hAnsi="Times New Roman"/>
                <w:bCs/>
                <w:sz w:val="24"/>
                <w:szCs w:val="24"/>
              </w:rPr>
              <w:t>Publish 2</w:t>
            </w:r>
            <w:r w:rsidRPr="00BB37E7">
              <w:rPr>
                <w:rFonts w:ascii="Times New Roman" w:hAnsi="Times New Roman"/>
                <w:bCs/>
                <w:sz w:val="24"/>
                <w:szCs w:val="24"/>
                <w:vertAlign w:val="superscript"/>
              </w:rPr>
              <w:t>nd</w:t>
            </w:r>
            <w:r w:rsidRPr="00BB37E7">
              <w:rPr>
                <w:rFonts w:ascii="Times New Roman" w:hAnsi="Times New Roman"/>
                <w:bCs/>
                <w:sz w:val="24"/>
                <w:szCs w:val="24"/>
              </w:rPr>
              <w:t xml:space="preserve"> (30-day) FRN, </w:t>
            </w:r>
            <w:r w:rsidR="00D0108E">
              <w:rPr>
                <w:rFonts w:ascii="Times New Roman" w:hAnsi="Times New Roman"/>
                <w:bCs/>
                <w:sz w:val="24"/>
                <w:szCs w:val="24"/>
              </w:rPr>
              <w:t xml:space="preserve">XX </w:t>
            </w:r>
            <w:r w:rsidR="00180190">
              <w:rPr>
                <w:rFonts w:ascii="Times New Roman" w:hAnsi="Times New Roman"/>
                <w:snapToGrid w:val="0"/>
                <w:sz w:val="24"/>
              </w:rPr>
              <w:t xml:space="preserve">FR </w:t>
            </w:r>
            <w:r w:rsidR="00D0108E">
              <w:rPr>
                <w:rFonts w:ascii="Times New Roman" w:hAnsi="Times New Roman"/>
                <w:snapToGrid w:val="0"/>
                <w:sz w:val="24"/>
              </w:rPr>
              <w:t>XXXXX</w:t>
            </w:r>
            <w:r w:rsidRPr="00BB37E7">
              <w:rPr>
                <w:rFonts w:ascii="Times New Roman" w:hAnsi="Times New Roman"/>
                <w:bCs/>
                <w:sz w:val="24"/>
                <w:szCs w:val="24"/>
              </w:rPr>
              <w:t>, to solicit ICR comments to OMB</w:t>
            </w:r>
          </w:p>
        </w:tc>
        <w:tc>
          <w:tcPr>
            <w:tcW w:w="1991" w:type="dxa"/>
            <w:shd w:val="clear" w:color="auto" w:fill="auto"/>
          </w:tcPr>
          <w:p w:rsidR="00264582" w:rsidRPr="00BB37E7" w:rsidP="00264582" w14:paraId="07DEB071" w14:textId="0D282634">
            <w:pPr>
              <w:widowControl/>
              <w:autoSpaceDE/>
              <w:autoSpaceDN/>
              <w:adjustRightInd/>
              <w:jc w:val="center"/>
              <w:rPr>
                <w:rFonts w:ascii="Times New Roman" w:hAnsi="Times New Roman"/>
                <w:bCs/>
                <w:sz w:val="24"/>
                <w:szCs w:val="24"/>
              </w:rPr>
            </w:pPr>
            <w:r>
              <w:rPr>
                <w:rFonts w:ascii="Times New Roman" w:hAnsi="Times New Roman"/>
                <w:bCs/>
                <w:sz w:val="24"/>
                <w:szCs w:val="24"/>
              </w:rPr>
              <w:t>X</w:t>
            </w:r>
            <w:r w:rsidRPr="00BB37E7" w:rsidR="00252BFB">
              <w:rPr>
                <w:rFonts w:ascii="Times New Roman" w:hAnsi="Times New Roman"/>
                <w:bCs/>
                <w:sz w:val="24"/>
                <w:szCs w:val="24"/>
              </w:rPr>
              <w:t>-</w:t>
            </w:r>
            <w:r>
              <w:rPr>
                <w:rFonts w:ascii="Times New Roman" w:hAnsi="Times New Roman"/>
                <w:bCs/>
                <w:sz w:val="24"/>
                <w:szCs w:val="24"/>
              </w:rPr>
              <w:t>Nov</w:t>
            </w:r>
            <w:r w:rsidRPr="00BB37E7">
              <w:rPr>
                <w:rFonts w:ascii="Times New Roman" w:hAnsi="Times New Roman"/>
                <w:bCs/>
                <w:sz w:val="24"/>
                <w:szCs w:val="24"/>
              </w:rPr>
              <w:t>-2</w:t>
            </w:r>
            <w:r>
              <w:rPr>
                <w:rFonts w:ascii="Times New Roman" w:hAnsi="Times New Roman"/>
                <w:bCs/>
                <w:sz w:val="24"/>
                <w:szCs w:val="24"/>
              </w:rPr>
              <w:t>4</w:t>
            </w:r>
          </w:p>
        </w:tc>
      </w:tr>
      <w:tr w14:paraId="1B8C3CCB" w14:textId="77777777" w:rsidTr="008E7411">
        <w:tblPrEx>
          <w:tblW w:w="9958" w:type="dxa"/>
          <w:tblInd w:w="198" w:type="dxa"/>
          <w:tblLook w:val="04A0"/>
        </w:tblPrEx>
        <w:trPr>
          <w:cantSplit/>
          <w:trHeight w:val="340"/>
        </w:trPr>
        <w:tc>
          <w:tcPr>
            <w:tcW w:w="7967" w:type="dxa"/>
            <w:shd w:val="clear" w:color="auto" w:fill="auto"/>
          </w:tcPr>
          <w:p w:rsidR="00B9645E" w:rsidRPr="00BB37E7" w:rsidP="00E10E5F" w14:paraId="408838EA" w14:textId="77777777">
            <w:pPr>
              <w:widowControl/>
              <w:autoSpaceDE/>
              <w:autoSpaceDN/>
              <w:adjustRightInd/>
              <w:rPr>
                <w:rFonts w:ascii="Times New Roman" w:hAnsi="Times New Roman"/>
                <w:sz w:val="24"/>
                <w:szCs w:val="24"/>
              </w:rPr>
            </w:pPr>
            <w:r w:rsidRPr="00BB37E7">
              <w:rPr>
                <w:rFonts w:ascii="Times New Roman" w:hAnsi="Times New Roman"/>
                <w:sz w:val="24"/>
                <w:szCs w:val="24"/>
              </w:rPr>
              <w:t>2nd FRN (30-day) Comments Due to OMB</w:t>
            </w:r>
          </w:p>
        </w:tc>
        <w:tc>
          <w:tcPr>
            <w:tcW w:w="1991" w:type="dxa"/>
            <w:shd w:val="clear" w:color="auto" w:fill="auto"/>
          </w:tcPr>
          <w:p w:rsidR="00B9645E" w:rsidRPr="00BB37E7" w:rsidP="00EE2B35" w14:paraId="44FC3BBB" w14:textId="2907A106">
            <w:pPr>
              <w:widowControl/>
              <w:autoSpaceDE/>
              <w:autoSpaceDN/>
              <w:adjustRightInd/>
              <w:jc w:val="center"/>
              <w:rPr>
                <w:rFonts w:ascii="Times New Roman" w:hAnsi="Times New Roman"/>
                <w:sz w:val="24"/>
                <w:szCs w:val="24"/>
              </w:rPr>
            </w:pPr>
            <w:r>
              <w:rPr>
                <w:rFonts w:ascii="Times New Roman" w:hAnsi="Times New Roman"/>
                <w:sz w:val="24"/>
                <w:szCs w:val="24"/>
              </w:rPr>
              <w:t>X</w:t>
            </w:r>
            <w:r w:rsidRPr="00BB37E7" w:rsidR="00400EDA">
              <w:rPr>
                <w:rFonts w:ascii="Times New Roman" w:hAnsi="Times New Roman"/>
                <w:sz w:val="24"/>
                <w:szCs w:val="24"/>
              </w:rPr>
              <w:t>-</w:t>
            </w:r>
            <w:r>
              <w:rPr>
                <w:rFonts w:ascii="Times New Roman" w:hAnsi="Times New Roman"/>
                <w:sz w:val="24"/>
                <w:szCs w:val="24"/>
              </w:rPr>
              <w:t>Dec</w:t>
            </w:r>
            <w:r w:rsidRPr="00BB37E7" w:rsidR="00400EDA">
              <w:rPr>
                <w:rFonts w:ascii="Times New Roman" w:hAnsi="Times New Roman"/>
                <w:sz w:val="24"/>
                <w:szCs w:val="24"/>
              </w:rPr>
              <w:t>-2</w:t>
            </w:r>
            <w:r>
              <w:rPr>
                <w:rFonts w:ascii="Times New Roman" w:hAnsi="Times New Roman"/>
                <w:sz w:val="24"/>
                <w:szCs w:val="24"/>
              </w:rPr>
              <w:t>4</w:t>
            </w:r>
          </w:p>
        </w:tc>
      </w:tr>
      <w:tr w14:paraId="1B1C44E2" w14:textId="77777777" w:rsidTr="008E7411">
        <w:tblPrEx>
          <w:tblW w:w="9958" w:type="dxa"/>
          <w:tblInd w:w="198" w:type="dxa"/>
          <w:tblLook w:val="04A0"/>
        </w:tblPrEx>
        <w:trPr>
          <w:cantSplit/>
          <w:trHeight w:val="332"/>
        </w:trPr>
        <w:tc>
          <w:tcPr>
            <w:tcW w:w="7967" w:type="dxa"/>
            <w:shd w:val="clear" w:color="auto" w:fill="auto"/>
          </w:tcPr>
          <w:p w:rsidR="00264582" w:rsidRPr="00BB37E7" w:rsidP="00264582" w14:paraId="6E04F2A3"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OMB Approval for Information Collection Number Received – for 3 years</w:t>
            </w:r>
          </w:p>
        </w:tc>
        <w:tc>
          <w:tcPr>
            <w:tcW w:w="1991" w:type="dxa"/>
            <w:shd w:val="clear" w:color="auto" w:fill="auto"/>
          </w:tcPr>
          <w:p w:rsidR="00264582" w:rsidRPr="00BB37E7" w:rsidP="00264582" w14:paraId="4EDD4E93" w14:textId="5FA23659">
            <w:pPr>
              <w:widowControl/>
              <w:autoSpaceDE/>
              <w:autoSpaceDN/>
              <w:adjustRightInd/>
              <w:jc w:val="center"/>
              <w:rPr>
                <w:rFonts w:ascii="Times New Roman" w:hAnsi="Times New Roman"/>
                <w:bCs/>
                <w:sz w:val="24"/>
                <w:szCs w:val="24"/>
              </w:rPr>
            </w:pPr>
            <w:r>
              <w:rPr>
                <w:rFonts w:ascii="Times New Roman" w:hAnsi="Times New Roman"/>
                <w:bCs/>
                <w:sz w:val="24"/>
                <w:szCs w:val="24"/>
              </w:rPr>
              <w:t>X</w:t>
            </w:r>
            <w:r w:rsidRPr="00BB37E7" w:rsidR="00400EDA">
              <w:rPr>
                <w:rFonts w:ascii="Times New Roman" w:hAnsi="Times New Roman"/>
                <w:bCs/>
                <w:sz w:val="24"/>
                <w:szCs w:val="24"/>
              </w:rPr>
              <w:t>-</w:t>
            </w:r>
            <w:r>
              <w:rPr>
                <w:rFonts w:ascii="Times New Roman" w:hAnsi="Times New Roman"/>
                <w:bCs/>
                <w:sz w:val="24"/>
                <w:szCs w:val="24"/>
              </w:rPr>
              <w:t>Jan</w:t>
            </w:r>
            <w:r w:rsidRPr="00BB37E7" w:rsidR="00400EDA">
              <w:rPr>
                <w:rFonts w:ascii="Times New Roman" w:hAnsi="Times New Roman"/>
                <w:bCs/>
                <w:sz w:val="24"/>
                <w:szCs w:val="24"/>
              </w:rPr>
              <w:t>-2</w:t>
            </w:r>
            <w:r>
              <w:rPr>
                <w:rFonts w:ascii="Times New Roman" w:hAnsi="Times New Roman"/>
                <w:bCs/>
                <w:sz w:val="24"/>
                <w:szCs w:val="24"/>
              </w:rPr>
              <w:t>5</w:t>
            </w:r>
          </w:p>
        </w:tc>
      </w:tr>
      <w:tr w14:paraId="313DC4B7" w14:textId="77777777" w:rsidTr="008E7411">
        <w:tblPrEx>
          <w:tblW w:w="9958" w:type="dxa"/>
          <w:tblInd w:w="198" w:type="dxa"/>
          <w:tblLook w:val="04A0"/>
        </w:tblPrEx>
        <w:trPr>
          <w:cantSplit/>
          <w:trHeight w:val="340"/>
        </w:trPr>
        <w:tc>
          <w:tcPr>
            <w:tcW w:w="7967" w:type="dxa"/>
            <w:shd w:val="clear" w:color="auto" w:fill="auto"/>
          </w:tcPr>
          <w:p w:rsidR="00264582" w:rsidRPr="00BB37E7" w:rsidP="00264582" w14:paraId="268B3FA9" w14:textId="77777777">
            <w:pPr>
              <w:widowControl/>
              <w:autoSpaceDE/>
              <w:autoSpaceDN/>
              <w:adjustRightInd/>
              <w:rPr>
                <w:rFonts w:ascii="Times New Roman" w:hAnsi="Times New Roman"/>
                <w:sz w:val="24"/>
                <w:szCs w:val="24"/>
              </w:rPr>
            </w:pPr>
            <w:r w:rsidRPr="00BB37E7">
              <w:rPr>
                <w:rFonts w:ascii="Times New Roman" w:hAnsi="Times New Roman"/>
                <w:bCs/>
                <w:sz w:val="24"/>
                <w:szCs w:val="24"/>
              </w:rPr>
              <w:t>Publish FRN Inviting CoE Applications</w:t>
            </w:r>
          </w:p>
        </w:tc>
        <w:tc>
          <w:tcPr>
            <w:tcW w:w="1991" w:type="dxa"/>
            <w:shd w:val="clear" w:color="auto" w:fill="auto"/>
          </w:tcPr>
          <w:p w:rsidR="00264582" w:rsidRPr="00BB37E7" w:rsidP="00264582" w14:paraId="4715FAA7" w14:textId="59639B15">
            <w:pPr>
              <w:widowControl/>
              <w:autoSpaceDE/>
              <w:autoSpaceDN/>
              <w:adjustRightInd/>
              <w:jc w:val="center"/>
              <w:rPr>
                <w:rFonts w:ascii="Times New Roman" w:hAnsi="Times New Roman"/>
                <w:bCs/>
                <w:sz w:val="24"/>
                <w:szCs w:val="24"/>
              </w:rPr>
            </w:pPr>
            <w:r>
              <w:rPr>
                <w:rFonts w:ascii="Times New Roman" w:hAnsi="Times New Roman"/>
                <w:bCs/>
                <w:sz w:val="24"/>
                <w:szCs w:val="24"/>
              </w:rPr>
              <w:t>X</w:t>
            </w:r>
            <w:r w:rsidRPr="00BB37E7" w:rsidR="004B1961">
              <w:rPr>
                <w:rFonts w:ascii="Times New Roman" w:hAnsi="Times New Roman"/>
                <w:bCs/>
                <w:sz w:val="24"/>
                <w:szCs w:val="24"/>
              </w:rPr>
              <w:t>-</w:t>
            </w:r>
            <w:r>
              <w:rPr>
                <w:rFonts w:ascii="Times New Roman" w:hAnsi="Times New Roman"/>
                <w:bCs/>
                <w:sz w:val="24"/>
                <w:szCs w:val="24"/>
              </w:rPr>
              <w:t>Jul</w:t>
            </w:r>
            <w:r w:rsidRPr="00BB37E7" w:rsidR="004B1961">
              <w:rPr>
                <w:rFonts w:ascii="Times New Roman" w:hAnsi="Times New Roman"/>
                <w:bCs/>
                <w:sz w:val="24"/>
                <w:szCs w:val="24"/>
              </w:rPr>
              <w:t>-2</w:t>
            </w:r>
            <w:r>
              <w:rPr>
                <w:rFonts w:ascii="Times New Roman" w:hAnsi="Times New Roman"/>
                <w:bCs/>
                <w:sz w:val="24"/>
                <w:szCs w:val="24"/>
              </w:rPr>
              <w:t>5</w:t>
            </w:r>
          </w:p>
        </w:tc>
      </w:tr>
      <w:tr w14:paraId="5A6D6969" w14:textId="77777777" w:rsidTr="008E7411">
        <w:tblPrEx>
          <w:tblW w:w="9958" w:type="dxa"/>
          <w:tblInd w:w="198" w:type="dxa"/>
          <w:tblLook w:val="04A0"/>
        </w:tblPrEx>
        <w:trPr>
          <w:cantSplit/>
          <w:trHeight w:val="349"/>
        </w:trPr>
        <w:tc>
          <w:tcPr>
            <w:tcW w:w="7967" w:type="dxa"/>
            <w:shd w:val="clear" w:color="auto" w:fill="auto"/>
          </w:tcPr>
          <w:p w:rsidR="00264582" w:rsidRPr="00BB37E7" w:rsidP="00264582" w14:paraId="29B07779" w14:textId="77777777">
            <w:pPr>
              <w:widowControl/>
              <w:autoSpaceDE/>
              <w:autoSpaceDN/>
              <w:adjustRightInd/>
              <w:rPr>
                <w:rFonts w:ascii="Times New Roman" w:hAnsi="Times New Roman"/>
                <w:bCs/>
                <w:sz w:val="24"/>
                <w:szCs w:val="24"/>
              </w:rPr>
            </w:pPr>
            <w:r w:rsidRPr="00BB37E7">
              <w:rPr>
                <w:rFonts w:ascii="Times New Roman" w:hAnsi="Times New Roman"/>
                <w:bCs/>
                <w:sz w:val="24"/>
                <w:szCs w:val="24"/>
              </w:rPr>
              <w:t xml:space="preserve">CoE Applications Due to MARAD </w:t>
            </w:r>
          </w:p>
        </w:tc>
        <w:tc>
          <w:tcPr>
            <w:tcW w:w="1991" w:type="dxa"/>
            <w:shd w:val="clear" w:color="auto" w:fill="auto"/>
          </w:tcPr>
          <w:p w:rsidR="00264582" w:rsidRPr="00BB37E7" w:rsidP="00972B82" w14:paraId="71E4325F" w14:textId="50EB0E22">
            <w:pPr>
              <w:widowControl/>
              <w:autoSpaceDE/>
              <w:autoSpaceDN/>
              <w:adjustRightInd/>
              <w:rPr>
                <w:rFonts w:ascii="Times New Roman" w:hAnsi="Times New Roman"/>
                <w:sz w:val="24"/>
                <w:szCs w:val="24"/>
              </w:rPr>
            </w:pPr>
            <w:r>
              <w:rPr>
                <w:rFonts w:ascii="Times New Roman" w:hAnsi="Times New Roman"/>
                <w:sz w:val="24"/>
                <w:szCs w:val="24"/>
              </w:rPr>
              <w:t xml:space="preserve">    </w:t>
            </w:r>
            <w:r w:rsidR="00A33CEC">
              <w:rPr>
                <w:rFonts w:ascii="Times New Roman" w:hAnsi="Times New Roman"/>
                <w:sz w:val="24"/>
                <w:szCs w:val="24"/>
              </w:rPr>
              <w:t xml:space="preserve">   </w:t>
            </w:r>
            <w:r>
              <w:rPr>
                <w:rFonts w:ascii="Times New Roman" w:hAnsi="Times New Roman"/>
                <w:sz w:val="24"/>
                <w:szCs w:val="24"/>
              </w:rPr>
              <w:t xml:space="preserve"> </w:t>
            </w:r>
            <w:r w:rsidRPr="00BB37E7" w:rsidR="004B1961">
              <w:rPr>
                <w:rFonts w:ascii="Times New Roman" w:hAnsi="Times New Roman"/>
                <w:sz w:val="24"/>
                <w:szCs w:val="24"/>
              </w:rPr>
              <w:t>2-</w:t>
            </w:r>
            <w:r>
              <w:rPr>
                <w:rFonts w:ascii="Times New Roman" w:hAnsi="Times New Roman"/>
                <w:sz w:val="24"/>
                <w:szCs w:val="24"/>
              </w:rPr>
              <w:t>Sept</w:t>
            </w:r>
            <w:r w:rsidRPr="00BB37E7" w:rsidR="004B1961">
              <w:rPr>
                <w:rFonts w:ascii="Times New Roman" w:hAnsi="Times New Roman"/>
                <w:sz w:val="24"/>
                <w:szCs w:val="24"/>
              </w:rPr>
              <w:t>-2</w:t>
            </w:r>
            <w:r>
              <w:rPr>
                <w:rFonts w:ascii="Times New Roman" w:hAnsi="Times New Roman"/>
                <w:sz w:val="24"/>
                <w:szCs w:val="24"/>
              </w:rPr>
              <w:t>5</w:t>
            </w:r>
          </w:p>
        </w:tc>
      </w:tr>
      <w:tr w14:paraId="3465E65E" w14:textId="77777777" w:rsidTr="008E7411">
        <w:tblPrEx>
          <w:tblW w:w="9958" w:type="dxa"/>
          <w:tblInd w:w="198" w:type="dxa"/>
          <w:tblLook w:val="04A0"/>
        </w:tblPrEx>
        <w:trPr>
          <w:cantSplit/>
          <w:trHeight w:val="340"/>
        </w:trPr>
        <w:tc>
          <w:tcPr>
            <w:tcW w:w="7967" w:type="dxa"/>
            <w:shd w:val="clear" w:color="auto" w:fill="auto"/>
          </w:tcPr>
          <w:p w:rsidR="00264582" w:rsidRPr="00BB37E7" w:rsidP="00264582" w14:paraId="3271C793" w14:textId="77777777">
            <w:pPr>
              <w:widowControl/>
              <w:autoSpaceDE/>
              <w:autoSpaceDN/>
              <w:adjustRightInd/>
              <w:rPr>
                <w:rFonts w:ascii="Times New Roman" w:hAnsi="Times New Roman"/>
                <w:b/>
                <w:bCs/>
                <w:sz w:val="24"/>
                <w:szCs w:val="24"/>
              </w:rPr>
            </w:pPr>
            <w:r w:rsidRPr="00BB37E7">
              <w:rPr>
                <w:rFonts w:ascii="Times New Roman" w:hAnsi="Times New Roman"/>
                <w:b/>
                <w:bCs/>
                <w:sz w:val="24"/>
                <w:szCs w:val="24"/>
              </w:rPr>
              <w:t>Announce CoE designations on MARAD website</w:t>
            </w:r>
          </w:p>
        </w:tc>
        <w:tc>
          <w:tcPr>
            <w:tcW w:w="1991" w:type="dxa"/>
            <w:shd w:val="clear" w:color="auto" w:fill="auto"/>
          </w:tcPr>
          <w:p w:rsidR="00264582" w:rsidRPr="00BB37E7" w:rsidP="00264582" w14:paraId="5202117E" w14:textId="72218458">
            <w:pPr>
              <w:widowControl/>
              <w:autoSpaceDE/>
              <w:autoSpaceDN/>
              <w:adjustRightInd/>
              <w:jc w:val="center"/>
              <w:rPr>
                <w:rFonts w:ascii="Times New Roman" w:hAnsi="Times New Roman"/>
                <w:sz w:val="24"/>
                <w:szCs w:val="24"/>
              </w:rPr>
            </w:pPr>
            <w:r>
              <w:rPr>
                <w:rFonts w:ascii="Times New Roman" w:hAnsi="Times New Roman"/>
                <w:sz w:val="24"/>
                <w:szCs w:val="24"/>
              </w:rPr>
              <w:t>X</w:t>
            </w:r>
            <w:r w:rsidRPr="00BB37E7" w:rsidR="004B1961">
              <w:rPr>
                <w:rFonts w:ascii="Times New Roman" w:hAnsi="Times New Roman"/>
                <w:sz w:val="24"/>
                <w:szCs w:val="24"/>
              </w:rPr>
              <w:t>-J</w:t>
            </w:r>
            <w:r>
              <w:rPr>
                <w:rFonts w:ascii="Times New Roman" w:hAnsi="Times New Roman"/>
                <w:sz w:val="24"/>
                <w:szCs w:val="24"/>
              </w:rPr>
              <w:t>a</w:t>
            </w:r>
            <w:r w:rsidRPr="00BB37E7" w:rsidR="004B1961">
              <w:rPr>
                <w:rFonts w:ascii="Times New Roman" w:hAnsi="Times New Roman"/>
                <w:sz w:val="24"/>
                <w:szCs w:val="24"/>
              </w:rPr>
              <w:t>n-2</w:t>
            </w:r>
            <w:r>
              <w:rPr>
                <w:rFonts w:ascii="Times New Roman" w:hAnsi="Times New Roman"/>
                <w:sz w:val="24"/>
                <w:szCs w:val="24"/>
              </w:rPr>
              <w:t>6</w:t>
            </w:r>
          </w:p>
        </w:tc>
      </w:tr>
    </w:tbl>
    <w:p w:rsidR="00F52CB9" w:rsidP="006F5E94" w14:paraId="3F07187A" w14:textId="77777777">
      <w:pPr>
        <w:pStyle w:val="BodyText3"/>
        <w:keepNext/>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00986EEC" w:rsidRPr="00A528F4" w:rsidP="00A528F4" w14:paraId="6876B06C" w14:textId="4C9D3BF2">
      <w:pPr>
        <w:pStyle w:val="BodyText3"/>
        <w:keepNext/>
        <w:keepLines/>
        <w:widowControl/>
        <w:numPr>
          <w:ilvl w:val="0"/>
          <w:numId w:val="48"/>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810" w:hanging="450"/>
        <w:rPr>
          <w:rFonts w:ascii="Times New Roman" w:hAnsi="Times New Roman"/>
          <w:b/>
        </w:rPr>
      </w:pPr>
      <w:r w:rsidRPr="00A528F4">
        <w:rPr>
          <w:rFonts w:ascii="Times New Roman" w:hAnsi="Times New Roman"/>
          <w:b/>
          <w:color w:val="000000" w:themeColor="text1"/>
        </w:rPr>
        <w:t>D</w:t>
      </w:r>
      <w:r w:rsidRPr="00A528F4" w:rsidR="0004749E">
        <w:rPr>
          <w:rFonts w:ascii="Times New Roman" w:hAnsi="Times New Roman"/>
          <w:b/>
          <w:color w:val="000000" w:themeColor="text1"/>
        </w:rPr>
        <w:t>ispla</w:t>
      </w:r>
      <w:r w:rsidRPr="00A528F4">
        <w:rPr>
          <w:rFonts w:ascii="Times New Roman" w:hAnsi="Times New Roman"/>
          <w:b/>
          <w:color w:val="000000" w:themeColor="text1"/>
        </w:rPr>
        <w:t>y of</w:t>
      </w:r>
      <w:r w:rsidRPr="00A528F4" w:rsidR="0004749E">
        <w:rPr>
          <w:rFonts w:ascii="Times New Roman" w:hAnsi="Times New Roman"/>
          <w:b/>
          <w:color w:val="000000" w:themeColor="text1"/>
        </w:rPr>
        <w:t xml:space="preserve"> the </w:t>
      </w:r>
      <w:r w:rsidRPr="00A528F4">
        <w:rPr>
          <w:rFonts w:ascii="Times New Roman" w:hAnsi="Times New Roman"/>
          <w:b/>
          <w:color w:val="000000" w:themeColor="text1"/>
        </w:rPr>
        <w:t>OMB Expiration Date</w:t>
      </w:r>
    </w:p>
    <w:p w:rsidR="006F1520" w:rsidP="00A528F4" w14:paraId="35A87754" w14:textId="77777777">
      <w:pPr>
        <w:keepNext/>
        <w:keepLines/>
        <w:widowControl/>
        <w:ind w:left="810" w:hanging="450"/>
        <w:rPr>
          <w:rFonts w:ascii="Times New Roman" w:hAnsi="Times New Roman"/>
          <w:bCs/>
          <w:sz w:val="24"/>
          <w:szCs w:val="24"/>
        </w:rPr>
      </w:pPr>
    </w:p>
    <w:p w:rsidR="00F155CD" w:rsidRPr="00BB37E7" w:rsidP="00A528F4" w14:paraId="2C5B0896" w14:textId="7FECB748">
      <w:pPr>
        <w:keepNext/>
        <w:keepLines/>
        <w:widowControl/>
        <w:ind w:left="810" w:hanging="450"/>
        <w:rPr>
          <w:rFonts w:ascii="Times New Roman" w:hAnsi="Times New Roman"/>
          <w:bCs/>
          <w:sz w:val="24"/>
          <w:szCs w:val="24"/>
        </w:rPr>
      </w:pPr>
      <w:r w:rsidRPr="00BB37E7">
        <w:rPr>
          <w:rFonts w:ascii="Times New Roman" w:hAnsi="Times New Roman"/>
          <w:bCs/>
          <w:sz w:val="24"/>
          <w:szCs w:val="24"/>
        </w:rPr>
        <w:t>MARAD is not seeking</w:t>
      </w:r>
      <w:r w:rsidR="006F1520">
        <w:rPr>
          <w:rFonts w:ascii="Times New Roman" w:hAnsi="Times New Roman"/>
          <w:bCs/>
          <w:sz w:val="24"/>
          <w:szCs w:val="24"/>
        </w:rPr>
        <w:t xml:space="preserve"> approval to avoid displaying the OMB Expiration Date</w:t>
      </w:r>
      <w:r w:rsidRPr="00BB37E7">
        <w:rPr>
          <w:rFonts w:ascii="Times New Roman" w:hAnsi="Times New Roman"/>
          <w:bCs/>
          <w:sz w:val="24"/>
          <w:szCs w:val="24"/>
        </w:rPr>
        <w:t>.</w:t>
      </w:r>
    </w:p>
    <w:p w:rsidR="00D322FE" w:rsidP="00D322FE" w14:paraId="12D0895E" w14:textId="77777777">
      <w:pPr>
        <w:ind w:left="810" w:hanging="450"/>
        <w:rPr>
          <w:rFonts w:ascii="Times New Roman" w:hAnsi="Times New Roman"/>
          <w:b/>
          <w:sz w:val="24"/>
          <w:szCs w:val="24"/>
        </w:rPr>
      </w:pPr>
    </w:p>
    <w:p w:rsidR="0004749E" w:rsidRPr="00BB37E7" w:rsidP="00A528F4" w14:paraId="3241C329" w14:textId="4844B157">
      <w:pPr>
        <w:ind w:left="810" w:hanging="450"/>
        <w:rPr>
          <w:rFonts w:ascii="Times New Roman" w:hAnsi="Times New Roman"/>
          <w:b/>
          <w:sz w:val="24"/>
          <w:szCs w:val="24"/>
        </w:rPr>
      </w:pPr>
      <w:r w:rsidRPr="00A528F4">
        <w:rPr>
          <w:rFonts w:ascii="Times New Roman" w:hAnsi="Times New Roman"/>
          <w:b/>
          <w:sz w:val="24"/>
          <w:szCs w:val="24"/>
        </w:rPr>
        <w:t>18. Exceptions to</w:t>
      </w:r>
      <w:r w:rsidRPr="00A528F4" w:rsidR="006F1520">
        <w:rPr>
          <w:rFonts w:ascii="Times New Roman" w:hAnsi="Times New Roman"/>
          <w:b/>
          <w:sz w:val="24"/>
          <w:szCs w:val="24"/>
        </w:rPr>
        <w:t xml:space="preserve"> the</w:t>
      </w:r>
      <w:r w:rsidRPr="00A528F4">
        <w:rPr>
          <w:rFonts w:ascii="Times New Roman" w:hAnsi="Times New Roman"/>
          <w:b/>
          <w:sz w:val="24"/>
          <w:szCs w:val="24"/>
        </w:rPr>
        <w:t xml:space="preserve"> </w:t>
      </w:r>
      <w:r w:rsidRPr="00A528F4" w:rsidR="006F1520">
        <w:rPr>
          <w:rFonts w:ascii="Times New Roman" w:hAnsi="Times New Roman"/>
          <w:b/>
          <w:sz w:val="24"/>
          <w:szCs w:val="24"/>
        </w:rPr>
        <w:t>C</w:t>
      </w:r>
      <w:r w:rsidRPr="00A528F4">
        <w:rPr>
          <w:rFonts w:ascii="Times New Roman" w:hAnsi="Times New Roman"/>
          <w:b/>
          <w:sz w:val="24"/>
          <w:szCs w:val="24"/>
        </w:rPr>
        <w:t xml:space="preserve">ertification </w:t>
      </w:r>
      <w:r w:rsidRPr="00A528F4" w:rsidR="006F1520">
        <w:rPr>
          <w:rFonts w:ascii="Times New Roman" w:hAnsi="Times New Roman"/>
          <w:b/>
          <w:sz w:val="24"/>
          <w:szCs w:val="24"/>
        </w:rPr>
        <w:t>Statement</w:t>
      </w:r>
      <w:r w:rsidRPr="00A528F4" w:rsidR="00105F8E">
        <w:rPr>
          <w:rFonts w:ascii="Times New Roman" w:hAnsi="Times New Roman"/>
          <w:b/>
          <w:sz w:val="24"/>
          <w:szCs w:val="24"/>
        </w:rPr>
        <w:t xml:space="preserve"> </w:t>
      </w:r>
    </w:p>
    <w:p w:rsidR="00F155CD" w:rsidP="00A528F4" w14:paraId="1FE8CAF2" w14:textId="0E543804">
      <w:pPr>
        <w:pStyle w:val="NormalWeb"/>
        <w:ind w:left="810" w:hanging="450"/>
        <w:rPr>
          <w:rFonts w:ascii="Times New Roman" w:hAnsi="Times New Roman" w:cs="Times New Roman"/>
          <w:bCs/>
        </w:rPr>
      </w:pPr>
      <w:r w:rsidRPr="00BB37E7">
        <w:rPr>
          <w:rFonts w:ascii="Times New Roman" w:hAnsi="Times New Roman" w:cs="Times New Roman"/>
          <w:bCs/>
        </w:rPr>
        <w:t>There are no exceptions to the certificate statement.</w:t>
      </w:r>
    </w:p>
    <w:p w:rsidR="00F602FC" w:rsidRPr="00E52D4D" w:rsidP="00A528F4" w14:paraId="163B713D" w14:textId="77777777">
      <w:pPr>
        <w:pStyle w:val="NormalWeb"/>
        <w:rPr>
          <w:rFonts w:ascii="Times New Roman" w:hAnsi="Times New Roman" w:cs="Times New Roman"/>
        </w:rPr>
      </w:pPr>
    </w:p>
    <w:sectPr w:rsidSect="007A388C">
      <w:footerReference w:type="default" r:id="rId8"/>
      <w:footnotePr>
        <w:numRestart w:val="eachSect"/>
      </w:footnotePr>
      <w:endnotePr>
        <w:numFmt w:val="decimal"/>
      </w:endnotePr>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353" w14:paraId="10257F21"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6577A">
      <w:rPr>
        <w:rStyle w:val="PageNumber"/>
        <w:noProof/>
      </w:rPr>
      <w:t>1</w:t>
    </w:r>
    <w:r>
      <w:rPr>
        <w:rStyle w:val="PageNumber"/>
      </w:rPr>
      <w:fldChar w:fldCharType="end"/>
    </w:r>
  </w:p>
  <w:p w:rsidR="00526353" w14:paraId="098ACB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690A" w14:paraId="6E77C847" w14:textId="77777777">
      <w:r>
        <w:separator/>
      </w:r>
    </w:p>
  </w:footnote>
  <w:footnote w:type="continuationSeparator" w:id="1">
    <w:p w:rsidR="00D0690A" w14:paraId="559B7F62" w14:textId="77777777">
      <w:r>
        <w:continuationSeparator/>
      </w:r>
    </w:p>
  </w:footnote>
  <w:footnote w:id="2">
    <w:p w:rsidR="00893673" w:rsidRPr="00672076" w:rsidP="00672076" w14:paraId="63CBBAC1" w14:textId="6627142F">
      <w:pPr>
        <w:rPr>
          <w:rFonts w:ascii="Times New Roman" w:hAnsi="Times New Roman"/>
          <w:snapToGrid w:val="0"/>
          <w:sz w:val="24"/>
          <w:szCs w:val="24"/>
        </w:rPr>
      </w:pPr>
      <w:r>
        <w:rPr>
          <w:rStyle w:val="FootnoteReference"/>
        </w:rPr>
        <w:footnoteRef/>
      </w:r>
      <w:r>
        <w:t xml:space="preserve"> </w:t>
      </w:r>
      <w:r w:rsidRPr="00A528F4">
        <w:rPr>
          <w:rFonts w:ascii="Times New Roman" w:hAnsi="Times New Roman"/>
          <w:snapToGrid w:val="0"/>
        </w:rPr>
        <w:t xml:space="preserve">The median hourly wage for “Education Administrators, Postsecondary” was taken from the Bureau of Labor Statistics May 2023 National Occupational Employment and Wage Estimates at </w:t>
      </w:r>
      <w:hyperlink r:id="rId1" w:history="1">
        <w:r w:rsidRPr="008C5E8E" w:rsidR="007351A1">
          <w:rPr>
            <w:rStyle w:val="Hyperlink"/>
            <w:rFonts w:ascii="Times New Roman" w:hAnsi="Times New Roman"/>
            <w:snapToGrid w:val="0"/>
          </w:rPr>
          <w:t>https://www.bls.gov/oes/current/oes119033.htm</w:t>
        </w:r>
      </w:hyperlink>
      <w:r w:rsidR="007351A1">
        <w:rPr>
          <w:rFonts w:ascii="Times New Roman" w:hAnsi="Times New Roman"/>
          <w:snapToGrid w:val="0"/>
        </w:rPr>
        <w:t xml:space="preserve"> </w:t>
      </w:r>
    </w:p>
  </w:footnote>
  <w:footnote w:id="3">
    <w:p w:rsidR="00893673" w14:paraId="79973CF1" w14:textId="0650A455">
      <w:pPr>
        <w:pStyle w:val="FootnoteText"/>
      </w:pPr>
      <w:r>
        <w:rPr>
          <w:rStyle w:val="FootnoteReference"/>
        </w:rPr>
        <w:footnoteRef/>
      </w:r>
      <w:r>
        <w:t xml:space="preserve"> </w:t>
      </w:r>
      <w:bookmarkStart w:id="2" w:name="_Hlk164072686"/>
      <w:r w:rsidRPr="0002645D">
        <w:rPr>
          <w:rFonts w:ascii="Times New Roman" w:hAnsi="Times New Roman"/>
        </w:rPr>
        <w:t>Per BLS Employee Compensation Memo, the total compensation rate for the private sector is 29%:</w:t>
      </w:r>
      <w:r w:rsidR="00124083">
        <w:rPr>
          <w:rFonts w:ascii="Times New Roman" w:hAnsi="Times New Roman"/>
        </w:rPr>
        <w:t xml:space="preserve"> </w:t>
      </w:r>
      <w:hyperlink r:id="rId2" w:history="1">
        <w:r w:rsidRPr="00124083" w:rsidR="00124083">
          <w:rPr>
            <w:rStyle w:val="Hyperlink"/>
            <w:rFonts w:ascii="Times New Roman" w:hAnsi="Times New Roman"/>
          </w:rPr>
          <w:t>https://www.bls.gov/news.release/pdf/ecec.pdf</w:t>
        </w:r>
      </w:hyperlink>
      <w:bookmarkEnd w:id="2"/>
    </w:p>
  </w:footnote>
  <w:footnote w:id="4">
    <w:p w:rsidR="007D09D4" w:rsidRPr="007351A1" w14:paraId="39184076" w14:textId="4FAC98CF">
      <w:pPr>
        <w:pStyle w:val="FootnoteText"/>
        <w:rPr>
          <w:rFonts w:ascii="Times New Roman" w:hAnsi="Times New Roman"/>
        </w:rPr>
      </w:pPr>
      <w:r>
        <w:rPr>
          <w:rStyle w:val="FootnoteReference"/>
        </w:rPr>
        <w:footnoteRef/>
      </w:r>
      <w:r>
        <w:t xml:space="preserve"> </w:t>
      </w:r>
      <w:r w:rsidRPr="0002645D">
        <w:rPr>
          <w:rFonts w:ascii="Times New Roman" w:hAnsi="Times New Roman"/>
        </w:rPr>
        <w:t>The hourly Federal Government wage is taken from OMB 2024 wage tables:</w:t>
      </w:r>
      <w:r>
        <w:rPr>
          <w:rFonts w:ascii="Times New Roman" w:hAnsi="Times New Roman"/>
        </w:rPr>
        <w:t xml:space="preserve"> </w:t>
      </w:r>
      <w:hyperlink r:id="rId3" w:history="1">
        <w:r w:rsidRPr="005C6755">
          <w:rPr>
            <w:rStyle w:val="Hyperlink"/>
            <w:rFonts w:ascii="Times New Roman" w:hAnsi="Times New Roman"/>
          </w:rPr>
          <w:t>https://www.opm.gov/policy-data-oversight/pay-leave/salaries-wages/salary-tables/pdf/2024/DCB_h.pdf</w:t>
        </w:r>
      </w:hyperlink>
    </w:p>
  </w:footnote>
  <w:footnote w:id="5">
    <w:p w:rsidR="008E4B5F" w:rsidRPr="00A528F4" w14:paraId="270B1DA3" w14:textId="0CB80381">
      <w:pPr>
        <w:pStyle w:val="FootnoteText"/>
        <w:rPr>
          <w:rFonts w:ascii="Times New Roman" w:hAnsi="Times New Roman"/>
        </w:rPr>
      </w:pPr>
      <w:r>
        <w:rPr>
          <w:rStyle w:val="FootnoteReference"/>
        </w:rPr>
        <w:footnoteRef/>
      </w:r>
      <w:r>
        <w:t xml:space="preserve"> </w:t>
      </w:r>
      <w:r w:rsidRPr="00A528F4">
        <w:rPr>
          <w:rFonts w:ascii="Times New Roman" w:hAnsi="Times New Roman"/>
          <w:snapToGrid w:val="0"/>
        </w:rPr>
        <w:t xml:space="preserve">SES hourly salary is based upon ES Level 3 Pay is taken from: </w:t>
      </w:r>
      <w:hyperlink r:id="rId4" w:history="1">
        <w:r w:rsidRPr="00A528F4" w:rsidR="00C43A4A">
          <w:rPr>
            <w:rStyle w:val="Hyperlink"/>
          </w:rPr>
          <w:t>https://www.federalpay.org/ses/level-3</w:t>
        </w:r>
      </w:hyperlink>
      <w:r w:rsidRPr="00290D98" w:rsidR="00C43A4A">
        <w:rPr>
          <w:rFonts w:ascii="Times New Roman" w:hAnsi="Times New Roman"/>
          <w:snapToGrid w:val="0"/>
        </w:rPr>
        <w:t xml:space="preserve"> </w:t>
      </w:r>
    </w:p>
  </w:footnote>
  <w:footnote w:id="6">
    <w:p w:rsidR="00C43A4A" w14:paraId="777E669B" w14:textId="5C806481">
      <w:pPr>
        <w:pStyle w:val="FootnoteText"/>
      </w:pPr>
      <w:r w:rsidRPr="00A528F4">
        <w:rPr>
          <w:rStyle w:val="FootnoteReference"/>
          <w:rFonts w:ascii="Times New Roman" w:hAnsi="Times New Roman"/>
        </w:rPr>
        <w:footnoteRef/>
      </w:r>
      <w:r w:rsidRPr="00A528F4">
        <w:rPr>
          <w:rFonts w:ascii="Times New Roman" w:hAnsi="Times New Roman"/>
        </w:rPr>
        <w:t xml:space="preserve"> </w:t>
      </w:r>
      <w:r w:rsidRPr="00A528F4">
        <w:rPr>
          <w:rFonts w:ascii="Times New Roman" w:eastAsia="Calibri" w:hAnsi="Times New Roman"/>
        </w:rPr>
        <w:t>Per BLS Employee Compensation Memo, the total compensation rate for the Federal Government is 31%,  :</w:t>
      </w:r>
      <w:hyperlink r:id="rId2" w:history="1">
        <w:r w:rsidRPr="00A528F4">
          <w:rPr>
            <w:rFonts w:ascii="Times New Roman" w:eastAsia="Calibri" w:hAnsi="Times New Roman"/>
            <w:color w:val="0000FF"/>
            <w:u w:val="single"/>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247D"/>
    <w:multiLevelType w:val="hybridMultilevel"/>
    <w:tmpl w:val="13E0B84E"/>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381868"/>
    <w:multiLevelType w:val="hybridMultilevel"/>
    <w:tmpl w:val="11703B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E526D1"/>
    <w:multiLevelType w:val="hybridMultilevel"/>
    <w:tmpl w:val="A63E4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C63745"/>
    <w:multiLevelType w:val="hybridMultilevel"/>
    <w:tmpl w:val="164CA31E"/>
    <w:lvl w:ilvl="0">
      <w:start w:val="2"/>
      <w:numFmt w:val="decimal"/>
      <w:lvlText w:val="%1."/>
      <w:lvlJc w:val="left"/>
      <w:pPr>
        <w:ind w:left="216" w:hanging="72"/>
      </w:pPr>
      <w:rPr>
        <w:rFonts w:hint="default"/>
        <w:b w:val="0"/>
        <w:u w:val="none"/>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EB06D4"/>
    <w:multiLevelType w:val="hybridMultilevel"/>
    <w:tmpl w:val="8CECDF1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6475C30"/>
    <w:multiLevelType w:val="hybridMultilevel"/>
    <w:tmpl w:val="253E354A"/>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A97E74"/>
    <w:multiLevelType w:val="hybridMultilevel"/>
    <w:tmpl w:val="11703B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43B14DF"/>
    <w:multiLevelType w:val="hybridMultilevel"/>
    <w:tmpl w:val="15CA502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8E4649"/>
    <w:multiLevelType w:val="hybridMultilevel"/>
    <w:tmpl w:val="6994D0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AC5005C"/>
    <w:multiLevelType w:val="hybridMultilevel"/>
    <w:tmpl w:val="61C431F8"/>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AE6038C"/>
    <w:multiLevelType w:val="hybridMultilevel"/>
    <w:tmpl w:val="703ABFBA"/>
    <w:lvl w:ilvl="0">
      <w:start w:val="1"/>
      <w:numFmt w:val="lowerLetter"/>
      <w:lvlText w:val="(%1)"/>
      <w:lvlJc w:val="left"/>
      <w:pPr>
        <w:ind w:left="1080" w:hanging="360"/>
      </w:pPr>
      <w:rPr>
        <w:rFonts w:hint="default"/>
        <w:b/>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C3D6C38"/>
    <w:multiLevelType w:val="hybridMultilevel"/>
    <w:tmpl w:val="A63E4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793167"/>
    <w:multiLevelType w:val="hybridMultilevel"/>
    <w:tmpl w:val="E5EE9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D10B50"/>
    <w:multiLevelType w:val="hybridMultilevel"/>
    <w:tmpl w:val="40D81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9A4368"/>
    <w:multiLevelType w:val="hybridMultilevel"/>
    <w:tmpl w:val="808AA2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D53786"/>
    <w:multiLevelType w:val="hybridMultilevel"/>
    <w:tmpl w:val="4E08F9E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B0604F1"/>
    <w:multiLevelType w:val="hybridMultilevel"/>
    <w:tmpl w:val="11703B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1E6892"/>
    <w:multiLevelType w:val="hybridMultilevel"/>
    <w:tmpl w:val="0DAC06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E99312C"/>
    <w:multiLevelType w:val="hybridMultilevel"/>
    <w:tmpl w:val="12803954"/>
    <w:lvl w:ilvl="0">
      <w:start w:val="1"/>
      <w:numFmt w:val="low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3FCA6D40"/>
    <w:multiLevelType w:val="hybridMultilevel"/>
    <w:tmpl w:val="164CA31E"/>
    <w:lvl w:ilvl="0">
      <w:start w:val="2"/>
      <w:numFmt w:val="decimal"/>
      <w:lvlText w:val="%1."/>
      <w:lvlJc w:val="left"/>
      <w:pPr>
        <w:ind w:left="216" w:hanging="72"/>
      </w:pPr>
      <w:rPr>
        <w:rFonts w:hint="default"/>
        <w:b w:val="0"/>
        <w:u w:val="none"/>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1DD7B79"/>
    <w:multiLevelType w:val="hybridMultilevel"/>
    <w:tmpl w:val="8CECDF1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452557DE"/>
    <w:multiLevelType w:val="hybridMultilevel"/>
    <w:tmpl w:val="2E3CFFC4"/>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8134CE"/>
    <w:multiLevelType w:val="hybridMultilevel"/>
    <w:tmpl w:val="18000F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9CE0A1C"/>
    <w:multiLevelType w:val="hybridMultilevel"/>
    <w:tmpl w:val="2FF2D19A"/>
    <w:lvl w:ilvl="0">
      <w:start w:val="2"/>
      <w:numFmt w:val="decimal"/>
      <w:lvlText w:val="%1."/>
      <w:lvlJc w:val="left"/>
      <w:pPr>
        <w:ind w:left="162" w:hanging="72"/>
      </w:pPr>
      <w:rPr>
        <w:rFonts w:hint="default"/>
        <w:b/>
        <w:bCs/>
        <w:color w:val="000000" w:themeColor="text1"/>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857939"/>
    <w:multiLevelType w:val="hybridMultilevel"/>
    <w:tmpl w:val="A0405694"/>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E0951FF"/>
    <w:multiLevelType w:val="hybridMultilevel"/>
    <w:tmpl w:val="B1661584"/>
    <w:lvl w:ilvl="0">
      <w:start w:val="2"/>
      <w:numFmt w:val="decimal"/>
      <w:lvlText w:val="%1."/>
      <w:lvlJc w:val="left"/>
      <w:pPr>
        <w:ind w:left="522" w:hanging="72"/>
      </w:pPr>
      <w:rPr>
        <w:rFonts w:hint="default"/>
        <w:b/>
        <w:bCs/>
        <w:color w:val="000000" w:themeColor="text1"/>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1177B66"/>
    <w:multiLevelType w:val="hybridMultilevel"/>
    <w:tmpl w:val="0BEA6278"/>
    <w:lvl w:ilvl="0">
      <w:start w:val="15"/>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860DD6"/>
    <w:multiLevelType w:val="hybridMultilevel"/>
    <w:tmpl w:val="129C307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nsid w:val="61CC26DE"/>
    <w:multiLevelType w:val="hybridMultilevel"/>
    <w:tmpl w:val="576C61AA"/>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A404F6"/>
    <w:multiLevelType w:val="hybridMultilevel"/>
    <w:tmpl w:val="B94E9DCA"/>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6A6E56CD"/>
    <w:multiLevelType w:val="hybridMultilevel"/>
    <w:tmpl w:val="68C6138A"/>
    <w:lvl w:ilvl="0">
      <w:start w:val="1"/>
      <w:numFmt w:val="lowerLetter"/>
      <w:lvlText w:val="%1."/>
      <w:lvlJc w:val="left"/>
      <w:pPr>
        <w:ind w:left="1083" w:hanging="360"/>
      </w:pPr>
    </w:lvl>
    <w:lvl w:ilvl="1" w:tentative="1">
      <w:start w:val="1"/>
      <w:numFmt w:val="lowerLetter"/>
      <w:lvlText w:val="%2."/>
      <w:lvlJc w:val="left"/>
      <w:pPr>
        <w:ind w:left="1803" w:hanging="360"/>
      </w:pPr>
    </w:lvl>
    <w:lvl w:ilvl="2" w:tentative="1">
      <w:start w:val="1"/>
      <w:numFmt w:val="lowerRoman"/>
      <w:lvlText w:val="%3."/>
      <w:lvlJc w:val="right"/>
      <w:pPr>
        <w:ind w:left="2523" w:hanging="180"/>
      </w:pPr>
    </w:lvl>
    <w:lvl w:ilvl="3" w:tentative="1">
      <w:start w:val="1"/>
      <w:numFmt w:val="decimal"/>
      <w:lvlText w:val="%4."/>
      <w:lvlJc w:val="left"/>
      <w:pPr>
        <w:ind w:left="3243" w:hanging="360"/>
      </w:pPr>
    </w:lvl>
    <w:lvl w:ilvl="4" w:tentative="1">
      <w:start w:val="1"/>
      <w:numFmt w:val="lowerLetter"/>
      <w:lvlText w:val="%5."/>
      <w:lvlJc w:val="left"/>
      <w:pPr>
        <w:ind w:left="3963" w:hanging="360"/>
      </w:pPr>
    </w:lvl>
    <w:lvl w:ilvl="5" w:tentative="1">
      <w:start w:val="1"/>
      <w:numFmt w:val="lowerRoman"/>
      <w:lvlText w:val="%6."/>
      <w:lvlJc w:val="right"/>
      <w:pPr>
        <w:ind w:left="4683" w:hanging="180"/>
      </w:pPr>
    </w:lvl>
    <w:lvl w:ilvl="6" w:tentative="1">
      <w:start w:val="1"/>
      <w:numFmt w:val="decimal"/>
      <w:lvlText w:val="%7."/>
      <w:lvlJc w:val="left"/>
      <w:pPr>
        <w:ind w:left="5403" w:hanging="360"/>
      </w:pPr>
    </w:lvl>
    <w:lvl w:ilvl="7" w:tentative="1">
      <w:start w:val="1"/>
      <w:numFmt w:val="lowerLetter"/>
      <w:lvlText w:val="%8."/>
      <w:lvlJc w:val="left"/>
      <w:pPr>
        <w:ind w:left="6123" w:hanging="360"/>
      </w:pPr>
    </w:lvl>
    <w:lvl w:ilvl="8" w:tentative="1">
      <w:start w:val="1"/>
      <w:numFmt w:val="lowerRoman"/>
      <w:lvlText w:val="%9."/>
      <w:lvlJc w:val="right"/>
      <w:pPr>
        <w:ind w:left="6843" w:hanging="180"/>
      </w:pPr>
    </w:lvl>
  </w:abstractNum>
  <w:abstractNum w:abstractNumId="41">
    <w:nsid w:val="6C8D3C6D"/>
    <w:multiLevelType w:val="hybridMultilevel"/>
    <w:tmpl w:val="5DDE9C40"/>
    <w:lvl w:ilvl="0">
      <w:start w:val="1"/>
      <w:numFmt w:val="upperLetter"/>
      <w:lvlText w:val="%1."/>
      <w:lvlJc w:val="left"/>
      <w:pPr>
        <w:ind w:left="360" w:hanging="360"/>
      </w:pPr>
    </w:lvl>
    <w:lvl w:ilvl="1">
      <w:start w:val="1"/>
      <w:numFmt w:val="upp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E2A11A8"/>
    <w:multiLevelType w:val="hybridMultilevel"/>
    <w:tmpl w:val="F5E87DFC"/>
    <w:lvl w:ilvl="0">
      <w:start w:val="1"/>
      <w:numFmt w:val="lowerLetter"/>
      <w:lvlText w:val="%1."/>
      <w:lvlJc w:val="left"/>
      <w:pPr>
        <w:ind w:left="1083" w:hanging="360"/>
      </w:pPr>
      <w:rPr>
        <w:b/>
        <w:bCs/>
      </w:rPr>
    </w:lvl>
    <w:lvl w:ilvl="1" w:tentative="1">
      <w:start w:val="1"/>
      <w:numFmt w:val="lowerLetter"/>
      <w:lvlText w:val="%2."/>
      <w:lvlJc w:val="left"/>
      <w:pPr>
        <w:ind w:left="1803" w:hanging="360"/>
      </w:pPr>
    </w:lvl>
    <w:lvl w:ilvl="2" w:tentative="1">
      <w:start w:val="1"/>
      <w:numFmt w:val="lowerRoman"/>
      <w:lvlText w:val="%3."/>
      <w:lvlJc w:val="right"/>
      <w:pPr>
        <w:ind w:left="2523" w:hanging="180"/>
      </w:pPr>
    </w:lvl>
    <w:lvl w:ilvl="3" w:tentative="1">
      <w:start w:val="1"/>
      <w:numFmt w:val="decimal"/>
      <w:lvlText w:val="%4."/>
      <w:lvlJc w:val="left"/>
      <w:pPr>
        <w:ind w:left="3243" w:hanging="360"/>
      </w:pPr>
    </w:lvl>
    <w:lvl w:ilvl="4" w:tentative="1">
      <w:start w:val="1"/>
      <w:numFmt w:val="lowerLetter"/>
      <w:lvlText w:val="%5."/>
      <w:lvlJc w:val="left"/>
      <w:pPr>
        <w:ind w:left="3963" w:hanging="360"/>
      </w:pPr>
    </w:lvl>
    <w:lvl w:ilvl="5" w:tentative="1">
      <w:start w:val="1"/>
      <w:numFmt w:val="lowerRoman"/>
      <w:lvlText w:val="%6."/>
      <w:lvlJc w:val="right"/>
      <w:pPr>
        <w:ind w:left="4683" w:hanging="180"/>
      </w:pPr>
    </w:lvl>
    <w:lvl w:ilvl="6" w:tentative="1">
      <w:start w:val="1"/>
      <w:numFmt w:val="decimal"/>
      <w:lvlText w:val="%7."/>
      <w:lvlJc w:val="left"/>
      <w:pPr>
        <w:ind w:left="5403" w:hanging="360"/>
      </w:pPr>
    </w:lvl>
    <w:lvl w:ilvl="7" w:tentative="1">
      <w:start w:val="1"/>
      <w:numFmt w:val="lowerLetter"/>
      <w:lvlText w:val="%8."/>
      <w:lvlJc w:val="left"/>
      <w:pPr>
        <w:ind w:left="6123" w:hanging="360"/>
      </w:pPr>
    </w:lvl>
    <w:lvl w:ilvl="8" w:tentative="1">
      <w:start w:val="1"/>
      <w:numFmt w:val="lowerRoman"/>
      <w:lvlText w:val="%9."/>
      <w:lvlJc w:val="right"/>
      <w:pPr>
        <w:ind w:left="6843" w:hanging="180"/>
      </w:pPr>
    </w:lvl>
  </w:abstractNum>
  <w:abstractNum w:abstractNumId="43">
    <w:nsid w:val="74280116"/>
    <w:multiLevelType w:val="hybridMultilevel"/>
    <w:tmpl w:val="A0405694"/>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7944374"/>
    <w:multiLevelType w:val="hybridMultilevel"/>
    <w:tmpl w:val="E6004D36"/>
    <w:lvl w:ilvl="0">
      <w:start w:val="2"/>
      <w:numFmt w:val="decimal"/>
      <w:lvlText w:val="%1."/>
      <w:lvlJc w:val="left"/>
      <w:pPr>
        <w:ind w:left="522" w:hanging="72"/>
      </w:pPr>
      <w:rPr>
        <w:rFonts w:hint="default"/>
        <w:b/>
        <w:bCs/>
        <w:color w:val="000000" w:themeColor="text1"/>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CC1A59"/>
    <w:multiLevelType w:val="hybridMultilevel"/>
    <w:tmpl w:val="B94E9DCA"/>
    <w:lvl w:ilvl="0">
      <w:start w:val="1"/>
      <w:numFmt w:val="upp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D2555B7"/>
    <w:multiLevelType w:val="hybridMultilevel"/>
    <w:tmpl w:val="13F058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DAA27B6"/>
    <w:multiLevelType w:val="hybridMultilevel"/>
    <w:tmpl w:val="3ECC611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776217108">
    <w:abstractNumId w:val="2"/>
  </w:num>
  <w:num w:numId="2" w16cid:durableId="357439588">
    <w:abstractNumId w:val="10"/>
  </w:num>
  <w:num w:numId="3" w16cid:durableId="557981643">
    <w:abstractNumId w:val="11"/>
  </w:num>
  <w:num w:numId="4" w16cid:durableId="739139255">
    <w:abstractNumId w:val="39"/>
  </w:num>
  <w:num w:numId="5" w16cid:durableId="973021412">
    <w:abstractNumId w:val="34"/>
  </w:num>
  <w:num w:numId="6" w16cid:durableId="1490247840">
    <w:abstractNumId w:val="12"/>
  </w:num>
  <w:num w:numId="7" w16cid:durableId="1393697784">
    <w:abstractNumId w:val="30"/>
  </w:num>
  <w:num w:numId="8" w16cid:durableId="1054238909">
    <w:abstractNumId w:val="22"/>
  </w:num>
  <w:num w:numId="9" w16cid:durableId="1844739380">
    <w:abstractNumId w:val="9"/>
  </w:num>
  <w:num w:numId="10" w16cid:durableId="1246067351">
    <w:abstractNumId w:val="32"/>
  </w:num>
  <w:num w:numId="11" w16cid:durableId="941761799">
    <w:abstractNumId w:val="15"/>
  </w:num>
  <w:num w:numId="12" w16cid:durableId="1641960491">
    <w:abstractNumId w:val="27"/>
  </w:num>
  <w:num w:numId="13" w16cid:durableId="12071189">
    <w:abstractNumId w:val="47"/>
  </w:num>
  <w:num w:numId="14" w16cid:durableId="887305626">
    <w:abstractNumId w:val="21"/>
  </w:num>
  <w:num w:numId="15" w16cid:durableId="1233471409">
    <w:abstractNumId w:val="6"/>
  </w:num>
  <w:num w:numId="16" w16cid:durableId="1065757561">
    <w:abstractNumId w:val="45"/>
  </w:num>
  <w:num w:numId="17" w16cid:durableId="1548832985">
    <w:abstractNumId w:val="24"/>
  </w:num>
  <w:num w:numId="18" w16cid:durableId="1365061536">
    <w:abstractNumId w:val="16"/>
  </w:num>
  <w:num w:numId="19" w16cid:durableId="574389942">
    <w:abstractNumId w:val="31"/>
  </w:num>
  <w:num w:numId="20" w16cid:durableId="1579709853">
    <w:abstractNumId w:val="43"/>
  </w:num>
  <w:num w:numId="21" w16cid:durableId="1335569328">
    <w:abstractNumId w:val="4"/>
  </w:num>
  <w:num w:numId="22" w16cid:durableId="90703028">
    <w:abstractNumId w:val="26"/>
  </w:num>
  <w:num w:numId="23" w16cid:durableId="1818499314">
    <w:abstractNumId w:val="23"/>
  </w:num>
  <w:num w:numId="24" w16cid:durableId="442237633">
    <w:abstractNumId w:val="13"/>
  </w:num>
  <w:num w:numId="25" w16cid:durableId="136848626">
    <w:abstractNumId w:val="8"/>
  </w:num>
  <w:num w:numId="26" w16cid:durableId="1993630663">
    <w:abstractNumId w:val="3"/>
  </w:num>
  <w:num w:numId="27" w16cid:durableId="1015887420">
    <w:abstractNumId w:val="1"/>
  </w:num>
  <w:num w:numId="28" w16cid:durableId="1836797137">
    <w:abstractNumId w:val="17"/>
  </w:num>
  <w:num w:numId="29" w16cid:durableId="1361011709">
    <w:abstractNumId w:val="7"/>
  </w:num>
  <w:num w:numId="30" w16cid:durableId="1401831258">
    <w:abstractNumId w:val="38"/>
  </w:num>
  <w:num w:numId="31" w16cid:durableId="2146197385">
    <w:abstractNumId w:val="36"/>
  </w:num>
  <w:num w:numId="32" w16cid:durableId="2032997183">
    <w:abstractNumId w:val="25"/>
  </w:num>
  <w:num w:numId="33" w16cid:durableId="1323123116">
    <w:abstractNumId w:val="20"/>
  </w:num>
  <w:num w:numId="34" w16cid:durableId="1436485887">
    <w:abstractNumId w:val="28"/>
  </w:num>
  <w:num w:numId="35" w16cid:durableId="1776512910">
    <w:abstractNumId w:val="14"/>
  </w:num>
  <w:num w:numId="36" w16cid:durableId="1670593466">
    <w:abstractNumId w:val="29"/>
  </w:num>
  <w:num w:numId="37" w16cid:durableId="1162694375">
    <w:abstractNumId w:val="46"/>
  </w:num>
  <w:num w:numId="38" w16cid:durableId="821772220">
    <w:abstractNumId w:val="19"/>
  </w:num>
  <w:num w:numId="39" w16cid:durableId="1345981670">
    <w:abstractNumId w:val="0"/>
  </w:num>
  <w:num w:numId="40" w16cid:durableId="1896314227">
    <w:abstractNumId w:val="41"/>
  </w:num>
  <w:num w:numId="41" w16cid:durableId="2058582376">
    <w:abstractNumId w:val="37"/>
  </w:num>
  <w:num w:numId="42" w16cid:durableId="523179660">
    <w:abstractNumId w:val="18"/>
  </w:num>
  <w:num w:numId="43" w16cid:durableId="1917281893">
    <w:abstractNumId w:val="5"/>
  </w:num>
  <w:num w:numId="44" w16cid:durableId="1988704078">
    <w:abstractNumId w:val="42"/>
  </w:num>
  <w:num w:numId="45" w16cid:durableId="2114862823">
    <w:abstractNumId w:val="40"/>
  </w:num>
  <w:num w:numId="46" w16cid:durableId="378364450">
    <w:abstractNumId w:val="44"/>
  </w:num>
  <w:num w:numId="47" w16cid:durableId="1987780221">
    <w:abstractNumId w:val="33"/>
  </w:num>
  <w:num w:numId="48" w16cid:durableId="20505703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982"/>
    <w:rsid w:val="0002009D"/>
    <w:rsid w:val="000204F8"/>
    <w:rsid w:val="00020DD0"/>
    <w:rsid w:val="0002645D"/>
    <w:rsid w:val="00031701"/>
    <w:rsid w:val="000320FE"/>
    <w:rsid w:val="00042FE9"/>
    <w:rsid w:val="00045F61"/>
    <w:rsid w:val="00046F98"/>
    <w:rsid w:val="0004749E"/>
    <w:rsid w:val="00050667"/>
    <w:rsid w:val="00052525"/>
    <w:rsid w:val="00055647"/>
    <w:rsid w:val="00063D35"/>
    <w:rsid w:val="000669D0"/>
    <w:rsid w:val="00067260"/>
    <w:rsid w:val="00070F4D"/>
    <w:rsid w:val="00081109"/>
    <w:rsid w:val="0008270D"/>
    <w:rsid w:val="00083FAB"/>
    <w:rsid w:val="00084608"/>
    <w:rsid w:val="000865AF"/>
    <w:rsid w:val="000876DF"/>
    <w:rsid w:val="00091BEF"/>
    <w:rsid w:val="00094005"/>
    <w:rsid w:val="000959E2"/>
    <w:rsid w:val="000A0308"/>
    <w:rsid w:val="000A2D74"/>
    <w:rsid w:val="000B0ECB"/>
    <w:rsid w:val="000B27A2"/>
    <w:rsid w:val="000C268A"/>
    <w:rsid w:val="000C46F9"/>
    <w:rsid w:val="000C72E0"/>
    <w:rsid w:val="000D0BC8"/>
    <w:rsid w:val="000D4527"/>
    <w:rsid w:val="000D471B"/>
    <w:rsid w:val="000D70F1"/>
    <w:rsid w:val="000E08E8"/>
    <w:rsid w:val="000F2FEF"/>
    <w:rsid w:val="000F5CEB"/>
    <w:rsid w:val="000F65E8"/>
    <w:rsid w:val="0010019E"/>
    <w:rsid w:val="00100F69"/>
    <w:rsid w:val="00103851"/>
    <w:rsid w:val="00105F8E"/>
    <w:rsid w:val="00110089"/>
    <w:rsid w:val="00110601"/>
    <w:rsid w:val="0012343D"/>
    <w:rsid w:val="00124083"/>
    <w:rsid w:val="001303CB"/>
    <w:rsid w:val="00132A7A"/>
    <w:rsid w:val="001340C4"/>
    <w:rsid w:val="00145698"/>
    <w:rsid w:val="00150D67"/>
    <w:rsid w:val="00152159"/>
    <w:rsid w:val="00155AF4"/>
    <w:rsid w:val="0015642C"/>
    <w:rsid w:val="001619E7"/>
    <w:rsid w:val="00163985"/>
    <w:rsid w:val="00171487"/>
    <w:rsid w:val="00171533"/>
    <w:rsid w:val="001768AB"/>
    <w:rsid w:val="00180190"/>
    <w:rsid w:val="001814CA"/>
    <w:rsid w:val="00182A51"/>
    <w:rsid w:val="00190646"/>
    <w:rsid w:val="001927E0"/>
    <w:rsid w:val="001953AE"/>
    <w:rsid w:val="001964F3"/>
    <w:rsid w:val="001B0B1E"/>
    <w:rsid w:val="001B7765"/>
    <w:rsid w:val="001C0D6C"/>
    <w:rsid w:val="001C2AB1"/>
    <w:rsid w:val="001C420C"/>
    <w:rsid w:val="001C4729"/>
    <w:rsid w:val="001C6829"/>
    <w:rsid w:val="001D4130"/>
    <w:rsid w:val="001E19BA"/>
    <w:rsid w:val="001E2545"/>
    <w:rsid w:val="001E32B4"/>
    <w:rsid w:val="001F4927"/>
    <w:rsid w:val="00201C2C"/>
    <w:rsid w:val="0020342C"/>
    <w:rsid w:val="00203E80"/>
    <w:rsid w:val="00210CE6"/>
    <w:rsid w:val="002136C2"/>
    <w:rsid w:val="00225A3C"/>
    <w:rsid w:val="002373CC"/>
    <w:rsid w:val="002433B9"/>
    <w:rsid w:val="00244FC1"/>
    <w:rsid w:val="002460A7"/>
    <w:rsid w:val="0024656A"/>
    <w:rsid w:val="002518FC"/>
    <w:rsid w:val="00252BFB"/>
    <w:rsid w:val="00264582"/>
    <w:rsid w:val="0027227F"/>
    <w:rsid w:val="00283173"/>
    <w:rsid w:val="00285DDC"/>
    <w:rsid w:val="00286575"/>
    <w:rsid w:val="00290D98"/>
    <w:rsid w:val="00291404"/>
    <w:rsid w:val="002A2525"/>
    <w:rsid w:val="002A5E00"/>
    <w:rsid w:val="002A77A2"/>
    <w:rsid w:val="002B6FD3"/>
    <w:rsid w:val="002C7688"/>
    <w:rsid w:val="002D56F4"/>
    <w:rsid w:val="002E119C"/>
    <w:rsid w:val="002E6EFD"/>
    <w:rsid w:val="002F0347"/>
    <w:rsid w:val="002F6F6C"/>
    <w:rsid w:val="0030091B"/>
    <w:rsid w:val="00302DAC"/>
    <w:rsid w:val="00311FC4"/>
    <w:rsid w:val="00315888"/>
    <w:rsid w:val="0032428A"/>
    <w:rsid w:val="00327B6A"/>
    <w:rsid w:val="00332D16"/>
    <w:rsid w:val="00336643"/>
    <w:rsid w:val="00340244"/>
    <w:rsid w:val="0034057D"/>
    <w:rsid w:val="00345ADD"/>
    <w:rsid w:val="00350AE7"/>
    <w:rsid w:val="0036204E"/>
    <w:rsid w:val="0036663D"/>
    <w:rsid w:val="00375A2D"/>
    <w:rsid w:val="00385A81"/>
    <w:rsid w:val="00387055"/>
    <w:rsid w:val="003926CF"/>
    <w:rsid w:val="00395327"/>
    <w:rsid w:val="003A0340"/>
    <w:rsid w:val="003A4302"/>
    <w:rsid w:val="003A610D"/>
    <w:rsid w:val="003A7436"/>
    <w:rsid w:val="003C0053"/>
    <w:rsid w:val="003C0E0C"/>
    <w:rsid w:val="003C230D"/>
    <w:rsid w:val="003C33D5"/>
    <w:rsid w:val="003C52E8"/>
    <w:rsid w:val="003C6000"/>
    <w:rsid w:val="003D0D26"/>
    <w:rsid w:val="003D2CCC"/>
    <w:rsid w:val="003D473A"/>
    <w:rsid w:val="003D4775"/>
    <w:rsid w:val="003D4E22"/>
    <w:rsid w:val="003F3FF7"/>
    <w:rsid w:val="003F5A59"/>
    <w:rsid w:val="003F77B6"/>
    <w:rsid w:val="00400EDA"/>
    <w:rsid w:val="004043D7"/>
    <w:rsid w:val="004045ED"/>
    <w:rsid w:val="004057D3"/>
    <w:rsid w:val="00407CDB"/>
    <w:rsid w:val="0041061B"/>
    <w:rsid w:val="00412A6A"/>
    <w:rsid w:val="00412B65"/>
    <w:rsid w:val="004203A0"/>
    <w:rsid w:val="00422625"/>
    <w:rsid w:val="004229B0"/>
    <w:rsid w:val="0044381B"/>
    <w:rsid w:val="00443EB1"/>
    <w:rsid w:val="00444597"/>
    <w:rsid w:val="00462922"/>
    <w:rsid w:val="004658AC"/>
    <w:rsid w:val="00470720"/>
    <w:rsid w:val="004740AE"/>
    <w:rsid w:val="004760E5"/>
    <w:rsid w:val="004814D8"/>
    <w:rsid w:val="004869AE"/>
    <w:rsid w:val="00494E62"/>
    <w:rsid w:val="004A37FB"/>
    <w:rsid w:val="004A5677"/>
    <w:rsid w:val="004A6F81"/>
    <w:rsid w:val="004B1961"/>
    <w:rsid w:val="004C5C8C"/>
    <w:rsid w:val="004C6531"/>
    <w:rsid w:val="004E2D71"/>
    <w:rsid w:val="00500688"/>
    <w:rsid w:val="00502C20"/>
    <w:rsid w:val="00502FF7"/>
    <w:rsid w:val="00514056"/>
    <w:rsid w:val="0052105E"/>
    <w:rsid w:val="00521D78"/>
    <w:rsid w:val="005243D8"/>
    <w:rsid w:val="00526353"/>
    <w:rsid w:val="00540F62"/>
    <w:rsid w:val="0054147E"/>
    <w:rsid w:val="005434D9"/>
    <w:rsid w:val="005446FC"/>
    <w:rsid w:val="0054573E"/>
    <w:rsid w:val="005552F6"/>
    <w:rsid w:val="0055761E"/>
    <w:rsid w:val="005654E2"/>
    <w:rsid w:val="00570389"/>
    <w:rsid w:val="0057531E"/>
    <w:rsid w:val="00575E34"/>
    <w:rsid w:val="005768F0"/>
    <w:rsid w:val="00597086"/>
    <w:rsid w:val="005A739F"/>
    <w:rsid w:val="005A7A1B"/>
    <w:rsid w:val="005C1071"/>
    <w:rsid w:val="005C2C41"/>
    <w:rsid w:val="005C6755"/>
    <w:rsid w:val="005C687D"/>
    <w:rsid w:val="005C709E"/>
    <w:rsid w:val="005D0158"/>
    <w:rsid w:val="005D1815"/>
    <w:rsid w:val="005D545B"/>
    <w:rsid w:val="005E229B"/>
    <w:rsid w:val="005E369E"/>
    <w:rsid w:val="005E5F7A"/>
    <w:rsid w:val="00600524"/>
    <w:rsid w:val="006027DB"/>
    <w:rsid w:val="00612A1B"/>
    <w:rsid w:val="006212BD"/>
    <w:rsid w:val="0063107F"/>
    <w:rsid w:val="006312BE"/>
    <w:rsid w:val="006369F3"/>
    <w:rsid w:val="00651591"/>
    <w:rsid w:val="00652A07"/>
    <w:rsid w:val="0065655B"/>
    <w:rsid w:val="00660F5B"/>
    <w:rsid w:val="00666D5B"/>
    <w:rsid w:val="00667711"/>
    <w:rsid w:val="00670C2E"/>
    <w:rsid w:val="00672076"/>
    <w:rsid w:val="006738E0"/>
    <w:rsid w:val="00694295"/>
    <w:rsid w:val="0069732F"/>
    <w:rsid w:val="006A0664"/>
    <w:rsid w:val="006A24F8"/>
    <w:rsid w:val="006B2C92"/>
    <w:rsid w:val="006B7B55"/>
    <w:rsid w:val="006C0AEA"/>
    <w:rsid w:val="006C104E"/>
    <w:rsid w:val="006C3736"/>
    <w:rsid w:val="006C714E"/>
    <w:rsid w:val="006D2F69"/>
    <w:rsid w:val="006D4163"/>
    <w:rsid w:val="006E0380"/>
    <w:rsid w:val="006E1D5C"/>
    <w:rsid w:val="006E3F18"/>
    <w:rsid w:val="006E47CB"/>
    <w:rsid w:val="006F1373"/>
    <w:rsid w:val="006F1520"/>
    <w:rsid w:val="006F1989"/>
    <w:rsid w:val="006F1D90"/>
    <w:rsid w:val="006F400C"/>
    <w:rsid w:val="006F5E94"/>
    <w:rsid w:val="00705957"/>
    <w:rsid w:val="0071105D"/>
    <w:rsid w:val="00712CF6"/>
    <w:rsid w:val="00720912"/>
    <w:rsid w:val="007239B1"/>
    <w:rsid w:val="00725D7A"/>
    <w:rsid w:val="00726C4D"/>
    <w:rsid w:val="00727C55"/>
    <w:rsid w:val="00731A10"/>
    <w:rsid w:val="00733508"/>
    <w:rsid w:val="007351A1"/>
    <w:rsid w:val="00742190"/>
    <w:rsid w:val="007426F0"/>
    <w:rsid w:val="00743E84"/>
    <w:rsid w:val="00744ABB"/>
    <w:rsid w:val="007462C6"/>
    <w:rsid w:val="007477E4"/>
    <w:rsid w:val="00750BDA"/>
    <w:rsid w:val="00750DE8"/>
    <w:rsid w:val="007516AD"/>
    <w:rsid w:val="00755A4C"/>
    <w:rsid w:val="00767548"/>
    <w:rsid w:val="007750FE"/>
    <w:rsid w:val="007778AF"/>
    <w:rsid w:val="0078651A"/>
    <w:rsid w:val="007A1D8D"/>
    <w:rsid w:val="007A388C"/>
    <w:rsid w:val="007A6040"/>
    <w:rsid w:val="007B495A"/>
    <w:rsid w:val="007B54E8"/>
    <w:rsid w:val="007B641E"/>
    <w:rsid w:val="007B69F4"/>
    <w:rsid w:val="007C1080"/>
    <w:rsid w:val="007D09D4"/>
    <w:rsid w:val="007D25FC"/>
    <w:rsid w:val="007D729D"/>
    <w:rsid w:val="007E09E6"/>
    <w:rsid w:val="007E0D88"/>
    <w:rsid w:val="007E3E0F"/>
    <w:rsid w:val="007E611A"/>
    <w:rsid w:val="007E6B7F"/>
    <w:rsid w:val="007E7814"/>
    <w:rsid w:val="007E7EF5"/>
    <w:rsid w:val="007F339C"/>
    <w:rsid w:val="007F5B82"/>
    <w:rsid w:val="007F7347"/>
    <w:rsid w:val="008000E8"/>
    <w:rsid w:val="00800A07"/>
    <w:rsid w:val="00803314"/>
    <w:rsid w:val="00805506"/>
    <w:rsid w:val="008102FA"/>
    <w:rsid w:val="008118B0"/>
    <w:rsid w:val="00811BEC"/>
    <w:rsid w:val="00823914"/>
    <w:rsid w:val="00826C88"/>
    <w:rsid w:val="00830754"/>
    <w:rsid w:val="00830F5D"/>
    <w:rsid w:val="008313CD"/>
    <w:rsid w:val="008329BA"/>
    <w:rsid w:val="00835C4F"/>
    <w:rsid w:val="00835F3F"/>
    <w:rsid w:val="00843264"/>
    <w:rsid w:val="00845216"/>
    <w:rsid w:val="00850CFB"/>
    <w:rsid w:val="00852D46"/>
    <w:rsid w:val="00853A7D"/>
    <w:rsid w:val="00866E26"/>
    <w:rsid w:val="00877DB8"/>
    <w:rsid w:val="0088018F"/>
    <w:rsid w:val="00880956"/>
    <w:rsid w:val="00881002"/>
    <w:rsid w:val="00883710"/>
    <w:rsid w:val="008873EC"/>
    <w:rsid w:val="00893673"/>
    <w:rsid w:val="00893BDF"/>
    <w:rsid w:val="00894CA2"/>
    <w:rsid w:val="00896707"/>
    <w:rsid w:val="008A1EFB"/>
    <w:rsid w:val="008A679D"/>
    <w:rsid w:val="008A78F3"/>
    <w:rsid w:val="008B250F"/>
    <w:rsid w:val="008B78D5"/>
    <w:rsid w:val="008C169F"/>
    <w:rsid w:val="008C3162"/>
    <w:rsid w:val="008C516A"/>
    <w:rsid w:val="008C5366"/>
    <w:rsid w:val="008C5E8E"/>
    <w:rsid w:val="008C73F3"/>
    <w:rsid w:val="008D34A3"/>
    <w:rsid w:val="008D6E78"/>
    <w:rsid w:val="008E1059"/>
    <w:rsid w:val="008E4B5F"/>
    <w:rsid w:val="008E6620"/>
    <w:rsid w:val="008E7411"/>
    <w:rsid w:val="008F2561"/>
    <w:rsid w:val="008F2CDB"/>
    <w:rsid w:val="008F48CF"/>
    <w:rsid w:val="00902DFA"/>
    <w:rsid w:val="009063B6"/>
    <w:rsid w:val="00906502"/>
    <w:rsid w:val="009111FD"/>
    <w:rsid w:val="009124E8"/>
    <w:rsid w:val="009142F5"/>
    <w:rsid w:val="00915D5B"/>
    <w:rsid w:val="00931600"/>
    <w:rsid w:val="00933323"/>
    <w:rsid w:val="00933A01"/>
    <w:rsid w:val="00935E63"/>
    <w:rsid w:val="00936441"/>
    <w:rsid w:val="009474B1"/>
    <w:rsid w:val="00951F0E"/>
    <w:rsid w:val="009605F7"/>
    <w:rsid w:val="00962E39"/>
    <w:rsid w:val="00963A8B"/>
    <w:rsid w:val="00970896"/>
    <w:rsid w:val="0097129E"/>
    <w:rsid w:val="00971317"/>
    <w:rsid w:val="00972B82"/>
    <w:rsid w:val="00972CB3"/>
    <w:rsid w:val="009757CE"/>
    <w:rsid w:val="0097710C"/>
    <w:rsid w:val="00980D8A"/>
    <w:rsid w:val="0098644A"/>
    <w:rsid w:val="00986EEC"/>
    <w:rsid w:val="00991333"/>
    <w:rsid w:val="0099519F"/>
    <w:rsid w:val="009A7B77"/>
    <w:rsid w:val="009A7FCE"/>
    <w:rsid w:val="009B27D6"/>
    <w:rsid w:val="009C2A25"/>
    <w:rsid w:val="009D4F72"/>
    <w:rsid w:val="009D5377"/>
    <w:rsid w:val="009D77C1"/>
    <w:rsid w:val="009E23AE"/>
    <w:rsid w:val="009E4C03"/>
    <w:rsid w:val="009E7609"/>
    <w:rsid w:val="009F05C4"/>
    <w:rsid w:val="009F1AB0"/>
    <w:rsid w:val="009F32D9"/>
    <w:rsid w:val="009F3712"/>
    <w:rsid w:val="009F56A8"/>
    <w:rsid w:val="009F6FB2"/>
    <w:rsid w:val="009F77A4"/>
    <w:rsid w:val="00A0478E"/>
    <w:rsid w:val="00A05485"/>
    <w:rsid w:val="00A13412"/>
    <w:rsid w:val="00A2042A"/>
    <w:rsid w:val="00A22519"/>
    <w:rsid w:val="00A22D3E"/>
    <w:rsid w:val="00A2328B"/>
    <w:rsid w:val="00A26DDD"/>
    <w:rsid w:val="00A273DF"/>
    <w:rsid w:val="00A321EE"/>
    <w:rsid w:val="00A33907"/>
    <w:rsid w:val="00A33CEC"/>
    <w:rsid w:val="00A3637D"/>
    <w:rsid w:val="00A372B1"/>
    <w:rsid w:val="00A37910"/>
    <w:rsid w:val="00A427F2"/>
    <w:rsid w:val="00A45B54"/>
    <w:rsid w:val="00A528F4"/>
    <w:rsid w:val="00A60F51"/>
    <w:rsid w:val="00A6577A"/>
    <w:rsid w:val="00A65EF7"/>
    <w:rsid w:val="00A701A4"/>
    <w:rsid w:val="00A72E59"/>
    <w:rsid w:val="00A765A8"/>
    <w:rsid w:val="00A77231"/>
    <w:rsid w:val="00A7771A"/>
    <w:rsid w:val="00A83648"/>
    <w:rsid w:val="00A83E59"/>
    <w:rsid w:val="00A85196"/>
    <w:rsid w:val="00A86765"/>
    <w:rsid w:val="00AA17D0"/>
    <w:rsid w:val="00AA6F0E"/>
    <w:rsid w:val="00AA7719"/>
    <w:rsid w:val="00AB67F9"/>
    <w:rsid w:val="00AC794A"/>
    <w:rsid w:val="00AC7F26"/>
    <w:rsid w:val="00AD0F43"/>
    <w:rsid w:val="00AE1A54"/>
    <w:rsid w:val="00AE1E86"/>
    <w:rsid w:val="00AE60D6"/>
    <w:rsid w:val="00AF09BD"/>
    <w:rsid w:val="00AF43CF"/>
    <w:rsid w:val="00AF4B09"/>
    <w:rsid w:val="00AF7717"/>
    <w:rsid w:val="00B07C35"/>
    <w:rsid w:val="00B22478"/>
    <w:rsid w:val="00B27AE4"/>
    <w:rsid w:val="00B42B23"/>
    <w:rsid w:val="00B4561A"/>
    <w:rsid w:val="00B61A5C"/>
    <w:rsid w:val="00B65707"/>
    <w:rsid w:val="00B6667F"/>
    <w:rsid w:val="00B81897"/>
    <w:rsid w:val="00B86EC0"/>
    <w:rsid w:val="00B907C1"/>
    <w:rsid w:val="00B928A5"/>
    <w:rsid w:val="00B94BD9"/>
    <w:rsid w:val="00B954BB"/>
    <w:rsid w:val="00B9645E"/>
    <w:rsid w:val="00BA2BC7"/>
    <w:rsid w:val="00BB235D"/>
    <w:rsid w:val="00BB2894"/>
    <w:rsid w:val="00BB37E7"/>
    <w:rsid w:val="00BB3964"/>
    <w:rsid w:val="00BB3FEF"/>
    <w:rsid w:val="00BC0A27"/>
    <w:rsid w:val="00BC5592"/>
    <w:rsid w:val="00BD2A55"/>
    <w:rsid w:val="00BE13BB"/>
    <w:rsid w:val="00BE3270"/>
    <w:rsid w:val="00BE3315"/>
    <w:rsid w:val="00BF2BF8"/>
    <w:rsid w:val="00BF5574"/>
    <w:rsid w:val="00BF74C7"/>
    <w:rsid w:val="00BF7A26"/>
    <w:rsid w:val="00C010BF"/>
    <w:rsid w:val="00C0656E"/>
    <w:rsid w:val="00C10EFA"/>
    <w:rsid w:val="00C33A34"/>
    <w:rsid w:val="00C34504"/>
    <w:rsid w:val="00C37CC0"/>
    <w:rsid w:val="00C431B1"/>
    <w:rsid w:val="00C43A4A"/>
    <w:rsid w:val="00C57B1A"/>
    <w:rsid w:val="00C62F0A"/>
    <w:rsid w:val="00C6362A"/>
    <w:rsid w:val="00C663A8"/>
    <w:rsid w:val="00C667E5"/>
    <w:rsid w:val="00C66AAA"/>
    <w:rsid w:val="00C71746"/>
    <w:rsid w:val="00C717F5"/>
    <w:rsid w:val="00C82A9A"/>
    <w:rsid w:val="00C82EF9"/>
    <w:rsid w:val="00C83A72"/>
    <w:rsid w:val="00C853E2"/>
    <w:rsid w:val="00C94597"/>
    <w:rsid w:val="00CA6AEF"/>
    <w:rsid w:val="00CB7251"/>
    <w:rsid w:val="00CC2D18"/>
    <w:rsid w:val="00CC3E15"/>
    <w:rsid w:val="00CC71DC"/>
    <w:rsid w:val="00CC7E37"/>
    <w:rsid w:val="00CD5F37"/>
    <w:rsid w:val="00CD7543"/>
    <w:rsid w:val="00CE00D0"/>
    <w:rsid w:val="00CE1135"/>
    <w:rsid w:val="00CE6631"/>
    <w:rsid w:val="00CF3B31"/>
    <w:rsid w:val="00CF6F49"/>
    <w:rsid w:val="00D0108E"/>
    <w:rsid w:val="00D0352A"/>
    <w:rsid w:val="00D03C21"/>
    <w:rsid w:val="00D0690A"/>
    <w:rsid w:val="00D112D3"/>
    <w:rsid w:val="00D14152"/>
    <w:rsid w:val="00D15259"/>
    <w:rsid w:val="00D153D1"/>
    <w:rsid w:val="00D21309"/>
    <w:rsid w:val="00D2266A"/>
    <w:rsid w:val="00D256FD"/>
    <w:rsid w:val="00D322FE"/>
    <w:rsid w:val="00D4023D"/>
    <w:rsid w:val="00D45EBF"/>
    <w:rsid w:val="00D47114"/>
    <w:rsid w:val="00D516DE"/>
    <w:rsid w:val="00D53CA9"/>
    <w:rsid w:val="00D53E7F"/>
    <w:rsid w:val="00D554FD"/>
    <w:rsid w:val="00D56456"/>
    <w:rsid w:val="00D70F52"/>
    <w:rsid w:val="00D71969"/>
    <w:rsid w:val="00D74198"/>
    <w:rsid w:val="00D76DC5"/>
    <w:rsid w:val="00D77775"/>
    <w:rsid w:val="00D77ABD"/>
    <w:rsid w:val="00D84D33"/>
    <w:rsid w:val="00D9177F"/>
    <w:rsid w:val="00DA3E2B"/>
    <w:rsid w:val="00DA4261"/>
    <w:rsid w:val="00DB5253"/>
    <w:rsid w:val="00DC376E"/>
    <w:rsid w:val="00DC6A5A"/>
    <w:rsid w:val="00DD06DE"/>
    <w:rsid w:val="00DD15EE"/>
    <w:rsid w:val="00DD5C19"/>
    <w:rsid w:val="00DD70F0"/>
    <w:rsid w:val="00DE2752"/>
    <w:rsid w:val="00DE3E73"/>
    <w:rsid w:val="00DF091C"/>
    <w:rsid w:val="00DF3FCB"/>
    <w:rsid w:val="00DF6AE4"/>
    <w:rsid w:val="00E00233"/>
    <w:rsid w:val="00E10E5F"/>
    <w:rsid w:val="00E175B3"/>
    <w:rsid w:val="00E17B6D"/>
    <w:rsid w:val="00E206B4"/>
    <w:rsid w:val="00E21CEC"/>
    <w:rsid w:val="00E25B2B"/>
    <w:rsid w:val="00E31AF7"/>
    <w:rsid w:val="00E34F56"/>
    <w:rsid w:val="00E40A9F"/>
    <w:rsid w:val="00E44DBA"/>
    <w:rsid w:val="00E451D7"/>
    <w:rsid w:val="00E5090F"/>
    <w:rsid w:val="00E52D4D"/>
    <w:rsid w:val="00E56236"/>
    <w:rsid w:val="00E577D7"/>
    <w:rsid w:val="00E7099B"/>
    <w:rsid w:val="00E72CB8"/>
    <w:rsid w:val="00E72D70"/>
    <w:rsid w:val="00E75398"/>
    <w:rsid w:val="00E76322"/>
    <w:rsid w:val="00E837FF"/>
    <w:rsid w:val="00E84F0E"/>
    <w:rsid w:val="00E86B09"/>
    <w:rsid w:val="00E93EC6"/>
    <w:rsid w:val="00E94AC6"/>
    <w:rsid w:val="00EA273F"/>
    <w:rsid w:val="00EA3277"/>
    <w:rsid w:val="00EA5BC5"/>
    <w:rsid w:val="00EA629F"/>
    <w:rsid w:val="00EB0301"/>
    <w:rsid w:val="00EB1B2C"/>
    <w:rsid w:val="00EB3BD0"/>
    <w:rsid w:val="00EC3663"/>
    <w:rsid w:val="00EC51F9"/>
    <w:rsid w:val="00ED729C"/>
    <w:rsid w:val="00EE0B20"/>
    <w:rsid w:val="00EE13ED"/>
    <w:rsid w:val="00EE2B35"/>
    <w:rsid w:val="00EE494D"/>
    <w:rsid w:val="00EE5DE1"/>
    <w:rsid w:val="00EF1155"/>
    <w:rsid w:val="00F05AEB"/>
    <w:rsid w:val="00F13461"/>
    <w:rsid w:val="00F13E27"/>
    <w:rsid w:val="00F155CD"/>
    <w:rsid w:val="00F16AE3"/>
    <w:rsid w:val="00F200A0"/>
    <w:rsid w:val="00F23275"/>
    <w:rsid w:val="00F26EFA"/>
    <w:rsid w:val="00F27715"/>
    <w:rsid w:val="00F27D9E"/>
    <w:rsid w:val="00F30327"/>
    <w:rsid w:val="00F304EA"/>
    <w:rsid w:val="00F367CA"/>
    <w:rsid w:val="00F36B20"/>
    <w:rsid w:val="00F379DD"/>
    <w:rsid w:val="00F40035"/>
    <w:rsid w:val="00F40F92"/>
    <w:rsid w:val="00F4114D"/>
    <w:rsid w:val="00F52CB9"/>
    <w:rsid w:val="00F53FB7"/>
    <w:rsid w:val="00F54442"/>
    <w:rsid w:val="00F57A97"/>
    <w:rsid w:val="00F602FC"/>
    <w:rsid w:val="00F6695C"/>
    <w:rsid w:val="00F711E3"/>
    <w:rsid w:val="00F749FF"/>
    <w:rsid w:val="00F84EF0"/>
    <w:rsid w:val="00F8573B"/>
    <w:rsid w:val="00F91F9A"/>
    <w:rsid w:val="00F92057"/>
    <w:rsid w:val="00F92BC1"/>
    <w:rsid w:val="00F95515"/>
    <w:rsid w:val="00FA153C"/>
    <w:rsid w:val="00FB3085"/>
    <w:rsid w:val="00FC5C2F"/>
    <w:rsid w:val="00FE1B46"/>
    <w:rsid w:val="00FE2103"/>
    <w:rsid w:val="00FE3D68"/>
    <w:rsid w:val="00FE7429"/>
    <w:rsid w:val="00FF17C2"/>
    <w:rsid w:val="00FF54B4"/>
    <w:rsid w:val="00FF65AF"/>
    <w:rsid w:val="00FF66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908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B6A"/>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3">
    <w:name w:val="heading 3"/>
    <w:basedOn w:val="Normal"/>
    <w:next w:val="Normal"/>
    <w:link w:val="Heading3Char"/>
    <w:semiHidden/>
    <w:unhideWhenUsed/>
    <w:qFormat/>
    <w:rsid w:val="00575E3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character" w:styleId="UnresolvedMention">
    <w:name w:val="Unresolved Mention"/>
    <w:uiPriority w:val="99"/>
    <w:semiHidden/>
    <w:unhideWhenUsed/>
    <w:rsid w:val="006C104E"/>
    <w:rPr>
      <w:color w:val="808080"/>
      <w:shd w:val="clear" w:color="auto" w:fill="E6E6E6"/>
    </w:rPr>
  </w:style>
  <w:style w:type="paragraph" w:styleId="ListParagraph">
    <w:name w:val="List Paragraph"/>
    <w:basedOn w:val="Normal"/>
    <w:uiPriority w:val="1"/>
    <w:qFormat/>
    <w:rsid w:val="008C516A"/>
    <w:pPr>
      <w:ind w:left="720"/>
    </w:pPr>
  </w:style>
  <w:style w:type="character" w:styleId="CommentReference">
    <w:name w:val="annotation reference"/>
    <w:uiPriority w:val="99"/>
    <w:rsid w:val="00C431B1"/>
    <w:rPr>
      <w:sz w:val="16"/>
      <w:szCs w:val="16"/>
    </w:rPr>
  </w:style>
  <w:style w:type="paragraph" w:styleId="CommentText">
    <w:name w:val="annotation text"/>
    <w:basedOn w:val="Normal"/>
    <w:link w:val="CommentTextChar"/>
    <w:uiPriority w:val="99"/>
    <w:rsid w:val="00C431B1"/>
  </w:style>
  <w:style w:type="character" w:customStyle="1" w:styleId="CommentTextChar">
    <w:name w:val="Comment Text Char"/>
    <w:link w:val="CommentText"/>
    <w:uiPriority w:val="99"/>
    <w:rsid w:val="00C431B1"/>
    <w:rPr>
      <w:rFonts w:ascii="Letter Gothic 12cpi" w:hAnsi="Letter Gothic 12cpi"/>
    </w:rPr>
  </w:style>
  <w:style w:type="paragraph" w:styleId="CommentSubject">
    <w:name w:val="annotation subject"/>
    <w:basedOn w:val="CommentText"/>
    <w:next w:val="CommentText"/>
    <w:link w:val="CommentSubjectChar"/>
    <w:rsid w:val="00C431B1"/>
    <w:rPr>
      <w:b/>
      <w:bCs/>
    </w:rPr>
  </w:style>
  <w:style w:type="character" w:customStyle="1" w:styleId="CommentSubjectChar">
    <w:name w:val="Comment Subject Char"/>
    <w:link w:val="CommentSubject"/>
    <w:rsid w:val="00C431B1"/>
    <w:rPr>
      <w:rFonts w:ascii="Letter Gothic 12cpi" w:hAnsi="Letter Gothic 12cpi"/>
      <w:b/>
      <w:bCs/>
    </w:rPr>
  </w:style>
  <w:style w:type="paragraph" w:styleId="BalloonText">
    <w:name w:val="Balloon Text"/>
    <w:basedOn w:val="Normal"/>
    <w:link w:val="BalloonTextChar"/>
    <w:rsid w:val="00C431B1"/>
    <w:rPr>
      <w:rFonts w:ascii="Segoe UI" w:hAnsi="Segoe UI" w:cs="Segoe UI"/>
      <w:sz w:val="18"/>
      <w:szCs w:val="18"/>
    </w:rPr>
  </w:style>
  <w:style w:type="character" w:customStyle="1" w:styleId="BalloonTextChar">
    <w:name w:val="Balloon Text Char"/>
    <w:link w:val="BalloonText"/>
    <w:rsid w:val="00C431B1"/>
    <w:rPr>
      <w:rFonts w:ascii="Segoe UI" w:hAnsi="Segoe UI" w:cs="Segoe UI"/>
      <w:sz w:val="18"/>
      <w:szCs w:val="18"/>
    </w:rPr>
  </w:style>
  <w:style w:type="table" w:styleId="TableGrid">
    <w:name w:val="Table Grid"/>
    <w:basedOn w:val="TableNormal"/>
    <w:rsid w:val="00E9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110601"/>
    <w:rPr>
      <w:color w:val="2B579A"/>
      <w:shd w:val="clear" w:color="auto" w:fill="E6E6E6"/>
    </w:rPr>
  </w:style>
  <w:style w:type="character" w:styleId="FollowedHyperlink">
    <w:name w:val="FollowedHyperlink"/>
    <w:rsid w:val="00291404"/>
    <w:rPr>
      <w:color w:val="954F72"/>
      <w:u w:val="single"/>
    </w:rPr>
  </w:style>
  <w:style w:type="paragraph" w:styleId="Revision">
    <w:name w:val="Revision"/>
    <w:hidden/>
    <w:uiPriority w:val="99"/>
    <w:semiHidden/>
    <w:rsid w:val="00F23275"/>
    <w:rPr>
      <w:rFonts w:ascii="Letter Gothic 12cpi" w:hAnsi="Letter Gothic 12cpi"/>
    </w:rPr>
  </w:style>
  <w:style w:type="character" w:customStyle="1" w:styleId="HeaderChar">
    <w:name w:val="Header Char"/>
    <w:link w:val="Header"/>
    <w:uiPriority w:val="99"/>
    <w:rsid w:val="008E1059"/>
    <w:rPr>
      <w:rFonts w:ascii="Letter Gothic 12cpi" w:hAnsi="Letter Gothic 12cpi"/>
    </w:rPr>
  </w:style>
  <w:style w:type="character" w:customStyle="1" w:styleId="BodyText3Char">
    <w:name w:val="Body Text 3 Char"/>
    <w:link w:val="BodyText3"/>
    <w:rsid w:val="00660F5B"/>
    <w:rPr>
      <w:rFonts w:ascii="Letter Gothic 12cpi" w:hAnsi="Letter Gothic 12cpi"/>
      <w:color w:val="FF0000"/>
      <w:sz w:val="24"/>
      <w:szCs w:val="24"/>
    </w:rPr>
  </w:style>
  <w:style w:type="character" w:customStyle="1" w:styleId="Heading3Char">
    <w:name w:val="Heading 3 Char"/>
    <w:basedOn w:val="DefaultParagraphFont"/>
    <w:link w:val="Heading3"/>
    <w:semiHidden/>
    <w:rsid w:val="00575E34"/>
    <w:rPr>
      <w:rFonts w:asciiTheme="majorHAnsi" w:eastAsiaTheme="majorEastAsia" w:hAnsiTheme="majorHAnsi" w:cstheme="majorBidi"/>
      <w:b/>
      <w:bCs/>
      <w:sz w:val="26"/>
      <w:szCs w:val="26"/>
    </w:rPr>
  </w:style>
  <w:style w:type="paragraph" w:customStyle="1" w:styleId="Default">
    <w:name w:val="Default"/>
    <w:rsid w:val="00E7099B"/>
    <w:pPr>
      <w:autoSpaceDE w:val="0"/>
      <w:autoSpaceDN w:val="0"/>
      <w:adjustRightInd w:val="0"/>
    </w:pPr>
    <w:rPr>
      <w:rFonts w:ascii="Georgia" w:hAnsi="Georgia" w:cs="Georgia"/>
      <w:color w:val="000000"/>
      <w:sz w:val="24"/>
      <w:szCs w:val="24"/>
    </w:rPr>
  </w:style>
  <w:style w:type="paragraph" w:styleId="FootnoteText">
    <w:name w:val="footnote text"/>
    <w:basedOn w:val="Normal"/>
    <w:link w:val="FootnoteTextChar"/>
    <w:rsid w:val="00893673"/>
  </w:style>
  <w:style w:type="character" w:customStyle="1" w:styleId="FootnoteTextChar">
    <w:name w:val="Footnote Text Char"/>
    <w:basedOn w:val="DefaultParagraphFont"/>
    <w:link w:val="FootnoteText"/>
    <w:rsid w:val="00893673"/>
    <w:rPr>
      <w:rFonts w:ascii="Letter Gothic 12cpi" w:hAnsi="Letter Gothic 12cpi"/>
    </w:rPr>
  </w:style>
  <w:style w:type="character" w:styleId="FootnoteReference">
    <w:name w:val="footnote reference"/>
    <w:basedOn w:val="DefaultParagraphFont"/>
    <w:uiPriority w:val="99"/>
    <w:rsid w:val="0089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aritime.dot.gov/education/maritime-centers-excellence" TargetMode="External" /><Relationship Id="rId7" Type="http://schemas.openxmlformats.org/officeDocument/2006/relationships/hyperlink" Target="http://www.marad.dot.gov"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033.htm"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pdf/2024/DCB_h.pdf" TargetMode="External" /><Relationship Id="rId4" Type="http://schemas.openxmlformats.org/officeDocument/2006/relationships/hyperlink" Target="https://www.federalpay.org/ses/level-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1461-CEBF-41D5-9666-7E8B9B0A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2024-09-12T19:06:00Z</dcterms:created>
  <dcterms:modified xsi:type="dcterms:W3CDTF">2024-09-12T19:06:00Z</dcterms:modified>
</cp:coreProperties>
</file>