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70720" w:rsidP="005C0E7E" w14:paraId="4A12A262" w14:textId="77777777">
      <w:pPr>
        <w:pStyle w:val="Title"/>
        <w:rPr>
          <w:rFonts w:ascii="Times New Roman" w:hAnsi="Times New Roman"/>
          <w:color w:val="000000"/>
          <w:u w:val="none"/>
        </w:rPr>
      </w:pPr>
      <w:r w:rsidRPr="0020305E">
        <w:rPr>
          <w:rFonts w:ascii="Times New Roman" w:hAnsi="Times New Roman"/>
          <w:color w:val="000000"/>
          <w:u w:val="none"/>
        </w:rPr>
        <w:t>Department of Transportation</w:t>
      </w:r>
    </w:p>
    <w:p w:rsidR="00EC3AF9" w:rsidP="005C0E7E" w14:paraId="374AD3C7" w14:textId="5E321FB9">
      <w:pPr>
        <w:pStyle w:val="Title"/>
        <w:rPr>
          <w:rFonts w:ascii="Times New Roman" w:hAnsi="Times New Roman"/>
          <w:color w:val="000000"/>
          <w:u w:val="none"/>
        </w:rPr>
      </w:pPr>
      <w:r>
        <w:rPr>
          <w:rFonts w:ascii="Times New Roman" w:hAnsi="Times New Roman"/>
          <w:color w:val="000000"/>
          <w:u w:val="none"/>
        </w:rPr>
        <w:t>Maritime Administration</w:t>
      </w:r>
    </w:p>
    <w:p w:rsidR="00EC3AF9" w:rsidP="005C0E7E" w14:paraId="3E42C79F" w14:textId="33EF139F">
      <w:pPr>
        <w:pStyle w:val="Title"/>
        <w:rPr>
          <w:rFonts w:ascii="Times New Roman" w:hAnsi="Times New Roman"/>
          <w:color w:val="000000"/>
          <w:u w:val="none"/>
        </w:rPr>
      </w:pPr>
      <w:r>
        <w:rPr>
          <w:rFonts w:ascii="Times New Roman" w:hAnsi="Times New Roman"/>
          <w:color w:val="000000"/>
          <w:u w:val="none"/>
        </w:rPr>
        <w:t>Information Collection Request (ICR)</w:t>
      </w:r>
    </w:p>
    <w:p w:rsidR="00EC3AF9" w:rsidP="005C0E7E" w14:paraId="1971FE09" w14:textId="6672069D">
      <w:pPr>
        <w:pStyle w:val="Title"/>
        <w:rPr>
          <w:rFonts w:ascii="Times New Roman" w:hAnsi="Times New Roman"/>
          <w:color w:val="000000"/>
          <w:u w:val="none"/>
        </w:rPr>
      </w:pPr>
      <w:r>
        <w:rPr>
          <w:rFonts w:ascii="Times New Roman" w:hAnsi="Times New Roman"/>
          <w:color w:val="000000"/>
          <w:u w:val="none"/>
        </w:rPr>
        <w:t>OMB 2133-0032</w:t>
      </w:r>
    </w:p>
    <w:p w:rsidR="00EC3AF9" w:rsidP="00EC3AF9" w14:paraId="0EC50262" w14:textId="77777777">
      <w:pPr>
        <w:pStyle w:val="Title"/>
        <w:rPr>
          <w:rFonts w:ascii="Times New Roman" w:hAnsi="Times New Roman"/>
          <w:color w:val="000000"/>
          <w:u w:val="none"/>
        </w:rPr>
      </w:pPr>
      <w:r w:rsidRPr="0020305E">
        <w:rPr>
          <w:rFonts w:ascii="Times New Roman" w:hAnsi="Times New Roman"/>
          <w:color w:val="000000"/>
          <w:u w:val="none"/>
        </w:rPr>
        <w:t>Application for Construction Reserve Fund and Annual Statements</w:t>
      </w:r>
    </w:p>
    <w:p w:rsidR="00EC3AF9" w:rsidRPr="0020305E" w:rsidP="005C0E7E" w14:paraId="4D82BC0E" w14:textId="77777777">
      <w:pPr>
        <w:pStyle w:val="Title"/>
        <w:rPr>
          <w:rFonts w:ascii="Times New Roman" w:hAnsi="Times New Roman"/>
          <w:color w:val="000000"/>
          <w:u w:val="none"/>
        </w:rPr>
      </w:pPr>
    </w:p>
    <w:p w:rsidR="00470720" w:rsidRPr="0020305E" w14:paraId="47EC7439" w14:textId="77777777">
      <w:pPr>
        <w:pStyle w:val="Title"/>
        <w:rPr>
          <w:rFonts w:ascii="Times New Roman" w:hAnsi="Times New Roman"/>
          <w:color w:val="000000"/>
        </w:rPr>
      </w:pPr>
    </w:p>
    <w:p w:rsidR="0004749E" w:rsidRPr="00C67D3B" w14:paraId="55339AC1" w14:textId="77777777">
      <w:pPr>
        <w:pStyle w:val="Title"/>
        <w:rPr>
          <w:rFonts w:ascii="Times New Roman" w:hAnsi="Times New Roman"/>
          <w:color w:val="000000"/>
          <w:u w:val="none"/>
        </w:rPr>
      </w:pPr>
      <w:r w:rsidRPr="00C67D3B">
        <w:rPr>
          <w:rFonts w:ascii="Times New Roman" w:hAnsi="Times New Roman"/>
          <w:color w:val="000000"/>
          <w:u w:val="none"/>
        </w:rPr>
        <w:t>SUPPORTING STATEMENT</w:t>
      </w:r>
    </w:p>
    <w:p w:rsidR="00105F8E" w:rsidRPr="009D64DC" w14:paraId="7FB0679A" w14:textId="77777777">
      <w:pPr>
        <w:rPr>
          <w:rFonts w:ascii="Times New Roman" w:hAnsi="Times New Roman"/>
          <w:color w:val="000000"/>
          <w:sz w:val="24"/>
          <w:szCs w:val="24"/>
        </w:rPr>
      </w:pPr>
    </w:p>
    <w:p w:rsidR="0004749E" w:rsidRPr="00C67D3B" w14:paraId="2D838BA9" w14:textId="77777777">
      <w:pPr>
        <w:pStyle w:val="Subtitle"/>
        <w:rPr>
          <w:rFonts w:ascii="Times New Roman" w:hAnsi="Times New Roman"/>
          <w:color w:val="000000"/>
          <w:u w:val="none"/>
        </w:rPr>
      </w:pPr>
      <w:r w:rsidRPr="00C67D3B">
        <w:rPr>
          <w:rFonts w:ascii="Times New Roman" w:hAnsi="Times New Roman"/>
          <w:color w:val="000000"/>
          <w:u w:val="none"/>
        </w:rPr>
        <w:t>INTRODUCTION</w:t>
      </w:r>
    </w:p>
    <w:p w:rsidR="0004749E" w:rsidRPr="0020305E" w14:paraId="2A91B108" w14:textId="77777777">
      <w:pPr>
        <w:rPr>
          <w:rFonts w:ascii="Times New Roman" w:hAnsi="Times New Roman"/>
          <w:b/>
          <w:bCs/>
          <w:color w:val="000000"/>
          <w:sz w:val="24"/>
          <w:szCs w:val="24"/>
        </w:rPr>
      </w:pPr>
    </w:p>
    <w:p w:rsidR="00E830CC" w:rsidRPr="00E830CC" w:rsidP="00E830CC" w14:paraId="58F7FF93" w14:textId="5ACA79FA">
      <w:pPr>
        <w:rPr>
          <w:rFonts w:ascii="Times New Roman" w:hAnsi="Times New Roman"/>
          <w:color w:val="000000"/>
          <w:sz w:val="24"/>
          <w:szCs w:val="24"/>
        </w:rPr>
      </w:pPr>
      <w:r w:rsidRPr="00E830CC">
        <w:rPr>
          <w:rFonts w:ascii="Times New Roman" w:hAnsi="Times New Roman"/>
          <w:color w:val="000000"/>
          <w:sz w:val="24"/>
          <w:szCs w:val="24"/>
        </w:rPr>
        <w:t>This</w:t>
      </w:r>
      <w:r w:rsidR="00DF0F07">
        <w:rPr>
          <w:rFonts w:ascii="Times New Roman" w:hAnsi="Times New Roman"/>
          <w:color w:val="000000"/>
          <w:sz w:val="24"/>
          <w:szCs w:val="24"/>
        </w:rPr>
        <w:t xml:space="preserve"> submission</w:t>
      </w:r>
      <w:r w:rsidRPr="00E830CC">
        <w:rPr>
          <w:rFonts w:ascii="Times New Roman" w:hAnsi="Times New Roman"/>
          <w:color w:val="000000"/>
          <w:sz w:val="24"/>
          <w:szCs w:val="24"/>
        </w:rPr>
        <w:t xml:space="preserve"> is to request</w:t>
      </w:r>
      <w:r w:rsidR="00DF0F07">
        <w:rPr>
          <w:rFonts w:ascii="Times New Roman" w:hAnsi="Times New Roman"/>
          <w:color w:val="000000"/>
          <w:sz w:val="24"/>
          <w:szCs w:val="24"/>
        </w:rPr>
        <w:t xml:space="preserve"> a </w:t>
      </w:r>
      <w:r w:rsidRPr="00E830CC" w:rsidR="00DF0F07">
        <w:rPr>
          <w:rFonts w:ascii="Times New Roman" w:hAnsi="Times New Roman"/>
          <w:color w:val="000000"/>
          <w:sz w:val="24"/>
          <w:szCs w:val="24"/>
        </w:rPr>
        <w:t>three-year approval</w:t>
      </w:r>
      <w:r w:rsidR="00DF0F07">
        <w:rPr>
          <w:rFonts w:ascii="Times New Roman" w:hAnsi="Times New Roman"/>
          <w:color w:val="000000"/>
          <w:sz w:val="24"/>
          <w:szCs w:val="24"/>
        </w:rPr>
        <w:t xml:space="preserve"> from</w:t>
      </w:r>
      <w:r w:rsidRPr="00E830CC">
        <w:rPr>
          <w:rFonts w:ascii="Times New Roman" w:hAnsi="Times New Roman"/>
          <w:color w:val="000000"/>
          <w:sz w:val="24"/>
          <w:szCs w:val="24"/>
        </w:rPr>
        <w:t xml:space="preserve"> the Office of Management and Budget’s (OMB) clearance for the information collection entitled</w:t>
      </w:r>
      <w:r w:rsidR="00DF0F07">
        <w:rPr>
          <w:rFonts w:ascii="Times New Roman" w:hAnsi="Times New Roman"/>
          <w:color w:val="000000"/>
          <w:sz w:val="24"/>
          <w:szCs w:val="24"/>
        </w:rPr>
        <w:t xml:space="preserve"> </w:t>
      </w:r>
      <w:r w:rsidRPr="00DF0F07" w:rsidR="00DF0F07">
        <w:rPr>
          <w:rFonts w:ascii="Times New Roman" w:hAnsi="Times New Roman"/>
          <w:color w:val="000000"/>
          <w:sz w:val="24"/>
          <w:szCs w:val="24"/>
        </w:rPr>
        <w:t>OMB 2133-0032</w:t>
      </w:r>
      <w:r w:rsidR="00DF0F07">
        <w:rPr>
          <w:rFonts w:ascii="Times New Roman" w:hAnsi="Times New Roman"/>
          <w:color w:val="000000"/>
          <w:sz w:val="24"/>
          <w:szCs w:val="24"/>
        </w:rPr>
        <w:t xml:space="preserve"> (</w:t>
      </w:r>
      <w:r w:rsidRPr="00E830CC" w:rsidR="00167C9C">
        <w:rPr>
          <w:rFonts w:ascii="Times New Roman" w:hAnsi="Times New Roman"/>
          <w:color w:val="000000"/>
          <w:sz w:val="24"/>
          <w:szCs w:val="24"/>
        </w:rPr>
        <w:t>Application for Construction Reserve Fund and Annual Statements</w:t>
      </w:r>
      <w:r w:rsidR="00DF0F07">
        <w:rPr>
          <w:rFonts w:ascii="Times New Roman" w:hAnsi="Times New Roman"/>
          <w:color w:val="000000"/>
          <w:sz w:val="24"/>
          <w:szCs w:val="24"/>
        </w:rPr>
        <w:t>)</w:t>
      </w:r>
      <w:r w:rsidRPr="00E830CC">
        <w:rPr>
          <w:rFonts w:ascii="Times New Roman" w:hAnsi="Times New Roman"/>
          <w:color w:val="000000"/>
          <w:sz w:val="24"/>
          <w:szCs w:val="24"/>
        </w:rPr>
        <w:t xml:space="preserve">, which is currently due to expire on </w:t>
      </w:r>
      <w:r w:rsidR="00DF0F07">
        <w:rPr>
          <w:rFonts w:ascii="Times New Roman" w:hAnsi="Times New Roman"/>
          <w:color w:val="000000"/>
          <w:sz w:val="24"/>
          <w:szCs w:val="24"/>
        </w:rPr>
        <w:t xml:space="preserve">December </w:t>
      </w:r>
      <w:r w:rsidRPr="00E830CC" w:rsidR="0080291C">
        <w:rPr>
          <w:rFonts w:ascii="Times New Roman" w:hAnsi="Times New Roman"/>
          <w:color w:val="000000"/>
          <w:sz w:val="24"/>
          <w:szCs w:val="24"/>
        </w:rPr>
        <w:t>31, 202</w:t>
      </w:r>
      <w:r w:rsidR="006B5F6D">
        <w:rPr>
          <w:rFonts w:ascii="Times New Roman" w:hAnsi="Times New Roman"/>
          <w:color w:val="000000"/>
          <w:sz w:val="24"/>
          <w:szCs w:val="24"/>
        </w:rPr>
        <w:t>4</w:t>
      </w:r>
      <w:r w:rsidRPr="00E830CC" w:rsidR="0080291C">
        <w:rPr>
          <w:rFonts w:ascii="Times New Roman" w:hAnsi="Times New Roman"/>
          <w:color w:val="000000"/>
          <w:sz w:val="24"/>
          <w:szCs w:val="24"/>
        </w:rPr>
        <w:t>.</w:t>
      </w:r>
      <w:r w:rsidR="00C90244">
        <w:rPr>
          <w:rFonts w:ascii="Times New Roman" w:hAnsi="Times New Roman"/>
          <w:color w:val="000000"/>
          <w:sz w:val="24"/>
          <w:szCs w:val="24"/>
        </w:rPr>
        <w:t xml:space="preserve"> Since the last renewal, </w:t>
      </w:r>
      <w:r w:rsidR="00752A91">
        <w:rPr>
          <w:rFonts w:ascii="Times New Roman" w:hAnsi="Times New Roman"/>
          <w:color w:val="000000"/>
          <w:sz w:val="24"/>
          <w:szCs w:val="24"/>
        </w:rPr>
        <w:t xml:space="preserve">there was a reduction in the public burden </w:t>
      </w:r>
      <w:r w:rsidR="00C90244">
        <w:rPr>
          <w:rFonts w:ascii="Times New Roman" w:hAnsi="Times New Roman"/>
          <w:color w:val="000000"/>
          <w:sz w:val="24"/>
          <w:szCs w:val="24"/>
        </w:rPr>
        <w:t>for this collection. There are no other changes to this collection</w:t>
      </w:r>
      <w:r w:rsidR="004F1A67">
        <w:rPr>
          <w:rFonts w:ascii="Times New Roman" w:hAnsi="Times New Roman"/>
          <w:color w:val="000000"/>
          <w:sz w:val="24"/>
          <w:szCs w:val="24"/>
        </w:rPr>
        <w:t>,</w:t>
      </w:r>
      <w:r w:rsidR="00C90244">
        <w:rPr>
          <w:rFonts w:ascii="Times New Roman" w:hAnsi="Times New Roman"/>
          <w:color w:val="000000"/>
          <w:sz w:val="24"/>
          <w:szCs w:val="24"/>
        </w:rPr>
        <w:t xml:space="preserve"> which will be </w:t>
      </w:r>
      <w:r w:rsidR="001D5F90">
        <w:rPr>
          <w:rFonts w:ascii="Times New Roman" w:hAnsi="Times New Roman"/>
          <w:color w:val="000000"/>
          <w:sz w:val="24"/>
          <w:szCs w:val="24"/>
        </w:rPr>
        <w:t xml:space="preserve">submitted as </w:t>
      </w:r>
      <w:r w:rsidRPr="00C67D3B" w:rsidR="001D5F90">
        <w:rPr>
          <w:rFonts w:ascii="Times New Roman" w:hAnsi="Times New Roman"/>
          <w:i/>
          <w:iCs/>
          <w:color w:val="000000"/>
          <w:sz w:val="24"/>
          <w:szCs w:val="24"/>
        </w:rPr>
        <w:t>an extension of a currently approved collection</w:t>
      </w:r>
      <w:r w:rsidR="001D5F90">
        <w:rPr>
          <w:rFonts w:ascii="Times New Roman" w:hAnsi="Times New Roman"/>
          <w:color w:val="000000"/>
          <w:sz w:val="24"/>
          <w:szCs w:val="24"/>
        </w:rPr>
        <w:t>.</w:t>
      </w:r>
    </w:p>
    <w:p w:rsidR="0004749E" w:rsidRPr="0020305E" w:rsidP="00E830CC" w14:paraId="0CBB8CFD" w14:textId="7B2621A2">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000000"/>
        </w:rPr>
      </w:pPr>
      <w:r>
        <w:rPr>
          <w:rFonts w:ascii="Times New Roman" w:hAnsi="Times New Roman"/>
          <w:color w:val="000000"/>
        </w:rPr>
        <w:t xml:space="preserve"> </w:t>
      </w:r>
      <w:r w:rsidR="00FC232F">
        <w:rPr>
          <w:rFonts w:ascii="Times New Roman" w:hAnsi="Times New Roman"/>
          <w:color w:val="000000"/>
        </w:rPr>
        <w:t xml:space="preserve"> </w:t>
      </w:r>
    </w:p>
    <w:p w:rsidR="0004749E" w:rsidRPr="00C67D3B" w:rsidP="00C67D3B" w14:paraId="121C85C1" w14:textId="63F7C87D">
      <w:pPr>
        <w:pStyle w:val="ListParagraph"/>
        <w:numPr>
          <w:ilvl w:val="0"/>
          <w:numId w:val="11"/>
        </w:num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b/>
          <w:bCs/>
          <w:color w:val="000000"/>
          <w:sz w:val="24"/>
          <w:szCs w:val="24"/>
        </w:rPr>
      </w:pPr>
      <w:r w:rsidRPr="00C67D3B">
        <w:rPr>
          <w:rFonts w:ascii="Times New Roman" w:hAnsi="Times New Roman"/>
          <w:b/>
          <w:bCs/>
          <w:color w:val="000000"/>
          <w:sz w:val="24"/>
          <w:szCs w:val="24"/>
        </w:rPr>
        <w:t>JUSTIFICATION</w:t>
      </w:r>
    </w:p>
    <w:p w:rsidR="0004749E" w:rsidRPr="0020305E" w14:paraId="6B43E74C" w14:textId="7777777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b/>
          <w:bCs/>
          <w:color w:val="000000"/>
          <w:sz w:val="24"/>
          <w:szCs w:val="24"/>
        </w:rPr>
      </w:pPr>
    </w:p>
    <w:p w:rsidR="0004749E" w:rsidRPr="00C67D3B" w:rsidP="00C67D3B" w14:paraId="270D3291" w14:textId="4651DD38">
      <w:pPr>
        <w:pStyle w:val="ListParagraph"/>
        <w:numPr>
          <w:ilvl w:val="0"/>
          <w:numId w:val="12"/>
        </w:num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b/>
          <w:color w:val="000000"/>
          <w:sz w:val="24"/>
          <w:szCs w:val="24"/>
        </w:rPr>
      </w:pPr>
      <w:r w:rsidRPr="00C67D3B">
        <w:rPr>
          <w:rFonts w:ascii="Times New Roman" w:hAnsi="Times New Roman"/>
          <w:b/>
          <w:color w:val="000000"/>
          <w:sz w:val="24"/>
          <w:szCs w:val="24"/>
        </w:rPr>
        <w:t xml:space="preserve">Circumstances </w:t>
      </w:r>
      <w:r w:rsidRPr="00C67D3B" w:rsidR="0003045F">
        <w:rPr>
          <w:rFonts w:ascii="Times New Roman" w:hAnsi="Times New Roman"/>
          <w:b/>
          <w:color w:val="000000"/>
          <w:sz w:val="24"/>
          <w:szCs w:val="24"/>
        </w:rPr>
        <w:t>Making the C</w:t>
      </w:r>
      <w:r w:rsidRPr="00C67D3B">
        <w:rPr>
          <w:rFonts w:ascii="Times New Roman" w:hAnsi="Times New Roman"/>
          <w:b/>
          <w:color w:val="000000"/>
          <w:sz w:val="24"/>
          <w:szCs w:val="24"/>
        </w:rPr>
        <w:t xml:space="preserve">ollection of </w:t>
      </w:r>
      <w:r w:rsidRPr="00C67D3B" w:rsidR="0003045F">
        <w:rPr>
          <w:rFonts w:ascii="Times New Roman" w:hAnsi="Times New Roman"/>
          <w:b/>
          <w:color w:val="000000"/>
          <w:sz w:val="24"/>
          <w:szCs w:val="24"/>
        </w:rPr>
        <w:t>I</w:t>
      </w:r>
      <w:r w:rsidRPr="00C67D3B">
        <w:rPr>
          <w:rFonts w:ascii="Times New Roman" w:hAnsi="Times New Roman"/>
          <w:b/>
          <w:color w:val="000000"/>
          <w:sz w:val="24"/>
          <w:szCs w:val="24"/>
        </w:rPr>
        <w:t xml:space="preserve">nformation </w:t>
      </w:r>
      <w:r w:rsidRPr="00C67D3B" w:rsidR="0003045F">
        <w:rPr>
          <w:rFonts w:ascii="Times New Roman" w:hAnsi="Times New Roman"/>
          <w:b/>
          <w:color w:val="000000"/>
          <w:sz w:val="24"/>
          <w:szCs w:val="24"/>
        </w:rPr>
        <w:t>N</w:t>
      </w:r>
      <w:r w:rsidRPr="00C67D3B">
        <w:rPr>
          <w:rFonts w:ascii="Times New Roman" w:hAnsi="Times New Roman"/>
          <w:b/>
          <w:color w:val="000000"/>
          <w:sz w:val="24"/>
          <w:szCs w:val="24"/>
        </w:rPr>
        <w:t>ecessary</w:t>
      </w:r>
      <w:r w:rsidRPr="00C67D3B" w:rsidR="00E667F4">
        <w:rPr>
          <w:rFonts w:ascii="Times New Roman" w:hAnsi="Times New Roman"/>
          <w:b/>
          <w:color w:val="000000"/>
          <w:sz w:val="24"/>
          <w:szCs w:val="24"/>
        </w:rPr>
        <w:t xml:space="preserve"> </w:t>
      </w:r>
    </w:p>
    <w:p w:rsidR="00793994" w:rsidRPr="0020305E" w:rsidP="00C67D3B" w14:paraId="4059A424" w14:textId="7A0E6675">
      <w:pPr>
        <w:ind w:left="360"/>
        <w:rPr>
          <w:rFonts w:ascii="Times New Roman" w:hAnsi="Times New Roman"/>
          <w:color w:val="000000"/>
          <w:sz w:val="24"/>
          <w:szCs w:val="24"/>
        </w:rPr>
      </w:pPr>
      <w:r w:rsidRPr="0020305E">
        <w:rPr>
          <w:rFonts w:ascii="Times New Roman" w:hAnsi="Times New Roman"/>
          <w:color w:val="000000"/>
          <w:sz w:val="24"/>
          <w:szCs w:val="24"/>
        </w:rPr>
        <w:br/>
      </w:r>
      <w:bookmarkStart w:id="0" w:name="_Hlk50545280"/>
      <w:r w:rsidRPr="0020305E">
        <w:rPr>
          <w:rFonts w:ascii="Times New Roman" w:hAnsi="Times New Roman"/>
          <w:color w:val="000000"/>
          <w:sz w:val="24"/>
          <w:szCs w:val="24"/>
        </w:rPr>
        <w:t xml:space="preserve">The Construction Reserve Fund (CRF), authorized by 46 </w:t>
      </w:r>
      <w:r w:rsidR="00B00233">
        <w:rPr>
          <w:rFonts w:ascii="Times New Roman" w:hAnsi="Times New Roman"/>
          <w:color w:val="000000"/>
          <w:sz w:val="24"/>
          <w:szCs w:val="24"/>
        </w:rPr>
        <w:t>United States Code (</w:t>
      </w:r>
      <w:r w:rsidRPr="0020305E">
        <w:rPr>
          <w:rFonts w:ascii="Times New Roman" w:hAnsi="Times New Roman"/>
          <w:color w:val="000000"/>
          <w:sz w:val="24"/>
          <w:szCs w:val="24"/>
        </w:rPr>
        <w:t>U.S.C.</w:t>
      </w:r>
      <w:r w:rsidR="00B00233">
        <w:rPr>
          <w:rFonts w:ascii="Times New Roman" w:hAnsi="Times New Roman"/>
          <w:color w:val="000000"/>
          <w:sz w:val="24"/>
          <w:szCs w:val="24"/>
        </w:rPr>
        <w:t>)</w:t>
      </w:r>
      <w:r w:rsidRPr="0020305E">
        <w:rPr>
          <w:rFonts w:ascii="Times New Roman" w:hAnsi="Times New Roman"/>
          <w:color w:val="000000"/>
          <w:sz w:val="24"/>
          <w:szCs w:val="24"/>
        </w:rPr>
        <w:t xml:space="preserve"> Chapter 533 (the Act), is a financial assistance program which provides tax deferral benefits to U.S.-flag operators</w:t>
      </w:r>
      <w:r w:rsidR="00E667F4">
        <w:rPr>
          <w:rFonts w:ascii="Times New Roman" w:hAnsi="Times New Roman"/>
          <w:color w:val="000000"/>
          <w:sz w:val="24"/>
          <w:szCs w:val="24"/>
        </w:rPr>
        <w:t xml:space="preserve">. </w:t>
      </w:r>
      <w:r w:rsidR="003551C9">
        <w:rPr>
          <w:rFonts w:ascii="Times New Roman" w:hAnsi="Times New Roman"/>
          <w:color w:val="000000"/>
          <w:sz w:val="24"/>
          <w:szCs w:val="24"/>
        </w:rPr>
        <w:t xml:space="preserve"> </w:t>
      </w:r>
      <w:r w:rsidRPr="0020305E">
        <w:rPr>
          <w:rFonts w:ascii="Times New Roman" w:hAnsi="Times New Roman"/>
          <w:color w:val="000000"/>
          <w:sz w:val="24"/>
          <w:szCs w:val="24"/>
        </w:rPr>
        <w:t>Eligible parties can defer the gain attributable to the sale or loss of a vessel, provided the proceeds are used to expand or modernize the U.S. merchant fleet</w:t>
      </w:r>
      <w:r w:rsidR="00E667F4">
        <w:rPr>
          <w:rFonts w:ascii="Times New Roman" w:hAnsi="Times New Roman"/>
          <w:color w:val="000000"/>
          <w:sz w:val="24"/>
          <w:szCs w:val="24"/>
        </w:rPr>
        <w:t xml:space="preserve">. </w:t>
      </w:r>
      <w:r w:rsidR="003551C9">
        <w:rPr>
          <w:rFonts w:ascii="Times New Roman" w:hAnsi="Times New Roman"/>
          <w:color w:val="000000"/>
          <w:sz w:val="24"/>
          <w:szCs w:val="24"/>
        </w:rPr>
        <w:t xml:space="preserve"> </w:t>
      </w:r>
      <w:r w:rsidRPr="0020305E">
        <w:rPr>
          <w:rFonts w:ascii="Times New Roman" w:hAnsi="Times New Roman"/>
          <w:color w:val="000000"/>
          <w:sz w:val="24"/>
          <w:szCs w:val="24"/>
        </w:rPr>
        <w:t>The primary purpose of the CRF is to promote the construction, reconstruction, reconditioning, or acquisition of merchant vessels which are necessary for national defense and to the development of U.S. commerce.</w:t>
      </w:r>
    </w:p>
    <w:bookmarkEnd w:id="0"/>
    <w:p w:rsidR="00793994" w:rsidRPr="0020305E" w:rsidP="00C67D3B" w14:paraId="49FACD26" w14:textId="77777777">
      <w:pPr>
        <w:ind w:left="360"/>
        <w:rPr>
          <w:rFonts w:ascii="Times New Roman" w:hAnsi="Times New Roman"/>
          <w:color w:val="000000"/>
          <w:sz w:val="24"/>
          <w:szCs w:val="24"/>
        </w:rPr>
      </w:pPr>
    </w:p>
    <w:p w:rsidR="00793994" w:rsidRPr="0020305E" w:rsidP="00C67D3B" w14:paraId="359CFD01" w14:textId="1340EF5A">
      <w:pPr>
        <w:ind w:left="360"/>
        <w:rPr>
          <w:rFonts w:ascii="Times New Roman" w:hAnsi="Times New Roman"/>
          <w:color w:val="000000"/>
          <w:sz w:val="24"/>
          <w:szCs w:val="24"/>
        </w:rPr>
      </w:pPr>
      <w:r w:rsidRPr="0020305E">
        <w:rPr>
          <w:rFonts w:ascii="Times New Roman" w:hAnsi="Times New Roman"/>
          <w:color w:val="000000"/>
          <w:sz w:val="24"/>
          <w:szCs w:val="24"/>
        </w:rPr>
        <w:t xml:space="preserve">This information collection supports the Secretary of Transportation's </w:t>
      </w:r>
      <w:r w:rsidR="00B00233">
        <w:rPr>
          <w:rFonts w:ascii="Times New Roman" w:hAnsi="Times New Roman"/>
          <w:color w:val="000000"/>
          <w:sz w:val="24"/>
          <w:szCs w:val="24"/>
        </w:rPr>
        <w:t xml:space="preserve">strategic goal of promoting </w:t>
      </w:r>
      <w:r w:rsidRPr="0020305E">
        <w:rPr>
          <w:rFonts w:ascii="Times New Roman" w:hAnsi="Times New Roman"/>
          <w:color w:val="000000"/>
          <w:sz w:val="24"/>
          <w:szCs w:val="24"/>
        </w:rPr>
        <w:t xml:space="preserve">economic growth </w:t>
      </w:r>
      <w:r w:rsidR="00B00233">
        <w:rPr>
          <w:rFonts w:ascii="Times New Roman" w:hAnsi="Times New Roman"/>
          <w:color w:val="000000"/>
          <w:sz w:val="24"/>
          <w:szCs w:val="24"/>
        </w:rPr>
        <w:t xml:space="preserve">by supporting investments in improving and increasing the production of merchant vessels. </w:t>
      </w:r>
    </w:p>
    <w:p w:rsidR="00470720" w:rsidRPr="00C67D3B" w:rsidP="00C67D3B" w14:paraId="62A2CCCD" w14:textId="459FE98B">
      <w:pPr>
        <w:pStyle w:val="ListParagraph"/>
        <w:ind w:left="360"/>
        <w:rPr>
          <w:rFonts w:ascii="Times New Roman" w:hAnsi="Times New Roman"/>
          <w:b/>
          <w:color w:val="000000"/>
          <w:sz w:val="24"/>
          <w:szCs w:val="24"/>
        </w:rPr>
      </w:pPr>
      <w:r w:rsidRPr="00C67D3B">
        <w:rPr>
          <w:rFonts w:ascii="Times New Roman" w:hAnsi="Times New Roman"/>
          <w:b/>
          <w:bCs/>
          <w:color w:val="000000"/>
          <w:sz w:val="24"/>
          <w:szCs w:val="24"/>
        </w:rPr>
        <w:br/>
      </w:r>
      <w:r w:rsidRPr="00C67D3B" w:rsidR="0004749E">
        <w:rPr>
          <w:rFonts w:ascii="Times New Roman" w:hAnsi="Times New Roman"/>
          <w:b/>
          <w:color w:val="000000"/>
          <w:sz w:val="24"/>
          <w:szCs w:val="24"/>
        </w:rPr>
        <w:t xml:space="preserve">2. </w:t>
      </w:r>
      <w:r w:rsidRPr="00C67D3B" w:rsidR="00B00233">
        <w:rPr>
          <w:rFonts w:ascii="Times New Roman" w:hAnsi="Times New Roman"/>
          <w:b/>
          <w:color w:val="000000"/>
          <w:sz w:val="24"/>
          <w:szCs w:val="24"/>
        </w:rPr>
        <w:t>P</w:t>
      </w:r>
      <w:r w:rsidRPr="00C67D3B" w:rsidR="0004749E">
        <w:rPr>
          <w:rFonts w:ascii="Times New Roman" w:hAnsi="Times New Roman"/>
          <w:b/>
          <w:color w:val="000000"/>
          <w:sz w:val="24"/>
          <w:szCs w:val="24"/>
        </w:rPr>
        <w:t>urpose</w:t>
      </w:r>
      <w:r w:rsidRPr="00C67D3B" w:rsidR="00B00233">
        <w:rPr>
          <w:rFonts w:ascii="Times New Roman" w:hAnsi="Times New Roman"/>
          <w:b/>
          <w:color w:val="000000"/>
          <w:sz w:val="24"/>
          <w:szCs w:val="24"/>
        </w:rPr>
        <w:t xml:space="preserve"> and Use of </w:t>
      </w:r>
      <w:r w:rsidRPr="00C67D3B" w:rsidR="0004749E">
        <w:rPr>
          <w:rFonts w:ascii="Times New Roman" w:hAnsi="Times New Roman"/>
          <w:b/>
          <w:color w:val="000000"/>
          <w:sz w:val="24"/>
          <w:szCs w:val="24"/>
        </w:rPr>
        <w:t xml:space="preserve">the </w:t>
      </w:r>
      <w:r w:rsidRPr="00C67D3B" w:rsidR="00B00233">
        <w:rPr>
          <w:rFonts w:ascii="Times New Roman" w:hAnsi="Times New Roman"/>
          <w:b/>
          <w:color w:val="000000"/>
          <w:sz w:val="24"/>
          <w:szCs w:val="24"/>
        </w:rPr>
        <w:t>Information Collection</w:t>
      </w:r>
    </w:p>
    <w:p w:rsidR="00793994" w:rsidP="00C67D3B" w14:paraId="1A97D294" w14:textId="0E68B7A5">
      <w:pPr>
        <w:pStyle w:val="BodyText3"/>
        <w:tabs>
          <w:tab w:val="clear" w:pos="288"/>
          <w:tab w:val="left" w:pos="360"/>
        </w:tabs>
        <w:ind w:left="360" w:firstLine="162"/>
        <w:rPr>
          <w:rFonts w:ascii="Times New Roman" w:hAnsi="Times New Roman"/>
          <w:color w:val="000000"/>
        </w:rPr>
      </w:pPr>
      <w:r w:rsidRPr="00C67D3B">
        <w:rPr>
          <w:rFonts w:ascii="Times New Roman" w:hAnsi="Times New Roman"/>
          <w:b/>
          <w:color w:val="000000"/>
        </w:rPr>
        <w:br/>
      </w:r>
      <w:bookmarkStart w:id="1" w:name="_Hlk50545337"/>
      <w:r w:rsidRPr="0020305E">
        <w:rPr>
          <w:rFonts w:ascii="Times New Roman" w:hAnsi="Times New Roman"/>
          <w:color w:val="000000"/>
        </w:rPr>
        <w:t>A CRF may be established by any citizen of the United States who owns, in whole or in part, a vessel or vessels operating in the foreign or domestic commerce of the United States or in the fisheries</w:t>
      </w:r>
      <w:r w:rsidR="00E667F4">
        <w:rPr>
          <w:rFonts w:ascii="Times New Roman" w:hAnsi="Times New Roman"/>
          <w:color w:val="000000"/>
        </w:rPr>
        <w:t xml:space="preserve">. </w:t>
      </w:r>
      <w:r w:rsidR="00661415">
        <w:rPr>
          <w:rFonts w:ascii="Times New Roman" w:hAnsi="Times New Roman"/>
          <w:color w:val="000000"/>
        </w:rPr>
        <w:t xml:space="preserve"> </w:t>
      </w:r>
      <w:r w:rsidRPr="0020305E">
        <w:rPr>
          <w:rFonts w:ascii="Times New Roman" w:hAnsi="Times New Roman"/>
          <w:color w:val="000000"/>
        </w:rPr>
        <w:t>Additionally, a citizen who is operating such vessel or vessels owned by another individual may establish a CRF</w:t>
      </w:r>
      <w:r w:rsidR="00E667F4">
        <w:rPr>
          <w:rFonts w:ascii="Times New Roman" w:hAnsi="Times New Roman"/>
          <w:color w:val="000000"/>
        </w:rPr>
        <w:t xml:space="preserve">. </w:t>
      </w:r>
      <w:r w:rsidR="00661415">
        <w:rPr>
          <w:rFonts w:ascii="Times New Roman" w:hAnsi="Times New Roman"/>
          <w:color w:val="000000"/>
        </w:rPr>
        <w:t xml:space="preserve"> </w:t>
      </w:r>
      <w:r w:rsidRPr="0020305E">
        <w:rPr>
          <w:rFonts w:ascii="Times New Roman" w:hAnsi="Times New Roman"/>
          <w:color w:val="000000"/>
        </w:rPr>
        <w:t>The benefits available to the non-owner operator, however, are limited</w:t>
      </w:r>
      <w:r w:rsidR="00E667F4">
        <w:rPr>
          <w:rFonts w:ascii="Times New Roman" w:hAnsi="Times New Roman"/>
          <w:color w:val="000000"/>
        </w:rPr>
        <w:t xml:space="preserve">. </w:t>
      </w:r>
      <w:r w:rsidRPr="0020305E">
        <w:rPr>
          <w:rFonts w:ascii="Times New Roman" w:hAnsi="Times New Roman"/>
          <w:color w:val="000000"/>
        </w:rPr>
        <w:t>Also</w:t>
      </w:r>
      <w:r w:rsidRPr="0020305E" w:rsidR="002E615E">
        <w:rPr>
          <w:rFonts w:ascii="Times New Roman" w:hAnsi="Times New Roman"/>
          <w:color w:val="000000"/>
        </w:rPr>
        <w:t>,</w:t>
      </w:r>
      <w:r w:rsidRPr="0020305E">
        <w:rPr>
          <w:rFonts w:ascii="Times New Roman" w:hAnsi="Times New Roman"/>
          <w:color w:val="000000"/>
        </w:rPr>
        <w:t xml:space="preserve"> eligible to establish a CRF are owners of vessels operating in the fisheries of the United States, its territories, and possessions. </w:t>
      </w:r>
    </w:p>
    <w:p w:rsidR="0004749E" w:rsidRPr="0020305E" w:rsidP="00C67D3B" w14:paraId="4D6DACC4" w14:textId="583F9679">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360"/>
        <w:rPr>
          <w:rFonts w:ascii="Times New Roman" w:hAnsi="Times New Roman"/>
          <w:color w:val="000000"/>
        </w:rPr>
      </w:pPr>
      <w:r w:rsidRPr="0020305E">
        <w:rPr>
          <w:rFonts w:ascii="Times New Roman" w:hAnsi="Times New Roman"/>
          <w:color w:val="000000"/>
        </w:rPr>
        <w:t>The information provided in the application will be used by the Maritime Administration (MARAD) to determine if an applicant qualified for the benefits</w:t>
      </w:r>
      <w:r w:rsidR="00E667F4">
        <w:rPr>
          <w:rFonts w:ascii="Times New Roman" w:hAnsi="Times New Roman"/>
          <w:color w:val="000000"/>
        </w:rPr>
        <w:t xml:space="preserve">. </w:t>
      </w:r>
      <w:r w:rsidR="00661415">
        <w:rPr>
          <w:rFonts w:ascii="Times New Roman" w:hAnsi="Times New Roman"/>
          <w:color w:val="000000"/>
        </w:rPr>
        <w:t xml:space="preserve"> </w:t>
      </w:r>
      <w:r w:rsidRPr="0020305E">
        <w:rPr>
          <w:rFonts w:ascii="Times New Roman" w:hAnsi="Times New Roman"/>
          <w:color w:val="000000"/>
        </w:rPr>
        <w:t>The annual statement is used by MARAD to assure that accountholders are satisfying the requirements of the program and to keep agency leaders informed of the scope and scale of use of the program.</w:t>
      </w:r>
      <w:r w:rsidRPr="0020305E">
        <w:rPr>
          <w:rFonts w:ascii="Times New Roman" w:hAnsi="Times New Roman"/>
          <w:color w:val="000000"/>
        </w:rPr>
        <w:t xml:space="preserve"> </w:t>
      </w:r>
    </w:p>
    <w:bookmarkEnd w:id="1"/>
    <w:p w:rsidR="0004749E" w:rsidRPr="0020305E" w14:paraId="0389C54E" w14:textId="77777777">
      <w:pPr>
        <w:rPr>
          <w:rFonts w:ascii="Times New Roman" w:hAnsi="Times New Roman"/>
          <w:color w:val="000000"/>
          <w:sz w:val="24"/>
          <w:szCs w:val="24"/>
        </w:rPr>
      </w:pPr>
    </w:p>
    <w:p w:rsidR="00470720" w:rsidRPr="00C67D3B" w:rsidP="00C67D3B" w14:paraId="5762FC9A" w14:textId="639DE863">
      <w:pPr>
        <w:pStyle w:val="ListParagraph"/>
        <w:numPr>
          <w:ilvl w:val="0"/>
          <w:numId w:val="15"/>
        </w:numPr>
        <w:rPr>
          <w:rFonts w:ascii="Times New Roman" w:hAnsi="Times New Roman"/>
          <w:b/>
          <w:color w:val="000000"/>
          <w:sz w:val="24"/>
          <w:szCs w:val="24"/>
        </w:rPr>
      </w:pPr>
      <w:r w:rsidRPr="00C67D3B">
        <w:rPr>
          <w:rFonts w:ascii="Times New Roman" w:hAnsi="Times New Roman"/>
          <w:b/>
          <w:color w:val="000000"/>
          <w:sz w:val="24"/>
          <w:szCs w:val="24"/>
        </w:rPr>
        <w:t>A</w:t>
      </w:r>
      <w:r w:rsidRPr="00C67D3B" w:rsidR="0004749E">
        <w:rPr>
          <w:rFonts w:ascii="Times New Roman" w:hAnsi="Times New Roman"/>
          <w:b/>
          <w:color w:val="000000"/>
          <w:sz w:val="24"/>
          <w:szCs w:val="24"/>
        </w:rPr>
        <w:t>utomat</w:t>
      </w:r>
      <w:r w:rsidRPr="00C67D3B">
        <w:rPr>
          <w:rFonts w:ascii="Times New Roman" w:hAnsi="Times New Roman"/>
          <w:b/>
          <w:color w:val="000000"/>
          <w:sz w:val="24"/>
          <w:szCs w:val="24"/>
        </w:rPr>
        <w:t>ion or Use of I</w:t>
      </w:r>
      <w:r w:rsidRPr="00C67D3B" w:rsidR="0004749E">
        <w:rPr>
          <w:rFonts w:ascii="Times New Roman" w:hAnsi="Times New Roman"/>
          <w:b/>
          <w:color w:val="000000"/>
          <w:sz w:val="24"/>
          <w:szCs w:val="24"/>
        </w:rPr>
        <w:t xml:space="preserve">nformation </w:t>
      </w:r>
      <w:r w:rsidRPr="00C67D3B">
        <w:rPr>
          <w:rFonts w:ascii="Times New Roman" w:hAnsi="Times New Roman"/>
          <w:b/>
          <w:color w:val="000000"/>
          <w:sz w:val="24"/>
          <w:szCs w:val="24"/>
        </w:rPr>
        <w:t>Technology (IT)</w:t>
      </w:r>
      <w:r w:rsidRPr="00C67D3B" w:rsidR="00E667F4">
        <w:rPr>
          <w:rFonts w:ascii="Times New Roman" w:hAnsi="Times New Roman"/>
          <w:b/>
          <w:color w:val="000000"/>
          <w:sz w:val="24"/>
          <w:szCs w:val="24"/>
        </w:rPr>
        <w:t xml:space="preserve"> </w:t>
      </w:r>
    </w:p>
    <w:p w:rsidR="00793994" w:rsidRPr="0020305E" w:rsidP="00C67D3B" w14:paraId="0B8193CA" w14:textId="0C256DC7">
      <w:pPr>
        <w:ind w:left="360"/>
        <w:rPr>
          <w:rFonts w:ascii="Times New Roman" w:hAnsi="Times New Roman"/>
          <w:color w:val="000000"/>
          <w:sz w:val="24"/>
          <w:szCs w:val="24"/>
        </w:rPr>
      </w:pPr>
      <w:r w:rsidRPr="0020305E">
        <w:rPr>
          <w:rFonts w:ascii="Times New Roman" w:hAnsi="Times New Roman"/>
          <w:color w:val="000000"/>
          <w:sz w:val="24"/>
          <w:szCs w:val="24"/>
        </w:rPr>
        <w:br/>
      </w:r>
      <w:r w:rsidRPr="005C0E7E">
        <w:rPr>
          <w:rFonts w:ascii="Times New Roman" w:hAnsi="Times New Roman"/>
          <w:color w:val="000000"/>
          <w:sz w:val="24"/>
          <w:szCs w:val="24"/>
        </w:rPr>
        <w:t>MARAD is in communication with fund holders on a regular basis and encourages electronic filing</w:t>
      </w:r>
      <w:r w:rsidRPr="005C0E7E" w:rsidR="00E667F4">
        <w:rPr>
          <w:rFonts w:ascii="Times New Roman" w:hAnsi="Times New Roman"/>
          <w:color w:val="000000"/>
          <w:sz w:val="24"/>
          <w:szCs w:val="24"/>
        </w:rPr>
        <w:t xml:space="preserve">. </w:t>
      </w:r>
      <w:r w:rsidRPr="005C0E7E">
        <w:rPr>
          <w:rFonts w:ascii="Times New Roman" w:hAnsi="Times New Roman"/>
          <w:color w:val="000000"/>
          <w:sz w:val="24"/>
          <w:szCs w:val="24"/>
        </w:rPr>
        <w:t xml:space="preserve">In fact, about </w:t>
      </w:r>
      <w:r w:rsidRPr="005C0E7E" w:rsidR="00E667F4">
        <w:rPr>
          <w:rFonts w:ascii="Times New Roman" w:hAnsi="Times New Roman"/>
          <w:color w:val="000000"/>
          <w:sz w:val="24"/>
          <w:szCs w:val="24"/>
        </w:rPr>
        <w:t>three quarters</w:t>
      </w:r>
      <w:r w:rsidRPr="005C0E7E">
        <w:rPr>
          <w:rFonts w:ascii="Times New Roman" w:hAnsi="Times New Roman"/>
          <w:color w:val="000000"/>
          <w:sz w:val="24"/>
          <w:szCs w:val="24"/>
        </w:rPr>
        <w:t xml:space="preserve"> of filings are now done electronically</w:t>
      </w:r>
      <w:r w:rsidRPr="005C0E7E" w:rsidR="00E667F4">
        <w:rPr>
          <w:rFonts w:ascii="Times New Roman" w:hAnsi="Times New Roman"/>
          <w:color w:val="000000"/>
          <w:sz w:val="24"/>
          <w:szCs w:val="24"/>
        </w:rPr>
        <w:t xml:space="preserve">. </w:t>
      </w:r>
      <w:r w:rsidR="00661415">
        <w:rPr>
          <w:rFonts w:ascii="Times New Roman" w:hAnsi="Times New Roman"/>
          <w:color w:val="000000"/>
          <w:sz w:val="24"/>
          <w:szCs w:val="24"/>
        </w:rPr>
        <w:t xml:space="preserve"> </w:t>
      </w:r>
      <w:r w:rsidRPr="005C0E7E">
        <w:rPr>
          <w:rFonts w:ascii="Times New Roman" w:hAnsi="Times New Roman"/>
          <w:color w:val="000000"/>
          <w:sz w:val="24"/>
          <w:szCs w:val="24"/>
        </w:rPr>
        <w:t>Most electronic submissions are emailed to the relevant recipient within MARAD.</w:t>
      </w:r>
      <w:r w:rsidRPr="005C0E7E" w:rsidR="00620C2D">
        <w:rPr>
          <w:rFonts w:ascii="Times New Roman" w:hAnsi="Times New Roman"/>
          <w:color w:val="000000"/>
          <w:sz w:val="24"/>
          <w:szCs w:val="24"/>
        </w:rPr>
        <w:t xml:space="preserve"> </w:t>
      </w:r>
      <w:bookmarkStart w:id="2" w:name="_Hlk50546696"/>
      <w:r w:rsidR="00661415">
        <w:rPr>
          <w:rFonts w:ascii="Times New Roman" w:hAnsi="Times New Roman"/>
          <w:color w:val="000000"/>
          <w:sz w:val="24"/>
          <w:szCs w:val="24"/>
        </w:rPr>
        <w:t xml:space="preserve"> P</w:t>
      </w:r>
      <w:r w:rsidRPr="005C0E7E" w:rsidR="00620C2D">
        <w:rPr>
          <w:rFonts w:ascii="Times New Roman" w:hAnsi="Times New Roman"/>
          <w:color w:val="000000"/>
          <w:sz w:val="24"/>
          <w:szCs w:val="24"/>
        </w:rPr>
        <w:t xml:space="preserve">ayment of </w:t>
      </w:r>
      <w:r w:rsidR="00661415">
        <w:rPr>
          <w:rFonts w:ascii="Times New Roman" w:hAnsi="Times New Roman"/>
          <w:color w:val="000000"/>
          <w:sz w:val="24"/>
          <w:szCs w:val="24"/>
        </w:rPr>
        <w:t xml:space="preserve">application fee of </w:t>
      </w:r>
      <w:r w:rsidRPr="005C0E7E" w:rsidR="00620C2D">
        <w:rPr>
          <w:rFonts w:ascii="Times New Roman" w:hAnsi="Times New Roman"/>
          <w:color w:val="000000"/>
          <w:sz w:val="24"/>
          <w:szCs w:val="24"/>
        </w:rPr>
        <w:t xml:space="preserve">$225 </w:t>
      </w:r>
      <w:r w:rsidR="00661415">
        <w:rPr>
          <w:rFonts w:ascii="Times New Roman" w:hAnsi="Times New Roman"/>
          <w:color w:val="000000"/>
          <w:sz w:val="24"/>
          <w:szCs w:val="24"/>
        </w:rPr>
        <w:t xml:space="preserve">must be </w:t>
      </w:r>
      <w:r w:rsidRPr="005C0E7E" w:rsidR="00620C2D">
        <w:rPr>
          <w:rFonts w:ascii="Times New Roman" w:hAnsi="Times New Roman"/>
          <w:color w:val="000000"/>
          <w:sz w:val="24"/>
          <w:szCs w:val="24"/>
        </w:rPr>
        <w:t>made by means of a physical check</w:t>
      </w:r>
      <w:bookmarkEnd w:id="2"/>
      <w:r w:rsidRPr="005C0E7E" w:rsidR="00620C2D">
        <w:rPr>
          <w:rFonts w:ascii="Times New Roman" w:hAnsi="Times New Roman"/>
          <w:color w:val="000000"/>
          <w:sz w:val="24"/>
          <w:szCs w:val="24"/>
        </w:rPr>
        <w:t>.</w:t>
      </w:r>
      <w:r w:rsidR="007C1CAF">
        <w:rPr>
          <w:rFonts w:ascii="Times New Roman" w:hAnsi="Times New Roman"/>
          <w:color w:val="000000"/>
          <w:sz w:val="24"/>
          <w:szCs w:val="24"/>
        </w:rPr>
        <w:t xml:space="preserve"> </w:t>
      </w:r>
      <w:r w:rsidR="00661415">
        <w:rPr>
          <w:rFonts w:ascii="Times New Roman" w:hAnsi="Times New Roman"/>
          <w:color w:val="000000"/>
          <w:sz w:val="24"/>
          <w:szCs w:val="24"/>
        </w:rPr>
        <w:t xml:space="preserve"> </w:t>
      </w:r>
      <w:r w:rsidR="007C1CAF">
        <w:rPr>
          <w:rFonts w:ascii="Times New Roman" w:hAnsi="Times New Roman"/>
          <w:color w:val="000000"/>
          <w:sz w:val="24"/>
          <w:szCs w:val="24"/>
        </w:rPr>
        <w:t>MARAD is exploring electronic payment options for this collection of information.</w:t>
      </w:r>
    </w:p>
    <w:p w:rsidR="00793994" w:rsidRPr="0020305E" w:rsidP="00793994" w14:paraId="050F58D2" w14:textId="77777777">
      <w:pPr>
        <w:rPr>
          <w:rFonts w:ascii="Times New Roman" w:hAnsi="Times New Roman"/>
          <w:color w:val="000000"/>
          <w:sz w:val="24"/>
          <w:szCs w:val="24"/>
        </w:rPr>
      </w:pPr>
    </w:p>
    <w:p w:rsidR="0004749E" w:rsidRPr="00C67D3B" w:rsidP="00C67D3B" w14:paraId="38CF18C0" w14:textId="7D887977">
      <w:pPr>
        <w:pStyle w:val="BodyText3"/>
        <w:numPr>
          <w:ilvl w:val="0"/>
          <w:numId w:val="15"/>
        </w:numPr>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color w:val="000000"/>
        </w:rPr>
      </w:pPr>
      <w:r w:rsidRPr="00C67D3B">
        <w:rPr>
          <w:rFonts w:ascii="Times New Roman" w:hAnsi="Times New Roman"/>
          <w:b/>
          <w:color w:val="000000"/>
        </w:rPr>
        <w:t xml:space="preserve">Efforts to </w:t>
      </w:r>
      <w:r w:rsidRPr="00C67D3B" w:rsidR="007C1CAF">
        <w:rPr>
          <w:rFonts w:ascii="Times New Roman" w:hAnsi="Times New Roman"/>
          <w:b/>
          <w:color w:val="000000"/>
        </w:rPr>
        <w:t>Identify Duplication</w:t>
      </w:r>
    </w:p>
    <w:p w:rsidR="0004749E" w:rsidRPr="0020305E" w14:paraId="7BF55AE2"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000000"/>
        </w:rPr>
      </w:pPr>
    </w:p>
    <w:p w:rsidR="00167C9C" w:rsidRPr="0020305E" w:rsidP="00C67D3B" w14:paraId="0EAC87D7" w14:textId="1E5179C4">
      <w:pPr>
        <w:ind w:left="360"/>
        <w:rPr>
          <w:rFonts w:ascii="Times New Roman" w:hAnsi="Times New Roman"/>
          <w:color w:val="000000"/>
          <w:sz w:val="24"/>
          <w:szCs w:val="24"/>
        </w:rPr>
      </w:pPr>
      <w:r w:rsidRPr="0020305E">
        <w:rPr>
          <w:rFonts w:ascii="Times New Roman" w:hAnsi="Times New Roman"/>
          <w:color w:val="000000"/>
          <w:sz w:val="24"/>
          <w:szCs w:val="24"/>
        </w:rPr>
        <w:t xml:space="preserve">The CRF program is unique to </w:t>
      </w:r>
      <w:r w:rsidRPr="0020305E" w:rsidR="006354C0">
        <w:rPr>
          <w:rFonts w:ascii="Times New Roman" w:hAnsi="Times New Roman"/>
          <w:color w:val="000000"/>
          <w:sz w:val="24"/>
          <w:szCs w:val="24"/>
        </w:rPr>
        <w:t>MARAD</w:t>
      </w:r>
      <w:r w:rsidR="006354C0">
        <w:rPr>
          <w:rFonts w:ascii="Times New Roman" w:hAnsi="Times New Roman"/>
          <w:color w:val="000000"/>
          <w:sz w:val="24"/>
          <w:szCs w:val="24"/>
        </w:rPr>
        <w:t>. N</w:t>
      </w:r>
      <w:r w:rsidRPr="0020305E">
        <w:rPr>
          <w:rFonts w:ascii="Times New Roman" w:hAnsi="Times New Roman"/>
          <w:color w:val="000000"/>
          <w:sz w:val="24"/>
          <w:szCs w:val="24"/>
        </w:rPr>
        <w:t>o other agency or organization has a similar or related program.</w:t>
      </w:r>
    </w:p>
    <w:p w:rsidR="00167C9C" w:rsidRPr="0020305E" w:rsidP="00C67D3B" w14:paraId="0BE400C6"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360"/>
        <w:rPr>
          <w:rFonts w:ascii="Times New Roman" w:hAnsi="Times New Roman"/>
          <w:color w:val="000000"/>
        </w:rPr>
      </w:pPr>
    </w:p>
    <w:p w:rsidR="00470720" w:rsidRPr="00C67D3B" w:rsidP="00C67D3B" w14:paraId="44FE7236" w14:textId="5B67E73C">
      <w:pPr>
        <w:ind w:left="360"/>
        <w:rPr>
          <w:rFonts w:ascii="Times New Roman" w:hAnsi="Times New Roman"/>
          <w:b/>
          <w:color w:val="000000"/>
          <w:sz w:val="24"/>
          <w:szCs w:val="24"/>
        </w:rPr>
      </w:pPr>
      <w:r w:rsidRPr="00C67D3B">
        <w:rPr>
          <w:rFonts w:ascii="Times New Roman" w:hAnsi="Times New Roman"/>
          <w:b/>
          <w:color w:val="000000"/>
          <w:sz w:val="24"/>
          <w:szCs w:val="24"/>
        </w:rPr>
        <w:t xml:space="preserve">5. </w:t>
      </w:r>
      <w:r w:rsidRPr="00C67D3B" w:rsidR="006354C0">
        <w:rPr>
          <w:rFonts w:ascii="Times New Roman" w:hAnsi="Times New Roman"/>
          <w:b/>
          <w:color w:val="000000"/>
          <w:sz w:val="24"/>
          <w:szCs w:val="24"/>
        </w:rPr>
        <w:t>Impact</w:t>
      </w:r>
      <w:r w:rsidRPr="00C67D3B">
        <w:rPr>
          <w:rFonts w:ascii="Times New Roman" w:hAnsi="Times New Roman"/>
          <w:b/>
          <w:color w:val="000000"/>
          <w:sz w:val="24"/>
          <w:szCs w:val="24"/>
        </w:rPr>
        <w:t xml:space="preserve"> on </w:t>
      </w:r>
      <w:r w:rsidRPr="00C67D3B" w:rsidR="00FC2DCC">
        <w:rPr>
          <w:rFonts w:ascii="Times New Roman" w:hAnsi="Times New Roman"/>
          <w:b/>
          <w:color w:val="000000"/>
          <w:sz w:val="24"/>
          <w:szCs w:val="24"/>
        </w:rPr>
        <w:t>Small Businesses or Other Small Entities</w:t>
      </w:r>
      <w:r w:rsidRPr="00C67D3B" w:rsidR="00E667F4">
        <w:rPr>
          <w:rFonts w:ascii="Times New Roman" w:hAnsi="Times New Roman"/>
          <w:b/>
          <w:color w:val="000000"/>
          <w:sz w:val="24"/>
          <w:szCs w:val="24"/>
        </w:rPr>
        <w:t xml:space="preserve"> </w:t>
      </w:r>
    </w:p>
    <w:p w:rsidR="005C0E7E" w:rsidRPr="0020305E" w:rsidP="00470720" w14:paraId="0B5DD2D6" w14:textId="77777777">
      <w:pPr>
        <w:rPr>
          <w:rFonts w:ascii="Times New Roman" w:hAnsi="Times New Roman"/>
          <w:color w:val="000000"/>
          <w:sz w:val="24"/>
          <w:szCs w:val="24"/>
        </w:rPr>
      </w:pPr>
    </w:p>
    <w:p w:rsidR="00167C9C" w:rsidRPr="0020305E" w:rsidP="00C67D3B" w14:paraId="707069FD" w14:textId="508EBD8B">
      <w:pPr>
        <w:ind w:left="360"/>
        <w:rPr>
          <w:rFonts w:ascii="Times New Roman" w:hAnsi="Times New Roman"/>
          <w:color w:val="000000"/>
          <w:sz w:val="24"/>
          <w:szCs w:val="24"/>
        </w:rPr>
      </w:pPr>
      <w:r>
        <w:rPr>
          <w:rFonts w:ascii="Times New Roman" w:hAnsi="Times New Roman"/>
          <w:color w:val="000000"/>
          <w:sz w:val="24"/>
          <w:szCs w:val="24"/>
        </w:rPr>
        <w:t>S</w:t>
      </w:r>
      <w:r w:rsidRPr="0020305E">
        <w:rPr>
          <w:rFonts w:ascii="Times New Roman" w:hAnsi="Times New Roman"/>
          <w:color w:val="000000"/>
          <w:sz w:val="24"/>
          <w:szCs w:val="24"/>
        </w:rPr>
        <w:t>mall shipping c</w:t>
      </w:r>
      <w:r>
        <w:rPr>
          <w:rFonts w:ascii="Times New Roman" w:hAnsi="Times New Roman"/>
          <w:color w:val="000000"/>
          <w:sz w:val="24"/>
          <w:szCs w:val="24"/>
        </w:rPr>
        <w:t>ompanies</w:t>
      </w:r>
      <w:r w:rsidRPr="0020305E">
        <w:rPr>
          <w:rFonts w:ascii="Times New Roman" w:hAnsi="Times New Roman"/>
          <w:color w:val="000000"/>
          <w:sz w:val="24"/>
          <w:szCs w:val="24"/>
        </w:rPr>
        <w:t xml:space="preserve"> </w:t>
      </w:r>
      <w:r>
        <w:rPr>
          <w:rFonts w:ascii="Times New Roman" w:hAnsi="Times New Roman"/>
          <w:color w:val="000000"/>
          <w:sz w:val="24"/>
          <w:szCs w:val="24"/>
        </w:rPr>
        <w:t>may respond to this</w:t>
      </w:r>
      <w:r w:rsidRPr="0020305E">
        <w:rPr>
          <w:rFonts w:ascii="Times New Roman" w:hAnsi="Times New Roman"/>
          <w:color w:val="000000"/>
          <w:sz w:val="24"/>
          <w:szCs w:val="24"/>
        </w:rPr>
        <w:t xml:space="preserve"> collection of information</w:t>
      </w:r>
      <w:r w:rsidR="00E667F4">
        <w:rPr>
          <w:rFonts w:ascii="Times New Roman" w:hAnsi="Times New Roman"/>
          <w:color w:val="000000"/>
          <w:sz w:val="24"/>
          <w:szCs w:val="24"/>
        </w:rPr>
        <w:t xml:space="preserve">. Timely information is </w:t>
      </w:r>
      <w:r w:rsidRPr="0020305E">
        <w:rPr>
          <w:rFonts w:ascii="Times New Roman" w:hAnsi="Times New Roman"/>
          <w:color w:val="000000"/>
          <w:sz w:val="24"/>
          <w:szCs w:val="24"/>
        </w:rPr>
        <w:t>requested when a ship owner or operator desires to obtain benefits of the CRF program</w:t>
      </w:r>
      <w:r w:rsidR="00E667F4">
        <w:rPr>
          <w:rFonts w:ascii="Times New Roman" w:hAnsi="Times New Roman"/>
          <w:color w:val="000000"/>
          <w:sz w:val="24"/>
          <w:szCs w:val="24"/>
        </w:rPr>
        <w:t xml:space="preserve">. </w:t>
      </w:r>
      <w:r w:rsidRPr="0020305E">
        <w:rPr>
          <w:rFonts w:ascii="Times New Roman" w:hAnsi="Times New Roman"/>
          <w:color w:val="000000"/>
          <w:sz w:val="24"/>
          <w:szCs w:val="24"/>
        </w:rPr>
        <w:t>There is no requirement for any ship owner or operator to submit any information if they do not desire the CRF benefits</w:t>
      </w:r>
      <w:r w:rsidR="00E667F4">
        <w:rPr>
          <w:rFonts w:ascii="Times New Roman" w:hAnsi="Times New Roman"/>
          <w:color w:val="000000"/>
          <w:sz w:val="24"/>
          <w:szCs w:val="24"/>
        </w:rPr>
        <w:t xml:space="preserve">. </w:t>
      </w:r>
      <w:r w:rsidR="00661415">
        <w:rPr>
          <w:rFonts w:ascii="Times New Roman" w:hAnsi="Times New Roman"/>
          <w:color w:val="000000"/>
          <w:sz w:val="24"/>
          <w:szCs w:val="24"/>
        </w:rPr>
        <w:t xml:space="preserve"> </w:t>
      </w:r>
      <w:r w:rsidRPr="0020305E">
        <w:rPr>
          <w:rFonts w:ascii="Times New Roman" w:hAnsi="Times New Roman"/>
          <w:color w:val="000000"/>
          <w:sz w:val="24"/>
          <w:szCs w:val="24"/>
        </w:rPr>
        <w:t>However, a company that is party to a CRF agreement must submit an annual statement setting forth the detailed analysis of the status of the CRF fund when each income tax return is filed</w:t>
      </w:r>
      <w:r w:rsidR="00E667F4">
        <w:rPr>
          <w:rFonts w:ascii="Times New Roman" w:hAnsi="Times New Roman"/>
          <w:color w:val="000000"/>
          <w:sz w:val="24"/>
          <w:szCs w:val="24"/>
        </w:rPr>
        <w:t xml:space="preserve">. </w:t>
      </w:r>
      <w:r w:rsidR="00FC2DCC">
        <w:rPr>
          <w:rFonts w:ascii="Times New Roman" w:hAnsi="Times New Roman"/>
          <w:color w:val="000000"/>
          <w:sz w:val="24"/>
          <w:szCs w:val="24"/>
        </w:rPr>
        <w:t xml:space="preserve"> A party to a CRF agreement is required to submit a withdrawal request to MARAD to </w:t>
      </w:r>
      <w:r w:rsidR="00661415">
        <w:rPr>
          <w:rFonts w:ascii="Times New Roman" w:hAnsi="Times New Roman"/>
          <w:color w:val="000000"/>
          <w:sz w:val="24"/>
          <w:szCs w:val="24"/>
        </w:rPr>
        <w:t>remove money</w:t>
      </w:r>
      <w:r w:rsidR="00FC2DCC">
        <w:rPr>
          <w:rFonts w:ascii="Times New Roman" w:hAnsi="Times New Roman"/>
          <w:color w:val="000000"/>
          <w:sz w:val="24"/>
          <w:szCs w:val="24"/>
        </w:rPr>
        <w:t xml:space="preserve"> from the fund. The requestor can proceed with their withdrawal once their request is countersigned by MARAD, and a copy is returned to them. MARAD</w:t>
      </w:r>
      <w:r w:rsidRPr="0020305E">
        <w:rPr>
          <w:rFonts w:ascii="Times New Roman" w:hAnsi="Times New Roman"/>
          <w:color w:val="000000"/>
          <w:sz w:val="24"/>
          <w:szCs w:val="24"/>
        </w:rPr>
        <w:t xml:space="preserve"> does not establish any required formats for annual reports or withdrawal requests and exercises </w:t>
      </w:r>
      <w:r w:rsidR="00661415">
        <w:rPr>
          <w:rFonts w:ascii="Times New Roman" w:hAnsi="Times New Roman"/>
          <w:color w:val="000000"/>
          <w:sz w:val="24"/>
          <w:szCs w:val="24"/>
        </w:rPr>
        <w:t xml:space="preserve">flexibility and discretion </w:t>
      </w:r>
      <w:r w:rsidRPr="0020305E">
        <w:rPr>
          <w:rFonts w:ascii="Times New Roman" w:hAnsi="Times New Roman"/>
          <w:color w:val="000000"/>
          <w:sz w:val="24"/>
          <w:szCs w:val="24"/>
        </w:rPr>
        <w:t>regard</w:t>
      </w:r>
      <w:r w:rsidR="00661415">
        <w:rPr>
          <w:rFonts w:ascii="Times New Roman" w:hAnsi="Times New Roman"/>
          <w:color w:val="000000"/>
          <w:sz w:val="24"/>
          <w:szCs w:val="24"/>
        </w:rPr>
        <w:t xml:space="preserve">ing </w:t>
      </w:r>
      <w:r w:rsidRPr="0020305E">
        <w:rPr>
          <w:rFonts w:ascii="Times New Roman" w:hAnsi="Times New Roman"/>
          <w:color w:val="000000"/>
          <w:sz w:val="24"/>
          <w:szCs w:val="24"/>
        </w:rPr>
        <w:t>these items</w:t>
      </w:r>
      <w:r w:rsidR="00661415">
        <w:rPr>
          <w:rFonts w:ascii="Times New Roman" w:hAnsi="Times New Roman"/>
          <w:color w:val="000000"/>
          <w:sz w:val="24"/>
          <w:szCs w:val="24"/>
        </w:rPr>
        <w:t xml:space="preserve">, which minimizes public burden for this collection. </w:t>
      </w:r>
    </w:p>
    <w:p w:rsidR="0004749E" w:rsidRPr="0020305E" w14:paraId="239F1017" w14:textId="77777777">
      <w:pPr>
        <w:rPr>
          <w:rFonts w:ascii="Times New Roman" w:hAnsi="Times New Roman"/>
          <w:color w:val="000000"/>
          <w:sz w:val="24"/>
          <w:szCs w:val="24"/>
        </w:rPr>
      </w:pPr>
    </w:p>
    <w:p w:rsidR="00C346F6" w:rsidRPr="00C67D3B" w:rsidP="00C67D3B" w14:paraId="03A7C45C" w14:textId="185DC291">
      <w:pPr>
        <w:pStyle w:val="ListParagraph"/>
        <w:numPr>
          <w:ilvl w:val="0"/>
          <w:numId w:val="16"/>
        </w:numPr>
        <w:rPr>
          <w:rFonts w:ascii="Times New Roman" w:hAnsi="Times New Roman"/>
          <w:b/>
          <w:color w:val="000000"/>
          <w:sz w:val="24"/>
          <w:szCs w:val="24"/>
        </w:rPr>
      </w:pPr>
      <w:r w:rsidRPr="00C67D3B">
        <w:rPr>
          <w:rFonts w:ascii="Times New Roman" w:hAnsi="Times New Roman"/>
          <w:b/>
          <w:color w:val="000000"/>
          <w:sz w:val="24"/>
          <w:szCs w:val="24"/>
        </w:rPr>
        <w:t>Impact of</w:t>
      </w:r>
      <w:r w:rsidRPr="00C67D3B" w:rsidR="00B65A2C">
        <w:rPr>
          <w:rFonts w:ascii="Times New Roman" w:hAnsi="Times New Roman"/>
          <w:b/>
          <w:color w:val="000000"/>
          <w:sz w:val="24"/>
          <w:szCs w:val="24"/>
        </w:rPr>
        <w:t xml:space="preserve"> Not Conducting or</w:t>
      </w:r>
      <w:r w:rsidRPr="00C67D3B">
        <w:rPr>
          <w:rFonts w:ascii="Times New Roman" w:hAnsi="Times New Roman"/>
          <w:b/>
          <w:color w:val="000000"/>
          <w:sz w:val="24"/>
          <w:szCs w:val="24"/>
        </w:rPr>
        <w:t xml:space="preserve"> </w:t>
      </w:r>
      <w:r w:rsidRPr="00C67D3B" w:rsidR="00B65A2C">
        <w:rPr>
          <w:rFonts w:ascii="Times New Roman" w:hAnsi="Times New Roman"/>
          <w:b/>
          <w:color w:val="000000"/>
          <w:sz w:val="24"/>
          <w:szCs w:val="24"/>
        </w:rPr>
        <w:t>L</w:t>
      </w:r>
      <w:r w:rsidRPr="00C67D3B">
        <w:rPr>
          <w:rFonts w:ascii="Times New Roman" w:hAnsi="Times New Roman"/>
          <w:b/>
          <w:color w:val="000000"/>
          <w:sz w:val="24"/>
          <w:szCs w:val="24"/>
        </w:rPr>
        <w:t xml:space="preserve">ess </w:t>
      </w:r>
      <w:r w:rsidRPr="00C67D3B" w:rsidR="00B65A2C">
        <w:rPr>
          <w:rFonts w:ascii="Times New Roman" w:hAnsi="Times New Roman"/>
          <w:b/>
          <w:color w:val="000000"/>
          <w:sz w:val="24"/>
          <w:szCs w:val="24"/>
        </w:rPr>
        <w:t xml:space="preserve">Frequent Collection </w:t>
      </w:r>
      <w:r w:rsidRPr="00C67D3B">
        <w:rPr>
          <w:rFonts w:ascii="Times New Roman" w:hAnsi="Times New Roman"/>
          <w:b/>
          <w:color w:val="000000"/>
          <w:sz w:val="24"/>
          <w:szCs w:val="24"/>
        </w:rPr>
        <w:t xml:space="preserve">of </w:t>
      </w:r>
      <w:r w:rsidRPr="00C67D3B" w:rsidR="00B65A2C">
        <w:rPr>
          <w:rFonts w:ascii="Times New Roman" w:hAnsi="Times New Roman"/>
          <w:b/>
          <w:color w:val="000000"/>
          <w:sz w:val="24"/>
          <w:szCs w:val="24"/>
        </w:rPr>
        <w:t>Information</w:t>
      </w:r>
    </w:p>
    <w:p w:rsidR="00167C9C" w:rsidP="00B261AD" w14:paraId="2D163439" w14:textId="0965F377">
      <w:pPr>
        <w:ind w:left="360"/>
        <w:rPr>
          <w:rFonts w:ascii="Times New Roman" w:hAnsi="Times New Roman"/>
          <w:color w:val="000000"/>
          <w:sz w:val="24"/>
          <w:szCs w:val="24"/>
        </w:rPr>
      </w:pPr>
      <w:r w:rsidRPr="0020305E">
        <w:rPr>
          <w:rFonts w:ascii="Times New Roman" w:hAnsi="Times New Roman"/>
          <w:color w:val="000000"/>
          <w:sz w:val="24"/>
          <w:szCs w:val="24"/>
        </w:rPr>
        <w:br/>
      </w:r>
      <w:r w:rsidRPr="0020305E">
        <w:rPr>
          <w:rFonts w:ascii="Times New Roman" w:hAnsi="Times New Roman"/>
          <w:color w:val="000000"/>
          <w:sz w:val="24"/>
          <w:szCs w:val="24"/>
        </w:rPr>
        <w:t xml:space="preserve">Since a CRF account is a joint account between a fundholder and </w:t>
      </w:r>
      <w:r w:rsidR="00E667F4">
        <w:rPr>
          <w:rFonts w:ascii="Times New Roman" w:hAnsi="Times New Roman"/>
          <w:color w:val="000000"/>
          <w:sz w:val="24"/>
          <w:szCs w:val="24"/>
        </w:rPr>
        <w:t>MARAD</w:t>
      </w:r>
      <w:r w:rsidRPr="0020305E">
        <w:rPr>
          <w:rFonts w:ascii="Times New Roman" w:hAnsi="Times New Roman"/>
          <w:color w:val="000000"/>
          <w:sz w:val="24"/>
          <w:szCs w:val="24"/>
        </w:rPr>
        <w:t>, the annual fund statement is required in order for MARAD to properly administer the program</w:t>
      </w:r>
      <w:r w:rsidR="00661415">
        <w:rPr>
          <w:rFonts w:ascii="Times New Roman" w:hAnsi="Times New Roman"/>
          <w:color w:val="000000"/>
          <w:sz w:val="24"/>
          <w:szCs w:val="24"/>
        </w:rPr>
        <w:t>. The collection of the annual statement also en</w:t>
      </w:r>
      <w:r w:rsidRPr="0020305E">
        <w:rPr>
          <w:rFonts w:ascii="Times New Roman" w:hAnsi="Times New Roman"/>
          <w:color w:val="000000"/>
          <w:sz w:val="24"/>
          <w:szCs w:val="24"/>
        </w:rPr>
        <w:t>sure</w:t>
      </w:r>
      <w:r w:rsidR="00661415">
        <w:rPr>
          <w:rFonts w:ascii="Times New Roman" w:hAnsi="Times New Roman"/>
          <w:color w:val="000000"/>
          <w:sz w:val="24"/>
          <w:szCs w:val="24"/>
        </w:rPr>
        <w:t>s that</w:t>
      </w:r>
      <w:r w:rsidRPr="0020305E">
        <w:rPr>
          <w:rFonts w:ascii="Times New Roman" w:hAnsi="Times New Roman"/>
          <w:color w:val="000000"/>
          <w:sz w:val="24"/>
          <w:szCs w:val="24"/>
        </w:rPr>
        <w:t xml:space="preserve"> at the time of countersigning a withdrawal request</w:t>
      </w:r>
      <w:r w:rsidR="00661415">
        <w:rPr>
          <w:rFonts w:ascii="Times New Roman" w:hAnsi="Times New Roman"/>
          <w:color w:val="000000"/>
          <w:sz w:val="24"/>
          <w:szCs w:val="24"/>
        </w:rPr>
        <w:t xml:space="preserve"> </w:t>
      </w:r>
      <w:r w:rsidRPr="0020305E">
        <w:rPr>
          <w:rFonts w:ascii="Times New Roman" w:hAnsi="Times New Roman"/>
          <w:color w:val="000000"/>
          <w:sz w:val="24"/>
          <w:szCs w:val="24"/>
        </w:rPr>
        <w:t>there is sufficient funds in the particular CRF account to cover the withdrawal</w:t>
      </w:r>
      <w:r w:rsidR="00E667F4">
        <w:rPr>
          <w:rFonts w:ascii="Times New Roman" w:hAnsi="Times New Roman"/>
          <w:color w:val="000000"/>
          <w:sz w:val="24"/>
          <w:szCs w:val="24"/>
        </w:rPr>
        <w:t xml:space="preserve">. </w:t>
      </w:r>
      <w:r w:rsidR="00661415">
        <w:rPr>
          <w:rFonts w:ascii="Times New Roman" w:hAnsi="Times New Roman"/>
          <w:color w:val="000000"/>
          <w:sz w:val="24"/>
          <w:szCs w:val="24"/>
        </w:rPr>
        <w:t xml:space="preserve"> </w:t>
      </w:r>
    </w:p>
    <w:p w:rsidR="00661415" w:rsidRPr="0020305E" w:rsidP="00C67D3B" w14:paraId="337C3194" w14:textId="77777777">
      <w:pPr>
        <w:ind w:left="360"/>
        <w:rPr>
          <w:rFonts w:ascii="Times New Roman" w:hAnsi="Times New Roman"/>
          <w:color w:val="000000"/>
          <w:sz w:val="24"/>
          <w:szCs w:val="24"/>
        </w:rPr>
      </w:pPr>
    </w:p>
    <w:p w:rsidR="00470720" w:rsidRPr="003C1588" w:rsidP="00C67D3B" w14:paraId="47DE41CD" w14:textId="0236783F">
      <w:pPr>
        <w:pStyle w:val="BodyText3"/>
        <w:numPr>
          <w:ilvl w:val="0"/>
          <w:numId w:val="16"/>
        </w:numPr>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color w:val="000000"/>
        </w:rPr>
      </w:pPr>
      <w:r w:rsidRPr="00C67D3B">
        <w:rPr>
          <w:rFonts w:ascii="Times New Roman" w:hAnsi="Times New Roman"/>
          <w:b/>
          <w:color w:val="000000"/>
        </w:rPr>
        <w:t xml:space="preserve">Special </w:t>
      </w:r>
      <w:r w:rsidRPr="00C67D3B" w:rsidR="003C1588">
        <w:rPr>
          <w:rFonts w:ascii="Times New Roman" w:hAnsi="Times New Roman"/>
          <w:b/>
          <w:color w:val="000000"/>
        </w:rPr>
        <w:t>Circumstances Relating to the Guidelines 5 CFR 1320.5</w:t>
      </w:r>
    </w:p>
    <w:p w:rsidR="00470720" w:rsidRPr="0020305E" w:rsidP="00470720" w14:paraId="348F402C" w14:textId="77777777">
      <w:pPr>
        <w:rPr>
          <w:rFonts w:ascii="Times New Roman" w:hAnsi="Times New Roman"/>
          <w:b/>
          <w:color w:val="000000"/>
          <w:sz w:val="24"/>
          <w:szCs w:val="24"/>
        </w:rPr>
      </w:pPr>
    </w:p>
    <w:p w:rsidR="00167C9C" w:rsidRPr="0020305E" w:rsidP="00C67D3B" w14:paraId="31ABC966" w14:textId="77777777">
      <w:pPr>
        <w:ind w:left="360"/>
        <w:rPr>
          <w:rFonts w:ascii="Times New Roman" w:hAnsi="Times New Roman"/>
          <w:color w:val="000000"/>
          <w:sz w:val="24"/>
          <w:szCs w:val="24"/>
        </w:rPr>
      </w:pPr>
      <w:r w:rsidRPr="0020305E">
        <w:rPr>
          <w:rFonts w:ascii="Times New Roman" w:hAnsi="Times New Roman"/>
          <w:color w:val="000000"/>
          <w:sz w:val="24"/>
          <w:szCs w:val="24"/>
        </w:rPr>
        <w:t>There are no special circumstances that require the collection of information to be conducted in a manner described above.</w:t>
      </w:r>
    </w:p>
    <w:p w:rsidR="006A2AEF" w:rsidP="006C714E" w14:paraId="265A1670" w14:textId="77777777">
      <w:pPr>
        <w:rPr>
          <w:rFonts w:ascii="Times New Roman" w:hAnsi="Times New Roman"/>
          <w:bCs/>
          <w:color w:val="000000"/>
          <w:sz w:val="24"/>
          <w:szCs w:val="24"/>
        </w:rPr>
      </w:pPr>
    </w:p>
    <w:p w:rsidR="00AF2BE8" w:rsidRPr="00C67D3B" w:rsidP="00C67D3B" w14:paraId="691B8BFE" w14:textId="3783A5D4">
      <w:pPr>
        <w:pStyle w:val="ListParagraph"/>
        <w:numPr>
          <w:ilvl w:val="0"/>
          <w:numId w:val="16"/>
        </w:numPr>
        <w:rPr>
          <w:rFonts w:ascii="Times New Roman" w:hAnsi="Times New Roman"/>
          <w:b/>
          <w:color w:val="000000"/>
          <w:sz w:val="24"/>
          <w:szCs w:val="24"/>
        </w:rPr>
      </w:pPr>
      <w:r w:rsidRPr="00C67D3B">
        <w:rPr>
          <w:rFonts w:ascii="Times New Roman" w:hAnsi="Times New Roman"/>
          <w:b/>
          <w:color w:val="000000"/>
          <w:sz w:val="24"/>
          <w:szCs w:val="24"/>
        </w:rPr>
        <w:t xml:space="preserve">Public Comments in Response to the Federal Register Notice and Outside Consultation </w:t>
      </w:r>
    </w:p>
    <w:p w:rsidR="006C34E1" w:rsidP="006C34E1" w14:paraId="14B7FEAF" w14:textId="77777777">
      <w:pPr>
        <w:rPr>
          <w:rFonts w:ascii="Times New Roman" w:hAnsi="Times New Roman"/>
          <w:b/>
          <w:color w:val="000000"/>
          <w:sz w:val="24"/>
          <w:szCs w:val="24"/>
        </w:rPr>
      </w:pPr>
    </w:p>
    <w:p w:rsidR="00EB7ACF" w:rsidP="0083150B" w14:paraId="4A64E851" w14:textId="00C6A95C">
      <w:pPr>
        <w:ind w:left="360"/>
        <w:rPr>
          <w:rFonts w:ascii="Times New Roman" w:hAnsi="Times New Roman"/>
          <w:b/>
          <w:color w:val="000000"/>
          <w:sz w:val="24"/>
          <w:szCs w:val="24"/>
        </w:rPr>
      </w:pPr>
      <w:r w:rsidRPr="0083150B">
        <w:rPr>
          <w:rFonts w:ascii="Times New Roman" w:hAnsi="Times New Roman"/>
          <w:bCs/>
          <w:color w:val="000000"/>
          <w:sz w:val="24"/>
          <w:szCs w:val="24"/>
        </w:rPr>
        <w:t>MARAD published a 30-day notice and request for comments on this information collection in the Federal Register (FR 80011, Vol 89, No. 190) on October 1, 2024, indicating comments should be submitted on or before</w:t>
      </w:r>
      <w:r w:rsidR="007C4687">
        <w:rPr>
          <w:rFonts w:ascii="Times New Roman" w:hAnsi="Times New Roman"/>
          <w:bCs/>
          <w:color w:val="000000"/>
          <w:sz w:val="24"/>
          <w:szCs w:val="24"/>
        </w:rPr>
        <w:t xml:space="preserve"> </w:t>
      </w:r>
      <w:r w:rsidR="006D5B31">
        <w:rPr>
          <w:rFonts w:ascii="Times New Roman" w:hAnsi="Times New Roman"/>
          <w:bCs/>
          <w:color w:val="000000"/>
          <w:sz w:val="24"/>
          <w:szCs w:val="24"/>
        </w:rPr>
        <w:t>December 2, 2024</w:t>
      </w:r>
      <w:r w:rsidRPr="0083150B">
        <w:rPr>
          <w:rFonts w:ascii="Times New Roman" w:hAnsi="Times New Roman"/>
          <w:bCs/>
          <w:color w:val="000000"/>
          <w:sz w:val="24"/>
          <w:szCs w:val="24"/>
        </w:rPr>
        <w:t>. No comments were received. A 30-day notice will now be published in the Federal Register to solicit public comments.</w:t>
      </w:r>
    </w:p>
    <w:p w:rsidR="0083150B" w:rsidRPr="0083150B" w:rsidP="00C67D3B" w14:paraId="0A9005A9" w14:textId="5235D65F">
      <w:pPr>
        <w:ind w:left="360"/>
        <w:rPr>
          <w:rFonts w:ascii="Times New Roman" w:hAnsi="Times New Roman"/>
          <w:bCs/>
          <w:color w:val="000000"/>
          <w:sz w:val="24"/>
          <w:szCs w:val="24"/>
        </w:rPr>
      </w:pPr>
      <w:r>
        <w:rPr>
          <w:rFonts w:ascii="Times New Roman" w:hAnsi="Times New Roman"/>
          <w:bCs/>
          <w:color w:val="000000"/>
          <w:sz w:val="24"/>
          <w:szCs w:val="24"/>
        </w:rPr>
        <w:t>M</w:t>
      </w:r>
      <w:r w:rsidRPr="00C67D3B" w:rsidR="00EB7ACF">
        <w:rPr>
          <w:rFonts w:ascii="Times New Roman" w:hAnsi="Times New Roman"/>
          <w:bCs/>
          <w:color w:val="000000"/>
          <w:sz w:val="24"/>
          <w:szCs w:val="24"/>
        </w:rPr>
        <w:t xml:space="preserve">ARAD </w:t>
      </w:r>
      <w:r>
        <w:rPr>
          <w:rFonts w:ascii="Times New Roman" w:hAnsi="Times New Roman"/>
          <w:bCs/>
          <w:color w:val="000000"/>
          <w:sz w:val="24"/>
          <w:szCs w:val="24"/>
        </w:rPr>
        <w:t>personnel frequently</w:t>
      </w:r>
      <w:r w:rsidRPr="00C67D3B" w:rsidR="00EB7ACF">
        <w:rPr>
          <w:rFonts w:ascii="Times New Roman" w:hAnsi="Times New Roman"/>
          <w:bCs/>
          <w:color w:val="000000"/>
          <w:sz w:val="24"/>
          <w:szCs w:val="24"/>
        </w:rPr>
        <w:t xml:space="preserve"> communicate with respondents regarding the basis and reporting consistency of the information submitted.  Since the CRF program is unique to MARAD, no consultation outside the agency other than with respective depositories is required. </w:t>
      </w:r>
    </w:p>
    <w:p w:rsidR="00167C9C" w:rsidRPr="0020305E" w:rsidP="00167C9C" w14:paraId="061312EF" w14:textId="77777777">
      <w:pPr>
        <w:rPr>
          <w:rFonts w:ascii="Times New Roman" w:hAnsi="Times New Roman"/>
          <w:color w:val="000000"/>
          <w:sz w:val="24"/>
          <w:szCs w:val="24"/>
        </w:rPr>
      </w:pPr>
    </w:p>
    <w:p w:rsidR="00575967" w:rsidRPr="00C67D3B" w:rsidP="00C67D3B" w14:paraId="32624AE5" w14:textId="3BAE8B63">
      <w:pPr>
        <w:pStyle w:val="ListParagraph"/>
        <w:numPr>
          <w:ilvl w:val="0"/>
          <w:numId w:val="16"/>
        </w:numPr>
        <w:rPr>
          <w:rFonts w:ascii="Times New Roman" w:hAnsi="Times New Roman"/>
          <w:b/>
          <w:color w:val="000000"/>
          <w:sz w:val="24"/>
          <w:szCs w:val="24"/>
        </w:rPr>
      </w:pPr>
      <w:r w:rsidRPr="00C67D3B">
        <w:rPr>
          <w:rFonts w:ascii="Times New Roman" w:hAnsi="Times New Roman"/>
          <w:b/>
          <w:color w:val="000000"/>
          <w:sz w:val="24"/>
          <w:szCs w:val="24"/>
        </w:rPr>
        <w:t xml:space="preserve">Explanation of Any </w:t>
      </w:r>
      <w:r w:rsidRPr="00C67D3B" w:rsidR="0004749E">
        <w:rPr>
          <w:rFonts w:ascii="Times New Roman" w:hAnsi="Times New Roman"/>
          <w:b/>
          <w:color w:val="000000"/>
          <w:sz w:val="24"/>
          <w:szCs w:val="24"/>
        </w:rPr>
        <w:t xml:space="preserve">Payments or </w:t>
      </w:r>
      <w:r w:rsidRPr="00C67D3B">
        <w:rPr>
          <w:rFonts w:ascii="Times New Roman" w:hAnsi="Times New Roman"/>
          <w:b/>
          <w:color w:val="000000"/>
          <w:sz w:val="24"/>
          <w:szCs w:val="24"/>
        </w:rPr>
        <w:t xml:space="preserve">Gifts </w:t>
      </w:r>
      <w:r w:rsidRPr="00C67D3B" w:rsidR="0004749E">
        <w:rPr>
          <w:rFonts w:ascii="Times New Roman" w:hAnsi="Times New Roman"/>
          <w:b/>
          <w:color w:val="000000"/>
          <w:sz w:val="24"/>
          <w:szCs w:val="24"/>
        </w:rPr>
        <w:t xml:space="preserve">to </w:t>
      </w:r>
      <w:r w:rsidRPr="00C67D3B">
        <w:rPr>
          <w:rFonts w:ascii="Times New Roman" w:hAnsi="Times New Roman"/>
          <w:b/>
          <w:color w:val="000000"/>
          <w:sz w:val="24"/>
          <w:szCs w:val="24"/>
        </w:rPr>
        <w:t>Respondents</w:t>
      </w:r>
      <w:r w:rsidRPr="00C67D3B">
        <w:rPr>
          <w:rFonts w:ascii="Times New Roman" w:hAnsi="Times New Roman"/>
          <w:b/>
          <w:color w:val="000000"/>
          <w:sz w:val="24"/>
          <w:szCs w:val="24"/>
        </w:rPr>
        <w:t xml:space="preserve"> </w:t>
      </w:r>
      <w:r w:rsidRPr="00C67D3B" w:rsidR="008F2CDB">
        <w:rPr>
          <w:rFonts w:ascii="Times New Roman" w:hAnsi="Times New Roman"/>
          <w:b/>
          <w:color w:val="000000"/>
          <w:sz w:val="24"/>
          <w:szCs w:val="24"/>
        </w:rPr>
        <w:br/>
      </w:r>
    </w:p>
    <w:p w:rsidR="00167C9C" w:rsidP="00C67D3B" w14:paraId="784E1DBA" w14:textId="2D6A6F3B">
      <w:pPr>
        <w:ind w:left="360"/>
        <w:rPr>
          <w:rFonts w:ascii="Times New Roman" w:hAnsi="Times New Roman"/>
          <w:color w:val="000000"/>
          <w:sz w:val="24"/>
          <w:szCs w:val="24"/>
        </w:rPr>
      </w:pPr>
      <w:r w:rsidRPr="0020305E">
        <w:rPr>
          <w:rFonts w:ascii="Times New Roman" w:hAnsi="Times New Roman"/>
          <w:color w:val="000000"/>
          <w:sz w:val="24"/>
          <w:szCs w:val="24"/>
        </w:rPr>
        <w:t>No payments or gifts are provided to respondents.</w:t>
      </w:r>
    </w:p>
    <w:p w:rsidR="00575967" w:rsidRPr="0020305E" w:rsidP="00167C9C" w14:paraId="6739F450" w14:textId="77777777">
      <w:pPr>
        <w:rPr>
          <w:rFonts w:ascii="Times New Roman" w:hAnsi="Times New Roman"/>
          <w:color w:val="000000"/>
          <w:sz w:val="24"/>
          <w:szCs w:val="24"/>
        </w:rPr>
      </w:pPr>
    </w:p>
    <w:p w:rsidR="00470720" w:rsidRPr="00C67D3B" w:rsidP="00C67D3B" w14:paraId="4AAAEA68" w14:textId="44387BC8">
      <w:pPr>
        <w:pStyle w:val="ListParagraph"/>
        <w:numPr>
          <w:ilvl w:val="0"/>
          <w:numId w:val="16"/>
        </w:numPr>
        <w:rPr>
          <w:rFonts w:ascii="Times New Roman" w:hAnsi="Times New Roman"/>
          <w:b/>
          <w:color w:val="000000"/>
          <w:sz w:val="24"/>
          <w:szCs w:val="24"/>
        </w:rPr>
      </w:pPr>
      <w:r w:rsidRPr="00C67D3B">
        <w:rPr>
          <w:rFonts w:ascii="Times New Roman" w:hAnsi="Times New Roman"/>
          <w:b/>
          <w:color w:val="000000"/>
          <w:sz w:val="24"/>
          <w:szCs w:val="24"/>
        </w:rPr>
        <w:t xml:space="preserve">Assurance of </w:t>
      </w:r>
      <w:r w:rsidRPr="00C67D3B" w:rsidR="004F0FDC">
        <w:rPr>
          <w:rFonts w:ascii="Times New Roman" w:hAnsi="Times New Roman"/>
          <w:b/>
          <w:color w:val="000000"/>
          <w:sz w:val="24"/>
          <w:szCs w:val="24"/>
        </w:rPr>
        <w:t>Confidentiality and Protection of Privacy</w:t>
      </w:r>
    </w:p>
    <w:p w:rsidR="00167C9C" w:rsidRPr="0020305E" w:rsidP="00C67D3B" w14:paraId="19EF6542" w14:textId="76FAB15D">
      <w:pPr>
        <w:ind w:left="360"/>
        <w:rPr>
          <w:rFonts w:ascii="Times New Roman" w:hAnsi="Times New Roman"/>
          <w:color w:val="000000"/>
          <w:sz w:val="24"/>
          <w:szCs w:val="24"/>
        </w:rPr>
      </w:pPr>
      <w:r w:rsidRPr="0020305E">
        <w:rPr>
          <w:rFonts w:ascii="Times New Roman" w:hAnsi="Times New Roman"/>
          <w:color w:val="000000"/>
          <w:sz w:val="24"/>
          <w:szCs w:val="24"/>
        </w:rPr>
        <w:br/>
      </w:r>
      <w:r w:rsidR="00E667F4">
        <w:rPr>
          <w:rFonts w:ascii="Times New Roman" w:hAnsi="Times New Roman"/>
          <w:color w:val="000000"/>
          <w:sz w:val="24"/>
          <w:szCs w:val="24"/>
        </w:rPr>
        <w:t>Much of t</w:t>
      </w:r>
      <w:r w:rsidRPr="0020305E">
        <w:rPr>
          <w:rFonts w:ascii="Times New Roman" w:hAnsi="Times New Roman"/>
          <w:color w:val="000000"/>
          <w:sz w:val="24"/>
          <w:szCs w:val="24"/>
        </w:rPr>
        <w:t xml:space="preserve">he information requested is </w:t>
      </w:r>
      <w:r w:rsidR="00E667F4">
        <w:rPr>
          <w:rFonts w:ascii="Times New Roman" w:hAnsi="Times New Roman"/>
          <w:color w:val="000000"/>
          <w:sz w:val="24"/>
          <w:szCs w:val="24"/>
        </w:rPr>
        <w:t>considered business confidential and trade secrets</w:t>
      </w:r>
      <w:r w:rsidRPr="0020305E">
        <w:rPr>
          <w:rFonts w:ascii="Times New Roman" w:hAnsi="Times New Roman"/>
          <w:color w:val="000000"/>
          <w:sz w:val="24"/>
          <w:szCs w:val="24"/>
        </w:rPr>
        <w:t>.</w:t>
      </w:r>
      <w:r w:rsidR="00E667F4">
        <w:rPr>
          <w:rFonts w:ascii="Times New Roman" w:hAnsi="Times New Roman"/>
          <w:color w:val="000000"/>
          <w:sz w:val="24"/>
          <w:szCs w:val="24"/>
        </w:rPr>
        <w:t xml:space="preserve"> While MARAD makes no assurance</w:t>
      </w:r>
      <w:r w:rsidR="004F0FDC">
        <w:rPr>
          <w:rFonts w:ascii="Times New Roman" w:hAnsi="Times New Roman"/>
          <w:color w:val="000000"/>
          <w:sz w:val="24"/>
          <w:szCs w:val="24"/>
        </w:rPr>
        <w:t xml:space="preserve"> of confidentiality to</w:t>
      </w:r>
      <w:r w:rsidR="00E667F4">
        <w:rPr>
          <w:rFonts w:ascii="Times New Roman" w:hAnsi="Times New Roman"/>
          <w:color w:val="000000"/>
          <w:sz w:val="24"/>
          <w:szCs w:val="24"/>
        </w:rPr>
        <w:t xml:space="preserve"> respondents</w:t>
      </w:r>
      <w:r w:rsidR="004F0FDC">
        <w:rPr>
          <w:rFonts w:ascii="Times New Roman" w:hAnsi="Times New Roman"/>
          <w:color w:val="000000"/>
          <w:sz w:val="24"/>
          <w:szCs w:val="24"/>
        </w:rPr>
        <w:t xml:space="preserve">. However, </w:t>
      </w:r>
      <w:r w:rsidR="00E667F4">
        <w:rPr>
          <w:rFonts w:ascii="Times New Roman" w:hAnsi="Times New Roman"/>
          <w:color w:val="000000"/>
          <w:sz w:val="24"/>
          <w:szCs w:val="24"/>
        </w:rPr>
        <w:t xml:space="preserve">disclosure </w:t>
      </w:r>
      <w:r w:rsidR="004F0FDC">
        <w:rPr>
          <w:rFonts w:ascii="Times New Roman" w:hAnsi="Times New Roman"/>
          <w:color w:val="000000"/>
          <w:sz w:val="24"/>
          <w:szCs w:val="24"/>
        </w:rPr>
        <w:t xml:space="preserve">of confidential information </w:t>
      </w:r>
      <w:r w:rsidR="00E667F4">
        <w:rPr>
          <w:rFonts w:ascii="Times New Roman" w:hAnsi="Times New Roman"/>
          <w:color w:val="000000"/>
          <w:sz w:val="24"/>
          <w:szCs w:val="24"/>
        </w:rPr>
        <w:t xml:space="preserve">was requested, MARAD would </w:t>
      </w:r>
      <w:r w:rsidR="004F0FDC">
        <w:rPr>
          <w:rFonts w:ascii="Times New Roman" w:hAnsi="Times New Roman"/>
          <w:color w:val="000000"/>
          <w:sz w:val="24"/>
          <w:szCs w:val="24"/>
        </w:rPr>
        <w:t>do so</w:t>
      </w:r>
      <w:r w:rsidR="00E667F4">
        <w:rPr>
          <w:rFonts w:ascii="Times New Roman" w:hAnsi="Times New Roman"/>
          <w:color w:val="000000"/>
          <w:sz w:val="24"/>
          <w:szCs w:val="24"/>
        </w:rPr>
        <w:t xml:space="preserve"> only in accordance with the Freedom of Information Act and after consultation with the respondent.</w:t>
      </w:r>
    </w:p>
    <w:p w:rsidR="0004749E" w:rsidRPr="0020305E" w:rsidP="006A2AEF" w14:paraId="100C67C7"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000000"/>
        </w:rPr>
      </w:pPr>
      <w:r w:rsidRPr="0020305E">
        <w:rPr>
          <w:rFonts w:ascii="Times New Roman" w:hAnsi="Times New Roman"/>
          <w:color w:val="000000"/>
        </w:rPr>
        <w:t xml:space="preserve"> </w:t>
      </w:r>
    </w:p>
    <w:p w:rsidR="00167C9C" w:rsidRPr="00C67D3B" w:rsidP="00C67D3B" w14:paraId="627BFA3F" w14:textId="1E46099C">
      <w:pPr>
        <w:pStyle w:val="ListParagraph"/>
        <w:numPr>
          <w:ilvl w:val="0"/>
          <w:numId w:val="16"/>
        </w:numPr>
        <w:rPr>
          <w:rFonts w:ascii="Times New Roman" w:hAnsi="Times New Roman"/>
          <w:b/>
          <w:color w:val="000000"/>
          <w:sz w:val="24"/>
          <w:szCs w:val="24"/>
        </w:rPr>
      </w:pPr>
      <w:r w:rsidRPr="00C67D3B">
        <w:rPr>
          <w:rFonts w:ascii="Times New Roman" w:hAnsi="Times New Roman"/>
          <w:b/>
          <w:color w:val="000000"/>
          <w:sz w:val="24"/>
          <w:szCs w:val="24"/>
        </w:rPr>
        <w:t xml:space="preserve">Justification for </w:t>
      </w:r>
      <w:r w:rsidRPr="00C67D3B" w:rsidR="004F0FDC">
        <w:rPr>
          <w:rFonts w:ascii="Times New Roman" w:hAnsi="Times New Roman"/>
          <w:b/>
          <w:color w:val="000000"/>
          <w:sz w:val="24"/>
          <w:szCs w:val="24"/>
        </w:rPr>
        <w:t>S</w:t>
      </w:r>
      <w:r w:rsidRPr="00C67D3B">
        <w:rPr>
          <w:rFonts w:ascii="Times New Roman" w:hAnsi="Times New Roman"/>
          <w:b/>
          <w:color w:val="000000"/>
          <w:sz w:val="24"/>
          <w:szCs w:val="24"/>
        </w:rPr>
        <w:t xml:space="preserve">ensitive </w:t>
      </w:r>
      <w:r w:rsidRPr="00C67D3B" w:rsidR="004F0FDC">
        <w:rPr>
          <w:rFonts w:ascii="Times New Roman" w:hAnsi="Times New Roman"/>
          <w:b/>
          <w:color w:val="000000"/>
          <w:sz w:val="24"/>
          <w:szCs w:val="24"/>
        </w:rPr>
        <w:t>Questions</w:t>
      </w:r>
      <w:r w:rsidRPr="00C67D3B" w:rsidR="00470720">
        <w:rPr>
          <w:rFonts w:ascii="Times New Roman" w:hAnsi="Times New Roman"/>
          <w:b/>
          <w:color w:val="000000"/>
          <w:sz w:val="24"/>
          <w:szCs w:val="24"/>
        </w:rPr>
        <w:t xml:space="preserve">  </w:t>
      </w:r>
    </w:p>
    <w:p w:rsidR="006003D5" w:rsidRPr="0020305E" w:rsidP="00470720" w14:paraId="7F1953EE" w14:textId="77777777">
      <w:pPr>
        <w:rPr>
          <w:rFonts w:ascii="Times New Roman" w:hAnsi="Times New Roman"/>
          <w:b/>
          <w:color w:val="000000"/>
          <w:sz w:val="24"/>
          <w:szCs w:val="24"/>
        </w:rPr>
      </w:pPr>
    </w:p>
    <w:p w:rsidR="00167C9C" w:rsidRPr="0020305E" w:rsidP="00C67D3B" w14:paraId="493C3A9F" w14:textId="7FEB5972">
      <w:pPr>
        <w:ind w:firstLine="360"/>
        <w:rPr>
          <w:rFonts w:ascii="Times New Roman" w:hAnsi="Times New Roman"/>
          <w:color w:val="000000"/>
          <w:sz w:val="24"/>
          <w:szCs w:val="24"/>
        </w:rPr>
      </w:pPr>
      <w:r w:rsidRPr="0020305E">
        <w:rPr>
          <w:rFonts w:ascii="Times New Roman" w:hAnsi="Times New Roman"/>
          <w:color w:val="000000"/>
          <w:sz w:val="24"/>
          <w:szCs w:val="24"/>
        </w:rPr>
        <w:t>There are no questions of a sensitive nature.</w:t>
      </w:r>
    </w:p>
    <w:p w:rsidR="00470720" w:rsidRPr="0020305E" w:rsidP="00470720" w14:paraId="26A1C9A5" w14:textId="77777777">
      <w:pPr>
        <w:rPr>
          <w:rFonts w:ascii="Times New Roman" w:hAnsi="Times New Roman"/>
          <w:color w:val="000000"/>
          <w:sz w:val="24"/>
          <w:szCs w:val="24"/>
        </w:rPr>
      </w:pPr>
    </w:p>
    <w:p w:rsidR="00470720" w:rsidRPr="00C67D3B" w:rsidP="00C67D3B" w14:paraId="27C1774A" w14:textId="13FF2145">
      <w:pPr>
        <w:pStyle w:val="ListParagraph"/>
        <w:numPr>
          <w:ilvl w:val="0"/>
          <w:numId w:val="16"/>
        </w:numPr>
        <w:rPr>
          <w:rFonts w:ascii="Times New Roman" w:hAnsi="Times New Roman"/>
          <w:b/>
          <w:color w:val="000000"/>
          <w:sz w:val="24"/>
          <w:szCs w:val="24"/>
        </w:rPr>
      </w:pPr>
      <w:r w:rsidRPr="00C67D3B">
        <w:rPr>
          <w:rFonts w:ascii="Times New Roman" w:hAnsi="Times New Roman"/>
          <w:b/>
          <w:color w:val="000000"/>
          <w:sz w:val="24"/>
          <w:szCs w:val="24"/>
        </w:rPr>
        <w:t xml:space="preserve">Estimate of </w:t>
      </w:r>
      <w:r w:rsidRPr="00C67D3B" w:rsidR="004F0FDC">
        <w:rPr>
          <w:rFonts w:ascii="Times New Roman" w:hAnsi="Times New Roman"/>
          <w:b/>
          <w:color w:val="000000"/>
          <w:sz w:val="24"/>
          <w:szCs w:val="24"/>
        </w:rPr>
        <w:t>Annualized Burden</w:t>
      </w:r>
      <w:r w:rsidRPr="00C67D3B">
        <w:rPr>
          <w:rFonts w:ascii="Times New Roman" w:hAnsi="Times New Roman"/>
          <w:b/>
          <w:color w:val="000000"/>
          <w:sz w:val="24"/>
          <w:szCs w:val="24"/>
        </w:rPr>
        <w:t xml:space="preserve"> </w:t>
      </w:r>
      <w:r w:rsidRPr="00C67D3B" w:rsidR="004F0FDC">
        <w:rPr>
          <w:rFonts w:ascii="Times New Roman" w:hAnsi="Times New Roman"/>
          <w:b/>
          <w:color w:val="000000"/>
          <w:sz w:val="24"/>
          <w:szCs w:val="24"/>
        </w:rPr>
        <w:t>H</w:t>
      </w:r>
      <w:r w:rsidRPr="00C67D3B">
        <w:rPr>
          <w:rFonts w:ascii="Times New Roman" w:hAnsi="Times New Roman"/>
          <w:b/>
          <w:color w:val="000000"/>
          <w:sz w:val="24"/>
          <w:szCs w:val="24"/>
        </w:rPr>
        <w:t>ours</w:t>
      </w:r>
      <w:r w:rsidRPr="00C67D3B" w:rsidR="004F0FDC">
        <w:rPr>
          <w:rFonts w:ascii="Times New Roman" w:hAnsi="Times New Roman"/>
          <w:b/>
          <w:color w:val="000000"/>
          <w:sz w:val="24"/>
          <w:szCs w:val="24"/>
        </w:rPr>
        <w:t xml:space="preserve"> and Cost</w:t>
      </w:r>
      <w:r w:rsidRPr="00C67D3B">
        <w:rPr>
          <w:rFonts w:ascii="Times New Roman" w:hAnsi="Times New Roman"/>
          <w:b/>
          <w:color w:val="000000"/>
          <w:sz w:val="24"/>
          <w:szCs w:val="24"/>
        </w:rPr>
        <w:t xml:space="preserve">  </w:t>
      </w:r>
    </w:p>
    <w:p w:rsidR="00470720" w:rsidRPr="0020305E" w:rsidP="00470720" w14:paraId="440A1C23" w14:textId="77777777">
      <w:pPr>
        <w:rPr>
          <w:rFonts w:ascii="Times New Roman" w:hAnsi="Times New Roman"/>
          <w:b/>
          <w:color w:val="000000"/>
          <w:sz w:val="24"/>
          <w:szCs w:val="24"/>
        </w:rPr>
      </w:pPr>
    </w:p>
    <w:p w:rsidR="0066210E" w:rsidRPr="00C67D3B" w:rsidP="00B261AD" w14:paraId="77680B60" w14:textId="03A83F76">
      <w:pPr>
        <w:pStyle w:val="ListParagraph"/>
        <w:numPr>
          <w:ilvl w:val="0"/>
          <w:numId w:val="17"/>
        </w:numPr>
        <w:rPr>
          <w:rFonts w:ascii="Times New Roman" w:hAnsi="Times New Roman"/>
          <w:b/>
          <w:bCs/>
          <w:color w:val="000000"/>
          <w:sz w:val="24"/>
          <w:szCs w:val="24"/>
        </w:rPr>
      </w:pPr>
      <w:r w:rsidRPr="00C67D3B">
        <w:rPr>
          <w:rFonts w:ascii="Times New Roman" w:hAnsi="Times New Roman"/>
          <w:b/>
          <w:bCs/>
          <w:color w:val="000000"/>
          <w:sz w:val="24"/>
          <w:szCs w:val="24"/>
        </w:rPr>
        <w:t xml:space="preserve">Estimated Annualized Burden Hours </w:t>
      </w:r>
    </w:p>
    <w:p w:rsidR="0066210E" w:rsidP="00C67D3B" w14:paraId="39002AF8" w14:textId="77777777">
      <w:pPr>
        <w:pStyle w:val="ListParagraph"/>
        <w:rPr>
          <w:rFonts w:ascii="Times New Roman" w:hAnsi="Times New Roman"/>
          <w:color w:val="000000"/>
          <w:sz w:val="24"/>
          <w:szCs w:val="24"/>
        </w:rPr>
      </w:pPr>
    </w:p>
    <w:p w:rsidR="002C633F" w14:paraId="246CB502" w14:textId="75AE9237">
      <w:pPr>
        <w:ind w:left="360"/>
        <w:rPr>
          <w:rFonts w:ascii="Times New Roman" w:hAnsi="Times New Roman"/>
          <w:color w:val="000000"/>
          <w:sz w:val="24"/>
          <w:szCs w:val="24"/>
        </w:rPr>
      </w:pPr>
      <w:r>
        <w:rPr>
          <w:rFonts w:ascii="Times New Roman" w:hAnsi="Times New Roman"/>
          <w:color w:val="000000"/>
          <w:sz w:val="24"/>
          <w:szCs w:val="24"/>
        </w:rPr>
        <w:t>An estimated</w:t>
      </w:r>
      <w:r w:rsidRPr="00C67D3B" w:rsidR="00167C9C">
        <w:rPr>
          <w:rFonts w:ascii="Times New Roman" w:hAnsi="Times New Roman"/>
          <w:color w:val="000000"/>
          <w:sz w:val="24"/>
          <w:szCs w:val="24"/>
        </w:rPr>
        <w:t xml:space="preserve"> </w:t>
      </w:r>
      <w:r w:rsidRPr="00C67D3B" w:rsidR="008D4FED">
        <w:rPr>
          <w:rFonts w:ascii="Times New Roman" w:hAnsi="Times New Roman"/>
          <w:color w:val="000000"/>
          <w:sz w:val="24"/>
          <w:szCs w:val="24"/>
        </w:rPr>
        <w:t>10</w:t>
      </w:r>
      <w:r w:rsidRPr="00C67D3B" w:rsidR="00167C9C">
        <w:rPr>
          <w:rFonts w:ascii="Times New Roman" w:hAnsi="Times New Roman"/>
          <w:color w:val="000000"/>
          <w:sz w:val="24"/>
          <w:szCs w:val="24"/>
        </w:rPr>
        <w:t xml:space="preserve"> </w:t>
      </w:r>
      <w:r>
        <w:rPr>
          <w:rFonts w:ascii="Times New Roman" w:hAnsi="Times New Roman"/>
          <w:color w:val="000000"/>
          <w:sz w:val="24"/>
          <w:szCs w:val="24"/>
        </w:rPr>
        <w:t>respondents will each take eight hours to prepare and submit required documentation as part of their application to the CRF program once annually, for a total 10 responses. Therefore, the total burden hours associated with this effort is 80</w:t>
      </w:r>
      <w:r w:rsidR="00C7401C">
        <w:rPr>
          <w:rFonts w:ascii="Times New Roman" w:hAnsi="Times New Roman"/>
          <w:color w:val="000000"/>
          <w:sz w:val="24"/>
          <w:szCs w:val="24"/>
        </w:rPr>
        <w:t xml:space="preserve">. Additionally, each of the 10 respondents will also take an hour to prepare annual statements for this program, for a total 10 hours. Therefore, the total combined burden hours for this collection is 90, which can be calculated as shown in the </w:t>
      </w:r>
      <w:r>
        <w:rPr>
          <w:rFonts w:ascii="Times New Roman" w:hAnsi="Times New Roman"/>
          <w:color w:val="000000"/>
          <w:sz w:val="24"/>
          <w:szCs w:val="24"/>
        </w:rPr>
        <w:t xml:space="preserve">table below: </w:t>
      </w:r>
    </w:p>
    <w:p w:rsidR="002C633F" w14:paraId="0E398C5E" w14:textId="77777777">
      <w:pPr>
        <w:ind w:left="360"/>
        <w:rPr>
          <w:rFonts w:ascii="Times New Roman" w:hAnsi="Times New Roman"/>
          <w:color w:val="000000"/>
          <w:sz w:val="24"/>
          <w:szCs w:val="24"/>
        </w:rPr>
      </w:pPr>
    </w:p>
    <w:tbl>
      <w:tblPr>
        <w:tblW w:w="11413" w:type="dxa"/>
        <w:tblInd w:w="-645" w:type="dxa"/>
        <w:tblLook w:val="04A0"/>
      </w:tblPr>
      <w:tblGrid>
        <w:gridCol w:w="2161"/>
        <w:gridCol w:w="1415"/>
        <w:gridCol w:w="394"/>
        <w:gridCol w:w="1710"/>
        <w:gridCol w:w="422"/>
        <w:gridCol w:w="1229"/>
        <w:gridCol w:w="528"/>
        <w:gridCol w:w="1719"/>
        <w:gridCol w:w="508"/>
        <w:gridCol w:w="1105"/>
        <w:gridCol w:w="222"/>
      </w:tblGrid>
      <w:tr w14:paraId="7398F0DD" w14:textId="77777777" w:rsidTr="006E636A">
        <w:tblPrEx>
          <w:tblW w:w="11413" w:type="dxa"/>
          <w:tblInd w:w="-645" w:type="dxa"/>
          <w:tblLook w:val="04A0"/>
        </w:tblPrEx>
        <w:trPr>
          <w:gridAfter w:val="1"/>
          <w:wAfter w:w="222" w:type="dxa"/>
          <w:trHeight w:val="843"/>
        </w:trPr>
        <w:tc>
          <w:tcPr>
            <w:tcW w:w="2161" w:type="dxa"/>
            <w:tcBorders>
              <w:top w:val="single" w:sz="12" w:space="0" w:color="auto"/>
              <w:left w:val="single" w:sz="12" w:space="0" w:color="auto"/>
              <w:bottom w:val="nil"/>
              <w:right w:val="single" w:sz="12" w:space="0" w:color="auto"/>
            </w:tcBorders>
            <w:shd w:val="clear" w:color="000000" w:fill="D0CECE"/>
            <w:vAlign w:val="center"/>
            <w:hideMark/>
          </w:tcPr>
          <w:p w:rsidR="00C7401C" w:rsidRPr="00C67D3B" w:rsidP="00C7401C" w14:paraId="5964AD09"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Type of Respondent</w:t>
            </w:r>
          </w:p>
        </w:tc>
        <w:tc>
          <w:tcPr>
            <w:tcW w:w="1404" w:type="dxa"/>
            <w:tcBorders>
              <w:top w:val="single" w:sz="12" w:space="0" w:color="auto"/>
              <w:left w:val="nil"/>
              <w:bottom w:val="nil"/>
              <w:right w:val="single" w:sz="12" w:space="0" w:color="auto"/>
            </w:tcBorders>
            <w:shd w:val="clear" w:color="000000" w:fill="D0CECE"/>
            <w:vAlign w:val="center"/>
            <w:hideMark/>
          </w:tcPr>
          <w:p w:rsidR="00C7401C" w:rsidRPr="00C67D3B" w:rsidP="00C7401C" w14:paraId="064F1A80"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Total Respondents</w:t>
            </w:r>
          </w:p>
        </w:tc>
        <w:tc>
          <w:tcPr>
            <w:tcW w:w="395" w:type="dxa"/>
            <w:tcBorders>
              <w:top w:val="single" w:sz="12" w:space="0" w:color="auto"/>
              <w:left w:val="nil"/>
              <w:bottom w:val="nil"/>
              <w:right w:val="single" w:sz="12" w:space="0" w:color="auto"/>
            </w:tcBorders>
            <w:shd w:val="clear" w:color="000000" w:fill="D0CECE"/>
            <w:vAlign w:val="center"/>
            <w:hideMark/>
          </w:tcPr>
          <w:p w:rsidR="00C7401C" w:rsidRPr="00C67D3B" w:rsidP="00C7401C" w14:paraId="23B84704" w14:textId="77777777">
            <w:pPr>
              <w:widowControl/>
              <w:autoSpaceDE/>
              <w:autoSpaceDN/>
              <w:adjustRightInd/>
              <w:rPr>
                <w:rFonts w:ascii="Times New Roman" w:hAnsi="Times New Roman"/>
                <w:color w:val="000000"/>
                <w:sz w:val="22"/>
                <w:szCs w:val="22"/>
              </w:rPr>
            </w:pPr>
            <w:r w:rsidRPr="00C67D3B">
              <w:rPr>
                <w:rFonts w:ascii="Times New Roman" w:hAnsi="Times New Roman"/>
                <w:color w:val="000000"/>
                <w:sz w:val="22"/>
                <w:szCs w:val="22"/>
              </w:rPr>
              <w:t> </w:t>
            </w:r>
          </w:p>
        </w:tc>
        <w:tc>
          <w:tcPr>
            <w:tcW w:w="1710" w:type="dxa"/>
            <w:tcBorders>
              <w:top w:val="single" w:sz="12" w:space="0" w:color="auto"/>
              <w:left w:val="nil"/>
              <w:bottom w:val="nil"/>
              <w:right w:val="single" w:sz="12" w:space="0" w:color="auto"/>
            </w:tcBorders>
            <w:shd w:val="clear" w:color="000000" w:fill="D0CECE"/>
            <w:vAlign w:val="center"/>
            <w:hideMark/>
          </w:tcPr>
          <w:p w:rsidR="00C7401C" w:rsidRPr="00C67D3B" w:rsidP="00C7401C" w14:paraId="6F8925DD"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Total Responses per Respondent</w:t>
            </w:r>
          </w:p>
        </w:tc>
        <w:tc>
          <w:tcPr>
            <w:tcW w:w="424" w:type="dxa"/>
            <w:tcBorders>
              <w:top w:val="single" w:sz="12" w:space="0" w:color="auto"/>
              <w:left w:val="nil"/>
              <w:bottom w:val="nil"/>
              <w:right w:val="single" w:sz="12" w:space="0" w:color="auto"/>
            </w:tcBorders>
            <w:shd w:val="clear" w:color="000000" w:fill="D0CECE"/>
            <w:vAlign w:val="center"/>
            <w:hideMark/>
          </w:tcPr>
          <w:p w:rsidR="00C7401C" w:rsidRPr="00C67D3B" w:rsidP="00C7401C" w14:paraId="7B7E7F13"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 </w:t>
            </w:r>
          </w:p>
        </w:tc>
        <w:tc>
          <w:tcPr>
            <w:tcW w:w="1229" w:type="dxa"/>
            <w:tcBorders>
              <w:top w:val="single" w:sz="12" w:space="0" w:color="auto"/>
              <w:left w:val="nil"/>
              <w:bottom w:val="nil"/>
              <w:right w:val="single" w:sz="12" w:space="0" w:color="auto"/>
            </w:tcBorders>
            <w:shd w:val="clear" w:color="000000" w:fill="D0CECE"/>
            <w:vAlign w:val="center"/>
            <w:hideMark/>
          </w:tcPr>
          <w:p w:rsidR="00C7401C" w:rsidRPr="00C67D3B" w:rsidP="00C7401C" w14:paraId="3EDDFC68"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Total Responses</w:t>
            </w:r>
          </w:p>
        </w:tc>
        <w:tc>
          <w:tcPr>
            <w:tcW w:w="532" w:type="dxa"/>
            <w:tcBorders>
              <w:top w:val="single" w:sz="12" w:space="0" w:color="auto"/>
              <w:left w:val="nil"/>
              <w:bottom w:val="nil"/>
              <w:right w:val="single" w:sz="12" w:space="0" w:color="auto"/>
            </w:tcBorders>
            <w:shd w:val="clear" w:color="000000" w:fill="D0CECE"/>
            <w:vAlign w:val="center"/>
            <w:hideMark/>
          </w:tcPr>
          <w:p w:rsidR="00C7401C" w:rsidRPr="00C67D3B" w:rsidP="00C7401C" w14:paraId="6528E909"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 </w:t>
            </w:r>
          </w:p>
        </w:tc>
        <w:tc>
          <w:tcPr>
            <w:tcW w:w="1719" w:type="dxa"/>
            <w:tcBorders>
              <w:top w:val="single" w:sz="12" w:space="0" w:color="auto"/>
              <w:left w:val="nil"/>
              <w:bottom w:val="nil"/>
              <w:right w:val="single" w:sz="12" w:space="0" w:color="auto"/>
            </w:tcBorders>
            <w:shd w:val="clear" w:color="000000" w:fill="D0CECE"/>
            <w:vAlign w:val="center"/>
            <w:hideMark/>
          </w:tcPr>
          <w:p w:rsidR="00C7401C" w:rsidRPr="00C67D3B" w:rsidP="00C7401C" w14:paraId="6D80F481"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Average Time Taken to Respond (Hour)</w:t>
            </w:r>
          </w:p>
        </w:tc>
        <w:tc>
          <w:tcPr>
            <w:tcW w:w="512" w:type="dxa"/>
            <w:tcBorders>
              <w:top w:val="single" w:sz="12" w:space="0" w:color="auto"/>
              <w:left w:val="nil"/>
              <w:bottom w:val="nil"/>
              <w:right w:val="single" w:sz="12" w:space="0" w:color="auto"/>
            </w:tcBorders>
            <w:shd w:val="clear" w:color="000000" w:fill="D0CECE"/>
            <w:vAlign w:val="center"/>
            <w:hideMark/>
          </w:tcPr>
          <w:p w:rsidR="00C7401C" w:rsidRPr="00C67D3B" w:rsidP="00C7401C" w14:paraId="0730EAD5"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 </w:t>
            </w:r>
          </w:p>
        </w:tc>
        <w:tc>
          <w:tcPr>
            <w:tcW w:w="1105" w:type="dxa"/>
            <w:tcBorders>
              <w:top w:val="single" w:sz="12" w:space="0" w:color="auto"/>
              <w:left w:val="nil"/>
              <w:bottom w:val="nil"/>
              <w:right w:val="single" w:sz="12" w:space="0" w:color="auto"/>
            </w:tcBorders>
            <w:shd w:val="clear" w:color="000000" w:fill="D0CECE"/>
            <w:vAlign w:val="center"/>
            <w:hideMark/>
          </w:tcPr>
          <w:p w:rsidR="00C7401C" w:rsidRPr="00C67D3B" w:rsidP="00C7401C" w14:paraId="7AADAB7E"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Total Burden Hours</w:t>
            </w:r>
          </w:p>
        </w:tc>
      </w:tr>
      <w:tr w14:paraId="77C898ED" w14:textId="77777777" w:rsidTr="006E636A">
        <w:tblPrEx>
          <w:tblW w:w="11413" w:type="dxa"/>
          <w:tblInd w:w="-645" w:type="dxa"/>
          <w:tblLook w:val="04A0"/>
        </w:tblPrEx>
        <w:trPr>
          <w:gridAfter w:val="1"/>
          <w:wAfter w:w="222" w:type="dxa"/>
          <w:trHeight w:val="1330"/>
        </w:trPr>
        <w:tc>
          <w:tcPr>
            <w:tcW w:w="2161"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C7401C" w:rsidRPr="00C67D3B" w:rsidP="00C7401C" w14:paraId="4D5D444C"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 xml:space="preserve">Preparation and submission of application information </w:t>
            </w:r>
          </w:p>
        </w:tc>
        <w:tc>
          <w:tcPr>
            <w:tcW w:w="1404"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C7401C" w:rsidRPr="00C67D3B" w:rsidP="00C7401C" w14:paraId="0E11F4C0"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10</w:t>
            </w:r>
          </w:p>
        </w:tc>
        <w:tc>
          <w:tcPr>
            <w:tcW w:w="395" w:type="dxa"/>
            <w:vMerge w:val="restart"/>
            <w:tcBorders>
              <w:top w:val="single" w:sz="8" w:space="0" w:color="auto"/>
              <w:left w:val="single" w:sz="8" w:space="0" w:color="auto"/>
              <w:bottom w:val="nil"/>
              <w:right w:val="single" w:sz="8" w:space="0" w:color="auto"/>
            </w:tcBorders>
            <w:shd w:val="clear" w:color="auto" w:fill="auto"/>
            <w:vAlign w:val="center"/>
            <w:hideMark/>
          </w:tcPr>
          <w:p w:rsidR="00C7401C" w:rsidRPr="00C67D3B" w:rsidP="00C7401C" w14:paraId="61E714C2"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w:t>
            </w:r>
          </w:p>
        </w:tc>
        <w:tc>
          <w:tcPr>
            <w:tcW w:w="171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C7401C" w:rsidRPr="00C67D3B" w:rsidP="00C7401C" w14:paraId="79143A5A"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1</w:t>
            </w:r>
          </w:p>
        </w:tc>
        <w:tc>
          <w:tcPr>
            <w:tcW w:w="424" w:type="dxa"/>
            <w:vMerge w:val="restart"/>
            <w:tcBorders>
              <w:top w:val="single" w:sz="4" w:space="0" w:color="auto"/>
              <w:left w:val="single" w:sz="8" w:space="0" w:color="auto"/>
              <w:bottom w:val="nil"/>
              <w:right w:val="single" w:sz="8" w:space="0" w:color="auto"/>
            </w:tcBorders>
            <w:shd w:val="clear" w:color="auto" w:fill="auto"/>
            <w:vAlign w:val="center"/>
            <w:hideMark/>
          </w:tcPr>
          <w:p w:rsidR="00C7401C" w:rsidRPr="00C67D3B" w:rsidP="00C7401C" w14:paraId="180F93C5"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w:t>
            </w:r>
          </w:p>
        </w:tc>
        <w:tc>
          <w:tcPr>
            <w:tcW w:w="1229"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C7401C" w:rsidRPr="00C67D3B" w:rsidP="00C7401C" w14:paraId="28A4B6D2"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10</w:t>
            </w:r>
          </w:p>
        </w:tc>
        <w:tc>
          <w:tcPr>
            <w:tcW w:w="532" w:type="dxa"/>
            <w:vMerge w:val="restart"/>
            <w:tcBorders>
              <w:top w:val="single" w:sz="4" w:space="0" w:color="auto"/>
              <w:left w:val="single" w:sz="8" w:space="0" w:color="auto"/>
              <w:bottom w:val="nil"/>
              <w:right w:val="single" w:sz="8" w:space="0" w:color="auto"/>
            </w:tcBorders>
            <w:shd w:val="clear" w:color="auto" w:fill="auto"/>
            <w:vAlign w:val="center"/>
            <w:hideMark/>
          </w:tcPr>
          <w:p w:rsidR="00C7401C" w:rsidRPr="00C67D3B" w:rsidP="00C7401C" w14:paraId="5206705A"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w:t>
            </w:r>
          </w:p>
        </w:tc>
        <w:tc>
          <w:tcPr>
            <w:tcW w:w="1719" w:type="dxa"/>
            <w:tcBorders>
              <w:top w:val="single" w:sz="4" w:space="0" w:color="auto"/>
              <w:left w:val="nil"/>
              <w:bottom w:val="single" w:sz="4" w:space="0" w:color="auto"/>
              <w:right w:val="single" w:sz="8" w:space="0" w:color="auto"/>
            </w:tcBorders>
            <w:shd w:val="clear" w:color="auto" w:fill="auto"/>
            <w:vAlign w:val="center"/>
            <w:hideMark/>
          </w:tcPr>
          <w:p w:rsidR="00C7401C" w:rsidRPr="00C67D3B" w:rsidP="00C7401C" w14:paraId="5C111345"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8</w:t>
            </w:r>
          </w:p>
        </w:tc>
        <w:tc>
          <w:tcPr>
            <w:tcW w:w="512" w:type="dxa"/>
            <w:vMerge w:val="restart"/>
            <w:tcBorders>
              <w:top w:val="single" w:sz="4" w:space="0" w:color="auto"/>
              <w:left w:val="single" w:sz="8" w:space="0" w:color="auto"/>
              <w:bottom w:val="nil"/>
              <w:right w:val="single" w:sz="8" w:space="0" w:color="auto"/>
            </w:tcBorders>
            <w:shd w:val="clear" w:color="auto" w:fill="auto"/>
            <w:vAlign w:val="center"/>
            <w:hideMark/>
          </w:tcPr>
          <w:p w:rsidR="00C7401C" w:rsidRPr="00C67D3B" w:rsidP="00C7401C" w14:paraId="161D3175"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w:t>
            </w:r>
          </w:p>
        </w:tc>
        <w:tc>
          <w:tcPr>
            <w:tcW w:w="1105" w:type="dxa"/>
            <w:tcBorders>
              <w:top w:val="single" w:sz="4" w:space="0" w:color="auto"/>
              <w:left w:val="nil"/>
              <w:bottom w:val="single" w:sz="8" w:space="0" w:color="auto"/>
              <w:right w:val="single" w:sz="8" w:space="0" w:color="auto"/>
            </w:tcBorders>
            <w:shd w:val="clear" w:color="auto" w:fill="auto"/>
            <w:vAlign w:val="center"/>
            <w:hideMark/>
          </w:tcPr>
          <w:p w:rsidR="00C7401C" w:rsidRPr="00C67D3B" w:rsidP="00C7401C" w14:paraId="78FF24DA"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80</w:t>
            </w:r>
          </w:p>
        </w:tc>
      </w:tr>
      <w:tr w14:paraId="2F4AA1FE" w14:textId="77777777" w:rsidTr="006E636A">
        <w:tblPrEx>
          <w:tblW w:w="11413" w:type="dxa"/>
          <w:tblInd w:w="-645" w:type="dxa"/>
          <w:tblLook w:val="04A0"/>
        </w:tblPrEx>
        <w:trPr>
          <w:gridAfter w:val="1"/>
          <w:wAfter w:w="222" w:type="dxa"/>
          <w:trHeight w:val="300"/>
        </w:trPr>
        <w:tc>
          <w:tcPr>
            <w:tcW w:w="2161" w:type="dxa"/>
            <w:vMerge w:val="restart"/>
            <w:tcBorders>
              <w:top w:val="nil"/>
              <w:left w:val="single" w:sz="8" w:space="0" w:color="auto"/>
              <w:bottom w:val="single" w:sz="8" w:space="0" w:color="000000"/>
              <w:right w:val="single" w:sz="8" w:space="0" w:color="auto"/>
            </w:tcBorders>
            <w:shd w:val="clear" w:color="auto" w:fill="auto"/>
            <w:vAlign w:val="center"/>
            <w:hideMark/>
          </w:tcPr>
          <w:p w:rsidR="00C7401C" w:rsidRPr="00C67D3B" w:rsidP="00C7401C" w14:paraId="784AC86C"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 xml:space="preserve">Annual Statements </w:t>
            </w:r>
          </w:p>
        </w:tc>
        <w:tc>
          <w:tcPr>
            <w:tcW w:w="1404" w:type="dxa"/>
            <w:vMerge/>
            <w:tcBorders>
              <w:top w:val="single" w:sz="4" w:space="0" w:color="auto"/>
              <w:left w:val="single" w:sz="8" w:space="0" w:color="auto"/>
              <w:bottom w:val="single" w:sz="8" w:space="0" w:color="000000"/>
              <w:right w:val="single" w:sz="8" w:space="0" w:color="auto"/>
            </w:tcBorders>
            <w:vAlign w:val="center"/>
            <w:hideMark/>
          </w:tcPr>
          <w:p w:rsidR="00C7401C" w:rsidRPr="00C67D3B" w:rsidP="00C7401C" w14:paraId="67F7CBBF" w14:textId="77777777">
            <w:pPr>
              <w:widowControl/>
              <w:autoSpaceDE/>
              <w:autoSpaceDN/>
              <w:adjustRightInd/>
              <w:rPr>
                <w:rFonts w:ascii="Times New Roman" w:hAnsi="Times New Roman"/>
                <w:color w:val="000000"/>
                <w:sz w:val="22"/>
                <w:szCs w:val="22"/>
              </w:rPr>
            </w:pPr>
          </w:p>
        </w:tc>
        <w:tc>
          <w:tcPr>
            <w:tcW w:w="395" w:type="dxa"/>
            <w:vMerge/>
            <w:tcBorders>
              <w:top w:val="single" w:sz="8" w:space="0" w:color="auto"/>
              <w:left w:val="single" w:sz="8" w:space="0" w:color="auto"/>
              <w:bottom w:val="nil"/>
              <w:right w:val="single" w:sz="8" w:space="0" w:color="auto"/>
            </w:tcBorders>
            <w:vAlign w:val="center"/>
            <w:hideMark/>
          </w:tcPr>
          <w:p w:rsidR="00C7401C" w:rsidRPr="00C67D3B" w:rsidP="00C7401C" w14:paraId="2850499C" w14:textId="77777777">
            <w:pPr>
              <w:widowControl/>
              <w:autoSpaceDE/>
              <w:autoSpaceDN/>
              <w:adjustRightInd/>
              <w:rPr>
                <w:rFonts w:ascii="Times New Roman" w:hAnsi="Times New Roman"/>
                <w:color w:val="000000"/>
                <w:sz w:val="22"/>
                <w:szCs w:val="22"/>
              </w:rPr>
            </w:pPr>
          </w:p>
        </w:tc>
        <w:tc>
          <w:tcPr>
            <w:tcW w:w="1710" w:type="dxa"/>
            <w:vMerge/>
            <w:tcBorders>
              <w:top w:val="single" w:sz="4" w:space="0" w:color="auto"/>
              <w:left w:val="single" w:sz="8" w:space="0" w:color="auto"/>
              <w:bottom w:val="single" w:sz="8" w:space="0" w:color="000000"/>
              <w:right w:val="single" w:sz="8" w:space="0" w:color="auto"/>
            </w:tcBorders>
            <w:vAlign w:val="center"/>
            <w:hideMark/>
          </w:tcPr>
          <w:p w:rsidR="00C7401C" w:rsidRPr="00C67D3B" w:rsidP="00C7401C" w14:paraId="2B24BCBD" w14:textId="77777777">
            <w:pPr>
              <w:widowControl/>
              <w:autoSpaceDE/>
              <w:autoSpaceDN/>
              <w:adjustRightInd/>
              <w:rPr>
                <w:rFonts w:ascii="Times New Roman" w:hAnsi="Times New Roman"/>
                <w:color w:val="000000"/>
                <w:sz w:val="22"/>
                <w:szCs w:val="22"/>
              </w:rPr>
            </w:pPr>
          </w:p>
        </w:tc>
        <w:tc>
          <w:tcPr>
            <w:tcW w:w="424" w:type="dxa"/>
            <w:vMerge/>
            <w:tcBorders>
              <w:top w:val="single" w:sz="4" w:space="0" w:color="auto"/>
              <w:left w:val="single" w:sz="8" w:space="0" w:color="auto"/>
              <w:bottom w:val="nil"/>
              <w:right w:val="single" w:sz="8" w:space="0" w:color="auto"/>
            </w:tcBorders>
            <w:vAlign w:val="center"/>
            <w:hideMark/>
          </w:tcPr>
          <w:p w:rsidR="00C7401C" w:rsidRPr="00C67D3B" w:rsidP="00C7401C" w14:paraId="3B697B0C" w14:textId="77777777">
            <w:pPr>
              <w:widowControl/>
              <w:autoSpaceDE/>
              <w:autoSpaceDN/>
              <w:adjustRightInd/>
              <w:rPr>
                <w:rFonts w:ascii="Times New Roman" w:hAnsi="Times New Roman"/>
                <w:color w:val="000000"/>
                <w:sz w:val="22"/>
                <w:szCs w:val="22"/>
              </w:rPr>
            </w:pPr>
          </w:p>
        </w:tc>
        <w:tc>
          <w:tcPr>
            <w:tcW w:w="1229" w:type="dxa"/>
            <w:vMerge/>
            <w:tcBorders>
              <w:top w:val="single" w:sz="4" w:space="0" w:color="auto"/>
              <w:left w:val="single" w:sz="8" w:space="0" w:color="auto"/>
              <w:bottom w:val="single" w:sz="8" w:space="0" w:color="000000"/>
              <w:right w:val="single" w:sz="8" w:space="0" w:color="auto"/>
            </w:tcBorders>
            <w:vAlign w:val="center"/>
            <w:hideMark/>
          </w:tcPr>
          <w:p w:rsidR="00C7401C" w:rsidRPr="00C67D3B" w:rsidP="00C7401C" w14:paraId="58A253C6" w14:textId="77777777">
            <w:pPr>
              <w:widowControl/>
              <w:autoSpaceDE/>
              <w:autoSpaceDN/>
              <w:adjustRightInd/>
              <w:rPr>
                <w:rFonts w:ascii="Times New Roman" w:hAnsi="Times New Roman"/>
                <w:color w:val="000000"/>
                <w:sz w:val="22"/>
                <w:szCs w:val="22"/>
              </w:rPr>
            </w:pPr>
          </w:p>
        </w:tc>
        <w:tc>
          <w:tcPr>
            <w:tcW w:w="532" w:type="dxa"/>
            <w:vMerge/>
            <w:tcBorders>
              <w:top w:val="single" w:sz="4" w:space="0" w:color="auto"/>
              <w:left w:val="single" w:sz="8" w:space="0" w:color="auto"/>
              <w:bottom w:val="nil"/>
              <w:right w:val="single" w:sz="8" w:space="0" w:color="auto"/>
            </w:tcBorders>
            <w:vAlign w:val="center"/>
            <w:hideMark/>
          </w:tcPr>
          <w:p w:rsidR="00C7401C" w:rsidRPr="00C67D3B" w:rsidP="00C7401C" w14:paraId="6674B9A8" w14:textId="77777777">
            <w:pPr>
              <w:widowControl/>
              <w:autoSpaceDE/>
              <w:autoSpaceDN/>
              <w:adjustRightInd/>
              <w:rPr>
                <w:rFonts w:ascii="Times New Roman" w:hAnsi="Times New Roman"/>
                <w:color w:val="000000"/>
                <w:sz w:val="22"/>
                <w:szCs w:val="22"/>
              </w:rPr>
            </w:pPr>
          </w:p>
        </w:tc>
        <w:tc>
          <w:tcPr>
            <w:tcW w:w="1719" w:type="dxa"/>
            <w:vMerge w:val="restart"/>
            <w:tcBorders>
              <w:top w:val="nil"/>
              <w:left w:val="single" w:sz="8" w:space="0" w:color="auto"/>
              <w:bottom w:val="single" w:sz="8" w:space="0" w:color="000000"/>
              <w:right w:val="single" w:sz="8" w:space="0" w:color="auto"/>
            </w:tcBorders>
            <w:shd w:val="clear" w:color="auto" w:fill="auto"/>
            <w:vAlign w:val="center"/>
            <w:hideMark/>
          </w:tcPr>
          <w:p w:rsidR="00C7401C" w:rsidRPr="00C67D3B" w:rsidP="00C7401C" w14:paraId="27033CFF"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1</w:t>
            </w:r>
          </w:p>
        </w:tc>
        <w:tc>
          <w:tcPr>
            <w:tcW w:w="512" w:type="dxa"/>
            <w:vMerge/>
            <w:tcBorders>
              <w:top w:val="single" w:sz="4" w:space="0" w:color="auto"/>
              <w:left w:val="single" w:sz="8" w:space="0" w:color="auto"/>
              <w:bottom w:val="nil"/>
              <w:right w:val="single" w:sz="8" w:space="0" w:color="auto"/>
            </w:tcBorders>
            <w:vAlign w:val="center"/>
            <w:hideMark/>
          </w:tcPr>
          <w:p w:rsidR="00C7401C" w:rsidRPr="00C67D3B" w:rsidP="00C7401C" w14:paraId="4247C9BE" w14:textId="77777777">
            <w:pPr>
              <w:widowControl/>
              <w:autoSpaceDE/>
              <w:autoSpaceDN/>
              <w:adjustRightInd/>
              <w:rPr>
                <w:rFonts w:ascii="Times New Roman" w:hAnsi="Times New Roman"/>
                <w:color w:val="000000"/>
                <w:sz w:val="22"/>
                <w:szCs w:val="22"/>
              </w:rPr>
            </w:pPr>
          </w:p>
        </w:tc>
        <w:tc>
          <w:tcPr>
            <w:tcW w:w="1105" w:type="dxa"/>
            <w:vMerge w:val="restart"/>
            <w:tcBorders>
              <w:top w:val="nil"/>
              <w:left w:val="single" w:sz="8" w:space="0" w:color="auto"/>
              <w:bottom w:val="single" w:sz="8" w:space="0" w:color="000000"/>
              <w:right w:val="single" w:sz="8" w:space="0" w:color="auto"/>
            </w:tcBorders>
            <w:shd w:val="clear" w:color="auto" w:fill="auto"/>
            <w:vAlign w:val="center"/>
            <w:hideMark/>
          </w:tcPr>
          <w:p w:rsidR="00C7401C" w:rsidRPr="00C67D3B" w:rsidP="00C7401C" w14:paraId="57136653"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10</w:t>
            </w:r>
          </w:p>
        </w:tc>
      </w:tr>
      <w:tr w14:paraId="463B20B5" w14:textId="77777777" w:rsidTr="006E636A">
        <w:tblPrEx>
          <w:tblW w:w="11413" w:type="dxa"/>
          <w:tblInd w:w="-645" w:type="dxa"/>
          <w:tblLook w:val="04A0"/>
        </w:tblPrEx>
        <w:trPr>
          <w:trHeight w:val="115"/>
        </w:trPr>
        <w:tc>
          <w:tcPr>
            <w:tcW w:w="2161" w:type="dxa"/>
            <w:vMerge/>
            <w:tcBorders>
              <w:top w:val="nil"/>
              <w:left w:val="single" w:sz="8" w:space="0" w:color="auto"/>
              <w:bottom w:val="single" w:sz="8" w:space="0" w:color="000000"/>
              <w:right w:val="single" w:sz="8" w:space="0" w:color="auto"/>
            </w:tcBorders>
            <w:vAlign w:val="center"/>
            <w:hideMark/>
          </w:tcPr>
          <w:p w:rsidR="00C7401C" w:rsidRPr="00C67D3B" w:rsidP="00C7401C" w14:paraId="7DDB874A" w14:textId="77777777">
            <w:pPr>
              <w:widowControl/>
              <w:autoSpaceDE/>
              <w:autoSpaceDN/>
              <w:adjustRightInd/>
              <w:rPr>
                <w:rFonts w:ascii="Times New Roman" w:hAnsi="Times New Roman"/>
                <w:color w:val="000000"/>
                <w:sz w:val="22"/>
                <w:szCs w:val="22"/>
              </w:rPr>
            </w:pPr>
          </w:p>
        </w:tc>
        <w:tc>
          <w:tcPr>
            <w:tcW w:w="1404" w:type="dxa"/>
            <w:vMerge/>
            <w:tcBorders>
              <w:top w:val="single" w:sz="4" w:space="0" w:color="auto"/>
              <w:left w:val="single" w:sz="8" w:space="0" w:color="auto"/>
              <w:bottom w:val="single" w:sz="8" w:space="0" w:color="000000"/>
              <w:right w:val="single" w:sz="8" w:space="0" w:color="auto"/>
            </w:tcBorders>
            <w:vAlign w:val="center"/>
            <w:hideMark/>
          </w:tcPr>
          <w:p w:rsidR="00C7401C" w:rsidRPr="00C67D3B" w:rsidP="00C7401C" w14:paraId="69E2120C" w14:textId="77777777">
            <w:pPr>
              <w:widowControl/>
              <w:autoSpaceDE/>
              <w:autoSpaceDN/>
              <w:adjustRightInd/>
              <w:rPr>
                <w:rFonts w:ascii="Times New Roman" w:hAnsi="Times New Roman"/>
                <w:color w:val="000000"/>
                <w:sz w:val="22"/>
                <w:szCs w:val="22"/>
              </w:rPr>
            </w:pPr>
          </w:p>
        </w:tc>
        <w:tc>
          <w:tcPr>
            <w:tcW w:w="395" w:type="dxa"/>
            <w:vMerge/>
            <w:tcBorders>
              <w:top w:val="single" w:sz="8" w:space="0" w:color="auto"/>
              <w:left w:val="single" w:sz="8" w:space="0" w:color="auto"/>
              <w:bottom w:val="nil"/>
              <w:right w:val="single" w:sz="8" w:space="0" w:color="auto"/>
            </w:tcBorders>
            <w:vAlign w:val="center"/>
            <w:hideMark/>
          </w:tcPr>
          <w:p w:rsidR="00C7401C" w:rsidRPr="00C67D3B" w:rsidP="00C7401C" w14:paraId="20DB536B" w14:textId="77777777">
            <w:pPr>
              <w:widowControl/>
              <w:autoSpaceDE/>
              <w:autoSpaceDN/>
              <w:adjustRightInd/>
              <w:rPr>
                <w:rFonts w:ascii="Times New Roman" w:hAnsi="Times New Roman"/>
                <w:color w:val="000000"/>
                <w:sz w:val="22"/>
                <w:szCs w:val="22"/>
              </w:rPr>
            </w:pPr>
          </w:p>
        </w:tc>
        <w:tc>
          <w:tcPr>
            <w:tcW w:w="1710" w:type="dxa"/>
            <w:vMerge/>
            <w:tcBorders>
              <w:top w:val="single" w:sz="4" w:space="0" w:color="auto"/>
              <w:left w:val="single" w:sz="8" w:space="0" w:color="auto"/>
              <w:bottom w:val="single" w:sz="8" w:space="0" w:color="000000"/>
              <w:right w:val="single" w:sz="8" w:space="0" w:color="auto"/>
            </w:tcBorders>
            <w:vAlign w:val="center"/>
            <w:hideMark/>
          </w:tcPr>
          <w:p w:rsidR="00C7401C" w:rsidRPr="00C67D3B" w:rsidP="00C7401C" w14:paraId="191BE96B" w14:textId="77777777">
            <w:pPr>
              <w:widowControl/>
              <w:autoSpaceDE/>
              <w:autoSpaceDN/>
              <w:adjustRightInd/>
              <w:rPr>
                <w:rFonts w:ascii="Times New Roman" w:hAnsi="Times New Roman"/>
                <w:color w:val="000000"/>
                <w:sz w:val="22"/>
                <w:szCs w:val="22"/>
              </w:rPr>
            </w:pPr>
          </w:p>
        </w:tc>
        <w:tc>
          <w:tcPr>
            <w:tcW w:w="424" w:type="dxa"/>
            <w:vMerge/>
            <w:tcBorders>
              <w:top w:val="single" w:sz="4" w:space="0" w:color="auto"/>
              <w:left w:val="single" w:sz="8" w:space="0" w:color="auto"/>
              <w:bottom w:val="nil"/>
              <w:right w:val="single" w:sz="8" w:space="0" w:color="auto"/>
            </w:tcBorders>
            <w:vAlign w:val="center"/>
            <w:hideMark/>
          </w:tcPr>
          <w:p w:rsidR="00C7401C" w:rsidRPr="00C67D3B" w:rsidP="00C7401C" w14:paraId="5ED67487" w14:textId="77777777">
            <w:pPr>
              <w:widowControl/>
              <w:autoSpaceDE/>
              <w:autoSpaceDN/>
              <w:adjustRightInd/>
              <w:rPr>
                <w:rFonts w:ascii="Times New Roman" w:hAnsi="Times New Roman"/>
                <w:color w:val="000000"/>
                <w:sz w:val="22"/>
                <w:szCs w:val="22"/>
              </w:rPr>
            </w:pPr>
          </w:p>
        </w:tc>
        <w:tc>
          <w:tcPr>
            <w:tcW w:w="1229" w:type="dxa"/>
            <w:vMerge/>
            <w:tcBorders>
              <w:top w:val="single" w:sz="4" w:space="0" w:color="auto"/>
              <w:left w:val="single" w:sz="8" w:space="0" w:color="auto"/>
              <w:bottom w:val="single" w:sz="8" w:space="0" w:color="000000"/>
              <w:right w:val="single" w:sz="8" w:space="0" w:color="auto"/>
            </w:tcBorders>
            <w:vAlign w:val="center"/>
            <w:hideMark/>
          </w:tcPr>
          <w:p w:rsidR="00C7401C" w:rsidRPr="00C67D3B" w:rsidP="00C7401C" w14:paraId="644143E5" w14:textId="77777777">
            <w:pPr>
              <w:widowControl/>
              <w:autoSpaceDE/>
              <w:autoSpaceDN/>
              <w:adjustRightInd/>
              <w:rPr>
                <w:rFonts w:ascii="Times New Roman" w:hAnsi="Times New Roman"/>
                <w:color w:val="000000"/>
                <w:sz w:val="22"/>
                <w:szCs w:val="22"/>
              </w:rPr>
            </w:pPr>
          </w:p>
        </w:tc>
        <w:tc>
          <w:tcPr>
            <w:tcW w:w="532" w:type="dxa"/>
            <w:vMerge/>
            <w:tcBorders>
              <w:top w:val="single" w:sz="4" w:space="0" w:color="auto"/>
              <w:left w:val="single" w:sz="8" w:space="0" w:color="auto"/>
              <w:bottom w:val="nil"/>
              <w:right w:val="single" w:sz="8" w:space="0" w:color="auto"/>
            </w:tcBorders>
            <w:vAlign w:val="center"/>
            <w:hideMark/>
          </w:tcPr>
          <w:p w:rsidR="00C7401C" w:rsidRPr="00C67D3B" w:rsidP="00C7401C" w14:paraId="36D694C3" w14:textId="77777777">
            <w:pPr>
              <w:widowControl/>
              <w:autoSpaceDE/>
              <w:autoSpaceDN/>
              <w:adjustRightInd/>
              <w:rPr>
                <w:rFonts w:ascii="Times New Roman" w:hAnsi="Times New Roman"/>
                <w:color w:val="000000"/>
                <w:sz w:val="22"/>
                <w:szCs w:val="22"/>
              </w:rPr>
            </w:pPr>
          </w:p>
        </w:tc>
        <w:tc>
          <w:tcPr>
            <w:tcW w:w="1719" w:type="dxa"/>
            <w:vMerge/>
            <w:tcBorders>
              <w:top w:val="nil"/>
              <w:left w:val="single" w:sz="8" w:space="0" w:color="auto"/>
              <w:bottom w:val="single" w:sz="8" w:space="0" w:color="000000"/>
              <w:right w:val="single" w:sz="8" w:space="0" w:color="auto"/>
            </w:tcBorders>
            <w:vAlign w:val="center"/>
            <w:hideMark/>
          </w:tcPr>
          <w:p w:rsidR="00C7401C" w:rsidRPr="00C67D3B" w:rsidP="00C7401C" w14:paraId="6115DE3F" w14:textId="77777777">
            <w:pPr>
              <w:widowControl/>
              <w:autoSpaceDE/>
              <w:autoSpaceDN/>
              <w:adjustRightInd/>
              <w:rPr>
                <w:rFonts w:ascii="Times New Roman" w:hAnsi="Times New Roman"/>
                <w:color w:val="000000"/>
                <w:sz w:val="22"/>
                <w:szCs w:val="22"/>
              </w:rPr>
            </w:pPr>
          </w:p>
        </w:tc>
        <w:tc>
          <w:tcPr>
            <w:tcW w:w="512" w:type="dxa"/>
            <w:vMerge/>
            <w:tcBorders>
              <w:top w:val="single" w:sz="4" w:space="0" w:color="auto"/>
              <w:left w:val="single" w:sz="8" w:space="0" w:color="auto"/>
              <w:bottom w:val="nil"/>
              <w:right w:val="single" w:sz="8" w:space="0" w:color="auto"/>
            </w:tcBorders>
            <w:vAlign w:val="center"/>
            <w:hideMark/>
          </w:tcPr>
          <w:p w:rsidR="00C7401C" w:rsidRPr="00C67D3B" w:rsidP="00C7401C" w14:paraId="1EFBF5D3" w14:textId="77777777">
            <w:pPr>
              <w:widowControl/>
              <w:autoSpaceDE/>
              <w:autoSpaceDN/>
              <w:adjustRightInd/>
              <w:rPr>
                <w:rFonts w:ascii="Times New Roman" w:hAnsi="Times New Roman"/>
                <w:color w:val="000000"/>
                <w:sz w:val="22"/>
                <w:szCs w:val="22"/>
              </w:rPr>
            </w:pPr>
          </w:p>
        </w:tc>
        <w:tc>
          <w:tcPr>
            <w:tcW w:w="1105" w:type="dxa"/>
            <w:vMerge/>
            <w:tcBorders>
              <w:top w:val="nil"/>
              <w:left w:val="single" w:sz="8" w:space="0" w:color="auto"/>
              <w:bottom w:val="single" w:sz="8" w:space="0" w:color="000000"/>
              <w:right w:val="single" w:sz="8" w:space="0" w:color="auto"/>
            </w:tcBorders>
            <w:vAlign w:val="center"/>
            <w:hideMark/>
          </w:tcPr>
          <w:p w:rsidR="00C7401C" w:rsidRPr="00C67D3B" w:rsidP="00C7401C" w14:paraId="43125873" w14:textId="77777777">
            <w:pPr>
              <w:widowControl/>
              <w:autoSpaceDE/>
              <w:autoSpaceDN/>
              <w:adjustRightInd/>
              <w:rPr>
                <w:rFonts w:ascii="Times New Roman" w:hAnsi="Times New Roman"/>
                <w:color w:val="000000"/>
                <w:sz w:val="22"/>
                <w:szCs w:val="22"/>
              </w:rPr>
            </w:pPr>
          </w:p>
        </w:tc>
        <w:tc>
          <w:tcPr>
            <w:tcW w:w="222" w:type="dxa"/>
            <w:tcBorders>
              <w:top w:val="nil"/>
              <w:left w:val="nil"/>
              <w:bottom w:val="nil"/>
              <w:right w:val="nil"/>
            </w:tcBorders>
            <w:shd w:val="clear" w:color="auto" w:fill="auto"/>
            <w:noWrap/>
            <w:vAlign w:val="bottom"/>
            <w:hideMark/>
          </w:tcPr>
          <w:p w:rsidR="00C7401C" w:rsidRPr="00C67D3B" w:rsidP="00C7401C" w14:paraId="31D8017B" w14:textId="77777777">
            <w:pPr>
              <w:widowControl/>
              <w:autoSpaceDE/>
              <w:autoSpaceDN/>
              <w:adjustRightInd/>
              <w:jc w:val="center"/>
              <w:rPr>
                <w:rFonts w:ascii="Times New Roman" w:hAnsi="Times New Roman"/>
                <w:color w:val="000000"/>
                <w:sz w:val="22"/>
                <w:szCs w:val="22"/>
              </w:rPr>
            </w:pPr>
          </w:p>
        </w:tc>
      </w:tr>
      <w:tr w14:paraId="385AFD95" w14:textId="77777777" w:rsidTr="00330BB1">
        <w:tblPrEx>
          <w:tblW w:w="11413" w:type="dxa"/>
          <w:tblInd w:w="-645" w:type="dxa"/>
          <w:tblLook w:val="04A0"/>
        </w:tblPrEx>
        <w:trPr>
          <w:trHeight w:val="493"/>
        </w:trPr>
        <w:tc>
          <w:tcPr>
            <w:tcW w:w="2161" w:type="dxa"/>
            <w:tcBorders>
              <w:top w:val="nil"/>
              <w:left w:val="single" w:sz="8" w:space="0" w:color="auto"/>
              <w:bottom w:val="single" w:sz="8" w:space="0" w:color="auto"/>
              <w:right w:val="single" w:sz="8" w:space="0" w:color="auto"/>
            </w:tcBorders>
            <w:shd w:val="clear" w:color="auto" w:fill="AEAAAA" w:themeFill="background2" w:themeFillShade="BF"/>
            <w:noWrap/>
            <w:vAlign w:val="center"/>
            <w:hideMark/>
          </w:tcPr>
          <w:p w:rsidR="00C7401C" w:rsidRPr="00C67D3B" w:rsidP="00A539B2" w14:paraId="70D7E1A3"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TOTAL</w:t>
            </w:r>
          </w:p>
        </w:tc>
        <w:tc>
          <w:tcPr>
            <w:tcW w:w="1404" w:type="dxa"/>
            <w:tcBorders>
              <w:top w:val="nil"/>
              <w:left w:val="nil"/>
              <w:bottom w:val="single" w:sz="8" w:space="0" w:color="auto"/>
              <w:right w:val="single" w:sz="8" w:space="0" w:color="auto"/>
            </w:tcBorders>
            <w:shd w:val="clear" w:color="auto" w:fill="auto"/>
            <w:noWrap/>
            <w:vAlign w:val="center"/>
            <w:hideMark/>
          </w:tcPr>
          <w:p w:rsidR="00C7401C" w:rsidRPr="00C67D3B" w:rsidP="00507B6C" w14:paraId="24F82ED7"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10</w:t>
            </w:r>
          </w:p>
        </w:tc>
        <w:tc>
          <w:tcPr>
            <w:tcW w:w="395" w:type="dxa"/>
            <w:tcBorders>
              <w:top w:val="single" w:sz="8" w:space="0" w:color="auto"/>
              <w:left w:val="nil"/>
              <w:bottom w:val="single" w:sz="8" w:space="0" w:color="auto"/>
              <w:right w:val="single" w:sz="8" w:space="0" w:color="auto"/>
            </w:tcBorders>
            <w:shd w:val="clear" w:color="auto" w:fill="auto"/>
            <w:vAlign w:val="center"/>
            <w:hideMark/>
          </w:tcPr>
          <w:p w:rsidR="00C7401C" w:rsidRPr="00C67D3B" w:rsidP="00507B6C" w14:paraId="6029B510"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w:t>
            </w:r>
          </w:p>
        </w:tc>
        <w:tc>
          <w:tcPr>
            <w:tcW w:w="1710" w:type="dxa"/>
            <w:tcBorders>
              <w:top w:val="nil"/>
              <w:left w:val="nil"/>
              <w:bottom w:val="single" w:sz="8" w:space="0" w:color="auto"/>
              <w:right w:val="single" w:sz="8" w:space="0" w:color="auto"/>
            </w:tcBorders>
            <w:shd w:val="clear" w:color="auto" w:fill="auto"/>
            <w:noWrap/>
            <w:vAlign w:val="center"/>
            <w:hideMark/>
          </w:tcPr>
          <w:p w:rsidR="00C7401C" w:rsidRPr="00C67D3B" w:rsidP="00507B6C" w14:paraId="3B14012D"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1</w:t>
            </w:r>
          </w:p>
        </w:tc>
        <w:tc>
          <w:tcPr>
            <w:tcW w:w="424" w:type="dxa"/>
            <w:tcBorders>
              <w:top w:val="single" w:sz="8" w:space="0" w:color="auto"/>
              <w:left w:val="nil"/>
              <w:bottom w:val="single" w:sz="8" w:space="0" w:color="auto"/>
              <w:right w:val="single" w:sz="8" w:space="0" w:color="auto"/>
            </w:tcBorders>
            <w:shd w:val="clear" w:color="auto" w:fill="auto"/>
            <w:vAlign w:val="center"/>
            <w:hideMark/>
          </w:tcPr>
          <w:p w:rsidR="00C7401C" w:rsidRPr="00C67D3B" w:rsidP="00507B6C" w14:paraId="097DF770"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w:t>
            </w:r>
          </w:p>
        </w:tc>
        <w:tc>
          <w:tcPr>
            <w:tcW w:w="1229" w:type="dxa"/>
            <w:tcBorders>
              <w:top w:val="nil"/>
              <w:left w:val="nil"/>
              <w:bottom w:val="single" w:sz="8" w:space="0" w:color="auto"/>
              <w:right w:val="single" w:sz="8" w:space="0" w:color="auto"/>
            </w:tcBorders>
            <w:shd w:val="clear" w:color="auto" w:fill="auto"/>
            <w:noWrap/>
            <w:vAlign w:val="center"/>
            <w:hideMark/>
          </w:tcPr>
          <w:p w:rsidR="00C7401C" w:rsidRPr="00C67D3B" w:rsidP="00507B6C" w14:paraId="408A403B"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10</w:t>
            </w:r>
          </w:p>
        </w:tc>
        <w:tc>
          <w:tcPr>
            <w:tcW w:w="532" w:type="dxa"/>
            <w:tcBorders>
              <w:top w:val="single" w:sz="8" w:space="0" w:color="auto"/>
              <w:left w:val="nil"/>
              <w:bottom w:val="single" w:sz="8" w:space="0" w:color="auto"/>
              <w:right w:val="single" w:sz="8" w:space="0" w:color="auto"/>
            </w:tcBorders>
            <w:shd w:val="clear" w:color="auto" w:fill="auto"/>
            <w:vAlign w:val="center"/>
            <w:hideMark/>
          </w:tcPr>
          <w:p w:rsidR="00C7401C" w:rsidRPr="00C67D3B" w:rsidP="00507B6C" w14:paraId="12CEE849"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w:t>
            </w:r>
          </w:p>
        </w:tc>
        <w:tc>
          <w:tcPr>
            <w:tcW w:w="1719" w:type="dxa"/>
            <w:tcBorders>
              <w:top w:val="nil"/>
              <w:left w:val="nil"/>
              <w:bottom w:val="single" w:sz="8" w:space="0" w:color="auto"/>
              <w:right w:val="single" w:sz="8" w:space="0" w:color="auto"/>
            </w:tcBorders>
            <w:shd w:val="clear" w:color="auto" w:fill="auto"/>
            <w:noWrap/>
            <w:vAlign w:val="center"/>
            <w:hideMark/>
          </w:tcPr>
          <w:p w:rsidR="00C7401C" w:rsidRPr="00C67D3B" w:rsidP="00507B6C" w14:paraId="26B1EB9F"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9</w:t>
            </w:r>
          </w:p>
        </w:tc>
        <w:tc>
          <w:tcPr>
            <w:tcW w:w="512" w:type="dxa"/>
            <w:tcBorders>
              <w:top w:val="single" w:sz="8" w:space="0" w:color="auto"/>
              <w:left w:val="nil"/>
              <w:bottom w:val="single" w:sz="8" w:space="0" w:color="auto"/>
              <w:right w:val="single" w:sz="8" w:space="0" w:color="auto"/>
            </w:tcBorders>
            <w:shd w:val="clear" w:color="auto" w:fill="auto"/>
            <w:vAlign w:val="center"/>
            <w:hideMark/>
          </w:tcPr>
          <w:p w:rsidR="00C7401C" w:rsidRPr="00C67D3B" w:rsidP="00507B6C" w14:paraId="12A907F5"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w:t>
            </w:r>
          </w:p>
        </w:tc>
        <w:tc>
          <w:tcPr>
            <w:tcW w:w="1105" w:type="dxa"/>
            <w:tcBorders>
              <w:top w:val="nil"/>
              <w:left w:val="nil"/>
              <w:bottom w:val="single" w:sz="8" w:space="0" w:color="auto"/>
              <w:right w:val="single" w:sz="8" w:space="0" w:color="auto"/>
            </w:tcBorders>
            <w:shd w:val="clear" w:color="auto" w:fill="auto"/>
            <w:noWrap/>
            <w:vAlign w:val="center"/>
            <w:hideMark/>
          </w:tcPr>
          <w:p w:rsidR="00C7401C" w:rsidRPr="00C67D3B" w:rsidP="00507B6C" w14:paraId="79A309A2"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90</w:t>
            </w:r>
          </w:p>
        </w:tc>
        <w:tc>
          <w:tcPr>
            <w:tcW w:w="222" w:type="dxa"/>
            <w:vAlign w:val="center"/>
            <w:hideMark/>
          </w:tcPr>
          <w:p w:rsidR="00C7401C" w:rsidRPr="00C67D3B" w:rsidP="00C7401C" w14:paraId="7EB57E90" w14:textId="77777777">
            <w:pPr>
              <w:widowControl/>
              <w:autoSpaceDE/>
              <w:autoSpaceDN/>
              <w:adjustRightInd/>
              <w:rPr>
                <w:rFonts w:ascii="Times New Roman" w:hAnsi="Times New Roman"/>
                <w:sz w:val="22"/>
                <w:szCs w:val="22"/>
              </w:rPr>
            </w:pPr>
          </w:p>
        </w:tc>
      </w:tr>
    </w:tbl>
    <w:p w:rsidR="0066210E" w:rsidRPr="00C67D3B" w:rsidP="00B261AD" w14:paraId="67785E07" w14:textId="35E19BF7">
      <w:pPr>
        <w:pStyle w:val="ListParagraph"/>
        <w:numPr>
          <w:ilvl w:val="0"/>
          <w:numId w:val="17"/>
        </w:numPr>
        <w:rPr>
          <w:rFonts w:ascii="Times New Roman" w:hAnsi="Times New Roman"/>
          <w:b/>
          <w:bCs/>
          <w:color w:val="000000"/>
          <w:sz w:val="24"/>
          <w:szCs w:val="24"/>
        </w:rPr>
      </w:pPr>
      <w:r w:rsidRPr="00C67D3B">
        <w:rPr>
          <w:rFonts w:ascii="Times New Roman" w:hAnsi="Times New Roman"/>
          <w:b/>
          <w:bCs/>
          <w:color w:val="000000"/>
          <w:sz w:val="24"/>
          <w:szCs w:val="24"/>
        </w:rPr>
        <w:t xml:space="preserve">Estimated Annualized Cost Burden </w:t>
      </w:r>
    </w:p>
    <w:p w:rsidR="0066210E" w:rsidRPr="00C67D3B" w:rsidP="00C67D3B" w14:paraId="1BB7FAB7" w14:textId="77777777">
      <w:pPr>
        <w:pStyle w:val="ListParagraph"/>
        <w:rPr>
          <w:rFonts w:ascii="Times New Roman" w:hAnsi="Times New Roman"/>
          <w:color w:val="000000"/>
          <w:sz w:val="24"/>
          <w:szCs w:val="24"/>
        </w:rPr>
      </w:pPr>
    </w:p>
    <w:p w:rsidR="00A539B2" w14:paraId="380FD2F5" w14:textId="00F27AB2">
      <w:pPr>
        <w:ind w:left="360"/>
        <w:rPr>
          <w:rFonts w:ascii="Times New Roman" w:hAnsi="Times New Roman"/>
          <w:iCs/>
          <w:sz w:val="24"/>
          <w:szCs w:val="24"/>
        </w:rPr>
      </w:pPr>
      <w:r>
        <w:rPr>
          <w:rFonts w:ascii="Times New Roman" w:hAnsi="Times New Roman"/>
          <w:iCs/>
          <w:sz w:val="24"/>
          <w:szCs w:val="24"/>
        </w:rPr>
        <w:t>The Bureau of Labor and Statistics (BLS)</w:t>
      </w:r>
      <w:r>
        <w:rPr>
          <w:rStyle w:val="FootnoteReference"/>
          <w:rFonts w:ascii="Times New Roman" w:hAnsi="Times New Roman"/>
          <w:iCs/>
          <w:sz w:val="24"/>
          <w:szCs w:val="24"/>
        </w:rPr>
        <w:footnoteReference w:id="2"/>
      </w:r>
      <w:r>
        <w:rPr>
          <w:rFonts w:ascii="Times New Roman" w:hAnsi="Times New Roman"/>
          <w:iCs/>
          <w:sz w:val="24"/>
          <w:szCs w:val="24"/>
        </w:rPr>
        <w:t xml:space="preserve"> estimates that the average hourly wage rates for the following professionals are as follows: </w:t>
      </w:r>
      <w:bookmarkStart w:id="3" w:name="_Hlk177467701"/>
      <w:r w:rsidRPr="00A539B2">
        <w:rPr>
          <w:rFonts w:ascii="Times New Roman" w:hAnsi="Times New Roman"/>
          <w:iCs/>
          <w:sz w:val="24"/>
          <w:szCs w:val="24"/>
        </w:rPr>
        <w:t>Lawyer (23-1011)</w:t>
      </w:r>
      <w:r>
        <w:rPr>
          <w:rFonts w:ascii="Times New Roman" w:hAnsi="Times New Roman"/>
          <w:iCs/>
          <w:sz w:val="24"/>
          <w:szCs w:val="24"/>
        </w:rPr>
        <w:t xml:space="preserve"> is</w:t>
      </w:r>
      <w:bookmarkEnd w:id="3"/>
      <w:r>
        <w:rPr>
          <w:rFonts w:ascii="Times New Roman" w:hAnsi="Times New Roman"/>
          <w:iCs/>
          <w:sz w:val="24"/>
          <w:szCs w:val="24"/>
        </w:rPr>
        <w:t xml:space="preserve"> $84.84, </w:t>
      </w:r>
      <w:r w:rsidRPr="00A539B2">
        <w:rPr>
          <w:rFonts w:ascii="Times New Roman" w:hAnsi="Times New Roman"/>
          <w:iCs/>
          <w:sz w:val="24"/>
          <w:szCs w:val="24"/>
        </w:rPr>
        <w:t>Legal Support Worker (23-2099)</w:t>
      </w:r>
      <w:r>
        <w:rPr>
          <w:rFonts w:ascii="Times New Roman" w:hAnsi="Times New Roman"/>
          <w:iCs/>
          <w:sz w:val="24"/>
          <w:szCs w:val="24"/>
        </w:rPr>
        <w:t xml:space="preserve"> is $39.89, and </w:t>
      </w:r>
      <w:r w:rsidRPr="00A539B2">
        <w:rPr>
          <w:rFonts w:ascii="Times New Roman" w:hAnsi="Times New Roman"/>
          <w:iCs/>
          <w:sz w:val="24"/>
          <w:szCs w:val="24"/>
        </w:rPr>
        <w:t xml:space="preserve">Accountant  and Auditor (13-2011) </w:t>
      </w:r>
      <w:r>
        <w:rPr>
          <w:rFonts w:ascii="Times New Roman" w:hAnsi="Times New Roman"/>
          <w:iCs/>
          <w:sz w:val="24"/>
          <w:szCs w:val="24"/>
        </w:rPr>
        <w:t xml:space="preserve">is $43.65. </w:t>
      </w:r>
    </w:p>
    <w:p w:rsidR="00A539B2" w14:paraId="6D7AC36D" w14:textId="77777777">
      <w:pPr>
        <w:ind w:left="360"/>
        <w:rPr>
          <w:rFonts w:ascii="Times New Roman" w:hAnsi="Times New Roman"/>
          <w:iCs/>
          <w:sz w:val="24"/>
          <w:szCs w:val="24"/>
        </w:rPr>
      </w:pPr>
    </w:p>
    <w:p w:rsidR="00A539B2" w14:paraId="4AEE9357" w14:textId="14296313">
      <w:pPr>
        <w:ind w:left="360"/>
        <w:rPr>
          <w:rFonts w:ascii="Times New Roman" w:hAnsi="Times New Roman"/>
          <w:iCs/>
          <w:sz w:val="24"/>
          <w:szCs w:val="24"/>
        </w:rPr>
      </w:pPr>
      <w:r>
        <w:rPr>
          <w:rFonts w:ascii="Times New Roman" w:hAnsi="Times New Roman"/>
          <w:iCs/>
          <w:sz w:val="24"/>
          <w:szCs w:val="24"/>
        </w:rPr>
        <w:t>When combined the total compensation rate of 29%</w:t>
      </w:r>
      <w:r>
        <w:rPr>
          <w:rStyle w:val="FootnoteReference"/>
          <w:rFonts w:ascii="Times New Roman" w:hAnsi="Times New Roman"/>
          <w:iCs/>
          <w:sz w:val="24"/>
          <w:szCs w:val="24"/>
        </w:rPr>
        <w:footnoteReference w:id="3"/>
      </w:r>
      <w:r>
        <w:rPr>
          <w:rFonts w:ascii="Times New Roman" w:hAnsi="Times New Roman"/>
          <w:iCs/>
          <w:sz w:val="24"/>
          <w:szCs w:val="24"/>
        </w:rPr>
        <w:t xml:space="preserve">, the annualized hourly rate for each professional is as follows: </w:t>
      </w:r>
      <w:r w:rsidRPr="00A539B2">
        <w:rPr>
          <w:rFonts w:ascii="Times New Roman" w:hAnsi="Times New Roman"/>
          <w:iCs/>
          <w:sz w:val="24"/>
          <w:szCs w:val="24"/>
        </w:rPr>
        <w:t xml:space="preserve">Lawyer (23-1011) is </w:t>
      </w:r>
      <w:r>
        <w:rPr>
          <w:rFonts w:ascii="Times New Roman" w:hAnsi="Times New Roman"/>
          <w:iCs/>
          <w:sz w:val="24"/>
          <w:szCs w:val="24"/>
        </w:rPr>
        <w:t xml:space="preserve">$109.44, </w:t>
      </w:r>
      <w:r w:rsidRPr="00A539B2">
        <w:rPr>
          <w:rFonts w:ascii="Times New Roman" w:hAnsi="Times New Roman"/>
          <w:iCs/>
          <w:sz w:val="24"/>
          <w:szCs w:val="24"/>
        </w:rPr>
        <w:t>Legal Support Worker (23-2099)</w:t>
      </w:r>
      <w:r>
        <w:rPr>
          <w:rFonts w:ascii="Times New Roman" w:hAnsi="Times New Roman"/>
          <w:iCs/>
          <w:sz w:val="24"/>
          <w:szCs w:val="24"/>
        </w:rPr>
        <w:t xml:space="preserve"> is $51.46, and </w:t>
      </w:r>
      <w:r w:rsidRPr="00A539B2">
        <w:rPr>
          <w:rFonts w:ascii="Times New Roman" w:hAnsi="Times New Roman"/>
          <w:iCs/>
          <w:sz w:val="24"/>
          <w:szCs w:val="24"/>
        </w:rPr>
        <w:t>Accountant and Auditor (13-2011)</w:t>
      </w:r>
      <w:r>
        <w:rPr>
          <w:rFonts w:ascii="Times New Roman" w:hAnsi="Times New Roman"/>
          <w:iCs/>
          <w:sz w:val="24"/>
          <w:szCs w:val="24"/>
        </w:rPr>
        <w:t xml:space="preserve"> is $56.31. Therefore the total annualized cost burden for all professionals associated with tasks related to preparing application materials and annual statements is $ 14</w:t>
      </w:r>
      <w:r w:rsidR="003B71CE">
        <w:rPr>
          <w:rFonts w:ascii="Times New Roman" w:hAnsi="Times New Roman"/>
          <w:iCs/>
          <w:sz w:val="24"/>
          <w:szCs w:val="24"/>
        </w:rPr>
        <w:t>,</w:t>
      </w:r>
      <w:r>
        <w:rPr>
          <w:rFonts w:ascii="Times New Roman" w:hAnsi="Times New Roman"/>
          <w:iCs/>
          <w:sz w:val="24"/>
          <w:szCs w:val="24"/>
        </w:rPr>
        <w:t>430.9</w:t>
      </w:r>
      <w:r w:rsidR="003B71CE">
        <w:rPr>
          <w:rFonts w:ascii="Times New Roman" w:hAnsi="Times New Roman"/>
          <w:iCs/>
          <w:sz w:val="24"/>
          <w:szCs w:val="24"/>
        </w:rPr>
        <w:t>0</w:t>
      </w:r>
      <w:r>
        <w:rPr>
          <w:rFonts w:ascii="Times New Roman" w:hAnsi="Times New Roman"/>
          <w:iCs/>
          <w:sz w:val="24"/>
          <w:szCs w:val="24"/>
        </w:rPr>
        <w:t xml:space="preserve">, which can be calculated as shown in the table below: </w:t>
      </w:r>
    </w:p>
    <w:p w:rsidR="00A539B2" w14:paraId="5267F2C9" w14:textId="77777777">
      <w:pPr>
        <w:ind w:left="360"/>
        <w:rPr>
          <w:rFonts w:ascii="Times New Roman" w:hAnsi="Times New Roman"/>
          <w:iCs/>
          <w:sz w:val="24"/>
          <w:szCs w:val="24"/>
        </w:rPr>
      </w:pPr>
    </w:p>
    <w:tbl>
      <w:tblPr>
        <w:tblW w:w="11284" w:type="dxa"/>
        <w:tblInd w:w="-725" w:type="dxa"/>
        <w:tblLook w:val="04A0"/>
      </w:tblPr>
      <w:tblGrid>
        <w:gridCol w:w="2610"/>
        <w:gridCol w:w="1080"/>
        <w:gridCol w:w="1573"/>
        <w:gridCol w:w="1260"/>
        <w:gridCol w:w="1710"/>
        <w:gridCol w:w="26"/>
        <w:gridCol w:w="1266"/>
        <w:gridCol w:w="26"/>
        <w:gridCol w:w="1707"/>
        <w:gridCol w:w="26"/>
      </w:tblGrid>
      <w:tr w14:paraId="65A68FFD" w14:textId="77777777" w:rsidTr="006E636A">
        <w:tblPrEx>
          <w:tblW w:w="11284" w:type="dxa"/>
          <w:tblInd w:w="-725" w:type="dxa"/>
          <w:tblLook w:val="04A0"/>
        </w:tblPrEx>
        <w:trPr>
          <w:gridAfter w:val="1"/>
          <w:wAfter w:w="26" w:type="dxa"/>
          <w:trHeight w:val="1200"/>
        </w:trPr>
        <w:tc>
          <w:tcPr>
            <w:tcW w:w="261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28700F" w:rsidRPr="00C67D3B" w:rsidP="00C67D3B" w14:paraId="27370150" w14:textId="4EF8E70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Title and Code of  Respondents</w:t>
            </w:r>
            <w:r w:rsidR="003B71CE">
              <w:rPr>
                <w:rFonts w:ascii="Times New Roman" w:hAnsi="Times New Roman"/>
                <w:b/>
                <w:bCs/>
                <w:color w:val="000000"/>
                <w:sz w:val="22"/>
                <w:szCs w:val="22"/>
              </w:rPr>
              <w:t xml:space="preserve"> and Duties</w:t>
            </w:r>
          </w:p>
        </w:tc>
        <w:tc>
          <w:tcPr>
            <w:tcW w:w="108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28700F" w:rsidRPr="00C67D3B" w:rsidP="00C67D3B" w14:paraId="043A2957" w14:textId="57C184C8">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Hourly Wage</w:t>
            </w:r>
          </w:p>
        </w:tc>
        <w:tc>
          <w:tcPr>
            <w:tcW w:w="1573"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28700F" w:rsidRPr="00C67D3B" w:rsidP="00C67D3B" w14:paraId="4650A8D3" w14:textId="360FCB9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Compensation Rate of 29%</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28700F" w:rsidRPr="00C67D3B" w:rsidP="00C67D3B" w14:paraId="1F6985AA" w14:textId="4C384A2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Number of Employees</w:t>
            </w:r>
          </w:p>
        </w:tc>
        <w:tc>
          <w:tcPr>
            <w:tcW w:w="171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28700F" w:rsidRPr="00C67D3B" w:rsidP="00C67D3B" w14:paraId="2E398A86"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Total Compensation Rate for Each Respondent</w:t>
            </w:r>
          </w:p>
        </w:tc>
        <w:tc>
          <w:tcPr>
            <w:tcW w:w="1292" w:type="dxa"/>
            <w:gridSpan w:val="2"/>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28700F" w:rsidRPr="00C67D3B" w:rsidP="00C67D3B" w14:paraId="70840042"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Total Annualized Burden Hours</w:t>
            </w:r>
          </w:p>
        </w:tc>
        <w:tc>
          <w:tcPr>
            <w:tcW w:w="1733" w:type="dxa"/>
            <w:gridSpan w:val="2"/>
            <w:tcBorders>
              <w:top w:val="single" w:sz="4" w:space="0" w:color="auto"/>
              <w:left w:val="nil"/>
              <w:bottom w:val="single" w:sz="4" w:space="0" w:color="auto"/>
              <w:right w:val="single" w:sz="4" w:space="0" w:color="auto"/>
            </w:tcBorders>
            <w:shd w:val="clear" w:color="auto" w:fill="D0CECE" w:themeFill="background2" w:themeFillShade="E6"/>
            <w:vAlign w:val="center"/>
            <w:hideMark/>
          </w:tcPr>
          <w:p w:rsidR="0028700F" w:rsidRPr="00C67D3B" w:rsidP="00C67D3B" w14:paraId="17338F31" w14:textId="2681A1DF">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Total Annualized</w:t>
            </w:r>
          </w:p>
          <w:p w:rsidR="0028700F" w:rsidRPr="00C67D3B" w:rsidP="00C67D3B" w14:paraId="130ACC0E" w14:textId="562BAA79">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Cost Burden</w:t>
            </w:r>
          </w:p>
        </w:tc>
      </w:tr>
      <w:tr w14:paraId="5B0C8330" w14:textId="77777777" w:rsidTr="00C67D3B">
        <w:tblPrEx>
          <w:tblW w:w="11284" w:type="dxa"/>
          <w:tblInd w:w="-725" w:type="dxa"/>
          <w:tblLook w:val="04A0"/>
        </w:tblPrEx>
        <w:trPr>
          <w:gridAfter w:val="1"/>
          <w:wAfter w:w="26" w:type="dxa"/>
          <w:trHeight w:val="300"/>
        </w:trPr>
        <w:tc>
          <w:tcPr>
            <w:tcW w:w="2610" w:type="dxa"/>
            <w:tcBorders>
              <w:top w:val="nil"/>
              <w:left w:val="single" w:sz="4" w:space="0" w:color="auto"/>
              <w:bottom w:val="single" w:sz="4" w:space="0" w:color="auto"/>
              <w:right w:val="single" w:sz="4" w:space="0" w:color="auto"/>
            </w:tcBorders>
            <w:shd w:val="clear" w:color="auto" w:fill="auto"/>
            <w:vAlign w:val="bottom"/>
            <w:hideMark/>
          </w:tcPr>
          <w:p w:rsidR="0028700F" w:rsidRPr="00C67D3B" w:rsidP="0028700F" w14:paraId="439B5A11" w14:textId="3C505DF6">
            <w:pPr>
              <w:widowControl/>
              <w:autoSpaceDE/>
              <w:autoSpaceDN/>
              <w:adjustRightInd/>
              <w:rPr>
                <w:rFonts w:ascii="Times New Roman" w:hAnsi="Times New Roman"/>
                <w:b/>
                <w:bCs/>
                <w:color w:val="000000"/>
                <w:sz w:val="22"/>
                <w:szCs w:val="22"/>
              </w:rPr>
            </w:pPr>
            <w:r w:rsidRPr="00C67D3B">
              <w:rPr>
                <w:rFonts w:ascii="Times New Roman" w:hAnsi="Times New Roman"/>
                <w:b/>
                <w:bCs/>
                <w:color w:val="000000"/>
                <w:sz w:val="22"/>
                <w:szCs w:val="22"/>
              </w:rPr>
              <w:t xml:space="preserve">Lawyer  (23-1011): Collect and assimilate application information </w:t>
            </w:r>
          </w:p>
        </w:tc>
        <w:tc>
          <w:tcPr>
            <w:tcW w:w="1080" w:type="dxa"/>
            <w:tcBorders>
              <w:top w:val="nil"/>
              <w:left w:val="nil"/>
              <w:bottom w:val="single" w:sz="4" w:space="0" w:color="auto"/>
              <w:right w:val="single" w:sz="4" w:space="0" w:color="auto"/>
            </w:tcBorders>
            <w:shd w:val="clear" w:color="auto" w:fill="auto"/>
            <w:noWrap/>
            <w:vAlign w:val="center"/>
            <w:hideMark/>
          </w:tcPr>
          <w:p w:rsidR="0028700F" w:rsidRPr="00C67D3B" w:rsidP="00C67D3B" w14:paraId="39DB2919" w14:textId="0A595D58">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   84.84</w:t>
            </w:r>
          </w:p>
        </w:tc>
        <w:tc>
          <w:tcPr>
            <w:tcW w:w="1573" w:type="dxa"/>
            <w:tcBorders>
              <w:top w:val="nil"/>
              <w:left w:val="nil"/>
              <w:bottom w:val="single" w:sz="4" w:space="0" w:color="auto"/>
              <w:right w:val="single" w:sz="4" w:space="0" w:color="auto"/>
            </w:tcBorders>
            <w:shd w:val="clear" w:color="auto" w:fill="auto"/>
            <w:noWrap/>
            <w:vAlign w:val="center"/>
            <w:hideMark/>
          </w:tcPr>
          <w:p w:rsidR="0028700F" w:rsidRPr="00C67D3B" w:rsidP="00C67D3B" w14:paraId="27C485A4" w14:textId="47CE05CD">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  109.44</w:t>
            </w:r>
          </w:p>
        </w:tc>
        <w:tc>
          <w:tcPr>
            <w:tcW w:w="1260" w:type="dxa"/>
            <w:tcBorders>
              <w:top w:val="nil"/>
              <w:left w:val="nil"/>
              <w:bottom w:val="single" w:sz="4" w:space="0" w:color="auto"/>
              <w:right w:val="single" w:sz="4" w:space="0" w:color="auto"/>
            </w:tcBorders>
            <w:shd w:val="clear" w:color="auto" w:fill="auto"/>
            <w:noWrap/>
            <w:vAlign w:val="center"/>
            <w:hideMark/>
          </w:tcPr>
          <w:p w:rsidR="0028700F" w:rsidRPr="00C67D3B" w:rsidP="003B71CE" w14:paraId="3947AB16"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2</w:t>
            </w:r>
          </w:p>
        </w:tc>
        <w:tc>
          <w:tcPr>
            <w:tcW w:w="1710" w:type="dxa"/>
            <w:tcBorders>
              <w:top w:val="nil"/>
              <w:left w:val="nil"/>
              <w:bottom w:val="single" w:sz="4" w:space="0" w:color="auto"/>
              <w:right w:val="single" w:sz="4" w:space="0" w:color="auto"/>
            </w:tcBorders>
            <w:shd w:val="clear" w:color="auto" w:fill="auto"/>
            <w:noWrap/>
            <w:vAlign w:val="center"/>
            <w:hideMark/>
          </w:tcPr>
          <w:p w:rsidR="0028700F" w:rsidRPr="00C67D3B" w:rsidP="00C67D3B" w14:paraId="0D7B41EA" w14:textId="28731592">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  218.88</w:t>
            </w:r>
          </w:p>
        </w:tc>
        <w:tc>
          <w:tcPr>
            <w:tcW w:w="1292" w:type="dxa"/>
            <w:gridSpan w:val="2"/>
            <w:tcBorders>
              <w:top w:val="nil"/>
              <w:left w:val="nil"/>
              <w:bottom w:val="single" w:sz="4" w:space="0" w:color="auto"/>
              <w:right w:val="single" w:sz="4" w:space="0" w:color="auto"/>
            </w:tcBorders>
            <w:shd w:val="clear" w:color="auto" w:fill="auto"/>
            <w:noWrap/>
            <w:vAlign w:val="center"/>
            <w:hideMark/>
          </w:tcPr>
          <w:p w:rsidR="0028700F" w:rsidRPr="00C67D3B" w:rsidP="003B71CE" w14:paraId="4C9C5618"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30</w:t>
            </w:r>
          </w:p>
        </w:tc>
        <w:tc>
          <w:tcPr>
            <w:tcW w:w="1733" w:type="dxa"/>
            <w:gridSpan w:val="2"/>
            <w:tcBorders>
              <w:top w:val="nil"/>
              <w:left w:val="nil"/>
              <w:bottom w:val="single" w:sz="4" w:space="0" w:color="auto"/>
              <w:right w:val="single" w:sz="4" w:space="0" w:color="auto"/>
            </w:tcBorders>
            <w:shd w:val="clear" w:color="auto" w:fill="auto"/>
            <w:noWrap/>
            <w:vAlign w:val="center"/>
            <w:hideMark/>
          </w:tcPr>
          <w:p w:rsidR="0028700F" w:rsidRPr="00C67D3B" w:rsidP="00C67D3B" w14:paraId="249FB761" w14:textId="7FBDD581">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   6,566.40</w:t>
            </w:r>
          </w:p>
        </w:tc>
      </w:tr>
      <w:tr w14:paraId="7D579F55" w14:textId="77777777" w:rsidTr="00C67D3B">
        <w:tblPrEx>
          <w:tblW w:w="11284" w:type="dxa"/>
          <w:tblInd w:w="-725" w:type="dxa"/>
          <w:tblLook w:val="04A0"/>
        </w:tblPrEx>
        <w:trPr>
          <w:gridAfter w:val="1"/>
          <w:wAfter w:w="26" w:type="dxa"/>
          <w:trHeight w:val="600"/>
        </w:trPr>
        <w:tc>
          <w:tcPr>
            <w:tcW w:w="2610" w:type="dxa"/>
            <w:tcBorders>
              <w:top w:val="nil"/>
              <w:left w:val="single" w:sz="4" w:space="0" w:color="auto"/>
              <w:bottom w:val="single" w:sz="4" w:space="0" w:color="auto"/>
              <w:right w:val="single" w:sz="4" w:space="0" w:color="auto"/>
            </w:tcBorders>
            <w:shd w:val="clear" w:color="auto" w:fill="auto"/>
            <w:vAlign w:val="bottom"/>
            <w:hideMark/>
          </w:tcPr>
          <w:p w:rsidR="0028700F" w:rsidRPr="00C67D3B" w:rsidP="0028700F" w14:paraId="35486434" w14:textId="46F4BFBF">
            <w:pPr>
              <w:widowControl/>
              <w:autoSpaceDE/>
              <w:autoSpaceDN/>
              <w:adjustRightInd/>
              <w:rPr>
                <w:rFonts w:ascii="Times New Roman" w:hAnsi="Times New Roman"/>
                <w:b/>
                <w:bCs/>
                <w:color w:val="000000"/>
                <w:sz w:val="22"/>
                <w:szCs w:val="22"/>
              </w:rPr>
            </w:pPr>
            <w:r w:rsidRPr="00C67D3B">
              <w:rPr>
                <w:rFonts w:ascii="Times New Roman" w:hAnsi="Times New Roman"/>
                <w:b/>
                <w:bCs/>
                <w:color w:val="000000"/>
                <w:sz w:val="22"/>
                <w:szCs w:val="22"/>
              </w:rPr>
              <w:t>Legal Support Worker (23-2099); Complete CRF application</w:t>
            </w:r>
          </w:p>
        </w:tc>
        <w:tc>
          <w:tcPr>
            <w:tcW w:w="1080" w:type="dxa"/>
            <w:tcBorders>
              <w:top w:val="nil"/>
              <w:left w:val="nil"/>
              <w:bottom w:val="single" w:sz="4" w:space="0" w:color="auto"/>
              <w:right w:val="single" w:sz="4" w:space="0" w:color="auto"/>
            </w:tcBorders>
            <w:shd w:val="clear" w:color="auto" w:fill="auto"/>
            <w:noWrap/>
            <w:vAlign w:val="center"/>
            <w:hideMark/>
          </w:tcPr>
          <w:p w:rsidR="0028700F" w:rsidRPr="00C67D3B" w:rsidP="00C67D3B" w14:paraId="3538E8D9" w14:textId="20A25160">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   39.89</w:t>
            </w:r>
          </w:p>
        </w:tc>
        <w:tc>
          <w:tcPr>
            <w:tcW w:w="1573" w:type="dxa"/>
            <w:tcBorders>
              <w:top w:val="nil"/>
              <w:left w:val="nil"/>
              <w:bottom w:val="single" w:sz="4" w:space="0" w:color="auto"/>
              <w:right w:val="single" w:sz="4" w:space="0" w:color="auto"/>
            </w:tcBorders>
            <w:shd w:val="clear" w:color="auto" w:fill="auto"/>
            <w:noWrap/>
            <w:vAlign w:val="center"/>
            <w:hideMark/>
          </w:tcPr>
          <w:p w:rsidR="0028700F" w:rsidRPr="00C67D3B" w:rsidP="00C67D3B" w14:paraId="63498B05" w14:textId="5F1A725B">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     51.46</w:t>
            </w:r>
          </w:p>
        </w:tc>
        <w:tc>
          <w:tcPr>
            <w:tcW w:w="1260" w:type="dxa"/>
            <w:tcBorders>
              <w:top w:val="nil"/>
              <w:left w:val="nil"/>
              <w:bottom w:val="single" w:sz="4" w:space="0" w:color="auto"/>
              <w:right w:val="single" w:sz="4" w:space="0" w:color="auto"/>
            </w:tcBorders>
            <w:shd w:val="clear" w:color="auto" w:fill="auto"/>
            <w:noWrap/>
            <w:vAlign w:val="center"/>
            <w:hideMark/>
          </w:tcPr>
          <w:p w:rsidR="0028700F" w:rsidRPr="00C67D3B" w:rsidP="003B71CE" w14:paraId="176735E1"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4</w:t>
            </w:r>
          </w:p>
        </w:tc>
        <w:tc>
          <w:tcPr>
            <w:tcW w:w="1710" w:type="dxa"/>
            <w:tcBorders>
              <w:top w:val="nil"/>
              <w:left w:val="nil"/>
              <w:bottom w:val="single" w:sz="4" w:space="0" w:color="auto"/>
              <w:right w:val="single" w:sz="4" w:space="0" w:color="auto"/>
            </w:tcBorders>
            <w:shd w:val="clear" w:color="auto" w:fill="auto"/>
            <w:noWrap/>
            <w:vAlign w:val="center"/>
            <w:hideMark/>
          </w:tcPr>
          <w:p w:rsidR="0028700F" w:rsidRPr="00C67D3B" w:rsidP="00C67D3B" w14:paraId="6D8AC443" w14:textId="23462A2B">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   205.84</w:t>
            </w:r>
          </w:p>
        </w:tc>
        <w:tc>
          <w:tcPr>
            <w:tcW w:w="1292" w:type="dxa"/>
            <w:gridSpan w:val="2"/>
            <w:tcBorders>
              <w:top w:val="nil"/>
              <w:left w:val="nil"/>
              <w:bottom w:val="single" w:sz="4" w:space="0" w:color="auto"/>
              <w:right w:val="single" w:sz="4" w:space="0" w:color="auto"/>
            </w:tcBorders>
            <w:shd w:val="clear" w:color="auto" w:fill="auto"/>
            <w:noWrap/>
            <w:vAlign w:val="center"/>
            <w:hideMark/>
          </w:tcPr>
          <w:p w:rsidR="0028700F" w:rsidRPr="00C67D3B" w:rsidP="003B71CE" w14:paraId="7F984223"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30</w:t>
            </w:r>
          </w:p>
        </w:tc>
        <w:tc>
          <w:tcPr>
            <w:tcW w:w="1733" w:type="dxa"/>
            <w:gridSpan w:val="2"/>
            <w:tcBorders>
              <w:top w:val="nil"/>
              <w:left w:val="nil"/>
              <w:bottom w:val="single" w:sz="4" w:space="0" w:color="auto"/>
              <w:right w:val="single" w:sz="4" w:space="0" w:color="auto"/>
            </w:tcBorders>
            <w:shd w:val="clear" w:color="auto" w:fill="auto"/>
            <w:noWrap/>
            <w:vAlign w:val="center"/>
            <w:hideMark/>
          </w:tcPr>
          <w:p w:rsidR="0028700F" w:rsidRPr="00C67D3B" w:rsidP="00C67D3B" w14:paraId="0F2E260A" w14:textId="1E681293">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   6,175.20</w:t>
            </w:r>
          </w:p>
        </w:tc>
      </w:tr>
      <w:tr w14:paraId="094FCF30" w14:textId="77777777" w:rsidTr="00C67D3B">
        <w:tblPrEx>
          <w:tblW w:w="11284" w:type="dxa"/>
          <w:tblInd w:w="-725" w:type="dxa"/>
          <w:tblLook w:val="04A0"/>
        </w:tblPrEx>
        <w:trPr>
          <w:gridAfter w:val="1"/>
          <w:wAfter w:w="26" w:type="dxa"/>
          <w:trHeight w:val="600"/>
        </w:trPr>
        <w:tc>
          <w:tcPr>
            <w:tcW w:w="2610" w:type="dxa"/>
            <w:tcBorders>
              <w:top w:val="nil"/>
              <w:left w:val="single" w:sz="4" w:space="0" w:color="auto"/>
              <w:bottom w:val="single" w:sz="4" w:space="0" w:color="auto"/>
              <w:right w:val="single" w:sz="4" w:space="0" w:color="auto"/>
            </w:tcBorders>
            <w:shd w:val="clear" w:color="auto" w:fill="auto"/>
            <w:vAlign w:val="bottom"/>
            <w:hideMark/>
          </w:tcPr>
          <w:p w:rsidR="0028700F" w:rsidRPr="00C67D3B" w:rsidP="0028700F" w14:paraId="622C5FCF" w14:textId="4EA41EC4">
            <w:pPr>
              <w:widowControl/>
              <w:autoSpaceDE/>
              <w:autoSpaceDN/>
              <w:adjustRightInd/>
              <w:rPr>
                <w:rFonts w:ascii="Times New Roman" w:hAnsi="Times New Roman"/>
                <w:b/>
                <w:bCs/>
                <w:color w:val="000000"/>
                <w:sz w:val="22"/>
                <w:szCs w:val="22"/>
              </w:rPr>
            </w:pPr>
            <w:r w:rsidRPr="00C67D3B">
              <w:rPr>
                <w:rFonts w:ascii="Times New Roman" w:hAnsi="Times New Roman"/>
                <w:b/>
                <w:bCs/>
                <w:color w:val="000000"/>
                <w:sz w:val="22"/>
                <w:szCs w:val="22"/>
              </w:rPr>
              <w:t>Accountant  and Auditor (13-2011): Collect and assimilate annual</w:t>
            </w:r>
            <w:r w:rsidRPr="00C67D3B" w:rsidR="003B71CE">
              <w:rPr>
                <w:rFonts w:ascii="Times New Roman" w:hAnsi="Times New Roman"/>
                <w:b/>
                <w:bCs/>
                <w:color w:val="000000"/>
                <w:sz w:val="22"/>
                <w:szCs w:val="22"/>
              </w:rPr>
              <w:t xml:space="preserve"> </w:t>
            </w:r>
            <w:r w:rsidRPr="00C67D3B">
              <w:rPr>
                <w:rFonts w:ascii="Times New Roman" w:hAnsi="Times New Roman"/>
                <w:b/>
                <w:bCs/>
                <w:color w:val="000000"/>
                <w:sz w:val="22"/>
                <w:szCs w:val="22"/>
              </w:rPr>
              <w:t xml:space="preserve">statement  </w:t>
            </w:r>
          </w:p>
        </w:tc>
        <w:tc>
          <w:tcPr>
            <w:tcW w:w="1080" w:type="dxa"/>
            <w:tcBorders>
              <w:top w:val="nil"/>
              <w:left w:val="nil"/>
              <w:bottom w:val="single" w:sz="4" w:space="0" w:color="auto"/>
              <w:right w:val="single" w:sz="4" w:space="0" w:color="auto"/>
            </w:tcBorders>
            <w:shd w:val="clear" w:color="auto" w:fill="auto"/>
            <w:noWrap/>
            <w:vAlign w:val="center"/>
            <w:hideMark/>
          </w:tcPr>
          <w:p w:rsidR="0028700F" w:rsidRPr="00C67D3B" w:rsidP="00C67D3B" w14:paraId="5B646722" w14:textId="437C057C">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   43.65</w:t>
            </w:r>
          </w:p>
        </w:tc>
        <w:tc>
          <w:tcPr>
            <w:tcW w:w="1573" w:type="dxa"/>
            <w:tcBorders>
              <w:top w:val="nil"/>
              <w:left w:val="nil"/>
              <w:bottom w:val="single" w:sz="4" w:space="0" w:color="auto"/>
              <w:right w:val="single" w:sz="4" w:space="0" w:color="auto"/>
            </w:tcBorders>
            <w:shd w:val="clear" w:color="auto" w:fill="auto"/>
            <w:noWrap/>
            <w:vAlign w:val="center"/>
            <w:hideMark/>
          </w:tcPr>
          <w:p w:rsidR="0028700F" w:rsidRPr="00C67D3B" w:rsidP="00C67D3B" w14:paraId="35D56283" w14:textId="67A85181">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      56.31</w:t>
            </w:r>
          </w:p>
        </w:tc>
        <w:tc>
          <w:tcPr>
            <w:tcW w:w="1260" w:type="dxa"/>
            <w:tcBorders>
              <w:top w:val="nil"/>
              <w:left w:val="nil"/>
              <w:bottom w:val="single" w:sz="4" w:space="0" w:color="auto"/>
              <w:right w:val="single" w:sz="4" w:space="0" w:color="auto"/>
            </w:tcBorders>
            <w:shd w:val="clear" w:color="auto" w:fill="auto"/>
            <w:noWrap/>
            <w:vAlign w:val="center"/>
            <w:hideMark/>
          </w:tcPr>
          <w:p w:rsidR="0028700F" w:rsidRPr="00C67D3B" w:rsidP="003B71CE" w14:paraId="5631094A"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1</w:t>
            </w:r>
          </w:p>
        </w:tc>
        <w:tc>
          <w:tcPr>
            <w:tcW w:w="1710" w:type="dxa"/>
            <w:tcBorders>
              <w:top w:val="nil"/>
              <w:left w:val="nil"/>
              <w:bottom w:val="single" w:sz="4" w:space="0" w:color="auto"/>
              <w:right w:val="single" w:sz="4" w:space="0" w:color="auto"/>
            </w:tcBorders>
            <w:shd w:val="clear" w:color="auto" w:fill="auto"/>
            <w:noWrap/>
            <w:vAlign w:val="center"/>
            <w:hideMark/>
          </w:tcPr>
          <w:p w:rsidR="0028700F" w:rsidRPr="00C67D3B" w:rsidP="00C67D3B" w14:paraId="323E4396" w14:textId="565E4EFF">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     56.31</w:t>
            </w:r>
          </w:p>
        </w:tc>
        <w:tc>
          <w:tcPr>
            <w:tcW w:w="1292" w:type="dxa"/>
            <w:gridSpan w:val="2"/>
            <w:tcBorders>
              <w:top w:val="nil"/>
              <w:left w:val="nil"/>
              <w:bottom w:val="single" w:sz="4" w:space="0" w:color="auto"/>
              <w:right w:val="single" w:sz="4" w:space="0" w:color="auto"/>
            </w:tcBorders>
            <w:shd w:val="clear" w:color="auto" w:fill="auto"/>
            <w:noWrap/>
            <w:vAlign w:val="center"/>
            <w:hideMark/>
          </w:tcPr>
          <w:p w:rsidR="0028700F" w:rsidRPr="00C67D3B" w:rsidP="003B71CE" w14:paraId="19B393F5"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30</w:t>
            </w:r>
          </w:p>
        </w:tc>
        <w:tc>
          <w:tcPr>
            <w:tcW w:w="1733" w:type="dxa"/>
            <w:gridSpan w:val="2"/>
            <w:tcBorders>
              <w:top w:val="nil"/>
              <w:left w:val="nil"/>
              <w:bottom w:val="single" w:sz="4" w:space="0" w:color="auto"/>
              <w:right w:val="single" w:sz="4" w:space="0" w:color="auto"/>
            </w:tcBorders>
            <w:shd w:val="clear" w:color="auto" w:fill="auto"/>
            <w:noWrap/>
            <w:vAlign w:val="center"/>
            <w:hideMark/>
          </w:tcPr>
          <w:p w:rsidR="0028700F" w:rsidRPr="00C67D3B" w:rsidP="00C67D3B" w14:paraId="193FD5E7" w14:textId="33EC39A3">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   1,689.30</w:t>
            </w:r>
          </w:p>
        </w:tc>
      </w:tr>
      <w:tr w14:paraId="6772A35B" w14:textId="77777777" w:rsidTr="00C67D3B">
        <w:tblPrEx>
          <w:tblW w:w="11284" w:type="dxa"/>
          <w:tblInd w:w="-725" w:type="dxa"/>
          <w:tblLook w:val="04A0"/>
        </w:tblPrEx>
        <w:trPr>
          <w:trHeight w:val="300"/>
        </w:trPr>
        <w:tc>
          <w:tcPr>
            <w:tcW w:w="8259" w:type="dxa"/>
            <w:gridSpan w:val="6"/>
            <w:tcBorders>
              <w:top w:val="single" w:sz="4" w:space="0" w:color="auto"/>
              <w:left w:val="single" w:sz="4" w:space="0" w:color="auto"/>
              <w:bottom w:val="single" w:sz="4" w:space="0" w:color="auto"/>
              <w:right w:val="single" w:sz="4" w:space="0" w:color="000000"/>
            </w:tcBorders>
            <w:shd w:val="clear" w:color="auto" w:fill="AEAAAA" w:themeFill="background2" w:themeFillShade="BF"/>
            <w:noWrap/>
            <w:vAlign w:val="bottom"/>
            <w:hideMark/>
          </w:tcPr>
          <w:p w:rsidR="0028700F" w:rsidRPr="00C67D3B" w:rsidP="0028700F" w14:paraId="62973CFF"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TOTAL</w:t>
            </w:r>
          </w:p>
        </w:tc>
        <w:tc>
          <w:tcPr>
            <w:tcW w:w="1292" w:type="dxa"/>
            <w:gridSpan w:val="2"/>
            <w:tcBorders>
              <w:top w:val="nil"/>
              <w:left w:val="nil"/>
              <w:bottom w:val="single" w:sz="4" w:space="0" w:color="auto"/>
              <w:right w:val="single" w:sz="4" w:space="0" w:color="auto"/>
            </w:tcBorders>
            <w:shd w:val="clear" w:color="auto" w:fill="auto"/>
            <w:noWrap/>
            <w:vAlign w:val="bottom"/>
            <w:hideMark/>
          </w:tcPr>
          <w:p w:rsidR="0028700F" w:rsidRPr="00C67D3B" w:rsidP="0028700F" w14:paraId="5F0BE6F7"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90</w:t>
            </w:r>
          </w:p>
        </w:tc>
        <w:tc>
          <w:tcPr>
            <w:tcW w:w="1733" w:type="dxa"/>
            <w:gridSpan w:val="2"/>
            <w:tcBorders>
              <w:top w:val="nil"/>
              <w:left w:val="nil"/>
              <w:bottom w:val="single" w:sz="4" w:space="0" w:color="auto"/>
              <w:right w:val="single" w:sz="4" w:space="0" w:color="auto"/>
            </w:tcBorders>
            <w:shd w:val="clear" w:color="auto" w:fill="auto"/>
            <w:noWrap/>
            <w:vAlign w:val="bottom"/>
            <w:hideMark/>
          </w:tcPr>
          <w:p w:rsidR="0028700F" w:rsidRPr="00C67D3B" w:rsidP="0028700F" w14:paraId="66A873E2" w14:textId="323F1743">
            <w:pPr>
              <w:widowControl/>
              <w:autoSpaceDE/>
              <w:autoSpaceDN/>
              <w:adjustRightInd/>
              <w:rPr>
                <w:rFonts w:ascii="Times New Roman" w:hAnsi="Times New Roman"/>
                <w:b/>
                <w:bCs/>
                <w:color w:val="000000"/>
                <w:sz w:val="22"/>
                <w:szCs w:val="22"/>
              </w:rPr>
            </w:pPr>
            <w:r w:rsidRPr="00C67D3B">
              <w:rPr>
                <w:rFonts w:ascii="Times New Roman" w:hAnsi="Times New Roman"/>
                <w:b/>
                <w:bCs/>
                <w:color w:val="000000"/>
                <w:sz w:val="22"/>
                <w:szCs w:val="22"/>
              </w:rPr>
              <w:t xml:space="preserve"> $  14,430.90 </w:t>
            </w:r>
          </w:p>
        </w:tc>
      </w:tr>
    </w:tbl>
    <w:p w:rsidR="00A539B2" w14:paraId="08398AEC" w14:textId="77777777">
      <w:pPr>
        <w:ind w:left="360"/>
        <w:rPr>
          <w:rFonts w:ascii="Times New Roman" w:hAnsi="Times New Roman"/>
          <w:iCs/>
          <w:sz w:val="24"/>
          <w:szCs w:val="24"/>
        </w:rPr>
      </w:pPr>
    </w:p>
    <w:p w:rsidR="00470720" w:rsidRPr="0020305E" w14:paraId="4F5D2143"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000000"/>
        </w:rPr>
      </w:pPr>
    </w:p>
    <w:p w:rsidR="00105F8E" w:rsidRPr="00C67D3B" w:rsidP="00C67D3B" w14:paraId="42D1DEC8" w14:textId="6AC0756D">
      <w:pPr>
        <w:pStyle w:val="ListParagraph"/>
        <w:numPr>
          <w:ilvl w:val="0"/>
          <w:numId w:val="16"/>
        </w:numPr>
        <w:rPr>
          <w:rFonts w:ascii="Times New Roman" w:hAnsi="Times New Roman"/>
          <w:b/>
          <w:color w:val="000000"/>
          <w:sz w:val="24"/>
          <w:szCs w:val="24"/>
        </w:rPr>
      </w:pPr>
      <w:r w:rsidRPr="00C67D3B">
        <w:rPr>
          <w:rFonts w:ascii="Times New Roman" w:hAnsi="Times New Roman"/>
          <w:b/>
          <w:color w:val="000000"/>
          <w:sz w:val="24"/>
          <w:szCs w:val="24"/>
        </w:rPr>
        <w:t xml:space="preserve">Estimate of </w:t>
      </w:r>
      <w:r w:rsidRPr="00C67D3B" w:rsidR="0066210E">
        <w:rPr>
          <w:rFonts w:ascii="Times New Roman" w:hAnsi="Times New Roman"/>
          <w:b/>
          <w:color w:val="000000"/>
          <w:sz w:val="24"/>
          <w:szCs w:val="24"/>
        </w:rPr>
        <w:t xml:space="preserve">the Total Annual Costs </w:t>
      </w:r>
      <w:r w:rsidRPr="00C67D3B" w:rsidR="00FB0FD4">
        <w:rPr>
          <w:rFonts w:ascii="Times New Roman" w:hAnsi="Times New Roman"/>
          <w:b/>
          <w:color w:val="000000"/>
          <w:sz w:val="24"/>
          <w:szCs w:val="24"/>
        </w:rPr>
        <w:t>Burden to Respondents and/or Record Keeper</w:t>
      </w:r>
    </w:p>
    <w:p w:rsidR="00F53FB7" w:rsidRPr="0020305E" w:rsidP="00F53FB7" w14:paraId="085C7786"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1800"/>
        <w:rPr>
          <w:rFonts w:ascii="Times New Roman" w:hAnsi="Times New Roman"/>
          <w:color w:val="000000"/>
        </w:rPr>
      </w:pPr>
      <w:r w:rsidRPr="0020305E">
        <w:rPr>
          <w:rFonts w:ascii="Times New Roman" w:hAnsi="Times New Roman"/>
          <w:color w:val="000000"/>
        </w:rPr>
        <w:t xml:space="preserve"> </w:t>
      </w:r>
    </w:p>
    <w:p w:rsidR="00167C9C" w:rsidRPr="0020305E" w:rsidP="00C67D3B" w14:paraId="5E62137D" w14:textId="77777777">
      <w:pPr>
        <w:ind w:left="360"/>
        <w:rPr>
          <w:rFonts w:ascii="Times New Roman" w:hAnsi="Times New Roman"/>
          <w:color w:val="000000"/>
          <w:sz w:val="24"/>
          <w:szCs w:val="24"/>
        </w:rPr>
      </w:pPr>
      <w:r w:rsidRPr="0020305E">
        <w:rPr>
          <w:rFonts w:ascii="Times New Roman" w:hAnsi="Times New Roman"/>
          <w:color w:val="000000"/>
          <w:sz w:val="24"/>
          <w:szCs w:val="24"/>
        </w:rPr>
        <w:t>The estimated annual cost burden to the respondents is as follows:</w:t>
      </w:r>
    </w:p>
    <w:p w:rsidR="00167C9C" w:rsidRPr="0020305E" w:rsidP="00C67D3B" w14:paraId="73928B02" w14:textId="77777777">
      <w:pPr>
        <w:ind w:left="360"/>
        <w:rPr>
          <w:rFonts w:ascii="Times New Roman" w:hAnsi="Times New Roman"/>
          <w:color w:val="000000"/>
          <w:sz w:val="24"/>
          <w:szCs w:val="24"/>
        </w:rPr>
      </w:pPr>
    </w:p>
    <w:p w:rsidR="00167C9C" w:rsidRPr="0020305E" w:rsidP="00C67D3B" w14:paraId="57EBBB72" w14:textId="69E1C961">
      <w:pPr>
        <w:ind w:left="360"/>
        <w:rPr>
          <w:rFonts w:ascii="Times New Roman" w:hAnsi="Times New Roman"/>
          <w:color w:val="000000"/>
          <w:sz w:val="24"/>
          <w:szCs w:val="24"/>
        </w:rPr>
      </w:pPr>
      <w:r w:rsidRPr="0020305E">
        <w:rPr>
          <w:rFonts w:ascii="Times New Roman" w:hAnsi="Times New Roman"/>
          <w:color w:val="000000"/>
          <w:sz w:val="24"/>
          <w:szCs w:val="24"/>
        </w:rPr>
        <w:t xml:space="preserve">(a)    </w:t>
      </w:r>
      <w:r w:rsidRPr="0020305E">
        <w:rPr>
          <w:rFonts w:ascii="Times New Roman" w:hAnsi="Times New Roman"/>
          <w:color w:val="000000"/>
          <w:sz w:val="24"/>
          <w:szCs w:val="24"/>
          <w:u w:val="single"/>
        </w:rPr>
        <w:t>Total Capital and Start-up Costs Estimate:</w:t>
      </w:r>
      <w:r w:rsidRPr="0020305E">
        <w:rPr>
          <w:rFonts w:ascii="Times New Roman" w:hAnsi="Times New Roman"/>
          <w:color w:val="000000"/>
          <w:sz w:val="24"/>
          <w:szCs w:val="24"/>
        </w:rPr>
        <w:t xml:space="preserve">  There are no capital or start-up costs associated with this information collection</w:t>
      </w:r>
      <w:r w:rsidR="000A4169">
        <w:rPr>
          <w:rFonts w:ascii="Times New Roman" w:hAnsi="Times New Roman"/>
          <w:color w:val="000000"/>
          <w:sz w:val="24"/>
          <w:szCs w:val="24"/>
        </w:rPr>
        <w:t xml:space="preserve"> except for a $225.00 application fee</w:t>
      </w:r>
      <w:r w:rsidR="00B030C7">
        <w:rPr>
          <w:rFonts w:ascii="Times New Roman" w:hAnsi="Times New Roman"/>
          <w:color w:val="000000"/>
          <w:sz w:val="24"/>
          <w:szCs w:val="24"/>
        </w:rPr>
        <w:t xml:space="preserve"> for the </w:t>
      </w:r>
      <w:r w:rsidR="008D4FED">
        <w:rPr>
          <w:rFonts w:ascii="Times New Roman" w:hAnsi="Times New Roman"/>
          <w:color w:val="000000"/>
          <w:sz w:val="24"/>
          <w:szCs w:val="24"/>
        </w:rPr>
        <w:t>10</w:t>
      </w:r>
      <w:r w:rsidR="00B030C7">
        <w:rPr>
          <w:rFonts w:ascii="Times New Roman" w:hAnsi="Times New Roman"/>
          <w:color w:val="000000"/>
          <w:sz w:val="24"/>
          <w:szCs w:val="24"/>
        </w:rPr>
        <w:t xml:space="preserve"> respondents</w:t>
      </w:r>
      <w:r w:rsidR="000A4169">
        <w:rPr>
          <w:rFonts w:ascii="Times New Roman" w:hAnsi="Times New Roman"/>
          <w:color w:val="000000"/>
          <w:sz w:val="24"/>
          <w:szCs w:val="24"/>
        </w:rPr>
        <w:t xml:space="preserve"> due when application is submitted</w:t>
      </w:r>
      <w:r w:rsidRPr="0020305E">
        <w:rPr>
          <w:rFonts w:ascii="Times New Roman" w:hAnsi="Times New Roman"/>
          <w:color w:val="000000"/>
          <w:sz w:val="24"/>
          <w:szCs w:val="24"/>
        </w:rPr>
        <w:t>.</w:t>
      </w:r>
      <w:r w:rsidR="00B030C7">
        <w:rPr>
          <w:rFonts w:ascii="Times New Roman" w:hAnsi="Times New Roman"/>
          <w:color w:val="000000"/>
          <w:sz w:val="24"/>
          <w:szCs w:val="24"/>
        </w:rPr>
        <w:t xml:space="preserve">  The total costs of the application fee is:  $225.00 x </w:t>
      </w:r>
      <w:r w:rsidR="008D4FED">
        <w:rPr>
          <w:rFonts w:ascii="Times New Roman" w:hAnsi="Times New Roman"/>
          <w:color w:val="000000"/>
          <w:sz w:val="24"/>
          <w:szCs w:val="24"/>
        </w:rPr>
        <w:t>10</w:t>
      </w:r>
      <w:r w:rsidR="00B030C7">
        <w:rPr>
          <w:rFonts w:ascii="Times New Roman" w:hAnsi="Times New Roman"/>
          <w:color w:val="000000"/>
          <w:sz w:val="24"/>
          <w:szCs w:val="24"/>
        </w:rPr>
        <w:t xml:space="preserve"> = $</w:t>
      </w:r>
      <w:r w:rsidR="008D4FED">
        <w:rPr>
          <w:rFonts w:ascii="Times New Roman" w:hAnsi="Times New Roman"/>
          <w:color w:val="000000"/>
          <w:sz w:val="24"/>
          <w:szCs w:val="24"/>
        </w:rPr>
        <w:t>2</w:t>
      </w:r>
      <w:r w:rsidR="00B030C7">
        <w:rPr>
          <w:rFonts w:ascii="Times New Roman" w:hAnsi="Times New Roman"/>
          <w:color w:val="000000"/>
          <w:sz w:val="24"/>
          <w:szCs w:val="24"/>
        </w:rPr>
        <w:t>,</w:t>
      </w:r>
      <w:r w:rsidR="008D4FED">
        <w:rPr>
          <w:rFonts w:ascii="Times New Roman" w:hAnsi="Times New Roman"/>
          <w:color w:val="000000"/>
          <w:sz w:val="24"/>
          <w:szCs w:val="24"/>
        </w:rPr>
        <w:t>250</w:t>
      </w:r>
      <w:r w:rsidR="00B030C7">
        <w:rPr>
          <w:rFonts w:ascii="Times New Roman" w:hAnsi="Times New Roman"/>
          <w:color w:val="000000"/>
          <w:sz w:val="24"/>
          <w:szCs w:val="24"/>
        </w:rPr>
        <w:t xml:space="preserve">. </w:t>
      </w:r>
    </w:p>
    <w:p w:rsidR="0084522A" w:rsidRPr="0020305E" w:rsidP="00C67D3B" w14:paraId="0B8E73AF" w14:textId="20C04CF7">
      <w:pPr>
        <w:ind w:left="360"/>
        <w:rPr>
          <w:rFonts w:ascii="Times New Roman" w:hAnsi="Times New Roman"/>
          <w:color w:val="000000"/>
          <w:sz w:val="24"/>
          <w:szCs w:val="24"/>
        </w:rPr>
      </w:pPr>
    </w:p>
    <w:p w:rsidR="00167C9C" w:rsidRPr="0020305E" w:rsidP="00C67D3B" w14:paraId="7B9840AA" w14:textId="77777777">
      <w:pPr>
        <w:ind w:left="360"/>
        <w:rPr>
          <w:rFonts w:ascii="Times New Roman" w:hAnsi="Times New Roman"/>
          <w:color w:val="000000"/>
          <w:sz w:val="24"/>
          <w:szCs w:val="24"/>
        </w:rPr>
      </w:pPr>
      <w:r w:rsidRPr="0020305E">
        <w:rPr>
          <w:rFonts w:ascii="Times New Roman" w:hAnsi="Times New Roman"/>
          <w:color w:val="000000"/>
          <w:sz w:val="24"/>
          <w:szCs w:val="24"/>
        </w:rPr>
        <w:t xml:space="preserve">(b)   </w:t>
      </w:r>
      <w:r w:rsidRPr="0020305E">
        <w:rPr>
          <w:rFonts w:ascii="Times New Roman" w:hAnsi="Times New Roman"/>
          <w:color w:val="000000"/>
          <w:sz w:val="24"/>
          <w:szCs w:val="24"/>
          <w:u w:val="single"/>
        </w:rPr>
        <w:t>Total Operation and Maintenance and Purchase of Services Estimate:</w:t>
      </w:r>
      <w:r w:rsidRPr="0020305E">
        <w:rPr>
          <w:rFonts w:ascii="Times New Roman" w:hAnsi="Times New Roman"/>
          <w:color w:val="000000"/>
          <w:sz w:val="24"/>
          <w:szCs w:val="24"/>
        </w:rPr>
        <w:t xml:space="preserve">  There are no maintenance costs other than the annual reporting included in Item 13 above.</w:t>
      </w:r>
    </w:p>
    <w:p w:rsidR="0004749E" w:rsidRPr="0020305E" w14:paraId="1AF5A489" w14:textId="77777777">
      <w:pPr>
        <w:pStyle w:val="NormalWeb"/>
        <w:widowControl w:val="0"/>
        <w:autoSpaceDE w:val="0"/>
        <w:autoSpaceDN w:val="0"/>
        <w:adjustRightInd w:val="0"/>
        <w:spacing w:before="0" w:beforeAutospacing="0" w:after="0" w:afterAutospacing="0"/>
        <w:rPr>
          <w:rFonts w:ascii="Times New Roman" w:eastAsia="Times New Roman" w:hAnsi="Times New Roman" w:cs="Times New Roman"/>
          <w:color w:val="000000"/>
        </w:rPr>
      </w:pPr>
    </w:p>
    <w:p w:rsidR="00105F8E" w:rsidRPr="00C67D3B" w:rsidP="00C67D3B" w14:paraId="5CB5C91A" w14:textId="7A1338BC">
      <w:pPr>
        <w:pStyle w:val="ListParagraph"/>
        <w:numPr>
          <w:ilvl w:val="0"/>
          <w:numId w:val="16"/>
        </w:numPr>
        <w:rPr>
          <w:rFonts w:ascii="Times New Roman" w:hAnsi="Times New Roman"/>
          <w:b/>
          <w:color w:val="000000"/>
          <w:sz w:val="24"/>
          <w:szCs w:val="24"/>
        </w:rPr>
      </w:pPr>
      <w:r w:rsidRPr="00C67D3B">
        <w:rPr>
          <w:rFonts w:ascii="Times New Roman" w:hAnsi="Times New Roman"/>
          <w:b/>
          <w:color w:val="000000"/>
          <w:sz w:val="24"/>
          <w:szCs w:val="24"/>
        </w:rPr>
        <w:t xml:space="preserve">Estimate of Federal </w:t>
      </w:r>
      <w:r w:rsidRPr="00C67D3B" w:rsidR="00FB0FD4">
        <w:rPr>
          <w:rFonts w:ascii="Times New Roman" w:hAnsi="Times New Roman"/>
          <w:b/>
          <w:color w:val="000000"/>
          <w:sz w:val="24"/>
          <w:szCs w:val="24"/>
        </w:rPr>
        <w:t xml:space="preserve">Government Cost </w:t>
      </w:r>
      <w:r w:rsidRPr="00C67D3B" w:rsidR="00E667F4">
        <w:rPr>
          <w:rFonts w:ascii="Times New Roman" w:hAnsi="Times New Roman"/>
          <w:b/>
          <w:color w:val="000000"/>
          <w:sz w:val="24"/>
          <w:szCs w:val="24"/>
        </w:rPr>
        <w:t xml:space="preserve"> </w:t>
      </w:r>
    </w:p>
    <w:p w:rsidR="006A2AEF" w:rsidP="00167C9C" w14:paraId="44F0C02A" w14:textId="77777777">
      <w:pPr>
        <w:rPr>
          <w:rFonts w:ascii="Times New Roman" w:hAnsi="Times New Roman"/>
          <w:color w:val="000000"/>
          <w:sz w:val="24"/>
          <w:szCs w:val="24"/>
        </w:rPr>
      </w:pPr>
    </w:p>
    <w:p w:rsidR="00A52828" w:rsidP="00A52828" w14:paraId="5179AAFE" w14:textId="77777777">
      <w:pPr>
        <w:ind w:left="360"/>
        <w:rPr>
          <w:rFonts w:ascii="Times New Roman" w:hAnsi="Times New Roman"/>
          <w:color w:val="000000"/>
          <w:sz w:val="24"/>
          <w:szCs w:val="24"/>
        </w:rPr>
      </w:pPr>
    </w:p>
    <w:p w:rsidR="0011088D" w:rsidP="00A52828" w14:paraId="1503BFDD" w14:textId="4E748459">
      <w:pPr>
        <w:ind w:left="360"/>
        <w:rPr>
          <w:rFonts w:ascii="Times New Roman" w:hAnsi="Times New Roman"/>
          <w:color w:val="000000"/>
          <w:sz w:val="24"/>
          <w:szCs w:val="24"/>
        </w:rPr>
      </w:pPr>
      <w:r w:rsidRPr="0020305E">
        <w:rPr>
          <w:rFonts w:ascii="Times New Roman" w:hAnsi="Times New Roman"/>
          <w:color w:val="000000"/>
          <w:sz w:val="24"/>
          <w:szCs w:val="24"/>
        </w:rPr>
        <w:t>The total annual cost to the Federal Government for processing the collection is estimated as follows</w:t>
      </w:r>
      <w:r w:rsidRPr="00A52828">
        <w:rPr>
          <w:rFonts w:ascii="Times New Roman" w:hAnsi="Times New Roman"/>
          <w:color w:val="000000"/>
          <w:sz w:val="24"/>
          <w:szCs w:val="24"/>
        </w:rPr>
        <w:t>:</w:t>
      </w:r>
      <w:r w:rsidRPr="00A52828" w:rsidR="008C2115">
        <w:rPr>
          <w:rFonts w:ascii="Times New Roman" w:hAnsi="Times New Roman"/>
          <w:color w:val="000000"/>
          <w:sz w:val="24"/>
          <w:szCs w:val="24"/>
        </w:rPr>
        <w:t xml:space="preserve"> $</w:t>
      </w:r>
      <w:r w:rsidR="008C2115">
        <w:rPr>
          <w:rFonts w:ascii="Times New Roman" w:hAnsi="Times New Roman"/>
          <w:color w:val="000000"/>
          <w:sz w:val="24"/>
          <w:szCs w:val="24"/>
        </w:rPr>
        <w:t xml:space="preserve"> </w:t>
      </w:r>
      <w:r>
        <w:rPr>
          <w:rFonts w:ascii="Times New Roman" w:hAnsi="Times New Roman"/>
          <w:color w:val="000000"/>
          <w:sz w:val="24"/>
          <w:szCs w:val="24"/>
        </w:rPr>
        <w:t>25,629.50</w:t>
      </w:r>
    </w:p>
    <w:p w:rsidR="008C2115" w14:paraId="576CA5AE" w14:textId="77777777">
      <w:pPr>
        <w:ind w:left="360"/>
        <w:rPr>
          <w:rFonts w:ascii="Times New Roman" w:hAnsi="Times New Roman"/>
          <w:color w:val="000000"/>
          <w:sz w:val="24"/>
          <w:szCs w:val="24"/>
        </w:rPr>
      </w:pPr>
    </w:p>
    <w:p w:rsidR="0011088D" w:rsidP="00C67D3B" w14:paraId="09945BA6" w14:textId="67063481">
      <w:pPr>
        <w:ind w:left="360"/>
        <w:rPr>
          <w:rFonts w:ascii="Times New Roman" w:hAnsi="Times New Roman"/>
          <w:iCs/>
          <w:sz w:val="24"/>
          <w:szCs w:val="24"/>
        </w:rPr>
      </w:pPr>
      <w:r w:rsidRPr="006D5148">
        <w:rPr>
          <w:rFonts w:ascii="Times New Roman" w:hAnsi="Times New Roman"/>
          <w:iCs/>
          <w:sz w:val="24"/>
          <w:szCs w:val="24"/>
        </w:rPr>
        <w:t>According to the Office of Personnel Management (OPM)</w:t>
      </w:r>
      <w:r>
        <w:rPr>
          <w:rStyle w:val="FootnoteReference"/>
          <w:rFonts w:ascii="Times New Roman" w:hAnsi="Times New Roman"/>
          <w:iCs/>
          <w:sz w:val="24"/>
          <w:szCs w:val="24"/>
        </w:rPr>
        <w:footnoteReference w:id="4"/>
      </w:r>
      <w:r>
        <w:rPr>
          <w:rFonts w:ascii="Times New Roman" w:hAnsi="Times New Roman"/>
          <w:iCs/>
          <w:sz w:val="24"/>
          <w:szCs w:val="24"/>
        </w:rPr>
        <w:t xml:space="preserve"> the hourly wages for the following Federal Employees to complete program related tasks for the CFR program are as follows: </w:t>
      </w:r>
      <w:bookmarkStart w:id="5" w:name="_Hlk177476110"/>
      <w:r w:rsidRPr="0011088D">
        <w:rPr>
          <w:rFonts w:ascii="Times New Roman" w:hAnsi="Times New Roman"/>
          <w:iCs/>
          <w:sz w:val="24"/>
          <w:szCs w:val="24"/>
        </w:rPr>
        <w:t>GS 14 (Step 7): Review and assimilate application information</w:t>
      </w:r>
      <w:r>
        <w:rPr>
          <w:rFonts w:ascii="Times New Roman" w:hAnsi="Times New Roman"/>
          <w:iCs/>
          <w:sz w:val="24"/>
          <w:szCs w:val="24"/>
        </w:rPr>
        <w:t xml:space="preserve"> is $80.15, </w:t>
      </w:r>
      <w:r w:rsidRPr="0011088D">
        <w:rPr>
          <w:rFonts w:ascii="Times New Roman" w:hAnsi="Times New Roman"/>
          <w:iCs/>
          <w:sz w:val="24"/>
          <w:szCs w:val="24"/>
        </w:rPr>
        <w:t>GS 13 (Step 6): Review and recording annual statements</w:t>
      </w:r>
      <w:r>
        <w:rPr>
          <w:rFonts w:ascii="Times New Roman" w:hAnsi="Times New Roman"/>
          <w:iCs/>
          <w:sz w:val="24"/>
          <w:szCs w:val="24"/>
        </w:rPr>
        <w:t xml:space="preserve"> is $ 65.94, and </w:t>
      </w:r>
      <w:r w:rsidRPr="0011088D">
        <w:rPr>
          <w:rFonts w:ascii="Times New Roman" w:hAnsi="Times New Roman"/>
          <w:iCs/>
          <w:sz w:val="24"/>
          <w:szCs w:val="24"/>
        </w:rPr>
        <w:t>(GS-14 step 7):  Review and sign withdrawal request</w:t>
      </w:r>
      <w:r>
        <w:rPr>
          <w:rFonts w:ascii="Times New Roman" w:hAnsi="Times New Roman"/>
          <w:iCs/>
          <w:sz w:val="24"/>
          <w:szCs w:val="24"/>
        </w:rPr>
        <w:t>s is $ 80.15</w:t>
      </w:r>
      <w:r w:rsidR="008D68D1">
        <w:rPr>
          <w:rFonts w:ascii="Times New Roman" w:hAnsi="Times New Roman"/>
          <w:iCs/>
          <w:sz w:val="24"/>
          <w:szCs w:val="24"/>
        </w:rPr>
        <w:t>.</w:t>
      </w:r>
    </w:p>
    <w:bookmarkEnd w:id="5"/>
    <w:p w:rsidR="0011088D" w:rsidP="00C67D3B" w14:paraId="0B2C2A8E" w14:textId="77777777">
      <w:pPr>
        <w:ind w:left="360"/>
        <w:rPr>
          <w:rFonts w:ascii="Times New Roman" w:hAnsi="Times New Roman"/>
          <w:iCs/>
          <w:sz w:val="24"/>
          <w:szCs w:val="24"/>
        </w:rPr>
      </w:pPr>
    </w:p>
    <w:p w:rsidR="0011088D" w:rsidRPr="0011088D" w:rsidP="0011088D" w14:paraId="6A38937F" w14:textId="561D6D3A">
      <w:pPr>
        <w:ind w:left="360"/>
        <w:rPr>
          <w:rFonts w:ascii="Times New Roman" w:hAnsi="Times New Roman"/>
          <w:iCs/>
          <w:sz w:val="24"/>
          <w:szCs w:val="24"/>
        </w:rPr>
      </w:pPr>
      <w:r w:rsidRPr="0011088D">
        <w:rPr>
          <w:rFonts w:ascii="Times New Roman" w:hAnsi="Times New Roman"/>
          <w:iCs/>
          <w:sz w:val="24"/>
          <w:szCs w:val="24"/>
        </w:rPr>
        <w:t>When combined with the Federal Employee Compensation rate of 31%</w:t>
      </w:r>
      <w:r>
        <w:rPr>
          <w:rFonts w:ascii="Times New Roman" w:hAnsi="Times New Roman"/>
          <w:iCs/>
          <w:sz w:val="24"/>
          <w:szCs w:val="24"/>
          <w:vertAlign w:val="superscript"/>
        </w:rPr>
        <w:footnoteReference w:id="5"/>
      </w:r>
      <w:r w:rsidRPr="0011088D">
        <w:rPr>
          <w:rFonts w:ascii="Times New Roman" w:hAnsi="Times New Roman"/>
          <w:iCs/>
          <w:sz w:val="24"/>
          <w:szCs w:val="24"/>
        </w:rPr>
        <w:t>, the total hourly wage rates are as follows: GS 14 (Step 7): Review and assimilate application information is $</w:t>
      </w:r>
      <w:r w:rsidR="008D68D1">
        <w:rPr>
          <w:rFonts w:ascii="Times New Roman" w:hAnsi="Times New Roman"/>
          <w:iCs/>
          <w:sz w:val="24"/>
          <w:szCs w:val="24"/>
        </w:rPr>
        <w:t xml:space="preserve"> </w:t>
      </w:r>
      <w:r>
        <w:rPr>
          <w:rFonts w:ascii="Times New Roman" w:hAnsi="Times New Roman"/>
          <w:iCs/>
          <w:sz w:val="24"/>
          <w:szCs w:val="24"/>
        </w:rPr>
        <w:t>104.99</w:t>
      </w:r>
      <w:r w:rsidRPr="0011088D">
        <w:rPr>
          <w:rFonts w:ascii="Times New Roman" w:hAnsi="Times New Roman"/>
          <w:iCs/>
          <w:sz w:val="24"/>
          <w:szCs w:val="24"/>
        </w:rPr>
        <w:t xml:space="preserve">, GS 13 (Step 6): Review and recording annual statements is $ </w:t>
      </w:r>
      <w:r>
        <w:rPr>
          <w:rFonts w:ascii="Times New Roman" w:hAnsi="Times New Roman"/>
          <w:iCs/>
          <w:sz w:val="24"/>
          <w:szCs w:val="24"/>
        </w:rPr>
        <w:t>86.38</w:t>
      </w:r>
      <w:r w:rsidRPr="0011088D">
        <w:rPr>
          <w:rFonts w:ascii="Times New Roman" w:hAnsi="Times New Roman"/>
          <w:iCs/>
          <w:sz w:val="24"/>
          <w:szCs w:val="24"/>
        </w:rPr>
        <w:t xml:space="preserve">, and (GS-14 step 7):  Review and sign withdrawal requests is $ </w:t>
      </w:r>
      <w:r>
        <w:rPr>
          <w:rFonts w:ascii="Times New Roman" w:hAnsi="Times New Roman"/>
          <w:iCs/>
          <w:sz w:val="24"/>
          <w:szCs w:val="24"/>
        </w:rPr>
        <w:t xml:space="preserve">104.99. Therefore, the total combined Federal Government wages for all tasks associated with the CRF program can be calculated as shown in the table below: </w:t>
      </w:r>
    </w:p>
    <w:p w:rsidR="0011088D" w:rsidP="0011088D" w14:paraId="10650130" w14:textId="177F6B98">
      <w:pPr>
        <w:ind w:left="360"/>
        <w:rPr>
          <w:rFonts w:ascii="Times New Roman" w:hAnsi="Times New Roman"/>
          <w:iCs/>
          <w:sz w:val="24"/>
          <w:szCs w:val="24"/>
        </w:rPr>
      </w:pPr>
    </w:p>
    <w:tbl>
      <w:tblPr>
        <w:tblW w:w="10955" w:type="dxa"/>
        <w:tblInd w:w="-455" w:type="dxa"/>
        <w:tblLayout w:type="fixed"/>
        <w:tblLook w:val="04A0"/>
      </w:tblPr>
      <w:tblGrid>
        <w:gridCol w:w="2454"/>
        <w:gridCol w:w="1239"/>
        <w:gridCol w:w="1793"/>
        <w:gridCol w:w="1231"/>
        <w:gridCol w:w="1653"/>
        <w:gridCol w:w="1080"/>
        <w:gridCol w:w="1505"/>
      </w:tblGrid>
      <w:tr w14:paraId="2D35FD0A" w14:textId="77777777" w:rsidTr="00C67D3B">
        <w:tblPrEx>
          <w:tblW w:w="10955" w:type="dxa"/>
          <w:tblInd w:w="-455" w:type="dxa"/>
          <w:tblLayout w:type="fixed"/>
          <w:tblLook w:val="04A0"/>
        </w:tblPrEx>
        <w:trPr>
          <w:trHeight w:val="765"/>
        </w:trPr>
        <w:tc>
          <w:tcPr>
            <w:tcW w:w="245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1088D" w:rsidRPr="00C67D3B" w:rsidP="00C67D3B" w14:paraId="61409027"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FTE Grade and Step &amp; CRF Program Related  Task</w:t>
            </w:r>
          </w:p>
        </w:tc>
        <w:tc>
          <w:tcPr>
            <w:tcW w:w="1239" w:type="dxa"/>
            <w:tcBorders>
              <w:top w:val="single" w:sz="4" w:space="0" w:color="auto"/>
              <w:left w:val="nil"/>
              <w:bottom w:val="single" w:sz="4" w:space="0" w:color="auto"/>
              <w:right w:val="single" w:sz="4" w:space="0" w:color="auto"/>
            </w:tcBorders>
            <w:shd w:val="clear" w:color="000000" w:fill="D9D9D9"/>
            <w:vAlign w:val="center"/>
            <w:hideMark/>
          </w:tcPr>
          <w:p w:rsidR="0011088D" w:rsidRPr="00C67D3B" w:rsidP="0011088D" w14:paraId="04E712CB"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Hourly Wage</w:t>
            </w:r>
          </w:p>
        </w:tc>
        <w:tc>
          <w:tcPr>
            <w:tcW w:w="1793" w:type="dxa"/>
            <w:tcBorders>
              <w:top w:val="single" w:sz="4" w:space="0" w:color="auto"/>
              <w:left w:val="nil"/>
              <w:bottom w:val="single" w:sz="4" w:space="0" w:color="auto"/>
              <w:right w:val="single" w:sz="4" w:space="0" w:color="auto"/>
            </w:tcBorders>
            <w:shd w:val="clear" w:color="000000" w:fill="D9D9D9"/>
            <w:vAlign w:val="center"/>
            <w:hideMark/>
          </w:tcPr>
          <w:p w:rsidR="0011088D" w:rsidRPr="00C67D3B" w:rsidP="0011088D" w14:paraId="2FC8BB6E"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 xml:space="preserve">Average Hourly Wage Rate with 31% Compensation   </w:t>
            </w:r>
          </w:p>
        </w:tc>
        <w:tc>
          <w:tcPr>
            <w:tcW w:w="1231" w:type="dxa"/>
            <w:tcBorders>
              <w:top w:val="single" w:sz="4" w:space="0" w:color="auto"/>
              <w:left w:val="nil"/>
              <w:bottom w:val="single" w:sz="4" w:space="0" w:color="auto"/>
              <w:right w:val="single" w:sz="4" w:space="0" w:color="auto"/>
            </w:tcBorders>
            <w:shd w:val="clear" w:color="000000" w:fill="D9D9D9"/>
            <w:vAlign w:val="center"/>
            <w:hideMark/>
          </w:tcPr>
          <w:p w:rsidR="0011088D" w:rsidRPr="00C67D3B" w:rsidP="0011088D" w14:paraId="42CB41F4"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 xml:space="preserve">Total Employees </w:t>
            </w:r>
          </w:p>
        </w:tc>
        <w:tc>
          <w:tcPr>
            <w:tcW w:w="1653" w:type="dxa"/>
            <w:tcBorders>
              <w:top w:val="single" w:sz="4" w:space="0" w:color="auto"/>
              <w:left w:val="nil"/>
              <w:bottom w:val="single" w:sz="4" w:space="0" w:color="auto"/>
              <w:right w:val="single" w:sz="4" w:space="0" w:color="auto"/>
            </w:tcBorders>
            <w:shd w:val="clear" w:color="000000" w:fill="D9D9D9"/>
            <w:vAlign w:val="center"/>
            <w:hideMark/>
          </w:tcPr>
          <w:p w:rsidR="0011088D" w:rsidRPr="00C67D3B" w:rsidP="0011088D" w14:paraId="0AAE0310"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Total Time for Per application  (Hours)</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rsidR="0011088D" w:rsidRPr="00C67D3B" w:rsidP="0011088D" w14:paraId="50B832FC"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 xml:space="preserve">Total Applications </w:t>
            </w:r>
          </w:p>
        </w:tc>
        <w:tc>
          <w:tcPr>
            <w:tcW w:w="1505" w:type="dxa"/>
            <w:tcBorders>
              <w:top w:val="single" w:sz="4" w:space="0" w:color="auto"/>
              <w:left w:val="nil"/>
              <w:bottom w:val="single" w:sz="4" w:space="0" w:color="auto"/>
              <w:right w:val="single" w:sz="4" w:space="0" w:color="auto"/>
            </w:tcBorders>
            <w:shd w:val="clear" w:color="000000" w:fill="D9D9D9"/>
            <w:vAlign w:val="center"/>
            <w:hideMark/>
          </w:tcPr>
          <w:p w:rsidR="0011088D" w:rsidRPr="00C67D3B" w:rsidP="0011088D" w14:paraId="4588D3E6" w14:textId="77777777">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 xml:space="preserve">Total Federal Government Wages   </w:t>
            </w:r>
          </w:p>
        </w:tc>
      </w:tr>
      <w:tr w14:paraId="23F3E80D" w14:textId="77777777" w:rsidTr="00C67D3B">
        <w:tblPrEx>
          <w:tblW w:w="10955" w:type="dxa"/>
          <w:tblInd w:w="-455" w:type="dxa"/>
          <w:tblLayout w:type="fixed"/>
          <w:tblLook w:val="04A0"/>
        </w:tblPrEx>
        <w:trPr>
          <w:trHeight w:val="870"/>
        </w:trPr>
        <w:tc>
          <w:tcPr>
            <w:tcW w:w="2454" w:type="dxa"/>
            <w:tcBorders>
              <w:top w:val="nil"/>
              <w:left w:val="single" w:sz="4" w:space="0" w:color="auto"/>
              <w:bottom w:val="single" w:sz="4" w:space="0" w:color="auto"/>
              <w:right w:val="single" w:sz="4" w:space="0" w:color="auto"/>
            </w:tcBorders>
            <w:shd w:val="clear" w:color="auto" w:fill="auto"/>
            <w:hideMark/>
          </w:tcPr>
          <w:p w:rsidR="0011088D" w:rsidRPr="00C67D3B" w:rsidP="00C67D3B" w14:paraId="0B394459" w14:textId="562C374B">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GS 14 (Step 7): Review and assimilate application information</w:t>
            </w:r>
          </w:p>
        </w:tc>
        <w:tc>
          <w:tcPr>
            <w:tcW w:w="1239" w:type="dxa"/>
            <w:tcBorders>
              <w:top w:val="nil"/>
              <w:left w:val="nil"/>
              <w:bottom w:val="single" w:sz="4" w:space="0" w:color="auto"/>
              <w:right w:val="single" w:sz="4" w:space="0" w:color="auto"/>
            </w:tcBorders>
            <w:shd w:val="clear" w:color="auto" w:fill="auto"/>
            <w:vAlign w:val="center"/>
            <w:hideMark/>
          </w:tcPr>
          <w:p w:rsidR="0011088D" w:rsidRPr="00C67D3B" w:rsidP="0011088D" w14:paraId="2EFFCA66" w14:textId="59A5E4F5">
            <w:pPr>
              <w:widowControl/>
              <w:autoSpaceDE/>
              <w:autoSpaceDN/>
              <w:adjustRightInd/>
              <w:rPr>
                <w:rFonts w:ascii="Times New Roman" w:hAnsi="Times New Roman"/>
                <w:color w:val="000000"/>
                <w:sz w:val="22"/>
                <w:szCs w:val="22"/>
              </w:rPr>
            </w:pPr>
            <w:r w:rsidRPr="00C67D3B">
              <w:rPr>
                <w:rFonts w:ascii="Times New Roman" w:hAnsi="Times New Roman"/>
                <w:color w:val="000000"/>
                <w:sz w:val="22"/>
                <w:szCs w:val="22"/>
              </w:rPr>
              <w:t xml:space="preserve"> $  80.15 </w:t>
            </w:r>
          </w:p>
        </w:tc>
        <w:tc>
          <w:tcPr>
            <w:tcW w:w="1793" w:type="dxa"/>
            <w:tcBorders>
              <w:top w:val="nil"/>
              <w:left w:val="nil"/>
              <w:bottom w:val="single" w:sz="4" w:space="0" w:color="auto"/>
              <w:right w:val="single" w:sz="4" w:space="0" w:color="auto"/>
            </w:tcBorders>
            <w:shd w:val="clear" w:color="auto" w:fill="auto"/>
            <w:vAlign w:val="center"/>
            <w:hideMark/>
          </w:tcPr>
          <w:p w:rsidR="0011088D" w:rsidRPr="00C67D3B" w:rsidP="00C67D3B" w14:paraId="26046A25" w14:textId="7409E187">
            <w:pPr>
              <w:widowControl/>
              <w:autoSpaceDE/>
              <w:autoSpaceDN/>
              <w:adjustRightInd/>
              <w:rPr>
                <w:rFonts w:ascii="Times New Roman" w:hAnsi="Times New Roman"/>
                <w:color w:val="000000"/>
                <w:sz w:val="22"/>
                <w:szCs w:val="22"/>
              </w:rPr>
            </w:pPr>
            <w:r w:rsidRPr="00C67D3B">
              <w:rPr>
                <w:rFonts w:ascii="Times New Roman" w:hAnsi="Times New Roman"/>
                <w:color w:val="000000"/>
                <w:sz w:val="22"/>
                <w:szCs w:val="22"/>
              </w:rPr>
              <w:t xml:space="preserve"> $  </w:t>
            </w:r>
            <w:r w:rsidRPr="00C67D3B" w:rsidR="006E636A">
              <w:rPr>
                <w:rFonts w:ascii="Times New Roman" w:hAnsi="Times New Roman"/>
                <w:color w:val="000000"/>
                <w:sz w:val="22"/>
                <w:szCs w:val="22"/>
              </w:rPr>
              <w:t xml:space="preserve"> </w:t>
            </w:r>
            <w:r w:rsidRPr="00C67D3B">
              <w:rPr>
                <w:rFonts w:ascii="Times New Roman" w:hAnsi="Times New Roman"/>
                <w:color w:val="000000"/>
                <w:sz w:val="22"/>
                <w:szCs w:val="22"/>
              </w:rPr>
              <w:t xml:space="preserve">104.99 </w:t>
            </w:r>
          </w:p>
        </w:tc>
        <w:tc>
          <w:tcPr>
            <w:tcW w:w="1231" w:type="dxa"/>
            <w:tcBorders>
              <w:top w:val="nil"/>
              <w:left w:val="nil"/>
              <w:bottom w:val="single" w:sz="4" w:space="0" w:color="auto"/>
              <w:right w:val="single" w:sz="4" w:space="0" w:color="auto"/>
            </w:tcBorders>
            <w:shd w:val="clear" w:color="auto" w:fill="auto"/>
            <w:vAlign w:val="center"/>
            <w:hideMark/>
          </w:tcPr>
          <w:p w:rsidR="0011088D" w:rsidRPr="00C67D3B" w:rsidP="0011088D" w14:paraId="1268E509"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6</w:t>
            </w:r>
          </w:p>
        </w:tc>
        <w:tc>
          <w:tcPr>
            <w:tcW w:w="1653" w:type="dxa"/>
            <w:tcBorders>
              <w:top w:val="nil"/>
              <w:left w:val="nil"/>
              <w:bottom w:val="single" w:sz="4" w:space="0" w:color="auto"/>
              <w:right w:val="single" w:sz="4" w:space="0" w:color="auto"/>
            </w:tcBorders>
            <w:shd w:val="clear" w:color="auto" w:fill="auto"/>
            <w:vAlign w:val="center"/>
            <w:hideMark/>
          </w:tcPr>
          <w:p w:rsidR="0011088D" w:rsidRPr="00C67D3B" w:rsidP="0011088D" w14:paraId="5D274AB5"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4</w:t>
            </w:r>
          </w:p>
        </w:tc>
        <w:tc>
          <w:tcPr>
            <w:tcW w:w="1080" w:type="dxa"/>
            <w:tcBorders>
              <w:top w:val="nil"/>
              <w:left w:val="nil"/>
              <w:bottom w:val="single" w:sz="4" w:space="0" w:color="auto"/>
              <w:right w:val="single" w:sz="4" w:space="0" w:color="auto"/>
            </w:tcBorders>
            <w:shd w:val="clear" w:color="auto" w:fill="auto"/>
            <w:vAlign w:val="center"/>
            <w:hideMark/>
          </w:tcPr>
          <w:p w:rsidR="0011088D" w:rsidRPr="00C67D3B" w:rsidP="0011088D" w14:paraId="4769E3AF"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10</w:t>
            </w:r>
          </w:p>
        </w:tc>
        <w:tc>
          <w:tcPr>
            <w:tcW w:w="1505" w:type="dxa"/>
            <w:tcBorders>
              <w:top w:val="nil"/>
              <w:left w:val="nil"/>
              <w:bottom w:val="single" w:sz="4" w:space="0" w:color="auto"/>
              <w:right w:val="single" w:sz="4" w:space="0" w:color="auto"/>
            </w:tcBorders>
            <w:shd w:val="clear" w:color="auto" w:fill="auto"/>
            <w:vAlign w:val="center"/>
            <w:hideMark/>
          </w:tcPr>
          <w:p w:rsidR="0011088D" w:rsidRPr="00C67D3B" w:rsidP="0011088D" w14:paraId="445099EC" w14:textId="5F7FD8D8">
            <w:pPr>
              <w:widowControl/>
              <w:autoSpaceDE/>
              <w:autoSpaceDN/>
              <w:adjustRightInd/>
              <w:rPr>
                <w:rFonts w:ascii="Times New Roman" w:hAnsi="Times New Roman"/>
                <w:color w:val="000000"/>
                <w:sz w:val="22"/>
                <w:szCs w:val="22"/>
              </w:rPr>
            </w:pPr>
            <w:r w:rsidRPr="00C67D3B">
              <w:rPr>
                <w:rFonts w:ascii="Times New Roman" w:hAnsi="Times New Roman"/>
                <w:color w:val="000000"/>
                <w:sz w:val="22"/>
                <w:szCs w:val="22"/>
              </w:rPr>
              <w:t xml:space="preserve"> $   25,197.60 </w:t>
            </w:r>
          </w:p>
        </w:tc>
      </w:tr>
      <w:tr w14:paraId="618E275E" w14:textId="77777777" w:rsidTr="00C67D3B">
        <w:tblPrEx>
          <w:tblW w:w="10955" w:type="dxa"/>
          <w:tblInd w:w="-455" w:type="dxa"/>
          <w:tblLayout w:type="fixed"/>
          <w:tblLook w:val="04A0"/>
        </w:tblPrEx>
        <w:trPr>
          <w:trHeight w:val="795"/>
        </w:trPr>
        <w:tc>
          <w:tcPr>
            <w:tcW w:w="2454" w:type="dxa"/>
            <w:tcBorders>
              <w:top w:val="nil"/>
              <w:left w:val="single" w:sz="4" w:space="0" w:color="auto"/>
              <w:bottom w:val="single" w:sz="4" w:space="0" w:color="auto"/>
              <w:right w:val="single" w:sz="4" w:space="0" w:color="auto"/>
            </w:tcBorders>
            <w:shd w:val="clear" w:color="auto" w:fill="auto"/>
            <w:hideMark/>
          </w:tcPr>
          <w:p w:rsidR="0011088D" w:rsidRPr="00C67D3B" w:rsidP="00C67D3B" w14:paraId="71471B77" w14:textId="7952288F">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GS 13 (Step 6): Review and recording annual statements</w:t>
            </w:r>
          </w:p>
        </w:tc>
        <w:tc>
          <w:tcPr>
            <w:tcW w:w="1239" w:type="dxa"/>
            <w:tcBorders>
              <w:top w:val="nil"/>
              <w:left w:val="nil"/>
              <w:bottom w:val="single" w:sz="4" w:space="0" w:color="auto"/>
              <w:right w:val="single" w:sz="4" w:space="0" w:color="auto"/>
            </w:tcBorders>
            <w:shd w:val="clear" w:color="auto" w:fill="auto"/>
            <w:vAlign w:val="center"/>
            <w:hideMark/>
          </w:tcPr>
          <w:p w:rsidR="0011088D" w:rsidRPr="00C67D3B" w:rsidP="0011088D" w14:paraId="4FF599A4" w14:textId="24754C19">
            <w:pPr>
              <w:widowControl/>
              <w:autoSpaceDE/>
              <w:autoSpaceDN/>
              <w:adjustRightInd/>
              <w:rPr>
                <w:rFonts w:ascii="Times New Roman" w:hAnsi="Times New Roman"/>
                <w:color w:val="000000"/>
                <w:sz w:val="22"/>
                <w:szCs w:val="22"/>
              </w:rPr>
            </w:pPr>
            <w:r w:rsidRPr="00C67D3B">
              <w:rPr>
                <w:rFonts w:ascii="Times New Roman" w:hAnsi="Times New Roman"/>
                <w:color w:val="000000"/>
                <w:sz w:val="22"/>
                <w:szCs w:val="22"/>
              </w:rPr>
              <w:t xml:space="preserve"> $   65.94 </w:t>
            </w:r>
          </w:p>
        </w:tc>
        <w:tc>
          <w:tcPr>
            <w:tcW w:w="1793" w:type="dxa"/>
            <w:tcBorders>
              <w:top w:val="nil"/>
              <w:left w:val="nil"/>
              <w:bottom w:val="single" w:sz="4" w:space="0" w:color="auto"/>
              <w:right w:val="single" w:sz="4" w:space="0" w:color="auto"/>
            </w:tcBorders>
            <w:shd w:val="clear" w:color="auto" w:fill="auto"/>
            <w:vAlign w:val="center"/>
            <w:hideMark/>
          </w:tcPr>
          <w:p w:rsidR="0011088D" w:rsidRPr="00C67D3B" w:rsidP="0011088D" w14:paraId="1C141AB2" w14:textId="493B735B">
            <w:pPr>
              <w:widowControl/>
              <w:autoSpaceDE/>
              <w:autoSpaceDN/>
              <w:adjustRightInd/>
              <w:rPr>
                <w:rFonts w:ascii="Times New Roman" w:hAnsi="Times New Roman"/>
                <w:color w:val="000000"/>
                <w:sz w:val="22"/>
                <w:szCs w:val="22"/>
              </w:rPr>
            </w:pPr>
            <w:r w:rsidRPr="00C67D3B">
              <w:rPr>
                <w:rFonts w:ascii="Times New Roman" w:hAnsi="Times New Roman"/>
                <w:color w:val="000000"/>
                <w:sz w:val="22"/>
                <w:szCs w:val="22"/>
              </w:rPr>
              <w:t xml:space="preserve"> $      86.38 </w:t>
            </w:r>
          </w:p>
        </w:tc>
        <w:tc>
          <w:tcPr>
            <w:tcW w:w="1231" w:type="dxa"/>
            <w:tcBorders>
              <w:top w:val="nil"/>
              <w:left w:val="nil"/>
              <w:bottom w:val="single" w:sz="4" w:space="0" w:color="auto"/>
              <w:right w:val="single" w:sz="4" w:space="0" w:color="auto"/>
            </w:tcBorders>
            <w:shd w:val="clear" w:color="auto" w:fill="auto"/>
            <w:vAlign w:val="center"/>
            <w:hideMark/>
          </w:tcPr>
          <w:p w:rsidR="0011088D" w:rsidRPr="00C67D3B" w:rsidP="0011088D" w14:paraId="4A50EAA4"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1</w:t>
            </w:r>
          </w:p>
        </w:tc>
        <w:tc>
          <w:tcPr>
            <w:tcW w:w="1653" w:type="dxa"/>
            <w:tcBorders>
              <w:top w:val="nil"/>
              <w:left w:val="nil"/>
              <w:bottom w:val="single" w:sz="4" w:space="0" w:color="auto"/>
              <w:right w:val="single" w:sz="4" w:space="0" w:color="auto"/>
            </w:tcBorders>
            <w:shd w:val="clear" w:color="auto" w:fill="auto"/>
            <w:vAlign w:val="center"/>
            <w:hideMark/>
          </w:tcPr>
          <w:p w:rsidR="0011088D" w:rsidRPr="00C67D3B" w:rsidP="0011088D" w14:paraId="1D467676"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0.5</w:t>
            </w:r>
          </w:p>
        </w:tc>
        <w:tc>
          <w:tcPr>
            <w:tcW w:w="1080" w:type="dxa"/>
            <w:tcBorders>
              <w:top w:val="nil"/>
              <w:left w:val="nil"/>
              <w:bottom w:val="single" w:sz="4" w:space="0" w:color="auto"/>
              <w:right w:val="single" w:sz="4" w:space="0" w:color="auto"/>
            </w:tcBorders>
            <w:shd w:val="clear" w:color="auto" w:fill="auto"/>
            <w:vAlign w:val="center"/>
            <w:hideMark/>
          </w:tcPr>
          <w:p w:rsidR="0011088D" w:rsidRPr="00C67D3B" w:rsidP="0011088D" w14:paraId="333B6163"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10</w:t>
            </w:r>
          </w:p>
        </w:tc>
        <w:tc>
          <w:tcPr>
            <w:tcW w:w="1505" w:type="dxa"/>
            <w:tcBorders>
              <w:top w:val="nil"/>
              <w:left w:val="nil"/>
              <w:bottom w:val="single" w:sz="4" w:space="0" w:color="auto"/>
              <w:right w:val="single" w:sz="4" w:space="0" w:color="auto"/>
            </w:tcBorders>
            <w:shd w:val="clear" w:color="auto" w:fill="auto"/>
            <w:vAlign w:val="center"/>
            <w:hideMark/>
          </w:tcPr>
          <w:p w:rsidR="0011088D" w:rsidRPr="00C67D3B" w:rsidP="0011088D" w14:paraId="0813E89D" w14:textId="0D0E2ECA">
            <w:pPr>
              <w:widowControl/>
              <w:autoSpaceDE/>
              <w:autoSpaceDN/>
              <w:adjustRightInd/>
              <w:rPr>
                <w:rFonts w:ascii="Times New Roman" w:hAnsi="Times New Roman"/>
                <w:color w:val="000000"/>
                <w:sz w:val="22"/>
                <w:szCs w:val="22"/>
              </w:rPr>
            </w:pPr>
            <w:r w:rsidRPr="00C67D3B">
              <w:rPr>
                <w:rFonts w:ascii="Times New Roman" w:hAnsi="Times New Roman"/>
                <w:color w:val="000000"/>
                <w:sz w:val="22"/>
                <w:szCs w:val="22"/>
              </w:rPr>
              <w:t xml:space="preserve"> $     </w:t>
            </w:r>
            <w:r w:rsidRPr="00C67D3B" w:rsidR="006E636A">
              <w:rPr>
                <w:rFonts w:ascii="Times New Roman" w:hAnsi="Times New Roman"/>
                <w:color w:val="000000"/>
                <w:sz w:val="22"/>
                <w:szCs w:val="22"/>
              </w:rPr>
              <w:t xml:space="preserve">    </w:t>
            </w:r>
            <w:r w:rsidRPr="00C67D3B">
              <w:rPr>
                <w:rFonts w:ascii="Times New Roman" w:hAnsi="Times New Roman"/>
                <w:color w:val="000000"/>
                <w:sz w:val="22"/>
                <w:szCs w:val="22"/>
              </w:rPr>
              <w:t xml:space="preserve">431.90 </w:t>
            </w:r>
          </w:p>
        </w:tc>
      </w:tr>
      <w:tr w14:paraId="4D6CE37B" w14:textId="77777777" w:rsidTr="00C67D3B">
        <w:tblPrEx>
          <w:tblW w:w="10955" w:type="dxa"/>
          <w:tblInd w:w="-455" w:type="dxa"/>
          <w:tblLayout w:type="fixed"/>
          <w:tblLook w:val="04A0"/>
        </w:tblPrEx>
        <w:trPr>
          <w:trHeight w:val="890"/>
        </w:trPr>
        <w:tc>
          <w:tcPr>
            <w:tcW w:w="2454" w:type="dxa"/>
            <w:tcBorders>
              <w:top w:val="nil"/>
              <w:left w:val="single" w:sz="4" w:space="0" w:color="auto"/>
              <w:bottom w:val="single" w:sz="4" w:space="0" w:color="auto"/>
              <w:right w:val="single" w:sz="4" w:space="0" w:color="auto"/>
            </w:tcBorders>
            <w:shd w:val="clear" w:color="auto" w:fill="auto"/>
            <w:hideMark/>
          </w:tcPr>
          <w:p w:rsidR="0011088D" w:rsidRPr="00C67D3B" w:rsidP="00C67D3B" w14:paraId="779866BC" w14:textId="5FEB00DD">
            <w:pPr>
              <w:widowControl/>
              <w:autoSpaceDE/>
              <w:autoSpaceDN/>
              <w:adjustRightInd/>
              <w:jc w:val="center"/>
              <w:rPr>
                <w:rFonts w:ascii="Times New Roman" w:hAnsi="Times New Roman"/>
                <w:b/>
                <w:bCs/>
                <w:color w:val="000000"/>
                <w:sz w:val="22"/>
                <w:szCs w:val="22"/>
              </w:rPr>
            </w:pPr>
            <w:r w:rsidRPr="00C67D3B">
              <w:rPr>
                <w:rFonts w:ascii="Times New Roman" w:hAnsi="Times New Roman"/>
                <w:b/>
                <w:bCs/>
                <w:color w:val="000000"/>
                <w:sz w:val="22"/>
                <w:szCs w:val="22"/>
              </w:rPr>
              <w:t>(GS-14 step 7):  Review and sign withdrawal requests</w:t>
            </w:r>
          </w:p>
        </w:tc>
        <w:tc>
          <w:tcPr>
            <w:tcW w:w="1239" w:type="dxa"/>
            <w:tcBorders>
              <w:top w:val="nil"/>
              <w:left w:val="nil"/>
              <w:bottom w:val="single" w:sz="4" w:space="0" w:color="auto"/>
              <w:right w:val="single" w:sz="4" w:space="0" w:color="auto"/>
            </w:tcBorders>
            <w:shd w:val="clear" w:color="auto" w:fill="auto"/>
            <w:vAlign w:val="center"/>
            <w:hideMark/>
          </w:tcPr>
          <w:p w:rsidR="0011088D" w:rsidRPr="00C67D3B" w:rsidP="0011088D" w14:paraId="2CAA4058" w14:textId="3E727DC1">
            <w:pPr>
              <w:widowControl/>
              <w:autoSpaceDE/>
              <w:autoSpaceDN/>
              <w:adjustRightInd/>
              <w:rPr>
                <w:rFonts w:ascii="Times New Roman" w:hAnsi="Times New Roman"/>
                <w:color w:val="000000"/>
                <w:sz w:val="22"/>
                <w:szCs w:val="22"/>
              </w:rPr>
            </w:pPr>
            <w:r w:rsidRPr="00C67D3B">
              <w:rPr>
                <w:rFonts w:ascii="Times New Roman" w:hAnsi="Times New Roman"/>
                <w:color w:val="000000"/>
                <w:sz w:val="22"/>
                <w:szCs w:val="22"/>
              </w:rPr>
              <w:t xml:space="preserve"> $   80.15 </w:t>
            </w:r>
          </w:p>
        </w:tc>
        <w:tc>
          <w:tcPr>
            <w:tcW w:w="1793" w:type="dxa"/>
            <w:tcBorders>
              <w:top w:val="nil"/>
              <w:left w:val="nil"/>
              <w:bottom w:val="single" w:sz="4" w:space="0" w:color="auto"/>
              <w:right w:val="single" w:sz="4" w:space="0" w:color="auto"/>
            </w:tcBorders>
            <w:shd w:val="clear" w:color="auto" w:fill="auto"/>
            <w:vAlign w:val="center"/>
            <w:hideMark/>
          </w:tcPr>
          <w:p w:rsidR="0011088D" w:rsidRPr="00C67D3B" w:rsidP="0011088D" w14:paraId="1A734829" w14:textId="1ABAED52">
            <w:pPr>
              <w:widowControl/>
              <w:autoSpaceDE/>
              <w:autoSpaceDN/>
              <w:adjustRightInd/>
              <w:rPr>
                <w:rFonts w:ascii="Times New Roman" w:hAnsi="Times New Roman"/>
                <w:color w:val="000000"/>
                <w:sz w:val="22"/>
                <w:szCs w:val="22"/>
              </w:rPr>
            </w:pPr>
            <w:r w:rsidRPr="00C67D3B">
              <w:rPr>
                <w:rFonts w:ascii="Times New Roman" w:hAnsi="Times New Roman"/>
                <w:color w:val="000000"/>
                <w:sz w:val="22"/>
                <w:szCs w:val="22"/>
              </w:rPr>
              <w:t xml:space="preserve"> $    104.99 </w:t>
            </w:r>
          </w:p>
        </w:tc>
        <w:tc>
          <w:tcPr>
            <w:tcW w:w="1231" w:type="dxa"/>
            <w:tcBorders>
              <w:top w:val="nil"/>
              <w:left w:val="nil"/>
              <w:bottom w:val="single" w:sz="4" w:space="0" w:color="auto"/>
              <w:right w:val="single" w:sz="4" w:space="0" w:color="auto"/>
            </w:tcBorders>
            <w:shd w:val="clear" w:color="auto" w:fill="auto"/>
            <w:vAlign w:val="center"/>
            <w:hideMark/>
          </w:tcPr>
          <w:p w:rsidR="0011088D" w:rsidRPr="00C67D3B" w:rsidP="0011088D" w14:paraId="53A41EB7"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1</w:t>
            </w:r>
          </w:p>
        </w:tc>
        <w:tc>
          <w:tcPr>
            <w:tcW w:w="1653" w:type="dxa"/>
            <w:tcBorders>
              <w:top w:val="nil"/>
              <w:left w:val="nil"/>
              <w:bottom w:val="single" w:sz="4" w:space="0" w:color="auto"/>
              <w:right w:val="single" w:sz="4" w:space="0" w:color="auto"/>
            </w:tcBorders>
            <w:shd w:val="clear" w:color="auto" w:fill="auto"/>
            <w:vAlign w:val="center"/>
            <w:hideMark/>
          </w:tcPr>
          <w:p w:rsidR="0011088D" w:rsidRPr="00C67D3B" w:rsidP="0011088D" w14:paraId="5A3B39CE"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0.33</w:t>
            </w:r>
          </w:p>
        </w:tc>
        <w:tc>
          <w:tcPr>
            <w:tcW w:w="1080" w:type="dxa"/>
            <w:tcBorders>
              <w:top w:val="nil"/>
              <w:left w:val="nil"/>
              <w:bottom w:val="single" w:sz="4" w:space="0" w:color="auto"/>
              <w:right w:val="single" w:sz="4" w:space="0" w:color="auto"/>
            </w:tcBorders>
            <w:shd w:val="clear" w:color="auto" w:fill="auto"/>
            <w:vAlign w:val="center"/>
            <w:hideMark/>
          </w:tcPr>
          <w:p w:rsidR="0011088D" w:rsidRPr="00C67D3B" w:rsidP="0011088D" w14:paraId="2D25802F" w14:textId="77777777">
            <w:pPr>
              <w:widowControl/>
              <w:autoSpaceDE/>
              <w:autoSpaceDN/>
              <w:adjustRightInd/>
              <w:jc w:val="center"/>
              <w:rPr>
                <w:rFonts w:ascii="Times New Roman" w:hAnsi="Times New Roman"/>
                <w:color w:val="000000"/>
                <w:sz w:val="22"/>
                <w:szCs w:val="22"/>
              </w:rPr>
            </w:pPr>
            <w:r w:rsidRPr="00C67D3B">
              <w:rPr>
                <w:rFonts w:ascii="Times New Roman" w:hAnsi="Times New Roman"/>
                <w:color w:val="000000"/>
                <w:sz w:val="22"/>
                <w:szCs w:val="22"/>
              </w:rPr>
              <w:t>10</w:t>
            </w:r>
          </w:p>
        </w:tc>
        <w:tc>
          <w:tcPr>
            <w:tcW w:w="1505" w:type="dxa"/>
            <w:tcBorders>
              <w:top w:val="nil"/>
              <w:left w:val="nil"/>
              <w:bottom w:val="single" w:sz="4" w:space="0" w:color="auto"/>
              <w:right w:val="single" w:sz="4" w:space="0" w:color="auto"/>
            </w:tcBorders>
            <w:shd w:val="clear" w:color="auto" w:fill="auto"/>
            <w:vAlign w:val="center"/>
            <w:hideMark/>
          </w:tcPr>
          <w:p w:rsidR="0011088D" w:rsidRPr="00C67D3B" w:rsidP="0011088D" w14:paraId="12B35794" w14:textId="6674B3A6">
            <w:pPr>
              <w:widowControl/>
              <w:autoSpaceDE/>
              <w:autoSpaceDN/>
              <w:adjustRightInd/>
              <w:rPr>
                <w:rFonts w:ascii="Times New Roman" w:hAnsi="Times New Roman"/>
                <w:color w:val="000000"/>
                <w:sz w:val="22"/>
                <w:szCs w:val="22"/>
              </w:rPr>
            </w:pPr>
            <w:r w:rsidRPr="00C67D3B">
              <w:rPr>
                <w:rFonts w:ascii="Times New Roman" w:hAnsi="Times New Roman"/>
                <w:color w:val="000000"/>
                <w:sz w:val="22"/>
                <w:szCs w:val="22"/>
              </w:rPr>
              <w:t xml:space="preserve"> $        </w:t>
            </w:r>
            <w:r w:rsidR="006E636A">
              <w:rPr>
                <w:rFonts w:ascii="Times New Roman" w:hAnsi="Times New Roman"/>
                <w:color w:val="000000"/>
                <w:sz w:val="22"/>
                <w:szCs w:val="22"/>
              </w:rPr>
              <w:t xml:space="preserve"> </w:t>
            </w:r>
            <w:r w:rsidRPr="00C67D3B">
              <w:rPr>
                <w:rFonts w:ascii="Times New Roman" w:hAnsi="Times New Roman"/>
                <w:color w:val="000000"/>
                <w:sz w:val="22"/>
                <w:szCs w:val="22"/>
              </w:rPr>
              <w:t xml:space="preserve">346.47 </w:t>
            </w:r>
          </w:p>
        </w:tc>
      </w:tr>
      <w:tr w14:paraId="476AF0B1" w14:textId="77777777" w:rsidTr="00C67D3B">
        <w:tblPrEx>
          <w:tblW w:w="10955" w:type="dxa"/>
          <w:tblInd w:w="-455" w:type="dxa"/>
          <w:tblLayout w:type="fixed"/>
          <w:tblLook w:val="04A0"/>
        </w:tblPrEx>
        <w:trPr>
          <w:trHeight w:val="890"/>
        </w:trPr>
        <w:tc>
          <w:tcPr>
            <w:tcW w:w="8370" w:type="dxa"/>
            <w:gridSpan w:val="5"/>
            <w:tcBorders>
              <w:top w:val="nil"/>
              <w:left w:val="single" w:sz="4" w:space="0" w:color="auto"/>
              <w:bottom w:val="single" w:sz="4" w:space="0" w:color="auto"/>
              <w:right w:val="single" w:sz="4" w:space="0" w:color="auto"/>
            </w:tcBorders>
            <w:shd w:val="clear" w:color="auto" w:fill="AEAAAA" w:themeFill="background2" w:themeFillShade="BF"/>
            <w:vAlign w:val="center"/>
          </w:tcPr>
          <w:p w:rsidR="00C227F5" w:rsidRPr="00C227F5" w:rsidP="00C227F5" w14:paraId="2672BC83" w14:textId="3D5F7562">
            <w:pPr>
              <w:widowControl/>
              <w:autoSpaceDE/>
              <w:autoSpaceDN/>
              <w:adjustRightInd/>
              <w:jc w:val="center"/>
              <w:rPr>
                <w:rFonts w:ascii="Times New Roman" w:hAnsi="Times New Roman"/>
                <w:color w:val="000000"/>
                <w:sz w:val="22"/>
                <w:szCs w:val="22"/>
              </w:rPr>
            </w:pPr>
            <w:r>
              <w:rPr>
                <w:rFonts w:ascii="Times New Roman" w:hAnsi="Times New Roman"/>
                <w:b/>
                <w:bCs/>
                <w:color w:val="000000"/>
                <w:sz w:val="22"/>
                <w:szCs w:val="22"/>
              </w:rPr>
              <w:t>TOTAL COMBINED FEDERAL WAGES</w:t>
            </w:r>
          </w:p>
        </w:tc>
        <w:tc>
          <w:tcPr>
            <w:tcW w:w="1080" w:type="dxa"/>
            <w:tcBorders>
              <w:top w:val="nil"/>
              <w:left w:val="nil"/>
              <w:bottom w:val="single" w:sz="4" w:space="0" w:color="auto"/>
              <w:right w:val="single" w:sz="4" w:space="0" w:color="auto"/>
            </w:tcBorders>
            <w:shd w:val="clear" w:color="auto" w:fill="auto"/>
            <w:vAlign w:val="center"/>
          </w:tcPr>
          <w:p w:rsidR="00C227F5" w:rsidRPr="00C227F5" w:rsidP="00C227F5" w14:paraId="1AB6C303" w14:textId="3E7C981C">
            <w:pPr>
              <w:widowControl/>
              <w:autoSpaceDE/>
              <w:autoSpaceDN/>
              <w:adjustRightInd/>
              <w:jc w:val="center"/>
              <w:rPr>
                <w:rFonts w:ascii="Times New Roman" w:hAnsi="Times New Roman"/>
                <w:color w:val="000000"/>
                <w:sz w:val="22"/>
                <w:szCs w:val="22"/>
              </w:rPr>
            </w:pPr>
            <w:r w:rsidRPr="002A754E">
              <w:rPr>
                <w:rFonts w:ascii="Times New Roman" w:hAnsi="Times New Roman"/>
                <w:b/>
                <w:bCs/>
                <w:color w:val="000000"/>
                <w:sz w:val="22"/>
                <w:szCs w:val="22"/>
              </w:rPr>
              <w:t>30</w:t>
            </w:r>
          </w:p>
        </w:tc>
        <w:tc>
          <w:tcPr>
            <w:tcW w:w="1505" w:type="dxa"/>
            <w:tcBorders>
              <w:top w:val="nil"/>
              <w:left w:val="nil"/>
              <w:bottom w:val="single" w:sz="4" w:space="0" w:color="auto"/>
              <w:right w:val="single" w:sz="4" w:space="0" w:color="auto"/>
            </w:tcBorders>
            <w:shd w:val="clear" w:color="auto" w:fill="auto"/>
            <w:vAlign w:val="center"/>
          </w:tcPr>
          <w:p w:rsidR="00C227F5" w:rsidRPr="00C227F5" w:rsidP="00C67D3B" w14:paraId="70640043" w14:textId="6DB1C25B">
            <w:pPr>
              <w:widowControl/>
              <w:autoSpaceDE/>
              <w:autoSpaceDN/>
              <w:adjustRightInd/>
              <w:jc w:val="center"/>
              <w:rPr>
                <w:rFonts w:ascii="Times New Roman" w:hAnsi="Times New Roman"/>
                <w:color w:val="000000"/>
                <w:sz w:val="22"/>
                <w:szCs w:val="22"/>
              </w:rPr>
            </w:pPr>
            <w:r w:rsidRPr="002A754E">
              <w:rPr>
                <w:rFonts w:ascii="Times New Roman" w:hAnsi="Times New Roman"/>
                <w:b/>
                <w:bCs/>
                <w:color w:val="000000"/>
                <w:sz w:val="22"/>
                <w:szCs w:val="22"/>
              </w:rPr>
              <w:t>$   25,629.50</w:t>
            </w:r>
          </w:p>
        </w:tc>
      </w:tr>
    </w:tbl>
    <w:p w:rsidR="0004749E" w:rsidRPr="0020305E" w14:paraId="41D706D7" w14:textId="77777777">
      <w:pPr>
        <w:rPr>
          <w:rFonts w:ascii="Times New Roman" w:hAnsi="Times New Roman"/>
          <w:color w:val="000000"/>
          <w:sz w:val="24"/>
          <w:szCs w:val="24"/>
        </w:rPr>
      </w:pPr>
    </w:p>
    <w:p w:rsidR="00105F8E" w:rsidRPr="00C67D3B" w:rsidP="00C67D3B" w14:paraId="712E31C8" w14:textId="07C36D2C">
      <w:pPr>
        <w:pStyle w:val="ListParagraph"/>
        <w:numPr>
          <w:ilvl w:val="0"/>
          <w:numId w:val="16"/>
        </w:numPr>
        <w:rPr>
          <w:rFonts w:ascii="Times New Roman" w:hAnsi="Times New Roman"/>
          <w:b/>
          <w:color w:val="000000"/>
          <w:sz w:val="24"/>
          <w:szCs w:val="24"/>
        </w:rPr>
      </w:pPr>
      <w:r w:rsidRPr="00C67D3B">
        <w:rPr>
          <w:rFonts w:ascii="Times New Roman" w:hAnsi="Times New Roman"/>
          <w:b/>
          <w:color w:val="000000"/>
          <w:sz w:val="24"/>
          <w:szCs w:val="24"/>
        </w:rPr>
        <w:t xml:space="preserve">Explanation of </w:t>
      </w:r>
      <w:r w:rsidRPr="00C67D3B" w:rsidR="00FB0FD4">
        <w:rPr>
          <w:rFonts w:ascii="Times New Roman" w:hAnsi="Times New Roman"/>
          <w:b/>
          <w:color w:val="000000"/>
          <w:sz w:val="24"/>
          <w:szCs w:val="24"/>
        </w:rPr>
        <w:t xml:space="preserve">Program Changes </w:t>
      </w:r>
      <w:r w:rsidRPr="00C67D3B">
        <w:rPr>
          <w:rFonts w:ascii="Times New Roman" w:hAnsi="Times New Roman"/>
          <w:b/>
          <w:color w:val="000000"/>
          <w:sz w:val="24"/>
          <w:szCs w:val="24"/>
        </w:rPr>
        <w:t xml:space="preserve">or </w:t>
      </w:r>
      <w:r w:rsidRPr="00C67D3B" w:rsidR="00FB0FD4">
        <w:rPr>
          <w:rFonts w:ascii="Times New Roman" w:hAnsi="Times New Roman"/>
          <w:b/>
          <w:color w:val="000000"/>
          <w:sz w:val="24"/>
          <w:szCs w:val="24"/>
        </w:rPr>
        <w:t>Adjustments</w:t>
      </w:r>
    </w:p>
    <w:p w:rsidR="0004749E" w:rsidRPr="0020305E" w:rsidP="00C67D3B" w14:paraId="1438B108" w14:textId="7FD07CC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360"/>
        <w:rPr>
          <w:rFonts w:ascii="Times New Roman" w:hAnsi="Times New Roman"/>
          <w:color w:val="000000"/>
        </w:rPr>
      </w:pPr>
      <w:r w:rsidRPr="0020305E">
        <w:rPr>
          <w:rFonts w:ascii="Times New Roman" w:hAnsi="Times New Roman"/>
          <w:color w:val="000000"/>
        </w:rPr>
        <w:br/>
      </w:r>
      <w:bookmarkStart w:id="6" w:name="_Hlk50466488"/>
      <w:r w:rsidR="00B35595">
        <w:rPr>
          <w:rFonts w:ascii="Times New Roman" w:hAnsi="Times New Roman"/>
          <w:color w:val="000000"/>
        </w:rPr>
        <w:t>Since the last renewal, the total respondents</w:t>
      </w:r>
      <w:r w:rsidR="00C90244">
        <w:rPr>
          <w:rFonts w:ascii="Times New Roman" w:hAnsi="Times New Roman"/>
          <w:color w:val="000000"/>
        </w:rPr>
        <w:t xml:space="preserve"> and </w:t>
      </w:r>
      <w:r w:rsidR="00B35595">
        <w:rPr>
          <w:rFonts w:ascii="Times New Roman" w:hAnsi="Times New Roman"/>
          <w:color w:val="000000"/>
        </w:rPr>
        <w:t xml:space="preserve">responses </w:t>
      </w:r>
      <w:r w:rsidR="00C90244">
        <w:rPr>
          <w:rFonts w:ascii="Times New Roman" w:hAnsi="Times New Roman"/>
          <w:color w:val="000000"/>
        </w:rPr>
        <w:t>have reduced from 17 to 10 respectively</w:t>
      </w:r>
      <w:r w:rsidR="00507B6C">
        <w:rPr>
          <w:rFonts w:ascii="Times New Roman" w:hAnsi="Times New Roman"/>
          <w:color w:val="000000"/>
        </w:rPr>
        <w:t xml:space="preserve"> due to less applicants to the CRF program</w:t>
      </w:r>
      <w:r w:rsidR="00C90244">
        <w:rPr>
          <w:rFonts w:ascii="Times New Roman" w:hAnsi="Times New Roman"/>
          <w:color w:val="000000"/>
        </w:rPr>
        <w:t xml:space="preserve">. </w:t>
      </w:r>
      <w:r w:rsidR="00507B6C">
        <w:rPr>
          <w:rFonts w:ascii="Times New Roman" w:hAnsi="Times New Roman"/>
          <w:color w:val="000000"/>
        </w:rPr>
        <w:t>Consequently,</w:t>
      </w:r>
      <w:r w:rsidR="00C90244">
        <w:rPr>
          <w:rFonts w:ascii="Times New Roman" w:hAnsi="Times New Roman"/>
          <w:color w:val="000000"/>
        </w:rPr>
        <w:t xml:space="preserve"> the total public hours which have reduced from 153 to </w:t>
      </w:r>
      <w:r w:rsidR="00507B6C">
        <w:rPr>
          <w:rFonts w:ascii="Times New Roman" w:hAnsi="Times New Roman"/>
          <w:color w:val="000000"/>
        </w:rPr>
        <w:t>90</w:t>
      </w:r>
      <w:r w:rsidR="00C90244">
        <w:rPr>
          <w:rFonts w:ascii="Times New Roman" w:hAnsi="Times New Roman"/>
          <w:color w:val="000000"/>
        </w:rPr>
        <w:t xml:space="preserve"> hours.  </w:t>
      </w:r>
    </w:p>
    <w:bookmarkEnd w:id="6"/>
    <w:p w:rsidR="0004749E" w:rsidRPr="0020305E" w14:paraId="5DEC3E9F" w14:textId="77777777">
      <w:pPr>
        <w:rPr>
          <w:rFonts w:ascii="Times New Roman" w:hAnsi="Times New Roman"/>
          <w:color w:val="000000"/>
          <w:sz w:val="24"/>
          <w:szCs w:val="24"/>
        </w:rPr>
      </w:pPr>
    </w:p>
    <w:p w:rsidR="00105F8E" w:rsidRPr="00C67D3B" w:rsidP="00C67D3B" w14:paraId="4B2B34E0" w14:textId="15429D9C">
      <w:pPr>
        <w:pStyle w:val="ListParagraph"/>
        <w:numPr>
          <w:ilvl w:val="0"/>
          <w:numId w:val="16"/>
        </w:numPr>
        <w:rPr>
          <w:rFonts w:ascii="Times New Roman" w:hAnsi="Times New Roman"/>
          <w:b/>
          <w:color w:val="000000"/>
          <w:sz w:val="24"/>
          <w:szCs w:val="24"/>
        </w:rPr>
      </w:pPr>
      <w:r w:rsidRPr="00C67D3B">
        <w:rPr>
          <w:rFonts w:ascii="Times New Roman" w:hAnsi="Times New Roman"/>
          <w:b/>
          <w:color w:val="000000"/>
          <w:sz w:val="24"/>
          <w:szCs w:val="24"/>
        </w:rPr>
        <w:t xml:space="preserve">Publication of </w:t>
      </w:r>
      <w:r w:rsidRPr="00C67D3B" w:rsidR="00FB0FD4">
        <w:rPr>
          <w:rFonts w:ascii="Times New Roman" w:hAnsi="Times New Roman"/>
          <w:b/>
          <w:color w:val="000000"/>
          <w:sz w:val="24"/>
          <w:szCs w:val="24"/>
        </w:rPr>
        <w:t>D</w:t>
      </w:r>
      <w:r w:rsidRPr="00C67D3B">
        <w:rPr>
          <w:rFonts w:ascii="Times New Roman" w:hAnsi="Times New Roman"/>
          <w:b/>
          <w:color w:val="000000"/>
          <w:sz w:val="24"/>
          <w:szCs w:val="24"/>
        </w:rPr>
        <w:t xml:space="preserve">ata </w:t>
      </w:r>
      <w:r w:rsidRPr="00C67D3B" w:rsidR="00FB0FD4">
        <w:rPr>
          <w:rFonts w:ascii="Times New Roman" w:hAnsi="Times New Roman"/>
          <w:b/>
          <w:color w:val="000000"/>
          <w:sz w:val="24"/>
          <w:szCs w:val="24"/>
        </w:rPr>
        <w:t>Collection</w:t>
      </w:r>
      <w:r w:rsidRPr="00C67D3B" w:rsidR="00FB0FD4">
        <w:rPr>
          <w:b/>
        </w:rPr>
        <w:t xml:space="preserve"> </w:t>
      </w:r>
      <w:r w:rsidRPr="00C67D3B" w:rsidR="00FB0FD4">
        <w:rPr>
          <w:rFonts w:ascii="Times New Roman" w:hAnsi="Times New Roman"/>
          <w:b/>
          <w:color w:val="000000"/>
          <w:sz w:val="24"/>
          <w:szCs w:val="24"/>
        </w:rPr>
        <w:t>Results</w:t>
      </w:r>
      <w:r w:rsidRPr="00C67D3B" w:rsidR="00E667F4">
        <w:rPr>
          <w:rFonts w:ascii="Times New Roman" w:hAnsi="Times New Roman"/>
          <w:b/>
          <w:color w:val="000000"/>
          <w:sz w:val="24"/>
          <w:szCs w:val="24"/>
        </w:rPr>
        <w:t xml:space="preserve"> </w:t>
      </w:r>
      <w:r w:rsidRPr="00C67D3B" w:rsidR="00E7722A">
        <w:rPr>
          <w:rFonts w:ascii="Times New Roman" w:hAnsi="Times New Roman"/>
          <w:b/>
          <w:color w:val="000000"/>
          <w:sz w:val="24"/>
          <w:szCs w:val="24"/>
        </w:rPr>
        <w:t xml:space="preserve"> </w:t>
      </w:r>
    </w:p>
    <w:p w:rsidR="00167C9C" w:rsidRPr="0020305E" w:rsidP="009D4F72" w14:paraId="53984A6B"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000000"/>
        </w:rPr>
      </w:pPr>
    </w:p>
    <w:p w:rsidR="00167C9C" w:rsidP="00B261AD" w14:paraId="146BCAEF" w14:textId="53B833D9">
      <w:pPr>
        <w:ind w:left="360"/>
        <w:rPr>
          <w:rFonts w:ascii="Times New Roman" w:hAnsi="Times New Roman"/>
          <w:snapToGrid w:val="0"/>
          <w:color w:val="000000"/>
          <w:sz w:val="24"/>
          <w:szCs w:val="24"/>
        </w:rPr>
      </w:pPr>
      <w:r>
        <w:rPr>
          <w:rFonts w:ascii="Times New Roman" w:hAnsi="Times New Roman"/>
          <w:snapToGrid w:val="0"/>
          <w:color w:val="000000"/>
          <w:sz w:val="24"/>
          <w:szCs w:val="24"/>
        </w:rPr>
        <w:t>T</w:t>
      </w:r>
      <w:r w:rsidRPr="0020305E">
        <w:rPr>
          <w:rFonts w:ascii="Times New Roman" w:hAnsi="Times New Roman"/>
          <w:snapToGrid w:val="0"/>
          <w:color w:val="000000"/>
          <w:sz w:val="24"/>
          <w:szCs w:val="24"/>
        </w:rPr>
        <w:t xml:space="preserve">he results of this information collection </w:t>
      </w:r>
      <w:r>
        <w:rPr>
          <w:rFonts w:ascii="Times New Roman" w:hAnsi="Times New Roman"/>
          <w:snapToGrid w:val="0"/>
          <w:color w:val="000000"/>
          <w:sz w:val="24"/>
          <w:szCs w:val="24"/>
        </w:rPr>
        <w:t>will not be published</w:t>
      </w:r>
      <w:r w:rsidRPr="0020305E">
        <w:rPr>
          <w:rFonts w:ascii="Times New Roman" w:hAnsi="Times New Roman"/>
          <w:snapToGrid w:val="0"/>
          <w:color w:val="000000"/>
          <w:sz w:val="24"/>
          <w:szCs w:val="24"/>
        </w:rPr>
        <w:t>.</w:t>
      </w:r>
    </w:p>
    <w:p w:rsidR="00B261AD" w:rsidRPr="0020305E" w:rsidP="00C67D3B" w14:paraId="1FA019CC" w14:textId="77777777">
      <w:pPr>
        <w:ind w:left="360"/>
        <w:rPr>
          <w:rFonts w:ascii="Times New Roman" w:hAnsi="Times New Roman"/>
          <w:snapToGrid w:val="0"/>
          <w:color w:val="000000"/>
          <w:sz w:val="24"/>
          <w:szCs w:val="24"/>
        </w:rPr>
      </w:pPr>
    </w:p>
    <w:p w:rsidR="0004749E" w:rsidRPr="00C67D3B" w:rsidP="00C67D3B" w14:paraId="0654E10F" w14:textId="139F5EFF">
      <w:pPr>
        <w:pStyle w:val="BodyText3"/>
        <w:numPr>
          <w:ilvl w:val="0"/>
          <w:numId w:val="16"/>
        </w:numPr>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color w:val="000000"/>
        </w:rPr>
      </w:pPr>
      <w:r w:rsidRPr="00C67D3B">
        <w:rPr>
          <w:rFonts w:ascii="Times New Roman" w:hAnsi="Times New Roman"/>
          <w:b/>
          <w:color w:val="000000"/>
        </w:rPr>
        <w:t>D</w:t>
      </w:r>
      <w:r w:rsidRPr="00C67D3B">
        <w:rPr>
          <w:rFonts w:ascii="Times New Roman" w:hAnsi="Times New Roman"/>
          <w:b/>
          <w:color w:val="000000"/>
        </w:rPr>
        <w:t xml:space="preserve">isplay </w:t>
      </w:r>
      <w:r w:rsidRPr="00C67D3B">
        <w:rPr>
          <w:rFonts w:ascii="Times New Roman" w:hAnsi="Times New Roman"/>
          <w:b/>
          <w:color w:val="000000"/>
        </w:rPr>
        <w:t xml:space="preserve">of the </w:t>
      </w:r>
      <w:r w:rsidRPr="00C67D3B">
        <w:rPr>
          <w:rFonts w:ascii="Times New Roman" w:hAnsi="Times New Roman"/>
          <w:b/>
          <w:color w:val="000000"/>
        </w:rPr>
        <w:t xml:space="preserve">OMB </w:t>
      </w:r>
      <w:r w:rsidRPr="00C67D3B">
        <w:rPr>
          <w:rFonts w:ascii="Times New Roman" w:hAnsi="Times New Roman"/>
          <w:b/>
          <w:color w:val="000000"/>
        </w:rPr>
        <w:t xml:space="preserve">Expiration Date </w:t>
      </w:r>
      <w:r w:rsidRPr="00C67D3B" w:rsidR="00E667F4">
        <w:rPr>
          <w:rFonts w:ascii="Times New Roman" w:hAnsi="Times New Roman"/>
          <w:b/>
          <w:color w:val="000000"/>
        </w:rPr>
        <w:t xml:space="preserve"> </w:t>
      </w:r>
    </w:p>
    <w:p w:rsidR="00105F8E" w:rsidRPr="0020305E" w:rsidP="008F2CDB" w14:paraId="014AB2B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olor w:val="000000"/>
          <w:sz w:val="24"/>
          <w:szCs w:val="24"/>
        </w:rPr>
      </w:pPr>
    </w:p>
    <w:p w:rsidR="00167C9C" w:rsidP="00B261AD" w14:paraId="29B643FC" w14:textId="640C1BA6">
      <w:pPr>
        <w:ind w:left="360"/>
        <w:rPr>
          <w:rFonts w:ascii="Times New Roman" w:hAnsi="Times New Roman"/>
          <w:color w:val="000000"/>
          <w:sz w:val="24"/>
          <w:szCs w:val="24"/>
        </w:rPr>
      </w:pPr>
      <w:r w:rsidRPr="0020305E">
        <w:rPr>
          <w:rFonts w:ascii="Times New Roman" w:hAnsi="Times New Roman"/>
          <w:color w:val="000000"/>
          <w:sz w:val="24"/>
          <w:szCs w:val="24"/>
        </w:rPr>
        <w:t>MARAD is not seeking approval</w:t>
      </w:r>
      <w:r w:rsidR="00B261AD">
        <w:rPr>
          <w:rFonts w:ascii="Times New Roman" w:hAnsi="Times New Roman"/>
          <w:color w:val="000000"/>
          <w:sz w:val="24"/>
          <w:szCs w:val="24"/>
        </w:rPr>
        <w:t xml:space="preserve"> to omit displaying the OMB expiration date</w:t>
      </w:r>
      <w:r w:rsidRPr="0020305E">
        <w:rPr>
          <w:rFonts w:ascii="Times New Roman" w:hAnsi="Times New Roman"/>
          <w:color w:val="000000"/>
          <w:sz w:val="24"/>
          <w:szCs w:val="24"/>
        </w:rPr>
        <w:t>.</w:t>
      </w:r>
    </w:p>
    <w:p w:rsidR="00B261AD" w:rsidRPr="0020305E" w:rsidP="00C67D3B" w14:paraId="3E82F0E4" w14:textId="77777777">
      <w:pPr>
        <w:ind w:left="360"/>
        <w:rPr>
          <w:rFonts w:ascii="Times New Roman" w:hAnsi="Times New Roman"/>
          <w:color w:val="000000"/>
          <w:sz w:val="24"/>
          <w:szCs w:val="24"/>
        </w:rPr>
      </w:pPr>
    </w:p>
    <w:p w:rsidR="00105F8E" w:rsidRPr="00C67D3B" w:rsidP="00C67D3B" w14:paraId="505AF4E9" w14:textId="36966B72">
      <w:pPr>
        <w:pStyle w:val="ListParagraph"/>
        <w:numPr>
          <w:ilvl w:val="0"/>
          <w:numId w:val="16"/>
        </w:numPr>
        <w:rPr>
          <w:rFonts w:ascii="Times New Roman" w:hAnsi="Times New Roman"/>
          <w:b/>
          <w:color w:val="000000"/>
          <w:sz w:val="24"/>
          <w:szCs w:val="24"/>
        </w:rPr>
      </w:pPr>
      <w:r w:rsidRPr="00C67D3B">
        <w:rPr>
          <w:rFonts w:ascii="Times New Roman" w:hAnsi="Times New Roman"/>
          <w:bCs/>
          <w:color w:val="000000"/>
          <w:sz w:val="24"/>
          <w:szCs w:val="24"/>
        </w:rPr>
        <w:t xml:space="preserve"> </w:t>
      </w:r>
      <w:r w:rsidRPr="00C67D3B">
        <w:rPr>
          <w:rFonts w:ascii="Times New Roman" w:hAnsi="Times New Roman"/>
          <w:b/>
          <w:color w:val="000000"/>
          <w:sz w:val="24"/>
          <w:szCs w:val="24"/>
        </w:rPr>
        <w:t xml:space="preserve">Exceptions to </w:t>
      </w:r>
      <w:r w:rsidRPr="00C67D3B" w:rsidR="00B261AD">
        <w:rPr>
          <w:rFonts w:ascii="Times New Roman" w:hAnsi="Times New Roman"/>
          <w:b/>
          <w:color w:val="000000"/>
          <w:sz w:val="24"/>
          <w:szCs w:val="24"/>
        </w:rPr>
        <w:t>the Certification Statement</w:t>
      </w:r>
      <w:r w:rsidRPr="00C67D3B" w:rsidR="00E667F4">
        <w:rPr>
          <w:rFonts w:ascii="Times New Roman" w:hAnsi="Times New Roman"/>
          <w:b/>
          <w:color w:val="000000"/>
          <w:sz w:val="24"/>
          <w:szCs w:val="24"/>
        </w:rPr>
        <w:t xml:space="preserve"> </w:t>
      </w:r>
    </w:p>
    <w:p w:rsidR="00167C9C" w:rsidRPr="0020305E" w:rsidP="00C67D3B" w14:paraId="4C72763C" w14:textId="4C309B87">
      <w:pPr>
        <w:ind w:left="360"/>
        <w:rPr>
          <w:rFonts w:ascii="Times New Roman" w:hAnsi="Times New Roman"/>
          <w:color w:val="000000"/>
          <w:sz w:val="24"/>
          <w:szCs w:val="24"/>
        </w:rPr>
      </w:pPr>
      <w:r w:rsidRPr="00C67D3B">
        <w:rPr>
          <w:rFonts w:ascii="Times New Roman" w:hAnsi="Times New Roman"/>
          <w:b/>
          <w:color w:val="000000"/>
          <w:sz w:val="24"/>
          <w:szCs w:val="24"/>
        </w:rPr>
        <w:br/>
      </w:r>
      <w:r w:rsidRPr="0020305E">
        <w:rPr>
          <w:rFonts w:ascii="Times New Roman" w:hAnsi="Times New Roman"/>
          <w:color w:val="000000"/>
          <w:sz w:val="24"/>
          <w:szCs w:val="24"/>
        </w:rPr>
        <w:t>There are no exceptions to the certificat</w:t>
      </w:r>
      <w:r w:rsidR="00B261AD">
        <w:rPr>
          <w:rFonts w:ascii="Times New Roman" w:hAnsi="Times New Roman"/>
          <w:color w:val="000000"/>
          <w:sz w:val="24"/>
          <w:szCs w:val="24"/>
        </w:rPr>
        <w:t xml:space="preserve">ion </w:t>
      </w:r>
      <w:r w:rsidRPr="0020305E">
        <w:rPr>
          <w:rFonts w:ascii="Times New Roman" w:hAnsi="Times New Roman"/>
          <w:color w:val="000000"/>
          <w:sz w:val="24"/>
          <w:szCs w:val="24"/>
        </w:rPr>
        <w:t>statement.</w:t>
      </w:r>
    </w:p>
    <w:p w:rsidR="002935AE" w:rsidRPr="0020305E" w:rsidP="002935AE" w14:paraId="5E2EA706" w14:textId="77777777">
      <w:pPr>
        <w:pStyle w:val="NormalWeb"/>
        <w:rPr>
          <w:rFonts w:ascii="Times New Roman" w:hAnsi="Times New Roman"/>
          <w:color w:val="000000"/>
        </w:rPr>
      </w:pPr>
      <w:r w:rsidRPr="0020305E">
        <w:rPr>
          <w:rFonts w:ascii="Times New Roman" w:hAnsi="Times New Roman" w:cs="Times New Roman"/>
          <w:bCs/>
          <w:color w:val="000000"/>
        </w:rPr>
        <w:br/>
      </w:r>
    </w:p>
    <w:p w:rsidR="00CD7543" w:rsidRPr="0020305E" w14:paraId="3ECA791B" w14:textId="7777777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color w:val="000000"/>
          <w:sz w:val="24"/>
          <w:szCs w:val="24"/>
        </w:rPr>
      </w:pPr>
    </w:p>
    <w:sectPr w:rsidSect="004F6BA0">
      <w:footerReference w:type="default" r:id="rId5"/>
      <w:footnotePr>
        <w:numRestart w:val="eachSect"/>
      </w:footnotePr>
      <w:endnotePr>
        <w:numFmt w:val="decimal"/>
      </w:endnotePr>
      <w:pgSz w:w="12240" w:h="15840" w:code="1"/>
      <w:pgMar w:top="1440" w:right="1440" w:bottom="1296"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etter Gothic 12cpi">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714E" w14:paraId="134365D9" w14:textId="77777777">
    <w:pPr>
      <w:pStyle w:val="Footer"/>
      <w:framePr w:w="576" w:wrap="auto" w:vAnchor="page" w:hAnchor="page" w:x="5545" w:y="1512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000F84">
      <w:rPr>
        <w:rStyle w:val="PageNumber"/>
        <w:noProof/>
      </w:rPr>
      <w:t>1</w:t>
    </w:r>
    <w:r>
      <w:rPr>
        <w:rStyle w:val="PageNumber"/>
      </w:rPr>
      <w:fldChar w:fldCharType="end"/>
    </w:r>
  </w:p>
  <w:p w:rsidR="006C714E" w14:paraId="1BA6EF0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35D25" w14:paraId="17A5E21E" w14:textId="77777777">
      <w:r>
        <w:separator/>
      </w:r>
    </w:p>
  </w:footnote>
  <w:footnote w:type="continuationSeparator" w:id="1">
    <w:p w:rsidR="00535D25" w14:paraId="262F216B" w14:textId="77777777">
      <w:r>
        <w:continuationSeparator/>
      </w:r>
    </w:p>
  </w:footnote>
  <w:footnote w:id="2">
    <w:p w:rsidR="00A539B2" w:rsidRPr="0002645D" w:rsidP="00A539B2" w14:paraId="0F285EF7" w14:textId="77777777">
      <w:pPr>
        <w:pStyle w:val="FootnoteText"/>
      </w:pPr>
      <w:r w:rsidRPr="0002645D">
        <w:rPr>
          <w:rStyle w:val="FootnoteReference"/>
        </w:rPr>
        <w:footnoteRef/>
      </w:r>
      <w:r w:rsidRPr="0002645D">
        <w:t xml:space="preserve"> The hourly wage estimate is taken from current BLS tables: </w:t>
      </w:r>
      <w:hyperlink r:id="rId1" w:history="1">
        <w:r w:rsidRPr="0002645D">
          <w:rPr>
            <w:rStyle w:val="Hyperlink"/>
          </w:rPr>
          <w:t>https://www.bls.gov/oes/current/oes_nat.htm</w:t>
        </w:r>
      </w:hyperlink>
      <w:r w:rsidRPr="0002645D">
        <w:t>.</w:t>
      </w:r>
    </w:p>
  </w:footnote>
  <w:footnote w:id="3">
    <w:p w:rsidR="00A539B2" w:rsidP="00A539B2" w14:paraId="14F0F021" w14:textId="77777777">
      <w:pPr>
        <w:pStyle w:val="FootnoteText"/>
      </w:pPr>
      <w:r w:rsidRPr="0002645D">
        <w:rPr>
          <w:rStyle w:val="FootnoteReference"/>
        </w:rPr>
        <w:footnoteRef/>
      </w:r>
      <w:r w:rsidRPr="0002645D">
        <w:t xml:space="preserve"> </w:t>
      </w:r>
      <w:bookmarkStart w:id="4" w:name="_Hlk164072686"/>
      <w:r w:rsidRPr="0002645D">
        <w:t>Per BLS Employee Compensation Memo, the total compensation rate for the private sector is 29%,  :</w:t>
      </w:r>
      <w:hyperlink r:id="rId2" w:history="1">
        <w:r w:rsidRPr="0002645D">
          <w:rPr>
            <w:rStyle w:val="Hyperlink"/>
          </w:rPr>
          <w:t>https://www.bls.gov/news.release/pdf/ecec.pdf</w:t>
        </w:r>
      </w:hyperlink>
      <w:bookmarkEnd w:id="4"/>
    </w:p>
  </w:footnote>
  <w:footnote w:id="4">
    <w:p w:rsidR="00482142" w14:paraId="61FA3274" w14:textId="10C13447">
      <w:pPr>
        <w:pStyle w:val="FootnoteText"/>
      </w:pPr>
      <w:r>
        <w:rPr>
          <w:rStyle w:val="FootnoteReference"/>
        </w:rPr>
        <w:footnoteRef/>
      </w:r>
      <w:r>
        <w:t xml:space="preserve"> OPM 2024 wage tables for W</w:t>
      </w:r>
      <w:r w:rsidRPr="00707438">
        <w:t>ashington-</w:t>
      </w:r>
      <w:r>
        <w:t>B</w:t>
      </w:r>
      <w:r w:rsidRPr="00707438">
        <w:t>altimore-</w:t>
      </w:r>
      <w:r>
        <w:t>A</w:t>
      </w:r>
      <w:r w:rsidRPr="00707438">
        <w:t xml:space="preserve">rlington, </w:t>
      </w:r>
      <w:r w:rsidRPr="00B219FA">
        <w:t>DC-MD-VA-WV-PA</w:t>
      </w:r>
      <w:r>
        <w:t xml:space="preserve"> is as follows:  </w:t>
      </w:r>
      <w:hyperlink r:id="rId3" w:history="1">
        <w:r w:rsidRPr="00E77901">
          <w:rPr>
            <w:rStyle w:val="Hyperlink"/>
          </w:rPr>
          <w:t>https://www.opm.gov/policy-data-oversight/pay-leave/salaries-wages/salary-tables/pdf/2024/DCB_h.pdf</w:t>
        </w:r>
      </w:hyperlink>
    </w:p>
    <w:p w:rsidR="00482142" w14:paraId="2F044163" w14:textId="77777777">
      <w:pPr>
        <w:pStyle w:val="FootnoteText"/>
      </w:pPr>
    </w:p>
  </w:footnote>
  <w:footnote w:id="5">
    <w:p w:rsidR="0011088D" w:rsidP="0011088D" w14:paraId="28DE6FAF" w14:textId="77777777">
      <w:pPr>
        <w:pStyle w:val="FootnoteText"/>
      </w:pPr>
      <w:r>
        <w:rPr>
          <w:rStyle w:val="FootnoteReference"/>
        </w:rPr>
        <w:footnoteRef/>
      </w:r>
      <w:r>
        <w:t xml:space="preserve"> </w:t>
      </w:r>
      <w:r w:rsidRPr="007C21F2">
        <w:t xml:space="preserve">Per BLS Employee Compensation Memo, the total compensation rate for the </w:t>
      </w:r>
      <w:r>
        <w:t xml:space="preserve">Federal Government </w:t>
      </w:r>
      <w:r w:rsidRPr="007C21F2">
        <w:t xml:space="preserve"> is </w:t>
      </w:r>
      <w:r>
        <w:t>31</w:t>
      </w:r>
      <w:r w:rsidRPr="007C21F2">
        <w:t>%,  :</w:t>
      </w:r>
      <w:hyperlink r:id="rId2" w:history="1">
        <w:r w:rsidRPr="007C21F2">
          <w:rPr>
            <w:rStyle w:val="Hyperlink"/>
          </w:rPr>
          <w:t>https://www.bls.gov/news.release/pdf/ecec.pdf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23730A"/>
    <w:multiLevelType w:val="hybridMultilevel"/>
    <w:tmpl w:val="89F06342"/>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C47289"/>
    <w:multiLevelType w:val="hybridMultilevel"/>
    <w:tmpl w:val="1CF64B7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60F6561"/>
    <w:multiLevelType w:val="hybridMultilevel"/>
    <w:tmpl w:val="E4B8E90A"/>
    <w:lvl w:ilvl="0">
      <w:start w:val="1"/>
      <w:numFmt w:val="upperLetter"/>
      <w:lvlText w:val="%1."/>
      <w:lvlJc w:val="left"/>
      <w:pPr>
        <w:ind w:left="360" w:hanging="360"/>
      </w:pPr>
    </w:lvl>
    <w:lvl w:ilvl="1">
      <w:start w:val="1"/>
      <w:numFmt w:val="decimal"/>
      <w:lvlText w:val="%2."/>
      <w:lvlJc w:val="left"/>
      <w:pPr>
        <w:ind w:left="1080" w:hanging="360"/>
      </w:pPr>
      <w:rPr>
        <w:rFonts w:hint="default"/>
        <w:b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8C86CD3"/>
    <w:multiLevelType w:val="hybridMultilevel"/>
    <w:tmpl w:val="3EB29BB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A31770F"/>
    <w:multiLevelType w:val="multilevel"/>
    <w:tmpl w:val="1CF64B7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A962B56"/>
    <w:multiLevelType w:val="hybridMultilevel"/>
    <w:tmpl w:val="88CA429E"/>
    <w:lvl w:ilvl="0">
      <w:start w:val="1"/>
      <w:numFmt w:val="bullet"/>
      <w:lvlText w:val=""/>
      <w:lvlJc w:val="left"/>
      <w:pPr>
        <w:tabs>
          <w:tab w:val="num" w:pos="720"/>
        </w:tabs>
        <w:ind w:left="720" w:hanging="360"/>
      </w:pPr>
      <w:rPr>
        <w:rFonts w:ascii="Wingdings" w:hAnsi="Wingdings" w:hint="default"/>
      </w:rPr>
    </w:lvl>
    <w:lvl w:ilvl="1">
      <w:start w:val="0"/>
      <w:numFmt w:val="bullet"/>
      <w:lvlText w:val="-"/>
      <w:lvlJc w:val="left"/>
      <w:pPr>
        <w:tabs>
          <w:tab w:val="num" w:pos="1440"/>
        </w:tabs>
        <w:ind w:left="1440" w:hanging="360"/>
      </w:pPr>
      <w:rPr>
        <w:rFonts w:ascii="Letter Gothic 12cpi" w:eastAsia="Times New Roman" w:hAnsi="Letter Gothic 12cpi" w:cs="Times New Roman" w:hint="default"/>
        <w:b/>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E1962F0"/>
    <w:multiLevelType w:val="hybridMultilevel"/>
    <w:tmpl w:val="4A9A435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203C5446"/>
    <w:multiLevelType w:val="multilevel"/>
    <w:tmpl w:val="4A9A435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nsid w:val="35E605B7"/>
    <w:multiLevelType w:val="hybridMultilevel"/>
    <w:tmpl w:val="F770238E"/>
    <w:lvl w:ilvl="0">
      <w:start w:val="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7C37B75"/>
    <w:multiLevelType w:val="multilevel"/>
    <w:tmpl w:val="3476F3E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43A84357"/>
    <w:multiLevelType w:val="hybridMultilevel"/>
    <w:tmpl w:val="4DFACF6E"/>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7B0553A"/>
    <w:multiLevelType w:val="hybridMultilevel"/>
    <w:tmpl w:val="7EA03C1C"/>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83B0F5D"/>
    <w:multiLevelType w:val="hybridMultilevel"/>
    <w:tmpl w:val="48B6DE5E"/>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nsid w:val="5E75076E"/>
    <w:multiLevelType w:val="multilevel"/>
    <w:tmpl w:val="A38A5906"/>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4">
    <w:nsid w:val="657A57ED"/>
    <w:multiLevelType w:val="hybridMultilevel"/>
    <w:tmpl w:val="8C82D9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8D03FC3"/>
    <w:multiLevelType w:val="multilevel"/>
    <w:tmpl w:val="CECE512C"/>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6">
    <w:nsid w:val="79405CE3"/>
    <w:multiLevelType w:val="hybridMultilevel"/>
    <w:tmpl w:val="62EA49A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5253074">
    <w:abstractNumId w:val="1"/>
  </w:num>
  <w:num w:numId="2" w16cid:durableId="1882474793">
    <w:abstractNumId w:val="5"/>
  </w:num>
  <w:num w:numId="3" w16cid:durableId="482698203">
    <w:abstractNumId w:val="6"/>
  </w:num>
  <w:num w:numId="4" w16cid:durableId="373235822">
    <w:abstractNumId w:val="15"/>
  </w:num>
  <w:num w:numId="5" w16cid:durableId="1163669529">
    <w:abstractNumId w:val="13"/>
  </w:num>
  <w:num w:numId="6" w16cid:durableId="1997612275">
    <w:abstractNumId w:val="7"/>
  </w:num>
  <w:num w:numId="7" w16cid:durableId="1837189116">
    <w:abstractNumId w:val="12"/>
  </w:num>
  <w:num w:numId="8" w16cid:durableId="317266255">
    <w:abstractNumId w:val="9"/>
  </w:num>
  <w:num w:numId="9" w16cid:durableId="1558971635">
    <w:abstractNumId w:val="4"/>
  </w:num>
  <w:num w:numId="10" w16cid:durableId="419445585">
    <w:abstractNumId w:val="14"/>
  </w:num>
  <w:num w:numId="11" w16cid:durableId="1298991081">
    <w:abstractNumId w:val="2"/>
  </w:num>
  <w:num w:numId="12" w16cid:durableId="1083137717">
    <w:abstractNumId w:val="3"/>
  </w:num>
  <w:num w:numId="13" w16cid:durableId="539754927">
    <w:abstractNumId w:val="11"/>
  </w:num>
  <w:num w:numId="14" w16cid:durableId="1115519244">
    <w:abstractNumId w:val="10"/>
  </w:num>
  <w:num w:numId="15" w16cid:durableId="855582091">
    <w:abstractNumId w:val="0"/>
  </w:num>
  <w:num w:numId="16" w16cid:durableId="2091077735">
    <w:abstractNumId w:val="8"/>
  </w:num>
  <w:num w:numId="17" w16cid:durableId="4201828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0" w:insDel="1" w:markup="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0"/>
    <w:footnote w:id="1"/>
  </w:footnotePr>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F5D"/>
    <w:rsid w:val="00000F84"/>
    <w:rsid w:val="00013056"/>
    <w:rsid w:val="0002645D"/>
    <w:rsid w:val="0003045F"/>
    <w:rsid w:val="00042736"/>
    <w:rsid w:val="0004749E"/>
    <w:rsid w:val="00073871"/>
    <w:rsid w:val="0008270D"/>
    <w:rsid w:val="00091BEF"/>
    <w:rsid w:val="000A4169"/>
    <w:rsid w:val="000B0392"/>
    <w:rsid w:val="000B61DD"/>
    <w:rsid w:val="000E52EE"/>
    <w:rsid w:val="00103851"/>
    <w:rsid w:val="00103A4D"/>
    <w:rsid w:val="00105F8E"/>
    <w:rsid w:val="00106C02"/>
    <w:rsid w:val="00110734"/>
    <w:rsid w:val="0011088D"/>
    <w:rsid w:val="0011526E"/>
    <w:rsid w:val="001163D8"/>
    <w:rsid w:val="0015642C"/>
    <w:rsid w:val="00167C9C"/>
    <w:rsid w:val="001744D2"/>
    <w:rsid w:val="00196EED"/>
    <w:rsid w:val="001D5278"/>
    <w:rsid w:val="001D5F90"/>
    <w:rsid w:val="001E6E56"/>
    <w:rsid w:val="0020305E"/>
    <w:rsid w:val="002559A0"/>
    <w:rsid w:val="0028700F"/>
    <w:rsid w:val="00290107"/>
    <w:rsid w:val="0029199A"/>
    <w:rsid w:val="002935AE"/>
    <w:rsid w:val="002A4CB2"/>
    <w:rsid w:val="002A754E"/>
    <w:rsid w:val="002C16C5"/>
    <w:rsid w:val="002C633F"/>
    <w:rsid w:val="002D091D"/>
    <w:rsid w:val="002D3D1F"/>
    <w:rsid w:val="002E615E"/>
    <w:rsid w:val="003156B7"/>
    <w:rsid w:val="00315954"/>
    <w:rsid w:val="00330BB1"/>
    <w:rsid w:val="003551C9"/>
    <w:rsid w:val="00392072"/>
    <w:rsid w:val="00395733"/>
    <w:rsid w:val="003A5394"/>
    <w:rsid w:val="003B6DDE"/>
    <w:rsid w:val="003B71CE"/>
    <w:rsid w:val="003C1588"/>
    <w:rsid w:val="003C52E8"/>
    <w:rsid w:val="003D12B1"/>
    <w:rsid w:val="003E3BD3"/>
    <w:rsid w:val="003F4998"/>
    <w:rsid w:val="0043691D"/>
    <w:rsid w:val="004410AC"/>
    <w:rsid w:val="004475EF"/>
    <w:rsid w:val="0045739D"/>
    <w:rsid w:val="00470720"/>
    <w:rsid w:val="00482142"/>
    <w:rsid w:val="004B2765"/>
    <w:rsid w:val="004C1701"/>
    <w:rsid w:val="004C62F7"/>
    <w:rsid w:val="004D1AD8"/>
    <w:rsid w:val="004D7467"/>
    <w:rsid w:val="004E3E5E"/>
    <w:rsid w:val="004F0FDC"/>
    <w:rsid w:val="004F1A67"/>
    <w:rsid w:val="004F6048"/>
    <w:rsid w:val="004F6BA0"/>
    <w:rsid w:val="00507B6C"/>
    <w:rsid w:val="00512FB2"/>
    <w:rsid w:val="00535D25"/>
    <w:rsid w:val="005544F6"/>
    <w:rsid w:val="005558C6"/>
    <w:rsid w:val="00571837"/>
    <w:rsid w:val="0057531E"/>
    <w:rsid w:val="00575967"/>
    <w:rsid w:val="0058773E"/>
    <w:rsid w:val="005C0E7E"/>
    <w:rsid w:val="005C460E"/>
    <w:rsid w:val="005D4064"/>
    <w:rsid w:val="005E229B"/>
    <w:rsid w:val="005E6C37"/>
    <w:rsid w:val="006003D5"/>
    <w:rsid w:val="006069C8"/>
    <w:rsid w:val="00606FD0"/>
    <w:rsid w:val="00620C2D"/>
    <w:rsid w:val="006354C0"/>
    <w:rsid w:val="00636C4A"/>
    <w:rsid w:val="00653D96"/>
    <w:rsid w:val="00661415"/>
    <w:rsid w:val="0066210E"/>
    <w:rsid w:val="00667711"/>
    <w:rsid w:val="00691113"/>
    <w:rsid w:val="00691500"/>
    <w:rsid w:val="0069732F"/>
    <w:rsid w:val="006A1929"/>
    <w:rsid w:val="006A2AEF"/>
    <w:rsid w:val="006A4636"/>
    <w:rsid w:val="006B5F6D"/>
    <w:rsid w:val="006C34E1"/>
    <w:rsid w:val="006C714E"/>
    <w:rsid w:val="006D5148"/>
    <w:rsid w:val="006D5B31"/>
    <w:rsid w:val="006E0380"/>
    <w:rsid w:val="006E636A"/>
    <w:rsid w:val="006F602F"/>
    <w:rsid w:val="006F75C6"/>
    <w:rsid w:val="00707438"/>
    <w:rsid w:val="00735493"/>
    <w:rsid w:val="00752A91"/>
    <w:rsid w:val="00760F8A"/>
    <w:rsid w:val="0078534F"/>
    <w:rsid w:val="00791FD5"/>
    <w:rsid w:val="00793994"/>
    <w:rsid w:val="007C1CAF"/>
    <w:rsid w:val="007C21F2"/>
    <w:rsid w:val="007C2943"/>
    <w:rsid w:val="007C4687"/>
    <w:rsid w:val="007C4E64"/>
    <w:rsid w:val="007E5913"/>
    <w:rsid w:val="007E6541"/>
    <w:rsid w:val="007F2EE1"/>
    <w:rsid w:val="0080291C"/>
    <w:rsid w:val="00830F5D"/>
    <w:rsid w:val="008313CD"/>
    <w:rsid w:val="0083150B"/>
    <w:rsid w:val="008338AC"/>
    <w:rsid w:val="0084522A"/>
    <w:rsid w:val="00845AE7"/>
    <w:rsid w:val="008603B3"/>
    <w:rsid w:val="00861DE2"/>
    <w:rsid w:val="00864078"/>
    <w:rsid w:val="00882AE7"/>
    <w:rsid w:val="008C2115"/>
    <w:rsid w:val="008C4988"/>
    <w:rsid w:val="008C7538"/>
    <w:rsid w:val="008D34A3"/>
    <w:rsid w:val="008D4FED"/>
    <w:rsid w:val="008D68D1"/>
    <w:rsid w:val="008D6E78"/>
    <w:rsid w:val="008F2CDB"/>
    <w:rsid w:val="00902DFA"/>
    <w:rsid w:val="00903DC1"/>
    <w:rsid w:val="00932C50"/>
    <w:rsid w:val="009474B1"/>
    <w:rsid w:val="009543E1"/>
    <w:rsid w:val="009757CE"/>
    <w:rsid w:val="00977978"/>
    <w:rsid w:val="009A44D5"/>
    <w:rsid w:val="009D009A"/>
    <w:rsid w:val="009D4F72"/>
    <w:rsid w:val="009D64DC"/>
    <w:rsid w:val="009F56A8"/>
    <w:rsid w:val="00A46AA7"/>
    <w:rsid w:val="00A52828"/>
    <w:rsid w:val="00A539B2"/>
    <w:rsid w:val="00A57D83"/>
    <w:rsid w:val="00A60F51"/>
    <w:rsid w:val="00A71137"/>
    <w:rsid w:val="00A725C8"/>
    <w:rsid w:val="00A72E59"/>
    <w:rsid w:val="00A80A62"/>
    <w:rsid w:val="00AA2CA8"/>
    <w:rsid w:val="00AC2B58"/>
    <w:rsid w:val="00AC7F26"/>
    <w:rsid w:val="00AD2A0E"/>
    <w:rsid w:val="00AD2EEE"/>
    <w:rsid w:val="00AF2BE8"/>
    <w:rsid w:val="00B00233"/>
    <w:rsid w:val="00B00A89"/>
    <w:rsid w:val="00B01F3F"/>
    <w:rsid w:val="00B030C7"/>
    <w:rsid w:val="00B219FA"/>
    <w:rsid w:val="00B22478"/>
    <w:rsid w:val="00B261AD"/>
    <w:rsid w:val="00B35595"/>
    <w:rsid w:val="00B504ED"/>
    <w:rsid w:val="00B56614"/>
    <w:rsid w:val="00B65A2C"/>
    <w:rsid w:val="00B828CD"/>
    <w:rsid w:val="00B94200"/>
    <w:rsid w:val="00BC385F"/>
    <w:rsid w:val="00BC5EB3"/>
    <w:rsid w:val="00BE513F"/>
    <w:rsid w:val="00BF02E1"/>
    <w:rsid w:val="00C227F5"/>
    <w:rsid w:val="00C346F6"/>
    <w:rsid w:val="00C42DBA"/>
    <w:rsid w:val="00C57B43"/>
    <w:rsid w:val="00C67D3B"/>
    <w:rsid w:val="00C7401C"/>
    <w:rsid w:val="00C90244"/>
    <w:rsid w:val="00CA0C55"/>
    <w:rsid w:val="00CD4727"/>
    <w:rsid w:val="00CD7543"/>
    <w:rsid w:val="00CE1135"/>
    <w:rsid w:val="00CF2917"/>
    <w:rsid w:val="00D12094"/>
    <w:rsid w:val="00D25E6E"/>
    <w:rsid w:val="00D33B9B"/>
    <w:rsid w:val="00D53707"/>
    <w:rsid w:val="00D554FD"/>
    <w:rsid w:val="00D62B9C"/>
    <w:rsid w:val="00D77ABD"/>
    <w:rsid w:val="00D87F23"/>
    <w:rsid w:val="00DA3E2B"/>
    <w:rsid w:val="00DC4CE0"/>
    <w:rsid w:val="00DD2ECA"/>
    <w:rsid w:val="00DD3480"/>
    <w:rsid w:val="00DF08D9"/>
    <w:rsid w:val="00DF0F07"/>
    <w:rsid w:val="00DF3030"/>
    <w:rsid w:val="00E04CED"/>
    <w:rsid w:val="00E072CA"/>
    <w:rsid w:val="00E12140"/>
    <w:rsid w:val="00E340D0"/>
    <w:rsid w:val="00E44B5A"/>
    <w:rsid w:val="00E667F4"/>
    <w:rsid w:val="00E7722A"/>
    <w:rsid w:val="00E77901"/>
    <w:rsid w:val="00E830CC"/>
    <w:rsid w:val="00EB7ACF"/>
    <w:rsid w:val="00EC3AF9"/>
    <w:rsid w:val="00EF7923"/>
    <w:rsid w:val="00F1590A"/>
    <w:rsid w:val="00F17E80"/>
    <w:rsid w:val="00F31847"/>
    <w:rsid w:val="00F31A71"/>
    <w:rsid w:val="00F36FDA"/>
    <w:rsid w:val="00F401F8"/>
    <w:rsid w:val="00F440F8"/>
    <w:rsid w:val="00F50C84"/>
    <w:rsid w:val="00F53FB7"/>
    <w:rsid w:val="00F92057"/>
    <w:rsid w:val="00FA153C"/>
    <w:rsid w:val="00FB0FD4"/>
    <w:rsid w:val="00FB38A5"/>
    <w:rsid w:val="00FB5594"/>
    <w:rsid w:val="00FC232F"/>
    <w:rsid w:val="00FC2DCC"/>
    <w:rsid w:val="00FE3BE2"/>
    <w:rsid w:val="00FF6E77"/>
  </w:rsids>
  <w:docVars>
    <w:docVar w:name="APWAFVersion" w:val="5.0"/>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C9A61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Letter Gothic 12cpi" w:hAnsi="Letter Gothic 12cpi"/>
    </w:rPr>
  </w:style>
  <w:style w:type="paragraph" w:styleId="Heading1">
    <w:name w:val="heading 1"/>
    <w:basedOn w:val="Normal"/>
    <w:next w:val="Normal"/>
    <w:qFormat/>
    <w:pPr>
      <w:keepNext/>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bCs/>
      <w:sz w:val="24"/>
      <w:szCs w:val="24"/>
      <w:u w:val="single"/>
    </w:rPr>
  </w:style>
  <w:style w:type="paragraph" w:styleId="Subtitle">
    <w:name w:val="Subtitle"/>
    <w:basedOn w:val="Normal"/>
    <w:qFormat/>
    <w:rPr>
      <w:b/>
      <w:bCs/>
      <w:sz w:val="24"/>
      <w:szCs w:val="24"/>
      <w:u w:val="single"/>
    </w:rPr>
  </w:style>
  <w:style w:type="paragraph" w:styleId="BodyText">
    <w:name w:val="Body Text"/>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color w:val="FF00FF"/>
      <w:sz w:val="24"/>
      <w:szCs w:val="24"/>
    </w:rPr>
  </w:style>
  <w:style w:type="paragraph" w:styleId="BodyTextIndent">
    <w:name w:val="Body Text Indent"/>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sz w:val="24"/>
      <w:szCs w:val="24"/>
    </w:rPr>
  </w:style>
  <w:style w:type="paragraph" w:styleId="BodyText3">
    <w:name w:val="Body Text 3"/>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color w:val="FF0000"/>
      <w:sz w:val="24"/>
      <w:szCs w:val="24"/>
    </w:rPr>
  </w:style>
  <w:style w:type="paragraph" w:styleId="NormalWeb">
    <w:name w:val="Normal (Web)"/>
    <w:basedOn w:val="Normal"/>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character" w:styleId="Hyperlink">
    <w:name w:val="Hyperlink"/>
    <w:uiPriority w:val="99"/>
    <w:rPr>
      <w:color w:val="0000FF"/>
      <w:u w:val="single"/>
    </w:rPr>
  </w:style>
  <w:style w:type="character" w:styleId="Strong">
    <w:name w:val="Strong"/>
    <w:qFormat/>
    <w:rPr>
      <w:b/>
      <w:bCs/>
    </w:rPr>
  </w:style>
  <w:style w:type="paragraph" w:styleId="BodyText2">
    <w:name w:val="Body Text 2"/>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rFonts w:ascii="Times New Roman" w:hAnsi="Times New Roman"/>
      <w:b/>
      <w:bCs/>
      <w:sz w:val="24"/>
    </w:rPr>
  </w:style>
  <w:style w:type="paragraph" w:styleId="Header">
    <w:name w:val="header"/>
    <w:basedOn w:val="Normal"/>
    <w:rsid w:val="00F92057"/>
    <w:pPr>
      <w:tabs>
        <w:tab w:val="center" w:pos="4320"/>
        <w:tab w:val="right" w:pos="8640"/>
      </w:tabs>
    </w:pPr>
  </w:style>
  <w:style w:type="paragraph" w:styleId="ListParagraph">
    <w:name w:val="List Paragraph"/>
    <w:basedOn w:val="Normal"/>
    <w:uiPriority w:val="34"/>
    <w:qFormat/>
    <w:rsid w:val="00EB7ACF"/>
    <w:pPr>
      <w:ind w:left="720"/>
      <w:contextualSpacing/>
    </w:pPr>
  </w:style>
  <w:style w:type="character" w:styleId="CommentReference">
    <w:name w:val="annotation reference"/>
    <w:basedOn w:val="DefaultParagraphFont"/>
    <w:rsid w:val="0078534F"/>
    <w:rPr>
      <w:sz w:val="16"/>
      <w:szCs w:val="16"/>
    </w:rPr>
  </w:style>
  <w:style w:type="paragraph" w:styleId="CommentText">
    <w:name w:val="annotation text"/>
    <w:basedOn w:val="Normal"/>
    <w:link w:val="CommentTextChar"/>
    <w:rsid w:val="0078534F"/>
  </w:style>
  <w:style w:type="character" w:customStyle="1" w:styleId="CommentTextChar">
    <w:name w:val="Comment Text Char"/>
    <w:basedOn w:val="DefaultParagraphFont"/>
    <w:link w:val="CommentText"/>
    <w:rsid w:val="0078534F"/>
    <w:rPr>
      <w:rFonts w:ascii="Letter Gothic 12cpi" w:hAnsi="Letter Gothic 12cpi"/>
    </w:rPr>
  </w:style>
  <w:style w:type="paragraph" w:styleId="CommentSubject">
    <w:name w:val="annotation subject"/>
    <w:basedOn w:val="CommentText"/>
    <w:next w:val="CommentText"/>
    <w:link w:val="CommentSubjectChar"/>
    <w:rsid w:val="0078534F"/>
    <w:rPr>
      <w:b/>
      <w:bCs/>
    </w:rPr>
  </w:style>
  <w:style w:type="character" w:customStyle="1" w:styleId="CommentSubjectChar">
    <w:name w:val="Comment Subject Char"/>
    <w:basedOn w:val="CommentTextChar"/>
    <w:link w:val="CommentSubject"/>
    <w:rsid w:val="0078534F"/>
    <w:rPr>
      <w:rFonts w:ascii="Letter Gothic 12cpi" w:hAnsi="Letter Gothic 12cpi"/>
      <w:b/>
      <w:bCs/>
    </w:rPr>
  </w:style>
  <w:style w:type="paragraph" w:styleId="BalloonText">
    <w:name w:val="Balloon Text"/>
    <w:basedOn w:val="Normal"/>
    <w:link w:val="BalloonTextChar"/>
    <w:semiHidden/>
    <w:unhideWhenUsed/>
    <w:rsid w:val="0078534F"/>
    <w:rPr>
      <w:rFonts w:ascii="Segoe UI" w:hAnsi="Segoe UI" w:cs="Segoe UI"/>
      <w:sz w:val="18"/>
      <w:szCs w:val="18"/>
    </w:rPr>
  </w:style>
  <w:style w:type="character" w:customStyle="1" w:styleId="BalloonTextChar">
    <w:name w:val="Balloon Text Char"/>
    <w:basedOn w:val="DefaultParagraphFont"/>
    <w:link w:val="BalloonText"/>
    <w:semiHidden/>
    <w:rsid w:val="0078534F"/>
    <w:rPr>
      <w:rFonts w:ascii="Segoe UI" w:hAnsi="Segoe UI" w:cs="Segoe UI"/>
      <w:sz w:val="18"/>
      <w:szCs w:val="18"/>
    </w:rPr>
  </w:style>
  <w:style w:type="paragraph" w:styleId="Revision">
    <w:name w:val="Revision"/>
    <w:hidden/>
    <w:uiPriority w:val="99"/>
    <w:semiHidden/>
    <w:rsid w:val="006B5F6D"/>
    <w:rPr>
      <w:rFonts w:ascii="Letter Gothic 12cpi" w:hAnsi="Letter Gothic 12cpi"/>
    </w:rPr>
  </w:style>
  <w:style w:type="paragraph" w:styleId="FootnoteText">
    <w:name w:val="footnote text"/>
    <w:basedOn w:val="Normal"/>
    <w:link w:val="FootnoteTextChar"/>
    <w:uiPriority w:val="99"/>
    <w:unhideWhenUsed/>
    <w:rsid w:val="00A539B2"/>
    <w:pPr>
      <w:widowControl/>
      <w:autoSpaceDE/>
      <w:autoSpaceDN/>
      <w:adjustRightInd/>
    </w:pPr>
    <w:rPr>
      <w:rFonts w:ascii="Times New Roman" w:hAnsi="Times New Roman"/>
    </w:rPr>
  </w:style>
  <w:style w:type="character" w:customStyle="1" w:styleId="FootnoteTextChar">
    <w:name w:val="Footnote Text Char"/>
    <w:basedOn w:val="DefaultParagraphFont"/>
    <w:link w:val="FootnoteText"/>
    <w:uiPriority w:val="99"/>
    <w:rsid w:val="00A539B2"/>
  </w:style>
  <w:style w:type="character" w:styleId="FootnoteReference">
    <w:name w:val="footnote reference"/>
    <w:uiPriority w:val="99"/>
    <w:unhideWhenUsed/>
    <w:rsid w:val="00A539B2"/>
    <w:rPr>
      <w:vertAlign w:val="superscript"/>
    </w:rPr>
  </w:style>
  <w:style w:type="character" w:styleId="UnresolvedMention">
    <w:name w:val="Unresolved Mention"/>
    <w:basedOn w:val="DefaultParagraphFont"/>
    <w:uiPriority w:val="99"/>
    <w:semiHidden/>
    <w:unhideWhenUsed/>
    <w:rsid w:val="00482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_nat.htm" TargetMode="External" /><Relationship Id="rId2" Type="http://schemas.openxmlformats.org/officeDocument/2006/relationships/hyperlink" Target="https://www.bls.gov/news.release/pdf/ecec.pdf" TargetMode="External" /><Relationship Id="rId3" Type="http://schemas.openxmlformats.org/officeDocument/2006/relationships/hyperlink" Target="https://www.opm.gov/policy-data-oversight/pay-leave/salaries-wages/salary-tables/pdf/2024/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1647</Words>
  <Characters>9393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2024-12-10T15:29:00Z</dcterms:created>
  <dcterms:modified xsi:type="dcterms:W3CDTF">2024-12-10T15:29:00Z</dcterms:modified>
</cp:coreProperties>
</file>