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62A6" w:rsidP="00E0619C" w14:paraId="35C003E4" w14:textId="144DDE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8"/>
        </w:rPr>
      </w:pPr>
      <w:r>
        <w:rPr>
          <w:rFonts w:ascii="Helvetica" w:hAnsi="Helvetica"/>
          <w:sz w:val="16"/>
        </w:rPr>
        <w:t xml:space="preserve">                            </w:t>
      </w:r>
      <w:r w:rsidR="00512570">
        <w:rPr>
          <w:rFonts w:ascii="Helvetica" w:hAnsi="Helvetica"/>
          <w:sz w:val="16"/>
        </w:rPr>
        <w:t xml:space="preserve">                                                    </w:t>
      </w:r>
      <w:r w:rsidR="009D6C74">
        <w:rPr>
          <w:rFonts w:ascii="Helvetica" w:hAnsi="Helvetica"/>
          <w:b/>
          <w:sz w:val="28"/>
        </w:rPr>
        <w:t xml:space="preserve">Supporting Statement for Paperwork </w:t>
      </w:r>
    </w:p>
    <w:p w:rsidR="009D6C74" w:rsidRPr="00E0619C" w:rsidP="00E0619C" w14:paraId="206CB6EB" w14:textId="709D10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sz w:val="16"/>
        </w:rPr>
      </w:pPr>
      <w:r>
        <w:rPr>
          <w:rFonts w:ascii="Helvetica" w:hAnsi="Helvetica"/>
          <w:b/>
          <w:sz w:val="28"/>
        </w:rPr>
        <w:tab/>
      </w:r>
      <w:r>
        <w:rPr>
          <w:rFonts w:ascii="Helvetica" w:hAnsi="Helvetica"/>
          <w:b/>
          <w:sz w:val="28"/>
        </w:rPr>
        <w:tab/>
      </w:r>
      <w:r>
        <w:rPr>
          <w:rFonts w:ascii="Helvetica" w:hAnsi="Helvetica"/>
          <w:b/>
          <w:sz w:val="28"/>
        </w:rPr>
        <w:tab/>
      </w:r>
      <w:r>
        <w:rPr>
          <w:rFonts w:ascii="Helvetica" w:hAnsi="Helvetica"/>
          <w:b/>
          <w:sz w:val="28"/>
        </w:rPr>
        <w:tab/>
      </w:r>
      <w:r>
        <w:rPr>
          <w:rFonts w:ascii="Helvetica" w:hAnsi="Helvetica"/>
          <w:b/>
          <w:sz w:val="28"/>
        </w:rPr>
        <w:tab/>
        <w:t xml:space="preserve">      </w:t>
      </w:r>
      <w:r>
        <w:rPr>
          <w:rFonts w:ascii="Helvetica" w:hAnsi="Helvetica"/>
          <w:b/>
          <w:sz w:val="28"/>
        </w:rPr>
        <w:t>Reduction Act Submissions</w:t>
      </w:r>
    </w:p>
    <w:p w:rsidR="009D6C74" w14:paraId="05B227B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9D6C74" w14:paraId="1EAA8939" w14:textId="43E19392">
      <w:pPr>
        <w:pStyle w:val="Heading2"/>
      </w:pPr>
      <w:r>
        <w:t xml:space="preserve">       </w:t>
      </w:r>
      <w:r>
        <w:t>Requirements for Single Family Mortgage Instruments</w:t>
      </w:r>
    </w:p>
    <w:p w:rsidR="009D6C74" w14:paraId="0F5F1F36" w14:textId="1E5F653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 xml:space="preserve">  </w:t>
      </w:r>
      <w:r>
        <w:rPr>
          <w:rFonts w:ascii="Helvetica" w:hAnsi="Helvetica"/>
          <w:b/>
          <w:sz w:val="24"/>
        </w:rPr>
        <w:t>OMB Number 2502-0404</w:t>
      </w:r>
    </w:p>
    <w:p w:rsidR="009D6C74" w14:paraId="4F3D036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9D6C74" w14:paraId="72B772E2" w14:textId="77777777">
      <w:pPr>
        <w:pStyle w:val="Heading1"/>
        <w:numPr>
          <w:ilvl w:val="0"/>
          <w:numId w:val="0"/>
        </w:numPr>
      </w:pPr>
      <w:r>
        <w:t>A.</w:t>
      </w:r>
      <w:r>
        <w:tab/>
        <w:t>Justification</w:t>
      </w:r>
    </w:p>
    <w:p w:rsidR="009D6C74" w14:paraId="02BF2F5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Cs/>
          <w:sz w:val="24"/>
        </w:rPr>
      </w:pPr>
    </w:p>
    <w:p w:rsidR="00F609EE" w:rsidRPr="0012152C" w:rsidP="00430661" w14:paraId="61794391" w14:textId="6C9B87D9">
      <w:pPr>
        <w:numPr>
          <w:ilvl w:val="0"/>
          <w:numId w:val="2"/>
        </w:numPr>
        <w:tabs>
          <w:tab w:val="num" w:pos="360"/>
        </w:tabs>
        <w:ind w:left="360"/>
        <w:rPr>
          <w:b/>
          <w:bCs/>
          <w:sz w:val="24"/>
        </w:rPr>
      </w:pPr>
      <w:r w:rsidRPr="0012152C">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609EE" w:rsidP="00F609EE" w14:paraId="25B78D90" w14:textId="77777777">
      <w:pPr>
        <w:ind w:left="360"/>
        <w:rPr>
          <w:sz w:val="24"/>
        </w:rPr>
      </w:pPr>
    </w:p>
    <w:p w:rsidR="008C4FEF" w:rsidP="00F609EE" w14:paraId="2DD9F7EF" w14:textId="38F489DA">
      <w:pPr>
        <w:ind w:left="360"/>
        <w:rPr>
          <w:sz w:val="24"/>
        </w:rPr>
      </w:pPr>
      <w:r>
        <w:rPr>
          <w:sz w:val="24"/>
        </w:rPr>
        <w:t>The Federal Housing Administration (</w:t>
      </w:r>
      <w:r w:rsidR="009D6C74">
        <w:rPr>
          <w:sz w:val="24"/>
        </w:rPr>
        <w:t>FHA</w:t>
      </w:r>
      <w:r>
        <w:rPr>
          <w:sz w:val="24"/>
        </w:rPr>
        <w:t>) is authorized to offer mortgage insurance under such terms and conditions as approved by the Secretary of HUD.</w:t>
      </w:r>
      <w:r w:rsidR="00D462A6">
        <w:rPr>
          <w:sz w:val="24"/>
        </w:rPr>
        <w:t xml:space="preserve"> </w:t>
      </w:r>
      <w:r>
        <w:rPr>
          <w:sz w:val="24"/>
        </w:rPr>
        <w:t xml:space="preserve">12 U.S.C. 1701, </w:t>
      </w:r>
      <w:r w:rsidRPr="00802CF2">
        <w:rPr>
          <w:i/>
          <w:iCs/>
          <w:sz w:val="24"/>
        </w:rPr>
        <w:t>et seq</w:t>
      </w:r>
      <w:r>
        <w:rPr>
          <w:sz w:val="24"/>
        </w:rPr>
        <w:t>. HUD regulations at 24 CFR 203.255(b)(3) implement FHA requirements</w:t>
      </w:r>
      <w:r>
        <w:rPr>
          <w:sz w:val="24"/>
        </w:rPr>
        <w:t xml:space="preserve"> pertaining</w:t>
      </w:r>
      <w:r>
        <w:rPr>
          <w:sz w:val="24"/>
        </w:rPr>
        <w:t xml:space="preserve"> to</w:t>
      </w:r>
      <w:r>
        <w:rPr>
          <w:sz w:val="24"/>
        </w:rPr>
        <w:t xml:space="preserve"> submission of mortgage documents to HUD by a lender participating in the FHA Direct Endorsement program. </w:t>
      </w:r>
      <w:r>
        <w:rPr>
          <w:sz w:val="24"/>
        </w:rPr>
        <w:t xml:space="preserve">Section 203.255(b)(3) states, in part, that within 60 days after the date of the loan closing, a </w:t>
      </w:r>
      <w:r>
        <w:rPr>
          <w:sz w:val="24"/>
        </w:rPr>
        <w:t>lender</w:t>
      </w:r>
      <w:r>
        <w:rPr>
          <w:sz w:val="24"/>
        </w:rPr>
        <w:t xml:space="preserve"> must submit to HUD “a certified copy of the mortgage and note executed upon forms which meet the requirements of the Secretary.</w:t>
      </w:r>
      <w:r>
        <w:rPr>
          <w:sz w:val="24"/>
        </w:rPr>
        <w:t>”</w:t>
      </w:r>
      <w:r>
        <w:rPr>
          <w:sz w:val="24"/>
        </w:rPr>
        <w:t xml:space="preserve">   </w:t>
      </w:r>
    </w:p>
    <w:p w:rsidR="009D6C74" w:rsidP="00802CF2" w14:paraId="3D05EA45" w14:textId="77777777">
      <w:pPr>
        <w:ind w:left="360"/>
        <w:rPr>
          <w:sz w:val="24"/>
        </w:rPr>
      </w:pPr>
    </w:p>
    <w:p w:rsidR="003E384D" w:rsidP="00061D40" w14:paraId="61833A6E" w14:textId="251B8F42">
      <w:pPr>
        <w:pStyle w:val="BodyText"/>
        <w:ind w:left="360" w:hanging="360"/>
        <w:rPr>
          <w:sz w:val="24"/>
        </w:rPr>
      </w:pPr>
      <w:r>
        <w:rPr>
          <w:sz w:val="24"/>
        </w:rPr>
        <w:tab/>
      </w:r>
      <w:r w:rsidR="009D6C74">
        <w:rPr>
          <w:sz w:val="24"/>
        </w:rPr>
        <w:t xml:space="preserve">The lender or designee prepares the mortgage and mortgage note that are to be </w:t>
      </w:r>
      <w:r w:rsidR="008C4FEF">
        <w:rPr>
          <w:sz w:val="24"/>
        </w:rPr>
        <w:t xml:space="preserve">endorsed for </w:t>
      </w:r>
      <w:r w:rsidR="009D6C74">
        <w:rPr>
          <w:sz w:val="24"/>
        </w:rPr>
        <w:t>insur</w:t>
      </w:r>
      <w:r w:rsidR="008C4FEF">
        <w:rPr>
          <w:sz w:val="24"/>
        </w:rPr>
        <w:t>ance</w:t>
      </w:r>
      <w:r w:rsidR="009D6C74">
        <w:rPr>
          <w:sz w:val="24"/>
        </w:rPr>
        <w:t xml:space="preserve"> by the Department. </w:t>
      </w:r>
      <w:r w:rsidR="008C4FEF">
        <w:rPr>
          <w:sz w:val="24"/>
        </w:rPr>
        <w:t>The</w:t>
      </w:r>
      <w:r w:rsidR="009D6C74">
        <w:rPr>
          <w:sz w:val="24"/>
        </w:rPr>
        <w:t xml:space="preserve"> lender must include </w:t>
      </w:r>
      <w:r w:rsidR="008C4FEF">
        <w:rPr>
          <w:sz w:val="24"/>
        </w:rPr>
        <w:t xml:space="preserve">certain terms within </w:t>
      </w:r>
      <w:r w:rsidR="009D6C74">
        <w:rPr>
          <w:sz w:val="24"/>
        </w:rPr>
        <w:t>the mortgage</w:t>
      </w:r>
      <w:r w:rsidR="008C4FEF">
        <w:rPr>
          <w:sz w:val="24"/>
        </w:rPr>
        <w:t xml:space="preserve"> </w:t>
      </w:r>
      <w:r>
        <w:rPr>
          <w:sz w:val="24"/>
        </w:rPr>
        <w:t>(</w:t>
      </w:r>
      <w:r w:rsidR="008C4FEF">
        <w:rPr>
          <w:sz w:val="24"/>
        </w:rPr>
        <w:t>or deed of trust</w:t>
      </w:r>
      <w:r>
        <w:rPr>
          <w:sz w:val="24"/>
        </w:rPr>
        <w:t>)</w:t>
      </w:r>
      <w:r w:rsidR="008C4FEF">
        <w:rPr>
          <w:sz w:val="24"/>
        </w:rPr>
        <w:t xml:space="preserve"> and </w:t>
      </w:r>
      <w:r w:rsidR="009D6C74">
        <w:rPr>
          <w:sz w:val="24"/>
        </w:rPr>
        <w:t xml:space="preserve">note </w:t>
      </w:r>
      <w:r w:rsidR="008C4FEF">
        <w:rPr>
          <w:sz w:val="24"/>
        </w:rPr>
        <w:t>consistent with FHA requirements</w:t>
      </w:r>
      <w:r w:rsidR="009D6C74">
        <w:rPr>
          <w:sz w:val="24"/>
        </w:rPr>
        <w:t xml:space="preserve">. If </w:t>
      </w:r>
      <w:r w:rsidR="008C4FEF">
        <w:rPr>
          <w:sz w:val="24"/>
        </w:rPr>
        <w:t xml:space="preserve">a lender does not meet </w:t>
      </w:r>
      <w:r w:rsidR="009D6C74">
        <w:rPr>
          <w:sz w:val="24"/>
        </w:rPr>
        <w:t xml:space="preserve">these requirements, FHA </w:t>
      </w:r>
      <w:r w:rsidR="008C4FEF">
        <w:rPr>
          <w:sz w:val="24"/>
        </w:rPr>
        <w:t>will not endorse such a mortgage for insurance. Such terms which must be included in the mortgage and note are the</w:t>
      </w:r>
      <w:r>
        <w:rPr>
          <w:sz w:val="24"/>
        </w:rPr>
        <w:t xml:space="preserve"> name of the mortgagor, the legal description of</w:t>
      </w:r>
      <w:r w:rsidR="00C87B35">
        <w:rPr>
          <w:sz w:val="24"/>
        </w:rPr>
        <w:t xml:space="preserve"> t</w:t>
      </w:r>
      <w:r>
        <w:rPr>
          <w:sz w:val="24"/>
        </w:rPr>
        <w:t xml:space="preserve">he property, and the </w:t>
      </w:r>
      <w:r w:rsidR="008C4FEF">
        <w:rPr>
          <w:sz w:val="24"/>
        </w:rPr>
        <w:t xml:space="preserve">loan </w:t>
      </w:r>
      <w:r>
        <w:rPr>
          <w:sz w:val="24"/>
        </w:rPr>
        <w:t xml:space="preserve">term and </w:t>
      </w:r>
      <w:r w:rsidR="008C4FEF">
        <w:rPr>
          <w:sz w:val="24"/>
        </w:rPr>
        <w:t xml:space="preserve">interest </w:t>
      </w:r>
      <w:r>
        <w:rPr>
          <w:sz w:val="24"/>
        </w:rPr>
        <w:t>rate.</w:t>
      </w:r>
      <w:r w:rsidR="00D462A6">
        <w:rPr>
          <w:sz w:val="24"/>
        </w:rPr>
        <w:t xml:space="preserve"> </w:t>
      </w:r>
      <w:r>
        <w:rPr>
          <w:sz w:val="24"/>
        </w:rPr>
        <w:t>A lender must develop or procure mortgage and note forms that comply with both HUD and applicable state and local requirements for a recordable and enforceable mortgage</w:t>
      </w:r>
      <w:r w:rsidR="008C4FEF">
        <w:rPr>
          <w:sz w:val="24"/>
        </w:rPr>
        <w:t xml:space="preserve"> lien</w:t>
      </w:r>
      <w:r>
        <w:rPr>
          <w:sz w:val="24"/>
        </w:rPr>
        <w:t xml:space="preserve">. </w:t>
      </w:r>
    </w:p>
    <w:p w:rsidR="003E384D" w:rsidP="005D611B" w14:paraId="026588B3" w14:textId="77777777">
      <w:pPr>
        <w:pStyle w:val="BodyText"/>
        <w:rPr>
          <w:sz w:val="24"/>
        </w:rPr>
      </w:pPr>
    </w:p>
    <w:p w:rsidR="00F609EE" w:rsidRPr="00F609EE" w:rsidP="00430661" w14:paraId="52F4E543" w14:textId="0FB402A4">
      <w:pPr>
        <w:numPr>
          <w:ilvl w:val="0"/>
          <w:numId w:val="2"/>
        </w:numPr>
        <w:tabs>
          <w:tab w:val="num" w:pos="360"/>
        </w:tabs>
        <w:ind w:left="360"/>
        <w:rPr>
          <w:sz w:val="24"/>
        </w:rPr>
      </w:pPr>
      <w:r w:rsidRPr="0012152C">
        <w:rPr>
          <w:b/>
          <w:bCs/>
          <w:sz w:val="24"/>
          <w:szCs w:val="24"/>
        </w:rPr>
        <w:t>Indicate how, by whom, and for what purpose the information is to be used. Except for a new collection, indicate the actual use the agency has made of the information received from the</w:t>
      </w:r>
      <w:r w:rsidRPr="00575D07">
        <w:rPr>
          <w:sz w:val="24"/>
          <w:szCs w:val="24"/>
        </w:rPr>
        <w:t xml:space="preserve"> </w:t>
      </w:r>
      <w:r w:rsidRPr="00514CF0">
        <w:rPr>
          <w:b/>
          <w:bCs/>
          <w:sz w:val="24"/>
          <w:szCs w:val="24"/>
        </w:rPr>
        <w:t>current</w:t>
      </w:r>
      <w:r w:rsidRPr="00575D07">
        <w:rPr>
          <w:sz w:val="24"/>
          <w:szCs w:val="24"/>
        </w:rPr>
        <w:t xml:space="preserve"> </w:t>
      </w:r>
      <w:r w:rsidRPr="0012152C">
        <w:rPr>
          <w:b/>
          <w:bCs/>
          <w:sz w:val="24"/>
          <w:szCs w:val="24"/>
        </w:rPr>
        <w:t>collection.</w:t>
      </w:r>
    </w:p>
    <w:p w:rsidR="00F609EE" w:rsidP="00F609EE" w14:paraId="6EC142C7" w14:textId="77777777">
      <w:pPr>
        <w:ind w:left="360"/>
        <w:rPr>
          <w:sz w:val="24"/>
        </w:rPr>
      </w:pPr>
    </w:p>
    <w:p w:rsidR="00066566" w:rsidP="00F609EE" w14:paraId="0C39DC60" w14:textId="5B854961">
      <w:pPr>
        <w:ind w:left="360"/>
        <w:rPr>
          <w:sz w:val="24"/>
        </w:rPr>
      </w:pPr>
      <w:r>
        <w:rPr>
          <w:sz w:val="24"/>
        </w:rPr>
        <w:t>For each mortgage, t</w:t>
      </w:r>
      <w:r>
        <w:rPr>
          <w:sz w:val="24"/>
        </w:rPr>
        <w:t xml:space="preserve">he lender or designee prepares the mortgage and note that </w:t>
      </w:r>
      <w:r w:rsidR="00061D40">
        <w:rPr>
          <w:sz w:val="24"/>
        </w:rPr>
        <w:t xml:space="preserve">secures the loan amount that is to be </w:t>
      </w:r>
      <w:r>
        <w:rPr>
          <w:sz w:val="24"/>
        </w:rPr>
        <w:t>insured by the Department. In accordance with the subject policy, the lender must include language in the mortgage</w:t>
      </w:r>
      <w:r w:rsidR="00061D40">
        <w:rPr>
          <w:sz w:val="24"/>
        </w:rPr>
        <w:t xml:space="preserve"> (or deed of trust) and note </w:t>
      </w:r>
      <w:r>
        <w:rPr>
          <w:sz w:val="24"/>
        </w:rPr>
        <w:t xml:space="preserve">that </w:t>
      </w:r>
      <w:r w:rsidR="00582217">
        <w:rPr>
          <w:sz w:val="24"/>
        </w:rPr>
        <w:t>complies</w:t>
      </w:r>
      <w:r w:rsidR="00061D40">
        <w:rPr>
          <w:sz w:val="24"/>
        </w:rPr>
        <w:t xml:space="preserve"> with FHA requirements for mortgage insurance.  </w:t>
      </w:r>
      <w:r>
        <w:rPr>
          <w:sz w:val="24"/>
        </w:rPr>
        <w:t xml:space="preserve">  </w:t>
      </w:r>
    </w:p>
    <w:p w:rsidR="00066566" w:rsidP="00066566" w14:paraId="22C7FBD6" w14:textId="77777777">
      <w:pPr>
        <w:ind w:left="630"/>
        <w:rPr>
          <w:sz w:val="24"/>
        </w:rPr>
      </w:pPr>
    </w:p>
    <w:p w:rsidR="003E384D" w:rsidP="00C87B35" w14:paraId="6D150A9C" w14:textId="15A8D171">
      <w:pPr>
        <w:ind w:left="360"/>
        <w:rPr>
          <w:sz w:val="24"/>
        </w:rPr>
      </w:pPr>
      <w:r>
        <w:rPr>
          <w:sz w:val="24"/>
        </w:rPr>
        <w:t xml:space="preserve">There is no change to the information collected. The only change is </w:t>
      </w:r>
      <w:r w:rsidR="000D172F">
        <w:rPr>
          <w:sz w:val="24"/>
        </w:rPr>
        <w:t xml:space="preserve">the reduction of burden hours </w:t>
      </w:r>
      <w:r w:rsidR="00582217">
        <w:rPr>
          <w:sz w:val="24"/>
        </w:rPr>
        <w:t>because of (i)</w:t>
      </w:r>
      <w:r w:rsidR="000D172F">
        <w:rPr>
          <w:sz w:val="24"/>
        </w:rPr>
        <w:t xml:space="preserve"> lenders producing mortgage documents electronically</w:t>
      </w:r>
      <w:r w:rsidR="00582217">
        <w:rPr>
          <w:sz w:val="24"/>
        </w:rPr>
        <w:t xml:space="preserve"> (2) reduction in the number of endorsed loans due to </w:t>
      </w:r>
      <w:r w:rsidR="00CF57F6">
        <w:rPr>
          <w:sz w:val="24"/>
        </w:rPr>
        <w:t xml:space="preserve">combination of decrease in inventory and </w:t>
      </w:r>
      <w:r w:rsidR="00582217">
        <w:rPr>
          <w:sz w:val="24"/>
        </w:rPr>
        <w:t>high interest rate</w:t>
      </w:r>
      <w:r w:rsidR="000D172F">
        <w:rPr>
          <w:sz w:val="24"/>
        </w:rPr>
        <w:t>.</w:t>
      </w:r>
      <w:r>
        <w:rPr>
          <w:sz w:val="24"/>
        </w:rPr>
        <w:t xml:space="preserve"> The breakdown is as follows:</w:t>
      </w:r>
    </w:p>
    <w:p w:rsidR="00066566" w:rsidP="00066566" w14:paraId="5B44F75F" w14:textId="77777777">
      <w:pPr>
        <w:rPr>
          <w:sz w:val="24"/>
        </w:rPr>
      </w:pPr>
    </w:p>
    <w:p w:rsidR="003E384D" w:rsidRPr="00470F7C" w:rsidP="00430661" w14:paraId="7FD2E0EF" w14:textId="3E5A26ED">
      <w:pPr>
        <w:numPr>
          <w:ilvl w:val="1"/>
          <w:numId w:val="2"/>
        </w:numPr>
        <w:rPr>
          <w:sz w:val="24"/>
        </w:rPr>
      </w:pPr>
      <w:r>
        <w:rPr>
          <w:sz w:val="24"/>
        </w:rPr>
        <w:t xml:space="preserve">The number of respondents means the number of FHA approved lenders. Currently, </w:t>
      </w:r>
      <w:r w:rsidRPr="00470F7C">
        <w:rPr>
          <w:sz w:val="24"/>
        </w:rPr>
        <w:t xml:space="preserve">there are </w:t>
      </w:r>
      <w:r w:rsidR="00CF57F6">
        <w:rPr>
          <w:sz w:val="24"/>
        </w:rPr>
        <w:t>2,064</w:t>
      </w:r>
      <w:r w:rsidRPr="00470F7C">
        <w:rPr>
          <w:sz w:val="24"/>
        </w:rPr>
        <w:t xml:space="preserve"> approved lenders.</w:t>
      </w:r>
    </w:p>
    <w:p w:rsidR="003E384D" w:rsidRPr="00827360" w:rsidP="00430661" w14:paraId="580C2077" w14:textId="6F17734C">
      <w:pPr>
        <w:numPr>
          <w:ilvl w:val="1"/>
          <w:numId w:val="2"/>
        </w:numPr>
        <w:rPr>
          <w:sz w:val="24"/>
        </w:rPr>
      </w:pPr>
      <w:r>
        <w:rPr>
          <w:sz w:val="24"/>
        </w:rPr>
        <w:t>The number of endorsed cases was used to reflect a more accurate picture of the collection activity. In 20</w:t>
      </w:r>
      <w:r w:rsidR="00160F9E">
        <w:rPr>
          <w:sz w:val="24"/>
        </w:rPr>
        <w:t>23</w:t>
      </w:r>
      <w:r w:rsidRPr="00827360">
        <w:rPr>
          <w:sz w:val="24"/>
        </w:rPr>
        <w:t xml:space="preserve">, </w:t>
      </w:r>
      <w:r w:rsidR="00160F9E">
        <w:rPr>
          <w:sz w:val="24"/>
          <w:szCs w:val="24"/>
        </w:rPr>
        <w:t>737,2</w:t>
      </w:r>
      <w:r w:rsidR="00D00E2B">
        <w:rPr>
          <w:sz w:val="24"/>
          <w:szCs w:val="24"/>
        </w:rPr>
        <w:t>7</w:t>
      </w:r>
      <w:r w:rsidR="00160F9E">
        <w:rPr>
          <w:sz w:val="24"/>
          <w:szCs w:val="24"/>
        </w:rPr>
        <w:t>6</w:t>
      </w:r>
      <w:r w:rsidRPr="00827360" w:rsidR="00827360">
        <w:rPr>
          <w:sz w:val="24"/>
          <w:szCs w:val="24"/>
        </w:rPr>
        <w:t xml:space="preserve"> </w:t>
      </w:r>
      <w:r w:rsidRPr="00827360">
        <w:rPr>
          <w:sz w:val="24"/>
        </w:rPr>
        <w:t>cases were endorsed</w:t>
      </w:r>
      <w:r w:rsidR="00061D40">
        <w:rPr>
          <w:sz w:val="24"/>
        </w:rPr>
        <w:t xml:space="preserve"> for insurance</w:t>
      </w:r>
      <w:r w:rsidRPr="00827360">
        <w:rPr>
          <w:sz w:val="24"/>
        </w:rPr>
        <w:t>. Of th</w:t>
      </w:r>
      <w:r w:rsidR="00061D40">
        <w:rPr>
          <w:sz w:val="24"/>
        </w:rPr>
        <w:t xml:space="preserve">at </w:t>
      </w:r>
      <w:r w:rsidR="00061D40">
        <w:rPr>
          <w:sz w:val="24"/>
          <w:szCs w:val="24"/>
        </w:rPr>
        <w:t>number,</w:t>
      </w:r>
      <w:r w:rsidR="00D71EC7">
        <w:rPr>
          <w:sz w:val="24"/>
          <w:szCs w:val="24"/>
        </w:rPr>
        <w:t xml:space="preserve"> </w:t>
      </w:r>
      <w:r w:rsidR="00B8681F">
        <w:rPr>
          <w:sz w:val="24"/>
          <w:szCs w:val="24"/>
        </w:rPr>
        <w:t>577,253</w:t>
      </w:r>
      <w:r w:rsidRPr="00827360" w:rsidR="00827360">
        <w:rPr>
          <w:sz w:val="24"/>
          <w:szCs w:val="24"/>
        </w:rPr>
        <w:t xml:space="preserve"> </w:t>
      </w:r>
      <w:r w:rsidRPr="00827360">
        <w:rPr>
          <w:sz w:val="24"/>
        </w:rPr>
        <w:t>were submitted electronically</w:t>
      </w:r>
      <w:r w:rsidR="00061D40">
        <w:rPr>
          <w:sz w:val="24"/>
        </w:rPr>
        <w:t xml:space="preserve"> to FHA for insurance endorsement</w:t>
      </w:r>
      <w:r w:rsidRPr="00827360">
        <w:rPr>
          <w:sz w:val="24"/>
        </w:rPr>
        <w:t xml:space="preserve">. </w:t>
      </w:r>
    </w:p>
    <w:p w:rsidR="00C87B35" w:rsidRPr="00FB3C5F" w:rsidP="00430661" w14:paraId="031C88D1" w14:textId="5761211F">
      <w:pPr>
        <w:numPr>
          <w:ilvl w:val="1"/>
          <w:numId w:val="2"/>
        </w:numPr>
        <w:rPr>
          <w:sz w:val="24"/>
          <w:szCs w:val="24"/>
        </w:rPr>
      </w:pPr>
      <w:r w:rsidRPr="00827360">
        <w:rPr>
          <w:sz w:val="24"/>
        </w:rPr>
        <w:t xml:space="preserve">The number of burden hour per response is estimated at </w:t>
      </w:r>
      <w:r w:rsidRPr="00827360" w:rsidR="00707959">
        <w:rPr>
          <w:sz w:val="24"/>
        </w:rPr>
        <w:t>five</w:t>
      </w:r>
      <w:r w:rsidRPr="00827360">
        <w:rPr>
          <w:sz w:val="24"/>
        </w:rPr>
        <w:t xml:space="preserve"> minutes per hour per loan. The Department endorsed </w:t>
      </w:r>
      <w:r w:rsidR="00582217">
        <w:rPr>
          <w:sz w:val="24"/>
          <w:szCs w:val="24"/>
        </w:rPr>
        <w:t>737,2</w:t>
      </w:r>
      <w:r w:rsidR="00D00E2B">
        <w:rPr>
          <w:sz w:val="24"/>
          <w:szCs w:val="24"/>
        </w:rPr>
        <w:t>7</w:t>
      </w:r>
      <w:r w:rsidR="00582217">
        <w:rPr>
          <w:sz w:val="24"/>
          <w:szCs w:val="24"/>
        </w:rPr>
        <w:t>6</w:t>
      </w:r>
      <w:r w:rsidRPr="00827360">
        <w:rPr>
          <w:sz w:val="24"/>
        </w:rPr>
        <w:t xml:space="preserve"> loans in 20</w:t>
      </w:r>
      <w:r w:rsidR="00582217">
        <w:rPr>
          <w:sz w:val="24"/>
        </w:rPr>
        <w:t>23</w:t>
      </w:r>
      <w:r w:rsidRPr="00827360">
        <w:rPr>
          <w:sz w:val="24"/>
        </w:rPr>
        <w:t xml:space="preserve">; </w:t>
      </w:r>
      <w:r w:rsidRPr="00827360" w:rsidR="00827360">
        <w:rPr>
          <w:sz w:val="24"/>
        </w:rPr>
        <w:t>therefore,</w:t>
      </w:r>
      <w:r w:rsidRPr="00827360">
        <w:rPr>
          <w:sz w:val="24"/>
        </w:rPr>
        <w:t xml:space="preserve"> </w:t>
      </w:r>
      <w:r w:rsidR="00DC1436">
        <w:rPr>
          <w:sz w:val="24"/>
        </w:rPr>
        <w:t>it</w:t>
      </w:r>
      <w:r w:rsidRPr="00827360">
        <w:rPr>
          <w:sz w:val="24"/>
        </w:rPr>
        <w:t xml:space="preserve"> is estimated that the total annual burden hours is </w:t>
      </w:r>
      <w:r w:rsidR="00A10809">
        <w:rPr>
          <w:sz w:val="24"/>
        </w:rPr>
        <w:t>61,41</w:t>
      </w:r>
      <w:r w:rsidR="00D00E2B">
        <w:rPr>
          <w:sz w:val="24"/>
        </w:rPr>
        <w:t>5</w:t>
      </w:r>
      <w:r w:rsidRPr="00827360">
        <w:rPr>
          <w:sz w:val="24"/>
        </w:rPr>
        <w:t xml:space="preserve"> </w:t>
      </w:r>
      <w:r w:rsidRPr="00FB3C5F">
        <w:rPr>
          <w:sz w:val="24"/>
          <w:szCs w:val="24"/>
        </w:rPr>
        <w:t xml:space="preserve">with a total annual cost of </w:t>
      </w:r>
      <w:r w:rsidRPr="00A10809" w:rsidR="00A10809">
        <w:rPr>
          <w:sz w:val="24"/>
          <w:szCs w:val="24"/>
        </w:rPr>
        <w:t>$2,484,</w:t>
      </w:r>
      <w:r w:rsidR="00D00E2B">
        <w:rPr>
          <w:sz w:val="24"/>
          <w:szCs w:val="24"/>
        </w:rPr>
        <w:t>855</w:t>
      </w:r>
      <w:r w:rsidRPr="00A10809" w:rsidR="005E7AA3">
        <w:rPr>
          <w:sz w:val="24"/>
          <w:szCs w:val="24"/>
        </w:rPr>
        <w:t>.</w:t>
      </w:r>
    </w:p>
    <w:p w:rsidR="00C87B35" w:rsidRPr="00FB3C5F" w:rsidP="00C87B35" w14:paraId="7BA9E578" w14:textId="77777777">
      <w:pPr>
        <w:ind w:left="1080"/>
        <w:rPr>
          <w:sz w:val="24"/>
          <w:szCs w:val="24"/>
        </w:rPr>
      </w:pPr>
    </w:p>
    <w:p w:rsidR="00F609EE" w:rsidRPr="0012152C" w:rsidP="00430661" w14:paraId="76F51154" w14:textId="6CDBAD3E">
      <w:pPr>
        <w:pStyle w:val="ListParagraph"/>
        <w:numPr>
          <w:ilvl w:val="0"/>
          <w:numId w:val="2"/>
        </w:numPr>
        <w:tabs>
          <w:tab w:val="num" w:pos="360"/>
        </w:tabs>
        <w:ind w:left="360"/>
        <w:rPr>
          <w:b/>
          <w:bCs/>
          <w:sz w:val="24"/>
        </w:rPr>
      </w:pPr>
      <w:r w:rsidRPr="0012152C">
        <w:rPr>
          <w:b/>
          <w:bCs/>
          <w:sz w:val="24"/>
        </w:rPr>
        <w:t xml:space="preserve">Describe </w:t>
      </w:r>
      <w:r w:rsidRPr="0012152C">
        <w:rPr>
          <w:b/>
          <w:bCs/>
          <w:sz w:val="24"/>
          <w:szCs w:val="24"/>
        </w:rPr>
        <w:t>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609EE" w:rsidRPr="0012152C" w:rsidP="00F609EE" w14:paraId="07C2A4EC" w14:textId="77777777">
      <w:pPr>
        <w:pStyle w:val="ListParagraph"/>
        <w:ind w:left="360"/>
        <w:rPr>
          <w:b/>
          <w:bCs/>
          <w:sz w:val="24"/>
        </w:rPr>
      </w:pPr>
    </w:p>
    <w:p w:rsidR="00827360" w:rsidRPr="00E01852" w:rsidP="00F609EE" w14:paraId="0D598C70" w14:textId="3098E968">
      <w:pPr>
        <w:pStyle w:val="ListParagraph"/>
        <w:ind w:left="360"/>
        <w:rPr>
          <w:sz w:val="24"/>
        </w:rPr>
      </w:pPr>
      <w:r>
        <w:rPr>
          <w:sz w:val="24"/>
          <w:szCs w:val="24"/>
        </w:rPr>
        <w:t xml:space="preserve">Lenders participating in the </w:t>
      </w:r>
      <w:r w:rsidRPr="00E01852">
        <w:rPr>
          <w:sz w:val="24"/>
          <w:szCs w:val="24"/>
        </w:rPr>
        <w:t xml:space="preserve">Lender Insurance (LI) </w:t>
      </w:r>
      <w:r>
        <w:rPr>
          <w:sz w:val="24"/>
          <w:szCs w:val="24"/>
        </w:rPr>
        <w:t>program</w:t>
      </w:r>
      <w:r w:rsidRPr="00E01852">
        <w:rPr>
          <w:sz w:val="24"/>
          <w:szCs w:val="24"/>
        </w:rPr>
        <w:t xml:space="preserve"> </w:t>
      </w:r>
      <w:r w:rsidRPr="00E01852">
        <w:rPr>
          <w:sz w:val="24"/>
          <w:szCs w:val="24"/>
        </w:rPr>
        <w:t xml:space="preserve">are not </w:t>
      </w:r>
      <w:r w:rsidRPr="00E01852">
        <w:rPr>
          <w:sz w:val="24"/>
        </w:rPr>
        <w:t xml:space="preserve">required to submit the case binder </w:t>
      </w:r>
      <w:r>
        <w:rPr>
          <w:sz w:val="24"/>
        </w:rPr>
        <w:t xml:space="preserve">to HUD </w:t>
      </w:r>
      <w:r w:rsidRPr="00E01852">
        <w:rPr>
          <w:sz w:val="24"/>
        </w:rPr>
        <w:t>for insurance</w:t>
      </w:r>
      <w:r>
        <w:rPr>
          <w:sz w:val="24"/>
        </w:rPr>
        <w:t xml:space="preserve"> endorsement</w:t>
      </w:r>
      <w:r w:rsidRPr="00E01852">
        <w:rPr>
          <w:sz w:val="24"/>
        </w:rPr>
        <w:t xml:space="preserve">. The LI Lenders </w:t>
      </w:r>
      <w:r>
        <w:rPr>
          <w:sz w:val="24"/>
        </w:rPr>
        <w:t xml:space="preserve">have authority to </w:t>
      </w:r>
      <w:r>
        <w:rPr>
          <w:sz w:val="24"/>
          <w:szCs w:val="24"/>
        </w:rPr>
        <w:t xml:space="preserve">endorse </w:t>
      </w:r>
      <w:r w:rsidRPr="00E01852">
        <w:rPr>
          <w:sz w:val="24"/>
          <w:szCs w:val="24"/>
        </w:rPr>
        <w:t>their loans</w:t>
      </w:r>
      <w:r>
        <w:rPr>
          <w:sz w:val="24"/>
          <w:szCs w:val="24"/>
        </w:rPr>
        <w:t xml:space="preserve"> for insurance and do so electronically</w:t>
      </w:r>
      <w:r w:rsidRPr="00E01852">
        <w:rPr>
          <w:sz w:val="24"/>
          <w:szCs w:val="24"/>
        </w:rPr>
        <w:t xml:space="preserve">. The chart below shows the rate in which lenders are moving towards </w:t>
      </w:r>
      <w:r>
        <w:rPr>
          <w:sz w:val="24"/>
          <w:szCs w:val="24"/>
        </w:rPr>
        <w:t>participating in the LI program as of 20</w:t>
      </w:r>
      <w:r w:rsidR="00CF57F6">
        <w:rPr>
          <w:sz w:val="24"/>
          <w:szCs w:val="24"/>
        </w:rPr>
        <w:t>19</w:t>
      </w:r>
      <w:r>
        <w:rPr>
          <w:sz w:val="24"/>
          <w:szCs w:val="24"/>
        </w:rPr>
        <w:t xml:space="preserve"> through 20</w:t>
      </w:r>
      <w:r w:rsidR="00CF57F6">
        <w:rPr>
          <w:sz w:val="24"/>
          <w:szCs w:val="24"/>
        </w:rPr>
        <w:t>23</w:t>
      </w:r>
      <w:r>
        <w:rPr>
          <w:sz w:val="24"/>
          <w:szCs w:val="24"/>
        </w:rPr>
        <w:t xml:space="preserve">.  </w:t>
      </w:r>
    </w:p>
    <w:p w:rsidR="00A038E4" w:rsidRPr="00827360" w:rsidP="008E2235" w14:paraId="419A88ED" w14:textId="77777777">
      <w:pPr>
        <w:spacing w:line="240" w:lineRule="atLeast"/>
        <w:rPr>
          <w:sz w:val="24"/>
          <w:szCs w:val="24"/>
        </w:rPr>
      </w:pPr>
    </w:p>
    <w:p w:rsidR="004974D6" w:rsidRPr="00827360" w:rsidP="00FC1090" w14:paraId="0420DA59" w14:textId="77777777">
      <w:pPr>
        <w:spacing w:line="240" w:lineRule="atLeast"/>
        <w:ind w:left="360"/>
        <w:jc w:val="center"/>
        <w:rPr>
          <w:sz w:val="24"/>
          <w:szCs w:val="24"/>
        </w:rPr>
      </w:pPr>
    </w:p>
    <w:tbl>
      <w:tblPr>
        <w:tblStyle w:val="TableGrid"/>
        <w:tblW w:w="0" w:type="auto"/>
        <w:tblInd w:w="607" w:type="dxa"/>
        <w:tblLook w:val="04A0"/>
      </w:tblPr>
      <w:tblGrid>
        <w:gridCol w:w="738"/>
        <w:gridCol w:w="2520"/>
        <w:gridCol w:w="2880"/>
        <w:gridCol w:w="2700"/>
      </w:tblGrid>
      <w:tr w14:paraId="4B65404B" w14:textId="77777777" w:rsidTr="00757C44">
        <w:tblPrEx>
          <w:tblW w:w="0" w:type="auto"/>
          <w:tblInd w:w="607" w:type="dxa"/>
          <w:tblLook w:val="04A0"/>
        </w:tblPrEx>
        <w:trPr>
          <w:trHeight w:val="950"/>
        </w:trPr>
        <w:tc>
          <w:tcPr>
            <w:tcW w:w="738" w:type="dxa"/>
          </w:tcPr>
          <w:p w:rsidR="00551F1E" w:rsidRPr="00827360" w:rsidP="00FC1090" w14:paraId="7B6548C4" w14:textId="77777777">
            <w:pPr>
              <w:spacing w:line="240" w:lineRule="atLeast"/>
              <w:jc w:val="center"/>
              <w:rPr>
                <w:b/>
                <w:sz w:val="24"/>
                <w:szCs w:val="24"/>
              </w:rPr>
            </w:pPr>
            <w:bookmarkStart w:id="0" w:name="_Hlk161326444"/>
            <w:r w:rsidRPr="00827360">
              <w:rPr>
                <w:b/>
                <w:sz w:val="24"/>
                <w:szCs w:val="24"/>
              </w:rPr>
              <w:t>CY</w:t>
            </w:r>
          </w:p>
        </w:tc>
        <w:tc>
          <w:tcPr>
            <w:tcW w:w="2520" w:type="dxa"/>
          </w:tcPr>
          <w:p w:rsidR="00551F1E" w:rsidRPr="00E01852" w:rsidP="00FC1090" w14:paraId="77A58F7F" w14:textId="609A9E94">
            <w:pPr>
              <w:spacing w:line="240" w:lineRule="atLeast"/>
              <w:jc w:val="center"/>
              <w:rPr>
                <w:b/>
                <w:sz w:val="24"/>
                <w:szCs w:val="24"/>
              </w:rPr>
            </w:pPr>
            <w:bookmarkStart w:id="1" w:name="_Hlk44486366"/>
            <w:r w:rsidRPr="00E01852">
              <w:rPr>
                <w:b/>
                <w:sz w:val="24"/>
                <w:szCs w:val="24"/>
              </w:rPr>
              <w:t xml:space="preserve">Number of </w:t>
            </w:r>
            <w:r w:rsidRPr="00E01852" w:rsidR="00827360">
              <w:rPr>
                <w:b/>
                <w:sz w:val="24"/>
                <w:szCs w:val="24"/>
              </w:rPr>
              <w:t xml:space="preserve">Non </w:t>
            </w:r>
            <w:r w:rsidRPr="00E01852">
              <w:rPr>
                <w:b/>
                <w:sz w:val="24"/>
                <w:szCs w:val="24"/>
              </w:rPr>
              <w:t>Lender</w:t>
            </w:r>
            <w:r w:rsidRPr="00E01852" w:rsidR="00827360">
              <w:rPr>
                <w:b/>
                <w:sz w:val="24"/>
                <w:szCs w:val="24"/>
              </w:rPr>
              <w:t>-</w:t>
            </w:r>
            <w:r w:rsidRPr="00E01852">
              <w:rPr>
                <w:b/>
                <w:sz w:val="24"/>
                <w:szCs w:val="24"/>
              </w:rPr>
              <w:t xml:space="preserve">Insured Cases </w:t>
            </w:r>
            <w:r w:rsidRPr="00E01852" w:rsidR="005D611B">
              <w:rPr>
                <w:b/>
                <w:sz w:val="24"/>
                <w:szCs w:val="24"/>
              </w:rPr>
              <w:t>Endors</w:t>
            </w:r>
            <w:r w:rsidRPr="00E01852">
              <w:rPr>
                <w:b/>
                <w:sz w:val="24"/>
                <w:szCs w:val="24"/>
              </w:rPr>
              <w:t>ed</w:t>
            </w:r>
            <w:bookmarkEnd w:id="1"/>
          </w:p>
        </w:tc>
        <w:tc>
          <w:tcPr>
            <w:tcW w:w="2880" w:type="dxa"/>
          </w:tcPr>
          <w:p w:rsidR="00551F1E" w:rsidRPr="00E01852" w:rsidP="00FC1090" w14:paraId="257EE490" w14:textId="17B45D02">
            <w:pPr>
              <w:spacing w:line="240" w:lineRule="atLeast"/>
              <w:jc w:val="center"/>
              <w:rPr>
                <w:b/>
                <w:sz w:val="24"/>
                <w:szCs w:val="24"/>
              </w:rPr>
            </w:pPr>
            <w:bookmarkStart w:id="2" w:name="_Hlk44486377"/>
            <w:r w:rsidRPr="00E01852">
              <w:rPr>
                <w:b/>
                <w:sz w:val="24"/>
                <w:szCs w:val="24"/>
              </w:rPr>
              <w:t>Number of Lender</w:t>
            </w:r>
            <w:r w:rsidRPr="00E01852" w:rsidR="00827360">
              <w:rPr>
                <w:b/>
                <w:sz w:val="24"/>
                <w:szCs w:val="24"/>
              </w:rPr>
              <w:t>-</w:t>
            </w:r>
            <w:r w:rsidRPr="00E01852">
              <w:rPr>
                <w:b/>
                <w:sz w:val="24"/>
                <w:szCs w:val="24"/>
              </w:rPr>
              <w:t>Insured</w:t>
            </w:r>
            <w:r w:rsidRPr="00E01852" w:rsidR="00827360">
              <w:rPr>
                <w:b/>
                <w:sz w:val="24"/>
                <w:szCs w:val="24"/>
              </w:rPr>
              <w:t xml:space="preserve"> </w:t>
            </w:r>
            <w:r w:rsidRPr="00E01852">
              <w:rPr>
                <w:b/>
                <w:sz w:val="24"/>
                <w:szCs w:val="24"/>
              </w:rPr>
              <w:t xml:space="preserve">Cases </w:t>
            </w:r>
            <w:r w:rsidRPr="00E01852" w:rsidR="005D611B">
              <w:rPr>
                <w:b/>
                <w:sz w:val="24"/>
                <w:szCs w:val="24"/>
              </w:rPr>
              <w:t>Endorsed</w:t>
            </w:r>
            <w:r w:rsidRPr="00E01852" w:rsidR="00827360">
              <w:rPr>
                <w:b/>
                <w:sz w:val="24"/>
                <w:szCs w:val="24"/>
              </w:rPr>
              <w:t xml:space="preserve"> (Electronic</w:t>
            </w:r>
            <w:r w:rsidRPr="00E01852" w:rsidR="00757C44">
              <w:rPr>
                <w:b/>
                <w:sz w:val="24"/>
                <w:szCs w:val="24"/>
              </w:rPr>
              <w:t>ally</w:t>
            </w:r>
            <w:r w:rsidRPr="00E01852" w:rsidR="00827360">
              <w:rPr>
                <w:b/>
                <w:sz w:val="24"/>
                <w:szCs w:val="24"/>
              </w:rPr>
              <w:t>)</w:t>
            </w:r>
            <w:bookmarkEnd w:id="2"/>
          </w:p>
        </w:tc>
        <w:tc>
          <w:tcPr>
            <w:tcW w:w="2700" w:type="dxa"/>
          </w:tcPr>
          <w:p w:rsidR="00551F1E" w:rsidRPr="00827360" w:rsidP="00FC1090" w14:paraId="101331AC" w14:textId="77777777">
            <w:pPr>
              <w:spacing w:line="240" w:lineRule="atLeast"/>
              <w:jc w:val="center"/>
              <w:rPr>
                <w:b/>
                <w:sz w:val="24"/>
                <w:szCs w:val="24"/>
              </w:rPr>
            </w:pPr>
            <w:r w:rsidRPr="00827360">
              <w:rPr>
                <w:b/>
                <w:sz w:val="24"/>
                <w:szCs w:val="24"/>
              </w:rPr>
              <w:t>Total Number of Cases Insured</w:t>
            </w:r>
          </w:p>
        </w:tc>
      </w:tr>
      <w:tr w14:paraId="0FE20C14" w14:textId="77777777" w:rsidTr="00757C44">
        <w:tblPrEx>
          <w:tblW w:w="0" w:type="auto"/>
          <w:tblInd w:w="607" w:type="dxa"/>
          <w:tblLook w:val="04A0"/>
        </w:tblPrEx>
        <w:tc>
          <w:tcPr>
            <w:tcW w:w="738" w:type="dxa"/>
          </w:tcPr>
          <w:p w:rsidR="00870BA8" w:rsidRPr="00827360" w:rsidP="00870BA8" w14:paraId="0660488E" w14:textId="3EE4AABC">
            <w:pPr>
              <w:spacing w:line="240" w:lineRule="atLeast"/>
              <w:jc w:val="center"/>
              <w:rPr>
                <w:sz w:val="24"/>
                <w:szCs w:val="24"/>
              </w:rPr>
            </w:pPr>
            <w:r w:rsidRPr="00FB3C5F">
              <w:rPr>
                <w:sz w:val="24"/>
                <w:szCs w:val="24"/>
              </w:rPr>
              <w:t>2019</w:t>
            </w:r>
          </w:p>
        </w:tc>
        <w:tc>
          <w:tcPr>
            <w:tcW w:w="2520" w:type="dxa"/>
          </w:tcPr>
          <w:p w:rsidR="00870BA8" w:rsidRPr="00827360" w:rsidP="00870BA8" w14:paraId="36CC11C1" w14:textId="184A9F81">
            <w:pPr>
              <w:spacing w:line="240" w:lineRule="atLeast"/>
              <w:rPr>
                <w:sz w:val="24"/>
                <w:szCs w:val="24"/>
              </w:rPr>
            </w:pPr>
            <w:r w:rsidRPr="00FB3C5F">
              <w:rPr>
                <w:sz w:val="24"/>
                <w:szCs w:val="24"/>
              </w:rPr>
              <w:t xml:space="preserve">            127,075</w:t>
            </w:r>
          </w:p>
        </w:tc>
        <w:tc>
          <w:tcPr>
            <w:tcW w:w="2880" w:type="dxa"/>
          </w:tcPr>
          <w:p w:rsidR="00870BA8" w:rsidRPr="00827360" w:rsidP="00870BA8" w14:paraId="4DD1EC5C" w14:textId="014E4123">
            <w:pPr>
              <w:spacing w:line="240" w:lineRule="atLeast"/>
              <w:jc w:val="center"/>
              <w:rPr>
                <w:sz w:val="24"/>
                <w:szCs w:val="24"/>
              </w:rPr>
            </w:pPr>
            <w:r w:rsidRPr="0062023A">
              <w:rPr>
                <w:sz w:val="24"/>
                <w:szCs w:val="24"/>
              </w:rPr>
              <w:t>992,621</w:t>
            </w:r>
          </w:p>
        </w:tc>
        <w:tc>
          <w:tcPr>
            <w:tcW w:w="2700" w:type="dxa"/>
          </w:tcPr>
          <w:p w:rsidR="00870BA8" w:rsidRPr="00827360" w:rsidP="00870BA8" w14:paraId="096557B2" w14:textId="641EA88C">
            <w:pPr>
              <w:spacing w:line="240" w:lineRule="atLeast"/>
              <w:jc w:val="center"/>
              <w:rPr>
                <w:sz w:val="24"/>
                <w:szCs w:val="24"/>
              </w:rPr>
            </w:pPr>
            <w:r w:rsidRPr="00FB3C5F">
              <w:rPr>
                <w:sz w:val="24"/>
                <w:szCs w:val="24"/>
              </w:rPr>
              <w:t>1,119,696</w:t>
            </w:r>
          </w:p>
        </w:tc>
      </w:tr>
      <w:tr w14:paraId="35056014" w14:textId="77777777" w:rsidTr="00757C44">
        <w:tblPrEx>
          <w:tblW w:w="0" w:type="auto"/>
          <w:tblInd w:w="607" w:type="dxa"/>
          <w:tblLook w:val="04A0"/>
        </w:tblPrEx>
        <w:tc>
          <w:tcPr>
            <w:tcW w:w="738" w:type="dxa"/>
          </w:tcPr>
          <w:p w:rsidR="00551F1E" w:rsidRPr="00FB3C5F" w:rsidP="00F43C9F" w14:paraId="6DF60885" w14:textId="0E554447">
            <w:pPr>
              <w:spacing w:line="240" w:lineRule="atLeast"/>
              <w:jc w:val="center"/>
              <w:rPr>
                <w:sz w:val="24"/>
                <w:szCs w:val="24"/>
              </w:rPr>
            </w:pPr>
            <w:r>
              <w:rPr>
                <w:sz w:val="24"/>
                <w:szCs w:val="24"/>
              </w:rPr>
              <w:t>2023</w:t>
            </w:r>
          </w:p>
        </w:tc>
        <w:tc>
          <w:tcPr>
            <w:tcW w:w="2520" w:type="dxa"/>
          </w:tcPr>
          <w:p w:rsidR="00551F1E" w:rsidRPr="00FB3C5F" w:rsidP="00551F1E" w14:paraId="12B1CB6F" w14:textId="23072B4F">
            <w:pPr>
              <w:spacing w:line="240" w:lineRule="atLeast"/>
              <w:rPr>
                <w:sz w:val="24"/>
                <w:szCs w:val="24"/>
              </w:rPr>
            </w:pPr>
            <w:r>
              <w:rPr>
                <w:sz w:val="24"/>
                <w:szCs w:val="24"/>
              </w:rPr>
              <w:t xml:space="preserve">            160,023</w:t>
            </w:r>
          </w:p>
        </w:tc>
        <w:tc>
          <w:tcPr>
            <w:tcW w:w="2880" w:type="dxa"/>
          </w:tcPr>
          <w:p w:rsidR="00551F1E" w:rsidRPr="0062023A" w:rsidP="00551F1E" w14:paraId="49D61134" w14:textId="2F0CB4A4">
            <w:pPr>
              <w:spacing w:line="240" w:lineRule="atLeast"/>
              <w:jc w:val="center"/>
              <w:rPr>
                <w:sz w:val="24"/>
                <w:szCs w:val="24"/>
              </w:rPr>
            </w:pPr>
            <w:r>
              <w:rPr>
                <w:sz w:val="24"/>
                <w:szCs w:val="24"/>
              </w:rPr>
              <w:t>577,253</w:t>
            </w:r>
          </w:p>
        </w:tc>
        <w:tc>
          <w:tcPr>
            <w:tcW w:w="2700" w:type="dxa"/>
          </w:tcPr>
          <w:p w:rsidR="00551F1E" w:rsidRPr="00FB3C5F" w:rsidP="00FC1090" w14:paraId="345ED45A" w14:textId="328E69A9">
            <w:pPr>
              <w:spacing w:line="240" w:lineRule="atLeast"/>
              <w:jc w:val="center"/>
              <w:rPr>
                <w:sz w:val="24"/>
                <w:szCs w:val="24"/>
              </w:rPr>
            </w:pPr>
            <w:r>
              <w:rPr>
                <w:sz w:val="24"/>
                <w:szCs w:val="24"/>
              </w:rPr>
              <w:t>737,2</w:t>
            </w:r>
            <w:r w:rsidR="00D00E2B">
              <w:rPr>
                <w:sz w:val="24"/>
                <w:szCs w:val="24"/>
              </w:rPr>
              <w:t>7</w:t>
            </w:r>
            <w:r>
              <w:rPr>
                <w:sz w:val="24"/>
                <w:szCs w:val="24"/>
              </w:rPr>
              <w:t>6</w:t>
            </w:r>
          </w:p>
        </w:tc>
      </w:tr>
    </w:tbl>
    <w:p w:rsidR="004974D6" w:rsidRPr="00FB3C5F" w:rsidP="00FC1090" w14:paraId="2A43C1DF" w14:textId="77777777">
      <w:pPr>
        <w:spacing w:line="240" w:lineRule="atLeast"/>
        <w:ind w:left="360"/>
        <w:jc w:val="center"/>
        <w:rPr>
          <w:sz w:val="24"/>
        </w:rPr>
      </w:pPr>
    </w:p>
    <w:bookmarkEnd w:id="0"/>
    <w:p w:rsidR="00FC1090" w14:paraId="0471635A" w14:textId="77777777">
      <w:pPr>
        <w:pStyle w:val="BodyTextIndent"/>
        <w:tabs>
          <w:tab w:val="left" w:pos="720"/>
        </w:tabs>
        <w:ind w:left="0"/>
        <w:rPr>
          <w:sz w:val="24"/>
        </w:rPr>
      </w:pPr>
    </w:p>
    <w:p w:rsidR="00F609EE" w:rsidRPr="0012152C" w:rsidP="00430661" w14:paraId="3487298E" w14:textId="620DD485">
      <w:pPr>
        <w:pStyle w:val="BodyTextIndent"/>
        <w:numPr>
          <w:ilvl w:val="0"/>
          <w:numId w:val="2"/>
        </w:numPr>
        <w:tabs>
          <w:tab w:val="num" w:pos="360"/>
          <w:tab w:val="left" w:pos="720"/>
        </w:tabs>
        <w:ind w:left="360"/>
        <w:rPr>
          <w:b/>
          <w:bCs/>
          <w:sz w:val="24"/>
        </w:rPr>
      </w:pPr>
      <w:r w:rsidRPr="0012152C">
        <w:rPr>
          <w:b/>
          <w:bCs/>
          <w:sz w:val="24"/>
        </w:rPr>
        <w:t>Describe the e</w:t>
      </w:r>
      <w:r w:rsidRPr="0012152C" w:rsidR="00C85C96">
        <w:rPr>
          <w:b/>
          <w:bCs/>
          <w:sz w:val="24"/>
        </w:rPr>
        <w:t>ffort to</w:t>
      </w:r>
      <w:r w:rsidRPr="0012152C">
        <w:rPr>
          <w:b/>
          <w:bCs/>
          <w:sz w:val="24"/>
        </w:rPr>
        <w:t xml:space="preserve"> </w:t>
      </w:r>
      <w:r w:rsidRPr="0012152C" w:rsidR="00C85C96">
        <w:rPr>
          <w:b/>
          <w:bCs/>
          <w:sz w:val="24"/>
          <w:szCs w:val="24"/>
        </w:rPr>
        <w:t>identify duplication. Show specifically why any similar information already available cannot be used or modified for use for the purposes described in Item 2 above.</w:t>
      </w:r>
    </w:p>
    <w:p w:rsidR="00C85C96" w:rsidRPr="0012152C" w:rsidP="00C85C96" w14:paraId="35A88290" w14:textId="77777777">
      <w:pPr>
        <w:pStyle w:val="BodyTextIndent"/>
        <w:tabs>
          <w:tab w:val="clear" w:pos="360"/>
          <w:tab w:val="left" w:pos="720"/>
        </w:tabs>
        <w:rPr>
          <w:b/>
          <w:bCs/>
          <w:sz w:val="24"/>
        </w:rPr>
      </w:pPr>
    </w:p>
    <w:p w:rsidR="009D6C74" w:rsidP="00C85C96" w14:paraId="0CFD3749" w14:textId="4B9C2023">
      <w:pPr>
        <w:pStyle w:val="BodyTextIndent"/>
        <w:tabs>
          <w:tab w:val="clear" w:pos="360"/>
          <w:tab w:val="left" w:pos="720"/>
        </w:tabs>
        <w:rPr>
          <w:sz w:val="24"/>
        </w:rPr>
      </w:pPr>
      <w:r>
        <w:rPr>
          <w:sz w:val="24"/>
        </w:rPr>
        <w:t>There is no duplication of effort. Each requirement is made only once for each FHA-insured loan.</w:t>
      </w:r>
      <w:r w:rsidR="00492415">
        <w:rPr>
          <w:sz w:val="24"/>
        </w:rPr>
        <w:t xml:space="preserve">  The total number of FHA cases </w:t>
      </w:r>
      <w:r w:rsidR="0098751D">
        <w:rPr>
          <w:sz w:val="24"/>
        </w:rPr>
        <w:t>insured in</w:t>
      </w:r>
      <w:r w:rsidR="00492415">
        <w:rPr>
          <w:sz w:val="24"/>
        </w:rPr>
        <w:t xml:space="preserve"> 20</w:t>
      </w:r>
      <w:r w:rsidR="00870BA8">
        <w:rPr>
          <w:sz w:val="24"/>
        </w:rPr>
        <w:t>23</w:t>
      </w:r>
      <w:r w:rsidR="00492415">
        <w:rPr>
          <w:sz w:val="24"/>
        </w:rPr>
        <w:t xml:space="preserve"> </w:t>
      </w:r>
      <w:r w:rsidR="00ED09AF">
        <w:rPr>
          <w:sz w:val="24"/>
        </w:rPr>
        <w:t>wa</w:t>
      </w:r>
      <w:r w:rsidR="00492415">
        <w:rPr>
          <w:sz w:val="24"/>
        </w:rPr>
        <w:t xml:space="preserve">s </w:t>
      </w:r>
      <w:r w:rsidR="00870BA8">
        <w:rPr>
          <w:sz w:val="24"/>
          <w:szCs w:val="24"/>
        </w:rPr>
        <w:t>737,2</w:t>
      </w:r>
      <w:r w:rsidR="00D00E2B">
        <w:rPr>
          <w:sz w:val="24"/>
          <w:szCs w:val="24"/>
        </w:rPr>
        <w:t>7</w:t>
      </w:r>
      <w:r w:rsidR="00870BA8">
        <w:rPr>
          <w:sz w:val="24"/>
          <w:szCs w:val="24"/>
        </w:rPr>
        <w:t>6</w:t>
      </w:r>
      <w:r w:rsidR="00492415">
        <w:rPr>
          <w:sz w:val="24"/>
        </w:rPr>
        <w:t>.</w:t>
      </w:r>
    </w:p>
    <w:p w:rsidR="009D6C74" w:rsidP="00C87B35" w14:paraId="693E98D9" w14:textId="77777777">
      <w:pPr>
        <w:pStyle w:val="BodyTextIndent2"/>
        <w:ind w:left="0" w:firstLine="0"/>
        <w:rPr>
          <w:sz w:val="24"/>
        </w:rPr>
      </w:pPr>
    </w:p>
    <w:p w:rsidR="00C85C96" w:rsidRPr="0012152C" w:rsidP="00C85C96" w14:paraId="30CC37E8" w14:textId="51C0E137">
      <w:pPr>
        <w:pStyle w:val="BodyTextIndent2"/>
        <w:numPr>
          <w:ilvl w:val="0"/>
          <w:numId w:val="2"/>
        </w:numPr>
        <w:tabs>
          <w:tab w:val="num" w:pos="360"/>
        </w:tabs>
        <w:ind w:left="360"/>
        <w:rPr>
          <w:b/>
          <w:bCs/>
          <w:sz w:val="24"/>
        </w:rPr>
      </w:pPr>
      <w:r w:rsidRPr="0012152C">
        <w:rPr>
          <w:b/>
          <w:bCs/>
          <w:sz w:val="24"/>
        </w:rPr>
        <w:t xml:space="preserve">If the collection of information impacts small businesses </w:t>
      </w:r>
      <w:r w:rsidRPr="0012152C">
        <w:rPr>
          <w:b/>
          <w:bCs/>
          <w:sz w:val="24"/>
          <w:szCs w:val="24"/>
        </w:rPr>
        <w:t xml:space="preserve">or other small entities (Item 5 of OMB Form 83-I), describe any methods used to minimize burden. </w:t>
      </w:r>
      <w:r w:rsidRPr="0012152C">
        <w:rPr>
          <w:b/>
          <w:bCs/>
          <w:sz w:val="24"/>
        </w:rPr>
        <w:t xml:space="preserve"> </w:t>
      </w:r>
    </w:p>
    <w:p w:rsidR="00C85C96" w:rsidP="00C85C96" w14:paraId="68E7AB3D" w14:textId="77777777">
      <w:pPr>
        <w:pStyle w:val="BodyTextIndent2"/>
        <w:tabs>
          <w:tab w:val="clear" w:pos="360"/>
        </w:tabs>
        <w:ind w:left="360" w:firstLine="0"/>
        <w:rPr>
          <w:sz w:val="24"/>
        </w:rPr>
      </w:pPr>
    </w:p>
    <w:p w:rsidR="009D6C74" w:rsidRPr="00C85C96" w:rsidP="00C85C96" w14:paraId="217AB8EA" w14:textId="0293531A">
      <w:pPr>
        <w:pStyle w:val="BodyTextIndent2"/>
        <w:tabs>
          <w:tab w:val="clear" w:pos="360"/>
        </w:tabs>
        <w:ind w:left="360" w:firstLine="0"/>
        <w:rPr>
          <w:sz w:val="24"/>
        </w:rPr>
      </w:pPr>
      <w:r w:rsidRPr="00C85C96">
        <w:rPr>
          <w:sz w:val="24"/>
        </w:rPr>
        <w:t>Typically, small business</w:t>
      </w:r>
      <w:r w:rsidRPr="00C85C96" w:rsidR="008970BA">
        <w:rPr>
          <w:sz w:val="24"/>
        </w:rPr>
        <w:t xml:space="preserve">es </w:t>
      </w:r>
      <w:r w:rsidRPr="00C85C96">
        <w:rPr>
          <w:sz w:val="24"/>
        </w:rPr>
        <w:t>are not involved in the mortgage application process and no attempt was made to modify the requirements to accommodate small businesses. The Department believes that the burden estimate associated with these information collections are the minimum needed to make certain that statutory and regulatory requirements are being met and the integrity of the insurance fund is maintained.</w:t>
      </w:r>
    </w:p>
    <w:p w:rsidR="009D6C74" w:rsidP="00C87B35" w14:paraId="7C14BB0D" w14:textId="77777777">
      <w:pPr>
        <w:tabs>
          <w:tab w:val="left" w:pos="360"/>
        </w:tabs>
        <w:ind w:left="90" w:hanging="360"/>
        <w:rPr>
          <w:sz w:val="24"/>
        </w:rPr>
      </w:pPr>
    </w:p>
    <w:p w:rsidR="00C85C96" w:rsidRPr="00C85C96" w:rsidP="00C85C96" w14:paraId="14464156" w14:textId="77777777">
      <w:pPr>
        <w:numPr>
          <w:ilvl w:val="0"/>
          <w:numId w:val="2"/>
        </w:numPr>
        <w:tabs>
          <w:tab w:val="num" w:pos="360"/>
        </w:tabs>
        <w:ind w:left="360"/>
        <w:rPr>
          <w:sz w:val="24"/>
        </w:rPr>
      </w:pPr>
      <w:r w:rsidRPr="0012152C">
        <w:rPr>
          <w:b/>
          <w:bCs/>
          <w:sz w:val="24"/>
        </w:rPr>
        <w:t>Describe the consequences to Federal program or policy activities if the collection is not conducted or is conducted less frequently, as well as any technical or legal obstacles to reducing</w:t>
      </w:r>
      <w:r w:rsidRPr="00C85C96">
        <w:rPr>
          <w:sz w:val="24"/>
        </w:rPr>
        <w:t xml:space="preserve"> </w:t>
      </w:r>
      <w:r w:rsidRPr="0012152C">
        <w:rPr>
          <w:b/>
          <w:bCs/>
          <w:sz w:val="24"/>
        </w:rPr>
        <w:t>burden.</w:t>
      </w:r>
      <w:r w:rsidRPr="00C85C96">
        <w:rPr>
          <w:sz w:val="24"/>
        </w:rPr>
        <w:t xml:space="preserve"> </w:t>
      </w:r>
    </w:p>
    <w:p w:rsidR="00C85C96" w:rsidP="00C85C96" w14:paraId="79DC543B" w14:textId="77777777">
      <w:pPr>
        <w:ind w:left="360"/>
        <w:rPr>
          <w:sz w:val="24"/>
        </w:rPr>
      </w:pPr>
    </w:p>
    <w:p w:rsidR="009D6C74" w:rsidP="00C85C96" w14:paraId="4258DDF4" w14:textId="3F93275D">
      <w:pPr>
        <w:ind w:left="360"/>
        <w:rPr>
          <w:sz w:val="24"/>
        </w:rPr>
      </w:pPr>
      <w:r>
        <w:rPr>
          <w:sz w:val="24"/>
        </w:rPr>
        <w:t xml:space="preserve">The Department will not be able to verify that a mortgage has been properly recorded and is eligible for FHA </w:t>
      </w:r>
      <w:r w:rsidR="00E81421">
        <w:rPr>
          <w:sz w:val="24"/>
        </w:rPr>
        <w:t>i</w:t>
      </w:r>
      <w:r>
        <w:rPr>
          <w:sz w:val="24"/>
        </w:rPr>
        <w:t>nsurance</w:t>
      </w:r>
      <w:r w:rsidR="00E81421">
        <w:rPr>
          <w:sz w:val="24"/>
        </w:rPr>
        <w:t xml:space="preserve"> endorsement</w:t>
      </w:r>
      <w:r>
        <w:rPr>
          <w:sz w:val="24"/>
        </w:rPr>
        <w:t xml:space="preserve"> if the information is not collected. </w:t>
      </w:r>
      <w:r w:rsidR="00E81421">
        <w:rPr>
          <w:sz w:val="24"/>
        </w:rPr>
        <w:t xml:space="preserve">Aside from violating the </w:t>
      </w:r>
      <w:r w:rsidR="00D71EC7">
        <w:rPr>
          <w:sz w:val="24"/>
        </w:rPr>
        <w:t>National Housing Act (</w:t>
      </w:r>
      <w:r w:rsidR="00E81421">
        <w:rPr>
          <w:sz w:val="24"/>
        </w:rPr>
        <w:t>NHA</w:t>
      </w:r>
      <w:r w:rsidR="00D71EC7">
        <w:rPr>
          <w:sz w:val="24"/>
        </w:rPr>
        <w:t>)</w:t>
      </w:r>
      <w:r w:rsidR="00E81421">
        <w:rPr>
          <w:sz w:val="24"/>
        </w:rPr>
        <w:t xml:space="preserve">, </w:t>
      </w:r>
      <w:r>
        <w:rPr>
          <w:sz w:val="24"/>
        </w:rPr>
        <w:t xml:space="preserve">FHA </w:t>
      </w:r>
      <w:r w:rsidR="00E81421">
        <w:rPr>
          <w:sz w:val="24"/>
        </w:rPr>
        <w:t>would be assuming risk</w:t>
      </w:r>
      <w:r>
        <w:rPr>
          <w:sz w:val="24"/>
        </w:rPr>
        <w:t xml:space="preserve"> </w:t>
      </w:r>
      <w:r w:rsidR="00E81421">
        <w:rPr>
          <w:sz w:val="24"/>
        </w:rPr>
        <w:t xml:space="preserve">to the insurance fund </w:t>
      </w:r>
      <w:r>
        <w:rPr>
          <w:sz w:val="24"/>
        </w:rPr>
        <w:t xml:space="preserve">by </w:t>
      </w:r>
      <w:r w:rsidR="00E81421">
        <w:rPr>
          <w:sz w:val="24"/>
        </w:rPr>
        <w:t xml:space="preserve">potentially having to pay </w:t>
      </w:r>
      <w:r>
        <w:rPr>
          <w:sz w:val="24"/>
        </w:rPr>
        <w:t>claims for mortgages</w:t>
      </w:r>
      <w:r w:rsidR="00E81421">
        <w:rPr>
          <w:sz w:val="24"/>
        </w:rPr>
        <w:t xml:space="preserve"> that should</w:t>
      </w:r>
      <w:r>
        <w:rPr>
          <w:sz w:val="24"/>
        </w:rPr>
        <w:t xml:space="preserve"> not </w:t>
      </w:r>
      <w:r w:rsidR="00E81421">
        <w:rPr>
          <w:sz w:val="24"/>
        </w:rPr>
        <w:t xml:space="preserve">have been endorsement for insurance.  </w:t>
      </w:r>
    </w:p>
    <w:p w:rsidR="00C87B35" w:rsidP="00C87B35" w14:paraId="76006E79" w14:textId="77777777">
      <w:pPr>
        <w:tabs>
          <w:tab w:val="left" w:pos="360"/>
        </w:tabs>
        <w:rPr>
          <w:sz w:val="24"/>
        </w:rPr>
      </w:pPr>
    </w:p>
    <w:p w:rsidR="00A8431C" w:rsidRPr="0012152C" w:rsidP="00BC0E9A" w14:paraId="40BE43A9" w14:textId="0A337345">
      <w:pPr>
        <w:pStyle w:val="ListParagraph"/>
        <w:numPr>
          <w:ilvl w:val="0"/>
          <w:numId w:val="2"/>
        </w:numPr>
        <w:rPr>
          <w:b/>
          <w:bCs/>
          <w:sz w:val="24"/>
          <w:szCs w:val="24"/>
        </w:rPr>
      </w:pPr>
      <w:r w:rsidRPr="0012152C">
        <w:rPr>
          <w:b/>
          <w:bCs/>
          <w:sz w:val="24"/>
          <w:szCs w:val="24"/>
        </w:rPr>
        <w:t>Expla</w:t>
      </w:r>
      <w:r w:rsidRPr="0012152C" w:rsidR="00C85C96">
        <w:rPr>
          <w:b/>
          <w:bCs/>
          <w:sz w:val="24"/>
          <w:szCs w:val="24"/>
        </w:rPr>
        <w:t>i</w:t>
      </w:r>
      <w:r w:rsidRPr="0012152C">
        <w:rPr>
          <w:b/>
          <w:bCs/>
          <w:sz w:val="24"/>
          <w:szCs w:val="24"/>
        </w:rPr>
        <w:t xml:space="preserve">n </w:t>
      </w:r>
      <w:r w:rsidRPr="0012152C" w:rsidR="00C85C96">
        <w:rPr>
          <w:b/>
          <w:bCs/>
          <w:sz w:val="24"/>
          <w:szCs w:val="24"/>
        </w:rPr>
        <w:t>any special circumstances that would cause an information collection to</w:t>
      </w:r>
      <w:r w:rsidRPr="00BC0E9A" w:rsidR="00C85C96">
        <w:rPr>
          <w:sz w:val="24"/>
          <w:szCs w:val="24"/>
        </w:rPr>
        <w:t xml:space="preserve"> </w:t>
      </w:r>
      <w:r w:rsidRPr="0012152C" w:rsidR="00C85C96">
        <w:rPr>
          <w:b/>
          <w:bCs/>
          <w:sz w:val="24"/>
          <w:szCs w:val="24"/>
        </w:rPr>
        <w:t>be conducted in a manner:</w:t>
      </w:r>
    </w:p>
    <w:p w:rsidR="00BC0E9A" w:rsidRPr="00BC0E9A" w:rsidP="00BC0E9A" w14:paraId="75B70B25" w14:textId="77777777">
      <w:pPr>
        <w:pStyle w:val="ListParagraph"/>
        <w:ind w:left="630"/>
        <w:rPr>
          <w:sz w:val="24"/>
          <w:szCs w:val="24"/>
        </w:rPr>
      </w:pPr>
    </w:p>
    <w:p w:rsidR="00A8431C" w:rsidRPr="00BC0E9A" w:rsidP="00C87B35" w14:paraId="4AAEEE9C" w14:textId="60161587">
      <w:pPr>
        <w:tabs>
          <w:tab w:val="left" w:pos="360"/>
        </w:tabs>
        <w:rPr>
          <w:sz w:val="24"/>
        </w:rPr>
      </w:pPr>
      <w:r>
        <w:rPr>
          <w:sz w:val="24"/>
        </w:rPr>
        <w:t xml:space="preserve">      </w:t>
      </w:r>
      <w:r w:rsidRPr="00BC0E9A">
        <w:rPr>
          <w:sz w:val="24"/>
          <w:szCs w:val="24"/>
        </w:rPr>
        <w:t>* requiring respondents to report information to the agency more often than quarterly</w:t>
      </w:r>
      <w:r w:rsidR="00BC0E9A">
        <w:rPr>
          <w:sz w:val="24"/>
          <w:szCs w:val="24"/>
        </w:rPr>
        <w:t>;</w:t>
      </w:r>
    </w:p>
    <w:p w:rsidR="00627A19" w:rsidRPr="00BC0E9A" w:rsidP="00430661" w14:paraId="68AEBC7D" w14:textId="35B32112">
      <w:pPr>
        <w:pStyle w:val="ListParagraph"/>
        <w:numPr>
          <w:ilvl w:val="0"/>
          <w:numId w:val="3"/>
        </w:numPr>
        <w:tabs>
          <w:tab w:val="left" w:pos="360"/>
        </w:tabs>
        <w:rPr>
          <w:sz w:val="24"/>
          <w:szCs w:val="24"/>
        </w:rPr>
      </w:pPr>
      <w:r w:rsidRPr="00BC0E9A">
        <w:rPr>
          <w:sz w:val="24"/>
        </w:rPr>
        <w:t>The collections are made at minimum frequency</w:t>
      </w:r>
      <w:r w:rsidRPr="00BC0E9A" w:rsidR="00CB143E">
        <w:rPr>
          <w:sz w:val="24"/>
        </w:rPr>
        <w:t xml:space="preserve"> -</w:t>
      </w:r>
      <w:r w:rsidRPr="00BC0E9A">
        <w:rPr>
          <w:sz w:val="24"/>
        </w:rPr>
        <w:t xml:space="preserve"> once per loan transaction.  </w:t>
      </w:r>
    </w:p>
    <w:p w:rsidR="00BC0E9A" w:rsidRPr="00BC0E9A" w:rsidP="00BC0E9A" w14:paraId="3408852F" w14:textId="77777777">
      <w:pPr>
        <w:pStyle w:val="ListParagraph"/>
        <w:tabs>
          <w:tab w:val="left" w:pos="360"/>
        </w:tabs>
        <w:ind w:left="960"/>
        <w:rPr>
          <w:sz w:val="24"/>
          <w:szCs w:val="24"/>
        </w:rPr>
      </w:pPr>
    </w:p>
    <w:p w:rsidR="007025BF" w:rsidRPr="00BC0E9A" w:rsidP="007025BF" w14:paraId="29979824" w14:textId="0B59FAD9">
      <w:pPr>
        <w:tabs>
          <w:tab w:val="left" w:pos="360"/>
        </w:tabs>
        <w:ind w:left="576" w:hanging="576"/>
        <w:rPr>
          <w:sz w:val="24"/>
          <w:szCs w:val="24"/>
        </w:rPr>
      </w:pPr>
      <w:r w:rsidRPr="00BC0E9A">
        <w:rPr>
          <w:sz w:val="24"/>
          <w:szCs w:val="24"/>
        </w:rPr>
        <w:t xml:space="preserve">      * requiring respondents to prepare a written response to a collection of information in fewer than 30 days after receipt of it</w:t>
      </w:r>
      <w:r w:rsidR="00BC0E9A">
        <w:rPr>
          <w:sz w:val="24"/>
          <w:szCs w:val="24"/>
        </w:rPr>
        <w:t>;</w:t>
      </w:r>
    </w:p>
    <w:p w:rsidR="00627A19" w:rsidRPr="00BC0E9A" w:rsidP="00BC0E9A" w14:paraId="21372609" w14:textId="32591CE2">
      <w:pPr>
        <w:pStyle w:val="ListParagraph"/>
        <w:numPr>
          <w:ilvl w:val="0"/>
          <w:numId w:val="3"/>
        </w:numPr>
        <w:rPr>
          <w:sz w:val="24"/>
          <w:szCs w:val="24"/>
        </w:rPr>
      </w:pPr>
      <w:r w:rsidRPr="00BC0E9A">
        <w:rPr>
          <w:sz w:val="24"/>
          <w:szCs w:val="24"/>
        </w:rPr>
        <w:t>Respondents are not required to prepare a written response to a collection of information in fewer than</w:t>
      </w:r>
      <w:r w:rsidR="00BC0E9A">
        <w:rPr>
          <w:sz w:val="24"/>
          <w:szCs w:val="24"/>
        </w:rPr>
        <w:t xml:space="preserve"> </w:t>
      </w:r>
      <w:r w:rsidRPr="00BC0E9A">
        <w:rPr>
          <w:sz w:val="24"/>
          <w:szCs w:val="24"/>
        </w:rPr>
        <w:t>30 days after re</w:t>
      </w:r>
      <w:r w:rsidRPr="00BC0E9A" w:rsidR="0074499D">
        <w:rPr>
          <w:sz w:val="24"/>
          <w:szCs w:val="24"/>
        </w:rPr>
        <w:t>ceipt of request</w:t>
      </w:r>
      <w:r w:rsidRPr="00BC0E9A" w:rsidR="00CB143E">
        <w:rPr>
          <w:sz w:val="24"/>
          <w:szCs w:val="24"/>
        </w:rPr>
        <w:t>.</w:t>
      </w:r>
    </w:p>
    <w:p w:rsidR="00BC0E9A" w:rsidRPr="00BC0E9A" w:rsidP="00A8431C" w14:paraId="42ECDD28" w14:textId="77777777">
      <w:pPr>
        <w:ind w:left="600"/>
        <w:rPr>
          <w:sz w:val="24"/>
          <w:szCs w:val="24"/>
        </w:rPr>
      </w:pPr>
    </w:p>
    <w:p w:rsidR="007025BF" w:rsidRPr="00BC0E9A" w:rsidP="007025BF" w14:paraId="5EE7AC51" w14:textId="77777777">
      <w:pPr>
        <w:rPr>
          <w:sz w:val="24"/>
          <w:szCs w:val="24"/>
        </w:rPr>
      </w:pPr>
      <w:r w:rsidRPr="00BC0E9A">
        <w:rPr>
          <w:sz w:val="24"/>
          <w:szCs w:val="24"/>
        </w:rPr>
        <w:t xml:space="preserve">       * requiring respondents to submit more than an original and two copies of any document; </w:t>
      </w:r>
    </w:p>
    <w:p w:rsidR="007025BF" w:rsidP="007025BF" w14:paraId="0B1BE127" w14:textId="13ED2725">
      <w:pPr>
        <w:pStyle w:val="ListParagraph"/>
        <w:numPr>
          <w:ilvl w:val="0"/>
          <w:numId w:val="4"/>
        </w:numPr>
        <w:rPr>
          <w:sz w:val="24"/>
          <w:szCs w:val="24"/>
        </w:rPr>
      </w:pPr>
      <w:r w:rsidRPr="00BC0E9A">
        <w:rPr>
          <w:sz w:val="24"/>
          <w:szCs w:val="24"/>
        </w:rPr>
        <w:t xml:space="preserve">Respondents are not required to submit more than an original and two copies of any document. </w:t>
      </w:r>
    </w:p>
    <w:p w:rsidR="00BC0E9A" w:rsidRPr="00BC0E9A" w:rsidP="00BC0E9A" w14:paraId="0C03613B" w14:textId="77777777">
      <w:pPr>
        <w:pStyle w:val="ListParagraph"/>
        <w:ind w:left="960"/>
        <w:rPr>
          <w:sz w:val="24"/>
          <w:szCs w:val="24"/>
        </w:rPr>
      </w:pPr>
    </w:p>
    <w:p w:rsidR="007025BF" w:rsidRPr="00BC0E9A" w:rsidP="007025BF" w14:paraId="196A6C34" w14:textId="71F44748">
      <w:pPr>
        <w:ind w:left="576" w:hanging="576"/>
        <w:rPr>
          <w:sz w:val="24"/>
          <w:szCs w:val="24"/>
        </w:rPr>
      </w:pPr>
      <w:r w:rsidRPr="00BC0E9A">
        <w:rPr>
          <w:sz w:val="24"/>
          <w:szCs w:val="24"/>
        </w:rPr>
        <w:t xml:space="preserve">       * requiring respondents to retain records, other than health, medical, government contract, grant-in-aid, or tax records, for more than three years</w:t>
      </w:r>
      <w:r w:rsidR="00BC0E9A">
        <w:rPr>
          <w:sz w:val="24"/>
          <w:szCs w:val="24"/>
        </w:rPr>
        <w:t>;</w:t>
      </w:r>
    </w:p>
    <w:p w:rsidR="00627A19" w:rsidP="00430661" w14:paraId="2B5A17BF" w14:textId="0D44136D">
      <w:pPr>
        <w:pStyle w:val="ListParagraph"/>
        <w:numPr>
          <w:ilvl w:val="0"/>
          <w:numId w:val="4"/>
        </w:numPr>
        <w:rPr>
          <w:sz w:val="24"/>
        </w:rPr>
      </w:pPr>
      <w:r w:rsidRPr="00BC0E9A">
        <w:rPr>
          <w:sz w:val="24"/>
        </w:rPr>
        <w:t>To obtain benefits under the single-family mortgage insurance programs, a lender must retain a copy of</w:t>
      </w:r>
      <w:r w:rsidRPr="00BC0E9A" w:rsidR="0074499D">
        <w:rPr>
          <w:sz w:val="24"/>
        </w:rPr>
        <w:t xml:space="preserve"> </w:t>
      </w:r>
      <w:r w:rsidRPr="00BC0E9A">
        <w:rPr>
          <w:sz w:val="24"/>
        </w:rPr>
        <w:t>these instruments for the duration of the mortgage, which can be up to 30 years. This need is inherent in</w:t>
      </w:r>
      <w:r w:rsidRPr="00BC0E9A" w:rsidR="00A8431C">
        <w:rPr>
          <w:sz w:val="24"/>
        </w:rPr>
        <w:t xml:space="preserve"> </w:t>
      </w:r>
      <w:r w:rsidRPr="00BC0E9A">
        <w:rPr>
          <w:sz w:val="24"/>
        </w:rPr>
        <w:t>the nature of the transaction. To only require retention of such documents for three years would b</w:t>
      </w:r>
      <w:r w:rsidRPr="00BC0E9A" w:rsidR="00A8431C">
        <w:rPr>
          <w:sz w:val="24"/>
        </w:rPr>
        <w:t>e</w:t>
      </w:r>
      <w:r w:rsidRPr="00BC0E9A" w:rsidR="0074499D">
        <w:rPr>
          <w:sz w:val="24"/>
        </w:rPr>
        <w:t xml:space="preserve"> </w:t>
      </w:r>
      <w:r w:rsidRPr="00BC0E9A">
        <w:rPr>
          <w:sz w:val="24"/>
        </w:rPr>
        <w:t xml:space="preserve">inconsistent with the FHA’s risk management policies because of the </w:t>
      </w:r>
      <w:r w:rsidR="00E81421">
        <w:rPr>
          <w:sz w:val="24"/>
        </w:rPr>
        <w:t xml:space="preserve">term </w:t>
      </w:r>
      <w:r w:rsidRPr="00BC0E9A">
        <w:rPr>
          <w:sz w:val="24"/>
        </w:rPr>
        <w:t>of most mortgages (</w:t>
      </w:r>
      <w:r w:rsidR="00E81421">
        <w:rPr>
          <w:sz w:val="24"/>
        </w:rPr>
        <w:t>i.e.,</w:t>
      </w:r>
      <w:r w:rsidRPr="00BC0E9A">
        <w:rPr>
          <w:sz w:val="24"/>
        </w:rPr>
        <w:t xml:space="preserve"> 30</w:t>
      </w:r>
      <w:r w:rsidRPr="00BC0E9A" w:rsidR="00A8431C">
        <w:rPr>
          <w:sz w:val="24"/>
        </w:rPr>
        <w:t xml:space="preserve"> </w:t>
      </w:r>
      <w:r w:rsidRPr="00BC0E9A">
        <w:rPr>
          <w:sz w:val="24"/>
        </w:rPr>
        <w:t>years)</w:t>
      </w:r>
      <w:r w:rsidRPr="00BC0E9A" w:rsidR="00CB143E">
        <w:rPr>
          <w:sz w:val="24"/>
        </w:rPr>
        <w:t>.</w:t>
      </w:r>
    </w:p>
    <w:p w:rsidR="00BC0E9A" w:rsidRPr="00BC0E9A" w:rsidP="00BC0E9A" w14:paraId="6F223A11" w14:textId="77777777">
      <w:pPr>
        <w:pStyle w:val="ListParagraph"/>
        <w:ind w:left="960"/>
        <w:rPr>
          <w:sz w:val="24"/>
        </w:rPr>
      </w:pPr>
    </w:p>
    <w:p w:rsidR="00F66A17" w:rsidRPr="00BC0E9A" w:rsidP="00F66A17" w14:paraId="2CFED46E" w14:textId="40573131">
      <w:pPr>
        <w:ind w:left="576" w:hanging="576"/>
        <w:rPr>
          <w:sz w:val="24"/>
          <w:szCs w:val="24"/>
        </w:rPr>
      </w:pPr>
      <w:r w:rsidRPr="00BC0E9A">
        <w:rPr>
          <w:sz w:val="24"/>
        </w:rPr>
        <w:t xml:space="preserve">        </w:t>
      </w:r>
      <w:r w:rsidRPr="00BC0E9A">
        <w:rPr>
          <w:sz w:val="24"/>
          <w:szCs w:val="24"/>
        </w:rPr>
        <w:t>* in connection with a statistical survey, that is not designed to produce valid and reliable results that can be generalized to the universe of study</w:t>
      </w:r>
      <w:r w:rsidR="00BC0E9A">
        <w:rPr>
          <w:sz w:val="24"/>
          <w:szCs w:val="24"/>
        </w:rPr>
        <w:t>;</w:t>
      </w:r>
    </w:p>
    <w:p w:rsidR="00F66A17" w:rsidP="00F66A17" w14:paraId="2584E199" w14:textId="0F1A8DBF">
      <w:pPr>
        <w:pStyle w:val="ListParagraph"/>
        <w:numPr>
          <w:ilvl w:val="0"/>
          <w:numId w:val="4"/>
        </w:numPr>
        <w:rPr>
          <w:sz w:val="24"/>
          <w:szCs w:val="24"/>
        </w:rPr>
      </w:pPr>
      <w:r w:rsidRPr="00BC0E9A">
        <w:rPr>
          <w:sz w:val="24"/>
          <w:szCs w:val="24"/>
        </w:rPr>
        <w:t xml:space="preserve">Statistical surveys are not a requirement of the collection. </w:t>
      </w:r>
    </w:p>
    <w:p w:rsidR="00BC0E9A" w:rsidRPr="00BC0E9A" w:rsidP="00BC0E9A" w14:paraId="08BC9DB3" w14:textId="77777777">
      <w:pPr>
        <w:pStyle w:val="ListParagraph"/>
        <w:ind w:left="960"/>
        <w:rPr>
          <w:sz w:val="24"/>
          <w:szCs w:val="24"/>
        </w:rPr>
      </w:pPr>
    </w:p>
    <w:p w:rsidR="00F66A17" w:rsidRPr="00BC0E9A" w:rsidP="00F66A17" w14:paraId="4B38EFBA" w14:textId="649CFD27">
      <w:pPr>
        <w:ind w:left="576" w:hanging="576"/>
        <w:rPr>
          <w:sz w:val="24"/>
        </w:rPr>
      </w:pPr>
      <w:r w:rsidRPr="00BC0E9A">
        <w:rPr>
          <w:sz w:val="24"/>
          <w:szCs w:val="24"/>
        </w:rPr>
        <w:t xml:space="preserve">        * requiring the use of a statistical data classification that has not been reviewed and approved by OMB</w:t>
      </w:r>
      <w:r w:rsidR="00BC0E9A">
        <w:rPr>
          <w:sz w:val="24"/>
          <w:szCs w:val="24"/>
        </w:rPr>
        <w:t>;</w:t>
      </w:r>
    </w:p>
    <w:p w:rsidR="00F66A17" w:rsidP="00F66A17" w14:paraId="240B4E19" w14:textId="46FA902D">
      <w:pPr>
        <w:pStyle w:val="ListParagraph"/>
        <w:numPr>
          <w:ilvl w:val="0"/>
          <w:numId w:val="4"/>
        </w:numPr>
        <w:rPr>
          <w:sz w:val="24"/>
          <w:szCs w:val="24"/>
        </w:rPr>
      </w:pPr>
      <w:r w:rsidRPr="00BC0E9A">
        <w:rPr>
          <w:sz w:val="24"/>
          <w:szCs w:val="24"/>
        </w:rPr>
        <w:t>The use of a statistical data classification that has not been reviewed and approved by OMB</w:t>
      </w:r>
      <w:r w:rsidRPr="00BC0E9A" w:rsidR="00BC0E9A">
        <w:rPr>
          <w:sz w:val="24"/>
          <w:szCs w:val="24"/>
        </w:rPr>
        <w:t>.</w:t>
      </w:r>
    </w:p>
    <w:p w:rsidR="00BC0E9A" w:rsidRPr="00BC0E9A" w:rsidP="00BC0E9A" w14:paraId="1579F860" w14:textId="77777777">
      <w:pPr>
        <w:pStyle w:val="ListParagraph"/>
        <w:ind w:left="960"/>
        <w:rPr>
          <w:sz w:val="24"/>
          <w:szCs w:val="24"/>
        </w:rPr>
      </w:pPr>
    </w:p>
    <w:p w:rsidR="00F66A17" w:rsidRPr="00BC0E9A" w:rsidP="00BC0E9A" w14:paraId="0E245CDD" w14:textId="033A2F2E">
      <w:pPr>
        <w:ind w:left="576" w:hanging="576"/>
        <w:rPr>
          <w:sz w:val="24"/>
          <w:szCs w:val="24"/>
        </w:rPr>
      </w:pPr>
      <w:r w:rsidRPr="00BC0E9A">
        <w:rPr>
          <w:sz w:val="24"/>
          <w:szCs w:val="24"/>
        </w:rPr>
        <w:t xml:space="preserve">        *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627A19" w:rsidRPr="00BC0E9A" w:rsidP="00BC0E9A" w14:paraId="58735BDC" w14:textId="07AA038F">
      <w:pPr>
        <w:pStyle w:val="ListParagraph"/>
        <w:numPr>
          <w:ilvl w:val="0"/>
          <w:numId w:val="4"/>
        </w:numPr>
        <w:rPr>
          <w:sz w:val="24"/>
          <w:szCs w:val="24"/>
        </w:rPr>
      </w:pPr>
      <w:r w:rsidRPr="00BC0E9A">
        <w:rPr>
          <w:sz w:val="24"/>
          <w:szCs w:val="24"/>
        </w:rPr>
        <w:t>A</w:t>
      </w:r>
      <w:r w:rsidRPr="00BC0E9A">
        <w:rPr>
          <w:sz w:val="24"/>
          <w:szCs w:val="24"/>
        </w:rPr>
        <w:t xml:space="preserve"> pledge of confidentiality that is not supported by authority established in statute or regulation, that is</w:t>
      </w:r>
      <w:r w:rsidRPr="00BC0E9A" w:rsidR="00A8431C">
        <w:rPr>
          <w:sz w:val="24"/>
          <w:szCs w:val="24"/>
        </w:rPr>
        <w:t xml:space="preserve"> </w:t>
      </w:r>
      <w:r w:rsidRPr="00BC0E9A">
        <w:rPr>
          <w:sz w:val="24"/>
          <w:szCs w:val="24"/>
        </w:rPr>
        <w:t>not supported by disclosure and data security policies that are consistent with the pledge, or which</w:t>
      </w:r>
      <w:r w:rsidR="00BC0E9A">
        <w:rPr>
          <w:sz w:val="24"/>
          <w:szCs w:val="24"/>
        </w:rPr>
        <w:t xml:space="preserve"> </w:t>
      </w:r>
      <w:r w:rsidRPr="00BC0E9A">
        <w:rPr>
          <w:sz w:val="24"/>
          <w:szCs w:val="24"/>
        </w:rPr>
        <w:t>unnecessarily impedes sharing of data with other agencies for compatible confidential use</w:t>
      </w:r>
      <w:r w:rsidRPr="00BC0E9A">
        <w:rPr>
          <w:sz w:val="24"/>
          <w:szCs w:val="24"/>
        </w:rPr>
        <w:t xml:space="preserve"> i</w:t>
      </w:r>
      <w:r w:rsidR="00E81421">
        <w:rPr>
          <w:sz w:val="24"/>
          <w:szCs w:val="24"/>
        </w:rPr>
        <w:t>s</w:t>
      </w:r>
      <w:r w:rsidRPr="00BC0E9A">
        <w:rPr>
          <w:sz w:val="24"/>
          <w:szCs w:val="24"/>
        </w:rPr>
        <w:t xml:space="preserve"> not a requirement of this collection</w:t>
      </w:r>
      <w:r w:rsidRPr="00BC0E9A" w:rsidR="00CB143E">
        <w:rPr>
          <w:sz w:val="24"/>
          <w:szCs w:val="24"/>
        </w:rPr>
        <w:t>.</w:t>
      </w:r>
      <w:r w:rsidRPr="00BC0E9A">
        <w:rPr>
          <w:sz w:val="24"/>
          <w:szCs w:val="24"/>
        </w:rPr>
        <w:t xml:space="preserve"> </w:t>
      </w:r>
    </w:p>
    <w:p w:rsidR="00BC0E9A" w:rsidRPr="00BC0E9A" w:rsidP="00A8431C" w14:paraId="66E7F056" w14:textId="77777777">
      <w:pPr>
        <w:pStyle w:val="ListParagraph"/>
        <w:ind w:left="960"/>
        <w:rPr>
          <w:sz w:val="24"/>
          <w:szCs w:val="24"/>
        </w:rPr>
      </w:pPr>
    </w:p>
    <w:p w:rsidR="00F66A17" w:rsidRPr="00BC0E9A" w:rsidP="00F66A17" w14:paraId="4973AE6B" w14:textId="69D83005">
      <w:pPr>
        <w:ind w:left="576" w:hanging="576"/>
        <w:rPr>
          <w:sz w:val="24"/>
          <w:szCs w:val="24"/>
        </w:rPr>
      </w:pPr>
      <w:r w:rsidRPr="00BC0E9A">
        <w:rPr>
          <w:sz w:val="24"/>
          <w:szCs w:val="24"/>
        </w:rPr>
        <w:t xml:space="preserve">         * requiring respondents to submit proprietary trade secrets, or other confidential information unless the agency can demonstrate that it has instituted procedures to protect the information's confidentiality to the extent permitted by law. </w:t>
      </w:r>
    </w:p>
    <w:p w:rsidR="00627A19" w:rsidRPr="00BC0E9A" w:rsidP="00BC0E9A" w14:paraId="6CFDFBC1" w14:textId="4AB0510E">
      <w:pPr>
        <w:pStyle w:val="ListParagraph"/>
        <w:numPr>
          <w:ilvl w:val="0"/>
          <w:numId w:val="4"/>
        </w:numPr>
        <w:rPr>
          <w:sz w:val="24"/>
          <w:szCs w:val="24"/>
        </w:rPr>
      </w:pPr>
      <w:r w:rsidRPr="00BC0E9A">
        <w:rPr>
          <w:sz w:val="24"/>
          <w:szCs w:val="24"/>
        </w:rPr>
        <w:t>R</w:t>
      </w:r>
      <w:r w:rsidRPr="00BC0E9A">
        <w:rPr>
          <w:sz w:val="24"/>
          <w:szCs w:val="24"/>
        </w:rPr>
        <w:t>equiring respondents to submit proprietary trade secrets, or other confidential information unless the</w:t>
      </w:r>
      <w:r w:rsidR="00BC0E9A">
        <w:rPr>
          <w:sz w:val="24"/>
          <w:szCs w:val="24"/>
        </w:rPr>
        <w:t xml:space="preserve"> </w:t>
      </w:r>
      <w:r w:rsidRPr="00BC0E9A">
        <w:rPr>
          <w:sz w:val="24"/>
          <w:szCs w:val="24"/>
        </w:rPr>
        <w:t>agency can demonstrate that it has instituted procedures to protect the information's confidentiality to</w:t>
      </w:r>
      <w:r w:rsidR="00BC0E9A">
        <w:rPr>
          <w:sz w:val="24"/>
          <w:szCs w:val="24"/>
        </w:rPr>
        <w:t xml:space="preserve"> </w:t>
      </w:r>
      <w:r w:rsidRPr="00BC0E9A">
        <w:rPr>
          <w:sz w:val="24"/>
          <w:szCs w:val="24"/>
        </w:rPr>
        <w:t>the extent permitted by law is not a requirement of this collection.</w:t>
      </w:r>
    </w:p>
    <w:p w:rsidR="009D6C74" w:rsidP="00A8431C" w14:paraId="66AFF9E5" w14:textId="77777777">
      <w:pPr>
        <w:tabs>
          <w:tab w:val="left" w:pos="360"/>
        </w:tabs>
        <w:rPr>
          <w:sz w:val="24"/>
        </w:rPr>
      </w:pPr>
    </w:p>
    <w:p w:rsidR="00C85C96" w:rsidRPr="0012152C" w:rsidP="00726F5F" w14:paraId="46468284" w14:textId="2B817F4C">
      <w:pPr>
        <w:ind w:left="288" w:hanging="288"/>
        <w:rPr>
          <w:b/>
          <w:bCs/>
          <w:sz w:val="24"/>
          <w:szCs w:val="24"/>
        </w:rPr>
      </w:pPr>
      <w:r w:rsidRPr="0012152C">
        <w:rPr>
          <w:b/>
          <w:bCs/>
          <w:sz w:val="24"/>
          <w:szCs w:val="24"/>
        </w:rPr>
        <w:t xml:space="preserve">8.  </w:t>
      </w:r>
      <w:r w:rsidRPr="0012152C">
        <w:rPr>
          <w:b/>
          <w:bCs/>
          <w:sz w:val="24"/>
          <w:szCs w:val="24"/>
        </w:rPr>
        <w:t xml:space="preserve">If applicable, provide a copy and  identify the date and page number of </w:t>
      </w:r>
      <w:r w:rsidRPr="0012152C" w:rsidR="00726F5F">
        <w:rPr>
          <w:b/>
          <w:bCs/>
          <w:sz w:val="24"/>
          <w:szCs w:val="24"/>
        </w:rPr>
        <w:t>publications</w:t>
      </w:r>
      <w:r w:rsidRPr="0012152C">
        <w:rPr>
          <w:b/>
          <w:bCs/>
          <w:sz w:val="24"/>
          <w:szCs w:val="24"/>
        </w:rPr>
        <w:t xml:space="preserve"> in the </w:t>
      </w:r>
      <w:r w:rsidRPr="0012152C" w:rsidR="00726F5F">
        <w:rPr>
          <w:b/>
          <w:bCs/>
          <w:sz w:val="24"/>
          <w:szCs w:val="24"/>
        </w:rPr>
        <w:t xml:space="preserve">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C85C96" w:rsidP="00C87B35" w14:paraId="02EF7111" w14:textId="62B4DEE4">
      <w:pPr>
        <w:rPr>
          <w:sz w:val="24"/>
          <w:szCs w:val="24"/>
        </w:rPr>
      </w:pPr>
    </w:p>
    <w:p w:rsidR="004E251C" w:rsidP="00AD155B" w14:paraId="0A9C6D0B" w14:textId="77777777">
      <w:pPr>
        <w:ind w:left="288" w:hanging="288"/>
        <w:rPr>
          <w:sz w:val="24"/>
          <w:szCs w:val="24"/>
        </w:rPr>
      </w:pPr>
      <w:r>
        <w:rPr>
          <w:sz w:val="24"/>
          <w:szCs w:val="24"/>
        </w:rPr>
        <w:t xml:space="preserve">      </w:t>
      </w:r>
      <w:r w:rsidRPr="00CF6391" w:rsidR="009D6C74">
        <w:rPr>
          <w:sz w:val="24"/>
          <w:szCs w:val="24"/>
        </w:rPr>
        <w:t xml:space="preserve">In accordance with 5 CFR Part 1320.8(d), this information collection requirement </w:t>
      </w:r>
      <w:r w:rsidR="00EE0844">
        <w:rPr>
          <w:sz w:val="24"/>
          <w:szCs w:val="24"/>
        </w:rPr>
        <w:t>was</w:t>
      </w:r>
      <w:r w:rsidR="002902D7">
        <w:rPr>
          <w:sz w:val="24"/>
          <w:szCs w:val="24"/>
        </w:rPr>
        <w:t xml:space="preserve"> </w:t>
      </w:r>
      <w:r w:rsidRPr="00CF6391" w:rsidR="009D6C74">
        <w:rPr>
          <w:sz w:val="24"/>
          <w:szCs w:val="24"/>
        </w:rPr>
        <w:t>announced for</w:t>
      </w:r>
      <w:r w:rsidR="00AD155B">
        <w:rPr>
          <w:sz w:val="24"/>
          <w:szCs w:val="24"/>
        </w:rPr>
        <w:t xml:space="preserve"> </w:t>
      </w:r>
      <w:r w:rsidRPr="00CF6391" w:rsidR="009D6C74">
        <w:rPr>
          <w:sz w:val="24"/>
          <w:szCs w:val="24"/>
        </w:rPr>
        <w:t xml:space="preserve">public comment in the </w:t>
      </w:r>
      <w:r w:rsidRPr="00F25C73" w:rsidR="009D6C74">
        <w:rPr>
          <w:sz w:val="24"/>
          <w:szCs w:val="24"/>
        </w:rPr>
        <w:t>Federal Register</w:t>
      </w:r>
      <w:r w:rsidR="00F25C73">
        <w:rPr>
          <w:sz w:val="24"/>
          <w:szCs w:val="24"/>
        </w:rPr>
        <w:t xml:space="preserve"> on</w:t>
      </w:r>
      <w:r w:rsidR="00051661">
        <w:rPr>
          <w:sz w:val="24"/>
          <w:szCs w:val="24"/>
        </w:rPr>
        <w:t xml:space="preserve"> Thursday, May 30, 2024</w:t>
      </w:r>
      <w:r w:rsidR="00F25C73">
        <w:rPr>
          <w:sz w:val="24"/>
          <w:szCs w:val="24"/>
        </w:rPr>
        <w:t xml:space="preserve"> </w:t>
      </w:r>
      <w:r w:rsidR="004F3BB4">
        <w:rPr>
          <w:sz w:val="24"/>
          <w:szCs w:val="24"/>
        </w:rPr>
        <w:t>(</w:t>
      </w:r>
      <w:r w:rsidR="00827360">
        <w:rPr>
          <w:sz w:val="24"/>
          <w:szCs w:val="24"/>
        </w:rPr>
        <w:t xml:space="preserve">Vol. </w:t>
      </w:r>
      <w:r w:rsidR="004F3BB4">
        <w:rPr>
          <w:sz w:val="24"/>
          <w:szCs w:val="24"/>
        </w:rPr>
        <w:t>89</w:t>
      </w:r>
      <w:r w:rsidR="00827360">
        <w:rPr>
          <w:sz w:val="24"/>
          <w:szCs w:val="24"/>
        </w:rPr>
        <w:t xml:space="preserve">, No. </w:t>
      </w:r>
      <w:r w:rsidR="004F3BB4">
        <w:rPr>
          <w:sz w:val="24"/>
          <w:szCs w:val="24"/>
        </w:rPr>
        <w:t>105</w:t>
      </w:r>
      <w:r w:rsidR="00827360">
        <w:rPr>
          <w:sz w:val="24"/>
          <w:szCs w:val="24"/>
        </w:rPr>
        <w:t xml:space="preserve">, Page </w:t>
      </w:r>
      <w:r w:rsidR="004F3BB4">
        <w:rPr>
          <w:sz w:val="24"/>
          <w:szCs w:val="24"/>
        </w:rPr>
        <w:t>46899</w:t>
      </w:r>
      <w:r w:rsidR="00827360">
        <w:rPr>
          <w:sz w:val="24"/>
          <w:szCs w:val="24"/>
        </w:rPr>
        <w:t>)</w:t>
      </w:r>
      <w:r w:rsidR="002902D7">
        <w:rPr>
          <w:sz w:val="24"/>
          <w:szCs w:val="24"/>
        </w:rPr>
        <w:t>.</w:t>
      </w:r>
      <w:r w:rsidR="00120DA0">
        <w:rPr>
          <w:sz w:val="24"/>
          <w:szCs w:val="24"/>
        </w:rPr>
        <w:t xml:space="preserve"> </w:t>
      </w:r>
    </w:p>
    <w:p w:rsidR="000311FB" w:rsidRPr="00CF6391" w:rsidP="004E251C" w14:paraId="6C0ABBA3" w14:textId="59115FFE">
      <w:pPr>
        <w:ind w:left="288"/>
        <w:rPr>
          <w:sz w:val="24"/>
          <w:szCs w:val="24"/>
        </w:rPr>
      </w:pPr>
      <w:r>
        <w:rPr>
          <w:sz w:val="24"/>
          <w:szCs w:val="24"/>
        </w:rPr>
        <w:t>No</w:t>
      </w:r>
      <w:r w:rsidR="00AD155B">
        <w:rPr>
          <w:sz w:val="24"/>
          <w:szCs w:val="24"/>
        </w:rPr>
        <w:t xml:space="preserve"> </w:t>
      </w:r>
      <w:r>
        <w:rPr>
          <w:sz w:val="24"/>
          <w:szCs w:val="24"/>
        </w:rPr>
        <w:t>comments were received.</w:t>
      </w:r>
    </w:p>
    <w:p w:rsidR="00CF6391" w:rsidP="00C87B35" w14:paraId="72CD4C74" w14:textId="77777777">
      <w:pPr>
        <w:rPr>
          <w:sz w:val="24"/>
        </w:rPr>
      </w:pPr>
    </w:p>
    <w:p w:rsidR="009D6C74" w:rsidP="00C87B35" w14:paraId="48FB023D" w14:textId="246F2BD0">
      <w:pPr>
        <w:ind w:left="360"/>
        <w:rPr>
          <w:sz w:val="24"/>
        </w:rPr>
      </w:pPr>
      <w:r>
        <w:rPr>
          <w:sz w:val="24"/>
        </w:rPr>
        <w:t>HUD did not consult with mortgagees regarding this information collection. These</w:t>
      </w:r>
      <w:r w:rsidR="00120DA0">
        <w:rPr>
          <w:sz w:val="24"/>
        </w:rPr>
        <w:t xml:space="preserve"> </w:t>
      </w:r>
      <w:r>
        <w:rPr>
          <w:sz w:val="24"/>
        </w:rPr>
        <w:t>document</w:t>
      </w:r>
      <w:r w:rsidR="00120DA0">
        <w:rPr>
          <w:sz w:val="24"/>
        </w:rPr>
        <w:t>s</w:t>
      </w:r>
      <w:r>
        <w:rPr>
          <w:sz w:val="24"/>
        </w:rPr>
        <w:t xml:space="preserve"> are </w:t>
      </w:r>
      <w:r w:rsidR="00E81421">
        <w:rPr>
          <w:sz w:val="24"/>
        </w:rPr>
        <w:t>a common part</w:t>
      </w:r>
      <w:r>
        <w:rPr>
          <w:sz w:val="24"/>
        </w:rPr>
        <w:t xml:space="preserve"> of mortgage lending; lenders must </w:t>
      </w:r>
      <w:r w:rsidR="00E81421">
        <w:rPr>
          <w:sz w:val="24"/>
        </w:rPr>
        <w:t>use this type of document</w:t>
      </w:r>
      <w:r>
        <w:rPr>
          <w:sz w:val="24"/>
        </w:rPr>
        <w:t xml:space="preserve"> to secure </w:t>
      </w:r>
      <w:r w:rsidR="0030012B">
        <w:rPr>
          <w:sz w:val="24"/>
        </w:rPr>
        <w:t xml:space="preserve">any </w:t>
      </w:r>
      <w:r>
        <w:rPr>
          <w:sz w:val="24"/>
        </w:rPr>
        <w:t>interest in the property</w:t>
      </w:r>
      <w:r w:rsidR="0030012B">
        <w:rPr>
          <w:sz w:val="24"/>
        </w:rPr>
        <w:t xml:space="preserve"> being used as security for a mortgage loan</w:t>
      </w:r>
      <w:r>
        <w:rPr>
          <w:sz w:val="24"/>
        </w:rPr>
        <w:t>.</w:t>
      </w:r>
      <w:r w:rsidR="0096027A">
        <w:rPr>
          <w:sz w:val="24"/>
        </w:rPr>
        <w:t xml:space="preserve"> </w:t>
      </w:r>
      <w:r>
        <w:rPr>
          <w:sz w:val="24"/>
        </w:rPr>
        <w:t xml:space="preserve">Many </w:t>
      </w:r>
      <w:r w:rsidR="0030012B">
        <w:rPr>
          <w:sz w:val="24"/>
        </w:rPr>
        <w:t xml:space="preserve">State and local jurisdictions typically codify </w:t>
      </w:r>
      <w:r>
        <w:rPr>
          <w:sz w:val="24"/>
        </w:rPr>
        <w:t xml:space="preserve">statutes </w:t>
      </w:r>
      <w:r w:rsidR="0030012B">
        <w:rPr>
          <w:sz w:val="24"/>
        </w:rPr>
        <w:t xml:space="preserve">and ordinances, respectively, </w:t>
      </w:r>
      <w:r>
        <w:rPr>
          <w:sz w:val="24"/>
        </w:rPr>
        <w:t xml:space="preserve">that </w:t>
      </w:r>
      <w:r w:rsidR="0030012B">
        <w:rPr>
          <w:sz w:val="24"/>
        </w:rPr>
        <w:t>address perfection of these documents</w:t>
      </w:r>
      <w:r>
        <w:rPr>
          <w:sz w:val="24"/>
        </w:rPr>
        <w:t xml:space="preserve">; </w:t>
      </w:r>
      <w:r w:rsidR="0030012B">
        <w:rPr>
          <w:sz w:val="24"/>
        </w:rPr>
        <w:t>use of these documents is not solely required by</w:t>
      </w:r>
      <w:r>
        <w:rPr>
          <w:sz w:val="24"/>
        </w:rPr>
        <w:t xml:space="preserve"> HUD. The burden estimate was based on experience of legal and program staff </w:t>
      </w:r>
      <w:r w:rsidR="0030012B">
        <w:rPr>
          <w:sz w:val="24"/>
        </w:rPr>
        <w:t xml:space="preserve">with expertise </w:t>
      </w:r>
      <w:r>
        <w:rPr>
          <w:sz w:val="24"/>
        </w:rPr>
        <w:t xml:space="preserve">in mortgage </w:t>
      </w:r>
      <w:r w:rsidR="0030012B">
        <w:rPr>
          <w:sz w:val="24"/>
        </w:rPr>
        <w:t xml:space="preserve">loan </w:t>
      </w:r>
      <w:r>
        <w:rPr>
          <w:sz w:val="24"/>
        </w:rPr>
        <w:t xml:space="preserve">transactions, and the recognition that most mortgage documents are </w:t>
      </w:r>
      <w:r w:rsidR="0096027A">
        <w:rPr>
          <w:sz w:val="24"/>
        </w:rPr>
        <w:t>created</w:t>
      </w:r>
      <w:r>
        <w:rPr>
          <w:sz w:val="24"/>
        </w:rPr>
        <w:t xml:space="preserve"> electronically with only minimal human intervention (i.e., adding name, property address, loan amount, rate</w:t>
      </w:r>
      <w:r w:rsidR="00E324A3">
        <w:rPr>
          <w:sz w:val="24"/>
        </w:rPr>
        <w:t>,</w:t>
      </w:r>
      <w:r>
        <w:rPr>
          <w:sz w:val="24"/>
        </w:rPr>
        <w:t xml:space="preserve"> and term).</w:t>
      </w:r>
    </w:p>
    <w:p w:rsidR="009D6C74" w:rsidP="00C87B35" w14:paraId="6091C0FD" w14:textId="77777777">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p>
    <w:p w:rsidR="00726F5F" w:rsidRPr="0012152C" w:rsidP="00726F5F" w14:paraId="2579D0B5" w14:textId="7A5C2AF8">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360" w:hanging="360"/>
        <w:rPr>
          <w:b/>
          <w:bCs/>
        </w:rPr>
      </w:pPr>
      <w:r w:rsidRPr="0012152C">
        <w:rPr>
          <w:b/>
          <w:bCs/>
        </w:rPr>
        <w:t xml:space="preserve">9.  </w:t>
      </w:r>
      <w:r w:rsidRPr="0012152C" w:rsidR="00E81BCD">
        <w:rPr>
          <w:b/>
          <w:bCs/>
        </w:rPr>
        <w:t xml:space="preserve"> </w:t>
      </w:r>
      <w:r w:rsidRPr="0012152C">
        <w:rPr>
          <w:b/>
          <w:bCs/>
        </w:rPr>
        <w:t xml:space="preserve">Explain </w:t>
      </w:r>
      <w:r w:rsidRPr="0012152C">
        <w:rPr>
          <w:b/>
          <w:bCs/>
          <w:szCs w:val="24"/>
        </w:rPr>
        <w:t>any decision to provide any payment or gift to respondents, other than renumeration of contractors or grantees.</w:t>
      </w:r>
    </w:p>
    <w:p w:rsidR="00726F5F" w:rsidP="00C87B35" w14:paraId="778519F9" w14:textId="77777777">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p>
    <w:p w:rsidR="009D6C74" w:rsidP="00C87B35" w14:paraId="52A59A27" w14:textId="2C74427B">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r>
        <w:t xml:space="preserve">      </w:t>
      </w:r>
      <w:r>
        <w:t>No gifts or any payments are provided to respondents.</w:t>
      </w:r>
    </w:p>
    <w:p w:rsidR="009D6C74" w:rsidP="00C87B35" w14:paraId="3617A7C1" w14:textId="77777777">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p>
    <w:p w:rsidR="00726F5F" w:rsidRPr="0012152C" w:rsidP="00726F5F" w14:paraId="3A446B3F" w14:textId="70B3A829">
      <w:pPr>
        <w:pStyle w:val="BodyText2"/>
        <w:ind w:left="302" w:hanging="576"/>
        <w:rPr>
          <w:b/>
          <w:bCs/>
        </w:rPr>
      </w:pPr>
      <w:r>
        <w:t xml:space="preserve">  </w:t>
      </w:r>
      <w:r w:rsidR="007B34E5">
        <w:t xml:space="preserve"> </w:t>
      </w:r>
      <w:r w:rsidRPr="0012152C" w:rsidR="0074499D">
        <w:rPr>
          <w:b/>
          <w:bCs/>
        </w:rPr>
        <w:t>10.</w:t>
      </w:r>
      <w:r w:rsidRPr="0012152C" w:rsidR="00C87B35">
        <w:rPr>
          <w:b/>
          <w:bCs/>
        </w:rPr>
        <w:t xml:space="preserve">  </w:t>
      </w:r>
      <w:r w:rsidRPr="0012152C">
        <w:rPr>
          <w:b/>
          <w:bCs/>
        </w:rPr>
        <w:t xml:space="preserve">Describe any assurance of confidentiality provided to respondents and the basis for the assurance in statute, regulation, or agency policy. </w:t>
      </w:r>
    </w:p>
    <w:p w:rsidR="00726F5F" w:rsidRPr="0012152C" w:rsidP="00726F5F" w14:paraId="23979BB8" w14:textId="77777777">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b/>
          <w:bCs/>
        </w:rPr>
      </w:pPr>
    </w:p>
    <w:p w:rsidR="00C87B35" w:rsidP="00726F5F" w14:paraId="7BE8A226" w14:textId="662D1A42">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r>
        <w:t xml:space="preserve">     </w:t>
      </w:r>
      <w:r w:rsidR="001162B5">
        <w:t>The Privacy Act of 1974 provides privacy protection to respondents. There is no promise of confidentiality.</w:t>
      </w:r>
    </w:p>
    <w:p w:rsidR="007B34E5" w:rsidP="00C87B35" w14:paraId="2410FE8E" w14:textId="77777777">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270"/>
      </w:pPr>
    </w:p>
    <w:p w:rsidR="00726F5F" w:rsidP="00726F5F" w14:paraId="2DB75944" w14:textId="478941D0">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302" w:hanging="576"/>
      </w:pPr>
      <w:r>
        <w:t xml:space="preserve">   </w:t>
      </w:r>
      <w:r w:rsidRPr="0012152C" w:rsidR="00330E9E">
        <w:rPr>
          <w:b/>
          <w:bCs/>
        </w:rPr>
        <w:t xml:space="preserve">11. </w:t>
      </w:r>
      <w:r w:rsidRPr="0012152C">
        <w:rPr>
          <w:b/>
          <w:bCs/>
        </w:rPr>
        <w:t xml:space="preserve"> </w:t>
      </w:r>
      <w:r w:rsidRPr="0012152C">
        <w:rPr>
          <w:b/>
          <w:bCs/>
        </w:rPr>
        <w:t xml:space="preserve">Provide additional </w:t>
      </w:r>
      <w:r w:rsidRPr="0012152C">
        <w:rPr>
          <w:b/>
          <w:bCs/>
          <w:szCs w:val="24"/>
        </w:rPr>
        <w:t>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26F5F" w:rsidP="00C87B35" w14:paraId="03F16857" w14:textId="77777777">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270"/>
      </w:pPr>
    </w:p>
    <w:p w:rsidR="00D44654" w:rsidP="00AD155B" w14:paraId="7D434D4F" w14:textId="580F76DD">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302" w:hanging="576"/>
      </w:pPr>
      <w:r>
        <w:tab/>
      </w:r>
      <w:r w:rsidR="009D6C74">
        <w:t xml:space="preserve">No assurance of confidentiality is provided, nor is such appropriate or feasible. Mortgages must be </w:t>
      </w:r>
      <w:r w:rsidR="00255035">
        <w:t>p</w:t>
      </w:r>
      <w:r w:rsidR="009D6C74">
        <w:t>ublicly</w:t>
      </w:r>
      <w:r w:rsidR="00EE0844">
        <w:t xml:space="preserve"> </w:t>
      </w:r>
      <w:r w:rsidR="009D6C74">
        <w:t>recorded for them to be enforceable.</w:t>
      </w:r>
      <w:r w:rsidR="00255035">
        <w:t xml:space="preserve"> </w:t>
      </w:r>
      <w:r w:rsidR="00066566">
        <w:t>The information contained in this</w:t>
      </w:r>
      <w:r w:rsidR="00AD155B">
        <w:t xml:space="preserve"> </w:t>
      </w:r>
      <w:r w:rsidR="00066566">
        <w:t>collection is not of a</w:t>
      </w:r>
      <w:r w:rsidR="00AD155B">
        <w:t xml:space="preserve"> </w:t>
      </w:r>
      <w:r w:rsidR="00066566">
        <w:t>sensitive nature.</w:t>
      </w:r>
      <w:r>
        <w:t xml:space="preserve">  </w:t>
      </w:r>
    </w:p>
    <w:p w:rsidR="00D44654" w:rsidP="00AD155B" w14:paraId="05A89177" w14:textId="77777777">
      <w:pPr>
        <w:ind w:hanging="720"/>
        <w:rPr>
          <w:sz w:val="24"/>
        </w:rPr>
      </w:pPr>
    </w:p>
    <w:p w:rsidR="00D44654" w:rsidRPr="0012152C" w:rsidP="00D44654" w14:paraId="11910A06" w14:textId="7B6BC1DE">
      <w:pPr>
        <w:ind w:left="446" w:hanging="720"/>
        <w:rPr>
          <w:b/>
          <w:bCs/>
          <w:sz w:val="24"/>
          <w:szCs w:val="24"/>
        </w:rPr>
      </w:pPr>
      <w:r>
        <w:t xml:space="preserve">   </w:t>
      </w:r>
      <w:bookmarkStart w:id="3" w:name="_Hlk45527339"/>
      <w:r w:rsidRPr="0012152C">
        <w:rPr>
          <w:b/>
          <w:bCs/>
          <w:sz w:val="24"/>
          <w:szCs w:val="24"/>
        </w:rPr>
        <w:t xml:space="preserve">12.  Provide </w:t>
      </w:r>
      <w:bookmarkEnd w:id="3"/>
      <w:r w:rsidRPr="0012152C">
        <w:rPr>
          <w:b/>
          <w:bCs/>
          <w:sz w:val="24"/>
          <w:szCs w:val="24"/>
        </w:rPr>
        <w:t xml:space="preserve">estimates of the </w:t>
      </w:r>
      <w:r w:rsidRPr="0012152C" w:rsidR="00C549CA">
        <w:rPr>
          <w:b/>
          <w:bCs/>
          <w:sz w:val="24"/>
          <w:szCs w:val="24"/>
        </w:rPr>
        <w:t>hour burden of the collection of information. The statement should:</w:t>
      </w:r>
    </w:p>
    <w:p w:rsidR="00C549CA" w:rsidRPr="0012152C" w:rsidP="00D44654" w14:paraId="6FF96AB1" w14:textId="4E7EEAAE">
      <w:pPr>
        <w:ind w:left="446" w:hanging="720"/>
        <w:rPr>
          <w:b/>
          <w:bCs/>
          <w:sz w:val="24"/>
          <w:szCs w:val="24"/>
        </w:rPr>
      </w:pPr>
    </w:p>
    <w:p w:rsidR="00C549CA" w:rsidP="00C549CA" w14:paraId="60476580" w14:textId="158BCF40">
      <w:pPr>
        <w:ind w:left="432" w:hanging="432"/>
        <w:rPr>
          <w:sz w:val="24"/>
          <w:szCs w:val="24"/>
        </w:rPr>
      </w:pPr>
      <w:r>
        <w:rPr>
          <w:sz w:val="24"/>
          <w:szCs w:val="24"/>
        </w:rPr>
        <w:t xml:space="preserve">     </w:t>
      </w:r>
      <w:r w:rsidRPr="00575D07">
        <w:rPr>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C549CA" w:rsidRPr="00575D07" w:rsidP="00C549CA" w14:paraId="7CDF2F65" w14:textId="77777777">
      <w:pPr>
        <w:ind w:left="432" w:hanging="432"/>
        <w:rPr>
          <w:sz w:val="24"/>
          <w:szCs w:val="24"/>
        </w:rPr>
      </w:pPr>
    </w:p>
    <w:p w:rsidR="00C549CA" w:rsidP="00C549CA" w14:paraId="2E0DC9F9" w14:textId="192A3CA4">
      <w:pPr>
        <w:ind w:left="432" w:hanging="432"/>
        <w:rPr>
          <w:sz w:val="24"/>
          <w:szCs w:val="24"/>
        </w:rPr>
      </w:pPr>
      <w:r>
        <w:rPr>
          <w:sz w:val="24"/>
          <w:szCs w:val="24"/>
        </w:rPr>
        <w:t xml:space="preserve">    </w:t>
      </w:r>
      <w:r w:rsidRPr="00575D07">
        <w:rPr>
          <w:sz w:val="24"/>
          <w:szCs w:val="24"/>
        </w:rPr>
        <w:t xml:space="preserve">* If this request for approval covers more than one form, provide separate hour burden estimates for each form and aggregate the hour burdens in Item 13 of OMB Form 83-I. </w:t>
      </w:r>
    </w:p>
    <w:p w:rsidR="00C549CA" w:rsidRPr="00575D07" w:rsidP="00C549CA" w14:paraId="0465184E" w14:textId="77777777">
      <w:pPr>
        <w:ind w:left="432" w:hanging="432"/>
        <w:rPr>
          <w:sz w:val="24"/>
          <w:szCs w:val="24"/>
        </w:rPr>
      </w:pPr>
    </w:p>
    <w:p w:rsidR="00C549CA" w:rsidRPr="00C549CA" w:rsidP="00C549CA" w14:paraId="75FE0214" w14:textId="44BCBB7E">
      <w:pPr>
        <w:ind w:left="432" w:hanging="432"/>
        <w:rPr>
          <w:sz w:val="24"/>
          <w:szCs w:val="24"/>
        </w:rPr>
      </w:pPr>
      <w:r>
        <w:rPr>
          <w:sz w:val="24"/>
          <w:szCs w:val="24"/>
        </w:rPr>
        <w:t xml:space="preserve">    </w:t>
      </w:r>
      <w:r w:rsidRPr="00575D07">
        <w:rPr>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D44654" w:rsidP="00C549CA" w14:paraId="33D269C8" w14:textId="77777777"/>
    <w:p w:rsidR="009D6C74" w:rsidP="00D44654" w14:paraId="33836001" w14:textId="085B2BB5">
      <w:pPr>
        <w:ind w:left="288" w:hanging="288"/>
        <w:rPr>
          <w:sz w:val="24"/>
        </w:rPr>
      </w:pPr>
      <w:r>
        <w:rPr>
          <w:sz w:val="24"/>
        </w:rPr>
        <w:t xml:space="preserve">    </w:t>
      </w:r>
      <w:r>
        <w:rPr>
          <w:sz w:val="24"/>
        </w:rPr>
        <w:t xml:space="preserve">The Department expects the time to complete the mortgage and note (which require only several entries to existing model mortgages and notes) to be </w:t>
      </w:r>
      <w:r w:rsidR="005B40D8">
        <w:rPr>
          <w:sz w:val="24"/>
        </w:rPr>
        <w:t>5</w:t>
      </w:r>
      <w:r>
        <w:rPr>
          <w:sz w:val="24"/>
        </w:rPr>
        <w:t xml:space="preserve"> minutes (burden per</w:t>
      </w:r>
      <w:r>
        <w:rPr>
          <w:sz w:val="24"/>
        </w:rPr>
        <w:t xml:space="preserve"> </w:t>
      </w:r>
      <w:r>
        <w:rPr>
          <w:sz w:val="24"/>
        </w:rPr>
        <w:t xml:space="preserve">response </w:t>
      </w:r>
      <w:r w:rsidR="00622F81">
        <w:rPr>
          <w:sz w:val="24"/>
        </w:rPr>
        <w:t>0</w:t>
      </w:r>
      <w:r>
        <w:rPr>
          <w:sz w:val="24"/>
        </w:rPr>
        <w:t>.</w:t>
      </w:r>
      <w:r w:rsidR="005B40D8">
        <w:rPr>
          <w:sz w:val="24"/>
        </w:rPr>
        <w:t>083</w:t>
      </w:r>
      <w:r w:rsidR="00752952">
        <w:rPr>
          <w:sz w:val="24"/>
        </w:rPr>
        <w:t>3</w:t>
      </w:r>
      <w:r>
        <w:rPr>
          <w:sz w:val="24"/>
        </w:rPr>
        <w:t xml:space="preserve"> hours).</w:t>
      </w:r>
      <w:r w:rsidR="00472438">
        <w:rPr>
          <w:sz w:val="24"/>
        </w:rPr>
        <w:t xml:space="preserve"> </w:t>
      </w:r>
      <w:r w:rsidR="005B40D8">
        <w:rPr>
          <w:sz w:val="24"/>
        </w:rPr>
        <w:t xml:space="preserve">This number </w:t>
      </w:r>
      <w:r w:rsidR="000142AC">
        <w:rPr>
          <w:sz w:val="24"/>
        </w:rPr>
        <w:t>is close to</w:t>
      </w:r>
      <w:r w:rsidR="00827360">
        <w:rPr>
          <w:sz w:val="24"/>
        </w:rPr>
        <w:t xml:space="preserve"> that of</w:t>
      </w:r>
      <w:r w:rsidR="00752952">
        <w:rPr>
          <w:sz w:val="24"/>
        </w:rPr>
        <w:t xml:space="preserve"> </w:t>
      </w:r>
      <w:r w:rsidRPr="00827360" w:rsidR="00752952">
        <w:rPr>
          <w:sz w:val="24"/>
        </w:rPr>
        <w:t>20</w:t>
      </w:r>
      <w:r w:rsidR="00870BA8">
        <w:rPr>
          <w:sz w:val="24"/>
        </w:rPr>
        <w:t>19</w:t>
      </w:r>
      <w:r w:rsidRPr="00827360" w:rsidR="005B40D8">
        <w:rPr>
          <w:sz w:val="24"/>
        </w:rPr>
        <w:t xml:space="preserve"> </w:t>
      </w:r>
      <w:r w:rsidR="00827360">
        <w:rPr>
          <w:sz w:val="24"/>
        </w:rPr>
        <w:t xml:space="preserve">since </w:t>
      </w:r>
      <w:r w:rsidR="005B40D8">
        <w:rPr>
          <w:sz w:val="24"/>
        </w:rPr>
        <w:t xml:space="preserve">lenders </w:t>
      </w:r>
      <w:r w:rsidR="00827360">
        <w:rPr>
          <w:sz w:val="24"/>
        </w:rPr>
        <w:t xml:space="preserve">still </w:t>
      </w:r>
      <w:r w:rsidR="005B40D8">
        <w:rPr>
          <w:sz w:val="24"/>
        </w:rPr>
        <w:t>produc</w:t>
      </w:r>
      <w:r w:rsidR="00827360">
        <w:rPr>
          <w:sz w:val="24"/>
        </w:rPr>
        <w:t>e</w:t>
      </w:r>
      <w:r w:rsidR="005B40D8">
        <w:rPr>
          <w:sz w:val="24"/>
        </w:rPr>
        <w:t xml:space="preserve"> </w:t>
      </w:r>
      <w:r w:rsidR="00432C3A">
        <w:rPr>
          <w:sz w:val="24"/>
        </w:rPr>
        <w:t xml:space="preserve">these </w:t>
      </w:r>
      <w:r w:rsidR="005B40D8">
        <w:rPr>
          <w:sz w:val="24"/>
        </w:rPr>
        <w:t>mortgage documents electronically.</w:t>
      </w:r>
      <w:r w:rsidR="00752952">
        <w:rPr>
          <w:sz w:val="24"/>
        </w:rPr>
        <w:t xml:space="preserve"> T</w:t>
      </w:r>
      <w:r>
        <w:rPr>
          <w:sz w:val="24"/>
        </w:rPr>
        <w:t>he</w:t>
      </w:r>
      <w:r w:rsidR="00401394">
        <w:rPr>
          <w:sz w:val="24"/>
        </w:rPr>
        <w:t xml:space="preserve"> </w:t>
      </w:r>
      <w:r w:rsidR="00827360">
        <w:rPr>
          <w:sz w:val="24"/>
        </w:rPr>
        <w:t>estimates</w:t>
      </w:r>
      <w:r>
        <w:rPr>
          <w:sz w:val="24"/>
        </w:rPr>
        <w:t xml:space="preserve"> </w:t>
      </w:r>
      <w:r w:rsidR="00E37D41">
        <w:rPr>
          <w:sz w:val="24"/>
        </w:rPr>
        <w:t xml:space="preserve">below </w:t>
      </w:r>
      <w:r>
        <w:rPr>
          <w:sz w:val="24"/>
        </w:rPr>
        <w:t xml:space="preserve">reflect the </w:t>
      </w:r>
      <w:r w:rsidR="00E37D41">
        <w:rPr>
          <w:sz w:val="24"/>
        </w:rPr>
        <w:t xml:space="preserve">data provided by </w:t>
      </w:r>
      <w:r w:rsidR="0030012B">
        <w:rPr>
          <w:sz w:val="24"/>
        </w:rPr>
        <w:t>D</w:t>
      </w:r>
      <w:r w:rsidR="00E37D41">
        <w:rPr>
          <w:sz w:val="24"/>
        </w:rPr>
        <w:t xml:space="preserve">epartmental system files and </w:t>
      </w:r>
      <w:r>
        <w:rPr>
          <w:sz w:val="24"/>
        </w:rPr>
        <w:t>informed</w:t>
      </w:r>
      <w:r w:rsidR="000142AC">
        <w:rPr>
          <w:sz w:val="24"/>
        </w:rPr>
        <w:t xml:space="preserve"> </w:t>
      </w:r>
      <w:r>
        <w:rPr>
          <w:sz w:val="24"/>
        </w:rPr>
        <w:t>judgment of program staff.</w:t>
      </w:r>
      <w:r w:rsidR="00432C3A">
        <w:rPr>
          <w:sz w:val="24"/>
        </w:rPr>
        <w:t xml:space="preserve"> </w:t>
      </w:r>
      <w:r>
        <w:rPr>
          <w:sz w:val="24"/>
        </w:rPr>
        <w:t xml:space="preserve">The Department estimates that the number of responses and associated </w:t>
      </w:r>
      <w:r w:rsidR="00C87B35">
        <w:rPr>
          <w:sz w:val="24"/>
        </w:rPr>
        <w:t>burden</w:t>
      </w:r>
      <w:r w:rsidR="000142AC">
        <w:rPr>
          <w:sz w:val="24"/>
        </w:rPr>
        <w:t xml:space="preserve"> </w:t>
      </w:r>
      <w:r>
        <w:rPr>
          <w:sz w:val="24"/>
        </w:rPr>
        <w:t>will be relatively constant for the next three years</w:t>
      </w:r>
      <w:r w:rsidR="00E37D41">
        <w:rPr>
          <w:sz w:val="24"/>
        </w:rPr>
        <w:t xml:space="preserve"> as more lenders/</w:t>
      </w:r>
      <w:r w:rsidR="00AF77AA">
        <w:rPr>
          <w:sz w:val="24"/>
        </w:rPr>
        <w:t>buyers are doing business</w:t>
      </w:r>
      <w:r w:rsidR="00827360">
        <w:rPr>
          <w:sz w:val="24"/>
        </w:rPr>
        <w:t xml:space="preserve"> with </w:t>
      </w:r>
      <w:r w:rsidRPr="00C87B35" w:rsidR="00827360">
        <w:rPr>
          <w:sz w:val="24"/>
        </w:rPr>
        <w:t>FHA</w:t>
      </w:r>
      <w:r w:rsidRPr="00C87B35">
        <w:rPr>
          <w:sz w:val="24"/>
        </w:rPr>
        <w:t>.</w:t>
      </w:r>
    </w:p>
    <w:p w:rsidR="00E37D41" w:rsidP="00D44654" w14:paraId="5206DE8E" w14:textId="77777777">
      <w:pPr>
        <w:pStyle w:val="BodyTextIndent3"/>
        <w:ind w:left="0" w:hanging="144"/>
        <w:rPr>
          <w:sz w:val="24"/>
        </w:rPr>
      </w:pPr>
    </w:p>
    <w:tbl>
      <w:tblPr>
        <w:tblW w:w="1079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5"/>
        <w:gridCol w:w="1080"/>
        <w:gridCol w:w="1170"/>
        <w:gridCol w:w="1170"/>
        <w:gridCol w:w="1440"/>
        <w:gridCol w:w="1103"/>
        <w:gridCol w:w="1170"/>
        <w:gridCol w:w="1057"/>
        <w:gridCol w:w="1170"/>
      </w:tblGrid>
      <w:tr w14:paraId="15F7A773" w14:textId="77777777" w:rsidTr="000142AC">
        <w:tblPrEx>
          <w:tblW w:w="1079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52"/>
        </w:trPr>
        <w:tc>
          <w:tcPr>
            <w:tcW w:w="1435" w:type="dxa"/>
            <w:vAlign w:val="center"/>
          </w:tcPr>
          <w:p w:rsidR="003E384D" w:rsidRPr="003B62D6" w14:paraId="6C94BF68" w14:textId="77777777">
            <w:pPr>
              <w:tabs>
                <w:tab w:val="left" w:pos="360"/>
              </w:tabs>
              <w:jc w:val="center"/>
              <w:rPr>
                <w:rFonts w:ascii="Arial" w:hAnsi="Arial" w:cs="Arial"/>
                <w:b/>
                <w:bCs/>
                <w:sz w:val="18"/>
                <w:szCs w:val="18"/>
              </w:rPr>
            </w:pPr>
            <w:r w:rsidRPr="003B62D6">
              <w:rPr>
                <w:rFonts w:ascii="Arial" w:hAnsi="Arial" w:cs="Arial"/>
                <w:b/>
                <w:bCs/>
                <w:sz w:val="18"/>
                <w:szCs w:val="18"/>
              </w:rPr>
              <w:t>Number of Respondents (</w:t>
            </w:r>
            <w:bookmarkStart w:id="4" w:name="_Hlk161326848"/>
            <w:r w:rsidRPr="003B62D6">
              <w:rPr>
                <w:rFonts w:ascii="Arial" w:hAnsi="Arial" w:cs="Arial"/>
                <w:b/>
                <w:bCs/>
                <w:sz w:val="18"/>
                <w:szCs w:val="18"/>
              </w:rPr>
              <w:t>FHA approved lenders</w:t>
            </w:r>
            <w:bookmarkEnd w:id="4"/>
            <w:r w:rsidRPr="003B62D6">
              <w:rPr>
                <w:rFonts w:ascii="Arial" w:hAnsi="Arial" w:cs="Arial"/>
                <w:b/>
                <w:bCs/>
                <w:sz w:val="18"/>
                <w:szCs w:val="18"/>
              </w:rPr>
              <w:t>)</w:t>
            </w:r>
          </w:p>
          <w:p w:rsidR="003E384D" w:rsidRPr="003B62D6" w14:paraId="217FE01C" w14:textId="77777777">
            <w:pPr>
              <w:tabs>
                <w:tab w:val="left" w:pos="360"/>
              </w:tabs>
              <w:jc w:val="center"/>
              <w:rPr>
                <w:rFonts w:ascii="Arial" w:hAnsi="Arial" w:cs="Arial"/>
                <w:b/>
                <w:bCs/>
                <w:sz w:val="18"/>
                <w:szCs w:val="18"/>
              </w:rPr>
            </w:pPr>
          </w:p>
        </w:tc>
        <w:tc>
          <w:tcPr>
            <w:tcW w:w="1080" w:type="dxa"/>
            <w:vAlign w:val="center"/>
          </w:tcPr>
          <w:p w:rsidR="003E384D" w:rsidRPr="003B62D6" w:rsidP="000B7E34" w14:paraId="41C5583B" w14:textId="46B0C0D1">
            <w:pPr>
              <w:tabs>
                <w:tab w:val="left" w:pos="360"/>
              </w:tabs>
              <w:jc w:val="center"/>
              <w:rPr>
                <w:rFonts w:ascii="Arial" w:hAnsi="Arial" w:cs="Arial"/>
                <w:b/>
                <w:bCs/>
                <w:sz w:val="18"/>
                <w:szCs w:val="18"/>
              </w:rPr>
            </w:pPr>
            <w:r w:rsidRPr="003B62D6">
              <w:rPr>
                <w:rFonts w:ascii="Arial" w:hAnsi="Arial" w:cs="Arial"/>
                <w:b/>
                <w:bCs/>
                <w:sz w:val="18"/>
                <w:szCs w:val="18"/>
              </w:rPr>
              <w:t>Number of FHA cases endorsed for 201</w:t>
            </w:r>
            <w:r w:rsidR="00827360">
              <w:rPr>
                <w:rFonts w:ascii="Arial" w:hAnsi="Arial" w:cs="Arial"/>
                <w:b/>
                <w:bCs/>
                <w:sz w:val="18"/>
                <w:szCs w:val="18"/>
              </w:rPr>
              <w:t>9</w:t>
            </w:r>
          </w:p>
        </w:tc>
        <w:tc>
          <w:tcPr>
            <w:tcW w:w="1170" w:type="dxa"/>
          </w:tcPr>
          <w:p w:rsidR="003E384D" w:rsidRPr="003B62D6" w14:paraId="4AD6A2E7" w14:textId="77777777">
            <w:pPr>
              <w:tabs>
                <w:tab w:val="left" w:pos="360"/>
              </w:tabs>
              <w:jc w:val="center"/>
              <w:rPr>
                <w:rFonts w:ascii="Arial" w:hAnsi="Arial" w:cs="Arial"/>
                <w:b/>
                <w:bCs/>
                <w:sz w:val="18"/>
                <w:szCs w:val="18"/>
              </w:rPr>
            </w:pPr>
          </w:p>
          <w:p w:rsidR="003E384D" w:rsidRPr="003B62D6" w14:paraId="27345F19" w14:textId="77777777">
            <w:pPr>
              <w:tabs>
                <w:tab w:val="left" w:pos="360"/>
              </w:tabs>
              <w:jc w:val="center"/>
              <w:rPr>
                <w:rFonts w:ascii="Arial" w:hAnsi="Arial" w:cs="Arial"/>
                <w:b/>
                <w:bCs/>
                <w:sz w:val="18"/>
                <w:szCs w:val="18"/>
              </w:rPr>
            </w:pPr>
            <w:r w:rsidRPr="003B62D6">
              <w:rPr>
                <w:rFonts w:ascii="Arial" w:hAnsi="Arial" w:cs="Arial"/>
                <w:b/>
                <w:bCs/>
                <w:sz w:val="18"/>
                <w:szCs w:val="18"/>
              </w:rPr>
              <w:t>Mortgage Note/Deed of Trust</w:t>
            </w:r>
          </w:p>
        </w:tc>
        <w:tc>
          <w:tcPr>
            <w:tcW w:w="1170" w:type="dxa"/>
          </w:tcPr>
          <w:p w:rsidR="003E384D" w:rsidRPr="003B62D6" w14:paraId="1F30FA21" w14:textId="77777777">
            <w:pPr>
              <w:tabs>
                <w:tab w:val="left" w:pos="360"/>
              </w:tabs>
              <w:jc w:val="center"/>
              <w:rPr>
                <w:rFonts w:ascii="Arial" w:hAnsi="Arial" w:cs="Arial"/>
                <w:b/>
                <w:bCs/>
                <w:sz w:val="18"/>
                <w:szCs w:val="18"/>
              </w:rPr>
            </w:pPr>
            <w:r w:rsidRPr="003B62D6">
              <w:rPr>
                <w:rFonts w:ascii="Arial" w:hAnsi="Arial" w:cs="Arial"/>
                <w:b/>
                <w:bCs/>
                <w:sz w:val="18"/>
                <w:szCs w:val="18"/>
              </w:rPr>
              <w:t xml:space="preserve">Annual </w:t>
            </w:r>
            <w:r w:rsidRPr="003B62D6">
              <w:rPr>
                <w:rFonts w:ascii="Arial" w:hAnsi="Arial" w:cs="Arial"/>
                <w:b/>
                <w:bCs/>
                <w:sz w:val="18"/>
                <w:szCs w:val="18"/>
              </w:rPr>
              <w:t xml:space="preserve">Frequency of Response </w:t>
            </w:r>
          </w:p>
        </w:tc>
        <w:tc>
          <w:tcPr>
            <w:tcW w:w="1440" w:type="dxa"/>
            <w:vAlign w:val="center"/>
          </w:tcPr>
          <w:p w:rsidR="003E384D" w:rsidRPr="003B62D6" w14:paraId="34F898BC" w14:textId="77777777">
            <w:pPr>
              <w:tabs>
                <w:tab w:val="left" w:pos="360"/>
              </w:tabs>
              <w:jc w:val="center"/>
              <w:rPr>
                <w:rFonts w:ascii="Arial" w:hAnsi="Arial" w:cs="Arial"/>
                <w:b/>
                <w:bCs/>
                <w:sz w:val="18"/>
                <w:szCs w:val="18"/>
              </w:rPr>
            </w:pPr>
            <w:r w:rsidRPr="003B62D6">
              <w:rPr>
                <w:rFonts w:ascii="Arial" w:hAnsi="Arial" w:cs="Arial"/>
                <w:b/>
                <w:bCs/>
                <w:sz w:val="18"/>
                <w:szCs w:val="18"/>
              </w:rPr>
              <w:t>Responses Per Annum</w:t>
            </w:r>
          </w:p>
          <w:p w:rsidR="003E384D" w:rsidRPr="003B62D6" w14:paraId="4008287B" w14:textId="77777777">
            <w:pPr>
              <w:tabs>
                <w:tab w:val="left" w:pos="360"/>
              </w:tabs>
              <w:jc w:val="center"/>
              <w:rPr>
                <w:rFonts w:ascii="Arial" w:hAnsi="Arial" w:cs="Arial"/>
                <w:b/>
                <w:bCs/>
                <w:sz w:val="18"/>
                <w:szCs w:val="18"/>
              </w:rPr>
            </w:pPr>
            <w:r w:rsidRPr="003B62D6">
              <w:rPr>
                <w:rFonts w:ascii="Arial" w:hAnsi="Arial" w:cs="Arial"/>
                <w:b/>
                <w:bCs/>
                <w:sz w:val="18"/>
                <w:szCs w:val="18"/>
              </w:rPr>
              <w:t>(1 response per endorsed case)</w:t>
            </w:r>
          </w:p>
        </w:tc>
        <w:tc>
          <w:tcPr>
            <w:tcW w:w="1103" w:type="dxa"/>
            <w:vAlign w:val="center"/>
          </w:tcPr>
          <w:p w:rsidR="003E384D" w:rsidRPr="003B62D6" w14:paraId="1405DBC4" w14:textId="77777777">
            <w:pPr>
              <w:tabs>
                <w:tab w:val="left" w:pos="360"/>
              </w:tabs>
              <w:jc w:val="center"/>
              <w:rPr>
                <w:rFonts w:ascii="Arial" w:hAnsi="Arial" w:cs="Arial"/>
                <w:b/>
                <w:bCs/>
                <w:sz w:val="18"/>
                <w:szCs w:val="18"/>
              </w:rPr>
            </w:pPr>
            <w:r w:rsidRPr="003B62D6">
              <w:rPr>
                <w:rFonts w:ascii="Arial" w:hAnsi="Arial" w:cs="Arial"/>
                <w:b/>
                <w:bCs/>
                <w:sz w:val="18"/>
                <w:szCs w:val="18"/>
              </w:rPr>
              <w:t>Burden Hour Per Response</w:t>
            </w:r>
          </w:p>
        </w:tc>
        <w:tc>
          <w:tcPr>
            <w:tcW w:w="1170" w:type="dxa"/>
            <w:vAlign w:val="center"/>
          </w:tcPr>
          <w:p w:rsidR="003E384D" w:rsidRPr="003B62D6" w14:paraId="3FCCA2F4" w14:textId="77777777">
            <w:pPr>
              <w:tabs>
                <w:tab w:val="left" w:pos="360"/>
              </w:tabs>
              <w:jc w:val="center"/>
              <w:rPr>
                <w:rFonts w:ascii="Arial" w:hAnsi="Arial" w:cs="Arial"/>
                <w:b/>
                <w:bCs/>
                <w:sz w:val="18"/>
                <w:szCs w:val="18"/>
              </w:rPr>
            </w:pPr>
            <w:r w:rsidRPr="003B62D6">
              <w:rPr>
                <w:rFonts w:ascii="Arial" w:hAnsi="Arial" w:cs="Arial"/>
                <w:b/>
                <w:bCs/>
                <w:sz w:val="18"/>
                <w:szCs w:val="18"/>
              </w:rPr>
              <w:t>Annual Burden Hours</w:t>
            </w:r>
          </w:p>
        </w:tc>
        <w:tc>
          <w:tcPr>
            <w:tcW w:w="1057" w:type="dxa"/>
            <w:vAlign w:val="center"/>
          </w:tcPr>
          <w:p w:rsidR="003E384D" w:rsidRPr="003B62D6" w14:paraId="28943FB0" w14:textId="77777777">
            <w:pPr>
              <w:tabs>
                <w:tab w:val="left" w:pos="360"/>
              </w:tabs>
              <w:jc w:val="center"/>
              <w:rPr>
                <w:rFonts w:ascii="Arial" w:hAnsi="Arial" w:cs="Arial"/>
                <w:b/>
                <w:bCs/>
                <w:sz w:val="18"/>
                <w:szCs w:val="18"/>
              </w:rPr>
            </w:pPr>
            <w:r w:rsidRPr="003B62D6">
              <w:rPr>
                <w:rFonts w:ascii="Arial" w:hAnsi="Arial" w:cs="Arial"/>
                <w:b/>
                <w:bCs/>
                <w:sz w:val="18"/>
                <w:szCs w:val="18"/>
              </w:rPr>
              <w:t>Cost per Burden Hour</w:t>
            </w:r>
          </w:p>
        </w:tc>
        <w:tc>
          <w:tcPr>
            <w:tcW w:w="1170" w:type="dxa"/>
            <w:vAlign w:val="center"/>
          </w:tcPr>
          <w:p w:rsidR="003E384D" w:rsidRPr="003B62D6" w14:paraId="5A5BFCA2" w14:textId="77777777">
            <w:pPr>
              <w:tabs>
                <w:tab w:val="left" w:pos="360"/>
              </w:tabs>
              <w:jc w:val="center"/>
              <w:rPr>
                <w:rFonts w:ascii="Arial" w:hAnsi="Arial" w:cs="Arial"/>
                <w:b/>
                <w:bCs/>
                <w:sz w:val="18"/>
                <w:szCs w:val="18"/>
              </w:rPr>
            </w:pPr>
            <w:r w:rsidRPr="003B62D6">
              <w:rPr>
                <w:rFonts w:ascii="Arial" w:hAnsi="Arial" w:cs="Arial"/>
                <w:b/>
                <w:bCs/>
                <w:sz w:val="18"/>
                <w:szCs w:val="18"/>
              </w:rPr>
              <w:t>Total Annual Cost</w:t>
            </w:r>
          </w:p>
        </w:tc>
      </w:tr>
      <w:tr w14:paraId="2C842358" w14:textId="77777777" w:rsidTr="000142AC">
        <w:tblPrEx>
          <w:tblW w:w="10795" w:type="dxa"/>
          <w:tblInd w:w="90" w:type="dxa"/>
          <w:tblLayout w:type="fixed"/>
          <w:tblLook w:val="0000"/>
        </w:tblPrEx>
        <w:trPr>
          <w:trHeight w:val="347"/>
        </w:trPr>
        <w:tc>
          <w:tcPr>
            <w:tcW w:w="1435" w:type="dxa"/>
            <w:vAlign w:val="center"/>
          </w:tcPr>
          <w:p w:rsidR="003E384D" w:rsidRPr="00827360" w:rsidP="009713AE" w14:paraId="58DF9D06" w14:textId="45458DE7">
            <w:pPr>
              <w:jc w:val="center"/>
              <w:rPr>
                <w:rFonts w:ascii="Arial" w:hAnsi="Arial" w:cs="Arial"/>
                <w:color w:val="FF0000"/>
                <w:sz w:val="18"/>
                <w:szCs w:val="18"/>
              </w:rPr>
            </w:pPr>
            <w:r>
              <w:rPr>
                <w:rFonts w:ascii="Arial" w:hAnsi="Arial" w:cs="Arial"/>
                <w:sz w:val="18"/>
                <w:szCs w:val="18"/>
              </w:rPr>
              <w:t>2</w:t>
            </w:r>
            <w:r w:rsidR="00826319">
              <w:rPr>
                <w:rFonts w:ascii="Arial" w:hAnsi="Arial" w:cs="Arial"/>
                <w:sz w:val="18"/>
                <w:szCs w:val="18"/>
              </w:rPr>
              <w:t>,</w:t>
            </w:r>
            <w:r>
              <w:rPr>
                <w:rFonts w:ascii="Arial" w:hAnsi="Arial" w:cs="Arial"/>
                <w:sz w:val="18"/>
                <w:szCs w:val="18"/>
              </w:rPr>
              <w:t>064</w:t>
            </w:r>
          </w:p>
        </w:tc>
        <w:tc>
          <w:tcPr>
            <w:tcW w:w="1080" w:type="dxa"/>
            <w:vAlign w:val="center"/>
          </w:tcPr>
          <w:p w:rsidR="003E384D" w:rsidRPr="00DE4CAE" w:rsidP="009713AE" w14:paraId="1597DC81" w14:textId="22180A26">
            <w:pPr>
              <w:jc w:val="center"/>
              <w:rPr>
                <w:rFonts w:ascii="Arial" w:hAnsi="Arial" w:cs="Arial"/>
                <w:sz w:val="18"/>
                <w:szCs w:val="18"/>
              </w:rPr>
            </w:pPr>
            <w:r>
              <w:rPr>
                <w:rFonts w:ascii="Arial" w:hAnsi="Arial" w:cs="Arial"/>
                <w:sz w:val="18"/>
                <w:szCs w:val="18"/>
              </w:rPr>
              <w:t>737,2</w:t>
            </w:r>
            <w:r w:rsidR="00D00E2B">
              <w:rPr>
                <w:rFonts w:ascii="Arial" w:hAnsi="Arial" w:cs="Arial"/>
                <w:sz w:val="18"/>
                <w:szCs w:val="18"/>
              </w:rPr>
              <w:t>7</w:t>
            </w:r>
            <w:r>
              <w:rPr>
                <w:rFonts w:ascii="Arial" w:hAnsi="Arial" w:cs="Arial"/>
                <w:sz w:val="18"/>
                <w:szCs w:val="18"/>
              </w:rPr>
              <w:t>6</w:t>
            </w:r>
          </w:p>
        </w:tc>
        <w:tc>
          <w:tcPr>
            <w:tcW w:w="1170" w:type="dxa"/>
          </w:tcPr>
          <w:p w:rsidR="003E384D" w:rsidRPr="00DE4CAE" w:rsidP="00DE4CAE" w14:paraId="6CA89E5F" w14:textId="70A93E87">
            <w:pPr>
              <w:jc w:val="center"/>
              <w:rPr>
                <w:rFonts w:ascii="Arial" w:hAnsi="Arial" w:cs="Arial"/>
                <w:sz w:val="18"/>
                <w:szCs w:val="18"/>
              </w:rPr>
            </w:pPr>
            <w:r>
              <w:rPr>
                <w:rFonts w:ascii="Arial" w:hAnsi="Arial" w:cs="Arial"/>
                <w:sz w:val="18"/>
                <w:szCs w:val="18"/>
              </w:rPr>
              <w:t>1</w:t>
            </w:r>
          </w:p>
        </w:tc>
        <w:tc>
          <w:tcPr>
            <w:tcW w:w="1170" w:type="dxa"/>
          </w:tcPr>
          <w:p w:rsidR="003E384D" w:rsidRPr="00DE4CAE" w:rsidP="00DE4CAE" w14:paraId="299E0AAB" w14:textId="3FD18310">
            <w:pPr>
              <w:jc w:val="center"/>
              <w:rPr>
                <w:rFonts w:ascii="Arial" w:hAnsi="Arial" w:cs="Arial"/>
                <w:sz w:val="18"/>
                <w:szCs w:val="18"/>
              </w:rPr>
            </w:pPr>
            <w:r w:rsidRPr="00DE4CAE">
              <w:rPr>
                <w:rFonts w:ascii="Arial" w:hAnsi="Arial" w:cs="Arial"/>
                <w:sz w:val="18"/>
                <w:szCs w:val="18"/>
              </w:rPr>
              <w:t>1</w:t>
            </w:r>
          </w:p>
        </w:tc>
        <w:tc>
          <w:tcPr>
            <w:tcW w:w="1440" w:type="dxa"/>
            <w:vAlign w:val="center"/>
          </w:tcPr>
          <w:p w:rsidR="003E384D" w:rsidRPr="00DE4CAE" w:rsidP="009713AE" w14:paraId="2F0BF812" w14:textId="267C0187">
            <w:pPr>
              <w:jc w:val="center"/>
              <w:rPr>
                <w:rFonts w:ascii="Arial" w:hAnsi="Arial" w:cs="Arial"/>
                <w:sz w:val="18"/>
                <w:szCs w:val="18"/>
              </w:rPr>
            </w:pPr>
            <w:r>
              <w:rPr>
                <w:rFonts w:ascii="Arial" w:hAnsi="Arial" w:cs="Arial"/>
                <w:sz w:val="18"/>
                <w:szCs w:val="18"/>
              </w:rPr>
              <w:t>737,2</w:t>
            </w:r>
            <w:r w:rsidR="00D00E2B">
              <w:rPr>
                <w:rFonts w:ascii="Arial" w:hAnsi="Arial" w:cs="Arial"/>
                <w:sz w:val="18"/>
                <w:szCs w:val="18"/>
              </w:rPr>
              <w:t>7</w:t>
            </w:r>
            <w:r>
              <w:rPr>
                <w:rFonts w:ascii="Arial" w:hAnsi="Arial" w:cs="Arial"/>
                <w:sz w:val="18"/>
                <w:szCs w:val="18"/>
              </w:rPr>
              <w:t>6</w:t>
            </w:r>
          </w:p>
        </w:tc>
        <w:tc>
          <w:tcPr>
            <w:tcW w:w="1103" w:type="dxa"/>
            <w:vAlign w:val="center"/>
          </w:tcPr>
          <w:p w:rsidR="003E384D" w:rsidRPr="00DE4CAE" w:rsidP="009713AE" w14:paraId="79389BFC" w14:textId="77777777">
            <w:pPr>
              <w:jc w:val="center"/>
              <w:rPr>
                <w:rFonts w:ascii="Arial" w:hAnsi="Arial" w:cs="Arial"/>
                <w:sz w:val="18"/>
                <w:szCs w:val="18"/>
              </w:rPr>
            </w:pPr>
            <w:r w:rsidRPr="00DE4CAE">
              <w:rPr>
                <w:rFonts w:ascii="Arial" w:hAnsi="Arial" w:cs="Arial"/>
                <w:sz w:val="18"/>
                <w:szCs w:val="18"/>
              </w:rPr>
              <w:t>0.</w:t>
            </w:r>
            <w:r w:rsidRPr="00DE4CAE" w:rsidR="00283A38">
              <w:rPr>
                <w:rFonts w:ascii="Arial" w:hAnsi="Arial" w:cs="Arial"/>
                <w:sz w:val="18"/>
                <w:szCs w:val="18"/>
              </w:rPr>
              <w:t>0833</w:t>
            </w:r>
          </w:p>
        </w:tc>
        <w:tc>
          <w:tcPr>
            <w:tcW w:w="1170" w:type="dxa"/>
            <w:vAlign w:val="center"/>
          </w:tcPr>
          <w:p w:rsidR="003E384D" w:rsidRPr="00DE4CAE" w:rsidP="009713AE" w14:paraId="0BC4FD66" w14:textId="5FE07851">
            <w:pPr>
              <w:jc w:val="center"/>
              <w:rPr>
                <w:rFonts w:ascii="Arial" w:hAnsi="Arial" w:cs="Arial"/>
                <w:sz w:val="18"/>
                <w:szCs w:val="18"/>
              </w:rPr>
            </w:pPr>
            <w:r w:rsidRPr="00406786">
              <w:rPr>
                <w:rFonts w:ascii="Arial" w:hAnsi="Arial" w:cs="Arial"/>
                <w:sz w:val="18"/>
                <w:szCs w:val="18"/>
              </w:rPr>
              <w:t>61,41</w:t>
            </w:r>
            <w:r w:rsidR="00D00E2B">
              <w:rPr>
                <w:rFonts w:ascii="Arial" w:hAnsi="Arial" w:cs="Arial"/>
                <w:sz w:val="18"/>
                <w:szCs w:val="18"/>
              </w:rPr>
              <w:t>5</w:t>
            </w:r>
          </w:p>
        </w:tc>
        <w:tc>
          <w:tcPr>
            <w:tcW w:w="1057" w:type="dxa"/>
            <w:vAlign w:val="center"/>
          </w:tcPr>
          <w:p w:rsidR="003E384D" w:rsidRPr="00DE4CAE" w:rsidP="009713AE" w14:paraId="1F39E66F" w14:textId="043956C1">
            <w:pPr>
              <w:jc w:val="center"/>
              <w:rPr>
                <w:rFonts w:ascii="Arial" w:hAnsi="Arial" w:cs="Arial"/>
                <w:sz w:val="18"/>
                <w:szCs w:val="18"/>
              </w:rPr>
            </w:pPr>
            <w:r w:rsidRPr="00DE4CAE">
              <w:rPr>
                <w:rFonts w:ascii="Arial" w:hAnsi="Arial" w:cs="Arial"/>
                <w:sz w:val="18"/>
                <w:szCs w:val="18"/>
              </w:rPr>
              <w:t>$</w:t>
            </w:r>
            <w:r w:rsidR="00406786">
              <w:rPr>
                <w:rFonts w:ascii="Arial" w:hAnsi="Arial" w:cs="Arial"/>
                <w:sz w:val="18"/>
                <w:szCs w:val="18"/>
              </w:rPr>
              <w:t>40.46</w:t>
            </w:r>
          </w:p>
        </w:tc>
        <w:tc>
          <w:tcPr>
            <w:tcW w:w="1170" w:type="dxa"/>
            <w:vAlign w:val="center"/>
          </w:tcPr>
          <w:p w:rsidR="003E384D" w:rsidRPr="00DE4CAE" w:rsidP="009713AE" w14:paraId="0B49E288" w14:textId="6E48A53A">
            <w:pPr>
              <w:jc w:val="center"/>
              <w:rPr>
                <w:rFonts w:ascii="Arial" w:hAnsi="Arial" w:cs="Arial"/>
                <w:sz w:val="18"/>
                <w:szCs w:val="18"/>
              </w:rPr>
            </w:pPr>
            <w:r w:rsidRPr="00DE4CAE">
              <w:rPr>
                <w:rFonts w:ascii="Arial" w:hAnsi="Arial" w:cs="Arial"/>
                <w:sz w:val="18"/>
                <w:szCs w:val="18"/>
              </w:rPr>
              <w:t>$</w:t>
            </w:r>
            <w:r w:rsidR="00406786">
              <w:rPr>
                <w:rFonts w:ascii="Arial" w:hAnsi="Arial" w:cs="Arial"/>
                <w:sz w:val="18"/>
                <w:szCs w:val="18"/>
              </w:rPr>
              <w:t>2,484,</w:t>
            </w:r>
            <w:r w:rsidR="00D00E2B">
              <w:rPr>
                <w:rFonts w:ascii="Arial" w:hAnsi="Arial" w:cs="Arial"/>
                <w:sz w:val="18"/>
                <w:szCs w:val="18"/>
              </w:rPr>
              <w:t>855</w:t>
            </w:r>
          </w:p>
        </w:tc>
      </w:tr>
    </w:tbl>
    <w:p w:rsidR="009D6C74" w:rsidP="00C87B35" w14:paraId="644CB9B0" w14:textId="77777777">
      <w:pPr>
        <w:tabs>
          <w:tab w:val="left" w:pos="360"/>
        </w:tabs>
        <w:ind w:left="90" w:hanging="360"/>
        <w:rPr>
          <w:sz w:val="24"/>
        </w:rPr>
      </w:pPr>
    </w:p>
    <w:p w:rsidR="005D611B" w:rsidRPr="008C26F5" w:rsidP="00FB3C5F" w14:paraId="452C85B1" w14:textId="6E8F9E04">
      <w:pPr>
        <w:ind w:left="360"/>
        <w:rPr>
          <w:sz w:val="24"/>
          <w:szCs w:val="24"/>
        </w:rPr>
      </w:pPr>
      <w:r w:rsidRPr="008C26F5">
        <w:rPr>
          <w:sz w:val="24"/>
          <w:szCs w:val="24"/>
        </w:rPr>
        <w:t xml:space="preserve">Estimated cost for Burden Hour is calculated from </w:t>
      </w:r>
      <w:r w:rsidRPr="008C26F5" w:rsidR="00FB59D3">
        <w:rPr>
          <w:sz w:val="24"/>
          <w:szCs w:val="24"/>
        </w:rPr>
        <w:t xml:space="preserve">U.S. Department of Labor, Bureau of Labor Statistics website </w:t>
      </w:r>
      <w:r w:rsidRPr="00DE4CAE">
        <w:rPr>
          <w:sz w:val="24"/>
          <w:szCs w:val="24"/>
        </w:rPr>
        <w:t>(</w:t>
      </w:r>
      <w:hyperlink r:id="rId4" w:history="1">
        <w:r w:rsidRPr="00F42707" w:rsidR="00FB59D3">
          <w:rPr>
            <w:rStyle w:val="Hyperlink"/>
            <w:color w:val="0070C0"/>
            <w:sz w:val="24"/>
            <w:szCs w:val="24"/>
          </w:rPr>
          <w:t>https://www.bls.gov/oes/current/oes_nat.htm</w:t>
        </w:r>
      </w:hyperlink>
      <w:r w:rsidRPr="008C26F5">
        <w:rPr>
          <w:sz w:val="24"/>
          <w:szCs w:val="24"/>
        </w:rPr>
        <w:t>), based on $</w:t>
      </w:r>
      <w:r w:rsidR="00406786">
        <w:rPr>
          <w:sz w:val="24"/>
          <w:szCs w:val="24"/>
        </w:rPr>
        <w:t>40.46</w:t>
      </w:r>
      <w:r w:rsidRPr="008C26F5">
        <w:rPr>
          <w:sz w:val="24"/>
          <w:szCs w:val="24"/>
        </w:rPr>
        <w:t xml:space="preserve"> hourly rate for </w:t>
      </w:r>
      <w:r w:rsidRPr="008C26F5" w:rsidR="008C26F5">
        <w:rPr>
          <w:sz w:val="24"/>
          <w:szCs w:val="24"/>
        </w:rPr>
        <w:t>Loan Officers</w:t>
      </w:r>
      <w:r w:rsidRPr="008C26F5">
        <w:rPr>
          <w:sz w:val="24"/>
          <w:szCs w:val="24"/>
        </w:rPr>
        <w:t>.</w:t>
      </w:r>
    </w:p>
    <w:p w:rsidR="005D611B" w:rsidRPr="00A1519C" w:rsidP="00FB3C5F" w14:paraId="5811B39C" w14:textId="77777777">
      <w:pPr>
        <w:rPr>
          <w:sz w:val="24"/>
          <w:szCs w:val="24"/>
        </w:rPr>
      </w:pPr>
    </w:p>
    <w:p w:rsidR="00472438" w:rsidP="00472438" w14:paraId="0E0B4261" w14:textId="359B0771">
      <w:pPr>
        <w:tabs>
          <w:tab w:val="left" w:pos="360"/>
        </w:tabs>
        <w:ind w:left="360" w:hanging="360"/>
        <w:rPr>
          <w:sz w:val="24"/>
        </w:rPr>
      </w:pPr>
      <w:r>
        <w:rPr>
          <w:color w:val="FF0000"/>
          <w:sz w:val="24"/>
        </w:rPr>
        <w:t xml:space="preserve">      </w:t>
      </w:r>
      <w:r w:rsidRPr="000142AC" w:rsidR="009D6C74">
        <w:rPr>
          <w:sz w:val="24"/>
        </w:rPr>
        <w:t xml:space="preserve">Financial </w:t>
      </w:r>
      <w:r w:rsidRPr="000142AC" w:rsidR="002902D7">
        <w:rPr>
          <w:sz w:val="24"/>
        </w:rPr>
        <w:t>i</w:t>
      </w:r>
      <w:r w:rsidRPr="000142AC" w:rsidR="009D6C74">
        <w:rPr>
          <w:sz w:val="24"/>
        </w:rPr>
        <w:t>nstruments are prepared by the lender as a requirement of State and local laws, and for FHA insurance. Processing th</w:t>
      </w:r>
      <w:r w:rsidRPr="000142AC" w:rsidR="00AF77AA">
        <w:rPr>
          <w:sz w:val="24"/>
        </w:rPr>
        <w:t xml:space="preserve">is instrument </w:t>
      </w:r>
      <w:r w:rsidRPr="000142AC" w:rsidR="009D6C74">
        <w:rPr>
          <w:sz w:val="24"/>
        </w:rPr>
        <w:t xml:space="preserve">is often accomplished </w:t>
      </w:r>
      <w:r w:rsidRPr="000142AC" w:rsidR="00F65538">
        <w:rPr>
          <w:sz w:val="24"/>
        </w:rPr>
        <w:t>automatically;</w:t>
      </w:r>
      <w:r w:rsidRPr="000142AC" w:rsidR="009D6C74">
        <w:rPr>
          <w:sz w:val="24"/>
        </w:rPr>
        <w:t xml:space="preserve"> however, small lenders may still complete these forms manually. The closing department of most lenders has responsibility for preparing the closing package, including the mortgage and note.  </w:t>
      </w:r>
    </w:p>
    <w:p w:rsidR="00C1466F" w:rsidP="00CC4958" w14:paraId="782AA4E7" w14:textId="77777777">
      <w:pPr>
        <w:tabs>
          <w:tab w:val="left" w:pos="360"/>
        </w:tabs>
        <w:rPr>
          <w:sz w:val="24"/>
        </w:rPr>
      </w:pPr>
    </w:p>
    <w:p w:rsidR="00C549CA" w:rsidRPr="0012152C" w:rsidP="00C549CA" w14:paraId="214F6E99" w14:textId="6CBCEA27">
      <w:pPr>
        <w:ind w:left="432" w:hanging="432"/>
        <w:rPr>
          <w:b/>
          <w:bCs/>
          <w:sz w:val="24"/>
          <w:szCs w:val="24"/>
        </w:rPr>
      </w:pPr>
      <w:r w:rsidRPr="0012152C">
        <w:rPr>
          <w:b/>
          <w:bCs/>
          <w:sz w:val="24"/>
        </w:rPr>
        <w:t>13.  Provide an estimate for the total</w:t>
      </w:r>
      <w:r w:rsidRPr="0012152C">
        <w:rPr>
          <w:b/>
          <w:bCs/>
          <w:sz w:val="24"/>
          <w:szCs w:val="24"/>
        </w:rPr>
        <w:t xml:space="preserve"> annual cost burden to respondents or recordkeepers resulting from the collection of information. (Do not include the cost of any hour burden shown in Items 12 and 14). </w:t>
      </w:r>
    </w:p>
    <w:p w:rsidR="00C549CA" w:rsidRPr="0012152C" w:rsidP="00CC4958" w14:paraId="6A3E62F4" w14:textId="77777777">
      <w:pPr>
        <w:tabs>
          <w:tab w:val="left" w:pos="360"/>
        </w:tabs>
        <w:rPr>
          <w:b/>
          <w:bCs/>
          <w:sz w:val="24"/>
        </w:rPr>
      </w:pPr>
    </w:p>
    <w:p w:rsidR="00AF77AA" w:rsidP="00CC4958" w14:paraId="5846D461" w14:textId="76672C6A">
      <w:pPr>
        <w:tabs>
          <w:tab w:val="left" w:pos="360"/>
        </w:tabs>
        <w:rPr>
          <w:sz w:val="24"/>
        </w:rPr>
      </w:pPr>
      <w:r>
        <w:rPr>
          <w:sz w:val="24"/>
        </w:rPr>
        <w:tab/>
      </w:r>
      <w:r w:rsidR="009D6C74">
        <w:rPr>
          <w:sz w:val="24"/>
        </w:rPr>
        <w:t xml:space="preserve">There are no </w:t>
      </w:r>
      <w:r>
        <w:rPr>
          <w:sz w:val="24"/>
        </w:rPr>
        <w:t>additional costs to respondents</w:t>
      </w:r>
      <w:r w:rsidR="00420E9F">
        <w:rPr>
          <w:sz w:val="24"/>
        </w:rPr>
        <w:t>.</w:t>
      </w:r>
    </w:p>
    <w:p w:rsidR="00AF77AA" w:rsidP="00C87B35" w14:paraId="304E7850" w14:textId="77777777">
      <w:pPr>
        <w:rPr>
          <w:sz w:val="24"/>
        </w:rPr>
      </w:pPr>
    </w:p>
    <w:p w:rsidR="00C549CA" w:rsidRPr="0012152C" w:rsidP="00C549CA" w14:paraId="5C02E0DB" w14:textId="6D2AAA67">
      <w:pPr>
        <w:ind w:left="432" w:hanging="432"/>
        <w:rPr>
          <w:b/>
          <w:bCs/>
          <w:sz w:val="24"/>
          <w:szCs w:val="24"/>
        </w:rPr>
      </w:pPr>
      <w:r w:rsidRPr="0012152C">
        <w:rPr>
          <w:b/>
          <w:bCs/>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C549CA" w:rsidP="00FB3C5F" w14:paraId="2B3258A2" w14:textId="77777777">
      <w:pPr>
        <w:rPr>
          <w:sz w:val="24"/>
          <w:szCs w:val="24"/>
        </w:rPr>
      </w:pPr>
    </w:p>
    <w:p w:rsidR="009D6C74" w:rsidP="00C549CA" w14:paraId="4D6A5E31" w14:textId="581EC771">
      <w:pPr>
        <w:rPr>
          <w:sz w:val="24"/>
        </w:rPr>
      </w:pPr>
      <w:r>
        <w:rPr>
          <w:sz w:val="24"/>
          <w:szCs w:val="24"/>
        </w:rPr>
        <w:t xml:space="preserve">      There</w:t>
      </w:r>
      <w:r w:rsidRPr="00D44654">
        <w:rPr>
          <w:sz w:val="24"/>
          <w:szCs w:val="24"/>
        </w:rPr>
        <w:t xml:space="preserve"> </w:t>
      </w:r>
      <w:r>
        <w:rPr>
          <w:sz w:val="24"/>
        </w:rPr>
        <w:t xml:space="preserve">is no </w:t>
      </w:r>
      <w:r w:rsidR="009E471B">
        <w:rPr>
          <w:sz w:val="24"/>
        </w:rPr>
        <w:t xml:space="preserve">additional </w:t>
      </w:r>
      <w:r>
        <w:rPr>
          <w:sz w:val="24"/>
        </w:rPr>
        <w:t xml:space="preserve">cost to the Federal government involved in implementation of these requirements. </w:t>
      </w:r>
    </w:p>
    <w:p w:rsidR="00FB3C5F" w:rsidP="00C87B35" w14:paraId="44084A6C" w14:textId="77777777">
      <w:pPr>
        <w:overflowPunct/>
        <w:textAlignment w:val="auto"/>
        <w:rPr>
          <w:sz w:val="24"/>
        </w:rPr>
      </w:pPr>
    </w:p>
    <w:p w:rsidR="00C549CA" w:rsidRPr="0012152C" w:rsidP="0066046D" w14:paraId="0D719402" w14:textId="34333527">
      <w:pPr>
        <w:overflowPunct/>
        <w:ind w:left="432" w:hanging="432"/>
        <w:textAlignment w:val="auto"/>
        <w:rPr>
          <w:b/>
          <w:bCs/>
          <w:sz w:val="24"/>
        </w:rPr>
      </w:pPr>
      <w:bookmarkStart w:id="5" w:name="_Hlk45527547"/>
      <w:r w:rsidRPr="0012152C">
        <w:rPr>
          <w:b/>
          <w:bCs/>
          <w:sz w:val="24"/>
        </w:rPr>
        <w:t>1</w:t>
      </w:r>
      <w:r w:rsidRPr="0012152C" w:rsidR="00420E9F">
        <w:rPr>
          <w:b/>
          <w:bCs/>
          <w:sz w:val="24"/>
        </w:rPr>
        <w:t>5</w:t>
      </w:r>
      <w:r w:rsidRPr="0012152C">
        <w:rPr>
          <w:b/>
          <w:bCs/>
          <w:sz w:val="24"/>
        </w:rPr>
        <w:t xml:space="preserve">. </w:t>
      </w:r>
      <w:r w:rsidRPr="0012152C">
        <w:rPr>
          <w:b/>
          <w:bCs/>
          <w:sz w:val="24"/>
        </w:rPr>
        <w:t xml:space="preserve"> Explain </w:t>
      </w:r>
      <w:bookmarkEnd w:id="5"/>
      <w:r w:rsidRPr="0012152C">
        <w:rPr>
          <w:b/>
          <w:bCs/>
          <w:sz w:val="24"/>
        </w:rPr>
        <w:t xml:space="preserve">the reasons for any program </w:t>
      </w:r>
      <w:r w:rsidRPr="0012152C">
        <w:rPr>
          <w:b/>
          <w:bCs/>
          <w:sz w:val="24"/>
          <w:szCs w:val="24"/>
        </w:rPr>
        <w:t xml:space="preserve">changes or adjustments reported in Items 13 or 14 of the OMB </w:t>
      </w:r>
      <w:r w:rsidR="0066046D">
        <w:rPr>
          <w:b/>
          <w:bCs/>
          <w:sz w:val="24"/>
          <w:szCs w:val="24"/>
        </w:rPr>
        <w:t xml:space="preserve">  </w:t>
      </w:r>
      <w:r w:rsidRPr="0012152C">
        <w:rPr>
          <w:b/>
          <w:bCs/>
          <w:sz w:val="24"/>
          <w:szCs w:val="24"/>
        </w:rPr>
        <w:t xml:space="preserve">Form 83-I. </w:t>
      </w:r>
    </w:p>
    <w:p w:rsidR="00C549CA" w:rsidP="00C87B35" w14:paraId="2DEDFD41" w14:textId="77777777">
      <w:pPr>
        <w:overflowPunct/>
        <w:textAlignment w:val="auto"/>
        <w:rPr>
          <w:sz w:val="24"/>
        </w:rPr>
      </w:pPr>
    </w:p>
    <w:p w:rsidR="009D6C74" w:rsidP="0066046D" w14:paraId="5CD100E5" w14:textId="65305F8A">
      <w:pPr>
        <w:overflowPunct/>
        <w:ind w:left="432" w:hanging="432"/>
        <w:textAlignment w:val="auto"/>
        <w:rPr>
          <w:sz w:val="24"/>
        </w:rPr>
      </w:pPr>
      <w:r>
        <w:rPr>
          <w:sz w:val="24"/>
        </w:rPr>
        <w:t xml:space="preserve">     </w:t>
      </w:r>
      <w:r w:rsidR="0066046D">
        <w:rPr>
          <w:sz w:val="24"/>
        </w:rPr>
        <w:t xml:space="preserve"> </w:t>
      </w:r>
      <w:r>
        <w:rPr>
          <w:sz w:val="24"/>
        </w:rPr>
        <w:t xml:space="preserve">This is </w:t>
      </w:r>
      <w:r w:rsidR="00B610F2">
        <w:rPr>
          <w:sz w:val="24"/>
        </w:rPr>
        <w:t>a</w:t>
      </w:r>
      <w:r>
        <w:rPr>
          <w:sz w:val="24"/>
        </w:rPr>
        <w:t xml:space="preserve"> </w:t>
      </w:r>
      <w:r w:rsidR="00B610F2">
        <w:rPr>
          <w:sz w:val="24"/>
        </w:rPr>
        <w:t>revision</w:t>
      </w:r>
      <w:r>
        <w:rPr>
          <w:sz w:val="24"/>
        </w:rPr>
        <w:t xml:space="preserve"> of a currently approved collection</w:t>
      </w:r>
      <w:r w:rsidR="000132F4">
        <w:rPr>
          <w:sz w:val="24"/>
        </w:rPr>
        <w:t>; however, t</w:t>
      </w:r>
      <w:r w:rsidR="00F65538">
        <w:rPr>
          <w:sz w:val="24"/>
        </w:rPr>
        <w:t xml:space="preserve">here </w:t>
      </w:r>
      <w:r w:rsidR="000132F4">
        <w:rPr>
          <w:sz w:val="24"/>
        </w:rPr>
        <w:t xml:space="preserve">is a change/adjustment due to </w:t>
      </w:r>
      <w:r w:rsidR="00AD155B">
        <w:rPr>
          <w:sz w:val="24"/>
        </w:rPr>
        <w:t>a</w:t>
      </w:r>
      <w:r w:rsidR="00420E9F">
        <w:rPr>
          <w:sz w:val="24"/>
        </w:rPr>
        <w:t xml:space="preserve"> </w:t>
      </w:r>
      <w:r w:rsidR="00066566">
        <w:rPr>
          <w:sz w:val="24"/>
        </w:rPr>
        <w:t>decrease</w:t>
      </w:r>
      <w:r w:rsidR="000132F4">
        <w:rPr>
          <w:sz w:val="24"/>
        </w:rPr>
        <w:t xml:space="preserve"> in FHA endorse</w:t>
      </w:r>
      <w:r w:rsidR="007E43E3">
        <w:rPr>
          <w:sz w:val="24"/>
        </w:rPr>
        <w:t xml:space="preserve">d </w:t>
      </w:r>
      <w:r w:rsidR="000132F4">
        <w:rPr>
          <w:sz w:val="24"/>
        </w:rPr>
        <w:t>mortgages</w:t>
      </w:r>
      <w:r w:rsidR="00622F81">
        <w:rPr>
          <w:sz w:val="24"/>
        </w:rPr>
        <w:t xml:space="preserve"> caused by a combination of decrease in inventory and market rate fluctuation</w:t>
      </w:r>
      <w:r w:rsidR="000132F4">
        <w:rPr>
          <w:sz w:val="24"/>
        </w:rPr>
        <w:t xml:space="preserve">. </w:t>
      </w:r>
      <w:r w:rsidR="007E43E3">
        <w:rPr>
          <w:sz w:val="24"/>
        </w:rPr>
        <w:t>Also, there is a reduction of burden hours</w:t>
      </w:r>
      <w:r w:rsidR="00AD155B">
        <w:rPr>
          <w:sz w:val="24"/>
        </w:rPr>
        <w:t xml:space="preserve"> </w:t>
      </w:r>
      <w:r w:rsidR="007E43E3">
        <w:rPr>
          <w:sz w:val="24"/>
        </w:rPr>
        <w:t>due to lenders producing</w:t>
      </w:r>
      <w:r w:rsidR="00AD155B">
        <w:rPr>
          <w:sz w:val="24"/>
        </w:rPr>
        <w:t xml:space="preserve"> </w:t>
      </w:r>
      <w:r w:rsidR="007E43E3">
        <w:rPr>
          <w:sz w:val="24"/>
        </w:rPr>
        <w:t xml:space="preserve">mortgage documents electronically. </w:t>
      </w:r>
    </w:p>
    <w:p w:rsidR="00F65538" w:rsidP="00C87B35" w14:paraId="591C2F00" w14:textId="77777777">
      <w:pPr>
        <w:overflowPunct/>
        <w:textAlignment w:val="auto"/>
        <w:rPr>
          <w:sz w:val="24"/>
        </w:rPr>
      </w:pPr>
    </w:p>
    <w:p w:rsidR="00C549CA" w:rsidRPr="0012152C" w:rsidP="00C549CA" w14:paraId="34E1F840" w14:textId="243A6CCA">
      <w:pPr>
        <w:ind w:left="432" w:hanging="432"/>
        <w:rPr>
          <w:b/>
          <w:bCs/>
          <w:sz w:val="24"/>
          <w:szCs w:val="24"/>
        </w:rPr>
      </w:pPr>
      <w:r w:rsidRPr="0012152C">
        <w:rPr>
          <w:b/>
          <w:bCs/>
          <w:sz w:val="24"/>
        </w:rPr>
        <w:t xml:space="preserve">16.  For collection of </w:t>
      </w:r>
      <w:r w:rsidRPr="0012152C">
        <w:rPr>
          <w:b/>
          <w:bCs/>
          <w:sz w:val="24"/>
          <w:szCs w:val="24"/>
        </w:rPr>
        <w:t xml:space="preserve">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C549CA" w:rsidP="00C87B35" w14:paraId="66F695F3" w14:textId="77777777">
      <w:pPr>
        <w:rPr>
          <w:sz w:val="24"/>
        </w:rPr>
      </w:pPr>
    </w:p>
    <w:p w:rsidR="009D6C74" w:rsidP="00C87B35" w14:paraId="2943FCBA" w14:textId="66C1E1AE">
      <w:pPr>
        <w:rPr>
          <w:sz w:val="24"/>
        </w:rPr>
      </w:pPr>
      <w:r>
        <w:rPr>
          <w:sz w:val="24"/>
        </w:rPr>
        <w:t xml:space="preserve">      </w:t>
      </w:r>
      <w:r>
        <w:rPr>
          <w:sz w:val="24"/>
        </w:rPr>
        <w:t>The results of this collection will not be published.</w:t>
      </w:r>
    </w:p>
    <w:p w:rsidR="009D6C74" w:rsidP="00C87B35" w14:paraId="30432A5D" w14:textId="77777777">
      <w:pPr>
        <w:pStyle w:val="BodyTextIndent2"/>
        <w:ind w:left="0" w:firstLine="0"/>
        <w:rPr>
          <w:sz w:val="24"/>
        </w:rPr>
      </w:pPr>
    </w:p>
    <w:p w:rsidR="00C549CA" w:rsidRPr="0012152C" w:rsidP="00C549CA" w14:paraId="3960C503" w14:textId="77777777">
      <w:pPr>
        <w:ind w:left="432" w:hanging="432"/>
        <w:rPr>
          <w:b/>
          <w:bCs/>
          <w:sz w:val="24"/>
          <w:szCs w:val="24"/>
        </w:rPr>
      </w:pPr>
      <w:r w:rsidRPr="0012152C">
        <w:rPr>
          <w:b/>
          <w:bCs/>
          <w:sz w:val="24"/>
        </w:rPr>
        <w:t xml:space="preserve">17.  If seeking </w:t>
      </w:r>
      <w:r w:rsidRPr="0012152C">
        <w:rPr>
          <w:b/>
          <w:bCs/>
          <w:sz w:val="24"/>
          <w:szCs w:val="24"/>
        </w:rPr>
        <w:t xml:space="preserve">approval to not display the expiration date for OMB approval of the information collection, explain the reasons that display would be inappropriate. </w:t>
      </w:r>
    </w:p>
    <w:p w:rsidR="00C549CA" w:rsidP="00C87B35" w14:paraId="391DD6E2" w14:textId="37B7116F">
      <w:pPr>
        <w:pStyle w:val="BodyTextIndent2"/>
        <w:ind w:left="0" w:firstLine="0"/>
        <w:rPr>
          <w:sz w:val="24"/>
        </w:rPr>
      </w:pPr>
      <w:r>
        <w:rPr>
          <w:sz w:val="24"/>
        </w:rPr>
        <w:t xml:space="preserve"> </w:t>
      </w:r>
    </w:p>
    <w:p w:rsidR="009D6C74" w:rsidP="00C87B35" w14:paraId="1BBCED81" w14:textId="13A96642">
      <w:pPr>
        <w:pStyle w:val="BodyTextIndent2"/>
        <w:ind w:left="0" w:firstLine="0"/>
        <w:rPr>
          <w:sz w:val="24"/>
        </w:rPr>
      </w:pPr>
      <w:r>
        <w:rPr>
          <w:sz w:val="24"/>
        </w:rPr>
        <w:t xml:space="preserve">       </w:t>
      </w:r>
      <w:r>
        <w:rPr>
          <w:sz w:val="24"/>
        </w:rPr>
        <w:t>HUD is not seeking approval to avoid displaying the expiration date of the OMB approval.</w:t>
      </w:r>
    </w:p>
    <w:p w:rsidR="00472438" w:rsidP="00C87B35" w14:paraId="17975D8C" w14:textId="77777777">
      <w:pPr>
        <w:pStyle w:val="BodyTextIndent2"/>
        <w:tabs>
          <w:tab w:val="clear" w:pos="360"/>
        </w:tabs>
        <w:ind w:left="0" w:firstLine="0"/>
        <w:rPr>
          <w:sz w:val="24"/>
        </w:rPr>
      </w:pPr>
    </w:p>
    <w:p w:rsidR="00512570" w:rsidRPr="0012152C" w:rsidP="00512570" w14:paraId="60D87531" w14:textId="44FDAC87">
      <w:pPr>
        <w:ind w:left="432" w:hanging="432"/>
        <w:rPr>
          <w:b/>
          <w:bCs/>
          <w:sz w:val="24"/>
          <w:szCs w:val="24"/>
        </w:rPr>
      </w:pPr>
      <w:r w:rsidRPr="0012152C">
        <w:rPr>
          <w:b/>
          <w:bCs/>
          <w:sz w:val="24"/>
        </w:rPr>
        <w:t>1</w:t>
      </w:r>
      <w:r w:rsidRPr="0012152C" w:rsidR="00736121">
        <w:rPr>
          <w:b/>
          <w:bCs/>
          <w:sz w:val="24"/>
        </w:rPr>
        <w:t>8</w:t>
      </w:r>
      <w:r w:rsidRPr="0012152C">
        <w:rPr>
          <w:b/>
          <w:bCs/>
          <w:sz w:val="24"/>
        </w:rPr>
        <w:t xml:space="preserve">.  </w:t>
      </w:r>
      <w:r w:rsidRPr="0012152C">
        <w:rPr>
          <w:b/>
          <w:bCs/>
          <w:sz w:val="24"/>
          <w:szCs w:val="24"/>
        </w:rPr>
        <w:t xml:space="preserve">Explain each exception to the certification statement identified in Item 19, "Certification for Paperwork Reduction Act Submissions," of OMB Form 83-I. </w:t>
      </w:r>
    </w:p>
    <w:p w:rsidR="00736121" w:rsidP="00C87B35" w14:paraId="27584176" w14:textId="77777777">
      <w:pPr>
        <w:pStyle w:val="BodyTextIndent2"/>
        <w:tabs>
          <w:tab w:val="clear" w:pos="360"/>
        </w:tabs>
        <w:ind w:left="0" w:firstLine="0"/>
        <w:rPr>
          <w:sz w:val="24"/>
        </w:rPr>
      </w:pPr>
    </w:p>
    <w:p w:rsidR="00330E9E" w:rsidRPr="00AD155B" w:rsidP="00AD155B" w14:paraId="78FD8436" w14:textId="3894A49F">
      <w:pPr>
        <w:pStyle w:val="BodyTextIndent2"/>
        <w:tabs>
          <w:tab w:val="clear" w:pos="360"/>
        </w:tabs>
        <w:ind w:left="288" w:hanging="288"/>
        <w:rPr>
          <w:sz w:val="24"/>
        </w:rPr>
      </w:pPr>
      <w:r>
        <w:rPr>
          <w:sz w:val="24"/>
        </w:rPr>
        <w:t xml:space="preserve">      </w:t>
      </w:r>
      <w:r w:rsidR="009D6C74">
        <w:rPr>
          <w:sz w:val="24"/>
        </w:rPr>
        <w:t>There are no exceptions to the certification statement identified in Item #19 of the OMB 83-I.</w:t>
      </w:r>
      <w:r w:rsidR="00EA3C9C">
        <w:rPr>
          <w:sz w:val="24"/>
        </w:rPr>
        <w:t xml:space="preserve"> </w:t>
      </w:r>
    </w:p>
    <w:p w:rsidR="009D6C74" w:rsidP="00C87B35" w14:paraId="30C5F9FD" w14:textId="77777777">
      <w:pPr>
        <w:tabs>
          <w:tab w:val="left" w:pos="360"/>
          <w:tab w:val="left" w:pos="720"/>
        </w:tabs>
        <w:rPr>
          <w:sz w:val="24"/>
        </w:rPr>
      </w:pPr>
    </w:p>
    <w:p w:rsidR="009D6C74" w:rsidP="00C87B35" w14:paraId="361427D1" w14:textId="77777777">
      <w:pPr>
        <w:tabs>
          <w:tab w:val="left" w:pos="360"/>
          <w:tab w:val="left" w:pos="720"/>
        </w:tabs>
        <w:rPr>
          <w:sz w:val="24"/>
        </w:rPr>
      </w:pPr>
    </w:p>
    <w:p w:rsidR="00512570" w:rsidRPr="00BC0E9A" w:rsidP="00512570" w14:paraId="6A5503C3" w14:textId="767D5263">
      <w:pPr>
        <w:pStyle w:val="Heading1"/>
        <w:rPr>
          <w:rFonts w:cs="Helvetica"/>
        </w:rPr>
      </w:pPr>
      <w:r w:rsidRPr="00BC0E9A">
        <w:rPr>
          <w:rFonts w:cs="Helvetica"/>
        </w:rPr>
        <w:t>Collections of Information Employing Statistical Methods</w:t>
      </w:r>
    </w:p>
    <w:p w:rsidR="009D6C74" w:rsidRPr="00BC0E9A" w:rsidP="00C87B35" w14:paraId="76B16055" w14:textId="77777777">
      <w:pPr>
        <w:rPr>
          <w:rFonts w:ascii="Helvetica" w:hAnsi="Helvetica" w:cs="Helvetica"/>
          <w:sz w:val="24"/>
        </w:rPr>
      </w:pPr>
    </w:p>
    <w:p w:rsidR="009D6C74" w:rsidP="00FB3C5F" w14:paraId="0DC98987" w14:textId="35EC2662">
      <w:pPr>
        <w:pStyle w:val="BodyText2"/>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r>
        <w:t xml:space="preserve">     </w:t>
      </w:r>
      <w:r>
        <w:t>This information collection does not employ statistical methods.</w:t>
      </w:r>
    </w:p>
    <w:p w:rsidR="009D6C74" w:rsidP="00C87B35" w14:paraId="07ADC235" w14:textId="77777777">
      <w:pPr>
        <w:rPr>
          <w:sz w:val="24"/>
        </w:rPr>
      </w:pPr>
    </w:p>
    <w:sectPr w:rsidSect="00E200F4">
      <w:footerReference w:type="even" r:id="rId5"/>
      <w:footerReference w:type="default" r:id="rId6"/>
      <w:pgSz w:w="12240" w:h="15840"/>
      <w:pgMar w:top="480" w:right="720" w:bottom="480" w:left="600" w:header="480" w:footer="480" w:gutter="0"/>
      <w:cols w:space="480" w:equalWidth="0">
        <w:col w:w="1080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84D" w14:paraId="41F220B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3E384D" w14:paraId="00DE20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84D" w14:paraId="588B261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62B5">
      <w:rPr>
        <w:rStyle w:val="PageNumber"/>
        <w:noProof/>
      </w:rPr>
      <w:t>2</w:t>
    </w:r>
    <w:r>
      <w:rPr>
        <w:rStyle w:val="PageNumber"/>
      </w:rPr>
      <w:fldChar w:fldCharType="end"/>
    </w:r>
  </w:p>
  <w:p w:rsidR="003E384D" w14:paraId="6D40E49E" w14:textId="77777777">
    <w:pPr>
      <w:pStyle w:val="Footer"/>
      <w:tabs>
        <w:tab w:val="clear" w:pos="4320"/>
        <w:tab w:val="clear" w:pos="8640"/>
        <w:tab w:val="right" w:pos="10920"/>
      </w:tabs>
      <w:spacing w:line="120" w:lineRule="exact"/>
      <w:ind w:left="-120" w:right="-120"/>
      <w:rPr>
        <w:rFonts w:ascii="Helvetica" w:hAnsi="Helvetica"/>
        <w:b/>
        <w:sz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F1408F"/>
    <w:multiLevelType w:val="hybridMultilevel"/>
    <w:tmpl w:val="345C0046"/>
    <w:lvl w:ilvl="0">
      <w:start w:val="1"/>
      <w:numFmt w:val="decimal"/>
      <w:lvlText w:val="%1."/>
      <w:lvlJc w:val="left"/>
      <w:pPr>
        <w:tabs>
          <w:tab w:val="num" w:pos="450"/>
        </w:tabs>
        <w:ind w:left="450" w:hanging="360"/>
      </w:pPr>
      <w:rPr>
        <w:rFonts w:ascii="Times New Roman" w:hAnsi="Times New Roman" w:hint="default"/>
        <w:b/>
        <w:bCs w:val="0"/>
        <w:i w:val="0"/>
        <w:color w:val="auto"/>
        <w:sz w:val="24"/>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
    <w:nsid w:val="5BE1024D"/>
    <w:multiLevelType w:val="hybridMultilevel"/>
    <w:tmpl w:val="1B9696D8"/>
    <w:lvl w:ilvl="0">
      <w:start w:val="1"/>
      <w:numFmt w:val="bullet"/>
      <w:lvlText w:val=""/>
      <w:lvlJc w:val="left"/>
      <w:pPr>
        <w:ind w:left="960" w:hanging="360"/>
      </w:pPr>
      <w:rPr>
        <w:rFonts w:ascii="Wingdings" w:hAnsi="Wingdings"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2">
    <w:nsid w:val="71A80020"/>
    <w:multiLevelType w:val="hybridMultilevel"/>
    <w:tmpl w:val="1446435A"/>
    <w:lvl w:ilvl="0">
      <w:start w:val="2"/>
      <w:numFmt w:val="upperLetter"/>
      <w:pStyle w:val="Heading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37056C7"/>
    <w:multiLevelType w:val="hybridMultilevel"/>
    <w:tmpl w:val="8F6A55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A671959"/>
    <w:multiLevelType w:val="hybridMultilevel"/>
    <w:tmpl w:val="2BA0F212"/>
    <w:lvl w:ilvl="0">
      <w:start w:val="1"/>
      <w:numFmt w:val="bullet"/>
      <w:lvlText w:val=""/>
      <w:lvlJc w:val="left"/>
      <w:pPr>
        <w:ind w:left="960" w:hanging="360"/>
      </w:pPr>
      <w:rPr>
        <w:rFonts w:ascii="Wingdings" w:hAnsi="Wingdings"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num w:numId="1" w16cid:durableId="1396708996">
    <w:abstractNumId w:val="2"/>
  </w:num>
  <w:num w:numId="2" w16cid:durableId="160044144">
    <w:abstractNumId w:val="0"/>
  </w:num>
  <w:num w:numId="3" w16cid:durableId="334462379">
    <w:abstractNumId w:val="4"/>
  </w:num>
  <w:num w:numId="4" w16cid:durableId="1285767745">
    <w:abstractNumId w:val="1"/>
  </w:num>
  <w:num w:numId="5" w16cid:durableId="212692232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1E9"/>
    <w:rsid w:val="0000258E"/>
    <w:rsid w:val="000132F4"/>
    <w:rsid w:val="00013F7E"/>
    <w:rsid w:val="000142AC"/>
    <w:rsid w:val="00020BF9"/>
    <w:rsid w:val="000311FB"/>
    <w:rsid w:val="00051661"/>
    <w:rsid w:val="00054E5C"/>
    <w:rsid w:val="000563DF"/>
    <w:rsid w:val="00061D40"/>
    <w:rsid w:val="00066566"/>
    <w:rsid w:val="000B7E34"/>
    <w:rsid w:val="000D172F"/>
    <w:rsid w:val="001035E9"/>
    <w:rsid w:val="00111A81"/>
    <w:rsid w:val="001162B5"/>
    <w:rsid w:val="00120DA0"/>
    <w:rsid w:val="0012152C"/>
    <w:rsid w:val="00121BE8"/>
    <w:rsid w:val="00135E0A"/>
    <w:rsid w:val="00160F9E"/>
    <w:rsid w:val="00163B3F"/>
    <w:rsid w:val="00193254"/>
    <w:rsid w:val="001A2629"/>
    <w:rsid w:val="001B43C6"/>
    <w:rsid w:val="001E049E"/>
    <w:rsid w:val="00200E77"/>
    <w:rsid w:val="0021668D"/>
    <w:rsid w:val="00216723"/>
    <w:rsid w:val="00225FCB"/>
    <w:rsid w:val="00233A53"/>
    <w:rsid w:val="00240207"/>
    <w:rsid w:val="00255035"/>
    <w:rsid w:val="00281484"/>
    <w:rsid w:val="00283A38"/>
    <w:rsid w:val="002902D7"/>
    <w:rsid w:val="00292886"/>
    <w:rsid w:val="00295A2F"/>
    <w:rsid w:val="002A7802"/>
    <w:rsid w:val="0030012B"/>
    <w:rsid w:val="003159B2"/>
    <w:rsid w:val="00321CE4"/>
    <w:rsid w:val="0032294A"/>
    <w:rsid w:val="00330E9E"/>
    <w:rsid w:val="0034501D"/>
    <w:rsid w:val="003B62D6"/>
    <w:rsid w:val="003E384D"/>
    <w:rsid w:val="003F719C"/>
    <w:rsid w:val="00401394"/>
    <w:rsid w:val="00406786"/>
    <w:rsid w:val="00420E9F"/>
    <w:rsid w:val="00430661"/>
    <w:rsid w:val="004328DF"/>
    <w:rsid w:val="00432C3A"/>
    <w:rsid w:val="00444AAD"/>
    <w:rsid w:val="00445892"/>
    <w:rsid w:val="00470F7C"/>
    <w:rsid w:val="00472438"/>
    <w:rsid w:val="00492415"/>
    <w:rsid w:val="00496D94"/>
    <w:rsid w:val="004974D6"/>
    <w:rsid w:val="004E251C"/>
    <w:rsid w:val="004F3BB4"/>
    <w:rsid w:val="00512570"/>
    <w:rsid w:val="00514CF0"/>
    <w:rsid w:val="00535F7C"/>
    <w:rsid w:val="00551F1E"/>
    <w:rsid w:val="00553022"/>
    <w:rsid w:val="00575D07"/>
    <w:rsid w:val="00581531"/>
    <w:rsid w:val="00582217"/>
    <w:rsid w:val="005916C4"/>
    <w:rsid w:val="005A6E1E"/>
    <w:rsid w:val="005B40D8"/>
    <w:rsid w:val="005D611B"/>
    <w:rsid w:val="005E7AA3"/>
    <w:rsid w:val="00601BDA"/>
    <w:rsid w:val="00611079"/>
    <w:rsid w:val="0062023A"/>
    <w:rsid w:val="00622F81"/>
    <w:rsid w:val="00627A19"/>
    <w:rsid w:val="00657A42"/>
    <w:rsid w:val="0066046D"/>
    <w:rsid w:val="0068438B"/>
    <w:rsid w:val="00690E49"/>
    <w:rsid w:val="006C7F68"/>
    <w:rsid w:val="006D43D8"/>
    <w:rsid w:val="007025BF"/>
    <w:rsid w:val="00707959"/>
    <w:rsid w:val="00707FED"/>
    <w:rsid w:val="00726F5F"/>
    <w:rsid w:val="00730D8F"/>
    <w:rsid w:val="00736121"/>
    <w:rsid w:val="0074499D"/>
    <w:rsid w:val="00752952"/>
    <w:rsid w:val="00757C44"/>
    <w:rsid w:val="00773646"/>
    <w:rsid w:val="00795827"/>
    <w:rsid w:val="007B34E5"/>
    <w:rsid w:val="007E43E3"/>
    <w:rsid w:val="007F5158"/>
    <w:rsid w:val="00802CF2"/>
    <w:rsid w:val="0082186C"/>
    <w:rsid w:val="00826319"/>
    <w:rsid w:val="00827360"/>
    <w:rsid w:val="00831D22"/>
    <w:rsid w:val="00832791"/>
    <w:rsid w:val="00833595"/>
    <w:rsid w:val="00840AF0"/>
    <w:rsid w:val="00870BA8"/>
    <w:rsid w:val="008718B3"/>
    <w:rsid w:val="00873E1A"/>
    <w:rsid w:val="00874780"/>
    <w:rsid w:val="008864FF"/>
    <w:rsid w:val="008970BA"/>
    <w:rsid w:val="008B0CC1"/>
    <w:rsid w:val="008C26F5"/>
    <w:rsid w:val="008C4FEF"/>
    <w:rsid w:val="008D37E5"/>
    <w:rsid w:val="008E2235"/>
    <w:rsid w:val="008E345A"/>
    <w:rsid w:val="008E6139"/>
    <w:rsid w:val="00922A2F"/>
    <w:rsid w:val="009318D2"/>
    <w:rsid w:val="009453D4"/>
    <w:rsid w:val="0096027A"/>
    <w:rsid w:val="00960643"/>
    <w:rsid w:val="009713AE"/>
    <w:rsid w:val="0097665D"/>
    <w:rsid w:val="0098086E"/>
    <w:rsid w:val="0098751D"/>
    <w:rsid w:val="009D6C74"/>
    <w:rsid w:val="009E471B"/>
    <w:rsid w:val="009E61C3"/>
    <w:rsid w:val="009F21E7"/>
    <w:rsid w:val="009F49E5"/>
    <w:rsid w:val="00A038E4"/>
    <w:rsid w:val="00A10809"/>
    <w:rsid w:val="00A1519C"/>
    <w:rsid w:val="00A2399E"/>
    <w:rsid w:val="00A56112"/>
    <w:rsid w:val="00A8431C"/>
    <w:rsid w:val="00A95A9E"/>
    <w:rsid w:val="00AB77C4"/>
    <w:rsid w:val="00AD155B"/>
    <w:rsid w:val="00AE015F"/>
    <w:rsid w:val="00AF33AA"/>
    <w:rsid w:val="00AF77AA"/>
    <w:rsid w:val="00B11CB8"/>
    <w:rsid w:val="00B34313"/>
    <w:rsid w:val="00B610F2"/>
    <w:rsid w:val="00B67822"/>
    <w:rsid w:val="00B757C7"/>
    <w:rsid w:val="00B8681F"/>
    <w:rsid w:val="00BA3A0D"/>
    <w:rsid w:val="00BB2A0C"/>
    <w:rsid w:val="00BC0E9A"/>
    <w:rsid w:val="00BD3E2F"/>
    <w:rsid w:val="00BF253D"/>
    <w:rsid w:val="00BF7920"/>
    <w:rsid w:val="00BF7DC8"/>
    <w:rsid w:val="00C1466F"/>
    <w:rsid w:val="00C231E9"/>
    <w:rsid w:val="00C549CA"/>
    <w:rsid w:val="00C72ABD"/>
    <w:rsid w:val="00C85C96"/>
    <w:rsid w:val="00C87B35"/>
    <w:rsid w:val="00C92DE3"/>
    <w:rsid w:val="00CB143E"/>
    <w:rsid w:val="00CB71D8"/>
    <w:rsid w:val="00CC4958"/>
    <w:rsid w:val="00CF57F6"/>
    <w:rsid w:val="00CF6391"/>
    <w:rsid w:val="00D00E2B"/>
    <w:rsid w:val="00D10BCA"/>
    <w:rsid w:val="00D256CB"/>
    <w:rsid w:val="00D4025D"/>
    <w:rsid w:val="00D44654"/>
    <w:rsid w:val="00D462A6"/>
    <w:rsid w:val="00D71EC7"/>
    <w:rsid w:val="00DB65B0"/>
    <w:rsid w:val="00DC1436"/>
    <w:rsid w:val="00DE4CAE"/>
    <w:rsid w:val="00DF448B"/>
    <w:rsid w:val="00E01852"/>
    <w:rsid w:val="00E0619C"/>
    <w:rsid w:val="00E200F4"/>
    <w:rsid w:val="00E2786A"/>
    <w:rsid w:val="00E324A3"/>
    <w:rsid w:val="00E37B74"/>
    <w:rsid w:val="00E37D41"/>
    <w:rsid w:val="00E81421"/>
    <w:rsid w:val="00E81BCD"/>
    <w:rsid w:val="00EA3C9C"/>
    <w:rsid w:val="00EA53E3"/>
    <w:rsid w:val="00ED09AF"/>
    <w:rsid w:val="00EE0844"/>
    <w:rsid w:val="00EF00C1"/>
    <w:rsid w:val="00F25C73"/>
    <w:rsid w:val="00F42707"/>
    <w:rsid w:val="00F43C9F"/>
    <w:rsid w:val="00F4429B"/>
    <w:rsid w:val="00F609EE"/>
    <w:rsid w:val="00F65538"/>
    <w:rsid w:val="00F66A17"/>
    <w:rsid w:val="00F7289B"/>
    <w:rsid w:val="00F90919"/>
    <w:rsid w:val="00F923BE"/>
    <w:rsid w:val="00FB3C5F"/>
    <w:rsid w:val="00FB59D3"/>
    <w:rsid w:val="00FC1090"/>
    <w:rsid w:val="00FC2C20"/>
    <w:rsid w:val="00FE19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C7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00F4"/>
    <w:pPr>
      <w:overflowPunct w:val="0"/>
      <w:autoSpaceDE w:val="0"/>
      <w:autoSpaceDN w:val="0"/>
      <w:adjustRightInd w:val="0"/>
      <w:textAlignment w:val="baseline"/>
    </w:pPr>
  </w:style>
  <w:style w:type="paragraph" w:styleId="Heading1">
    <w:name w:val="heading 1"/>
    <w:basedOn w:val="Normal"/>
    <w:next w:val="Normal"/>
    <w:qFormat/>
    <w:rsid w:val="00E200F4"/>
    <w:pPr>
      <w:keepNext/>
      <w:numPr>
        <w:numId w:val="1"/>
      </w:numPr>
      <w:tabs>
        <w:tab w:val="left" w:pos="360"/>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firstLine="0"/>
      <w:outlineLvl w:val="0"/>
    </w:pPr>
    <w:rPr>
      <w:rFonts w:ascii="Helvetica" w:hAnsi="Helvetica"/>
      <w:b/>
      <w:sz w:val="24"/>
    </w:rPr>
  </w:style>
  <w:style w:type="paragraph" w:styleId="Heading2">
    <w:name w:val="heading 2"/>
    <w:basedOn w:val="Normal"/>
    <w:next w:val="Normal"/>
    <w:qFormat/>
    <w:rsid w:val="00E200F4"/>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1"/>
    </w:pPr>
    <w:rPr>
      <w:rFonts w:ascii="Helvetica" w:hAnsi="Helvetica"/>
      <w:b/>
      <w:sz w:val="24"/>
    </w:rPr>
  </w:style>
  <w:style w:type="paragraph" w:styleId="Heading3">
    <w:name w:val="heading 3"/>
    <w:basedOn w:val="Normal"/>
    <w:next w:val="Normal"/>
    <w:qFormat/>
    <w:rsid w:val="00E200F4"/>
    <w:pPr>
      <w:keepNext/>
      <w:tabs>
        <w:tab w:val="left" w:pos="360"/>
      </w:tabs>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00F4"/>
    <w:pPr>
      <w:tabs>
        <w:tab w:val="center" w:pos="4320"/>
        <w:tab w:val="right" w:pos="8640"/>
      </w:tabs>
    </w:pPr>
  </w:style>
  <w:style w:type="paragraph" w:styleId="Footer">
    <w:name w:val="footer"/>
    <w:basedOn w:val="Normal"/>
    <w:rsid w:val="00E200F4"/>
    <w:pPr>
      <w:tabs>
        <w:tab w:val="center" w:pos="4320"/>
        <w:tab w:val="right" w:pos="8640"/>
      </w:tabs>
    </w:pPr>
  </w:style>
  <w:style w:type="paragraph" w:styleId="BodyText">
    <w:name w:val="Body Text"/>
    <w:basedOn w:val="Normal"/>
    <w:rsid w:val="00E200F4"/>
    <w:pPr>
      <w:tabs>
        <w:tab w:val="left" w:pos="360"/>
      </w:tabs>
    </w:pPr>
    <w:rPr>
      <w:sz w:val="18"/>
    </w:rPr>
  </w:style>
  <w:style w:type="paragraph" w:styleId="BodyTextIndent">
    <w:name w:val="Body Text Indent"/>
    <w:basedOn w:val="Normal"/>
    <w:rsid w:val="00E200F4"/>
    <w:pPr>
      <w:tabs>
        <w:tab w:val="left" w:pos="360"/>
      </w:tabs>
      <w:ind w:left="360"/>
    </w:pPr>
    <w:rPr>
      <w:sz w:val="18"/>
    </w:rPr>
  </w:style>
  <w:style w:type="paragraph" w:styleId="BodyTextIndent2">
    <w:name w:val="Body Text Indent 2"/>
    <w:basedOn w:val="Normal"/>
    <w:rsid w:val="00E200F4"/>
    <w:pPr>
      <w:tabs>
        <w:tab w:val="left" w:pos="360"/>
      </w:tabs>
      <w:ind w:left="720" w:hanging="360"/>
    </w:pPr>
    <w:rPr>
      <w:sz w:val="18"/>
    </w:rPr>
  </w:style>
  <w:style w:type="paragraph" w:styleId="BodyTextIndent3">
    <w:name w:val="Body Text Indent 3"/>
    <w:basedOn w:val="Normal"/>
    <w:rsid w:val="00E200F4"/>
    <w:pPr>
      <w:tabs>
        <w:tab w:val="left" w:pos="360"/>
      </w:tabs>
      <w:ind w:left="696" w:hanging="360"/>
    </w:pPr>
    <w:rPr>
      <w:sz w:val="18"/>
    </w:rPr>
  </w:style>
  <w:style w:type="paragraph" w:styleId="BodyText2">
    <w:name w:val="Body Text 2"/>
    <w:basedOn w:val="Normal"/>
    <w:rsid w:val="00E20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sz w:val="24"/>
    </w:rPr>
  </w:style>
  <w:style w:type="character" w:styleId="PageNumber">
    <w:name w:val="page number"/>
    <w:basedOn w:val="DefaultParagraphFont"/>
    <w:rsid w:val="00E200F4"/>
  </w:style>
  <w:style w:type="paragraph" w:styleId="Title">
    <w:name w:val="Title"/>
    <w:basedOn w:val="Normal"/>
    <w:qFormat/>
    <w:rsid w:val="00E200F4"/>
    <w:pPr>
      <w:jc w:val="center"/>
    </w:pPr>
    <w:rPr>
      <w:rFonts w:ascii="Helvetica" w:hAnsi="Helvetica"/>
      <w:b/>
      <w:sz w:val="28"/>
    </w:rPr>
  </w:style>
  <w:style w:type="paragraph" w:styleId="HTMLPreformatted">
    <w:name w:val="HTML Preformatted"/>
    <w:basedOn w:val="Normal"/>
    <w:rsid w:val="00E2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table" w:styleId="TableGrid">
    <w:name w:val="Table Grid"/>
    <w:basedOn w:val="TableNormal"/>
    <w:rsid w:val="00497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E0844"/>
    <w:rPr>
      <w:sz w:val="16"/>
      <w:szCs w:val="16"/>
    </w:rPr>
  </w:style>
  <w:style w:type="paragraph" w:styleId="CommentText">
    <w:name w:val="annotation text"/>
    <w:basedOn w:val="Normal"/>
    <w:link w:val="CommentTextChar"/>
    <w:semiHidden/>
    <w:unhideWhenUsed/>
    <w:rsid w:val="00EE0844"/>
  </w:style>
  <w:style w:type="character" w:customStyle="1" w:styleId="CommentTextChar">
    <w:name w:val="Comment Text Char"/>
    <w:basedOn w:val="DefaultParagraphFont"/>
    <w:link w:val="CommentText"/>
    <w:semiHidden/>
    <w:rsid w:val="00EE0844"/>
  </w:style>
  <w:style w:type="paragraph" w:styleId="CommentSubject">
    <w:name w:val="annotation subject"/>
    <w:basedOn w:val="CommentText"/>
    <w:next w:val="CommentText"/>
    <w:link w:val="CommentSubjectChar"/>
    <w:semiHidden/>
    <w:unhideWhenUsed/>
    <w:rsid w:val="00EE0844"/>
    <w:rPr>
      <w:b/>
      <w:bCs/>
    </w:rPr>
  </w:style>
  <w:style w:type="character" w:customStyle="1" w:styleId="CommentSubjectChar">
    <w:name w:val="Comment Subject Char"/>
    <w:basedOn w:val="CommentTextChar"/>
    <w:link w:val="CommentSubject"/>
    <w:semiHidden/>
    <w:rsid w:val="00EE0844"/>
    <w:rPr>
      <w:b/>
      <w:bCs/>
    </w:rPr>
  </w:style>
  <w:style w:type="paragraph" w:styleId="BalloonText">
    <w:name w:val="Balloon Text"/>
    <w:basedOn w:val="Normal"/>
    <w:link w:val="BalloonTextChar"/>
    <w:semiHidden/>
    <w:unhideWhenUsed/>
    <w:rsid w:val="00EE0844"/>
    <w:rPr>
      <w:rFonts w:ascii="Segoe UI" w:hAnsi="Segoe UI" w:cs="Segoe UI"/>
      <w:sz w:val="18"/>
      <w:szCs w:val="18"/>
    </w:rPr>
  </w:style>
  <w:style w:type="character" w:customStyle="1" w:styleId="BalloonTextChar">
    <w:name w:val="Balloon Text Char"/>
    <w:basedOn w:val="DefaultParagraphFont"/>
    <w:link w:val="BalloonText"/>
    <w:semiHidden/>
    <w:rsid w:val="00EE0844"/>
    <w:rPr>
      <w:rFonts w:ascii="Segoe UI" w:hAnsi="Segoe UI" w:cs="Segoe UI"/>
      <w:sz w:val="18"/>
      <w:szCs w:val="18"/>
    </w:rPr>
  </w:style>
  <w:style w:type="paragraph" w:styleId="ListParagraph">
    <w:name w:val="List Paragraph"/>
    <w:basedOn w:val="Normal"/>
    <w:uiPriority w:val="34"/>
    <w:qFormat/>
    <w:rsid w:val="00827360"/>
    <w:pPr>
      <w:ind w:left="720"/>
      <w:contextualSpacing/>
    </w:pPr>
  </w:style>
  <w:style w:type="character" w:styleId="Hyperlink">
    <w:name w:val="Hyperlink"/>
    <w:basedOn w:val="DefaultParagraphFont"/>
    <w:uiPriority w:val="99"/>
    <w:semiHidden/>
    <w:unhideWhenUsed/>
    <w:rsid w:val="00827360"/>
    <w:rPr>
      <w:color w:val="0563C1"/>
      <w:u w:val="single"/>
    </w:rPr>
  </w:style>
  <w:style w:type="character" w:styleId="FollowedHyperlink">
    <w:name w:val="FollowedHyperlink"/>
    <w:basedOn w:val="DefaultParagraphFont"/>
    <w:semiHidden/>
    <w:unhideWhenUsed/>
    <w:rsid w:val="00FB59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2596</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2024-11-01T17:07:00Z</dcterms:created>
  <dcterms:modified xsi:type="dcterms:W3CDTF">2024-11-04T17:46:00Z</dcterms:modified>
</cp:coreProperties>
</file>