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D1CCE" w:rsidRPr="00DD1CCE" w:rsidP="00DD1CCE" w14:paraId="1070222E" w14:textId="71F31869">
      <w:pPr>
        <w:pStyle w:val="Heading1"/>
        <w:jc w:val="center"/>
        <w:rPr>
          <w:rFonts w:ascii="Times New Roman" w:hAnsi="Times New Roman" w:cs="Times New Roman"/>
          <w:b/>
          <w:bCs/>
          <w:color w:val="auto"/>
          <w:sz w:val="26"/>
          <w:szCs w:val="26"/>
        </w:rPr>
      </w:pPr>
      <w:r w:rsidRPr="00DD1CCE">
        <w:rPr>
          <w:rFonts w:ascii="Times New Roman" w:hAnsi="Times New Roman" w:cs="Times New Roman"/>
          <w:b/>
          <w:bCs/>
          <w:color w:val="auto"/>
          <w:sz w:val="26"/>
          <w:szCs w:val="26"/>
        </w:rPr>
        <w:t>Supporting Statement for Paperwork Reduction Act Submissions</w:t>
      </w:r>
    </w:p>
    <w:p w:rsidR="00DD1CCE" w:rsidRPr="00DD1CCE" w:rsidP="00DD1CCE" w14:paraId="38DBFD0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bCs/>
          <w:color w:val="000000"/>
          <w:sz w:val="24"/>
        </w:rPr>
      </w:pPr>
      <w:r w:rsidRPr="00DD1CCE">
        <w:rPr>
          <w:b/>
          <w:bCs/>
          <w:color w:val="000000"/>
          <w:sz w:val="24"/>
        </w:rPr>
        <w:t>Budget-Based Rent Adjustment Requests and Appeals</w:t>
      </w:r>
    </w:p>
    <w:p w:rsidR="00DD1CCE" w:rsidRPr="00DD1CCE" w:rsidP="00DD1CCE" w14:paraId="6A87BA5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bCs/>
          <w:color w:val="000000"/>
          <w:sz w:val="24"/>
        </w:rPr>
      </w:pPr>
      <w:r w:rsidRPr="00DD1CCE">
        <w:rPr>
          <w:b/>
          <w:bCs/>
          <w:color w:val="000000"/>
          <w:sz w:val="24"/>
        </w:rPr>
        <w:t xml:space="preserve">OMB Control Number 2502-0324 </w:t>
      </w:r>
    </w:p>
    <w:p w:rsidR="00DD1CCE" w:rsidRPr="00DD1CCE" w:rsidP="00DD1CCE" w14:paraId="74051EB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bCs/>
          <w:color w:val="000000"/>
          <w:sz w:val="24"/>
        </w:rPr>
      </w:pPr>
      <w:r w:rsidRPr="00DD1CCE">
        <w:rPr>
          <w:b/>
          <w:bCs/>
          <w:color w:val="000000"/>
          <w:sz w:val="24"/>
        </w:rPr>
        <w:t>(HUD-92547-A)</w:t>
      </w:r>
    </w:p>
    <w:p w:rsidR="00DD1CCE" w:rsidRPr="00DD1CCE" w:rsidP="00DD1CCE" w14:paraId="23B59040" w14:textId="77777777">
      <w:pPr>
        <w:rPr>
          <w:b/>
          <w:bCs/>
          <w:sz w:val="24"/>
          <w:szCs w:val="24"/>
        </w:rPr>
      </w:pPr>
    </w:p>
    <w:p w:rsidR="00DD1CCE" w:rsidRPr="00DD1CCE" w:rsidP="00DD1CCE" w14:paraId="076BBBC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b/>
          <w:bCs/>
          <w:sz w:val="24"/>
          <w:szCs w:val="24"/>
        </w:rPr>
      </w:pPr>
      <w:r w:rsidRPr="00DD1CCE">
        <w:rPr>
          <w:rFonts w:ascii="Helvetica" w:hAnsi="Helvetica"/>
          <w:b/>
          <w:bCs/>
          <w:sz w:val="24"/>
          <w:szCs w:val="24"/>
        </w:rPr>
        <w:t xml:space="preserve">A. </w:t>
      </w:r>
      <w:r w:rsidRPr="00DD1CCE">
        <w:rPr>
          <w:rFonts w:ascii="Helvetica" w:hAnsi="Helvetica"/>
          <w:b/>
          <w:bCs/>
          <w:sz w:val="24"/>
          <w:szCs w:val="24"/>
        </w:rPr>
        <w:tab/>
      </w:r>
      <w:r w:rsidRPr="00DD1CCE">
        <w:rPr>
          <w:b/>
          <w:bCs/>
          <w:sz w:val="24"/>
          <w:szCs w:val="24"/>
        </w:rPr>
        <w:t>Justification</w:t>
      </w:r>
    </w:p>
    <w:p w:rsidR="00DD1CCE" w:rsidRPr="00DD1CCE" w:rsidP="00DD1CCE" w14:paraId="4B0F4A3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b/>
          <w:bCs/>
          <w:sz w:val="24"/>
          <w:szCs w:val="24"/>
        </w:rPr>
      </w:pPr>
    </w:p>
    <w:p w:rsidR="00DD1CCE" w:rsidRPr="00DD1CCE" w:rsidP="00DD1CCE" w14:paraId="3991F2CC" w14:textId="5A782A3D">
      <w:pPr>
        <w:pStyle w:val="ListParagraph"/>
        <w:keepLines/>
        <w:numPr>
          <w:ilvl w:val="0"/>
          <w:numId w:val="3"/>
        </w:numPr>
        <w:tabs>
          <w:tab w:val="left" w:pos="360"/>
        </w:tabs>
        <w:spacing w:after="80"/>
        <w:rPr>
          <w:sz w:val="24"/>
          <w:szCs w:val="24"/>
        </w:rPr>
      </w:pPr>
      <w:r w:rsidRPr="00DD1CCE">
        <w:rPr>
          <w:b/>
          <w:b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D1CCE" w:rsidRPr="00DD1CCE" w:rsidP="00EF2869" w14:paraId="5FA561CD" w14:textId="77777777">
      <w:pPr>
        <w:keepLines/>
        <w:tabs>
          <w:tab w:val="left" w:pos="360"/>
        </w:tabs>
        <w:spacing w:before="240" w:after="80"/>
        <w:ind w:left="360"/>
        <w:jc w:val="both"/>
        <w:rPr>
          <w:b/>
          <w:bCs/>
          <w:sz w:val="24"/>
          <w:szCs w:val="24"/>
        </w:rPr>
      </w:pPr>
      <w:r w:rsidRPr="00DD1CCE">
        <w:rPr>
          <w:b/>
          <w:bCs/>
          <w:sz w:val="24"/>
          <w:szCs w:val="24"/>
        </w:rPr>
        <w:t>Rent Adjustment Request</w:t>
      </w:r>
    </w:p>
    <w:p w:rsidR="00DD1CCE" w:rsidRPr="00DD1CCE" w:rsidP="00EF2869" w14:paraId="66A5EAE2" w14:textId="4CD97FE6">
      <w:pPr>
        <w:keepLines/>
        <w:tabs>
          <w:tab w:val="left" w:pos="360"/>
        </w:tabs>
        <w:spacing w:after="80"/>
        <w:ind w:left="360"/>
        <w:jc w:val="both"/>
        <w:rPr>
          <w:sz w:val="24"/>
          <w:szCs w:val="24"/>
        </w:rPr>
      </w:pPr>
      <w:r w:rsidRPr="00DD1CCE">
        <w:rPr>
          <w:sz w:val="24"/>
          <w:szCs w:val="24"/>
        </w:rPr>
        <w:t xml:space="preserve">Title II of the National Housing Act requires that HUD </w:t>
      </w:r>
      <w:r w:rsidRPr="00DD1CCE">
        <w:rPr>
          <w:sz w:val="24"/>
          <w:szCs w:val="24"/>
        </w:rPr>
        <w:t>regulate</w:t>
      </w:r>
      <w:r w:rsidRPr="00DD1CCE">
        <w:rPr>
          <w:sz w:val="24"/>
          <w:szCs w:val="24"/>
        </w:rPr>
        <w:t xml:space="preserve"> rents for certain cooperative and subsidized rental projects.   Section 207(b)(2) of Title II states that “…The Secretary may, in the Secretary’s discretion, require any such mortgagor to be regulated or restricted as to rents or sales …”Further, this section states “insurance for mortgagees under this section is intended to facilitate particularly the production of rental accommodations, at reasonable rents, of design and size suitable for family living…” In addition, Section 236(e) of the National Housing Act states, “As a condition for receiving the benefits of interest reduction payments, the project owner shall operate the project in accordance with such requirements with respect to tenant eligibility and rents as the Secretary may prescribe….” Under Section 236(f) “For each dwelling unit there shall be established with the approval of the Secretary (A) a basic rental charge determined on the basis of operating the project with payment of principal and interest due under a mortgage bearing interest at the rate of 1 per centum per annum; and (B) a fair market rental charge determined on the basis of operating the project with payment of principal, interest, and mortgage insurance premium which the mortgagor is obligated to pay under the mortgage covering the project.  Also, Section 221(d)(3) requires that projects be “regulated or supervised … by the Secretary under a Regulatory Agreement or otherwise, as to rents, charges, and methods of operation, in such form and in such a manner as in the opinion of the Secretary will effectuate the purposes of this section…”</w:t>
      </w:r>
    </w:p>
    <w:p w:rsidR="00DD1CCE" w:rsidRPr="00DD1CCE" w:rsidP="00EF2869" w14:paraId="0630D225" w14:textId="77777777">
      <w:pPr>
        <w:keepLines/>
        <w:tabs>
          <w:tab w:val="left" w:pos="360"/>
        </w:tabs>
        <w:spacing w:after="80"/>
        <w:ind w:left="360"/>
        <w:jc w:val="both"/>
        <w:rPr>
          <w:sz w:val="24"/>
          <w:szCs w:val="24"/>
        </w:rPr>
      </w:pPr>
    </w:p>
    <w:p w:rsidR="00DD1CCE" w:rsidRPr="00DD1CCE" w:rsidP="00EF2869" w14:paraId="19FA9A74" w14:textId="77777777">
      <w:pPr>
        <w:keepLines/>
        <w:tabs>
          <w:tab w:val="left" w:pos="360"/>
        </w:tabs>
        <w:spacing w:after="80"/>
        <w:ind w:left="360"/>
        <w:jc w:val="both"/>
        <w:rPr>
          <w:sz w:val="24"/>
          <w:szCs w:val="24"/>
        </w:rPr>
      </w:pPr>
      <w:r w:rsidRPr="00DD1CCE">
        <w:rPr>
          <w:sz w:val="24"/>
          <w:szCs w:val="24"/>
        </w:rPr>
        <w:t xml:space="preserve">In developing regulations for the exercise of this HUD authority, the Department formulated the processes by which owners could request rent adjustments.  The requirement for tenant participation in the rent adjustment process, which is included in Section 202(b) of the Housing and Community Development Amendments of 1978, necessitated that the Department design procedures to </w:t>
      </w:r>
      <w:r w:rsidRPr="00DD1CCE">
        <w:rPr>
          <w:sz w:val="24"/>
          <w:szCs w:val="24"/>
        </w:rPr>
        <w:t>give consideration to</w:t>
      </w:r>
      <w:r w:rsidRPr="00DD1CCE">
        <w:rPr>
          <w:sz w:val="24"/>
          <w:szCs w:val="24"/>
        </w:rPr>
        <w:t xml:space="preserve"> tenant comments.  The resultant rule for Tenant Participation in Multifamily Housing Projects, 24 CFR 245, specifies the information to be collected for a rent adjustment request.  Specifically, 24 CFR 245.310 requires notice </w:t>
      </w:r>
      <w:r w:rsidRPr="00DD1CCE">
        <w:rPr>
          <w:sz w:val="24"/>
          <w:szCs w:val="24"/>
        </w:rPr>
        <w:t>to</w:t>
      </w:r>
      <w:r w:rsidRPr="00DD1CCE">
        <w:rPr>
          <w:sz w:val="24"/>
          <w:szCs w:val="24"/>
        </w:rPr>
        <w:t xml:space="preserve"> tenants at least 30 days before submitting a request to HUD for approval of an increase in maximum permissible rents.  In addition, 24 CFR 245.320 requires copies of documentation to accompany the rent adjustment request including copies of all written comments submitted by the tenants to the mortgagor.</w:t>
      </w:r>
    </w:p>
    <w:p w:rsidR="00EF2869" w:rsidP="00EF2869" w14:paraId="07C48304" w14:textId="77777777">
      <w:pPr>
        <w:keepLines/>
        <w:tabs>
          <w:tab w:val="left" w:pos="360"/>
        </w:tabs>
        <w:spacing w:after="80"/>
        <w:jc w:val="both"/>
        <w:rPr>
          <w:sz w:val="24"/>
          <w:szCs w:val="24"/>
        </w:rPr>
      </w:pPr>
    </w:p>
    <w:p w:rsidR="00EF2869" w:rsidP="00EF2869" w14:paraId="0A0F715E" w14:textId="77777777">
      <w:pPr>
        <w:keepLines/>
        <w:tabs>
          <w:tab w:val="left" w:pos="360"/>
        </w:tabs>
        <w:spacing w:after="80"/>
        <w:ind w:left="360"/>
        <w:jc w:val="both"/>
        <w:rPr>
          <w:b/>
          <w:bCs/>
          <w:sz w:val="24"/>
          <w:szCs w:val="24"/>
        </w:rPr>
      </w:pPr>
    </w:p>
    <w:p w:rsidR="00DD1CCE" w:rsidRPr="00DD1CCE" w:rsidP="00EF2869" w14:paraId="3D5156CD" w14:textId="7B51BEBE">
      <w:pPr>
        <w:keepLines/>
        <w:tabs>
          <w:tab w:val="left" w:pos="360"/>
        </w:tabs>
        <w:spacing w:after="80"/>
        <w:ind w:left="360"/>
        <w:jc w:val="both"/>
        <w:rPr>
          <w:b/>
          <w:bCs/>
          <w:sz w:val="24"/>
          <w:szCs w:val="24"/>
        </w:rPr>
      </w:pPr>
      <w:r w:rsidRPr="00DD1CCE">
        <w:rPr>
          <w:b/>
          <w:bCs/>
          <w:sz w:val="24"/>
          <w:szCs w:val="24"/>
        </w:rPr>
        <w:t>Appeals</w:t>
      </w:r>
    </w:p>
    <w:p w:rsidR="00DD1CCE" w:rsidRPr="00DD1CCE" w:rsidP="00EF2869" w14:paraId="4BF0A7F9" w14:textId="747BCFA2">
      <w:pPr>
        <w:keepLines/>
        <w:tabs>
          <w:tab w:val="left" w:pos="360"/>
        </w:tabs>
        <w:spacing w:after="80"/>
        <w:ind w:left="360"/>
        <w:jc w:val="both"/>
        <w:rPr>
          <w:sz w:val="24"/>
          <w:szCs w:val="24"/>
        </w:rPr>
      </w:pPr>
      <w:r w:rsidRPr="00DD1CCE">
        <w:rPr>
          <w:sz w:val="24"/>
          <w:szCs w:val="24"/>
        </w:rPr>
        <w:t xml:space="preserve">HUD’s Handbook “Multifamily Asset Management and Project Servicing” 4350.1 REV-1, Chapter 7, Sections 7-52 through 7-57, provides the process for owners to appeal denials of budget-based rent adjustment requests.  HUD is charged with the responsibility of determining the method of budget-based rent adjustments and with facilitating these adjustments.  Because budget-based rent adjustments are advantageous to project owners, HUD wants to provide some means for owners to appeal the decisions made by the Department or the Contract Administrator.  This appeal process, and the information collection included as part of the process, play an important role in preventing costly litigation and ensuring the accuracy of the overall budget-based rent adjustment process.  </w:t>
      </w:r>
    </w:p>
    <w:p w:rsidR="00DD1CCE" w:rsidRPr="00DD1CCE" w:rsidP="00DD1CCE" w14:paraId="79ECBAA6" w14:textId="77777777">
      <w:pPr>
        <w:tabs>
          <w:tab w:val="left" w:pos="360"/>
        </w:tabs>
        <w:ind w:left="360" w:hanging="360"/>
        <w:rPr>
          <w:b/>
          <w:bCs/>
          <w:sz w:val="24"/>
          <w:szCs w:val="24"/>
        </w:rPr>
      </w:pPr>
    </w:p>
    <w:p w:rsidR="00DD1CCE" w:rsidP="00DD1CCE" w14:paraId="09C17848" w14:textId="77777777">
      <w:pPr>
        <w:keepLines/>
        <w:tabs>
          <w:tab w:val="left" w:pos="360"/>
        </w:tabs>
        <w:spacing w:after="80"/>
        <w:ind w:left="360" w:hanging="360"/>
        <w:rPr>
          <w:b/>
          <w:bCs/>
          <w:sz w:val="24"/>
          <w:szCs w:val="24"/>
        </w:rPr>
      </w:pPr>
      <w:r w:rsidRPr="00DD1CCE">
        <w:rPr>
          <w:b/>
          <w:bCs/>
          <w:sz w:val="24"/>
          <w:szCs w:val="24"/>
        </w:rPr>
        <w:t>2.</w:t>
      </w:r>
      <w:r w:rsidRPr="00DD1CCE">
        <w:rPr>
          <w:b/>
          <w:bCs/>
          <w:sz w:val="24"/>
          <w:szCs w:val="24"/>
        </w:rPr>
        <w:tab/>
        <w:t>Indicate how, by whom and for what purpose the information is to be used.  Except for a new collection, indicate the actual use the agency has made of the information received from the current collection.</w:t>
      </w:r>
    </w:p>
    <w:p w:rsidR="00DD1CCE" w:rsidRPr="007A7DED" w:rsidP="00EF2869" w14:paraId="369C216F" w14:textId="77777777">
      <w:pPr>
        <w:pStyle w:val="BodyTextIndent"/>
        <w:spacing w:before="240"/>
        <w:ind w:firstLine="0"/>
        <w:rPr>
          <w:bCs w:val="0"/>
          <w:color w:val="000000"/>
          <w:sz w:val="24"/>
        </w:rPr>
      </w:pPr>
      <w:r w:rsidRPr="007A7DED">
        <w:rPr>
          <w:bCs w:val="0"/>
          <w:color w:val="000000"/>
          <w:sz w:val="24"/>
        </w:rPr>
        <w:t>Rent Adjustment Requests</w:t>
      </w:r>
    </w:p>
    <w:p w:rsidR="00DD1CCE" w:rsidRPr="007A7DED" w:rsidP="00DD1CCE" w14:paraId="1EBB727F" w14:textId="77777777">
      <w:pPr>
        <w:pStyle w:val="BodyTextIndent"/>
        <w:rPr>
          <w:b w:val="0"/>
          <w:bCs w:val="0"/>
          <w:color w:val="000000"/>
          <w:sz w:val="24"/>
        </w:rPr>
      </w:pPr>
      <w:r w:rsidRPr="007A7DED">
        <w:rPr>
          <w:b w:val="0"/>
          <w:bCs w:val="0"/>
          <w:color w:val="000000"/>
          <w:sz w:val="24"/>
        </w:rPr>
        <w:tab/>
        <w:t>Owners are required to submit the following documents to HUD for review and approval:</w:t>
      </w:r>
    </w:p>
    <w:p w:rsidR="00DD1CCE" w:rsidRPr="007A7DED" w:rsidP="00DD1CCE" w14:paraId="18243D71" w14:textId="77777777">
      <w:pPr>
        <w:pStyle w:val="BodyTextIndent"/>
        <w:rPr>
          <w:b w:val="0"/>
          <w:bCs w:val="0"/>
          <w:color w:val="000000"/>
          <w:sz w:val="24"/>
        </w:rPr>
      </w:pPr>
    </w:p>
    <w:p w:rsidR="00DD1CCE" w:rsidRPr="007A7DED" w:rsidP="00DD1CCE" w14:paraId="4155E095" w14:textId="77777777">
      <w:pPr>
        <w:numPr>
          <w:ilvl w:val="0"/>
          <w:numId w:val="4"/>
        </w:numPr>
        <w:tabs>
          <w:tab w:val="left" w:pos="360"/>
          <w:tab w:val="left" w:pos="720"/>
        </w:tabs>
        <w:rPr>
          <w:bCs/>
          <w:color w:val="000000"/>
          <w:sz w:val="24"/>
        </w:rPr>
      </w:pPr>
      <w:r w:rsidRPr="007A7DED">
        <w:rPr>
          <w:bCs/>
          <w:color w:val="000000"/>
          <w:sz w:val="24"/>
        </w:rPr>
        <w:t xml:space="preserve">Cover letter summarizing the reasons a rent adjustment is </w:t>
      </w:r>
      <w:r w:rsidRPr="007A7DED">
        <w:rPr>
          <w:bCs/>
          <w:color w:val="000000"/>
          <w:sz w:val="24"/>
        </w:rPr>
        <w:t>needed;</w:t>
      </w:r>
    </w:p>
    <w:p w:rsidR="00DD1CCE" w:rsidRPr="007A7DED" w:rsidP="00DD1CCE" w14:paraId="16958761" w14:textId="77777777">
      <w:pPr>
        <w:numPr>
          <w:ilvl w:val="0"/>
          <w:numId w:val="4"/>
        </w:numPr>
        <w:tabs>
          <w:tab w:val="left" w:pos="360"/>
          <w:tab w:val="left" w:pos="720"/>
        </w:tabs>
        <w:rPr>
          <w:bCs/>
          <w:color w:val="000000"/>
          <w:sz w:val="24"/>
        </w:rPr>
      </w:pPr>
      <w:r w:rsidRPr="007A7DED">
        <w:rPr>
          <w:bCs/>
          <w:color w:val="000000"/>
          <w:sz w:val="24"/>
        </w:rPr>
        <w:t xml:space="preserve">Copy of notice to </w:t>
      </w:r>
      <w:r w:rsidRPr="007A7DED">
        <w:rPr>
          <w:bCs/>
          <w:color w:val="000000"/>
          <w:sz w:val="24"/>
        </w:rPr>
        <w:t>tenants;</w:t>
      </w:r>
    </w:p>
    <w:p w:rsidR="00DD1CCE" w:rsidRPr="007A7DED" w:rsidP="00DD1CCE" w14:paraId="01774027" w14:textId="77777777">
      <w:pPr>
        <w:numPr>
          <w:ilvl w:val="0"/>
          <w:numId w:val="4"/>
        </w:numPr>
        <w:tabs>
          <w:tab w:val="left" w:pos="360"/>
          <w:tab w:val="left" w:pos="720"/>
        </w:tabs>
        <w:rPr>
          <w:bCs/>
          <w:color w:val="000000"/>
          <w:sz w:val="24"/>
        </w:rPr>
      </w:pPr>
      <w:r w:rsidRPr="007A7DED">
        <w:rPr>
          <w:bCs/>
          <w:color w:val="000000"/>
          <w:sz w:val="24"/>
        </w:rPr>
        <w:t>A rent adjustment worksheet (form HUD-</w:t>
      </w:r>
      <w:r w:rsidRPr="007A7DED">
        <w:rPr>
          <w:color w:val="000000"/>
          <w:sz w:val="24"/>
        </w:rPr>
        <w:t>92547-A)</w:t>
      </w:r>
      <w:r w:rsidRPr="007A7DED">
        <w:rPr>
          <w:bCs/>
          <w:color w:val="000000"/>
          <w:sz w:val="24"/>
        </w:rPr>
        <w:t xml:space="preserve"> providing an income and expense budget for the 12 months following the anticipated effective date of the proposed rent </w:t>
      </w:r>
      <w:r w:rsidRPr="007A7DED">
        <w:rPr>
          <w:bCs/>
          <w:color w:val="000000"/>
          <w:sz w:val="24"/>
        </w:rPr>
        <w:t>adjustment;</w:t>
      </w:r>
    </w:p>
    <w:p w:rsidR="00DD1CCE" w:rsidRPr="007A7DED" w:rsidP="00DD1CCE" w14:paraId="56E4B637" w14:textId="77777777">
      <w:pPr>
        <w:numPr>
          <w:ilvl w:val="0"/>
          <w:numId w:val="4"/>
        </w:numPr>
        <w:tabs>
          <w:tab w:val="left" w:pos="360"/>
          <w:tab w:val="left" w:pos="720"/>
        </w:tabs>
        <w:rPr>
          <w:bCs/>
          <w:color w:val="000000"/>
          <w:sz w:val="24"/>
        </w:rPr>
      </w:pPr>
      <w:r w:rsidRPr="007A7DED">
        <w:rPr>
          <w:bCs/>
          <w:color w:val="000000"/>
          <w:sz w:val="24"/>
        </w:rPr>
        <w:t xml:space="preserve">A brief statement explaining the basis for the expense lines on the rent adjustment </w:t>
      </w:r>
      <w:r w:rsidRPr="007A7DED">
        <w:rPr>
          <w:bCs/>
          <w:color w:val="000000"/>
          <w:sz w:val="24"/>
        </w:rPr>
        <w:t>worksheet;</w:t>
      </w:r>
    </w:p>
    <w:p w:rsidR="00DD1CCE" w:rsidRPr="007A7DED" w:rsidP="00DD1CCE" w14:paraId="1F2F2F9B" w14:textId="77777777">
      <w:pPr>
        <w:numPr>
          <w:ilvl w:val="0"/>
          <w:numId w:val="4"/>
        </w:numPr>
        <w:tabs>
          <w:tab w:val="left" w:pos="360"/>
          <w:tab w:val="left" w:pos="720"/>
        </w:tabs>
        <w:rPr>
          <w:bCs/>
          <w:color w:val="000000"/>
          <w:sz w:val="24"/>
        </w:rPr>
      </w:pPr>
      <w:r w:rsidRPr="007A7DED">
        <w:rPr>
          <w:bCs/>
          <w:color w:val="000000"/>
          <w:sz w:val="24"/>
        </w:rPr>
        <w:t xml:space="preserve">If tenants receive utility allowances, the mortgagor’s recommended utility allowance for each unit type and brief statement explaining the basis for the recommended adjustment, </w:t>
      </w:r>
      <w:r w:rsidRPr="007A7DED">
        <w:rPr>
          <w:bCs/>
          <w:color w:val="000000"/>
          <w:sz w:val="24"/>
        </w:rPr>
        <w:t>and;</w:t>
      </w:r>
    </w:p>
    <w:p w:rsidR="00DD1CCE" w:rsidRPr="007A7DED" w:rsidP="00DD1CCE" w14:paraId="70420128" w14:textId="77777777">
      <w:pPr>
        <w:numPr>
          <w:ilvl w:val="0"/>
          <w:numId w:val="4"/>
        </w:numPr>
        <w:tabs>
          <w:tab w:val="left" w:pos="360"/>
          <w:tab w:val="left" w:pos="720"/>
        </w:tabs>
        <w:rPr>
          <w:bCs/>
          <w:color w:val="000000"/>
          <w:sz w:val="24"/>
        </w:rPr>
      </w:pPr>
      <w:r w:rsidRPr="007A7DED">
        <w:rPr>
          <w:bCs/>
          <w:color w:val="000000"/>
          <w:sz w:val="24"/>
        </w:rPr>
        <w:t>A status report on the project’s implementation of its current Energy Conservation Plan.</w:t>
      </w:r>
    </w:p>
    <w:p w:rsidR="00DD1CCE" w:rsidRPr="007A7DED" w:rsidP="00DD1CCE" w14:paraId="2F33500C" w14:textId="77777777">
      <w:pPr>
        <w:tabs>
          <w:tab w:val="left" w:pos="360"/>
          <w:tab w:val="left" w:pos="720"/>
        </w:tabs>
        <w:ind w:left="1080"/>
        <w:rPr>
          <w:bCs/>
          <w:color w:val="000000"/>
          <w:sz w:val="24"/>
        </w:rPr>
      </w:pPr>
    </w:p>
    <w:p w:rsidR="00DD1CCE" w:rsidRPr="007A7DED" w:rsidP="00EF2869" w14:paraId="5E92A138" w14:textId="77777777">
      <w:pPr>
        <w:tabs>
          <w:tab w:val="left" w:pos="360"/>
          <w:tab w:val="left" w:pos="720"/>
        </w:tabs>
        <w:ind w:left="360"/>
        <w:rPr>
          <w:bCs/>
          <w:color w:val="000000"/>
          <w:sz w:val="24"/>
        </w:rPr>
      </w:pPr>
      <w:r w:rsidRPr="007A7DED">
        <w:rPr>
          <w:bCs/>
          <w:color w:val="000000"/>
          <w:sz w:val="24"/>
        </w:rPr>
        <w:t>Upon expiration of the tenant comment period, the owner must submit the following documents in addition to the documents listed above:</w:t>
      </w:r>
    </w:p>
    <w:p w:rsidR="00DD1CCE" w:rsidRPr="007A7DED" w:rsidP="00DD1CCE" w14:paraId="3A3FB869" w14:textId="77777777">
      <w:pPr>
        <w:tabs>
          <w:tab w:val="left" w:pos="360"/>
          <w:tab w:val="left" w:pos="720"/>
        </w:tabs>
        <w:ind w:left="720"/>
        <w:rPr>
          <w:bCs/>
          <w:color w:val="000000"/>
          <w:sz w:val="24"/>
        </w:rPr>
      </w:pPr>
    </w:p>
    <w:p w:rsidR="00DD1CCE" w:rsidRPr="007A7DED" w:rsidP="00DD1CCE" w14:paraId="39927088" w14:textId="77777777">
      <w:pPr>
        <w:numPr>
          <w:ilvl w:val="0"/>
          <w:numId w:val="5"/>
        </w:numPr>
        <w:tabs>
          <w:tab w:val="left" w:pos="360"/>
          <w:tab w:val="left" w:pos="720"/>
        </w:tabs>
        <w:rPr>
          <w:bCs/>
          <w:color w:val="000000"/>
          <w:sz w:val="24"/>
        </w:rPr>
      </w:pPr>
      <w:r w:rsidRPr="007A7DED">
        <w:rPr>
          <w:bCs/>
          <w:color w:val="000000"/>
          <w:sz w:val="24"/>
        </w:rPr>
        <w:t xml:space="preserve">Copies of all written comments submitted by the tenants to the </w:t>
      </w:r>
      <w:r w:rsidRPr="007A7DED">
        <w:rPr>
          <w:bCs/>
          <w:color w:val="000000"/>
          <w:sz w:val="24"/>
        </w:rPr>
        <w:t>owner;</w:t>
      </w:r>
    </w:p>
    <w:p w:rsidR="00DD1CCE" w:rsidRPr="007A7DED" w:rsidP="00DD1CCE" w14:paraId="41F3E9D2" w14:textId="77777777">
      <w:pPr>
        <w:numPr>
          <w:ilvl w:val="0"/>
          <w:numId w:val="5"/>
        </w:numPr>
        <w:tabs>
          <w:tab w:val="left" w:pos="360"/>
          <w:tab w:val="left" w:pos="720"/>
        </w:tabs>
        <w:rPr>
          <w:bCs/>
          <w:color w:val="000000"/>
          <w:sz w:val="24"/>
        </w:rPr>
      </w:pPr>
      <w:r w:rsidRPr="007A7DED">
        <w:rPr>
          <w:bCs/>
          <w:color w:val="000000"/>
          <w:sz w:val="24"/>
        </w:rPr>
        <w:t xml:space="preserve">The owner’s evaluation of the tenants’ comments with respect to the </w:t>
      </w:r>
      <w:r w:rsidRPr="007A7DED">
        <w:rPr>
          <w:bCs/>
          <w:color w:val="000000"/>
          <w:sz w:val="24"/>
        </w:rPr>
        <w:t>request;</w:t>
      </w:r>
    </w:p>
    <w:p w:rsidR="00DD1CCE" w:rsidRPr="007A7DED" w:rsidP="00DD1CCE" w14:paraId="455E0404" w14:textId="77777777">
      <w:pPr>
        <w:numPr>
          <w:ilvl w:val="0"/>
          <w:numId w:val="5"/>
        </w:numPr>
        <w:tabs>
          <w:tab w:val="left" w:pos="360"/>
          <w:tab w:val="left" w:pos="720"/>
        </w:tabs>
        <w:rPr>
          <w:bCs/>
          <w:color w:val="000000"/>
          <w:sz w:val="24"/>
        </w:rPr>
      </w:pPr>
      <w:r w:rsidRPr="007A7DED">
        <w:rPr>
          <w:bCs/>
          <w:color w:val="000000"/>
          <w:sz w:val="24"/>
        </w:rPr>
        <w:t>A certification by the owner that:</w:t>
      </w:r>
    </w:p>
    <w:p w:rsidR="00DD1CCE" w:rsidRPr="007A7DED" w:rsidP="00DD1CCE" w14:paraId="42CCE86B" w14:textId="77777777">
      <w:pPr>
        <w:numPr>
          <w:ilvl w:val="1"/>
          <w:numId w:val="5"/>
        </w:numPr>
        <w:tabs>
          <w:tab w:val="left" w:pos="360"/>
          <w:tab w:val="left" w:pos="720"/>
        </w:tabs>
        <w:rPr>
          <w:bCs/>
          <w:color w:val="000000"/>
          <w:sz w:val="24"/>
        </w:rPr>
      </w:pPr>
      <w:r w:rsidRPr="007A7DED">
        <w:rPr>
          <w:bCs/>
          <w:color w:val="000000"/>
          <w:sz w:val="24"/>
        </w:rPr>
        <w:t xml:space="preserve">It has complied with all of the requirements of 24 CFR 245, Subpart </w:t>
      </w:r>
      <w:r w:rsidRPr="007A7DED">
        <w:rPr>
          <w:bCs/>
          <w:color w:val="000000"/>
          <w:sz w:val="24"/>
        </w:rPr>
        <w:t>D;</w:t>
      </w:r>
    </w:p>
    <w:p w:rsidR="00DD1CCE" w:rsidRPr="007A7DED" w:rsidP="00DD1CCE" w14:paraId="49FD17FA" w14:textId="77777777">
      <w:pPr>
        <w:numPr>
          <w:ilvl w:val="1"/>
          <w:numId w:val="5"/>
        </w:numPr>
        <w:tabs>
          <w:tab w:val="left" w:pos="360"/>
          <w:tab w:val="left" w:pos="720"/>
        </w:tabs>
        <w:rPr>
          <w:bCs/>
          <w:color w:val="000000"/>
          <w:sz w:val="24"/>
        </w:rPr>
      </w:pPr>
      <w:r w:rsidRPr="007A7DED">
        <w:rPr>
          <w:bCs/>
          <w:color w:val="000000"/>
          <w:sz w:val="24"/>
        </w:rPr>
        <w:t xml:space="preserve">The copies of the materials submitted in support of the proposed increase were located in a place reasonably convenient </w:t>
      </w:r>
      <w:r w:rsidRPr="007A7DED">
        <w:rPr>
          <w:bCs/>
          <w:color w:val="000000"/>
          <w:sz w:val="24"/>
        </w:rPr>
        <w:t>to</w:t>
      </w:r>
      <w:r w:rsidRPr="007A7DED">
        <w:rPr>
          <w:bCs/>
          <w:color w:val="000000"/>
          <w:sz w:val="24"/>
        </w:rPr>
        <w:t xml:space="preserve"> tenants in the project during normal business hours and that requests by tenants to inspect the materials, as provided for in the notice, were </w:t>
      </w:r>
      <w:r w:rsidRPr="007A7DED">
        <w:rPr>
          <w:bCs/>
          <w:color w:val="000000"/>
          <w:sz w:val="24"/>
        </w:rPr>
        <w:t>honored;</w:t>
      </w:r>
    </w:p>
    <w:p w:rsidR="00DD1CCE" w:rsidRPr="007A7DED" w:rsidP="00DD1CCE" w14:paraId="0D8DBA20" w14:textId="77777777">
      <w:pPr>
        <w:numPr>
          <w:ilvl w:val="1"/>
          <w:numId w:val="5"/>
        </w:numPr>
        <w:tabs>
          <w:tab w:val="left" w:pos="360"/>
          <w:tab w:val="left" w:pos="720"/>
        </w:tabs>
        <w:rPr>
          <w:bCs/>
          <w:color w:val="000000"/>
          <w:sz w:val="24"/>
        </w:rPr>
      </w:pPr>
      <w:r w:rsidRPr="007A7DED">
        <w:rPr>
          <w:bCs/>
          <w:color w:val="000000"/>
          <w:sz w:val="24"/>
        </w:rPr>
        <w:t>All comments received from tenants were considered by the owner in making its evaluation; and</w:t>
      </w:r>
    </w:p>
    <w:p w:rsidR="00DD1CCE" w:rsidRPr="007A7DED" w:rsidP="00DD1CCE" w14:paraId="112A0B1C" w14:textId="77777777">
      <w:pPr>
        <w:numPr>
          <w:ilvl w:val="1"/>
          <w:numId w:val="5"/>
        </w:numPr>
        <w:tabs>
          <w:tab w:val="left" w:pos="360"/>
          <w:tab w:val="left" w:pos="720"/>
        </w:tabs>
        <w:rPr>
          <w:bCs/>
          <w:color w:val="000000"/>
          <w:sz w:val="24"/>
        </w:rPr>
      </w:pPr>
      <w:r w:rsidRPr="007A7DED">
        <w:rPr>
          <w:bCs/>
          <w:color w:val="000000"/>
          <w:sz w:val="24"/>
        </w:rPr>
        <w:t>Under penalties and provisions of Title 18 U.S.C. Section 1001, the statements contained in this request and its attachments have been examined by me and, to the best of my knowledge and belief, are true, correct, and complete.</w:t>
      </w:r>
    </w:p>
    <w:p w:rsidR="00DD1CCE" w:rsidRPr="007A7DED" w:rsidP="00DD1CCE" w14:paraId="14F8EE77" w14:textId="77777777">
      <w:pPr>
        <w:tabs>
          <w:tab w:val="left" w:pos="360"/>
          <w:tab w:val="left" w:pos="720"/>
        </w:tabs>
        <w:ind w:left="1800"/>
        <w:rPr>
          <w:bCs/>
          <w:color w:val="000000"/>
          <w:sz w:val="24"/>
        </w:rPr>
      </w:pPr>
    </w:p>
    <w:p w:rsidR="00DD1CCE" w:rsidRPr="007A7DED" w:rsidP="00DD1CCE" w14:paraId="2CE11509" w14:textId="77777777">
      <w:pPr>
        <w:pStyle w:val="BodyTextIndent2"/>
        <w:rPr>
          <w:rFonts w:ascii="Times New Roman" w:hAnsi="Times New Roman" w:cs="Times New Roman"/>
          <w:bCs/>
          <w:color w:val="000000"/>
          <w:sz w:val="24"/>
        </w:rPr>
      </w:pPr>
      <w:r w:rsidRPr="007A7DED">
        <w:rPr>
          <w:rFonts w:ascii="Times New Roman" w:hAnsi="Times New Roman" w:cs="Times New Roman"/>
          <w:b/>
          <w:color w:val="000000"/>
          <w:sz w:val="24"/>
        </w:rPr>
        <w:t>Form</w:t>
      </w:r>
      <w:r w:rsidRPr="007A7DED">
        <w:rPr>
          <w:rFonts w:ascii="Times New Roman" w:hAnsi="Times New Roman" w:cs="Times New Roman"/>
          <w:b/>
          <w:color w:val="000000"/>
          <w:sz w:val="24"/>
        </w:rPr>
        <w:t xml:space="preserve"> HUD-92547-A,</w:t>
      </w:r>
      <w:r w:rsidRPr="007A7DED">
        <w:rPr>
          <w:rFonts w:ascii="Times New Roman" w:hAnsi="Times New Roman" w:cs="Times New Roman"/>
          <w:bCs/>
          <w:color w:val="000000"/>
          <w:sz w:val="24"/>
        </w:rPr>
        <w:t xml:space="preserve"> Budget Worksheet will be used by HUD Field staff, along with other information submitted by owners, as a tool for determining the reasonableness of rent adjustments.  </w:t>
      </w:r>
      <w:r w:rsidRPr="007A7DED">
        <w:rPr>
          <w:rFonts w:ascii="Times New Roman" w:hAnsi="Times New Roman" w:cs="Times New Roman"/>
          <w:bCs/>
          <w:color w:val="000000"/>
          <w:sz w:val="24"/>
        </w:rPr>
        <w:t>The purposes of the worksheet and the collection of budgetary information are to allow owners to plan for expected increases in expenditures.</w:t>
      </w:r>
    </w:p>
    <w:p w:rsidR="00DD1CCE" w:rsidRPr="007A7DED" w:rsidP="00DD1CCE" w14:paraId="51F0D0E3" w14:textId="77777777">
      <w:pPr>
        <w:tabs>
          <w:tab w:val="left" w:pos="360"/>
        </w:tabs>
        <w:rPr>
          <w:bCs/>
          <w:color w:val="000000"/>
          <w:sz w:val="24"/>
        </w:rPr>
      </w:pPr>
    </w:p>
    <w:p w:rsidR="00DD1CCE" w:rsidRPr="007A7DED" w:rsidP="00DD1CCE" w14:paraId="1E8A6D68" w14:textId="77777777">
      <w:pPr>
        <w:tabs>
          <w:tab w:val="left" w:pos="360"/>
        </w:tabs>
        <w:rPr>
          <w:b/>
          <w:bCs/>
          <w:color w:val="000000"/>
          <w:sz w:val="24"/>
        </w:rPr>
      </w:pPr>
      <w:r w:rsidRPr="007A7DED">
        <w:rPr>
          <w:b/>
          <w:bCs/>
          <w:color w:val="000000"/>
          <w:sz w:val="24"/>
        </w:rPr>
        <w:t>Appeals</w:t>
      </w:r>
    </w:p>
    <w:p w:rsidR="00DD1CCE" w:rsidRPr="007A7DED" w:rsidP="00DD1CCE" w14:paraId="3F93F98F" w14:textId="77777777">
      <w:pPr>
        <w:tabs>
          <w:tab w:val="left" w:pos="360"/>
        </w:tabs>
        <w:rPr>
          <w:bCs/>
          <w:color w:val="000000"/>
          <w:sz w:val="24"/>
        </w:rPr>
      </w:pPr>
      <w:r w:rsidRPr="007A7DED">
        <w:rPr>
          <w:color w:val="000000"/>
          <w:sz w:val="24"/>
        </w:rPr>
        <w:t xml:space="preserve">Owners of Section 8-assisted multifamily housing projects eligible for budget-based rent adjustments are allowed two appeals under the Section 8 budget-based rent adjustment appeal process.  </w:t>
      </w:r>
    </w:p>
    <w:p w:rsidR="00DD1CCE" w:rsidRPr="007A7DED" w:rsidP="00DD1CCE" w14:paraId="2AD9C76E" w14:textId="77777777">
      <w:pPr>
        <w:pStyle w:val="PlainText"/>
        <w:numPr>
          <w:ilvl w:val="0"/>
          <w:numId w:val="6"/>
        </w:numPr>
        <w:rPr>
          <w:rFonts w:ascii="Times New Roman" w:hAnsi="Times New Roman"/>
          <w:color w:val="000000"/>
          <w:sz w:val="24"/>
        </w:rPr>
      </w:pPr>
      <w:r w:rsidRPr="007A7DED">
        <w:rPr>
          <w:rFonts w:ascii="Times New Roman" w:hAnsi="Times New Roman"/>
          <w:color w:val="000000"/>
          <w:sz w:val="24"/>
        </w:rPr>
        <w:t>At the first level, the appeal is reviewed by HUD staff at least one administrative level above the reviewer who made the contested rent adjustment decision. For example, if the account executive branch chief approves the contested rent decision, then the director of the Asset Management Division reviews the first level of appeal.</w:t>
      </w:r>
    </w:p>
    <w:p w:rsidR="00DD1CCE" w:rsidRPr="007A7DED" w:rsidP="00DD1CCE" w14:paraId="7FC490B0" w14:textId="77777777">
      <w:pPr>
        <w:pStyle w:val="PlainText"/>
        <w:rPr>
          <w:rFonts w:ascii="Times New Roman" w:hAnsi="Times New Roman"/>
          <w:color w:val="000000"/>
          <w:sz w:val="24"/>
        </w:rPr>
      </w:pPr>
    </w:p>
    <w:p w:rsidR="00DD1CCE" w:rsidRPr="007A7DED" w:rsidP="00DD1CCE" w14:paraId="32EFA5F3" w14:textId="77777777">
      <w:pPr>
        <w:pStyle w:val="PlainText"/>
        <w:rPr>
          <w:rFonts w:ascii="Times New Roman" w:hAnsi="Times New Roman"/>
          <w:color w:val="000000"/>
          <w:sz w:val="24"/>
        </w:rPr>
      </w:pPr>
      <w:r w:rsidRPr="007A7DED">
        <w:rPr>
          <w:rFonts w:ascii="Times New Roman" w:hAnsi="Times New Roman"/>
          <w:color w:val="000000"/>
          <w:sz w:val="24"/>
        </w:rPr>
        <w:t>The owner must submit its first-level appeal in writing and postmark it within 30 days of the date the owner received the notification letter regarding the denial of the rent adjustment.  At a minimum, the owner must include the following in the written appeal:</w:t>
      </w:r>
    </w:p>
    <w:p w:rsidR="00DD1CCE" w:rsidRPr="007A7DED" w:rsidP="00DD1CCE" w14:paraId="2EBE386A" w14:textId="77777777">
      <w:pPr>
        <w:pStyle w:val="PlainText"/>
        <w:numPr>
          <w:ilvl w:val="0"/>
          <w:numId w:val="7"/>
        </w:numPr>
        <w:rPr>
          <w:rFonts w:ascii="Times New Roman" w:hAnsi="Times New Roman"/>
          <w:color w:val="000000"/>
          <w:sz w:val="24"/>
        </w:rPr>
      </w:pPr>
      <w:r w:rsidRPr="007A7DED">
        <w:rPr>
          <w:rFonts w:ascii="Times New Roman" w:hAnsi="Times New Roman"/>
          <w:color w:val="000000"/>
          <w:sz w:val="24"/>
        </w:rPr>
        <w:t>An explanation of why the owner disagrees with HUD’s decision and a statement identifying the rents sought in the appeal; and</w:t>
      </w:r>
    </w:p>
    <w:p w:rsidR="00DD1CCE" w:rsidRPr="007A7DED" w:rsidP="00DD1CCE" w14:paraId="52870BE1" w14:textId="77777777">
      <w:pPr>
        <w:pStyle w:val="PlainText"/>
        <w:numPr>
          <w:ilvl w:val="0"/>
          <w:numId w:val="7"/>
        </w:numPr>
        <w:rPr>
          <w:rFonts w:ascii="Times New Roman" w:hAnsi="Times New Roman"/>
          <w:color w:val="000000"/>
          <w:sz w:val="24"/>
        </w:rPr>
      </w:pPr>
      <w:r w:rsidRPr="007A7DED">
        <w:rPr>
          <w:rFonts w:ascii="Times New Roman" w:hAnsi="Times New Roman"/>
          <w:color w:val="000000"/>
          <w:sz w:val="24"/>
        </w:rPr>
        <w:t>All information required in the initial rent adjustment request.</w:t>
      </w:r>
    </w:p>
    <w:p w:rsidR="00DD1CCE" w:rsidRPr="007A7DED" w:rsidP="00DD1CCE" w14:paraId="21DF9A9F" w14:textId="77777777">
      <w:pPr>
        <w:pStyle w:val="PlainText"/>
        <w:rPr>
          <w:rFonts w:ascii="Times New Roman" w:hAnsi="Times New Roman"/>
          <w:color w:val="000000"/>
          <w:sz w:val="24"/>
        </w:rPr>
      </w:pPr>
    </w:p>
    <w:p w:rsidR="00DD1CCE" w:rsidRPr="007A7DED" w:rsidP="00DD1CCE" w14:paraId="1A3B7E1C" w14:textId="77777777">
      <w:pPr>
        <w:pStyle w:val="PlainText"/>
        <w:numPr>
          <w:ilvl w:val="0"/>
          <w:numId w:val="6"/>
        </w:numPr>
        <w:rPr>
          <w:rFonts w:ascii="Times New Roman" w:hAnsi="Times New Roman"/>
          <w:color w:val="000000"/>
          <w:sz w:val="24"/>
        </w:rPr>
      </w:pPr>
      <w:r w:rsidRPr="007A7DED">
        <w:rPr>
          <w:rFonts w:ascii="Times New Roman" w:hAnsi="Times New Roman"/>
          <w:color w:val="000000"/>
          <w:sz w:val="24"/>
        </w:rPr>
        <w:t>If HUD denies the first-level appeal, upholding the initial rent adjustment decision, and the owner does not agree, it can submit a second-level appeal request to the director of the Multifamily Housing regional center.  Any decision rendered by the regional Center director is final.  The second-level appeal must be in writing and postmarked within 30 days of the date of the first-level appeal decision letter.  The owner must send the regional director the following:</w:t>
      </w:r>
    </w:p>
    <w:p w:rsidR="00DD1CCE" w:rsidRPr="007A7DED" w:rsidP="00DD1CCE" w14:paraId="7761C26C" w14:textId="77777777">
      <w:pPr>
        <w:pStyle w:val="PlainText"/>
        <w:numPr>
          <w:ilvl w:val="0"/>
          <w:numId w:val="8"/>
        </w:numPr>
        <w:rPr>
          <w:rFonts w:ascii="Times New Roman" w:hAnsi="Times New Roman"/>
          <w:color w:val="000000"/>
          <w:sz w:val="24"/>
        </w:rPr>
      </w:pPr>
      <w:r w:rsidRPr="007A7DED">
        <w:rPr>
          <w:rFonts w:ascii="Times New Roman" w:hAnsi="Times New Roman"/>
          <w:color w:val="000000"/>
          <w:sz w:val="24"/>
        </w:rPr>
        <w:t xml:space="preserve">A copy of the original budget-based rent adjustment decision letter, accompanied by any supporting documentation sent with the original request or involved in the original </w:t>
      </w:r>
      <w:r w:rsidRPr="007A7DED">
        <w:rPr>
          <w:rFonts w:ascii="Times New Roman" w:hAnsi="Times New Roman"/>
          <w:color w:val="000000"/>
          <w:sz w:val="24"/>
        </w:rPr>
        <w:t>decision;</w:t>
      </w:r>
    </w:p>
    <w:p w:rsidR="00DD1CCE" w:rsidRPr="007A7DED" w:rsidP="00DD1CCE" w14:paraId="7C6CA9A8" w14:textId="77777777">
      <w:pPr>
        <w:pStyle w:val="PlainText"/>
        <w:numPr>
          <w:ilvl w:val="0"/>
          <w:numId w:val="8"/>
        </w:numPr>
        <w:rPr>
          <w:rFonts w:ascii="Times New Roman" w:hAnsi="Times New Roman"/>
          <w:color w:val="000000"/>
          <w:sz w:val="24"/>
        </w:rPr>
      </w:pPr>
      <w:r w:rsidRPr="007A7DED">
        <w:rPr>
          <w:rFonts w:ascii="Times New Roman" w:hAnsi="Times New Roman"/>
          <w:color w:val="000000"/>
          <w:sz w:val="24"/>
        </w:rPr>
        <w:t>A copy of the first-level appeal request and denial; and</w:t>
      </w:r>
    </w:p>
    <w:p w:rsidR="00DD1CCE" w:rsidRPr="007A7DED" w:rsidP="00DD1CCE" w14:paraId="6FB59F1E" w14:textId="77777777">
      <w:pPr>
        <w:pStyle w:val="PlainText"/>
        <w:numPr>
          <w:ilvl w:val="0"/>
          <w:numId w:val="8"/>
        </w:numPr>
        <w:rPr>
          <w:rFonts w:ascii="Times New Roman" w:hAnsi="Times New Roman"/>
          <w:color w:val="000000"/>
          <w:sz w:val="24"/>
        </w:rPr>
      </w:pPr>
      <w:r w:rsidRPr="007A7DED">
        <w:rPr>
          <w:rFonts w:ascii="Times New Roman" w:hAnsi="Times New Roman"/>
          <w:color w:val="000000"/>
          <w:sz w:val="24"/>
        </w:rPr>
        <w:t>A letter explaining why the owner disagrees with the decision reached in the first-level appeal.</w:t>
      </w:r>
    </w:p>
    <w:p w:rsidR="00DD1CCE" w:rsidRPr="007A7DED" w:rsidP="00DD1CCE" w14:paraId="25A6434D" w14:textId="77777777">
      <w:pPr>
        <w:pStyle w:val="PlainText"/>
        <w:rPr>
          <w:rFonts w:ascii="Times New Roman" w:hAnsi="Times New Roman"/>
          <w:color w:val="000000"/>
          <w:sz w:val="24"/>
        </w:rPr>
      </w:pPr>
    </w:p>
    <w:p w:rsidR="00DD1CCE" w:rsidRPr="007A7DED" w:rsidP="00EF2869" w14:paraId="7670AF1F" w14:textId="69B2A96C">
      <w:pPr>
        <w:pStyle w:val="BodyTextIndent"/>
        <w:pBdr>
          <w:bottom w:val="single" w:sz="4" w:space="1" w:color="auto"/>
        </w:pBdr>
        <w:rPr>
          <w:color w:val="000000"/>
          <w:sz w:val="24"/>
        </w:rPr>
      </w:pPr>
      <w:r>
        <w:rPr>
          <w:color w:val="000000"/>
          <w:sz w:val="24"/>
        </w:rPr>
        <w:tab/>
      </w:r>
      <w:r w:rsidRPr="007A7DED">
        <w:rPr>
          <w:color w:val="000000"/>
          <w:sz w:val="24"/>
        </w:rPr>
        <w:t>HUD has used these letters and supporting documentation to determine if an appeal is warranted.  This information is both the minimum and most appropriate information for HUD to use to determine if an appeal should be approved. No change is proposed to this process.</w:t>
      </w:r>
    </w:p>
    <w:p w:rsidR="00DD1CCE" w:rsidRPr="007A7DED" w:rsidP="00DD1CCE" w14:paraId="5BFB2368" w14:textId="77777777">
      <w:pPr>
        <w:pStyle w:val="BodyTextIndent"/>
        <w:pBdr>
          <w:bottom w:val="single" w:sz="4" w:space="1" w:color="auto"/>
        </w:pBdr>
        <w:rPr>
          <w:color w:val="000000"/>
          <w:sz w:val="24"/>
        </w:rPr>
      </w:pPr>
    </w:p>
    <w:p w:rsidR="00DD1CCE" w:rsidRPr="007A7DED" w:rsidP="00EF2869" w14:paraId="4C8A4364" w14:textId="77777777">
      <w:pPr>
        <w:spacing w:before="222" w:line="228" w:lineRule="exact"/>
        <w:ind w:left="360" w:right="504"/>
        <w:rPr>
          <w:rFonts w:eastAsia="Courier New"/>
          <w:color w:val="000000"/>
          <w:sz w:val="24"/>
        </w:rPr>
      </w:pPr>
      <w:r w:rsidRPr="007A7DED">
        <w:rPr>
          <w:color w:val="000000"/>
          <w:sz w:val="24"/>
        </w:rPr>
        <w:t>Pursuant to section 7.54.C of the Asset Management Handbook 4350.1, “</w:t>
      </w:r>
      <w:r w:rsidRPr="007A7DED">
        <w:rPr>
          <w:rFonts w:eastAsia="Courier New"/>
          <w:color w:val="000000"/>
          <w:sz w:val="24"/>
        </w:rPr>
        <w:t>if the appeal results in an increase to the Tenant Rent, the owner must give the tenant 30 days advance written notice of the increase. The</w:t>
      </w:r>
    </w:p>
    <w:p w:rsidR="00EF2869" w:rsidP="00EF2869" w14:paraId="6EDE20DB" w14:textId="77777777">
      <w:pPr>
        <w:spacing w:before="1" w:line="225" w:lineRule="exact"/>
        <w:ind w:left="360" w:right="432"/>
        <w:rPr>
          <w:rFonts w:eastAsia="Courier New"/>
          <w:color w:val="000000"/>
          <w:sz w:val="24"/>
        </w:rPr>
      </w:pPr>
    </w:p>
    <w:p w:rsidR="00DD1CCE" w:rsidP="00EF2869" w14:paraId="5E300CF0" w14:textId="0DCC3A1D">
      <w:pPr>
        <w:spacing w:before="1" w:line="225" w:lineRule="exact"/>
        <w:ind w:left="360" w:right="432"/>
        <w:rPr>
          <w:rFonts w:eastAsia="Courier New"/>
          <w:color w:val="000000"/>
          <w:sz w:val="24"/>
        </w:rPr>
      </w:pPr>
      <w:r w:rsidRPr="007A7DED">
        <w:rPr>
          <w:rFonts w:eastAsia="Courier New"/>
          <w:color w:val="000000"/>
          <w:sz w:val="24"/>
        </w:rPr>
        <w:t>Notice must specify the new Tenant Rent and date it will be effective.” This provision applies only to tenants living in unassisted units in Section 236 properties. Tenants in units assisted with Section 8 or Project Rental Assistance Contract funds do not have to be notified of a rent adjustment, since their rent payments will not change.</w:t>
      </w:r>
    </w:p>
    <w:p w:rsidR="00EF2869" w:rsidP="00EF2869" w14:paraId="30130C13" w14:textId="77777777">
      <w:pPr>
        <w:spacing w:before="1" w:line="225" w:lineRule="exact"/>
        <w:ind w:left="360" w:right="432"/>
        <w:rPr>
          <w:rFonts w:eastAsia="Courier New"/>
          <w:color w:val="000000"/>
          <w:sz w:val="24"/>
        </w:rPr>
      </w:pPr>
    </w:p>
    <w:p w:rsidR="00EF2869" w:rsidP="00EF2869" w14:paraId="077DFC2C" w14:textId="77777777">
      <w:pPr>
        <w:spacing w:before="1" w:line="225" w:lineRule="exact"/>
        <w:ind w:left="360" w:right="432"/>
        <w:rPr>
          <w:rFonts w:eastAsia="Courier New"/>
          <w:color w:val="000000"/>
          <w:sz w:val="24"/>
        </w:rPr>
      </w:pPr>
    </w:p>
    <w:p w:rsidR="00EF2869" w:rsidP="00EF2869" w14:paraId="3889EC69" w14:textId="77777777">
      <w:pPr>
        <w:spacing w:before="1" w:line="225" w:lineRule="exact"/>
        <w:ind w:left="360" w:right="432"/>
        <w:rPr>
          <w:rFonts w:eastAsia="Courier New"/>
          <w:color w:val="000000"/>
          <w:sz w:val="24"/>
        </w:rPr>
      </w:pPr>
    </w:p>
    <w:p w:rsidR="00EF2869" w:rsidP="00EF2869" w14:paraId="7AE348A0" w14:textId="77777777">
      <w:pPr>
        <w:spacing w:before="1" w:line="225" w:lineRule="exact"/>
        <w:ind w:left="360" w:right="432"/>
        <w:rPr>
          <w:rFonts w:eastAsia="Courier New"/>
          <w:color w:val="000000"/>
          <w:spacing w:val="-3"/>
          <w:sz w:val="24"/>
        </w:rPr>
      </w:pPr>
    </w:p>
    <w:p w:rsidR="00DD1CCE" w:rsidRPr="00DD1CCE" w:rsidP="00DD1CCE" w14:paraId="746D4886" w14:textId="77777777">
      <w:pPr>
        <w:keepLines/>
        <w:tabs>
          <w:tab w:val="left" w:pos="360"/>
        </w:tabs>
        <w:spacing w:after="80"/>
        <w:ind w:left="360" w:hanging="360"/>
        <w:rPr>
          <w:b/>
          <w:bCs/>
          <w:sz w:val="24"/>
          <w:szCs w:val="24"/>
        </w:rPr>
      </w:pPr>
      <w:r w:rsidRPr="00DD1CCE">
        <w:rPr>
          <w:b/>
          <w:bCs/>
          <w:sz w:val="24"/>
          <w:szCs w:val="24"/>
        </w:rPr>
        <w:t>3.</w:t>
      </w:r>
      <w:r w:rsidRPr="00DD1CCE">
        <w:rPr>
          <w:b/>
          <w:bCs/>
          <w:sz w:val="24"/>
          <w:szCs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DD1CCE">
        <w:rPr>
          <w:b/>
          <w:bCs/>
          <w:sz w:val="24"/>
          <w:szCs w:val="24"/>
        </w:rPr>
        <w:t>for adopting</w:t>
      </w:r>
      <w:r w:rsidRPr="00DD1CCE">
        <w:rPr>
          <w:b/>
          <w:bCs/>
          <w:sz w:val="24"/>
          <w:szCs w:val="24"/>
        </w:rPr>
        <w:t xml:space="preserve"> this means of collection.  Also describe any consideration of using information technology to reduce burden.</w:t>
      </w:r>
    </w:p>
    <w:p w:rsidR="00DD1CCE" w:rsidRPr="007A7DED" w:rsidP="00EF2869" w14:paraId="1FD8C935" w14:textId="77777777">
      <w:pPr>
        <w:pStyle w:val="BodyTextIndent"/>
        <w:spacing w:before="240"/>
        <w:ind w:firstLine="0"/>
        <w:rPr>
          <w:b w:val="0"/>
          <w:bCs w:val="0"/>
          <w:color w:val="000000"/>
          <w:sz w:val="24"/>
        </w:rPr>
      </w:pPr>
      <w:r w:rsidRPr="007A7DED">
        <w:rPr>
          <w:bCs w:val="0"/>
          <w:color w:val="000000"/>
          <w:sz w:val="24"/>
        </w:rPr>
        <w:t>Rent Adjustment Requests</w:t>
      </w:r>
    </w:p>
    <w:p w:rsidR="00DD1CCE" w:rsidRPr="007A7DED" w:rsidP="00EF2869" w14:paraId="5AABC59A" w14:textId="48685DF8">
      <w:pPr>
        <w:pStyle w:val="BodyTextIndent"/>
        <w:rPr>
          <w:b w:val="0"/>
          <w:bCs w:val="0"/>
          <w:color w:val="000000"/>
          <w:sz w:val="24"/>
        </w:rPr>
      </w:pPr>
      <w:r>
        <w:rPr>
          <w:b w:val="0"/>
          <w:bCs w:val="0"/>
          <w:color w:val="000000"/>
          <w:sz w:val="24"/>
        </w:rPr>
        <w:tab/>
      </w:r>
      <w:r w:rsidRPr="007A7DED">
        <w:rPr>
          <w:b w:val="0"/>
          <w:bCs w:val="0"/>
          <w:color w:val="000000"/>
          <w:sz w:val="24"/>
        </w:rPr>
        <w:t>Owners will have the option to submit requests and appeals electronically, pursuant to a forthcoming program</w:t>
      </w:r>
      <w:r>
        <w:rPr>
          <w:b w:val="0"/>
          <w:bCs w:val="0"/>
          <w:color w:val="000000"/>
          <w:sz w:val="24"/>
        </w:rPr>
        <w:t>.</w:t>
      </w:r>
      <w:r w:rsidRPr="007A7DED">
        <w:rPr>
          <w:b w:val="0"/>
          <w:bCs w:val="0"/>
          <w:color w:val="000000"/>
          <w:sz w:val="24"/>
        </w:rPr>
        <w:t xml:space="preserve"> Notice on electronic signature, transmission, and retention of documents. Electronic submission will be made primarily by e-mail or electronic file upload.  The HUD-92547-A is available in electronic format on </w:t>
      </w:r>
      <w:r w:rsidRPr="007A7DED">
        <w:rPr>
          <w:b w:val="0"/>
          <w:bCs w:val="0"/>
          <w:color w:val="000000"/>
          <w:sz w:val="24"/>
        </w:rPr>
        <w:t>HUDClips</w:t>
      </w:r>
      <w:r w:rsidRPr="007A7DED">
        <w:rPr>
          <w:b w:val="0"/>
          <w:bCs w:val="0"/>
          <w:color w:val="000000"/>
          <w:sz w:val="24"/>
        </w:rPr>
        <w:t xml:space="preserve">.  The budget-based rent adjustment worksheet is used by the owner and submitted to the local HUD field office for review and approval.  Computer-generated representations of the information included in </w:t>
      </w:r>
      <w:r w:rsidRPr="007A7DED">
        <w:rPr>
          <w:b w:val="0"/>
          <w:bCs w:val="0"/>
          <w:color w:val="000000"/>
          <w:sz w:val="24"/>
        </w:rPr>
        <w:t>the 92547</w:t>
      </w:r>
      <w:r w:rsidRPr="007A7DED">
        <w:rPr>
          <w:b w:val="0"/>
          <w:bCs w:val="0"/>
          <w:color w:val="000000"/>
          <w:sz w:val="24"/>
        </w:rPr>
        <w:t>-A will also be accepted in place of the worksheet.  Analyses were conducted to determine the cost effectiveness and feasibility of automating this collection. At this time, however, there are no available resources that can be used for developing electronic submission procedures.</w:t>
      </w:r>
    </w:p>
    <w:p w:rsidR="00DD1CCE" w:rsidP="00DD1CCE" w14:paraId="7D87C929" w14:textId="77777777">
      <w:pPr>
        <w:tabs>
          <w:tab w:val="left" w:pos="360"/>
        </w:tabs>
        <w:ind w:left="360" w:hanging="360"/>
        <w:rPr>
          <w:b/>
          <w:bCs/>
          <w:sz w:val="24"/>
          <w:szCs w:val="24"/>
        </w:rPr>
      </w:pPr>
    </w:p>
    <w:p w:rsidR="00DD1CCE" w:rsidRPr="00DD1CCE" w:rsidP="00DD1CCE" w14:paraId="2BF5E052" w14:textId="77777777">
      <w:pPr>
        <w:keepLines/>
        <w:tabs>
          <w:tab w:val="left" w:pos="360"/>
        </w:tabs>
        <w:spacing w:after="80"/>
        <w:ind w:left="360" w:hanging="360"/>
        <w:rPr>
          <w:b/>
          <w:bCs/>
          <w:sz w:val="24"/>
          <w:szCs w:val="24"/>
        </w:rPr>
      </w:pPr>
      <w:r w:rsidRPr="00DD1CCE">
        <w:rPr>
          <w:b/>
          <w:bCs/>
          <w:sz w:val="24"/>
          <w:szCs w:val="24"/>
        </w:rPr>
        <w:t>4.</w:t>
      </w:r>
      <w:r w:rsidRPr="00DD1CCE">
        <w:rPr>
          <w:b/>
          <w:bCs/>
          <w:sz w:val="24"/>
          <w:szCs w:val="24"/>
        </w:rPr>
        <w:tab/>
        <w:t>Describe efforts to identify duplication.  Show specifically why any similar information already available cannot be used or modified for use for the purposes described in Item 2 above.</w:t>
      </w:r>
    </w:p>
    <w:p w:rsidR="006A3F77" w:rsidRPr="007A7DED" w:rsidP="006A3F77" w14:paraId="56C9316E" w14:textId="66E9D77F">
      <w:pPr>
        <w:pStyle w:val="BodyTextIndent"/>
        <w:spacing w:before="240"/>
        <w:rPr>
          <w:color w:val="000000"/>
          <w:sz w:val="24"/>
        </w:rPr>
      </w:pPr>
      <w:r>
        <w:rPr>
          <w:b w:val="0"/>
          <w:bCs w:val="0"/>
          <w:color w:val="000000"/>
          <w:sz w:val="24"/>
        </w:rPr>
        <w:tab/>
      </w:r>
      <w:r w:rsidRPr="007A7DED">
        <w:rPr>
          <w:b w:val="0"/>
          <w:bCs w:val="0"/>
          <w:color w:val="000000"/>
          <w:sz w:val="24"/>
        </w:rPr>
        <w:t>The data collected is unique to the requirement to ensure reasonable rents.  This information is not available elsewhere.</w:t>
      </w:r>
    </w:p>
    <w:p w:rsidR="00DD1CCE" w:rsidRPr="00DD1CCE" w:rsidP="00DD1CCE" w14:paraId="41221CCB" w14:textId="77777777">
      <w:pPr>
        <w:keepLines/>
        <w:tabs>
          <w:tab w:val="left" w:pos="360"/>
          <w:tab w:val="left" w:pos="720"/>
        </w:tabs>
        <w:ind w:left="360"/>
        <w:rPr>
          <w:b/>
          <w:bCs/>
          <w:sz w:val="24"/>
          <w:szCs w:val="24"/>
        </w:rPr>
      </w:pPr>
    </w:p>
    <w:p w:rsidR="00DD1CCE" w:rsidRPr="00DD1CCE" w:rsidP="00DD1CCE" w14:paraId="55CF0CB9" w14:textId="77777777">
      <w:pPr>
        <w:keepLines/>
        <w:tabs>
          <w:tab w:val="left" w:pos="360"/>
        </w:tabs>
        <w:spacing w:after="80"/>
        <w:ind w:left="360" w:hanging="360"/>
        <w:rPr>
          <w:b/>
          <w:bCs/>
          <w:sz w:val="24"/>
          <w:szCs w:val="24"/>
        </w:rPr>
      </w:pPr>
      <w:r w:rsidRPr="00DD1CCE">
        <w:rPr>
          <w:b/>
          <w:bCs/>
          <w:sz w:val="24"/>
          <w:szCs w:val="24"/>
        </w:rPr>
        <w:t>5.</w:t>
      </w:r>
      <w:r w:rsidRPr="00DD1CCE">
        <w:rPr>
          <w:b/>
          <w:bCs/>
          <w:sz w:val="24"/>
          <w:szCs w:val="24"/>
        </w:rPr>
        <w:tab/>
        <w:t>If the collection of information impacts small businesses or other small entities describe any methods used to minimize burden.</w:t>
      </w:r>
    </w:p>
    <w:p w:rsidR="00DD1CCE" w:rsidP="00DD1CCE" w14:paraId="0328035B" w14:textId="77777777">
      <w:pPr>
        <w:tabs>
          <w:tab w:val="left" w:pos="360"/>
        </w:tabs>
        <w:ind w:left="360" w:hanging="360"/>
        <w:rPr>
          <w:b/>
          <w:bCs/>
          <w:sz w:val="24"/>
          <w:szCs w:val="24"/>
        </w:rPr>
      </w:pPr>
    </w:p>
    <w:p w:rsidR="006A3F77" w:rsidP="00DD1CCE" w14:paraId="198357AB" w14:textId="33FD0C43">
      <w:pPr>
        <w:tabs>
          <w:tab w:val="left" w:pos="360"/>
        </w:tabs>
        <w:ind w:left="360" w:hanging="360"/>
        <w:rPr>
          <w:b/>
          <w:bCs/>
          <w:sz w:val="24"/>
          <w:szCs w:val="24"/>
        </w:rPr>
      </w:pPr>
      <w:r>
        <w:rPr>
          <w:bCs/>
          <w:color w:val="000000"/>
          <w:sz w:val="24"/>
        </w:rPr>
        <w:tab/>
      </w:r>
      <w:r>
        <w:rPr>
          <w:bCs/>
          <w:color w:val="000000"/>
          <w:sz w:val="24"/>
        </w:rPr>
        <w:t>T</w:t>
      </w:r>
      <w:r w:rsidRPr="007A7DED">
        <w:rPr>
          <w:bCs/>
          <w:color w:val="000000"/>
          <w:sz w:val="24"/>
        </w:rPr>
        <w:t>here is no impact on small businesses or small entities, as project owners already prepare budgets for projects in support of their own business practices</w:t>
      </w:r>
    </w:p>
    <w:p w:rsidR="006A3F77" w:rsidRPr="00DD1CCE" w:rsidP="00DD1CCE" w14:paraId="1209A641" w14:textId="77777777">
      <w:pPr>
        <w:tabs>
          <w:tab w:val="left" w:pos="360"/>
        </w:tabs>
        <w:ind w:left="360" w:hanging="360"/>
        <w:rPr>
          <w:b/>
          <w:bCs/>
          <w:sz w:val="24"/>
          <w:szCs w:val="24"/>
        </w:rPr>
      </w:pPr>
    </w:p>
    <w:p w:rsidR="00DD1CCE" w:rsidRPr="00DD1CCE" w:rsidP="00DD1CCE" w14:paraId="31156DFC" w14:textId="77777777">
      <w:pPr>
        <w:keepLines/>
        <w:tabs>
          <w:tab w:val="left" w:pos="360"/>
        </w:tabs>
        <w:spacing w:after="80"/>
        <w:ind w:left="360" w:hanging="360"/>
        <w:rPr>
          <w:b/>
          <w:bCs/>
          <w:sz w:val="24"/>
          <w:szCs w:val="24"/>
        </w:rPr>
      </w:pPr>
      <w:r w:rsidRPr="00DD1CCE">
        <w:rPr>
          <w:b/>
          <w:bCs/>
          <w:sz w:val="24"/>
          <w:szCs w:val="24"/>
        </w:rPr>
        <w:t>6.</w:t>
      </w:r>
      <w:r w:rsidRPr="00DD1CCE">
        <w:rPr>
          <w:b/>
          <w:bCs/>
          <w:sz w:val="24"/>
          <w:szCs w:val="24"/>
        </w:rPr>
        <w:tab/>
        <w:t xml:space="preserve">Describe the </w:t>
      </w:r>
      <w:r w:rsidRPr="00DD1CCE">
        <w:rPr>
          <w:b/>
          <w:bCs/>
          <w:sz w:val="24"/>
          <w:szCs w:val="24"/>
        </w:rPr>
        <w:t>consequence</w:t>
      </w:r>
      <w:r w:rsidRPr="00DD1CCE">
        <w:rPr>
          <w:b/>
          <w:bCs/>
          <w:sz w:val="24"/>
          <w:szCs w:val="24"/>
        </w:rPr>
        <w:t xml:space="preserve"> to Federal program or policy activities if the collection is not conducted or is conducted less frequently, as well as any technical or legal obstacles to reducing burden.</w:t>
      </w:r>
    </w:p>
    <w:p w:rsidR="00DD1CCE" w:rsidP="00EF2869" w14:paraId="1E2931AC" w14:textId="2897366E">
      <w:pPr>
        <w:keepLines/>
        <w:tabs>
          <w:tab w:val="left" w:pos="360"/>
          <w:tab w:val="left" w:pos="720"/>
        </w:tabs>
        <w:spacing w:before="240"/>
        <w:ind w:left="360"/>
        <w:rPr>
          <w:b/>
          <w:bCs/>
          <w:sz w:val="24"/>
          <w:szCs w:val="24"/>
        </w:rPr>
      </w:pPr>
      <w:r w:rsidRPr="008A4A01">
        <w:rPr>
          <w:color w:val="000000"/>
          <w:sz w:val="24"/>
        </w:rPr>
        <w:t>If the information were collected less frequently, HUD would be unable to monitor rent adjustments for the projects subject to this requirement.  Owners would not have an opportunity to appeal HUD’s decisions and HUD would have insufficient information to support approving an appeal.  The information is collected, at the owner’s discretion, when it wishes to appeal a rent increase decision.  The information collection could not be conducted less frequently.  Failure to collect this information would hinder the Department’s ability to provide owners with an opportunity to appeal rent adjustments.</w:t>
      </w:r>
    </w:p>
    <w:p w:rsidR="006A3F77" w:rsidP="00DD1CCE" w14:paraId="30715A2D" w14:textId="77777777">
      <w:pPr>
        <w:keepLines/>
        <w:tabs>
          <w:tab w:val="left" w:pos="360"/>
          <w:tab w:val="left" w:pos="720"/>
        </w:tabs>
        <w:ind w:left="360"/>
        <w:rPr>
          <w:b/>
          <w:bCs/>
          <w:sz w:val="24"/>
          <w:szCs w:val="24"/>
        </w:rPr>
      </w:pPr>
    </w:p>
    <w:p w:rsidR="00EF2869" w:rsidP="00DD1CCE" w14:paraId="74A1A94C" w14:textId="77777777">
      <w:pPr>
        <w:keepLines/>
        <w:tabs>
          <w:tab w:val="left" w:pos="360"/>
          <w:tab w:val="left" w:pos="720"/>
        </w:tabs>
        <w:ind w:left="360"/>
        <w:rPr>
          <w:b/>
          <w:bCs/>
          <w:sz w:val="24"/>
          <w:szCs w:val="24"/>
        </w:rPr>
      </w:pPr>
    </w:p>
    <w:p w:rsidR="00EF2869" w:rsidP="00DD1CCE" w14:paraId="14D72C0A" w14:textId="77777777">
      <w:pPr>
        <w:keepLines/>
        <w:tabs>
          <w:tab w:val="left" w:pos="360"/>
          <w:tab w:val="left" w:pos="720"/>
        </w:tabs>
        <w:ind w:left="360"/>
        <w:rPr>
          <w:b/>
          <w:bCs/>
          <w:sz w:val="24"/>
          <w:szCs w:val="24"/>
        </w:rPr>
      </w:pPr>
    </w:p>
    <w:p w:rsidR="00EF2869" w:rsidP="00DD1CCE" w14:paraId="15D4A6E2" w14:textId="77777777">
      <w:pPr>
        <w:keepLines/>
        <w:tabs>
          <w:tab w:val="left" w:pos="360"/>
          <w:tab w:val="left" w:pos="720"/>
        </w:tabs>
        <w:ind w:left="360"/>
        <w:rPr>
          <w:b/>
          <w:bCs/>
          <w:sz w:val="24"/>
          <w:szCs w:val="24"/>
        </w:rPr>
      </w:pPr>
    </w:p>
    <w:p w:rsidR="00EF2869" w:rsidP="00DD1CCE" w14:paraId="62DE2E01" w14:textId="77777777">
      <w:pPr>
        <w:keepLines/>
        <w:tabs>
          <w:tab w:val="left" w:pos="360"/>
          <w:tab w:val="left" w:pos="720"/>
        </w:tabs>
        <w:ind w:left="360"/>
        <w:rPr>
          <w:b/>
          <w:bCs/>
          <w:sz w:val="24"/>
          <w:szCs w:val="24"/>
        </w:rPr>
      </w:pPr>
    </w:p>
    <w:p w:rsidR="00EF2869" w:rsidRPr="00DD1CCE" w:rsidP="00DD1CCE" w14:paraId="574CB987" w14:textId="77777777">
      <w:pPr>
        <w:keepLines/>
        <w:tabs>
          <w:tab w:val="left" w:pos="360"/>
          <w:tab w:val="left" w:pos="720"/>
        </w:tabs>
        <w:ind w:left="360"/>
        <w:rPr>
          <w:b/>
          <w:bCs/>
          <w:sz w:val="24"/>
          <w:szCs w:val="24"/>
        </w:rPr>
      </w:pPr>
    </w:p>
    <w:p w:rsidR="00DD1CCE" w:rsidRPr="00DD1CCE" w:rsidP="00DD1CCE" w14:paraId="2D6344CA" w14:textId="77777777">
      <w:pPr>
        <w:numPr>
          <w:ilvl w:val="0"/>
          <w:numId w:val="1"/>
        </w:numPr>
        <w:tabs>
          <w:tab w:val="left" w:pos="360"/>
        </w:tabs>
        <w:rPr>
          <w:b/>
          <w:bCs/>
          <w:sz w:val="24"/>
          <w:szCs w:val="24"/>
        </w:rPr>
      </w:pPr>
      <w:r w:rsidRPr="00DD1CCE">
        <w:rPr>
          <w:b/>
          <w:bCs/>
          <w:sz w:val="24"/>
          <w:szCs w:val="24"/>
        </w:rPr>
        <w:t>Explain any special circumstances that would cause an information collection to be conducted in a manner:</w:t>
      </w:r>
    </w:p>
    <w:p w:rsidR="00DD1CCE" w:rsidRPr="006A3F77" w:rsidP="00DD1CCE" w14:paraId="5452C0CA" w14:textId="77777777">
      <w:pPr>
        <w:tabs>
          <w:tab w:val="left" w:pos="360"/>
        </w:tabs>
        <w:ind w:left="360"/>
        <w:rPr>
          <w:b/>
          <w:bCs/>
          <w:sz w:val="24"/>
          <w:szCs w:val="24"/>
        </w:rPr>
      </w:pPr>
      <w:r w:rsidRPr="006A3F77">
        <w:rPr>
          <w:b/>
          <w:bCs/>
          <w:sz w:val="24"/>
          <w:szCs w:val="24"/>
        </w:rPr>
        <w:t xml:space="preserve"> </w:t>
      </w:r>
    </w:p>
    <w:p w:rsidR="006A3F77" w:rsidRPr="006A3F77" w:rsidP="006A3F77" w14:paraId="3DCA6092" w14:textId="77777777">
      <w:pPr>
        <w:pStyle w:val="ListParagraph"/>
        <w:numPr>
          <w:ilvl w:val="0"/>
          <w:numId w:val="9"/>
        </w:numPr>
        <w:overflowPunct/>
        <w:autoSpaceDE/>
        <w:autoSpaceDN/>
        <w:adjustRightInd/>
        <w:ind w:left="720"/>
        <w:textAlignment w:val="auto"/>
        <w:rPr>
          <w:b/>
          <w:color w:val="000000"/>
          <w:sz w:val="24"/>
          <w:szCs w:val="24"/>
        </w:rPr>
      </w:pPr>
      <w:r w:rsidRPr="006A3F77">
        <w:rPr>
          <w:b/>
          <w:color w:val="000000"/>
          <w:sz w:val="24"/>
          <w:szCs w:val="24"/>
        </w:rPr>
        <w:t xml:space="preserve">requiring respondents to report information to the agency more than </w:t>
      </w:r>
      <w:r w:rsidRPr="006A3F77">
        <w:rPr>
          <w:b/>
          <w:color w:val="000000"/>
          <w:sz w:val="24"/>
          <w:szCs w:val="24"/>
        </w:rPr>
        <w:t>quarterly;</w:t>
      </w:r>
    </w:p>
    <w:p w:rsidR="006A3F77" w:rsidRPr="006A3F77" w:rsidP="006A3F77" w14:paraId="17E796E9" w14:textId="77777777">
      <w:pPr>
        <w:tabs>
          <w:tab w:val="left" w:pos="360"/>
          <w:tab w:val="left" w:pos="720"/>
        </w:tabs>
        <w:ind w:left="360" w:hanging="360"/>
        <w:rPr>
          <w:bCs/>
          <w:color w:val="000000"/>
          <w:sz w:val="24"/>
          <w:szCs w:val="24"/>
        </w:rPr>
      </w:pPr>
    </w:p>
    <w:p w:rsidR="006A3F77" w:rsidRPr="006A3F77" w:rsidP="006A3F77" w14:paraId="2A952244" w14:textId="77777777">
      <w:pPr>
        <w:pStyle w:val="ListParagraph"/>
        <w:rPr>
          <w:color w:val="000000"/>
          <w:sz w:val="24"/>
          <w:szCs w:val="24"/>
        </w:rPr>
      </w:pPr>
      <w:r w:rsidRPr="006A3F77">
        <w:rPr>
          <w:color w:val="000000"/>
          <w:sz w:val="24"/>
          <w:szCs w:val="24"/>
        </w:rPr>
        <w:t>There is no requirement for respondents to prepare a written response to a collection more than quarterly.</w:t>
      </w:r>
    </w:p>
    <w:p w:rsidR="006A3F77" w:rsidRPr="006A3F77" w:rsidP="006A3F77" w14:paraId="36505854" w14:textId="77777777">
      <w:pPr>
        <w:pStyle w:val="ListParagraph"/>
        <w:rPr>
          <w:color w:val="000000"/>
          <w:sz w:val="24"/>
          <w:szCs w:val="24"/>
        </w:rPr>
      </w:pPr>
    </w:p>
    <w:p w:rsidR="006A3F77" w:rsidRPr="006A3F77" w:rsidP="006A3F77" w14:paraId="43596F40" w14:textId="77777777">
      <w:pPr>
        <w:pStyle w:val="ListParagraph"/>
        <w:numPr>
          <w:ilvl w:val="0"/>
          <w:numId w:val="9"/>
        </w:numPr>
        <w:overflowPunct/>
        <w:autoSpaceDE/>
        <w:autoSpaceDN/>
        <w:adjustRightInd/>
        <w:ind w:left="720"/>
        <w:textAlignment w:val="auto"/>
        <w:rPr>
          <w:color w:val="000000"/>
          <w:sz w:val="24"/>
          <w:szCs w:val="24"/>
        </w:rPr>
      </w:pPr>
      <w:r w:rsidRPr="006A3F77">
        <w:rPr>
          <w:b/>
          <w:color w:val="000000"/>
          <w:sz w:val="24"/>
          <w:szCs w:val="24"/>
        </w:rPr>
        <w:t xml:space="preserve">requiring respondents to submit more than an original and two copies of any </w:t>
      </w:r>
      <w:r w:rsidRPr="006A3F77">
        <w:rPr>
          <w:b/>
          <w:color w:val="000000"/>
          <w:sz w:val="24"/>
          <w:szCs w:val="24"/>
        </w:rPr>
        <w:t>document;</w:t>
      </w:r>
    </w:p>
    <w:p w:rsidR="006A3F77" w:rsidRPr="006A3F77" w:rsidP="006A3F77" w14:paraId="590DB0D5" w14:textId="77777777">
      <w:pPr>
        <w:pStyle w:val="ListParagraph"/>
        <w:rPr>
          <w:color w:val="000000"/>
          <w:sz w:val="24"/>
          <w:szCs w:val="24"/>
        </w:rPr>
      </w:pPr>
    </w:p>
    <w:p w:rsidR="006A3F77" w:rsidRPr="006A3F77" w:rsidP="006A3F77" w14:paraId="7D45B943" w14:textId="77777777">
      <w:pPr>
        <w:pStyle w:val="ListParagraph"/>
        <w:rPr>
          <w:color w:val="000000"/>
          <w:sz w:val="24"/>
          <w:szCs w:val="24"/>
        </w:rPr>
      </w:pPr>
      <w:r w:rsidRPr="006A3F77">
        <w:rPr>
          <w:color w:val="000000"/>
          <w:sz w:val="24"/>
          <w:szCs w:val="24"/>
        </w:rPr>
        <w:t>There is no requirement for respondents to submit more than an original and two copies of any document.</w:t>
      </w:r>
    </w:p>
    <w:p w:rsidR="006A3F77" w:rsidRPr="006A3F77" w:rsidP="006A3F77" w14:paraId="76E13007" w14:textId="77777777">
      <w:pPr>
        <w:pStyle w:val="ListParagraph"/>
        <w:rPr>
          <w:color w:val="000000"/>
          <w:sz w:val="24"/>
          <w:szCs w:val="24"/>
        </w:rPr>
      </w:pPr>
    </w:p>
    <w:p w:rsidR="006A3F77" w:rsidRPr="006A3F77" w:rsidP="006A3F77" w14:paraId="37FC83F0" w14:textId="77777777">
      <w:pPr>
        <w:pStyle w:val="ListParagraph"/>
        <w:numPr>
          <w:ilvl w:val="0"/>
          <w:numId w:val="9"/>
        </w:numPr>
        <w:overflowPunct/>
        <w:autoSpaceDE/>
        <w:autoSpaceDN/>
        <w:adjustRightInd/>
        <w:ind w:left="720"/>
        <w:textAlignment w:val="auto"/>
        <w:rPr>
          <w:color w:val="000000"/>
          <w:sz w:val="24"/>
          <w:szCs w:val="24"/>
        </w:rPr>
      </w:pPr>
      <w:r w:rsidRPr="006A3F77">
        <w:rPr>
          <w:b/>
          <w:color w:val="000000"/>
          <w:sz w:val="24"/>
          <w:szCs w:val="24"/>
        </w:rPr>
        <w:t xml:space="preserve">requiring respondents to retain records other than health, medical, government contract, grant-in-aid, or tax records for more than three </w:t>
      </w:r>
      <w:r w:rsidRPr="006A3F77">
        <w:rPr>
          <w:b/>
          <w:color w:val="000000"/>
          <w:sz w:val="24"/>
          <w:szCs w:val="24"/>
        </w:rPr>
        <w:t>years;</w:t>
      </w:r>
    </w:p>
    <w:p w:rsidR="006A3F77" w:rsidRPr="006A3F77" w:rsidP="006A3F77" w14:paraId="6D5E70B7" w14:textId="77777777">
      <w:pPr>
        <w:pStyle w:val="ListParagraph"/>
        <w:rPr>
          <w:color w:val="000000"/>
          <w:sz w:val="24"/>
          <w:szCs w:val="24"/>
        </w:rPr>
      </w:pPr>
    </w:p>
    <w:p w:rsidR="006A3F77" w:rsidRPr="006A3F77" w:rsidP="006A3F77" w14:paraId="5B171736" w14:textId="77777777">
      <w:pPr>
        <w:pStyle w:val="ListParagraph"/>
        <w:rPr>
          <w:color w:val="000000"/>
          <w:sz w:val="24"/>
          <w:szCs w:val="24"/>
        </w:rPr>
      </w:pPr>
      <w:r w:rsidRPr="006A3F77">
        <w:rPr>
          <w:color w:val="000000"/>
          <w:sz w:val="24"/>
          <w:szCs w:val="24"/>
        </w:rPr>
        <w:t>There is no requirement for respondents to retain records other than health, medical, government contract, grant-in-aid, or tax records for more than three years.</w:t>
      </w:r>
    </w:p>
    <w:p w:rsidR="006A3F77" w:rsidRPr="006A3F77" w:rsidP="006A3F77" w14:paraId="1FE260D7" w14:textId="77777777">
      <w:pPr>
        <w:pStyle w:val="ListParagraph"/>
        <w:rPr>
          <w:color w:val="000000"/>
          <w:sz w:val="24"/>
          <w:szCs w:val="24"/>
        </w:rPr>
      </w:pPr>
    </w:p>
    <w:p w:rsidR="006A3F77" w:rsidRPr="006A3F77" w:rsidP="006A3F77" w14:paraId="4AA9D300" w14:textId="77777777">
      <w:pPr>
        <w:pStyle w:val="ListParagraph"/>
        <w:numPr>
          <w:ilvl w:val="0"/>
          <w:numId w:val="9"/>
        </w:numPr>
        <w:overflowPunct/>
        <w:autoSpaceDE/>
        <w:autoSpaceDN/>
        <w:adjustRightInd/>
        <w:ind w:left="720"/>
        <w:textAlignment w:val="auto"/>
        <w:rPr>
          <w:color w:val="000000"/>
          <w:sz w:val="24"/>
          <w:szCs w:val="24"/>
        </w:rPr>
      </w:pPr>
      <w:r w:rsidRPr="006A3F77">
        <w:rPr>
          <w:b/>
          <w:color w:val="000000"/>
          <w:sz w:val="24"/>
          <w:szCs w:val="24"/>
        </w:rPr>
        <w:t xml:space="preserve">in connection with a statistical survey, that is not designed to produce valid and reliable results than can be generalized to the universe of </w:t>
      </w:r>
      <w:r w:rsidRPr="006A3F77">
        <w:rPr>
          <w:b/>
          <w:color w:val="000000"/>
          <w:sz w:val="24"/>
          <w:szCs w:val="24"/>
        </w:rPr>
        <w:t>study;</w:t>
      </w:r>
    </w:p>
    <w:p w:rsidR="006A3F77" w:rsidRPr="006A3F77" w:rsidP="006A3F77" w14:paraId="701077FF" w14:textId="77777777">
      <w:pPr>
        <w:pStyle w:val="ListParagraph"/>
        <w:rPr>
          <w:color w:val="000000"/>
          <w:sz w:val="24"/>
          <w:szCs w:val="24"/>
        </w:rPr>
      </w:pPr>
    </w:p>
    <w:p w:rsidR="006A3F77" w:rsidRPr="006A3F77" w:rsidP="006A3F77" w14:paraId="42D8590A" w14:textId="77777777">
      <w:pPr>
        <w:pStyle w:val="ListParagraph"/>
        <w:rPr>
          <w:color w:val="000000"/>
          <w:sz w:val="24"/>
          <w:szCs w:val="24"/>
        </w:rPr>
      </w:pPr>
      <w:r w:rsidRPr="006A3F77">
        <w:rPr>
          <w:color w:val="000000"/>
          <w:sz w:val="24"/>
          <w:szCs w:val="24"/>
        </w:rPr>
        <w:t>This collection is not made in connection with a statistical survey.</w:t>
      </w:r>
    </w:p>
    <w:p w:rsidR="006A3F77" w:rsidRPr="006A3F77" w:rsidP="006A3F77" w14:paraId="00DCA197" w14:textId="77777777">
      <w:pPr>
        <w:pStyle w:val="ListParagraph"/>
        <w:rPr>
          <w:color w:val="000000"/>
          <w:sz w:val="24"/>
          <w:szCs w:val="24"/>
        </w:rPr>
      </w:pPr>
    </w:p>
    <w:p w:rsidR="006A3F77" w:rsidRPr="006A3F77" w:rsidP="006A3F77" w14:paraId="2B2FBFE0" w14:textId="77777777">
      <w:pPr>
        <w:pStyle w:val="ListParagraph"/>
        <w:numPr>
          <w:ilvl w:val="0"/>
          <w:numId w:val="9"/>
        </w:numPr>
        <w:overflowPunct/>
        <w:autoSpaceDE/>
        <w:autoSpaceDN/>
        <w:adjustRightInd/>
        <w:ind w:left="720"/>
        <w:textAlignment w:val="auto"/>
        <w:rPr>
          <w:color w:val="000000"/>
          <w:sz w:val="24"/>
          <w:szCs w:val="24"/>
        </w:rPr>
      </w:pPr>
      <w:r w:rsidRPr="006A3F77">
        <w:rPr>
          <w:b/>
          <w:color w:val="000000"/>
          <w:sz w:val="24"/>
          <w:szCs w:val="24"/>
        </w:rPr>
        <w:t xml:space="preserve">requiring the use of a statistical data classification that has not been reviewed and approved by </w:t>
      </w:r>
      <w:r w:rsidRPr="006A3F77">
        <w:rPr>
          <w:b/>
          <w:color w:val="000000"/>
          <w:sz w:val="24"/>
          <w:szCs w:val="24"/>
        </w:rPr>
        <w:t>OMB;</w:t>
      </w:r>
    </w:p>
    <w:p w:rsidR="006A3F77" w:rsidRPr="006A3F77" w:rsidP="006A3F77" w14:paraId="61E0B9AF" w14:textId="77777777">
      <w:pPr>
        <w:pStyle w:val="ListParagraph"/>
        <w:rPr>
          <w:color w:val="000000"/>
          <w:sz w:val="24"/>
          <w:szCs w:val="24"/>
        </w:rPr>
      </w:pPr>
    </w:p>
    <w:p w:rsidR="006A3F77" w:rsidRPr="006A3F77" w:rsidP="006A3F77" w14:paraId="05405498" w14:textId="77777777">
      <w:pPr>
        <w:pStyle w:val="ListParagraph"/>
        <w:rPr>
          <w:color w:val="000000"/>
          <w:sz w:val="24"/>
          <w:szCs w:val="24"/>
        </w:rPr>
      </w:pPr>
      <w:r w:rsidRPr="006A3F77">
        <w:rPr>
          <w:color w:val="000000"/>
          <w:sz w:val="24"/>
          <w:szCs w:val="24"/>
        </w:rPr>
        <w:t xml:space="preserve">There is no use </w:t>
      </w:r>
      <w:r w:rsidRPr="006A3F77">
        <w:rPr>
          <w:color w:val="000000"/>
          <w:sz w:val="24"/>
          <w:szCs w:val="24"/>
        </w:rPr>
        <w:t>of</w:t>
      </w:r>
      <w:r w:rsidRPr="006A3F77">
        <w:rPr>
          <w:color w:val="000000"/>
          <w:sz w:val="24"/>
          <w:szCs w:val="24"/>
        </w:rPr>
        <w:t xml:space="preserve"> a statistical data classification with this collection.</w:t>
      </w:r>
    </w:p>
    <w:p w:rsidR="006A3F77" w:rsidRPr="006A3F77" w:rsidP="006A3F77" w14:paraId="0FF9F721" w14:textId="77777777">
      <w:pPr>
        <w:pStyle w:val="ListParagraph"/>
        <w:rPr>
          <w:color w:val="000000"/>
          <w:sz w:val="24"/>
          <w:szCs w:val="24"/>
        </w:rPr>
      </w:pPr>
    </w:p>
    <w:p w:rsidR="006A3F77" w:rsidRPr="006A3F77" w:rsidP="006A3F77" w14:paraId="038A7167" w14:textId="77777777">
      <w:pPr>
        <w:pStyle w:val="ListParagraph"/>
        <w:numPr>
          <w:ilvl w:val="0"/>
          <w:numId w:val="9"/>
        </w:numPr>
        <w:overflowPunct/>
        <w:autoSpaceDE/>
        <w:autoSpaceDN/>
        <w:adjustRightInd/>
        <w:ind w:left="720"/>
        <w:textAlignment w:val="auto"/>
        <w:rPr>
          <w:color w:val="000000"/>
          <w:sz w:val="24"/>
          <w:szCs w:val="24"/>
        </w:rPr>
      </w:pPr>
      <w:r w:rsidRPr="006A3F77">
        <w:rPr>
          <w:b/>
          <w:color w:val="000000"/>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6A3F77" w:rsidRPr="006A3F77" w:rsidP="006A3F77" w14:paraId="712D29AC" w14:textId="77777777">
      <w:pPr>
        <w:pStyle w:val="ListParagraph"/>
        <w:rPr>
          <w:color w:val="000000"/>
          <w:sz w:val="24"/>
          <w:szCs w:val="24"/>
        </w:rPr>
      </w:pPr>
    </w:p>
    <w:p w:rsidR="006A3F77" w:rsidRPr="006A3F77" w:rsidP="006A3F77" w14:paraId="6CA4A098" w14:textId="77777777">
      <w:pPr>
        <w:pStyle w:val="ListParagraph"/>
        <w:rPr>
          <w:color w:val="000000"/>
          <w:sz w:val="24"/>
          <w:szCs w:val="24"/>
        </w:rPr>
      </w:pPr>
      <w:r w:rsidRPr="006A3F77">
        <w:rPr>
          <w:color w:val="000000"/>
          <w:sz w:val="24"/>
          <w:szCs w:val="24"/>
        </w:rPr>
        <w:t>There is no pledge of confidentiality that is not supported by authority established in statute or regulation.</w:t>
      </w:r>
    </w:p>
    <w:p w:rsidR="006A3F77" w:rsidRPr="006A3F77" w:rsidP="006A3F77" w14:paraId="02B1E3D4" w14:textId="77777777">
      <w:pPr>
        <w:pStyle w:val="ListParagraph"/>
        <w:rPr>
          <w:color w:val="000000"/>
          <w:sz w:val="24"/>
          <w:szCs w:val="24"/>
        </w:rPr>
      </w:pPr>
    </w:p>
    <w:p w:rsidR="006A3F77" w:rsidRPr="006A3F77" w:rsidP="006A3F77" w14:paraId="7D7DF22F" w14:textId="77777777">
      <w:pPr>
        <w:pStyle w:val="ListParagraph"/>
        <w:numPr>
          <w:ilvl w:val="0"/>
          <w:numId w:val="9"/>
        </w:numPr>
        <w:overflowPunct/>
        <w:autoSpaceDE/>
        <w:autoSpaceDN/>
        <w:adjustRightInd/>
        <w:ind w:left="720"/>
        <w:textAlignment w:val="auto"/>
        <w:rPr>
          <w:color w:val="000000"/>
          <w:sz w:val="24"/>
          <w:szCs w:val="24"/>
        </w:rPr>
      </w:pPr>
      <w:r w:rsidRPr="006A3F77">
        <w:rPr>
          <w:b/>
          <w:color w:val="000000"/>
          <w:sz w:val="24"/>
          <w:szCs w:val="24"/>
        </w:rPr>
        <w:t xml:space="preserve">requiring respondents to submit proprietary trade </w:t>
      </w:r>
      <w:r w:rsidRPr="006A3F77">
        <w:rPr>
          <w:b/>
          <w:color w:val="000000"/>
          <w:sz w:val="24"/>
          <w:szCs w:val="24"/>
        </w:rPr>
        <w:t>secret</w:t>
      </w:r>
      <w:r w:rsidRPr="006A3F77">
        <w:rPr>
          <w:b/>
          <w:color w:val="000000"/>
          <w:sz w:val="24"/>
          <w:szCs w:val="24"/>
        </w:rPr>
        <w:t>, or other confidential information unless the agency can demonstrate that it has instituted procedures to protect the information’s confidentiality to the extent permitted by law.</w:t>
      </w:r>
    </w:p>
    <w:p w:rsidR="006A3F77" w:rsidRPr="006A3F77" w:rsidP="006A3F77" w14:paraId="63C101CA" w14:textId="77777777">
      <w:pPr>
        <w:pStyle w:val="ListParagraph"/>
        <w:rPr>
          <w:color w:val="000000"/>
          <w:sz w:val="24"/>
          <w:szCs w:val="24"/>
        </w:rPr>
      </w:pPr>
    </w:p>
    <w:p w:rsidR="006A3F77" w:rsidRPr="006A3F77" w:rsidP="006A3F77" w14:paraId="7E6E97F1" w14:textId="77777777">
      <w:pPr>
        <w:pStyle w:val="ListParagraph"/>
        <w:rPr>
          <w:color w:val="000000"/>
          <w:sz w:val="24"/>
          <w:szCs w:val="24"/>
        </w:rPr>
      </w:pPr>
      <w:r w:rsidRPr="006A3F77">
        <w:rPr>
          <w:color w:val="000000"/>
          <w:sz w:val="24"/>
          <w:szCs w:val="24"/>
        </w:rPr>
        <w:t xml:space="preserve">There is no requirement for respondents to submit proprietary trade secrets, or other confidential information.  </w:t>
      </w:r>
    </w:p>
    <w:p w:rsidR="00DD1CCE" w:rsidP="00DD1CCE" w14:paraId="40ED096E" w14:textId="77777777">
      <w:pPr>
        <w:tabs>
          <w:tab w:val="left" w:pos="360"/>
        </w:tabs>
        <w:ind w:left="360" w:hanging="360"/>
        <w:rPr>
          <w:b/>
          <w:bCs/>
          <w:sz w:val="24"/>
          <w:szCs w:val="24"/>
        </w:rPr>
      </w:pPr>
    </w:p>
    <w:p w:rsidR="00EF2869" w:rsidRPr="00DD1CCE" w:rsidP="00DD1CCE" w14:paraId="16BAF7B4" w14:textId="77777777">
      <w:pPr>
        <w:tabs>
          <w:tab w:val="left" w:pos="360"/>
        </w:tabs>
        <w:ind w:left="360" w:hanging="360"/>
        <w:rPr>
          <w:b/>
          <w:bCs/>
          <w:sz w:val="24"/>
          <w:szCs w:val="24"/>
        </w:rPr>
      </w:pPr>
    </w:p>
    <w:p w:rsidR="00DD1CCE" w:rsidRPr="00DD1CCE" w:rsidP="00DD1CCE" w14:paraId="608F9CE5" w14:textId="77777777">
      <w:pPr>
        <w:numPr>
          <w:ilvl w:val="0"/>
          <w:numId w:val="1"/>
        </w:numPr>
        <w:tabs>
          <w:tab w:val="left" w:pos="360"/>
        </w:tabs>
        <w:rPr>
          <w:b/>
          <w:bCs/>
          <w:sz w:val="24"/>
          <w:szCs w:val="24"/>
        </w:rPr>
      </w:pPr>
      <w:r w:rsidRPr="00DD1CCE">
        <w:rPr>
          <w:b/>
          <w:bCs/>
          <w:sz w:val="24"/>
          <w:szCs w:val="24"/>
        </w:rPr>
        <w:t xml:space="preserve">If applicable, provide a copy and identify the date and page number of </w:t>
      </w:r>
      <w:r w:rsidRPr="00DD1CCE">
        <w:rPr>
          <w:b/>
          <w:bCs/>
          <w:sz w:val="24"/>
          <w:szCs w:val="24"/>
        </w:rPr>
        <w:t>publication</w:t>
      </w:r>
      <w:r w:rsidRPr="00DD1CCE">
        <w:rPr>
          <w:b/>
          <w:bCs/>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A3F77" w:rsidRPr="00DD1CCE" w:rsidP="006A3F77" w14:paraId="75BD2677" w14:textId="77777777">
      <w:pPr>
        <w:tabs>
          <w:tab w:val="left" w:pos="360"/>
        </w:tabs>
        <w:rPr>
          <w:b/>
          <w:bCs/>
          <w:sz w:val="24"/>
          <w:szCs w:val="24"/>
        </w:rPr>
      </w:pPr>
    </w:p>
    <w:p w:rsidR="00DD1CCE" w:rsidRPr="00DD1CCE" w:rsidP="00DD1CCE" w14:paraId="3B8505C5" w14:textId="77777777">
      <w:pPr>
        <w:numPr>
          <w:ilvl w:val="0"/>
          <w:numId w:val="2"/>
        </w:numPr>
        <w:tabs>
          <w:tab w:val="left" w:pos="360"/>
        </w:tabs>
        <w:ind w:left="480"/>
        <w:rPr>
          <w:b/>
          <w:bCs/>
          <w:sz w:val="24"/>
          <w:szCs w:val="24"/>
        </w:rPr>
      </w:pPr>
      <w:r w:rsidRPr="00DD1CCE">
        <w:rPr>
          <w:b/>
          <w:bCs/>
          <w:sz w:val="24"/>
          <w:szCs w:val="24"/>
        </w:rPr>
        <w:t xml:space="preserve">Describe efforts to consult with </w:t>
      </w:r>
      <w:r w:rsidRPr="00DD1CCE">
        <w:rPr>
          <w:b/>
          <w:bCs/>
          <w:sz w:val="24"/>
          <w:szCs w:val="24"/>
        </w:rPr>
        <w:t>persons</w:t>
      </w:r>
      <w:r w:rsidRPr="00DD1CCE">
        <w:rPr>
          <w:b/>
          <w:bCs/>
          <w:sz w:val="24"/>
          <w:szCs w:val="24"/>
        </w:rPr>
        <w:t xml:space="preserve"> outside the agency to obtain their views on the availability of data, frequency of collection, the clarity of instructions and recordkeeping disclosure, or reporting format (if any) and the data elements to be recorded, disclosed, or reported.</w:t>
      </w:r>
    </w:p>
    <w:p w:rsidR="00DD1CCE" w:rsidRPr="00DD1CCE" w:rsidP="00DD1CCE" w14:paraId="793B2F48" w14:textId="77777777">
      <w:pPr>
        <w:keepLines/>
        <w:tabs>
          <w:tab w:val="left" w:pos="360"/>
        </w:tabs>
        <w:spacing w:after="80"/>
        <w:ind w:left="480"/>
        <w:rPr>
          <w:b/>
          <w:bCs/>
          <w:sz w:val="24"/>
          <w:szCs w:val="24"/>
        </w:rPr>
      </w:pPr>
    </w:p>
    <w:p w:rsidR="00DD1CCE" w:rsidRPr="00DD1CCE" w:rsidP="00DD1CCE" w14:paraId="6E91C4DB" w14:textId="77777777">
      <w:pPr>
        <w:keepLines/>
        <w:numPr>
          <w:ilvl w:val="0"/>
          <w:numId w:val="2"/>
        </w:numPr>
        <w:tabs>
          <w:tab w:val="left" w:pos="360"/>
        </w:tabs>
        <w:spacing w:after="80"/>
        <w:ind w:left="480"/>
        <w:rPr>
          <w:b/>
          <w:bCs/>
          <w:sz w:val="24"/>
          <w:szCs w:val="24"/>
        </w:rPr>
      </w:pPr>
      <w:r w:rsidRPr="00DD1CCE">
        <w:rPr>
          <w:b/>
          <w:bCs/>
          <w:sz w:val="24"/>
          <w:szCs w:val="24"/>
        </w:rPr>
        <w:t>Consultation</w:t>
      </w:r>
      <w:r w:rsidRPr="00DD1CCE">
        <w:rPr>
          <w:b/>
          <w:bCs/>
          <w:sz w:val="24"/>
          <w:szCs w:val="24"/>
        </w:rPr>
        <w:t xml:space="preserve">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DD1CCE" w:rsidP="00DD1CCE" w14:paraId="6939EE62" w14:textId="77777777">
      <w:pPr>
        <w:tabs>
          <w:tab w:val="left" w:pos="360"/>
        </w:tabs>
        <w:ind w:left="360" w:hanging="360"/>
        <w:rPr>
          <w:b/>
          <w:bCs/>
          <w:sz w:val="24"/>
          <w:szCs w:val="24"/>
        </w:rPr>
      </w:pPr>
    </w:p>
    <w:p w:rsidR="006A3F77" w:rsidP="00EF2869" w14:paraId="7ACAEFDF" w14:textId="167FD70C">
      <w:pPr>
        <w:tabs>
          <w:tab w:val="left" w:pos="360"/>
        </w:tabs>
        <w:ind w:left="336"/>
        <w:rPr>
          <w:sz w:val="24"/>
          <w:szCs w:val="24"/>
        </w:rPr>
      </w:pPr>
      <w:r w:rsidRPr="006A3F77">
        <w:rPr>
          <w:sz w:val="24"/>
          <w:szCs w:val="24"/>
        </w:rPr>
        <w:t xml:space="preserve">In accordance with 5CFR 1320.8(d), this information collection soliciting public comments was announced in the Federal Register on </w:t>
      </w:r>
      <w:r w:rsidR="009A1A88">
        <w:rPr>
          <w:i/>
          <w:iCs/>
          <w:sz w:val="24"/>
          <w:szCs w:val="24"/>
        </w:rPr>
        <w:t>October</w:t>
      </w:r>
      <w:r w:rsidRPr="006A3F77">
        <w:rPr>
          <w:i/>
          <w:iCs/>
          <w:sz w:val="24"/>
          <w:szCs w:val="24"/>
        </w:rPr>
        <w:t xml:space="preserve"> </w:t>
      </w:r>
      <w:r w:rsidR="009A1A88">
        <w:rPr>
          <w:i/>
          <w:iCs/>
          <w:sz w:val="24"/>
          <w:szCs w:val="24"/>
        </w:rPr>
        <w:t>31</w:t>
      </w:r>
      <w:r w:rsidRPr="006A3F77">
        <w:rPr>
          <w:i/>
          <w:iCs/>
          <w:sz w:val="24"/>
          <w:szCs w:val="24"/>
        </w:rPr>
        <w:t xml:space="preserve">, </w:t>
      </w:r>
      <w:r w:rsidR="009A1A88">
        <w:rPr>
          <w:i/>
          <w:iCs/>
          <w:sz w:val="24"/>
          <w:szCs w:val="24"/>
        </w:rPr>
        <w:t>2024</w:t>
      </w:r>
      <w:r w:rsidRPr="006A3F77">
        <w:rPr>
          <w:sz w:val="24"/>
          <w:szCs w:val="24"/>
        </w:rPr>
        <w:t xml:space="preserve">, Volume </w:t>
      </w:r>
      <w:r w:rsidRPr="006A3F77">
        <w:rPr>
          <w:i/>
          <w:iCs/>
          <w:sz w:val="24"/>
          <w:szCs w:val="24"/>
        </w:rPr>
        <w:t>8</w:t>
      </w:r>
      <w:r w:rsidR="009A1A88">
        <w:rPr>
          <w:i/>
          <w:iCs/>
          <w:sz w:val="24"/>
          <w:szCs w:val="24"/>
        </w:rPr>
        <w:t>9</w:t>
      </w:r>
      <w:r w:rsidRPr="006A3F77">
        <w:rPr>
          <w:sz w:val="24"/>
          <w:szCs w:val="24"/>
        </w:rPr>
        <w:t xml:space="preserve">, No. </w:t>
      </w:r>
      <w:r w:rsidR="009A1A88">
        <w:rPr>
          <w:i/>
          <w:iCs/>
          <w:sz w:val="24"/>
          <w:szCs w:val="24"/>
        </w:rPr>
        <w:t>211</w:t>
      </w:r>
      <w:r w:rsidRPr="006A3F77">
        <w:rPr>
          <w:sz w:val="24"/>
          <w:szCs w:val="24"/>
        </w:rPr>
        <w:t xml:space="preserve">, Page </w:t>
      </w:r>
      <w:r w:rsidR="009A1A88">
        <w:rPr>
          <w:i/>
          <w:iCs/>
          <w:sz w:val="24"/>
          <w:szCs w:val="24"/>
        </w:rPr>
        <w:t>86835</w:t>
      </w:r>
      <w:r w:rsidRPr="006A3F77">
        <w:rPr>
          <w:sz w:val="24"/>
          <w:szCs w:val="24"/>
        </w:rPr>
        <w:t>.  (</w:t>
      </w:r>
      <w:r w:rsidR="00271DCA">
        <w:rPr>
          <w:sz w:val="24"/>
          <w:szCs w:val="24"/>
        </w:rPr>
        <w:t>1</w:t>
      </w:r>
      <w:r w:rsidRPr="006A3F77">
        <w:rPr>
          <w:sz w:val="24"/>
          <w:szCs w:val="24"/>
        </w:rPr>
        <w:t>) Comment received.</w:t>
      </w:r>
    </w:p>
    <w:p w:rsidR="001241D0" w:rsidP="00EF2869" w14:paraId="714791B9" w14:textId="5E5CD9FC">
      <w:pPr>
        <w:tabs>
          <w:tab w:val="left" w:pos="360"/>
        </w:tabs>
        <w:ind w:left="336"/>
        <w:rPr>
          <w:sz w:val="24"/>
          <w:szCs w:val="24"/>
        </w:rPr>
      </w:pPr>
    </w:p>
    <w:p w:rsidR="001241D0" w:rsidP="00EF2869" w14:paraId="0D2C8C02" w14:textId="68F47E69">
      <w:pPr>
        <w:tabs>
          <w:tab w:val="left" w:pos="360"/>
        </w:tabs>
        <w:ind w:left="336"/>
        <w:rPr>
          <w:sz w:val="24"/>
          <w:szCs w:val="24"/>
        </w:rPr>
      </w:pPr>
      <w:r>
        <w:rPr>
          <w:sz w:val="24"/>
          <w:szCs w:val="24"/>
        </w:rPr>
        <w:t>On February 28, 2025</w:t>
      </w:r>
      <w:r w:rsidR="00A362CA">
        <w:rPr>
          <w:sz w:val="24"/>
          <w:szCs w:val="24"/>
        </w:rPr>
        <w:t>,</w:t>
      </w:r>
      <w:r w:rsidRPr="00A362CA" w:rsidR="00A362CA">
        <w:rPr>
          <w:sz w:val="24"/>
          <w:szCs w:val="24"/>
        </w:rPr>
        <w:t xml:space="preserve"> </w:t>
      </w:r>
      <w:r w:rsidR="00A362CA">
        <w:rPr>
          <w:sz w:val="24"/>
          <w:szCs w:val="24"/>
        </w:rPr>
        <w:t>during the 30-Day comment period</w:t>
      </w:r>
      <w:r>
        <w:rPr>
          <w:sz w:val="24"/>
          <w:szCs w:val="24"/>
        </w:rPr>
        <w:t xml:space="preserve">, HUD received an email from </w:t>
      </w:r>
      <w:r w:rsidRPr="001241D0">
        <w:rPr>
          <w:sz w:val="24"/>
          <w:szCs w:val="24"/>
        </w:rPr>
        <w:t xml:space="preserve">Scott E. </w:t>
      </w:r>
      <w:r w:rsidRPr="001241D0">
        <w:rPr>
          <w:sz w:val="24"/>
          <w:szCs w:val="24"/>
        </w:rPr>
        <w:t>Fireison</w:t>
      </w:r>
      <w:r>
        <w:rPr>
          <w:sz w:val="24"/>
          <w:szCs w:val="24"/>
        </w:rPr>
        <w:t>, requesting a copy of the PRA pack</w:t>
      </w:r>
      <w:r w:rsidR="00A362CA">
        <w:rPr>
          <w:sz w:val="24"/>
          <w:szCs w:val="24"/>
        </w:rPr>
        <w:t>age</w:t>
      </w:r>
      <w:r>
        <w:rPr>
          <w:sz w:val="24"/>
          <w:szCs w:val="24"/>
        </w:rPr>
        <w:t xml:space="preserve">.  A copy was provided on </w:t>
      </w:r>
      <w:r w:rsidR="00A362CA">
        <w:rPr>
          <w:sz w:val="24"/>
          <w:szCs w:val="24"/>
        </w:rPr>
        <w:t xml:space="preserve">3/12/25, via email and a copy of the response is uploaded into </w:t>
      </w:r>
      <w:r w:rsidR="00A362CA">
        <w:rPr>
          <w:sz w:val="24"/>
          <w:szCs w:val="24"/>
        </w:rPr>
        <w:t>ROCIS</w:t>
      </w:r>
      <w:r w:rsidR="00A362CA">
        <w:rPr>
          <w:sz w:val="24"/>
          <w:szCs w:val="24"/>
        </w:rPr>
        <w:t xml:space="preserve"> system. </w:t>
      </w:r>
    </w:p>
    <w:p w:rsidR="001241D0" w:rsidRPr="006A3F77" w:rsidP="00EF2869" w14:paraId="7B50B3D1" w14:textId="77777777">
      <w:pPr>
        <w:tabs>
          <w:tab w:val="left" w:pos="360"/>
        </w:tabs>
        <w:ind w:left="336"/>
        <w:rPr>
          <w:sz w:val="24"/>
          <w:szCs w:val="24"/>
        </w:rPr>
      </w:pPr>
    </w:p>
    <w:p w:rsidR="006A3F77" w:rsidRPr="00DD1CCE" w:rsidP="00DD1CCE" w14:paraId="779CDA7B" w14:textId="77777777">
      <w:pPr>
        <w:tabs>
          <w:tab w:val="left" w:pos="360"/>
        </w:tabs>
        <w:ind w:left="360" w:hanging="360"/>
        <w:rPr>
          <w:b/>
          <w:bCs/>
          <w:sz w:val="24"/>
          <w:szCs w:val="24"/>
        </w:rPr>
      </w:pPr>
    </w:p>
    <w:p w:rsidR="00DD1CCE" w:rsidRPr="00DD1CCE" w:rsidP="00DD1CCE" w14:paraId="6E7B03EF" w14:textId="77777777">
      <w:pPr>
        <w:keepLines/>
        <w:tabs>
          <w:tab w:val="left" w:pos="360"/>
        </w:tabs>
        <w:spacing w:after="80"/>
        <w:ind w:left="360" w:hanging="360"/>
        <w:rPr>
          <w:b/>
          <w:bCs/>
          <w:sz w:val="24"/>
          <w:szCs w:val="24"/>
        </w:rPr>
      </w:pPr>
      <w:r w:rsidRPr="00DD1CCE">
        <w:rPr>
          <w:b/>
          <w:bCs/>
          <w:sz w:val="24"/>
          <w:szCs w:val="24"/>
        </w:rPr>
        <w:t>9.</w:t>
      </w:r>
      <w:r w:rsidRPr="00DD1CCE">
        <w:rPr>
          <w:b/>
          <w:bCs/>
          <w:sz w:val="24"/>
          <w:szCs w:val="24"/>
        </w:rPr>
        <w:tab/>
        <w:t>Explain any decision to provide any payment or gift to respondents, other than renumeration of contractors or grantees.</w:t>
      </w:r>
    </w:p>
    <w:p w:rsidR="00DD1CCE" w:rsidRPr="006A3F77" w:rsidP="00EF2869" w14:paraId="0052DBF8" w14:textId="4B9839A3">
      <w:pPr>
        <w:tabs>
          <w:tab w:val="left" w:pos="360"/>
        </w:tabs>
        <w:spacing w:before="240"/>
        <w:ind w:left="720" w:hanging="360"/>
        <w:rPr>
          <w:color w:val="000000"/>
          <w:sz w:val="24"/>
        </w:rPr>
      </w:pPr>
      <w:r w:rsidRPr="007A7DED">
        <w:rPr>
          <w:color w:val="000000"/>
          <w:sz w:val="24"/>
        </w:rPr>
        <w:t>No payments or gifts of any kind are provided to respondents.</w:t>
      </w:r>
    </w:p>
    <w:p w:rsidR="006A3F77" w:rsidRPr="00DD1CCE" w:rsidP="00DD1CCE" w14:paraId="450157A9" w14:textId="77777777">
      <w:pPr>
        <w:tabs>
          <w:tab w:val="left" w:pos="360"/>
        </w:tabs>
        <w:ind w:left="360" w:hanging="360"/>
        <w:rPr>
          <w:b/>
          <w:bCs/>
          <w:sz w:val="24"/>
          <w:szCs w:val="24"/>
        </w:rPr>
      </w:pPr>
    </w:p>
    <w:p w:rsidR="00DD1CCE" w:rsidRPr="00DD1CCE" w:rsidP="00DD1CCE" w14:paraId="05CD5B31" w14:textId="77777777">
      <w:pPr>
        <w:keepLines/>
        <w:tabs>
          <w:tab w:val="left" w:pos="360"/>
        </w:tabs>
        <w:spacing w:after="80"/>
        <w:ind w:left="360" w:hanging="360"/>
        <w:rPr>
          <w:b/>
          <w:bCs/>
          <w:sz w:val="24"/>
          <w:szCs w:val="24"/>
        </w:rPr>
      </w:pPr>
      <w:r w:rsidRPr="00DD1CCE">
        <w:rPr>
          <w:b/>
          <w:bCs/>
          <w:sz w:val="24"/>
          <w:szCs w:val="24"/>
        </w:rPr>
        <w:t>10.</w:t>
      </w:r>
      <w:r w:rsidRPr="00DD1CCE">
        <w:rPr>
          <w:b/>
          <w:bCs/>
          <w:sz w:val="24"/>
          <w:szCs w:val="24"/>
        </w:rPr>
        <w:tab/>
        <w:t>Describe any assurance of confidentiality provided to respondents and the basis for assurance in statute, regulation or agency policy.</w:t>
      </w:r>
      <w:r w:rsidRPr="00DD1CCE">
        <w:rPr>
          <w:b/>
          <w:bCs/>
        </w:rPr>
        <w:t xml:space="preserve"> </w:t>
      </w:r>
      <w:r w:rsidRPr="00DD1CCE">
        <w:rPr>
          <w:b/>
          <w:bCs/>
          <w:sz w:val="24"/>
          <w:szCs w:val="24"/>
        </w:rPr>
        <w:t>If the collection requires a system of records notice (SORN) or privacy impact assessment (PIA), those should be cited and described here.</w:t>
      </w:r>
    </w:p>
    <w:p w:rsidR="00DD1CCE" w:rsidRPr="006A3F77" w:rsidP="00EF2869" w14:paraId="32300CB8" w14:textId="3E8CC1C6">
      <w:pPr>
        <w:pStyle w:val="BodyTextIndent"/>
        <w:spacing w:before="240"/>
        <w:ind w:left="720"/>
        <w:rPr>
          <w:color w:val="000000"/>
          <w:sz w:val="24"/>
        </w:rPr>
      </w:pPr>
      <w:r w:rsidRPr="007A7DED">
        <w:rPr>
          <w:b w:val="0"/>
          <w:bCs w:val="0"/>
          <w:color w:val="000000"/>
          <w:sz w:val="24"/>
        </w:rPr>
        <w:t>The Department does not assure confidentiality to respondents</w:t>
      </w:r>
      <w:r w:rsidRPr="007A7DED">
        <w:rPr>
          <w:color w:val="000000"/>
          <w:sz w:val="24"/>
        </w:rPr>
        <w:t>.</w:t>
      </w:r>
    </w:p>
    <w:p w:rsidR="006A3F77" w:rsidRPr="00DD1CCE" w:rsidP="00DD1CCE" w14:paraId="6D852271" w14:textId="77777777">
      <w:pPr>
        <w:tabs>
          <w:tab w:val="left" w:pos="360"/>
        </w:tabs>
        <w:ind w:left="360" w:hanging="360"/>
        <w:rPr>
          <w:b/>
          <w:bCs/>
          <w:sz w:val="24"/>
          <w:szCs w:val="24"/>
        </w:rPr>
      </w:pPr>
    </w:p>
    <w:p w:rsidR="00DD1CCE" w:rsidRPr="00DD1CCE" w:rsidP="006A3F77" w14:paraId="4E5013CC" w14:textId="16728549">
      <w:pPr>
        <w:keepLines/>
        <w:tabs>
          <w:tab w:val="left" w:pos="360"/>
        </w:tabs>
        <w:spacing w:after="80"/>
        <w:ind w:left="360" w:hanging="360"/>
        <w:rPr>
          <w:b/>
          <w:bCs/>
          <w:sz w:val="24"/>
          <w:szCs w:val="24"/>
        </w:rPr>
      </w:pPr>
      <w:r w:rsidRPr="00DD1CCE">
        <w:rPr>
          <w:b/>
          <w:bCs/>
          <w:sz w:val="24"/>
          <w:szCs w:val="24"/>
        </w:rPr>
        <w:t>11.</w:t>
      </w:r>
      <w:r w:rsidRPr="00DD1CCE">
        <w:rPr>
          <w:b/>
          <w:bCs/>
          <w:sz w:val="24"/>
          <w:szCs w:val="24"/>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DD1CCE">
        <w:rPr>
          <w:b/>
          <w:bCs/>
          <w:sz w:val="24"/>
          <w:szCs w:val="24"/>
        </w:rPr>
        <w:t>persons</w:t>
      </w:r>
      <w:r w:rsidRPr="00DD1CCE">
        <w:rPr>
          <w:b/>
          <w:bCs/>
          <w:sz w:val="24"/>
          <w:szCs w:val="24"/>
        </w:rPr>
        <w:t xml:space="preserve"> from whom the information is requested, and any steps to be taken to obtain their consent.</w:t>
      </w:r>
    </w:p>
    <w:p w:rsidR="00DD1CCE" w:rsidRPr="006A3F77" w:rsidP="00EF2869" w14:paraId="71145292" w14:textId="4FD50DA6">
      <w:pPr>
        <w:pStyle w:val="BodyTextIndent"/>
        <w:tabs>
          <w:tab w:val="left" w:pos="-1440"/>
          <w:tab w:val="clear" w:pos="360"/>
        </w:tabs>
        <w:spacing w:before="240"/>
        <w:ind w:left="720"/>
        <w:rPr>
          <w:b w:val="0"/>
          <w:bCs w:val="0"/>
          <w:color w:val="000000"/>
          <w:sz w:val="24"/>
        </w:rPr>
      </w:pPr>
      <w:r w:rsidRPr="007A7DED">
        <w:rPr>
          <w:b w:val="0"/>
          <w:bCs w:val="0"/>
          <w:color w:val="000000"/>
          <w:sz w:val="24"/>
        </w:rPr>
        <w:t>There are no questions of a sensitive nature.</w:t>
      </w:r>
    </w:p>
    <w:p w:rsidR="006A3F77" w:rsidRPr="00DD1CCE" w:rsidP="00DD1CCE" w14:paraId="5B9831FF" w14:textId="77777777">
      <w:pPr>
        <w:tabs>
          <w:tab w:val="left" w:pos="360"/>
        </w:tabs>
        <w:ind w:left="360" w:hanging="360"/>
        <w:rPr>
          <w:b/>
          <w:bCs/>
          <w:sz w:val="24"/>
          <w:szCs w:val="24"/>
        </w:rPr>
      </w:pPr>
    </w:p>
    <w:p w:rsidR="00DD1CCE" w:rsidRPr="00DD1CCE" w:rsidP="00DD1CCE" w14:paraId="33B0A699" w14:textId="77777777">
      <w:pPr>
        <w:tabs>
          <w:tab w:val="left" w:pos="360"/>
        </w:tabs>
        <w:ind w:left="360" w:hanging="360"/>
        <w:rPr>
          <w:b/>
          <w:bCs/>
          <w:sz w:val="24"/>
          <w:szCs w:val="24"/>
        </w:rPr>
      </w:pPr>
      <w:r w:rsidRPr="00DD1CCE">
        <w:rPr>
          <w:b/>
          <w:bCs/>
          <w:sz w:val="24"/>
          <w:szCs w:val="24"/>
        </w:rPr>
        <w:t>12.</w:t>
      </w:r>
      <w:r w:rsidRPr="00DD1CCE">
        <w:rPr>
          <w:b/>
          <w:bCs/>
          <w:sz w:val="24"/>
          <w:szCs w:val="24"/>
        </w:rPr>
        <w:tab/>
        <w:t>Provide estimates of the hour burden of the collection of information.  The statement should:</w:t>
      </w:r>
    </w:p>
    <w:p w:rsidR="00DD1CCE" w:rsidRPr="00DD1CCE" w:rsidP="00DD1CCE" w14:paraId="1AF4034A" w14:textId="77777777">
      <w:pPr>
        <w:tabs>
          <w:tab w:val="left" w:pos="360"/>
        </w:tabs>
        <w:ind w:left="360" w:hanging="360"/>
        <w:rPr>
          <w:b/>
          <w:bCs/>
          <w:sz w:val="24"/>
          <w:szCs w:val="24"/>
        </w:rPr>
      </w:pPr>
      <w:r w:rsidRPr="00DD1CCE">
        <w:rPr>
          <w:b/>
          <w:bCs/>
          <w:sz w:val="24"/>
          <w:szCs w:val="24"/>
        </w:rPr>
        <w:t xml:space="preserve"> </w:t>
      </w:r>
    </w:p>
    <w:p w:rsidR="00DD1CCE" w:rsidRPr="00DD1CCE" w:rsidP="00DD1CCE" w14:paraId="1E2F0135" w14:textId="77777777">
      <w:pPr>
        <w:numPr>
          <w:ilvl w:val="0"/>
          <w:numId w:val="2"/>
        </w:numPr>
        <w:tabs>
          <w:tab w:val="left" w:pos="480"/>
        </w:tabs>
        <w:ind w:left="480"/>
        <w:rPr>
          <w:b/>
          <w:bCs/>
          <w:sz w:val="24"/>
          <w:szCs w:val="24"/>
        </w:rPr>
      </w:pPr>
      <w:r w:rsidRPr="00DD1CCE">
        <w:rPr>
          <w:b/>
          <w:bCs/>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w:t>
      </w:r>
      <w:r w:rsidRPr="00DD1CCE">
        <w:rPr>
          <w:b/>
          <w:bCs/>
          <w:sz w:val="24"/>
          <w:szCs w:val="24"/>
        </w:rPr>
        <w:t>practices;</w:t>
      </w:r>
      <w:r w:rsidRPr="00DD1CCE">
        <w:rPr>
          <w:b/>
          <w:bCs/>
          <w:sz w:val="24"/>
          <w:szCs w:val="24"/>
        </w:rPr>
        <w:t xml:space="preserve"> </w:t>
      </w:r>
    </w:p>
    <w:p w:rsidR="00DD1CCE" w:rsidRPr="00DD1CCE" w:rsidP="00DD1CCE" w14:paraId="0C4E0122" w14:textId="77777777">
      <w:pPr>
        <w:numPr>
          <w:ilvl w:val="0"/>
          <w:numId w:val="2"/>
        </w:numPr>
        <w:tabs>
          <w:tab w:val="left" w:pos="480"/>
        </w:tabs>
        <w:ind w:left="480"/>
        <w:rPr>
          <w:b/>
          <w:bCs/>
          <w:sz w:val="24"/>
          <w:szCs w:val="24"/>
        </w:rPr>
      </w:pPr>
      <w:r w:rsidRPr="00DD1CCE">
        <w:rPr>
          <w:b/>
          <w:bCs/>
          <w:sz w:val="24"/>
          <w:szCs w:val="24"/>
        </w:rPr>
        <w:t xml:space="preserve">If this request covers more than one form, provide separate hour burden estimates for each form and aggregate the hour burdens in </w:t>
      </w:r>
      <w:r w:rsidRPr="00DD1CCE">
        <w:rPr>
          <w:b/>
          <w:bCs/>
          <w:sz w:val="24"/>
          <w:szCs w:val="24"/>
        </w:rPr>
        <w:t>chart</w:t>
      </w:r>
      <w:r w:rsidRPr="00DD1CCE">
        <w:rPr>
          <w:b/>
          <w:bCs/>
          <w:sz w:val="24"/>
          <w:szCs w:val="24"/>
        </w:rPr>
        <w:t xml:space="preserve"> below; and </w:t>
      </w:r>
    </w:p>
    <w:p w:rsidR="00DD1CCE" w:rsidRPr="00DD1CCE" w:rsidP="00DD1CCE" w14:paraId="278E35A4" w14:textId="77777777">
      <w:pPr>
        <w:keepLines/>
        <w:numPr>
          <w:ilvl w:val="0"/>
          <w:numId w:val="2"/>
        </w:numPr>
        <w:tabs>
          <w:tab w:val="left" w:pos="480"/>
        </w:tabs>
        <w:spacing w:after="80"/>
        <w:ind w:left="480"/>
        <w:rPr>
          <w:b/>
          <w:bCs/>
          <w:sz w:val="24"/>
          <w:szCs w:val="24"/>
        </w:rPr>
      </w:pPr>
      <w:r w:rsidRPr="00DD1CCE">
        <w:rPr>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DD1CCE" w:rsidRPr="00DD1CCE" w:rsidP="00DD1CCE" w14:paraId="15ACA893" w14:textId="77777777">
      <w:pPr>
        <w:keepLines/>
        <w:tabs>
          <w:tab w:val="left" w:pos="480"/>
        </w:tabs>
        <w:spacing w:after="80"/>
        <w:ind w:left="480"/>
        <w:rPr>
          <w:b/>
          <w:bCs/>
          <w:sz w:val="24"/>
          <w:szCs w:val="24"/>
        </w:rPr>
      </w:pPr>
    </w:p>
    <w:tbl>
      <w:tblPr>
        <w:tblW w:w="10243" w:type="dxa"/>
        <w:tblInd w:w="-108" w:type="dxa"/>
        <w:tblLook w:val="04A0"/>
      </w:tblPr>
      <w:tblGrid>
        <w:gridCol w:w="1728"/>
        <w:gridCol w:w="1318"/>
        <w:gridCol w:w="1166"/>
        <w:gridCol w:w="1178"/>
        <w:gridCol w:w="1168"/>
        <w:gridCol w:w="1168"/>
        <w:gridCol w:w="989"/>
        <w:gridCol w:w="1528"/>
      </w:tblGrid>
      <w:tr w14:paraId="3041EB7D" w14:textId="77777777" w:rsidTr="00EF2869">
        <w:tblPrEx>
          <w:tblW w:w="10243" w:type="dxa"/>
          <w:tblInd w:w="-108" w:type="dxa"/>
          <w:tblLook w:val="04A0"/>
        </w:tblPrEx>
        <w:trPr>
          <w:trHeight w:val="288"/>
        </w:trPr>
        <w:tc>
          <w:tcPr>
            <w:tcW w:w="1728" w:type="dxa"/>
            <w:tcBorders>
              <w:top w:val="nil"/>
              <w:left w:val="nil"/>
              <w:bottom w:val="nil"/>
              <w:right w:val="nil"/>
            </w:tcBorders>
            <w:shd w:val="clear" w:color="auto" w:fill="auto"/>
            <w:noWrap/>
            <w:vAlign w:val="bottom"/>
            <w:hideMark/>
          </w:tcPr>
          <w:p w:rsidR="006A3F77" w:rsidRPr="007A7DED" w:rsidP="00212ABE" w14:paraId="2B159008" w14:textId="77777777">
            <w:pPr>
              <w:overflowPunct/>
              <w:autoSpaceDE/>
              <w:autoSpaceDN/>
              <w:adjustRightInd/>
              <w:textAlignment w:val="auto"/>
              <w:rPr>
                <w:rFonts w:cs="Calibri"/>
                <w:color w:val="000000"/>
                <w:sz w:val="24"/>
                <w:szCs w:val="22"/>
              </w:rPr>
            </w:pPr>
            <w:bookmarkStart w:id="0" w:name="_Hlk189493751"/>
          </w:p>
        </w:tc>
        <w:tc>
          <w:tcPr>
            <w:tcW w:w="8515" w:type="dxa"/>
            <w:gridSpan w:val="7"/>
            <w:tcBorders>
              <w:top w:val="nil"/>
              <w:left w:val="nil"/>
              <w:bottom w:val="nil"/>
              <w:right w:val="nil"/>
            </w:tcBorders>
            <w:shd w:val="clear" w:color="auto" w:fill="auto"/>
            <w:noWrap/>
            <w:vAlign w:val="bottom"/>
            <w:hideMark/>
          </w:tcPr>
          <w:p w:rsidR="006A3F77" w:rsidRPr="007A7DED" w:rsidP="00074822" w14:paraId="754341D8" w14:textId="1695DEB6">
            <w:pPr>
              <w:overflowPunct/>
              <w:autoSpaceDE/>
              <w:autoSpaceDN/>
              <w:adjustRightInd/>
              <w:textAlignment w:val="auto"/>
              <w:rPr>
                <w:rFonts w:cs="Calibri"/>
                <w:b/>
                <w:bCs/>
                <w:color w:val="000000"/>
                <w:sz w:val="24"/>
                <w:szCs w:val="22"/>
              </w:rPr>
            </w:pPr>
            <w:r w:rsidRPr="007A7DED">
              <w:rPr>
                <w:rFonts w:cs="Calibri"/>
                <w:b/>
                <w:bCs/>
                <w:color w:val="000000"/>
                <w:sz w:val="24"/>
                <w:szCs w:val="22"/>
              </w:rPr>
              <w:t xml:space="preserve">Estimates of the Hour </w:t>
            </w:r>
            <w:r>
              <w:rPr>
                <w:rFonts w:cs="Calibri"/>
                <w:b/>
                <w:bCs/>
                <w:color w:val="000000"/>
                <w:sz w:val="24"/>
                <w:szCs w:val="22"/>
              </w:rPr>
              <w:t>B</w:t>
            </w:r>
            <w:r w:rsidRPr="007A7DED">
              <w:rPr>
                <w:rFonts w:cs="Calibri"/>
                <w:b/>
                <w:bCs/>
                <w:color w:val="000000"/>
                <w:sz w:val="24"/>
                <w:szCs w:val="22"/>
              </w:rPr>
              <w:t>urden of the Collection of Information</w:t>
            </w:r>
          </w:p>
        </w:tc>
      </w:tr>
      <w:tr w14:paraId="237BE5D1" w14:textId="77777777" w:rsidTr="00EF2869">
        <w:tblPrEx>
          <w:tblW w:w="10243" w:type="dxa"/>
          <w:tblInd w:w="-108" w:type="dxa"/>
          <w:tblLook w:val="04A0"/>
        </w:tblPrEx>
        <w:trPr>
          <w:trHeight w:val="138"/>
        </w:trPr>
        <w:tc>
          <w:tcPr>
            <w:tcW w:w="1728" w:type="dxa"/>
            <w:tcBorders>
              <w:top w:val="nil"/>
              <w:left w:val="nil"/>
              <w:bottom w:val="nil"/>
              <w:right w:val="nil"/>
            </w:tcBorders>
            <w:shd w:val="clear" w:color="auto" w:fill="auto"/>
            <w:noWrap/>
            <w:vAlign w:val="bottom"/>
            <w:hideMark/>
          </w:tcPr>
          <w:p w:rsidR="006A3F77" w:rsidRPr="007A7DED" w:rsidP="00212ABE" w14:paraId="6BF3E32A" w14:textId="77777777">
            <w:pPr>
              <w:overflowPunct/>
              <w:autoSpaceDE/>
              <w:autoSpaceDN/>
              <w:adjustRightInd/>
              <w:textAlignment w:val="auto"/>
              <w:rPr>
                <w:rFonts w:cs="Calibri"/>
                <w:color w:val="000000"/>
                <w:sz w:val="24"/>
                <w:szCs w:val="22"/>
              </w:rPr>
            </w:pPr>
          </w:p>
        </w:tc>
        <w:tc>
          <w:tcPr>
            <w:tcW w:w="1318" w:type="dxa"/>
            <w:tcBorders>
              <w:top w:val="nil"/>
              <w:left w:val="nil"/>
              <w:bottom w:val="nil"/>
              <w:right w:val="nil"/>
            </w:tcBorders>
            <w:shd w:val="clear" w:color="auto" w:fill="auto"/>
            <w:noWrap/>
            <w:vAlign w:val="bottom"/>
            <w:hideMark/>
          </w:tcPr>
          <w:p w:rsidR="006A3F77" w:rsidRPr="007A7DED" w:rsidP="00212ABE" w14:paraId="065EAA69" w14:textId="77777777">
            <w:pPr>
              <w:overflowPunct/>
              <w:autoSpaceDE/>
              <w:autoSpaceDN/>
              <w:adjustRightInd/>
              <w:textAlignment w:val="auto"/>
              <w:rPr>
                <w:rFonts w:cs="Calibri"/>
                <w:color w:val="000000"/>
                <w:sz w:val="24"/>
                <w:szCs w:val="22"/>
              </w:rPr>
            </w:pPr>
          </w:p>
        </w:tc>
        <w:tc>
          <w:tcPr>
            <w:tcW w:w="1166" w:type="dxa"/>
            <w:tcBorders>
              <w:top w:val="nil"/>
              <w:left w:val="nil"/>
              <w:bottom w:val="nil"/>
              <w:right w:val="nil"/>
            </w:tcBorders>
            <w:shd w:val="clear" w:color="auto" w:fill="auto"/>
            <w:noWrap/>
            <w:vAlign w:val="bottom"/>
            <w:hideMark/>
          </w:tcPr>
          <w:p w:rsidR="006A3F77" w:rsidRPr="007A7DED" w:rsidP="00212ABE" w14:paraId="78BC4433" w14:textId="77777777">
            <w:pPr>
              <w:overflowPunct/>
              <w:autoSpaceDE/>
              <w:autoSpaceDN/>
              <w:adjustRightInd/>
              <w:textAlignment w:val="auto"/>
              <w:rPr>
                <w:rFonts w:cs="Calibri"/>
                <w:color w:val="000000"/>
                <w:sz w:val="24"/>
                <w:szCs w:val="22"/>
              </w:rPr>
            </w:pPr>
          </w:p>
        </w:tc>
        <w:tc>
          <w:tcPr>
            <w:tcW w:w="1178" w:type="dxa"/>
            <w:tcBorders>
              <w:top w:val="nil"/>
              <w:left w:val="nil"/>
              <w:bottom w:val="nil"/>
              <w:right w:val="nil"/>
            </w:tcBorders>
            <w:shd w:val="clear" w:color="auto" w:fill="auto"/>
            <w:noWrap/>
            <w:vAlign w:val="bottom"/>
            <w:hideMark/>
          </w:tcPr>
          <w:p w:rsidR="006A3F77" w:rsidRPr="007A7DED" w:rsidP="00212ABE" w14:paraId="6991525C" w14:textId="77777777">
            <w:pPr>
              <w:overflowPunct/>
              <w:autoSpaceDE/>
              <w:autoSpaceDN/>
              <w:adjustRightInd/>
              <w:textAlignment w:val="auto"/>
              <w:rPr>
                <w:rFonts w:cs="Calibri"/>
                <w:color w:val="000000"/>
                <w:sz w:val="24"/>
                <w:szCs w:val="22"/>
              </w:rPr>
            </w:pPr>
          </w:p>
        </w:tc>
        <w:tc>
          <w:tcPr>
            <w:tcW w:w="1168" w:type="dxa"/>
            <w:tcBorders>
              <w:top w:val="nil"/>
              <w:left w:val="nil"/>
              <w:bottom w:val="nil"/>
              <w:right w:val="nil"/>
            </w:tcBorders>
            <w:shd w:val="clear" w:color="auto" w:fill="auto"/>
            <w:noWrap/>
            <w:vAlign w:val="bottom"/>
            <w:hideMark/>
          </w:tcPr>
          <w:p w:rsidR="006A3F77" w:rsidRPr="007A7DED" w:rsidP="00212ABE" w14:paraId="07117AC0" w14:textId="77777777">
            <w:pPr>
              <w:overflowPunct/>
              <w:autoSpaceDE/>
              <w:autoSpaceDN/>
              <w:adjustRightInd/>
              <w:textAlignment w:val="auto"/>
              <w:rPr>
                <w:rFonts w:cs="Calibri"/>
                <w:color w:val="000000"/>
                <w:sz w:val="24"/>
                <w:szCs w:val="22"/>
              </w:rPr>
            </w:pPr>
          </w:p>
        </w:tc>
        <w:tc>
          <w:tcPr>
            <w:tcW w:w="1168" w:type="dxa"/>
            <w:tcBorders>
              <w:top w:val="nil"/>
              <w:left w:val="nil"/>
              <w:bottom w:val="nil"/>
              <w:right w:val="nil"/>
            </w:tcBorders>
            <w:shd w:val="clear" w:color="auto" w:fill="auto"/>
            <w:noWrap/>
            <w:vAlign w:val="bottom"/>
            <w:hideMark/>
          </w:tcPr>
          <w:p w:rsidR="006A3F77" w:rsidRPr="007A7DED" w:rsidP="00212ABE" w14:paraId="449EDDBC" w14:textId="77777777">
            <w:pPr>
              <w:overflowPunct/>
              <w:autoSpaceDE/>
              <w:autoSpaceDN/>
              <w:adjustRightInd/>
              <w:textAlignment w:val="auto"/>
              <w:rPr>
                <w:rFonts w:cs="Calibri"/>
                <w:color w:val="000000"/>
                <w:sz w:val="24"/>
                <w:szCs w:val="22"/>
              </w:rPr>
            </w:pPr>
          </w:p>
        </w:tc>
        <w:tc>
          <w:tcPr>
            <w:tcW w:w="989" w:type="dxa"/>
            <w:tcBorders>
              <w:top w:val="nil"/>
              <w:left w:val="nil"/>
              <w:bottom w:val="nil"/>
              <w:right w:val="nil"/>
            </w:tcBorders>
            <w:shd w:val="clear" w:color="auto" w:fill="auto"/>
            <w:noWrap/>
            <w:vAlign w:val="bottom"/>
            <w:hideMark/>
          </w:tcPr>
          <w:p w:rsidR="006A3F77" w:rsidRPr="007A7DED" w:rsidP="00212ABE" w14:paraId="1DAD41CD" w14:textId="77777777">
            <w:pPr>
              <w:overflowPunct/>
              <w:autoSpaceDE/>
              <w:autoSpaceDN/>
              <w:adjustRightInd/>
              <w:textAlignment w:val="auto"/>
              <w:rPr>
                <w:rFonts w:cs="Calibri"/>
                <w:color w:val="000000"/>
                <w:sz w:val="24"/>
                <w:szCs w:val="22"/>
              </w:rPr>
            </w:pPr>
          </w:p>
        </w:tc>
        <w:tc>
          <w:tcPr>
            <w:tcW w:w="1528" w:type="dxa"/>
            <w:tcBorders>
              <w:top w:val="nil"/>
              <w:left w:val="nil"/>
              <w:bottom w:val="nil"/>
              <w:right w:val="nil"/>
            </w:tcBorders>
            <w:shd w:val="clear" w:color="auto" w:fill="auto"/>
            <w:noWrap/>
            <w:vAlign w:val="bottom"/>
            <w:hideMark/>
          </w:tcPr>
          <w:p w:rsidR="006A3F77" w:rsidRPr="007A7DED" w:rsidP="00212ABE" w14:paraId="1AC21A69" w14:textId="77777777">
            <w:pPr>
              <w:overflowPunct/>
              <w:autoSpaceDE/>
              <w:autoSpaceDN/>
              <w:adjustRightInd/>
              <w:textAlignment w:val="auto"/>
              <w:rPr>
                <w:rFonts w:cs="Calibri"/>
                <w:color w:val="000000"/>
                <w:sz w:val="24"/>
                <w:szCs w:val="22"/>
              </w:rPr>
            </w:pPr>
          </w:p>
        </w:tc>
      </w:tr>
      <w:tr w14:paraId="3E5C794E" w14:textId="77777777" w:rsidTr="00EF2869">
        <w:tblPrEx>
          <w:tblW w:w="10243" w:type="dxa"/>
          <w:tblInd w:w="-108" w:type="dxa"/>
          <w:tblLook w:val="04A0"/>
        </w:tblPrEx>
        <w:trPr>
          <w:trHeight w:val="864"/>
        </w:trPr>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6A3F77" w:rsidRPr="00BE7F3B" w:rsidP="00212ABE" w14:paraId="632C5B31" w14:textId="77777777">
            <w:pPr>
              <w:overflowPunct/>
              <w:autoSpaceDE/>
              <w:autoSpaceDN/>
              <w:adjustRightInd/>
              <w:jc w:val="center"/>
              <w:textAlignment w:val="auto"/>
              <w:rPr>
                <w:rFonts w:cs="Calibri"/>
                <w:b/>
                <w:bCs/>
                <w:color w:val="000000"/>
              </w:rPr>
            </w:pPr>
            <w:r w:rsidRPr="00BE7F3B">
              <w:rPr>
                <w:rFonts w:cs="Calibri"/>
                <w:b/>
                <w:bCs/>
                <w:color w:val="000000"/>
              </w:rPr>
              <w:t>Information</w:t>
            </w:r>
            <w:r w:rsidRPr="00BE7F3B">
              <w:rPr>
                <w:rFonts w:cs="Calibri"/>
                <w:b/>
                <w:bCs/>
                <w:color w:val="000000"/>
              </w:rPr>
              <w:br/>
              <w:t>Collection</w:t>
            </w:r>
          </w:p>
        </w:tc>
        <w:tc>
          <w:tcPr>
            <w:tcW w:w="1318" w:type="dxa"/>
            <w:tcBorders>
              <w:top w:val="single" w:sz="4" w:space="0" w:color="auto"/>
              <w:left w:val="nil"/>
              <w:bottom w:val="single" w:sz="4" w:space="0" w:color="auto"/>
              <w:right w:val="single" w:sz="4" w:space="0" w:color="auto"/>
            </w:tcBorders>
            <w:shd w:val="clear" w:color="auto" w:fill="auto"/>
            <w:hideMark/>
          </w:tcPr>
          <w:p w:rsidR="006A3F77" w:rsidRPr="00BE7F3B" w:rsidP="00212ABE" w14:paraId="37B33F97" w14:textId="77777777">
            <w:pPr>
              <w:overflowPunct/>
              <w:autoSpaceDE/>
              <w:autoSpaceDN/>
              <w:adjustRightInd/>
              <w:jc w:val="center"/>
              <w:textAlignment w:val="auto"/>
              <w:rPr>
                <w:rFonts w:cs="Calibri"/>
                <w:b/>
                <w:bCs/>
                <w:color w:val="000000"/>
              </w:rPr>
            </w:pPr>
            <w:r w:rsidRPr="00BE7F3B">
              <w:rPr>
                <w:rFonts w:cs="Calibri"/>
                <w:b/>
                <w:bCs/>
                <w:color w:val="000000"/>
              </w:rPr>
              <w:t xml:space="preserve">Number </w:t>
            </w:r>
            <w:r w:rsidRPr="00BE7F3B">
              <w:rPr>
                <w:rFonts w:cs="Calibri"/>
                <w:b/>
                <w:bCs/>
                <w:color w:val="000000"/>
              </w:rPr>
              <w:br/>
              <w:t xml:space="preserve">of </w:t>
            </w:r>
            <w:r w:rsidRPr="00BE7F3B">
              <w:rPr>
                <w:rFonts w:cs="Calibri"/>
                <w:b/>
                <w:bCs/>
                <w:color w:val="000000"/>
              </w:rPr>
              <w:br/>
              <w:t>Respondents</w:t>
            </w:r>
          </w:p>
        </w:tc>
        <w:tc>
          <w:tcPr>
            <w:tcW w:w="1166" w:type="dxa"/>
            <w:tcBorders>
              <w:top w:val="single" w:sz="4" w:space="0" w:color="auto"/>
              <w:left w:val="nil"/>
              <w:bottom w:val="single" w:sz="4" w:space="0" w:color="auto"/>
              <w:right w:val="single" w:sz="4" w:space="0" w:color="auto"/>
            </w:tcBorders>
            <w:shd w:val="clear" w:color="auto" w:fill="auto"/>
            <w:hideMark/>
          </w:tcPr>
          <w:p w:rsidR="006A3F77" w:rsidRPr="00BE7F3B" w:rsidP="00212ABE" w14:paraId="729B670F" w14:textId="77777777">
            <w:pPr>
              <w:overflowPunct/>
              <w:autoSpaceDE/>
              <w:autoSpaceDN/>
              <w:adjustRightInd/>
              <w:jc w:val="center"/>
              <w:textAlignment w:val="auto"/>
              <w:rPr>
                <w:rFonts w:cs="Calibri"/>
                <w:b/>
                <w:bCs/>
                <w:color w:val="000000"/>
              </w:rPr>
            </w:pPr>
            <w:r w:rsidRPr="00BE7F3B">
              <w:rPr>
                <w:rFonts w:cs="Calibri"/>
                <w:b/>
                <w:bCs/>
                <w:color w:val="000000"/>
              </w:rPr>
              <w:t xml:space="preserve">Frequency </w:t>
            </w:r>
            <w:r w:rsidRPr="00BE7F3B">
              <w:rPr>
                <w:rFonts w:cs="Calibri"/>
                <w:b/>
                <w:bCs/>
                <w:color w:val="000000"/>
              </w:rPr>
              <w:br/>
              <w:t xml:space="preserve">of </w:t>
            </w:r>
            <w:r w:rsidRPr="00BE7F3B">
              <w:rPr>
                <w:rFonts w:cs="Calibri"/>
                <w:b/>
                <w:bCs/>
                <w:color w:val="000000"/>
              </w:rPr>
              <w:br/>
              <w:t>Response</w:t>
            </w:r>
          </w:p>
        </w:tc>
        <w:tc>
          <w:tcPr>
            <w:tcW w:w="1178" w:type="dxa"/>
            <w:tcBorders>
              <w:top w:val="single" w:sz="4" w:space="0" w:color="auto"/>
              <w:left w:val="nil"/>
              <w:bottom w:val="single" w:sz="4" w:space="0" w:color="auto"/>
              <w:right w:val="single" w:sz="4" w:space="0" w:color="auto"/>
            </w:tcBorders>
            <w:shd w:val="clear" w:color="auto" w:fill="auto"/>
            <w:hideMark/>
          </w:tcPr>
          <w:p w:rsidR="006A3F77" w:rsidRPr="00BE7F3B" w:rsidP="00212ABE" w14:paraId="4ECD972B" w14:textId="77777777">
            <w:pPr>
              <w:overflowPunct/>
              <w:autoSpaceDE/>
              <w:autoSpaceDN/>
              <w:adjustRightInd/>
              <w:jc w:val="center"/>
              <w:textAlignment w:val="auto"/>
              <w:rPr>
                <w:rFonts w:cs="Calibri"/>
                <w:b/>
                <w:bCs/>
                <w:color w:val="000000"/>
              </w:rPr>
            </w:pPr>
            <w:r w:rsidRPr="00BE7F3B">
              <w:rPr>
                <w:rFonts w:cs="Calibri"/>
                <w:b/>
                <w:bCs/>
                <w:color w:val="000000"/>
              </w:rPr>
              <w:t xml:space="preserve">Total </w:t>
            </w:r>
            <w:r w:rsidRPr="00BE7F3B">
              <w:rPr>
                <w:rFonts w:cs="Calibri"/>
                <w:b/>
                <w:bCs/>
                <w:color w:val="000000"/>
              </w:rPr>
              <w:br/>
              <w:t xml:space="preserve">Annual </w:t>
            </w:r>
            <w:r w:rsidRPr="00BE7F3B">
              <w:rPr>
                <w:rFonts w:cs="Calibri"/>
                <w:b/>
                <w:bCs/>
                <w:color w:val="000000"/>
              </w:rPr>
              <w:br/>
              <w:t>Responses</w:t>
            </w:r>
          </w:p>
        </w:tc>
        <w:tc>
          <w:tcPr>
            <w:tcW w:w="1168" w:type="dxa"/>
            <w:tcBorders>
              <w:top w:val="single" w:sz="4" w:space="0" w:color="auto"/>
              <w:left w:val="nil"/>
              <w:bottom w:val="single" w:sz="4" w:space="0" w:color="auto"/>
              <w:right w:val="single" w:sz="4" w:space="0" w:color="auto"/>
            </w:tcBorders>
            <w:shd w:val="clear" w:color="auto" w:fill="auto"/>
            <w:hideMark/>
          </w:tcPr>
          <w:p w:rsidR="006A3F77" w:rsidRPr="00BE7F3B" w:rsidP="00212ABE" w14:paraId="402D3C0A" w14:textId="77777777">
            <w:pPr>
              <w:overflowPunct/>
              <w:autoSpaceDE/>
              <w:autoSpaceDN/>
              <w:adjustRightInd/>
              <w:jc w:val="center"/>
              <w:textAlignment w:val="auto"/>
              <w:rPr>
                <w:rFonts w:cs="Calibri"/>
                <w:b/>
                <w:bCs/>
                <w:color w:val="000000"/>
              </w:rPr>
            </w:pPr>
            <w:r w:rsidRPr="00BE7F3B">
              <w:rPr>
                <w:rFonts w:cs="Calibri"/>
                <w:b/>
                <w:bCs/>
                <w:color w:val="000000"/>
              </w:rPr>
              <w:t xml:space="preserve">Burden </w:t>
            </w:r>
            <w:r w:rsidRPr="00BE7F3B">
              <w:rPr>
                <w:rFonts w:cs="Calibri"/>
                <w:b/>
                <w:bCs/>
                <w:color w:val="000000"/>
              </w:rPr>
              <w:br/>
              <w:t xml:space="preserve">Hours per </w:t>
            </w:r>
            <w:r w:rsidRPr="00BE7F3B">
              <w:rPr>
                <w:rFonts w:cs="Calibri"/>
                <w:b/>
                <w:bCs/>
                <w:color w:val="000000"/>
              </w:rPr>
              <w:br/>
              <w:t>Response</w:t>
            </w:r>
          </w:p>
        </w:tc>
        <w:tc>
          <w:tcPr>
            <w:tcW w:w="1168" w:type="dxa"/>
            <w:tcBorders>
              <w:top w:val="single" w:sz="4" w:space="0" w:color="auto"/>
              <w:left w:val="nil"/>
              <w:bottom w:val="single" w:sz="4" w:space="0" w:color="auto"/>
              <w:right w:val="single" w:sz="4" w:space="0" w:color="auto"/>
            </w:tcBorders>
            <w:shd w:val="clear" w:color="auto" w:fill="auto"/>
            <w:hideMark/>
          </w:tcPr>
          <w:p w:rsidR="006A3F77" w:rsidRPr="00BE7F3B" w:rsidP="00212ABE" w14:paraId="2265294C" w14:textId="77777777">
            <w:pPr>
              <w:overflowPunct/>
              <w:autoSpaceDE/>
              <w:autoSpaceDN/>
              <w:adjustRightInd/>
              <w:jc w:val="center"/>
              <w:textAlignment w:val="auto"/>
              <w:rPr>
                <w:rFonts w:cs="Calibri"/>
                <w:b/>
                <w:bCs/>
                <w:color w:val="000000"/>
              </w:rPr>
            </w:pPr>
            <w:r w:rsidRPr="00BE7F3B">
              <w:rPr>
                <w:rFonts w:cs="Calibri"/>
                <w:b/>
                <w:bCs/>
                <w:color w:val="000000"/>
              </w:rPr>
              <w:t xml:space="preserve">Annual </w:t>
            </w:r>
            <w:r w:rsidRPr="00BE7F3B">
              <w:rPr>
                <w:rFonts w:cs="Calibri"/>
                <w:b/>
                <w:bCs/>
                <w:color w:val="000000"/>
              </w:rPr>
              <w:br/>
              <w:t xml:space="preserve">Burden </w:t>
            </w:r>
            <w:r w:rsidRPr="00BE7F3B">
              <w:rPr>
                <w:rFonts w:cs="Calibri"/>
                <w:b/>
                <w:bCs/>
                <w:color w:val="000000"/>
              </w:rPr>
              <w:br/>
              <w:t>Hours</w:t>
            </w:r>
          </w:p>
        </w:tc>
        <w:tc>
          <w:tcPr>
            <w:tcW w:w="989" w:type="dxa"/>
            <w:tcBorders>
              <w:top w:val="single" w:sz="4" w:space="0" w:color="auto"/>
              <w:left w:val="nil"/>
              <w:bottom w:val="single" w:sz="4" w:space="0" w:color="auto"/>
              <w:right w:val="single" w:sz="4" w:space="0" w:color="auto"/>
            </w:tcBorders>
            <w:shd w:val="clear" w:color="auto" w:fill="auto"/>
            <w:hideMark/>
          </w:tcPr>
          <w:p w:rsidR="006A3F77" w:rsidRPr="00BE7F3B" w:rsidP="00212ABE" w14:paraId="1DEDFE09" w14:textId="77777777">
            <w:pPr>
              <w:overflowPunct/>
              <w:autoSpaceDE/>
              <w:autoSpaceDN/>
              <w:adjustRightInd/>
              <w:jc w:val="center"/>
              <w:textAlignment w:val="auto"/>
              <w:rPr>
                <w:rFonts w:cs="Calibri"/>
                <w:b/>
                <w:bCs/>
                <w:color w:val="000000"/>
              </w:rPr>
            </w:pPr>
            <w:r w:rsidRPr="00BE7F3B">
              <w:rPr>
                <w:rFonts w:cs="Calibri"/>
                <w:b/>
                <w:bCs/>
                <w:color w:val="000000"/>
              </w:rPr>
              <w:t xml:space="preserve">Hourly </w:t>
            </w:r>
            <w:r w:rsidRPr="00BE7F3B">
              <w:rPr>
                <w:rFonts w:cs="Calibri"/>
                <w:b/>
                <w:bCs/>
                <w:color w:val="000000"/>
              </w:rPr>
              <w:br/>
              <w:t>Cost</w:t>
            </w:r>
          </w:p>
        </w:tc>
        <w:tc>
          <w:tcPr>
            <w:tcW w:w="1528" w:type="dxa"/>
            <w:tcBorders>
              <w:top w:val="single" w:sz="4" w:space="0" w:color="auto"/>
              <w:left w:val="nil"/>
              <w:bottom w:val="single" w:sz="4" w:space="0" w:color="auto"/>
              <w:right w:val="single" w:sz="4" w:space="0" w:color="auto"/>
            </w:tcBorders>
            <w:shd w:val="clear" w:color="auto" w:fill="auto"/>
            <w:hideMark/>
          </w:tcPr>
          <w:p w:rsidR="006A3F77" w:rsidRPr="00BE7F3B" w:rsidP="00212ABE" w14:paraId="4E37664D" w14:textId="77777777">
            <w:pPr>
              <w:overflowPunct/>
              <w:autoSpaceDE/>
              <w:autoSpaceDN/>
              <w:adjustRightInd/>
              <w:jc w:val="center"/>
              <w:textAlignment w:val="auto"/>
              <w:rPr>
                <w:rFonts w:cs="Calibri"/>
                <w:b/>
                <w:bCs/>
                <w:color w:val="000000"/>
              </w:rPr>
            </w:pPr>
            <w:r w:rsidRPr="00BE7F3B">
              <w:rPr>
                <w:rFonts w:cs="Calibri"/>
                <w:b/>
                <w:bCs/>
                <w:color w:val="000000"/>
              </w:rPr>
              <w:t xml:space="preserve">Total </w:t>
            </w:r>
            <w:r w:rsidRPr="00BE7F3B">
              <w:rPr>
                <w:rFonts w:cs="Calibri"/>
                <w:b/>
                <w:bCs/>
                <w:color w:val="000000"/>
              </w:rPr>
              <w:br/>
              <w:t xml:space="preserve">Annual </w:t>
            </w:r>
            <w:r w:rsidRPr="00BE7F3B">
              <w:rPr>
                <w:rFonts w:cs="Calibri"/>
                <w:b/>
                <w:bCs/>
                <w:color w:val="000000"/>
              </w:rPr>
              <w:br/>
              <w:t>Cost</w:t>
            </w:r>
          </w:p>
        </w:tc>
      </w:tr>
      <w:tr w14:paraId="15025724" w14:textId="77777777" w:rsidTr="00EF2869">
        <w:tblPrEx>
          <w:tblW w:w="10243" w:type="dxa"/>
          <w:tblInd w:w="-108" w:type="dxa"/>
          <w:tblLook w:val="04A0"/>
        </w:tblPrEx>
        <w:trPr>
          <w:trHeight w:val="300"/>
        </w:trPr>
        <w:tc>
          <w:tcPr>
            <w:tcW w:w="1728" w:type="dxa"/>
            <w:tcBorders>
              <w:top w:val="nil"/>
              <w:left w:val="single" w:sz="4" w:space="0" w:color="auto"/>
              <w:bottom w:val="single" w:sz="4" w:space="0" w:color="auto"/>
              <w:right w:val="single" w:sz="4" w:space="0" w:color="auto"/>
            </w:tcBorders>
            <w:shd w:val="clear" w:color="auto" w:fill="auto"/>
            <w:vAlign w:val="bottom"/>
            <w:hideMark/>
          </w:tcPr>
          <w:p w:rsidR="006A3F77" w:rsidRPr="007A7DED" w:rsidP="00212ABE" w14:paraId="7CA67D4C" w14:textId="77777777">
            <w:pPr>
              <w:overflowPunct/>
              <w:autoSpaceDE/>
              <w:autoSpaceDN/>
              <w:adjustRightInd/>
              <w:ind w:left="720" w:hanging="720"/>
              <w:jc w:val="center"/>
              <w:textAlignment w:val="auto"/>
              <w:rPr>
                <w:rFonts w:cs="Arial"/>
                <w:color w:val="000000"/>
                <w:sz w:val="24"/>
                <w:szCs w:val="18"/>
              </w:rPr>
            </w:pPr>
            <w:r w:rsidRPr="007A7DED">
              <w:rPr>
                <w:rFonts w:cs="Arial"/>
                <w:color w:val="000000"/>
                <w:sz w:val="24"/>
                <w:szCs w:val="18"/>
              </w:rPr>
              <w:t>HUD-92547-A</w:t>
            </w:r>
          </w:p>
        </w:tc>
        <w:tc>
          <w:tcPr>
            <w:tcW w:w="1318" w:type="dxa"/>
            <w:tcBorders>
              <w:top w:val="nil"/>
              <w:left w:val="nil"/>
              <w:bottom w:val="single" w:sz="4" w:space="0" w:color="auto"/>
              <w:right w:val="single" w:sz="4" w:space="0" w:color="auto"/>
            </w:tcBorders>
            <w:shd w:val="clear" w:color="auto" w:fill="auto"/>
            <w:noWrap/>
            <w:vAlign w:val="center"/>
            <w:hideMark/>
          </w:tcPr>
          <w:p w:rsidR="006A3F77" w:rsidRPr="007A7DED" w:rsidP="005E6197" w14:paraId="1A21D641" w14:textId="77777777">
            <w:pPr>
              <w:overflowPunct/>
              <w:autoSpaceDE/>
              <w:autoSpaceDN/>
              <w:adjustRightInd/>
              <w:jc w:val="right"/>
              <w:textAlignment w:val="auto"/>
              <w:rPr>
                <w:rFonts w:cs="Calibri"/>
                <w:color w:val="000000"/>
                <w:sz w:val="24"/>
                <w:szCs w:val="22"/>
              </w:rPr>
            </w:pPr>
            <w:r w:rsidRPr="007A7DED">
              <w:rPr>
                <w:rFonts w:cs="Calibri"/>
                <w:color w:val="000000"/>
                <w:sz w:val="24"/>
                <w:szCs w:val="22"/>
              </w:rPr>
              <w:t>974</w:t>
            </w:r>
          </w:p>
        </w:tc>
        <w:tc>
          <w:tcPr>
            <w:tcW w:w="1166" w:type="dxa"/>
            <w:tcBorders>
              <w:top w:val="nil"/>
              <w:left w:val="nil"/>
              <w:bottom w:val="single" w:sz="4" w:space="0" w:color="auto"/>
              <w:right w:val="single" w:sz="4" w:space="0" w:color="auto"/>
            </w:tcBorders>
            <w:shd w:val="clear" w:color="auto" w:fill="auto"/>
            <w:noWrap/>
            <w:vAlign w:val="center"/>
            <w:hideMark/>
          </w:tcPr>
          <w:p w:rsidR="006A3F77" w:rsidRPr="007A7DED" w:rsidP="005E6197" w14:paraId="1F254904" w14:textId="77777777">
            <w:pPr>
              <w:overflowPunct/>
              <w:autoSpaceDE/>
              <w:autoSpaceDN/>
              <w:adjustRightInd/>
              <w:jc w:val="right"/>
              <w:textAlignment w:val="auto"/>
              <w:rPr>
                <w:rFonts w:cs="Calibri"/>
                <w:color w:val="000000"/>
                <w:sz w:val="24"/>
                <w:szCs w:val="22"/>
              </w:rPr>
            </w:pPr>
            <w:r w:rsidRPr="007A7DED">
              <w:rPr>
                <w:rFonts w:cs="Calibri"/>
                <w:color w:val="000000"/>
                <w:sz w:val="24"/>
                <w:szCs w:val="22"/>
              </w:rPr>
              <w:t>1</w:t>
            </w:r>
          </w:p>
        </w:tc>
        <w:tc>
          <w:tcPr>
            <w:tcW w:w="1178" w:type="dxa"/>
            <w:tcBorders>
              <w:top w:val="nil"/>
              <w:left w:val="nil"/>
              <w:bottom w:val="single" w:sz="4" w:space="0" w:color="auto"/>
              <w:right w:val="single" w:sz="4" w:space="0" w:color="auto"/>
            </w:tcBorders>
            <w:shd w:val="clear" w:color="auto" w:fill="auto"/>
            <w:noWrap/>
            <w:vAlign w:val="center"/>
            <w:hideMark/>
          </w:tcPr>
          <w:p w:rsidR="006A3F77" w:rsidRPr="007A7DED" w:rsidP="005E6197" w14:paraId="746EEA47" w14:textId="77777777">
            <w:pPr>
              <w:overflowPunct/>
              <w:autoSpaceDE/>
              <w:autoSpaceDN/>
              <w:adjustRightInd/>
              <w:jc w:val="right"/>
              <w:textAlignment w:val="auto"/>
              <w:rPr>
                <w:rFonts w:cs="Calibri"/>
                <w:color w:val="000000"/>
                <w:sz w:val="24"/>
                <w:szCs w:val="22"/>
              </w:rPr>
            </w:pPr>
            <w:r w:rsidRPr="007A7DED">
              <w:rPr>
                <w:rFonts w:cs="Calibri"/>
                <w:color w:val="000000"/>
                <w:sz w:val="24"/>
                <w:szCs w:val="22"/>
              </w:rPr>
              <w:t>974</w:t>
            </w:r>
          </w:p>
        </w:tc>
        <w:tc>
          <w:tcPr>
            <w:tcW w:w="1168" w:type="dxa"/>
            <w:tcBorders>
              <w:top w:val="nil"/>
              <w:left w:val="nil"/>
              <w:bottom w:val="single" w:sz="4" w:space="0" w:color="auto"/>
              <w:right w:val="single" w:sz="4" w:space="0" w:color="auto"/>
            </w:tcBorders>
            <w:shd w:val="clear" w:color="auto" w:fill="auto"/>
            <w:noWrap/>
            <w:vAlign w:val="center"/>
            <w:hideMark/>
          </w:tcPr>
          <w:p w:rsidR="006A3F77" w:rsidRPr="007A7DED" w:rsidP="005E6197" w14:paraId="5E1E9F1A" w14:textId="77777777">
            <w:pPr>
              <w:overflowPunct/>
              <w:autoSpaceDE/>
              <w:autoSpaceDN/>
              <w:adjustRightInd/>
              <w:jc w:val="right"/>
              <w:textAlignment w:val="auto"/>
              <w:rPr>
                <w:rFonts w:cs="Calibri"/>
                <w:color w:val="000000"/>
                <w:sz w:val="24"/>
                <w:szCs w:val="22"/>
              </w:rPr>
            </w:pPr>
            <w:r w:rsidRPr="007A7DED">
              <w:rPr>
                <w:rFonts w:cs="Calibri"/>
                <w:color w:val="000000"/>
                <w:sz w:val="24"/>
                <w:szCs w:val="22"/>
              </w:rPr>
              <w:t>5.33</w:t>
            </w:r>
          </w:p>
        </w:tc>
        <w:tc>
          <w:tcPr>
            <w:tcW w:w="1168" w:type="dxa"/>
            <w:tcBorders>
              <w:top w:val="nil"/>
              <w:left w:val="nil"/>
              <w:bottom w:val="single" w:sz="4" w:space="0" w:color="auto"/>
              <w:right w:val="single" w:sz="4" w:space="0" w:color="auto"/>
            </w:tcBorders>
            <w:shd w:val="clear" w:color="auto" w:fill="auto"/>
            <w:noWrap/>
            <w:vAlign w:val="center"/>
            <w:hideMark/>
          </w:tcPr>
          <w:p w:rsidR="006A3F77" w:rsidRPr="007A7DED" w:rsidP="005E6197" w14:paraId="57CA8548" w14:textId="21BBC036">
            <w:pPr>
              <w:overflowPunct/>
              <w:autoSpaceDE/>
              <w:autoSpaceDN/>
              <w:adjustRightInd/>
              <w:jc w:val="right"/>
              <w:textAlignment w:val="auto"/>
              <w:rPr>
                <w:rFonts w:cs="Calibri"/>
                <w:color w:val="000000"/>
                <w:sz w:val="24"/>
                <w:szCs w:val="22"/>
              </w:rPr>
            </w:pPr>
            <w:r>
              <w:rPr>
                <w:rFonts w:cs="Calibri"/>
                <w:color w:val="000000"/>
                <w:sz w:val="24"/>
                <w:szCs w:val="22"/>
              </w:rPr>
              <w:t>5</w:t>
            </w:r>
            <w:r w:rsidR="0006271C">
              <w:rPr>
                <w:rFonts w:cs="Calibri"/>
                <w:color w:val="000000"/>
                <w:sz w:val="24"/>
                <w:szCs w:val="22"/>
              </w:rPr>
              <w:t>,</w:t>
            </w:r>
            <w:r>
              <w:rPr>
                <w:rFonts w:cs="Calibri"/>
                <w:color w:val="000000"/>
                <w:sz w:val="24"/>
                <w:szCs w:val="22"/>
              </w:rPr>
              <w:t>1</w:t>
            </w:r>
            <w:r w:rsidR="001C0932">
              <w:rPr>
                <w:rFonts w:cs="Calibri"/>
                <w:color w:val="000000"/>
                <w:sz w:val="24"/>
                <w:szCs w:val="22"/>
              </w:rPr>
              <w:t>9</w:t>
            </w:r>
            <w:r w:rsidR="0006271C">
              <w:rPr>
                <w:rFonts w:cs="Calibri"/>
                <w:color w:val="000000"/>
                <w:sz w:val="24"/>
                <w:szCs w:val="22"/>
              </w:rPr>
              <w:t>1</w:t>
            </w:r>
            <w:r w:rsidR="00AF62B7">
              <w:rPr>
                <w:rFonts w:cs="Calibri"/>
                <w:color w:val="000000"/>
                <w:sz w:val="24"/>
                <w:szCs w:val="22"/>
              </w:rPr>
              <w:t>.42</w:t>
            </w:r>
          </w:p>
        </w:tc>
        <w:tc>
          <w:tcPr>
            <w:tcW w:w="989" w:type="dxa"/>
            <w:tcBorders>
              <w:top w:val="nil"/>
              <w:left w:val="nil"/>
              <w:bottom w:val="single" w:sz="4" w:space="0" w:color="auto"/>
              <w:right w:val="single" w:sz="4" w:space="0" w:color="auto"/>
            </w:tcBorders>
            <w:shd w:val="clear" w:color="auto" w:fill="auto"/>
            <w:noWrap/>
            <w:vAlign w:val="center"/>
            <w:hideMark/>
          </w:tcPr>
          <w:p w:rsidR="006A3F77" w:rsidRPr="007A7DED" w:rsidP="005E6197" w14:paraId="0F67F706" w14:textId="2471E629">
            <w:pPr>
              <w:overflowPunct/>
              <w:autoSpaceDE/>
              <w:autoSpaceDN/>
              <w:adjustRightInd/>
              <w:jc w:val="right"/>
              <w:textAlignment w:val="auto"/>
              <w:rPr>
                <w:rFonts w:cs="Calibri"/>
                <w:color w:val="000000"/>
                <w:sz w:val="24"/>
                <w:szCs w:val="22"/>
              </w:rPr>
            </w:pPr>
            <w:r w:rsidRPr="007A7DED">
              <w:rPr>
                <w:rFonts w:cs="Calibri"/>
                <w:color w:val="000000"/>
                <w:sz w:val="24"/>
                <w:szCs w:val="22"/>
              </w:rPr>
              <w:t xml:space="preserve"> $</w:t>
            </w:r>
            <w:r w:rsidR="0003436B">
              <w:rPr>
                <w:rFonts w:cs="Calibri"/>
                <w:color w:val="000000"/>
                <w:sz w:val="24"/>
                <w:szCs w:val="22"/>
              </w:rPr>
              <w:t>3</w:t>
            </w:r>
            <w:r w:rsidR="006E2514">
              <w:rPr>
                <w:rFonts w:cs="Calibri"/>
                <w:color w:val="000000"/>
                <w:sz w:val="24"/>
                <w:szCs w:val="22"/>
              </w:rPr>
              <w:t>7</w:t>
            </w:r>
            <w:r w:rsidR="0003436B">
              <w:rPr>
                <w:rFonts w:cs="Calibri"/>
                <w:color w:val="000000"/>
                <w:sz w:val="24"/>
                <w:szCs w:val="22"/>
              </w:rPr>
              <w:t>.</w:t>
            </w:r>
            <w:r w:rsidR="006E2514">
              <w:rPr>
                <w:rFonts w:cs="Calibri"/>
                <w:color w:val="000000"/>
                <w:sz w:val="24"/>
                <w:szCs w:val="22"/>
              </w:rPr>
              <w:t>69</w:t>
            </w:r>
          </w:p>
        </w:tc>
        <w:tc>
          <w:tcPr>
            <w:tcW w:w="1528" w:type="dxa"/>
            <w:tcBorders>
              <w:top w:val="nil"/>
              <w:left w:val="nil"/>
              <w:bottom w:val="single" w:sz="4" w:space="0" w:color="auto"/>
              <w:right w:val="single" w:sz="4" w:space="0" w:color="auto"/>
            </w:tcBorders>
            <w:shd w:val="clear" w:color="auto" w:fill="auto"/>
            <w:noWrap/>
            <w:vAlign w:val="center"/>
            <w:hideMark/>
          </w:tcPr>
          <w:p w:rsidR="006A3F77" w:rsidRPr="007A7DED" w:rsidP="005E6197" w14:paraId="227C48D2" w14:textId="249466DC">
            <w:pPr>
              <w:overflowPunct/>
              <w:autoSpaceDE/>
              <w:autoSpaceDN/>
              <w:adjustRightInd/>
              <w:jc w:val="right"/>
              <w:textAlignment w:val="auto"/>
              <w:rPr>
                <w:rFonts w:cs="Calibri"/>
                <w:color w:val="000000"/>
                <w:sz w:val="24"/>
                <w:szCs w:val="22"/>
              </w:rPr>
            </w:pPr>
            <w:r>
              <w:rPr>
                <w:rFonts w:cs="Calibri"/>
                <w:color w:val="000000"/>
                <w:sz w:val="24"/>
                <w:szCs w:val="22"/>
              </w:rPr>
              <w:t>$</w:t>
            </w:r>
            <w:r w:rsidR="00333320">
              <w:rPr>
                <w:rFonts w:cs="Calibri"/>
                <w:color w:val="000000"/>
                <w:sz w:val="24"/>
                <w:szCs w:val="22"/>
              </w:rPr>
              <w:t>195,</w:t>
            </w:r>
            <w:r w:rsidR="0006271C">
              <w:rPr>
                <w:rFonts w:cs="Calibri"/>
                <w:color w:val="000000"/>
                <w:sz w:val="24"/>
                <w:szCs w:val="22"/>
              </w:rPr>
              <w:t>664.62</w:t>
            </w:r>
          </w:p>
        </w:tc>
      </w:tr>
      <w:tr w14:paraId="616061CC" w14:textId="77777777" w:rsidTr="00EF2869">
        <w:tblPrEx>
          <w:tblW w:w="10243" w:type="dxa"/>
          <w:tblInd w:w="-108" w:type="dxa"/>
          <w:tblLook w:val="04A0"/>
        </w:tblPrEx>
        <w:trPr>
          <w:trHeight w:val="420"/>
        </w:trPr>
        <w:tc>
          <w:tcPr>
            <w:tcW w:w="1728" w:type="dxa"/>
            <w:tcBorders>
              <w:top w:val="nil"/>
              <w:left w:val="single" w:sz="4" w:space="0" w:color="auto"/>
              <w:bottom w:val="single" w:sz="4" w:space="0" w:color="auto"/>
              <w:right w:val="single" w:sz="4" w:space="0" w:color="auto"/>
            </w:tcBorders>
            <w:shd w:val="clear" w:color="auto" w:fill="auto"/>
            <w:noWrap/>
            <w:vAlign w:val="center"/>
          </w:tcPr>
          <w:p w:rsidR="006A3F77" w:rsidRPr="007A7DED" w:rsidP="00212ABE" w14:paraId="15D5B20F" w14:textId="77777777">
            <w:pPr>
              <w:overflowPunct/>
              <w:autoSpaceDE/>
              <w:autoSpaceDN/>
              <w:adjustRightInd/>
              <w:jc w:val="center"/>
              <w:textAlignment w:val="auto"/>
              <w:rPr>
                <w:rFonts w:cs="Calibri"/>
                <w:color w:val="000000"/>
                <w:sz w:val="24"/>
                <w:szCs w:val="22"/>
              </w:rPr>
            </w:pPr>
            <w:r w:rsidRPr="007A7DED">
              <w:rPr>
                <w:rFonts w:cs="Calibri"/>
                <w:color w:val="000000"/>
                <w:sz w:val="24"/>
                <w:szCs w:val="22"/>
              </w:rPr>
              <w:t>Appeal Letter</w:t>
            </w:r>
          </w:p>
        </w:tc>
        <w:tc>
          <w:tcPr>
            <w:tcW w:w="1318" w:type="dxa"/>
            <w:tcBorders>
              <w:top w:val="nil"/>
              <w:left w:val="nil"/>
              <w:bottom w:val="single" w:sz="4" w:space="0" w:color="auto"/>
              <w:right w:val="single" w:sz="4" w:space="0" w:color="auto"/>
            </w:tcBorders>
            <w:shd w:val="clear" w:color="auto" w:fill="auto"/>
            <w:noWrap/>
            <w:vAlign w:val="center"/>
          </w:tcPr>
          <w:p w:rsidR="006A3F77" w:rsidRPr="007A7DED" w:rsidP="005E6197" w14:paraId="421CA2D8" w14:textId="77777777">
            <w:pPr>
              <w:overflowPunct/>
              <w:autoSpaceDE/>
              <w:autoSpaceDN/>
              <w:adjustRightInd/>
              <w:jc w:val="right"/>
              <w:textAlignment w:val="auto"/>
              <w:rPr>
                <w:rFonts w:cs="Calibri"/>
                <w:color w:val="000000"/>
                <w:sz w:val="24"/>
                <w:szCs w:val="22"/>
              </w:rPr>
            </w:pPr>
            <w:r w:rsidRPr="007A7DED">
              <w:rPr>
                <w:rFonts w:cs="Calibri"/>
                <w:color w:val="000000"/>
                <w:sz w:val="24"/>
                <w:szCs w:val="22"/>
              </w:rPr>
              <w:t>100</w:t>
            </w:r>
          </w:p>
        </w:tc>
        <w:tc>
          <w:tcPr>
            <w:tcW w:w="1166" w:type="dxa"/>
            <w:tcBorders>
              <w:top w:val="nil"/>
              <w:left w:val="nil"/>
              <w:bottom w:val="single" w:sz="4" w:space="0" w:color="auto"/>
              <w:right w:val="single" w:sz="4" w:space="0" w:color="auto"/>
            </w:tcBorders>
            <w:shd w:val="clear" w:color="auto" w:fill="auto"/>
            <w:noWrap/>
            <w:vAlign w:val="center"/>
          </w:tcPr>
          <w:p w:rsidR="006A3F77" w:rsidRPr="007A7DED" w:rsidP="005E6197" w14:paraId="5FA0178D" w14:textId="77777777">
            <w:pPr>
              <w:overflowPunct/>
              <w:autoSpaceDE/>
              <w:autoSpaceDN/>
              <w:adjustRightInd/>
              <w:jc w:val="right"/>
              <w:textAlignment w:val="auto"/>
              <w:rPr>
                <w:rFonts w:cs="Calibri"/>
                <w:color w:val="000000"/>
                <w:sz w:val="24"/>
                <w:szCs w:val="22"/>
              </w:rPr>
            </w:pPr>
            <w:r w:rsidRPr="007A7DED">
              <w:rPr>
                <w:rFonts w:cs="Calibri"/>
                <w:color w:val="000000"/>
                <w:sz w:val="24"/>
                <w:szCs w:val="22"/>
              </w:rPr>
              <w:t>1</w:t>
            </w:r>
          </w:p>
        </w:tc>
        <w:tc>
          <w:tcPr>
            <w:tcW w:w="1178" w:type="dxa"/>
            <w:tcBorders>
              <w:top w:val="nil"/>
              <w:left w:val="nil"/>
              <w:bottom w:val="single" w:sz="4" w:space="0" w:color="auto"/>
              <w:right w:val="single" w:sz="4" w:space="0" w:color="auto"/>
            </w:tcBorders>
            <w:shd w:val="clear" w:color="auto" w:fill="auto"/>
            <w:noWrap/>
            <w:vAlign w:val="center"/>
          </w:tcPr>
          <w:p w:rsidR="006A3F77" w:rsidRPr="007A7DED" w:rsidP="005E6197" w14:paraId="1BB46952" w14:textId="77777777">
            <w:pPr>
              <w:overflowPunct/>
              <w:autoSpaceDE/>
              <w:autoSpaceDN/>
              <w:adjustRightInd/>
              <w:jc w:val="right"/>
              <w:textAlignment w:val="auto"/>
              <w:rPr>
                <w:rFonts w:cs="Calibri"/>
                <w:color w:val="000000"/>
                <w:sz w:val="24"/>
                <w:szCs w:val="22"/>
              </w:rPr>
            </w:pPr>
            <w:r w:rsidRPr="007A7DED">
              <w:rPr>
                <w:rFonts w:cs="Calibri"/>
                <w:color w:val="000000"/>
                <w:sz w:val="24"/>
                <w:szCs w:val="22"/>
              </w:rPr>
              <w:t>100</w:t>
            </w:r>
          </w:p>
        </w:tc>
        <w:tc>
          <w:tcPr>
            <w:tcW w:w="1168" w:type="dxa"/>
            <w:tcBorders>
              <w:top w:val="nil"/>
              <w:left w:val="nil"/>
              <w:bottom w:val="single" w:sz="4" w:space="0" w:color="auto"/>
              <w:right w:val="single" w:sz="4" w:space="0" w:color="auto"/>
            </w:tcBorders>
            <w:shd w:val="clear" w:color="auto" w:fill="auto"/>
            <w:noWrap/>
            <w:vAlign w:val="center"/>
          </w:tcPr>
          <w:p w:rsidR="006A3F77" w:rsidRPr="007A7DED" w:rsidP="005E6197" w14:paraId="7339343F" w14:textId="77777777">
            <w:pPr>
              <w:overflowPunct/>
              <w:autoSpaceDE/>
              <w:autoSpaceDN/>
              <w:adjustRightInd/>
              <w:jc w:val="right"/>
              <w:textAlignment w:val="auto"/>
              <w:rPr>
                <w:rFonts w:cs="Calibri"/>
                <w:color w:val="000000"/>
                <w:sz w:val="24"/>
                <w:szCs w:val="22"/>
              </w:rPr>
            </w:pPr>
            <w:r w:rsidRPr="007A7DED">
              <w:rPr>
                <w:rFonts w:cs="Calibri"/>
                <w:color w:val="000000"/>
                <w:sz w:val="24"/>
                <w:szCs w:val="22"/>
              </w:rPr>
              <w:t>1.5</w:t>
            </w:r>
          </w:p>
        </w:tc>
        <w:tc>
          <w:tcPr>
            <w:tcW w:w="1168" w:type="dxa"/>
            <w:tcBorders>
              <w:top w:val="nil"/>
              <w:left w:val="nil"/>
              <w:bottom w:val="single" w:sz="4" w:space="0" w:color="auto"/>
              <w:right w:val="single" w:sz="4" w:space="0" w:color="auto"/>
            </w:tcBorders>
            <w:shd w:val="clear" w:color="auto" w:fill="auto"/>
            <w:noWrap/>
            <w:vAlign w:val="center"/>
          </w:tcPr>
          <w:p w:rsidR="006A3F77" w:rsidRPr="007A7DED" w:rsidP="005E6197" w14:paraId="74963D55" w14:textId="77777777">
            <w:pPr>
              <w:overflowPunct/>
              <w:autoSpaceDE/>
              <w:autoSpaceDN/>
              <w:adjustRightInd/>
              <w:jc w:val="right"/>
              <w:textAlignment w:val="auto"/>
              <w:rPr>
                <w:rFonts w:cs="Calibri"/>
                <w:color w:val="000000"/>
                <w:sz w:val="24"/>
                <w:szCs w:val="22"/>
              </w:rPr>
            </w:pPr>
            <w:r w:rsidRPr="007A7DED">
              <w:rPr>
                <w:rFonts w:cs="Calibri"/>
                <w:color w:val="000000"/>
                <w:sz w:val="24"/>
                <w:szCs w:val="22"/>
              </w:rPr>
              <w:t>150</w:t>
            </w:r>
          </w:p>
        </w:tc>
        <w:tc>
          <w:tcPr>
            <w:tcW w:w="989" w:type="dxa"/>
            <w:tcBorders>
              <w:top w:val="nil"/>
              <w:left w:val="nil"/>
              <w:bottom w:val="single" w:sz="4" w:space="0" w:color="auto"/>
              <w:right w:val="single" w:sz="4" w:space="0" w:color="auto"/>
            </w:tcBorders>
            <w:shd w:val="clear" w:color="auto" w:fill="auto"/>
            <w:noWrap/>
            <w:vAlign w:val="center"/>
          </w:tcPr>
          <w:p w:rsidR="006A3F77" w:rsidRPr="007A7DED" w:rsidP="005E6197" w14:paraId="42BBEE2C" w14:textId="2CC4EE8B">
            <w:pPr>
              <w:overflowPunct/>
              <w:autoSpaceDE/>
              <w:autoSpaceDN/>
              <w:adjustRightInd/>
              <w:jc w:val="right"/>
              <w:textAlignment w:val="auto"/>
              <w:rPr>
                <w:rFonts w:cs="Calibri"/>
                <w:color w:val="000000"/>
                <w:sz w:val="24"/>
                <w:szCs w:val="22"/>
              </w:rPr>
            </w:pPr>
            <w:r w:rsidRPr="007A7DED">
              <w:rPr>
                <w:rFonts w:cs="Calibri"/>
                <w:color w:val="000000"/>
                <w:sz w:val="24"/>
                <w:szCs w:val="22"/>
              </w:rPr>
              <w:t>$</w:t>
            </w:r>
            <w:r w:rsidR="0003436B">
              <w:rPr>
                <w:rFonts w:cs="Calibri"/>
                <w:color w:val="000000"/>
                <w:sz w:val="24"/>
                <w:szCs w:val="22"/>
              </w:rPr>
              <w:t>3</w:t>
            </w:r>
            <w:r w:rsidR="006E2514">
              <w:rPr>
                <w:rFonts w:cs="Calibri"/>
                <w:color w:val="000000"/>
                <w:sz w:val="24"/>
                <w:szCs w:val="22"/>
              </w:rPr>
              <w:t>7.69</w:t>
            </w:r>
          </w:p>
        </w:tc>
        <w:tc>
          <w:tcPr>
            <w:tcW w:w="1528" w:type="dxa"/>
            <w:tcBorders>
              <w:top w:val="nil"/>
              <w:left w:val="nil"/>
              <w:bottom w:val="single" w:sz="4" w:space="0" w:color="auto"/>
              <w:right w:val="single" w:sz="4" w:space="0" w:color="auto"/>
            </w:tcBorders>
            <w:shd w:val="clear" w:color="auto" w:fill="auto"/>
            <w:noWrap/>
            <w:vAlign w:val="center"/>
          </w:tcPr>
          <w:p w:rsidR="006A3F77" w:rsidRPr="002A7F25" w:rsidP="005E6197" w14:paraId="0C9C406E" w14:textId="094CA9A9">
            <w:pPr>
              <w:jc w:val="right"/>
              <w:rPr>
                <w:rFonts w:cs="Arial"/>
                <w:bCs/>
                <w:color w:val="000000"/>
                <w:sz w:val="24"/>
              </w:rPr>
            </w:pPr>
            <w:r w:rsidRPr="007A7DED">
              <w:rPr>
                <w:rFonts w:cs="Arial"/>
                <w:bCs/>
                <w:color w:val="000000"/>
                <w:sz w:val="24"/>
              </w:rPr>
              <w:t>$</w:t>
            </w:r>
            <w:r w:rsidR="006A5D3A">
              <w:rPr>
                <w:rFonts w:cs="Arial"/>
                <w:bCs/>
                <w:color w:val="000000"/>
                <w:sz w:val="24"/>
              </w:rPr>
              <w:t>5,</w:t>
            </w:r>
            <w:r w:rsidR="00333320">
              <w:rPr>
                <w:rFonts w:cs="Arial"/>
                <w:bCs/>
                <w:color w:val="000000"/>
                <w:sz w:val="24"/>
              </w:rPr>
              <w:t>65</w:t>
            </w:r>
            <w:r w:rsidR="005E6197">
              <w:rPr>
                <w:rFonts w:cs="Arial"/>
                <w:bCs/>
                <w:color w:val="000000"/>
                <w:sz w:val="24"/>
              </w:rPr>
              <w:t>3.50</w:t>
            </w:r>
          </w:p>
        </w:tc>
      </w:tr>
      <w:tr w14:paraId="5CB865A6" w14:textId="77777777" w:rsidTr="00EF2869">
        <w:tblPrEx>
          <w:tblW w:w="10243" w:type="dxa"/>
          <w:tblInd w:w="-108" w:type="dxa"/>
          <w:tblLook w:val="04A0"/>
        </w:tblPrEx>
        <w:trPr>
          <w:trHeight w:val="420"/>
        </w:trPr>
        <w:tc>
          <w:tcPr>
            <w:tcW w:w="1728" w:type="dxa"/>
            <w:tcBorders>
              <w:top w:val="nil"/>
              <w:left w:val="single" w:sz="4" w:space="0" w:color="auto"/>
              <w:bottom w:val="single" w:sz="4" w:space="0" w:color="auto"/>
              <w:right w:val="single" w:sz="4" w:space="0" w:color="auto"/>
            </w:tcBorders>
            <w:shd w:val="clear" w:color="auto" w:fill="auto"/>
            <w:noWrap/>
            <w:vAlign w:val="center"/>
            <w:hideMark/>
          </w:tcPr>
          <w:p w:rsidR="006A3F77" w:rsidRPr="002A695F" w:rsidP="00212ABE" w14:paraId="4994C4E5" w14:textId="77777777">
            <w:pPr>
              <w:overflowPunct/>
              <w:autoSpaceDE/>
              <w:autoSpaceDN/>
              <w:adjustRightInd/>
              <w:jc w:val="center"/>
              <w:textAlignment w:val="auto"/>
              <w:rPr>
                <w:rFonts w:cs="Calibri"/>
                <w:b/>
                <w:bCs/>
                <w:color w:val="000000"/>
                <w:sz w:val="24"/>
                <w:szCs w:val="22"/>
              </w:rPr>
            </w:pPr>
            <w:bookmarkStart w:id="1" w:name="_Hlk47537908"/>
            <w:r w:rsidRPr="002A695F">
              <w:rPr>
                <w:rFonts w:cs="Calibri"/>
                <w:b/>
                <w:bCs/>
                <w:color w:val="000000"/>
                <w:sz w:val="24"/>
                <w:szCs w:val="22"/>
              </w:rPr>
              <w:t>Total</w:t>
            </w:r>
          </w:p>
        </w:tc>
        <w:tc>
          <w:tcPr>
            <w:tcW w:w="1318" w:type="dxa"/>
            <w:tcBorders>
              <w:top w:val="nil"/>
              <w:left w:val="nil"/>
              <w:bottom w:val="single" w:sz="4" w:space="0" w:color="auto"/>
              <w:right w:val="single" w:sz="4" w:space="0" w:color="auto"/>
            </w:tcBorders>
            <w:shd w:val="clear" w:color="auto" w:fill="auto"/>
            <w:noWrap/>
            <w:vAlign w:val="center"/>
            <w:hideMark/>
          </w:tcPr>
          <w:p w:rsidR="006A3F77" w:rsidRPr="002A695F" w:rsidP="005E6197" w14:paraId="6B5273B5" w14:textId="4898B213">
            <w:pPr>
              <w:overflowPunct/>
              <w:autoSpaceDE/>
              <w:autoSpaceDN/>
              <w:adjustRightInd/>
              <w:jc w:val="right"/>
              <w:textAlignment w:val="auto"/>
              <w:rPr>
                <w:rFonts w:cs="Calibri"/>
                <w:b/>
                <w:bCs/>
                <w:color w:val="000000"/>
                <w:sz w:val="24"/>
                <w:szCs w:val="22"/>
              </w:rPr>
            </w:pPr>
            <w:r>
              <w:rPr>
                <w:rFonts w:cs="Calibri"/>
                <w:b/>
                <w:bCs/>
                <w:color w:val="000000"/>
                <w:sz w:val="24"/>
                <w:szCs w:val="22"/>
              </w:rPr>
              <w:t>1074</w:t>
            </w:r>
          </w:p>
        </w:tc>
        <w:tc>
          <w:tcPr>
            <w:tcW w:w="1166" w:type="dxa"/>
            <w:tcBorders>
              <w:top w:val="nil"/>
              <w:left w:val="nil"/>
              <w:bottom w:val="single" w:sz="4" w:space="0" w:color="auto"/>
              <w:right w:val="single" w:sz="4" w:space="0" w:color="auto"/>
            </w:tcBorders>
            <w:shd w:val="clear" w:color="auto" w:fill="auto"/>
            <w:noWrap/>
            <w:vAlign w:val="center"/>
            <w:hideMark/>
          </w:tcPr>
          <w:p w:rsidR="006A3F77" w:rsidRPr="002A695F" w:rsidP="005E6197" w14:paraId="552DE3E2" w14:textId="77777777">
            <w:pPr>
              <w:overflowPunct/>
              <w:autoSpaceDE/>
              <w:autoSpaceDN/>
              <w:adjustRightInd/>
              <w:jc w:val="right"/>
              <w:textAlignment w:val="auto"/>
              <w:rPr>
                <w:rFonts w:cs="Calibri"/>
                <w:b/>
                <w:bCs/>
                <w:color w:val="000000"/>
                <w:sz w:val="24"/>
                <w:szCs w:val="22"/>
              </w:rPr>
            </w:pPr>
          </w:p>
        </w:tc>
        <w:tc>
          <w:tcPr>
            <w:tcW w:w="1178" w:type="dxa"/>
            <w:tcBorders>
              <w:top w:val="nil"/>
              <w:left w:val="nil"/>
              <w:bottom w:val="single" w:sz="4" w:space="0" w:color="auto"/>
              <w:right w:val="single" w:sz="4" w:space="0" w:color="auto"/>
            </w:tcBorders>
            <w:shd w:val="clear" w:color="auto" w:fill="auto"/>
            <w:noWrap/>
            <w:vAlign w:val="center"/>
          </w:tcPr>
          <w:p w:rsidR="006A3F77" w:rsidRPr="002A695F" w:rsidP="005E6197" w14:paraId="5C8C3C20" w14:textId="77777777">
            <w:pPr>
              <w:overflowPunct/>
              <w:autoSpaceDE/>
              <w:autoSpaceDN/>
              <w:adjustRightInd/>
              <w:jc w:val="right"/>
              <w:textAlignment w:val="auto"/>
              <w:rPr>
                <w:rFonts w:cs="Calibri"/>
                <w:b/>
                <w:bCs/>
                <w:color w:val="000000"/>
                <w:sz w:val="24"/>
                <w:szCs w:val="22"/>
              </w:rPr>
            </w:pPr>
            <w:r w:rsidRPr="002A695F">
              <w:rPr>
                <w:rFonts w:cs="Calibri"/>
                <w:b/>
                <w:bCs/>
                <w:color w:val="000000"/>
                <w:sz w:val="24"/>
                <w:szCs w:val="22"/>
              </w:rPr>
              <w:fldChar w:fldCharType="begin"/>
            </w:r>
            <w:r w:rsidRPr="002A695F">
              <w:rPr>
                <w:rFonts w:cs="Calibri"/>
                <w:b/>
                <w:bCs/>
                <w:color w:val="000000"/>
                <w:sz w:val="24"/>
                <w:szCs w:val="22"/>
              </w:rPr>
              <w:instrText xml:space="preserve"> =SUM(ABOVE) </w:instrText>
            </w:r>
            <w:r w:rsidRPr="002A695F">
              <w:rPr>
                <w:rFonts w:cs="Calibri"/>
                <w:b/>
                <w:bCs/>
                <w:color w:val="000000"/>
                <w:sz w:val="24"/>
                <w:szCs w:val="22"/>
              </w:rPr>
              <w:fldChar w:fldCharType="separate"/>
            </w:r>
            <w:r w:rsidRPr="002A695F">
              <w:rPr>
                <w:rFonts w:cs="Calibri"/>
                <w:b/>
                <w:bCs/>
                <w:noProof/>
                <w:color w:val="000000"/>
                <w:sz w:val="24"/>
                <w:szCs w:val="22"/>
              </w:rPr>
              <w:t>1074</w:t>
            </w:r>
            <w:r w:rsidRPr="002A695F">
              <w:rPr>
                <w:rFonts w:cs="Calibri"/>
                <w:b/>
                <w:bCs/>
                <w:color w:val="000000"/>
                <w:sz w:val="24"/>
                <w:szCs w:val="22"/>
              </w:rPr>
              <w:fldChar w:fldCharType="end"/>
            </w:r>
          </w:p>
        </w:tc>
        <w:tc>
          <w:tcPr>
            <w:tcW w:w="1168" w:type="dxa"/>
            <w:tcBorders>
              <w:top w:val="nil"/>
              <w:left w:val="nil"/>
              <w:bottom w:val="single" w:sz="4" w:space="0" w:color="auto"/>
              <w:right w:val="single" w:sz="4" w:space="0" w:color="auto"/>
            </w:tcBorders>
            <w:shd w:val="clear" w:color="auto" w:fill="auto"/>
            <w:noWrap/>
            <w:vAlign w:val="center"/>
            <w:hideMark/>
          </w:tcPr>
          <w:p w:rsidR="006A3F77" w:rsidRPr="002A695F" w:rsidP="005E6197" w14:paraId="0AEB8E77" w14:textId="77777777">
            <w:pPr>
              <w:overflowPunct/>
              <w:autoSpaceDE/>
              <w:autoSpaceDN/>
              <w:adjustRightInd/>
              <w:jc w:val="right"/>
              <w:textAlignment w:val="auto"/>
              <w:rPr>
                <w:rFonts w:cs="Calibri"/>
                <w:b/>
                <w:bCs/>
                <w:color w:val="000000"/>
                <w:sz w:val="24"/>
                <w:szCs w:val="22"/>
              </w:rPr>
            </w:pPr>
            <w:r w:rsidRPr="002A695F">
              <w:rPr>
                <w:rFonts w:cs="Calibri"/>
                <w:b/>
                <w:bCs/>
                <w:color w:val="000000"/>
                <w:sz w:val="24"/>
                <w:szCs w:val="22"/>
              </w:rPr>
              <w:t> </w:t>
            </w:r>
          </w:p>
        </w:tc>
        <w:tc>
          <w:tcPr>
            <w:tcW w:w="1168" w:type="dxa"/>
            <w:tcBorders>
              <w:top w:val="nil"/>
              <w:left w:val="nil"/>
              <w:bottom w:val="single" w:sz="4" w:space="0" w:color="auto"/>
              <w:right w:val="single" w:sz="4" w:space="0" w:color="auto"/>
            </w:tcBorders>
            <w:shd w:val="clear" w:color="auto" w:fill="auto"/>
            <w:noWrap/>
            <w:vAlign w:val="center"/>
          </w:tcPr>
          <w:p w:rsidR="006A3F77" w:rsidRPr="002A695F" w:rsidP="005E6197" w14:paraId="09C521DB" w14:textId="2392A76D">
            <w:pPr>
              <w:overflowPunct/>
              <w:autoSpaceDE/>
              <w:autoSpaceDN/>
              <w:adjustRightInd/>
              <w:jc w:val="right"/>
              <w:textAlignment w:val="auto"/>
              <w:rPr>
                <w:rFonts w:cs="Calibri"/>
                <w:b/>
                <w:bCs/>
                <w:color w:val="000000"/>
                <w:sz w:val="24"/>
                <w:szCs w:val="22"/>
              </w:rPr>
            </w:pPr>
            <w:r>
              <w:rPr>
                <w:rFonts w:cs="Calibri"/>
                <w:b/>
                <w:bCs/>
                <w:color w:val="000000"/>
                <w:sz w:val="24"/>
                <w:szCs w:val="22"/>
              </w:rPr>
              <w:t>5,</w:t>
            </w:r>
            <w:r w:rsidR="002E5193">
              <w:rPr>
                <w:rFonts w:cs="Calibri"/>
                <w:b/>
                <w:bCs/>
                <w:color w:val="000000"/>
                <w:sz w:val="24"/>
                <w:szCs w:val="22"/>
              </w:rPr>
              <w:t>34</w:t>
            </w:r>
            <w:r w:rsidR="00AF62B7">
              <w:rPr>
                <w:rFonts w:cs="Calibri"/>
                <w:b/>
                <w:bCs/>
                <w:color w:val="000000"/>
                <w:sz w:val="24"/>
                <w:szCs w:val="22"/>
              </w:rPr>
              <w:t>1.42</w:t>
            </w:r>
            <w:r w:rsidR="00D02046">
              <w:rPr>
                <w:rFonts w:cs="Calibri"/>
                <w:b/>
                <w:bCs/>
                <w:color w:val="000000"/>
                <w:sz w:val="24"/>
                <w:szCs w:val="22"/>
              </w:rPr>
              <w:t xml:space="preserve"> </w:t>
            </w:r>
          </w:p>
        </w:tc>
        <w:tc>
          <w:tcPr>
            <w:tcW w:w="989" w:type="dxa"/>
            <w:tcBorders>
              <w:top w:val="nil"/>
              <w:left w:val="nil"/>
              <w:bottom w:val="single" w:sz="4" w:space="0" w:color="auto"/>
              <w:right w:val="single" w:sz="4" w:space="0" w:color="auto"/>
            </w:tcBorders>
            <w:shd w:val="clear" w:color="auto" w:fill="auto"/>
            <w:noWrap/>
            <w:vAlign w:val="center"/>
            <w:hideMark/>
          </w:tcPr>
          <w:p w:rsidR="006A3F77" w:rsidRPr="002A695F" w:rsidP="005E6197" w14:paraId="6AB091FE" w14:textId="77777777">
            <w:pPr>
              <w:overflowPunct/>
              <w:autoSpaceDE/>
              <w:autoSpaceDN/>
              <w:adjustRightInd/>
              <w:jc w:val="right"/>
              <w:textAlignment w:val="auto"/>
              <w:rPr>
                <w:rFonts w:cs="Calibri"/>
                <w:b/>
                <w:bCs/>
                <w:color w:val="000000"/>
                <w:sz w:val="24"/>
                <w:szCs w:val="22"/>
              </w:rPr>
            </w:pPr>
            <w:r w:rsidRPr="002A695F">
              <w:rPr>
                <w:rFonts w:cs="Calibri"/>
                <w:b/>
                <w:bCs/>
                <w:color w:val="000000"/>
                <w:sz w:val="24"/>
                <w:szCs w:val="22"/>
              </w:rPr>
              <w:t> </w:t>
            </w:r>
          </w:p>
        </w:tc>
        <w:tc>
          <w:tcPr>
            <w:tcW w:w="1528" w:type="dxa"/>
            <w:tcBorders>
              <w:top w:val="nil"/>
              <w:left w:val="nil"/>
              <w:bottom w:val="single" w:sz="4" w:space="0" w:color="auto"/>
              <w:right w:val="single" w:sz="4" w:space="0" w:color="auto"/>
            </w:tcBorders>
            <w:shd w:val="clear" w:color="auto" w:fill="auto"/>
            <w:noWrap/>
            <w:vAlign w:val="center"/>
          </w:tcPr>
          <w:p w:rsidR="006A3F77" w:rsidRPr="002A695F" w:rsidP="005E6197" w14:paraId="12DDA966" w14:textId="6E6342D8">
            <w:pPr>
              <w:overflowPunct/>
              <w:autoSpaceDE/>
              <w:autoSpaceDN/>
              <w:adjustRightInd/>
              <w:jc w:val="right"/>
              <w:textAlignment w:val="auto"/>
              <w:rPr>
                <w:rFonts w:cs="Calibri"/>
                <w:b/>
                <w:bCs/>
                <w:color w:val="000000"/>
                <w:sz w:val="24"/>
                <w:szCs w:val="22"/>
              </w:rPr>
            </w:pPr>
            <w:r>
              <w:rPr>
                <w:rFonts w:cs="Calibri"/>
                <w:b/>
                <w:bCs/>
                <w:color w:val="000000"/>
                <w:sz w:val="24"/>
                <w:szCs w:val="22"/>
              </w:rPr>
              <w:t>$2</w:t>
            </w:r>
            <w:r w:rsidR="00480C89">
              <w:rPr>
                <w:rFonts w:cs="Calibri"/>
                <w:b/>
                <w:bCs/>
                <w:color w:val="000000"/>
                <w:sz w:val="24"/>
                <w:szCs w:val="22"/>
              </w:rPr>
              <w:t>01,</w:t>
            </w:r>
            <w:r w:rsidR="005E6197">
              <w:rPr>
                <w:rFonts w:cs="Calibri"/>
                <w:b/>
                <w:bCs/>
                <w:color w:val="000000"/>
                <w:sz w:val="24"/>
                <w:szCs w:val="22"/>
              </w:rPr>
              <w:t>318.12</w:t>
            </w:r>
          </w:p>
        </w:tc>
      </w:tr>
    </w:tbl>
    <w:bookmarkEnd w:id="1"/>
    <w:bookmarkEnd w:id="0"/>
    <w:p w:rsidR="006A3F77" w:rsidP="00EF2869" w14:paraId="292088F8" w14:textId="77777777">
      <w:pPr>
        <w:rPr>
          <w:color w:val="000000"/>
        </w:rPr>
      </w:pPr>
      <w:r>
        <w:rPr>
          <w:color w:val="000000"/>
        </w:rPr>
        <w:t xml:space="preserve">* </w:t>
      </w:r>
      <w:r w:rsidRPr="00B1503E">
        <w:rPr>
          <w:color w:val="000000"/>
        </w:rPr>
        <w:t xml:space="preserve">Estimated burden hours are a count of projects subject to budget-based rent adjustments, and cooperative housing. </w:t>
      </w:r>
    </w:p>
    <w:p w:rsidR="006A3F77" w:rsidP="00EF2869" w14:paraId="603348A4" w14:textId="77777777">
      <w:pPr>
        <w:rPr>
          <w:color w:val="000000"/>
        </w:rPr>
      </w:pPr>
      <w:r>
        <w:rPr>
          <w:color w:val="000000"/>
        </w:rPr>
        <w:t xml:space="preserve">** </w:t>
      </w:r>
      <w:r w:rsidRPr="00B1503E">
        <w:rPr>
          <w:color w:val="000000"/>
        </w:rPr>
        <w:t>The estimated number of respondents providing appeal letters is 100 out of the total 974, so the numbers are not added together</w:t>
      </w:r>
      <w:r>
        <w:rPr>
          <w:color w:val="000000"/>
        </w:rPr>
        <w:t>.</w:t>
      </w:r>
    </w:p>
    <w:p w:rsidR="00114B2A" w:rsidRPr="00114B2A" w:rsidP="00EF2869" w14:paraId="2C3A91C2" w14:textId="0C725F7E">
      <w:pPr>
        <w:keepLines/>
        <w:tabs>
          <w:tab w:val="left" w:pos="360"/>
          <w:tab w:val="left" w:pos="720"/>
          <w:tab w:val="center" w:pos="1680"/>
          <w:tab w:val="center" w:pos="3120"/>
          <w:tab w:val="center" w:pos="4560"/>
          <w:tab w:val="center" w:pos="6000"/>
          <w:tab w:val="center" w:pos="7440"/>
          <w:tab w:val="center" w:pos="8880"/>
        </w:tabs>
        <w:rPr>
          <w:color w:val="000000"/>
        </w:rPr>
      </w:pPr>
      <w:r>
        <w:rPr>
          <w:color w:val="000000"/>
        </w:rPr>
        <w:t xml:space="preserve">*** </w:t>
      </w:r>
      <w:r w:rsidR="000E66EF">
        <w:rPr>
          <w:color w:val="000000"/>
        </w:rPr>
        <w:t>Mean c</w:t>
      </w:r>
      <w:r w:rsidRPr="00114B2A">
        <w:rPr>
          <w:color w:val="000000"/>
        </w:rPr>
        <w:t>ost per hour for Property, Real Estate, and Community Association Managers (BLS #11-9141)</w:t>
      </w:r>
      <w:r w:rsidR="0066190F">
        <w:rPr>
          <w:color w:val="000000"/>
        </w:rPr>
        <w:t>.</w:t>
      </w:r>
    </w:p>
    <w:p w:rsidR="00114B2A" w:rsidP="00B52C29" w14:paraId="061A95BA" w14:textId="5DF68E4D">
      <w:pPr>
        <w:keepLines/>
        <w:tabs>
          <w:tab w:val="left" w:pos="360"/>
          <w:tab w:val="left" w:pos="720"/>
          <w:tab w:val="center" w:pos="1680"/>
          <w:tab w:val="center" w:pos="3120"/>
          <w:tab w:val="center" w:pos="4560"/>
          <w:tab w:val="center" w:pos="6000"/>
          <w:tab w:val="center" w:pos="7440"/>
          <w:tab w:val="center" w:pos="8880"/>
        </w:tabs>
        <w:ind w:left="720"/>
        <w:rPr>
          <w:color w:val="000000"/>
        </w:rPr>
      </w:pPr>
    </w:p>
    <w:p w:rsidR="00B52C29" w:rsidRPr="00DD1CCE" w:rsidP="00B52C29" w14:paraId="2DB14558" w14:textId="77777777">
      <w:pPr>
        <w:keepLines/>
        <w:tabs>
          <w:tab w:val="left" w:pos="360"/>
          <w:tab w:val="left" w:pos="720"/>
          <w:tab w:val="center" w:pos="1680"/>
          <w:tab w:val="center" w:pos="3120"/>
          <w:tab w:val="center" w:pos="4560"/>
          <w:tab w:val="center" w:pos="6000"/>
          <w:tab w:val="center" w:pos="7440"/>
          <w:tab w:val="center" w:pos="8880"/>
        </w:tabs>
        <w:ind w:left="720"/>
        <w:rPr>
          <w:b/>
          <w:bCs/>
          <w:sz w:val="24"/>
          <w:szCs w:val="24"/>
        </w:rPr>
      </w:pPr>
    </w:p>
    <w:p w:rsidR="00DD1CCE" w:rsidRPr="00DD1CCE" w:rsidP="00DD1CCE" w14:paraId="54CF559D" w14:textId="77777777">
      <w:pPr>
        <w:tabs>
          <w:tab w:val="left" w:pos="360"/>
        </w:tabs>
        <w:ind w:left="360" w:hanging="360"/>
        <w:rPr>
          <w:b/>
          <w:bCs/>
          <w:sz w:val="24"/>
          <w:szCs w:val="24"/>
        </w:rPr>
      </w:pPr>
      <w:r w:rsidRPr="00DD1CCE">
        <w:rPr>
          <w:b/>
          <w:bCs/>
          <w:sz w:val="24"/>
          <w:szCs w:val="24"/>
        </w:rPr>
        <w:t>13.</w:t>
      </w:r>
      <w:r w:rsidRPr="00DD1CCE">
        <w:rPr>
          <w:b/>
          <w:bCs/>
          <w:sz w:val="24"/>
          <w:szCs w:val="24"/>
        </w:rPr>
        <w:tab/>
        <w:t>Provide an estimate of the total annual cost burden to respondents or recordkeepers resulting from the collection of information. (Do not include the cost of any hour burden already reflected on the burden worksheet shown in Items 12 and 14).</w:t>
      </w:r>
    </w:p>
    <w:p w:rsidR="00DD1CCE" w:rsidRPr="00DD1CCE" w:rsidP="00DD1CCE" w14:paraId="31143B5B" w14:textId="77777777">
      <w:pPr>
        <w:tabs>
          <w:tab w:val="left" w:pos="360"/>
        </w:tabs>
        <w:ind w:left="360" w:hanging="360"/>
        <w:rPr>
          <w:b/>
          <w:bCs/>
          <w:sz w:val="24"/>
          <w:szCs w:val="24"/>
        </w:rPr>
      </w:pPr>
      <w:r w:rsidRPr="00DD1CCE">
        <w:rPr>
          <w:b/>
          <w:bCs/>
          <w:sz w:val="24"/>
          <w:szCs w:val="24"/>
        </w:rPr>
        <w:t xml:space="preserve"> </w:t>
      </w:r>
    </w:p>
    <w:p w:rsidR="00DD1CCE" w:rsidRPr="00DD1CCE" w:rsidP="00DD1CCE" w14:paraId="7035EB4C" w14:textId="77777777">
      <w:pPr>
        <w:numPr>
          <w:ilvl w:val="0"/>
          <w:numId w:val="2"/>
        </w:numPr>
        <w:tabs>
          <w:tab w:val="left" w:pos="360"/>
        </w:tabs>
        <w:ind w:left="480"/>
        <w:rPr>
          <w:b/>
          <w:bCs/>
          <w:sz w:val="24"/>
          <w:szCs w:val="24"/>
        </w:rPr>
      </w:pPr>
      <w:r w:rsidRPr="00DD1CCE">
        <w:rPr>
          <w:b/>
          <w:bCs/>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w:t>
      </w:r>
      <w:r w:rsidRPr="00DD1CCE">
        <w:rPr>
          <w:b/>
          <w:bCs/>
          <w:sz w:val="24"/>
          <w:szCs w:val="24"/>
        </w:rPr>
        <w:t>take into account</w:t>
      </w:r>
      <w:r w:rsidRPr="00DD1CCE">
        <w:rPr>
          <w:b/>
          <w:bCs/>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DD1CCE">
        <w:rPr>
          <w:b/>
          <w:bCs/>
          <w:sz w:val="24"/>
          <w:szCs w:val="24"/>
        </w:rPr>
        <w:t>time period</w:t>
      </w:r>
      <w:r w:rsidRPr="00DD1CCE">
        <w:rPr>
          <w:b/>
          <w:bCs/>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w:t>
      </w:r>
      <w:r w:rsidRPr="00DD1CCE">
        <w:rPr>
          <w:b/>
          <w:bCs/>
          <w:sz w:val="24"/>
          <w:szCs w:val="24"/>
        </w:rPr>
        <w:t>facilities;</w:t>
      </w:r>
      <w:r w:rsidRPr="00DD1CCE">
        <w:rPr>
          <w:b/>
          <w:bCs/>
          <w:sz w:val="24"/>
          <w:szCs w:val="24"/>
        </w:rPr>
        <w:t xml:space="preserve"> </w:t>
      </w:r>
    </w:p>
    <w:p w:rsidR="00DD1CCE" w:rsidRPr="00DD1CCE" w:rsidP="00DD1CCE" w14:paraId="5F90A942" w14:textId="77777777">
      <w:pPr>
        <w:numPr>
          <w:ilvl w:val="0"/>
          <w:numId w:val="2"/>
        </w:numPr>
        <w:tabs>
          <w:tab w:val="left" w:pos="360"/>
        </w:tabs>
        <w:ind w:left="480"/>
        <w:rPr>
          <w:b/>
          <w:bCs/>
          <w:sz w:val="24"/>
          <w:szCs w:val="24"/>
        </w:rPr>
      </w:pPr>
      <w:r w:rsidRPr="00DD1CCE">
        <w:rPr>
          <w:b/>
          <w:bCs/>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w:t>
      </w:r>
      <w:r w:rsidRPr="00DD1CCE">
        <w:rPr>
          <w:b/>
          <w:bCs/>
          <w:sz w:val="24"/>
          <w:szCs w:val="24"/>
        </w:rPr>
        <w:t xml:space="preserve">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DD1CCE" w:rsidP="00DD1CCE" w14:paraId="4BBA437C" w14:textId="77777777">
      <w:pPr>
        <w:keepLines/>
        <w:numPr>
          <w:ilvl w:val="0"/>
          <w:numId w:val="2"/>
        </w:numPr>
        <w:tabs>
          <w:tab w:val="left" w:pos="360"/>
        </w:tabs>
        <w:spacing w:after="80"/>
        <w:ind w:left="480"/>
        <w:rPr>
          <w:b/>
          <w:bCs/>
          <w:sz w:val="24"/>
          <w:szCs w:val="24"/>
        </w:rPr>
      </w:pPr>
      <w:r w:rsidRPr="00DD1CCE">
        <w:rPr>
          <w:b/>
          <w:bCs/>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EF2869" w:rsidP="006A3F77" w14:paraId="3B278658" w14:textId="77777777">
      <w:pPr>
        <w:rPr>
          <w:color w:val="000000"/>
          <w:sz w:val="24"/>
        </w:rPr>
      </w:pPr>
    </w:p>
    <w:p w:rsidR="006A3F77" w:rsidP="00EF2869" w14:paraId="4B561679" w14:textId="0DA98387">
      <w:pPr>
        <w:ind w:left="336"/>
        <w:rPr>
          <w:color w:val="000000"/>
          <w:sz w:val="24"/>
        </w:rPr>
      </w:pPr>
      <w:r w:rsidRPr="006A3F77">
        <w:rPr>
          <w:color w:val="000000"/>
          <w:sz w:val="24"/>
        </w:rPr>
        <w:t>No additional costs to respondents are anticipated.</w:t>
      </w:r>
    </w:p>
    <w:p w:rsidR="006A3F77" w:rsidRPr="006A3F77" w:rsidP="006A3F77" w14:paraId="3651A43B" w14:textId="77777777">
      <w:pPr>
        <w:rPr>
          <w:color w:val="000000"/>
          <w:sz w:val="24"/>
        </w:rPr>
      </w:pPr>
    </w:p>
    <w:p w:rsidR="00DD1CCE" w:rsidRPr="00DD1CCE" w:rsidP="00DD1CCE" w14:paraId="43BBC536" w14:textId="77777777">
      <w:pPr>
        <w:keepLines/>
        <w:tabs>
          <w:tab w:val="left" w:pos="360"/>
        </w:tabs>
        <w:spacing w:after="80"/>
        <w:ind w:left="360" w:hanging="360"/>
        <w:rPr>
          <w:b/>
          <w:bCs/>
          <w:sz w:val="24"/>
          <w:szCs w:val="24"/>
        </w:rPr>
      </w:pPr>
      <w:r w:rsidRPr="00DD1CCE">
        <w:rPr>
          <w:b/>
          <w:bCs/>
          <w:sz w:val="24"/>
          <w:szCs w:val="24"/>
        </w:rPr>
        <w:t>14.</w:t>
      </w:r>
      <w:r w:rsidRPr="00DD1CCE">
        <w:rPr>
          <w:b/>
          <w:bCs/>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0DD1CCE">
        <w:rPr>
          <w:b/>
          <w:bCs/>
          <w:sz w:val="24"/>
          <w:szCs w:val="24"/>
        </w:rPr>
        <w:t>expense</w:t>
      </w:r>
      <w:r w:rsidRPr="00DD1CCE">
        <w:rPr>
          <w:b/>
          <w:bCs/>
          <w:sz w:val="24"/>
          <w:szCs w:val="24"/>
        </w:rPr>
        <w:t xml:space="preserve"> that would not have been incurred without this collection of information.  Agencies also may aggregate cost estimates from Items 12, 13, and 14 in a single table.</w:t>
      </w:r>
    </w:p>
    <w:tbl>
      <w:tblPr>
        <w:tblW w:w="10296" w:type="dxa"/>
        <w:tblInd w:w="-108" w:type="dxa"/>
        <w:tblLook w:val="04A0"/>
      </w:tblPr>
      <w:tblGrid>
        <w:gridCol w:w="1818"/>
        <w:gridCol w:w="1432"/>
        <w:gridCol w:w="1219"/>
        <w:gridCol w:w="1182"/>
        <w:gridCol w:w="1170"/>
        <w:gridCol w:w="1080"/>
        <w:gridCol w:w="1099"/>
        <w:gridCol w:w="1296"/>
      </w:tblGrid>
      <w:tr w14:paraId="62429F7D" w14:textId="77777777" w:rsidTr="00EF2869">
        <w:tblPrEx>
          <w:tblW w:w="10296" w:type="dxa"/>
          <w:tblInd w:w="-108" w:type="dxa"/>
          <w:tblLook w:val="04A0"/>
        </w:tblPrEx>
        <w:trPr>
          <w:trHeight w:val="288"/>
        </w:trPr>
        <w:tc>
          <w:tcPr>
            <w:tcW w:w="10296" w:type="dxa"/>
            <w:gridSpan w:val="8"/>
            <w:tcBorders>
              <w:top w:val="nil"/>
              <w:left w:val="nil"/>
              <w:bottom w:val="nil"/>
              <w:right w:val="nil"/>
            </w:tcBorders>
            <w:shd w:val="clear" w:color="auto" w:fill="auto"/>
            <w:noWrap/>
            <w:vAlign w:val="center"/>
            <w:hideMark/>
          </w:tcPr>
          <w:p w:rsidR="006A3F77" w:rsidRPr="007A7DED" w:rsidP="006A3F77" w14:paraId="1D5508E3" w14:textId="5AA236F8">
            <w:pPr>
              <w:overflowPunct/>
              <w:autoSpaceDE/>
              <w:autoSpaceDN/>
              <w:adjustRightInd/>
              <w:jc w:val="center"/>
              <w:textAlignment w:val="auto"/>
              <w:rPr>
                <w:rFonts w:cs="Calibri"/>
                <w:color w:val="000000"/>
                <w:sz w:val="24"/>
                <w:szCs w:val="22"/>
              </w:rPr>
            </w:pPr>
            <w:r w:rsidRPr="007A7DED">
              <w:rPr>
                <w:rFonts w:cs="Calibri"/>
                <w:b/>
                <w:bCs/>
                <w:color w:val="000000"/>
                <w:sz w:val="24"/>
                <w:szCs w:val="22"/>
              </w:rPr>
              <w:t>Estimates of Annualized Cost to the Federal Government</w:t>
            </w:r>
          </w:p>
        </w:tc>
      </w:tr>
      <w:tr w14:paraId="4BD82464" w14:textId="77777777" w:rsidTr="00EF2869">
        <w:tblPrEx>
          <w:tblW w:w="10296" w:type="dxa"/>
          <w:tblInd w:w="-108" w:type="dxa"/>
          <w:tblLook w:val="04A0"/>
        </w:tblPrEx>
        <w:trPr>
          <w:trHeight w:val="138"/>
        </w:trPr>
        <w:tc>
          <w:tcPr>
            <w:tcW w:w="1818" w:type="dxa"/>
            <w:tcBorders>
              <w:top w:val="nil"/>
              <w:left w:val="nil"/>
              <w:bottom w:val="nil"/>
              <w:right w:val="nil"/>
            </w:tcBorders>
            <w:shd w:val="clear" w:color="auto" w:fill="auto"/>
            <w:noWrap/>
            <w:vAlign w:val="bottom"/>
            <w:hideMark/>
          </w:tcPr>
          <w:p w:rsidR="006A3F77" w:rsidRPr="007A7DED" w:rsidP="00212ABE" w14:paraId="30ED7300" w14:textId="77777777">
            <w:pPr>
              <w:overflowPunct/>
              <w:autoSpaceDE/>
              <w:autoSpaceDN/>
              <w:adjustRightInd/>
              <w:textAlignment w:val="auto"/>
              <w:rPr>
                <w:rFonts w:cs="Calibri"/>
                <w:color w:val="000000"/>
                <w:sz w:val="24"/>
                <w:szCs w:val="22"/>
              </w:rPr>
            </w:pPr>
          </w:p>
        </w:tc>
        <w:tc>
          <w:tcPr>
            <w:tcW w:w="1432" w:type="dxa"/>
            <w:tcBorders>
              <w:top w:val="nil"/>
              <w:left w:val="nil"/>
              <w:bottom w:val="nil"/>
              <w:right w:val="nil"/>
            </w:tcBorders>
            <w:shd w:val="clear" w:color="auto" w:fill="auto"/>
            <w:noWrap/>
            <w:vAlign w:val="bottom"/>
            <w:hideMark/>
          </w:tcPr>
          <w:p w:rsidR="006A3F77" w:rsidRPr="007A7DED" w:rsidP="00212ABE" w14:paraId="206192C1" w14:textId="77777777">
            <w:pPr>
              <w:overflowPunct/>
              <w:autoSpaceDE/>
              <w:autoSpaceDN/>
              <w:adjustRightInd/>
              <w:textAlignment w:val="auto"/>
              <w:rPr>
                <w:rFonts w:cs="Calibri"/>
                <w:color w:val="000000"/>
                <w:sz w:val="24"/>
                <w:szCs w:val="22"/>
              </w:rPr>
            </w:pPr>
          </w:p>
        </w:tc>
        <w:tc>
          <w:tcPr>
            <w:tcW w:w="1219" w:type="dxa"/>
            <w:tcBorders>
              <w:top w:val="nil"/>
              <w:left w:val="nil"/>
              <w:bottom w:val="nil"/>
              <w:right w:val="nil"/>
            </w:tcBorders>
            <w:shd w:val="clear" w:color="auto" w:fill="auto"/>
            <w:noWrap/>
            <w:vAlign w:val="bottom"/>
            <w:hideMark/>
          </w:tcPr>
          <w:p w:rsidR="006A3F77" w:rsidRPr="007A7DED" w:rsidP="00212ABE" w14:paraId="5A47C217" w14:textId="77777777">
            <w:pPr>
              <w:overflowPunct/>
              <w:autoSpaceDE/>
              <w:autoSpaceDN/>
              <w:adjustRightInd/>
              <w:textAlignment w:val="auto"/>
              <w:rPr>
                <w:rFonts w:cs="Calibri"/>
                <w:color w:val="000000"/>
                <w:sz w:val="24"/>
                <w:szCs w:val="22"/>
              </w:rPr>
            </w:pPr>
          </w:p>
        </w:tc>
        <w:tc>
          <w:tcPr>
            <w:tcW w:w="1182" w:type="dxa"/>
            <w:tcBorders>
              <w:top w:val="nil"/>
              <w:left w:val="nil"/>
              <w:bottom w:val="nil"/>
              <w:right w:val="nil"/>
            </w:tcBorders>
            <w:shd w:val="clear" w:color="auto" w:fill="auto"/>
            <w:noWrap/>
            <w:vAlign w:val="bottom"/>
            <w:hideMark/>
          </w:tcPr>
          <w:p w:rsidR="006A3F77" w:rsidRPr="007A7DED" w:rsidP="00212ABE" w14:paraId="0DEDCD3E" w14:textId="77777777">
            <w:pPr>
              <w:overflowPunct/>
              <w:autoSpaceDE/>
              <w:autoSpaceDN/>
              <w:adjustRightInd/>
              <w:textAlignment w:val="auto"/>
              <w:rPr>
                <w:rFonts w:cs="Calibri"/>
                <w:color w:val="000000"/>
                <w:sz w:val="24"/>
                <w:szCs w:val="22"/>
              </w:rPr>
            </w:pPr>
          </w:p>
        </w:tc>
        <w:tc>
          <w:tcPr>
            <w:tcW w:w="1170" w:type="dxa"/>
            <w:tcBorders>
              <w:top w:val="nil"/>
              <w:left w:val="nil"/>
              <w:bottom w:val="nil"/>
              <w:right w:val="nil"/>
            </w:tcBorders>
            <w:shd w:val="clear" w:color="auto" w:fill="auto"/>
            <w:noWrap/>
            <w:vAlign w:val="bottom"/>
            <w:hideMark/>
          </w:tcPr>
          <w:p w:rsidR="006A3F77" w:rsidRPr="007A7DED" w:rsidP="00212ABE" w14:paraId="76E771AD" w14:textId="77777777">
            <w:pPr>
              <w:overflowPunct/>
              <w:autoSpaceDE/>
              <w:autoSpaceDN/>
              <w:adjustRightInd/>
              <w:textAlignment w:val="auto"/>
              <w:rPr>
                <w:rFonts w:cs="Calibri"/>
                <w:color w:val="000000"/>
                <w:sz w:val="24"/>
                <w:szCs w:val="22"/>
              </w:rPr>
            </w:pPr>
          </w:p>
        </w:tc>
        <w:tc>
          <w:tcPr>
            <w:tcW w:w="1080" w:type="dxa"/>
            <w:tcBorders>
              <w:top w:val="nil"/>
              <w:left w:val="nil"/>
              <w:bottom w:val="nil"/>
              <w:right w:val="nil"/>
            </w:tcBorders>
            <w:shd w:val="clear" w:color="auto" w:fill="auto"/>
            <w:noWrap/>
            <w:vAlign w:val="bottom"/>
            <w:hideMark/>
          </w:tcPr>
          <w:p w:rsidR="006A3F77" w:rsidRPr="007A7DED" w:rsidP="00212ABE" w14:paraId="2800F5DB" w14:textId="77777777">
            <w:pPr>
              <w:overflowPunct/>
              <w:autoSpaceDE/>
              <w:autoSpaceDN/>
              <w:adjustRightInd/>
              <w:textAlignment w:val="auto"/>
              <w:rPr>
                <w:rFonts w:cs="Calibri"/>
                <w:color w:val="000000"/>
                <w:sz w:val="24"/>
                <w:szCs w:val="22"/>
              </w:rPr>
            </w:pPr>
          </w:p>
        </w:tc>
        <w:tc>
          <w:tcPr>
            <w:tcW w:w="1099" w:type="dxa"/>
            <w:tcBorders>
              <w:top w:val="nil"/>
              <w:left w:val="nil"/>
              <w:bottom w:val="nil"/>
              <w:right w:val="nil"/>
            </w:tcBorders>
            <w:shd w:val="clear" w:color="auto" w:fill="auto"/>
            <w:noWrap/>
            <w:vAlign w:val="bottom"/>
            <w:hideMark/>
          </w:tcPr>
          <w:p w:rsidR="006A3F77" w:rsidRPr="007A7DED" w:rsidP="00212ABE" w14:paraId="47E49DB6" w14:textId="77777777">
            <w:pPr>
              <w:overflowPunct/>
              <w:autoSpaceDE/>
              <w:autoSpaceDN/>
              <w:adjustRightInd/>
              <w:textAlignment w:val="auto"/>
              <w:rPr>
                <w:rFonts w:cs="Calibri"/>
                <w:color w:val="000000"/>
                <w:sz w:val="24"/>
                <w:szCs w:val="22"/>
              </w:rPr>
            </w:pPr>
          </w:p>
        </w:tc>
        <w:tc>
          <w:tcPr>
            <w:tcW w:w="1296" w:type="dxa"/>
            <w:tcBorders>
              <w:top w:val="nil"/>
              <w:left w:val="nil"/>
              <w:bottom w:val="nil"/>
              <w:right w:val="nil"/>
            </w:tcBorders>
            <w:shd w:val="clear" w:color="auto" w:fill="auto"/>
            <w:noWrap/>
            <w:vAlign w:val="bottom"/>
            <w:hideMark/>
          </w:tcPr>
          <w:p w:rsidR="006A3F77" w:rsidRPr="007A7DED" w:rsidP="00212ABE" w14:paraId="28833013" w14:textId="77777777">
            <w:pPr>
              <w:overflowPunct/>
              <w:autoSpaceDE/>
              <w:autoSpaceDN/>
              <w:adjustRightInd/>
              <w:textAlignment w:val="auto"/>
              <w:rPr>
                <w:rFonts w:cs="Calibri"/>
                <w:color w:val="000000"/>
                <w:sz w:val="24"/>
                <w:szCs w:val="22"/>
              </w:rPr>
            </w:pPr>
          </w:p>
        </w:tc>
      </w:tr>
      <w:tr w14:paraId="0176856E" w14:textId="77777777" w:rsidTr="00EF2869">
        <w:tblPrEx>
          <w:tblW w:w="10296" w:type="dxa"/>
          <w:tblInd w:w="-108" w:type="dxa"/>
          <w:tblLook w:val="04A0"/>
        </w:tblPrEx>
        <w:trPr>
          <w:trHeight w:val="864"/>
        </w:trPr>
        <w:tc>
          <w:tcPr>
            <w:tcW w:w="1818" w:type="dxa"/>
            <w:tcBorders>
              <w:top w:val="single" w:sz="4" w:space="0" w:color="auto"/>
              <w:left w:val="single" w:sz="4" w:space="0" w:color="auto"/>
              <w:bottom w:val="single" w:sz="4" w:space="0" w:color="auto"/>
              <w:right w:val="single" w:sz="4" w:space="0" w:color="auto"/>
            </w:tcBorders>
            <w:shd w:val="clear" w:color="auto" w:fill="auto"/>
            <w:hideMark/>
          </w:tcPr>
          <w:p w:rsidR="006A3F77" w:rsidRPr="00BE7F3B" w:rsidP="00212ABE" w14:paraId="3DF8E1DA" w14:textId="77777777">
            <w:pPr>
              <w:overflowPunct/>
              <w:autoSpaceDE/>
              <w:autoSpaceDN/>
              <w:adjustRightInd/>
              <w:jc w:val="center"/>
              <w:textAlignment w:val="auto"/>
              <w:rPr>
                <w:rFonts w:cs="Calibri"/>
                <w:b/>
                <w:bCs/>
                <w:color w:val="000000"/>
              </w:rPr>
            </w:pPr>
            <w:r w:rsidRPr="00BE7F3B">
              <w:rPr>
                <w:rFonts w:cs="Calibri"/>
                <w:b/>
                <w:bCs/>
                <w:color w:val="000000"/>
              </w:rPr>
              <w:t>Information</w:t>
            </w:r>
            <w:r w:rsidRPr="00BE7F3B">
              <w:rPr>
                <w:rFonts w:cs="Calibri"/>
                <w:b/>
                <w:bCs/>
                <w:color w:val="000000"/>
              </w:rPr>
              <w:br/>
              <w:t>Collection</w:t>
            </w:r>
          </w:p>
        </w:tc>
        <w:tc>
          <w:tcPr>
            <w:tcW w:w="1432" w:type="dxa"/>
            <w:tcBorders>
              <w:top w:val="single" w:sz="4" w:space="0" w:color="auto"/>
              <w:left w:val="nil"/>
              <w:bottom w:val="single" w:sz="4" w:space="0" w:color="auto"/>
              <w:right w:val="single" w:sz="4" w:space="0" w:color="auto"/>
            </w:tcBorders>
            <w:shd w:val="clear" w:color="auto" w:fill="auto"/>
            <w:hideMark/>
          </w:tcPr>
          <w:p w:rsidR="006A3F77" w:rsidRPr="00BE7F3B" w:rsidP="00212ABE" w14:paraId="0FFD33A7" w14:textId="77777777">
            <w:pPr>
              <w:overflowPunct/>
              <w:autoSpaceDE/>
              <w:autoSpaceDN/>
              <w:adjustRightInd/>
              <w:jc w:val="center"/>
              <w:textAlignment w:val="auto"/>
              <w:rPr>
                <w:rFonts w:cs="Calibri"/>
                <w:b/>
                <w:bCs/>
                <w:color w:val="000000"/>
              </w:rPr>
            </w:pPr>
            <w:r w:rsidRPr="00BE7F3B">
              <w:rPr>
                <w:rFonts w:cs="Calibri"/>
                <w:b/>
                <w:bCs/>
                <w:color w:val="000000"/>
              </w:rPr>
              <w:t xml:space="preserve">Number </w:t>
            </w:r>
            <w:r w:rsidRPr="00BE7F3B">
              <w:rPr>
                <w:rFonts w:cs="Calibri"/>
                <w:b/>
                <w:bCs/>
                <w:color w:val="000000"/>
              </w:rPr>
              <w:br/>
              <w:t xml:space="preserve">of </w:t>
            </w:r>
            <w:r w:rsidRPr="00BE7F3B">
              <w:rPr>
                <w:rFonts w:cs="Calibri"/>
                <w:b/>
                <w:bCs/>
                <w:color w:val="000000"/>
              </w:rPr>
              <w:br/>
              <w:t>Respondents</w:t>
            </w:r>
          </w:p>
        </w:tc>
        <w:tc>
          <w:tcPr>
            <w:tcW w:w="1219" w:type="dxa"/>
            <w:tcBorders>
              <w:top w:val="single" w:sz="4" w:space="0" w:color="auto"/>
              <w:left w:val="nil"/>
              <w:bottom w:val="single" w:sz="4" w:space="0" w:color="auto"/>
              <w:right w:val="single" w:sz="4" w:space="0" w:color="auto"/>
            </w:tcBorders>
            <w:shd w:val="clear" w:color="auto" w:fill="auto"/>
            <w:hideMark/>
          </w:tcPr>
          <w:p w:rsidR="006A3F77" w:rsidRPr="00BE7F3B" w:rsidP="00212ABE" w14:paraId="7FB33DC5" w14:textId="77777777">
            <w:pPr>
              <w:overflowPunct/>
              <w:autoSpaceDE/>
              <w:autoSpaceDN/>
              <w:adjustRightInd/>
              <w:jc w:val="center"/>
              <w:textAlignment w:val="auto"/>
              <w:rPr>
                <w:rFonts w:cs="Calibri"/>
                <w:b/>
                <w:bCs/>
                <w:color w:val="000000"/>
              </w:rPr>
            </w:pPr>
            <w:r w:rsidRPr="00BE7F3B">
              <w:rPr>
                <w:rFonts w:cs="Calibri"/>
                <w:b/>
                <w:bCs/>
                <w:color w:val="000000"/>
              </w:rPr>
              <w:t xml:space="preserve">Frequency </w:t>
            </w:r>
            <w:r w:rsidRPr="00BE7F3B">
              <w:rPr>
                <w:rFonts w:cs="Calibri"/>
                <w:b/>
                <w:bCs/>
                <w:color w:val="000000"/>
              </w:rPr>
              <w:br/>
              <w:t xml:space="preserve">of </w:t>
            </w:r>
            <w:r w:rsidRPr="00BE7F3B">
              <w:rPr>
                <w:rFonts w:cs="Calibri"/>
                <w:b/>
                <w:bCs/>
                <w:color w:val="000000"/>
              </w:rPr>
              <w:br/>
              <w:t>Response</w:t>
            </w:r>
          </w:p>
        </w:tc>
        <w:tc>
          <w:tcPr>
            <w:tcW w:w="1182" w:type="dxa"/>
            <w:tcBorders>
              <w:top w:val="single" w:sz="4" w:space="0" w:color="auto"/>
              <w:left w:val="nil"/>
              <w:bottom w:val="single" w:sz="4" w:space="0" w:color="auto"/>
              <w:right w:val="single" w:sz="4" w:space="0" w:color="auto"/>
            </w:tcBorders>
            <w:shd w:val="clear" w:color="auto" w:fill="auto"/>
            <w:hideMark/>
          </w:tcPr>
          <w:p w:rsidR="006A3F77" w:rsidRPr="00BE7F3B" w:rsidP="00212ABE" w14:paraId="1A559FEF" w14:textId="77777777">
            <w:pPr>
              <w:overflowPunct/>
              <w:autoSpaceDE/>
              <w:autoSpaceDN/>
              <w:adjustRightInd/>
              <w:jc w:val="center"/>
              <w:textAlignment w:val="auto"/>
              <w:rPr>
                <w:rFonts w:cs="Calibri"/>
                <w:b/>
                <w:bCs/>
                <w:color w:val="000000"/>
              </w:rPr>
            </w:pPr>
            <w:r w:rsidRPr="00BE7F3B">
              <w:rPr>
                <w:rFonts w:cs="Calibri"/>
                <w:b/>
                <w:bCs/>
                <w:color w:val="000000"/>
              </w:rPr>
              <w:t xml:space="preserve">Total </w:t>
            </w:r>
            <w:r w:rsidRPr="00BE7F3B">
              <w:rPr>
                <w:rFonts w:cs="Calibri"/>
                <w:b/>
                <w:bCs/>
                <w:color w:val="000000"/>
              </w:rPr>
              <w:br/>
              <w:t xml:space="preserve">Annual </w:t>
            </w:r>
            <w:r w:rsidRPr="00BE7F3B">
              <w:rPr>
                <w:rFonts w:cs="Calibri"/>
                <w:b/>
                <w:bCs/>
                <w:color w:val="000000"/>
              </w:rPr>
              <w:br/>
              <w:t>Responses</w:t>
            </w:r>
          </w:p>
        </w:tc>
        <w:tc>
          <w:tcPr>
            <w:tcW w:w="1170" w:type="dxa"/>
            <w:tcBorders>
              <w:top w:val="single" w:sz="4" w:space="0" w:color="auto"/>
              <w:left w:val="nil"/>
              <w:bottom w:val="single" w:sz="4" w:space="0" w:color="auto"/>
              <w:right w:val="single" w:sz="4" w:space="0" w:color="auto"/>
            </w:tcBorders>
            <w:shd w:val="clear" w:color="auto" w:fill="auto"/>
            <w:hideMark/>
          </w:tcPr>
          <w:p w:rsidR="006A3F77" w:rsidRPr="00BE7F3B" w:rsidP="00212ABE" w14:paraId="61E566EB" w14:textId="77777777">
            <w:pPr>
              <w:overflowPunct/>
              <w:autoSpaceDE/>
              <w:autoSpaceDN/>
              <w:adjustRightInd/>
              <w:jc w:val="center"/>
              <w:textAlignment w:val="auto"/>
              <w:rPr>
                <w:rFonts w:cs="Calibri"/>
                <w:b/>
                <w:bCs/>
                <w:color w:val="000000"/>
              </w:rPr>
            </w:pPr>
            <w:r w:rsidRPr="00BE7F3B">
              <w:rPr>
                <w:rFonts w:cs="Calibri"/>
                <w:b/>
                <w:bCs/>
                <w:color w:val="000000"/>
              </w:rPr>
              <w:t xml:space="preserve">Burden </w:t>
            </w:r>
            <w:r w:rsidRPr="00BE7F3B">
              <w:rPr>
                <w:rFonts w:cs="Calibri"/>
                <w:b/>
                <w:bCs/>
                <w:color w:val="000000"/>
              </w:rPr>
              <w:br/>
              <w:t xml:space="preserve">Hours per </w:t>
            </w:r>
            <w:r w:rsidRPr="00BE7F3B">
              <w:rPr>
                <w:rFonts w:cs="Calibri"/>
                <w:b/>
                <w:bCs/>
                <w:color w:val="000000"/>
              </w:rPr>
              <w:br/>
              <w:t>Response</w:t>
            </w:r>
          </w:p>
        </w:tc>
        <w:tc>
          <w:tcPr>
            <w:tcW w:w="1080" w:type="dxa"/>
            <w:tcBorders>
              <w:top w:val="single" w:sz="4" w:space="0" w:color="auto"/>
              <w:left w:val="nil"/>
              <w:bottom w:val="single" w:sz="4" w:space="0" w:color="auto"/>
              <w:right w:val="single" w:sz="4" w:space="0" w:color="auto"/>
            </w:tcBorders>
            <w:shd w:val="clear" w:color="auto" w:fill="auto"/>
            <w:hideMark/>
          </w:tcPr>
          <w:p w:rsidR="006A3F77" w:rsidRPr="00BE7F3B" w:rsidP="00212ABE" w14:paraId="38AA3012" w14:textId="77777777">
            <w:pPr>
              <w:overflowPunct/>
              <w:autoSpaceDE/>
              <w:autoSpaceDN/>
              <w:adjustRightInd/>
              <w:jc w:val="center"/>
              <w:textAlignment w:val="auto"/>
              <w:rPr>
                <w:rFonts w:cs="Calibri"/>
                <w:b/>
                <w:bCs/>
                <w:color w:val="000000"/>
              </w:rPr>
            </w:pPr>
            <w:r w:rsidRPr="00BE7F3B">
              <w:rPr>
                <w:rFonts w:cs="Calibri"/>
                <w:b/>
                <w:bCs/>
                <w:color w:val="000000"/>
              </w:rPr>
              <w:t xml:space="preserve">Annual </w:t>
            </w:r>
            <w:r w:rsidRPr="00BE7F3B">
              <w:rPr>
                <w:rFonts w:cs="Calibri"/>
                <w:b/>
                <w:bCs/>
                <w:color w:val="000000"/>
              </w:rPr>
              <w:br/>
              <w:t xml:space="preserve">Burden </w:t>
            </w:r>
            <w:r w:rsidRPr="00BE7F3B">
              <w:rPr>
                <w:rFonts w:cs="Calibri"/>
                <w:b/>
                <w:bCs/>
                <w:color w:val="000000"/>
              </w:rPr>
              <w:br/>
              <w:t>Hours</w:t>
            </w:r>
          </w:p>
        </w:tc>
        <w:tc>
          <w:tcPr>
            <w:tcW w:w="1099" w:type="dxa"/>
            <w:tcBorders>
              <w:top w:val="single" w:sz="4" w:space="0" w:color="auto"/>
              <w:left w:val="nil"/>
              <w:bottom w:val="single" w:sz="4" w:space="0" w:color="auto"/>
              <w:right w:val="single" w:sz="4" w:space="0" w:color="auto"/>
            </w:tcBorders>
            <w:shd w:val="clear" w:color="auto" w:fill="auto"/>
            <w:hideMark/>
          </w:tcPr>
          <w:p w:rsidR="006A3F77" w:rsidRPr="00BE7F3B" w:rsidP="00212ABE" w14:paraId="7402EF30" w14:textId="77777777">
            <w:pPr>
              <w:overflowPunct/>
              <w:autoSpaceDE/>
              <w:autoSpaceDN/>
              <w:adjustRightInd/>
              <w:jc w:val="center"/>
              <w:textAlignment w:val="auto"/>
              <w:rPr>
                <w:rFonts w:cs="Calibri"/>
                <w:b/>
                <w:bCs/>
                <w:color w:val="000000"/>
              </w:rPr>
            </w:pPr>
            <w:r w:rsidRPr="00BE7F3B">
              <w:rPr>
                <w:rFonts w:cs="Calibri"/>
                <w:b/>
                <w:bCs/>
                <w:color w:val="000000"/>
              </w:rPr>
              <w:t xml:space="preserve">Hourly </w:t>
            </w:r>
            <w:r w:rsidRPr="00BE7F3B">
              <w:rPr>
                <w:rFonts w:cs="Calibri"/>
                <w:b/>
                <w:bCs/>
                <w:color w:val="000000"/>
              </w:rPr>
              <w:br/>
              <w:t>Cost</w:t>
            </w:r>
          </w:p>
        </w:tc>
        <w:tc>
          <w:tcPr>
            <w:tcW w:w="1296" w:type="dxa"/>
            <w:tcBorders>
              <w:top w:val="single" w:sz="4" w:space="0" w:color="auto"/>
              <w:left w:val="nil"/>
              <w:bottom w:val="single" w:sz="4" w:space="0" w:color="auto"/>
              <w:right w:val="single" w:sz="4" w:space="0" w:color="auto"/>
            </w:tcBorders>
            <w:shd w:val="clear" w:color="auto" w:fill="auto"/>
            <w:hideMark/>
          </w:tcPr>
          <w:p w:rsidR="006A3F77" w:rsidRPr="00BE7F3B" w:rsidP="00212ABE" w14:paraId="2F9EFDAC" w14:textId="77777777">
            <w:pPr>
              <w:overflowPunct/>
              <w:autoSpaceDE/>
              <w:autoSpaceDN/>
              <w:adjustRightInd/>
              <w:jc w:val="center"/>
              <w:textAlignment w:val="auto"/>
              <w:rPr>
                <w:rFonts w:cs="Calibri"/>
                <w:b/>
                <w:bCs/>
                <w:color w:val="000000"/>
              </w:rPr>
            </w:pPr>
            <w:r w:rsidRPr="00BE7F3B">
              <w:rPr>
                <w:rFonts w:cs="Calibri"/>
                <w:b/>
                <w:bCs/>
                <w:color w:val="000000"/>
              </w:rPr>
              <w:t xml:space="preserve">Total </w:t>
            </w:r>
            <w:r w:rsidRPr="00BE7F3B">
              <w:rPr>
                <w:rFonts w:cs="Calibri"/>
                <w:b/>
                <w:bCs/>
                <w:color w:val="000000"/>
              </w:rPr>
              <w:br/>
              <w:t xml:space="preserve">Annual </w:t>
            </w:r>
            <w:r w:rsidRPr="00BE7F3B">
              <w:rPr>
                <w:rFonts w:cs="Calibri"/>
                <w:b/>
                <w:bCs/>
                <w:color w:val="000000"/>
              </w:rPr>
              <w:br/>
              <w:t>Cost</w:t>
            </w:r>
          </w:p>
        </w:tc>
      </w:tr>
      <w:tr w14:paraId="6D1AF91C" w14:textId="77777777" w:rsidTr="00EF2869">
        <w:tblPrEx>
          <w:tblW w:w="10296" w:type="dxa"/>
          <w:tblInd w:w="-108" w:type="dxa"/>
          <w:tblLook w:val="04A0"/>
        </w:tblPrEx>
        <w:trPr>
          <w:trHeight w:val="288"/>
        </w:trPr>
        <w:tc>
          <w:tcPr>
            <w:tcW w:w="1818" w:type="dxa"/>
            <w:tcBorders>
              <w:top w:val="nil"/>
              <w:left w:val="single" w:sz="4" w:space="0" w:color="auto"/>
              <w:bottom w:val="single" w:sz="4" w:space="0" w:color="auto"/>
              <w:right w:val="single" w:sz="4" w:space="0" w:color="auto"/>
            </w:tcBorders>
            <w:shd w:val="clear" w:color="auto" w:fill="auto"/>
            <w:vAlign w:val="bottom"/>
            <w:hideMark/>
          </w:tcPr>
          <w:p w:rsidR="006A3F77" w:rsidRPr="007A7DED" w:rsidP="00212ABE" w14:paraId="3AE98D8D" w14:textId="77777777">
            <w:pPr>
              <w:overflowPunct/>
              <w:autoSpaceDE/>
              <w:autoSpaceDN/>
              <w:adjustRightInd/>
              <w:jc w:val="center"/>
              <w:textAlignment w:val="auto"/>
              <w:rPr>
                <w:rFonts w:cs="Arial"/>
                <w:color w:val="000000"/>
                <w:sz w:val="24"/>
                <w:szCs w:val="24"/>
              </w:rPr>
            </w:pPr>
            <w:r w:rsidRPr="007A7DED">
              <w:rPr>
                <w:rFonts w:cs="Arial"/>
                <w:color w:val="000000"/>
                <w:sz w:val="24"/>
                <w:szCs w:val="24"/>
              </w:rPr>
              <w:t>HUD-92547-A</w:t>
            </w:r>
          </w:p>
        </w:tc>
        <w:tc>
          <w:tcPr>
            <w:tcW w:w="1432" w:type="dxa"/>
            <w:tcBorders>
              <w:top w:val="nil"/>
              <w:left w:val="nil"/>
              <w:bottom w:val="single" w:sz="4" w:space="0" w:color="auto"/>
              <w:right w:val="single" w:sz="4" w:space="0" w:color="auto"/>
            </w:tcBorders>
            <w:shd w:val="clear" w:color="auto" w:fill="auto"/>
            <w:noWrap/>
            <w:vAlign w:val="center"/>
            <w:hideMark/>
          </w:tcPr>
          <w:p w:rsidR="006A3F77" w:rsidRPr="007A7DED" w:rsidP="00212ABE" w14:paraId="2CE823BB" w14:textId="77777777">
            <w:pPr>
              <w:overflowPunct/>
              <w:autoSpaceDE/>
              <w:autoSpaceDN/>
              <w:adjustRightInd/>
              <w:jc w:val="center"/>
              <w:textAlignment w:val="auto"/>
              <w:rPr>
                <w:rFonts w:cs="Calibri"/>
                <w:color w:val="000000"/>
                <w:sz w:val="24"/>
                <w:szCs w:val="22"/>
              </w:rPr>
            </w:pPr>
            <w:r w:rsidRPr="007A7DED">
              <w:rPr>
                <w:rFonts w:cs="Calibri"/>
                <w:color w:val="000000"/>
                <w:sz w:val="24"/>
                <w:szCs w:val="22"/>
              </w:rPr>
              <w:t>974</w:t>
            </w:r>
          </w:p>
        </w:tc>
        <w:tc>
          <w:tcPr>
            <w:tcW w:w="1219" w:type="dxa"/>
            <w:tcBorders>
              <w:top w:val="nil"/>
              <w:left w:val="nil"/>
              <w:bottom w:val="single" w:sz="4" w:space="0" w:color="auto"/>
              <w:right w:val="single" w:sz="4" w:space="0" w:color="auto"/>
            </w:tcBorders>
            <w:shd w:val="clear" w:color="auto" w:fill="auto"/>
            <w:noWrap/>
            <w:vAlign w:val="center"/>
            <w:hideMark/>
          </w:tcPr>
          <w:p w:rsidR="006A3F77" w:rsidRPr="007A7DED" w:rsidP="00212ABE" w14:paraId="60AF8324" w14:textId="77777777">
            <w:pPr>
              <w:overflowPunct/>
              <w:autoSpaceDE/>
              <w:autoSpaceDN/>
              <w:adjustRightInd/>
              <w:jc w:val="center"/>
              <w:textAlignment w:val="auto"/>
              <w:rPr>
                <w:rFonts w:cs="Calibri"/>
                <w:color w:val="000000"/>
                <w:sz w:val="24"/>
                <w:szCs w:val="22"/>
              </w:rPr>
            </w:pPr>
            <w:r w:rsidRPr="007A7DED">
              <w:rPr>
                <w:rFonts w:cs="Calibri"/>
                <w:color w:val="000000"/>
                <w:sz w:val="24"/>
                <w:szCs w:val="22"/>
              </w:rPr>
              <w:t>1</w:t>
            </w:r>
          </w:p>
        </w:tc>
        <w:tc>
          <w:tcPr>
            <w:tcW w:w="1182" w:type="dxa"/>
            <w:tcBorders>
              <w:top w:val="nil"/>
              <w:left w:val="nil"/>
              <w:bottom w:val="single" w:sz="4" w:space="0" w:color="auto"/>
              <w:right w:val="single" w:sz="4" w:space="0" w:color="auto"/>
            </w:tcBorders>
            <w:shd w:val="clear" w:color="auto" w:fill="auto"/>
            <w:noWrap/>
            <w:vAlign w:val="center"/>
            <w:hideMark/>
          </w:tcPr>
          <w:p w:rsidR="006A3F77" w:rsidRPr="007A7DED" w:rsidP="00212ABE" w14:paraId="4846DD7C" w14:textId="77777777">
            <w:pPr>
              <w:overflowPunct/>
              <w:autoSpaceDE/>
              <w:autoSpaceDN/>
              <w:adjustRightInd/>
              <w:jc w:val="center"/>
              <w:textAlignment w:val="auto"/>
              <w:rPr>
                <w:rFonts w:cs="Calibri"/>
                <w:color w:val="000000"/>
                <w:sz w:val="24"/>
                <w:szCs w:val="22"/>
              </w:rPr>
            </w:pPr>
            <w:r w:rsidRPr="007A7DED">
              <w:rPr>
                <w:rFonts w:cs="Calibri"/>
                <w:color w:val="000000"/>
                <w:sz w:val="24"/>
                <w:szCs w:val="22"/>
              </w:rPr>
              <w:t>974</w:t>
            </w:r>
          </w:p>
        </w:tc>
        <w:tc>
          <w:tcPr>
            <w:tcW w:w="1170" w:type="dxa"/>
            <w:tcBorders>
              <w:top w:val="nil"/>
              <w:left w:val="nil"/>
              <w:bottom w:val="single" w:sz="4" w:space="0" w:color="auto"/>
              <w:right w:val="single" w:sz="4" w:space="0" w:color="auto"/>
            </w:tcBorders>
            <w:shd w:val="clear" w:color="auto" w:fill="auto"/>
            <w:noWrap/>
            <w:vAlign w:val="center"/>
            <w:hideMark/>
          </w:tcPr>
          <w:p w:rsidR="006A3F77" w:rsidRPr="007A7DED" w:rsidP="00212ABE" w14:paraId="61ABBCFB" w14:textId="77777777">
            <w:pPr>
              <w:overflowPunct/>
              <w:autoSpaceDE/>
              <w:autoSpaceDN/>
              <w:adjustRightInd/>
              <w:jc w:val="center"/>
              <w:textAlignment w:val="auto"/>
              <w:rPr>
                <w:rFonts w:cs="Calibri"/>
                <w:color w:val="000000"/>
                <w:sz w:val="24"/>
                <w:szCs w:val="22"/>
              </w:rPr>
            </w:pPr>
            <w:r w:rsidRPr="007A7DED">
              <w:rPr>
                <w:rFonts w:cs="Calibri"/>
                <w:color w:val="000000"/>
                <w:sz w:val="24"/>
                <w:szCs w:val="22"/>
              </w:rPr>
              <w:t>0.33</w:t>
            </w:r>
          </w:p>
        </w:tc>
        <w:tc>
          <w:tcPr>
            <w:tcW w:w="1080" w:type="dxa"/>
            <w:tcBorders>
              <w:top w:val="nil"/>
              <w:left w:val="nil"/>
              <w:bottom w:val="single" w:sz="4" w:space="0" w:color="auto"/>
              <w:right w:val="single" w:sz="4" w:space="0" w:color="auto"/>
            </w:tcBorders>
            <w:shd w:val="clear" w:color="auto" w:fill="auto"/>
            <w:noWrap/>
            <w:vAlign w:val="center"/>
            <w:hideMark/>
          </w:tcPr>
          <w:p w:rsidR="006A3F77" w:rsidRPr="007A7DED" w:rsidP="00212ABE" w14:paraId="147DC858" w14:textId="5C00E02C">
            <w:pPr>
              <w:overflowPunct/>
              <w:autoSpaceDE/>
              <w:autoSpaceDN/>
              <w:adjustRightInd/>
              <w:jc w:val="center"/>
              <w:textAlignment w:val="auto"/>
              <w:rPr>
                <w:rFonts w:cs="Calibri"/>
                <w:color w:val="000000"/>
                <w:sz w:val="24"/>
                <w:szCs w:val="22"/>
              </w:rPr>
            </w:pPr>
            <w:r w:rsidRPr="007A7DED">
              <w:rPr>
                <w:rFonts w:cs="Calibri"/>
                <w:color w:val="000000"/>
                <w:sz w:val="24"/>
                <w:szCs w:val="22"/>
              </w:rPr>
              <w:t>321</w:t>
            </w:r>
            <w:r w:rsidR="005E6197">
              <w:rPr>
                <w:rFonts w:cs="Calibri"/>
                <w:color w:val="000000"/>
                <w:sz w:val="24"/>
                <w:szCs w:val="22"/>
              </w:rPr>
              <w:t>.42</w:t>
            </w:r>
          </w:p>
        </w:tc>
        <w:tc>
          <w:tcPr>
            <w:tcW w:w="1099" w:type="dxa"/>
            <w:tcBorders>
              <w:top w:val="nil"/>
              <w:left w:val="nil"/>
              <w:bottom w:val="single" w:sz="4" w:space="0" w:color="auto"/>
              <w:right w:val="single" w:sz="4" w:space="0" w:color="auto"/>
            </w:tcBorders>
            <w:shd w:val="clear" w:color="auto" w:fill="auto"/>
            <w:noWrap/>
            <w:vAlign w:val="center"/>
            <w:hideMark/>
          </w:tcPr>
          <w:p w:rsidR="006A3F77" w:rsidRPr="007A7DED" w:rsidP="00212ABE" w14:paraId="387BA5AC" w14:textId="7F8E0D8D">
            <w:pPr>
              <w:overflowPunct/>
              <w:autoSpaceDE/>
              <w:autoSpaceDN/>
              <w:adjustRightInd/>
              <w:jc w:val="center"/>
              <w:textAlignment w:val="auto"/>
              <w:rPr>
                <w:rFonts w:cs="Calibri"/>
                <w:color w:val="000000"/>
                <w:sz w:val="24"/>
                <w:szCs w:val="22"/>
              </w:rPr>
            </w:pPr>
            <w:r w:rsidRPr="007A7DED">
              <w:rPr>
                <w:rFonts w:cs="Calibri"/>
                <w:color w:val="000000"/>
                <w:sz w:val="24"/>
                <w:szCs w:val="22"/>
              </w:rPr>
              <w:t xml:space="preserve"> $</w:t>
            </w:r>
            <w:r>
              <w:rPr>
                <w:rFonts w:cs="Calibri"/>
                <w:color w:val="000000"/>
                <w:sz w:val="24"/>
                <w:szCs w:val="22"/>
              </w:rPr>
              <w:t>3</w:t>
            </w:r>
            <w:r w:rsidR="00673C28">
              <w:rPr>
                <w:rFonts w:cs="Calibri"/>
                <w:color w:val="000000"/>
                <w:sz w:val="24"/>
                <w:szCs w:val="22"/>
              </w:rPr>
              <w:t>6.28</w:t>
            </w:r>
            <w:r w:rsidRPr="007A7DED">
              <w:rPr>
                <w:rFonts w:cs="Calibri"/>
                <w:color w:val="000000"/>
                <w:sz w:val="24"/>
                <w:szCs w:val="22"/>
              </w:rPr>
              <w:t xml:space="preserve"> </w:t>
            </w:r>
          </w:p>
        </w:tc>
        <w:tc>
          <w:tcPr>
            <w:tcW w:w="1296" w:type="dxa"/>
            <w:tcBorders>
              <w:top w:val="nil"/>
              <w:left w:val="nil"/>
              <w:bottom w:val="single" w:sz="4" w:space="0" w:color="auto"/>
              <w:right w:val="single" w:sz="4" w:space="0" w:color="auto"/>
            </w:tcBorders>
            <w:shd w:val="clear" w:color="auto" w:fill="auto"/>
            <w:noWrap/>
            <w:vAlign w:val="center"/>
            <w:hideMark/>
          </w:tcPr>
          <w:p w:rsidR="006A3F77" w:rsidRPr="007A7DED" w:rsidP="00212ABE" w14:paraId="7A8F78D2" w14:textId="0AB38EEC">
            <w:pPr>
              <w:overflowPunct/>
              <w:autoSpaceDE/>
              <w:autoSpaceDN/>
              <w:adjustRightInd/>
              <w:jc w:val="right"/>
              <w:textAlignment w:val="auto"/>
              <w:rPr>
                <w:rFonts w:cs="Calibri"/>
                <w:color w:val="000000"/>
                <w:sz w:val="24"/>
                <w:szCs w:val="22"/>
              </w:rPr>
            </w:pPr>
            <w:r w:rsidRPr="007A7DED">
              <w:rPr>
                <w:rFonts w:cs="Calibri"/>
                <w:color w:val="000000"/>
                <w:sz w:val="24"/>
                <w:szCs w:val="22"/>
              </w:rPr>
              <w:t xml:space="preserve"> $</w:t>
            </w:r>
            <w:r>
              <w:rPr>
                <w:rFonts w:cs="Calibri"/>
                <w:color w:val="000000"/>
                <w:sz w:val="24"/>
                <w:szCs w:val="22"/>
              </w:rPr>
              <w:t>1</w:t>
            </w:r>
            <w:r w:rsidR="001A3287">
              <w:rPr>
                <w:rFonts w:cs="Calibri"/>
                <w:color w:val="000000"/>
                <w:sz w:val="24"/>
                <w:szCs w:val="22"/>
              </w:rPr>
              <w:t>1,</w:t>
            </w:r>
            <w:r w:rsidR="00673C28">
              <w:rPr>
                <w:rFonts w:cs="Calibri"/>
                <w:color w:val="000000"/>
                <w:sz w:val="24"/>
                <w:szCs w:val="22"/>
              </w:rPr>
              <w:t>66</w:t>
            </w:r>
            <w:r w:rsidR="00AF62B7">
              <w:rPr>
                <w:rFonts w:cs="Calibri"/>
                <w:color w:val="000000"/>
                <w:sz w:val="24"/>
                <w:szCs w:val="22"/>
              </w:rPr>
              <w:t>1</w:t>
            </w:r>
            <w:r w:rsidR="005E6197">
              <w:rPr>
                <w:rFonts w:cs="Calibri"/>
                <w:color w:val="000000"/>
                <w:sz w:val="24"/>
                <w:szCs w:val="22"/>
              </w:rPr>
              <w:t>.1</w:t>
            </w:r>
            <w:r w:rsidR="00AF62B7">
              <w:rPr>
                <w:rFonts w:cs="Calibri"/>
                <w:color w:val="000000"/>
                <w:sz w:val="24"/>
                <w:szCs w:val="22"/>
              </w:rPr>
              <w:t>2</w:t>
            </w:r>
            <w:r w:rsidRPr="007A7DED">
              <w:rPr>
                <w:rFonts w:cs="Calibri"/>
                <w:color w:val="000000"/>
                <w:sz w:val="24"/>
                <w:szCs w:val="22"/>
              </w:rPr>
              <w:t xml:space="preserve"> </w:t>
            </w:r>
          </w:p>
        </w:tc>
      </w:tr>
      <w:tr w14:paraId="57959097" w14:textId="77777777" w:rsidTr="00EF2869">
        <w:tblPrEx>
          <w:tblW w:w="10296" w:type="dxa"/>
          <w:tblInd w:w="-108" w:type="dxa"/>
          <w:tblLook w:val="04A0"/>
        </w:tblPrEx>
        <w:trPr>
          <w:trHeight w:val="288"/>
        </w:trPr>
        <w:tc>
          <w:tcPr>
            <w:tcW w:w="1818" w:type="dxa"/>
            <w:tcBorders>
              <w:top w:val="nil"/>
              <w:left w:val="single" w:sz="4" w:space="0" w:color="auto"/>
              <w:bottom w:val="single" w:sz="4" w:space="0" w:color="auto"/>
              <w:right w:val="single" w:sz="4" w:space="0" w:color="auto"/>
            </w:tcBorders>
            <w:shd w:val="clear" w:color="auto" w:fill="auto"/>
            <w:noWrap/>
            <w:vAlign w:val="center"/>
          </w:tcPr>
          <w:p w:rsidR="006A3F77" w:rsidRPr="007A7DED" w:rsidP="00212ABE" w14:paraId="3ED3ABDF" w14:textId="77777777">
            <w:pPr>
              <w:overflowPunct/>
              <w:autoSpaceDE/>
              <w:autoSpaceDN/>
              <w:adjustRightInd/>
              <w:jc w:val="center"/>
              <w:textAlignment w:val="auto"/>
              <w:rPr>
                <w:rFonts w:cs="Calibri"/>
                <w:color w:val="000000"/>
                <w:sz w:val="24"/>
                <w:szCs w:val="24"/>
              </w:rPr>
            </w:pPr>
            <w:r w:rsidRPr="007A7DED">
              <w:rPr>
                <w:rFonts w:cs="Calibri"/>
                <w:color w:val="000000"/>
                <w:sz w:val="24"/>
                <w:szCs w:val="24"/>
              </w:rPr>
              <w:t>Appeal Letter</w:t>
            </w:r>
          </w:p>
        </w:tc>
        <w:tc>
          <w:tcPr>
            <w:tcW w:w="1432" w:type="dxa"/>
            <w:tcBorders>
              <w:top w:val="nil"/>
              <w:left w:val="nil"/>
              <w:bottom w:val="single" w:sz="4" w:space="0" w:color="auto"/>
              <w:right w:val="single" w:sz="4" w:space="0" w:color="auto"/>
            </w:tcBorders>
            <w:shd w:val="clear" w:color="auto" w:fill="auto"/>
            <w:noWrap/>
            <w:vAlign w:val="center"/>
          </w:tcPr>
          <w:p w:rsidR="006A3F77" w:rsidRPr="007A7DED" w:rsidP="00212ABE" w14:paraId="597557DC" w14:textId="77777777">
            <w:pPr>
              <w:overflowPunct/>
              <w:autoSpaceDE/>
              <w:autoSpaceDN/>
              <w:adjustRightInd/>
              <w:jc w:val="center"/>
              <w:textAlignment w:val="auto"/>
              <w:rPr>
                <w:rFonts w:cs="Calibri"/>
                <w:color w:val="000000"/>
                <w:sz w:val="24"/>
                <w:szCs w:val="22"/>
              </w:rPr>
            </w:pPr>
            <w:r w:rsidRPr="007A7DED">
              <w:rPr>
                <w:rFonts w:cs="Calibri"/>
                <w:color w:val="000000"/>
                <w:sz w:val="24"/>
                <w:szCs w:val="22"/>
              </w:rPr>
              <w:t>100</w:t>
            </w:r>
          </w:p>
        </w:tc>
        <w:tc>
          <w:tcPr>
            <w:tcW w:w="1219" w:type="dxa"/>
            <w:tcBorders>
              <w:top w:val="nil"/>
              <w:left w:val="nil"/>
              <w:bottom w:val="single" w:sz="4" w:space="0" w:color="auto"/>
              <w:right w:val="single" w:sz="4" w:space="0" w:color="auto"/>
            </w:tcBorders>
            <w:shd w:val="clear" w:color="auto" w:fill="auto"/>
            <w:noWrap/>
            <w:vAlign w:val="center"/>
          </w:tcPr>
          <w:p w:rsidR="006A3F77" w:rsidRPr="007A7DED" w:rsidP="00212ABE" w14:paraId="05B88890" w14:textId="77777777">
            <w:pPr>
              <w:overflowPunct/>
              <w:autoSpaceDE/>
              <w:autoSpaceDN/>
              <w:adjustRightInd/>
              <w:jc w:val="center"/>
              <w:textAlignment w:val="auto"/>
              <w:rPr>
                <w:rFonts w:cs="Calibri"/>
                <w:color w:val="000000"/>
                <w:sz w:val="24"/>
                <w:szCs w:val="22"/>
              </w:rPr>
            </w:pPr>
            <w:r w:rsidRPr="007A7DED">
              <w:rPr>
                <w:rFonts w:cs="Calibri"/>
                <w:color w:val="000000"/>
                <w:sz w:val="24"/>
                <w:szCs w:val="22"/>
              </w:rPr>
              <w:t>1</w:t>
            </w:r>
          </w:p>
        </w:tc>
        <w:tc>
          <w:tcPr>
            <w:tcW w:w="1182" w:type="dxa"/>
            <w:tcBorders>
              <w:top w:val="nil"/>
              <w:left w:val="nil"/>
              <w:bottom w:val="single" w:sz="4" w:space="0" w:color="auto"/>
              <w:right w:val="single" w:sz="4" w:space="0" w:color="auto"/>
            </w:tcBorders>
            <w:shd w:val="clear" w:color="auto" w:fill="auto"/>
            <w:noWrap/>
            <w:vAlign w:val="center"/>
          </w:tcPr>
          <w:p w:rsidR="006A3F77" w:rsidRPr="007A7DED" w:rsidP="00212ABE" w14:paraId="135BB689" w14:textId="77777777">
            <w:pPr>
              <w:overflowPunct/>
              <w:autoSpaceDE/>
              <w:autoSpaceDN/>
              <w:adjustRightInd/>
              <w:jc w:val="center"/>
              <w:textAlignment w:val="auto"/>
              <w:rPr>
                <w:rFonts w:cs="Calibri"/>
                <w:color w:val="000000"/>
                <w:sz w:val="24"/>
                <w:szCs w:val="22"/>
              </w:rPr>
            </w:pPr>
            <w:r w:rsidRPr="007A7DED">
              <w:rPr>
                <w:rFonts w:cs="Calibri"/>
                <w:color w:val="000000"/>
                <w:sz w:val="24"/>
                <w:szCs w:val="22"/>
              </w:rPr>
              <w:t>100</w:t>
            </w:r>
          </w:p>
        </w:tc>
        <w:tc>
          <w:tcPr>
            <w:tcW w:w="1170" w:type="dxa"/>
            <w:tcBorders>
              <w:top w:val="nil"/>
              <w:left w:val="nil"/>
              <w:bottom w:val="single" w:sz="4" w:space="0" w:color="auto"/>
              <w:right w:val="single" w:sz="4" w:space="0" w:color="auto"/>
            </w:tcBorders>
            <w:shd w:val="clear" w:color="auto" w:fill="auto"/>
            <w:noWrap/>
            <w:vAlign w:val="center"/>
          </w:tcPr>
          <w:p w:rsidR="006A3F77" w:rsidRPr="007A7DED" w:rsidP="00212ABE" w14:paraId="40765E6A" w14:textId="28A4CD8E">
            <w:pPr>
              <w:overflowPunct/>
              <w:autoSpaceDE/>
              <w:autoSpaceDN/>
              <w:adjustRightInd/>
              <w:jc w:val="center"/>
              <w:textAlignment w:val="auto"/>
              <w:rPr>
                <w:rFonts w:cs="Calibri"/>
                <w:color w:val="000000"/>
                <w:sz w:val="24"/>
                <w:szCs w:val="22"/>
              </w:rPr>
            </w:pPr>
            <w:r>
              <w:rPr>
                <w:rFonts w:cs="Calibri"/>
                <w:color w:val="000000"/>
                <w:sz w:val="24"/>
                <w:szCs w:val="22"/>
              </w:rPr>
              <w:t>0</w:t>
            </w:r>
            <w:r w:rsidRPr="007A7DED">
              <w:rPr>
                <w:rFonts w:cs="Calibri"/>
                <w:color w:val="000000"/>
                <w:sz w:val="24"/>
                <w:szCs w:val="22"/>
              </w:rPr>
              <w:t>.33</w:t>
            </w:r>
          </w:p>
        </w:tc>
        <w:tc>
          <w:tcPr>
            <w:tcW w:w="1080" w:type="dxa"/>
            <w:tcBorders>
              <w:top w:val="nil"/>
              <w:left w:val="nil"/>
              <w:bottom w:val="single" w:sz="4" w:space="0" w:color="auto"/>
              <w:right w:val="single" w:sz="4" w:space="0" w:color="auto"/>
            </w:tcBorders>
            <w:shd w:val="clear" w:color="auto" w:fill="auto"/>
            <w:noWrap/>
            <w:vAlign w:val="center"/>
          </w:tcPr>
          <w:p w:rsidR="006A3F77" w:rsidRPr="007A7DED" w:rsidP="00212ABE" w14:paraId="1810EEA3" w14:textId="77777777">
            <w:pPr>
              <w:overflowPunct/>
              <w:autoSpaceDE/>
              <w:autoSpaceDN/>
              <w:adjustRightInd/>
              <w:jc w:val="center"/>
              <w:textAlignment w:val="auto"/>
              <w:rPr>
                <w:rFonts w:cs="Calibri"/>
                <w:color w:val="000000"/>
                <w:sz w:val="24"/>
                <w:szCs w:val="22"/>
              </w:rPr>
            </w:pPr>
            <w:r w:rsidRPr="007A7DED">
              <w:rPr>
                <w:rFonts w:cs="Calibri"/>
                <w:color w:val="000000"/>
                <w:sz w:val="24"/>
                <w:szCs w:val="22"/>
              </w:rPr>
              <w:t>33</w:t>
            </w:r>
          </w:p>
        </w:tc>
        <w:tc>
          <w:tcPr>
            <w:tcW w:w="1099" w:type="dxa"/>
            <w:tcBorders>
              <w:top w:val="nil"/>
              <w:left w:val="nil"/>
              <w:bottom w:val="single" w:sz="4" w:space="0" w:color="auto"/>
              <w:right w:val="single" w:sz="4" w:space="0" w:color="auto"/>
            </w:tcBorders>
            <w:shd w:val="clear" w:color="auto" w:fill="auto"/>
            <w:noWrap/>
            <w:vAlign w:val="center"/>
          </w:tcPr>
          <w:p w:rsidR="006A3F77" w:rsidRPr="007A7DED" w:rsidP="00212ABE" w14:paraId="5C9FACCB" w14:textId="5EE8D029">
            <w:pPr>
              <w:overflowPunct/>
              <w:autoSpaceDE/>
              <w:autoSpaceDN/>
              <w:adjustRightInd/>
              <w:jc w:val="center"/>
              <w:textAlignment w:val="auto"/>
              <w:rPr>
                <w:rFonts w:cs="Calibri"/>
                <w:color w:val="000000"/>
                <w:sz w:val="24"/>
                <w:szCs w:val="22"/>
              </w:rPr>
            </w:pPr>
            <w:r w:rsidRPr="007A7DED">
              <w:rPr>
                <w:rFonts w:cs="Calibri"/>
                <w:color w:val="000000"/>
                <w:sz w:val="24"/>
                <w:szCs w:val="22"/>
              </w:rPr>
              <w:t>$</w:t>
            </w:r>
            <w:r w:rsidR="001A3287">
              <w:rPr>
                <w:rFonts w:cs="Calibri"/>
                <w:color w:val="000000"/>
                <w:sz w:val="24"/>
                <w:szCs w:val="22"/>
              </w:rPr>
              <w:t>3</w:t>
            </w:r>
            <w:r w:rsidR="00673C28">
              <w:rPr>
                <w:rFonts w:cs="Calibri"/>
                <w:color w:val="000000"/>
                <w:sz w:val="24"/>
                <w:szCs w:val="22"/>
              </w:rPr>
              <w:t>6.28</w:t>
            </w:r>
          </w:p>
        </w:tc>
        <w:tc>
          <w:tcPr>
            <w:tcW w:w="1296" w:type="dxa"/>
            <w:tcBorders>
              <w:top w:val="nil"/>
              <w:left w:val="nil"/>
              <w:bottom w:val="single" w:sz="4" w:space="0" w:color="auto"/>
              <w:right w:val="single" w:sz="4" w:space="0" w:color="auto"/>
            </w:tcBorders>
            <w:shd w:val="clear" w:color="auto" w:fill="auto"/>
            <w:noWrap/>
            <w:vAlign w:val="center"/>
          </w:tcPr>
          <w:p w:rsidR="006A3F77" w:rsidRPr="007A7DED" w:rsidP="00212ABE" w14:paraId="74B4CFD2" w14:textId="46A83D9D">
            <w:pPr>
              <w:overflowPunct/>
              <w:autoSpaceDE/>
              <w:autoSpaceDN/>
              <w:adjustRightInd/>
              <w:jc w:val="right"/>
              <w:textAlignment w:val="auto"/>
              <w:rPr>
                <w:rFonts w:cs="Calibri"/>
                <w:color w:val="000000"/>
                <w:sz w:val="24"/>
                <w:szCs w:val="22"/>
              </w:rPr>
            </w:pPr>
            <w:r w:rsidRPr="007A7DED">
              <w:rPr>
                <w:rFonts w:cs="Calibri"/>
                <w:color w:val="000000"/>
                <w:sz w:val="24"/>
                <w:szCs w:val="22"/>
              </w:rPr>
              <w:t>$</w:t>
            </w:r>
            <w:r>
              <w:rPr>
                <w:rFonts w:cs="Calibri"/>
                <w:color w:val="000000"/>
                <w:sz w:val="24"/>
                <w:szCs w:val="22"/>
              </w:rPr>
              <w:t>1,</w:t>
            </w:r>
            <w:r w:rsidR="00E46F26">
              <w:rPr>
                <w:rFonts w:cs="Calibri"/>
                <w:color w:val="000000"/>
                <w:sz w:val="24"/>
                <w:szCs w:val="22"/>
              </w:rPr>
              <w:t>1</w:t>
            </w:r>
            <w:r w:rsidR="009B159C">
              <w:rPr>
                <w:rFonts w:cs="Calibri"/>
                <w:color w:val="000000"/>
                <w:sz w:val="24"/>
                <w:szCs w:val="22"/>
              </w:rPr>
              <w:t>97</w:t>
            </w:r>
            <w:r w:rsidR="005E6197">
              <w:rPr>
                <w:rFonts w:cs="Calibri"/>
                <w:color w:val="000000"/>
                <w:sz w:val="24"/>
                <w:szCs w:val="22"/>
              </w:rPr>
              <w:t>.24</w:t>
            </w:r>
          </w:p>
        </w:tc>
      </w:tr>
      <w:tr w14:paraId="11B42288" w14:textId="77777777" w:rsidTr="00EF2869">
        <w:tblPrEx>
          <w:tblW w:w="10296" w:type="dxa"/>
          <w:tblInd w:w="-108" w:type="dxa"/>
          <w:tblLook w:val="04A0"/>
        </w:tblPrEx>
        <w:trPr>
          <w:trHeight w:val="288"/>
        </w:trPr>
        <w:tc>
          <w:tcPr>
            <w:tcW w:w="1818" w:type="dxa"/>
            <w:tcBorders>
              <w:top w:val="nil"/>
              <w:left w:val="single" w:sz="4" w:space="0" w:color="auto"/>
              <w:bottom w:val="single" w:sz="4" w:space="0" w:color="auto"/>
              <w:right w:val="single" w:sz="4" w:space="0" w:color="auto"/>
            </w:tcBorders>
            <w:shd w:val="clear" w:color="auto" w:fill="auto"/>
            <w:noWrap/>
            <w:vAlign w:val="center"/>
            <w:hideMark/>
          </w:tcPr>
          <w:p w:rsidR="006A3F77" w:rsidRPr="007A7DED" w:rsidP="00212ABE" w14:paraId="1FD8E0E0" w14:textId="77777777">
            <w:pPr>
              <w:overflowPunct/>
              <w:autoSpaceDE/>
              <w:autoSpaceDN/>
              <w:adjustRightInd/>
              <w:jc w:val="center"/>
              <w:textAlignment w:val="auto"/>
              <w:rPr>
                <w:rFonts w:cs="Calibri"/>
                <w:color w:val="000000"/>
                <w:sz w:val="24"/>
                <w:szCs w:val="22"/>
              </w:rPr>
            </w:pPr>
            <w:r w:rsidRPr="007A7DED">
              <w:rPr>
                <w:rFonts w:cs="Calibri"/>
                <w:color w:val="000000"/>
                <w:sz w:val="24"/>
                <w:szCs w:val="22"/>
              </w:rPr>
              <w:t>Total</w:t>
            </w:r>
          </w:p>
        </w:tc>
        <w:tc>
          <w:tcPr>
            <w:tcW w:w="1432" w:type="dxa"/>
            <w:tcBorders>
              <w:top w:val="nil"/>
              <w:left w:val="nil"/>
              <w:bottom w:val="single" w:sz="4" w:space="0" w:color="auto"/>
              <w:right w:val="single" w:sz="4" w:space="0" w:color="auto"/>
            </w:tcBorders>
            <w:shd w:val="clear" w:color="auto" w:fill="auto"/>
            <w:noWrap/>
            <w:vAlign w:val="center"/>
            <w:hideMark/>
          </w:tcPr>
          <w:p w:rsidR="006A3F77" w:rsidRPr="007A7DED" w:rsidP="00212ABE" w14:paraId="5E37BA0E" w14:textId="78402FA4">
            <w:pPr>
              <w:overflowPunct/>
              <w:autoSpaceDE/>
              <w:autoSpaceDN/>
              <w:adjustRightInd/>
              <w:jc w:val="center"/>
              <w:textAlignment w:val="auto"/>
              <w:rPr>
                <w:rFonts w:cs="Calibri"/>
                <w:color w:val="000000"/>
                <w:sz w:val="24"/>
                <w:szCs w:val="22"/>
              </w:rPr>
            </w:pPr>
            <w:r>
              <w:rPr>
                <w:rFonts w:cs="Calibri"/>
                <w:color w:val="000000"/>
                <w:sz w:val="24"/>
                <w:szCs w:val="22"/>
              </w:rPr>
              <w:t>1,0</w:t>
            </w:r>
            <w:r w:rsidRPr="007A7DED">
              <w:rPr>
                <w:rFonts w:cs="Calibri"/>
                <w:color w:val="000000"/>
                <w:sz w:val="24"/>
                <w:szCs w:val="22"/>
              </w:rPr>
              <w:t>74</w:t>
            </w:r>
          </w:p>
        </w:tc>
        <w:tc>
          <w:tcPr>
            <w:tcW w:w="1219" w:type="dxa"/>
            <w:tcBorders>
              <w:top w:val="nil"/>
              <w:left w:val="nil"/>
              <w:bottom w:val="single" w:sz="4" w:space="0" w:color="auto"/>
              <w:right w:val="single" w:sz="4" w:space="0" w:color="auto"/>
            </w:tcBorders>
            <w:shd w:val="clear" w:color="auto" w:fill="auto"/>
            <w:noWrap/>
            <w:vAlign w:val="center"/>
          </w:tcPr>
          <w:p w:rsidR="006A3F77" w:rsidRPr="007A7DED" w:rsidP="00212ABE" w14:paraId="1AE98C45" w14:textId="77777777">
            <w:pPr>
              <w:overflowPunct/>
              <w:autoSpaceDE/>
              <w:autoSpaceDN/>
              <w:adjustRightInd/>
              <w:jc w:val="center"/>
              <w:textAlignment w:val="auto"/>
              <w:rPr>
                <w:rFonts w:cs="Calibri"/>
                <w:color w:val="000000"/>
                <w:sz w:val="24"/>
                <w:szCs w:val="22"/>
              </w:rPr>
            </w:pPr>
          </w:p>
        </w:tc>
        <w:tc>
          <w:tcPr>
            <w:tcW w:w="1182" w:type="dxa"/>
            <w:tcBorders>
              <w:top w:val="nil"/>
              <w:left w:val="nil"/>
              <w:bottom w:val="single" w:sz="4" w:space="0" w:color="auto"/>
              <w:right w:val="single" w:sz="4" w:space="0" w:color="auto"/>
            </w:tcBorders>
            <w:shd w:val="clear" w:color="auto" w:fill="auto"/>
            <w:noWrap/>
            <w:vAlign w:val="center"/>
            <w:hideMark/>
          </w:tcPr>
          <w:p w:rsidR="006A3F77" w:rsidRPr="007A7DED" w:rsidP="00212ABE" w14:paraId="0CB6FD19" w14:textId="77777777">
            <w:pPr>
              <w:overflowPunct/>
              <w:autoSpaceDE/>
              <w:autoSpaceDN/>
              <w:adjustRightInd/>
              <w:jc w:val="center"/>
              <w:textAlignment w:val="auto"/>
              <w:rPr>
                <w:rFonts w:cs="Calibri"/>
                <w:color w:val="000000"/>
                <w:sz w:val="24"/>
                <w:szCs w:val="22"/>
              </w:rPr>
            </w:pPr>
            <w:r w:rsidRPr="007A7DED">
              <w:rPr>
                <w:rFonts w:cs="Calibri"/>
                <w:color w:val="000000"/>
                <w:sz w:val="24"/>
                <w:szCs w:val="22"/>
              </w:rPr>
              <w:t>1,074</w:t>
            </w:r>
          </w:p>
        </w:tc>
        <w:tc>
          <w:tcPr>
            <w:tcW w:w="1170" w:type="dxa"/>
            <w:tcBorders>
              <w:top w:val="nil"/>
              <w:left w:val="nil"/>
              <w:bottom w:val="single" w:sz="4" w:space="0" w:color="auto"/>
              <w:right w:val="single" w:sz="4" w:space="0" w:color="auto"/>
            </w:tcBorders>
            <w:shd w:val="clear" w:color="auto" w:fill="auto"/>
            <w:noWrap/>
            <w:vAlign w:val="center"/>
            <w:hideMark/>
          </w:tcPr>
          <w:p w:rsidR="006A3F77" w:rsidRPr="007A7DED" w:rsidP="00212ABE" w14:paraId="63186D3D" w14:textId="77777777">
            <w:pPr>
              <w:overflowPunct/>
              <w:autoSpaceDE/>
              <w:autoSpaceDN/>
              <w:adjustRightInd/>
              <w:jc w:val="center"/>
              <w:textAlignment w:val="auto"/>
              <w:rPr>
                <w:rFonts w:cs="Calibri"/>
                <w:color w:val="000000"/>
                <w:sz w:val="24"/>
                <w:szCs w:val="22"/>
              </w:rPr>
            </w:pPr>
          </w:p>
        </w:tc>
        <w:tc>
          <w:tcPr>
            <w:tcW w:w="1080" w:type="dxa"/>
            <w:tcBorders>
              <w:top w:val="nil"/>
              <w:left w:val="nil"/>
              <w:bottom w:val="single" w:sz="4" w:space="0" w:color="auto"/>
              <w:right w:val="single" w:sz="4" w:space="0" w:color="auto"/>
            </w:tcBorders>
            <w:shd w:val="clear" w:color="auto" w:fill="auto"/>
            <w:noWrap/>
            <w:vAlign w:val="center"/>
            <w:hideMark/>
          </w:tcPr>
          <w:p w:rsidR="006A3F77" w:rsidRPr="007A7DED" w:rsidP="00212ABE" w14:paraId="3B23B01A" w14:textId="1A674BFC">
            <w:pPr>
              <w:overflowPunct/>
              <w:autoSpaceDE/>
              <w:autoSpaceDN/>
              <w:adjustRightInd/>
              <w:jc w:val="center"/>
              <w:textAlignment w:val="auto"/>
              <w:rPr>
                <w:rFonts w:cs="Calibri"/>
                <w:color w:val="000000"/>
                <w:sz w:val="24"/>
                <w:szCs w:val="22"/>
              </w:rPr>
            </w:pPr>
            <w:r w:rsidRPr="007A7DED">
              <w:rPr>
                <w:rFonts w:cs="Calibri"/>
                <w:color w:val="000000"/>
                <w:sz w:val="24"/>
                <w:szCs w:val="22"/>
              </w:rPr>
              <w:t>354</w:t>
            </w:r>
            <w:r w:rsidR="00AF62B7">
              <w:rPr>
                <w:rFonts w:cs="Calibri"/>
                <w:color w:val="000000"/>
                <w:sz w:val="24"/>
                <w:szCs w:val="22"/>
              </w:rPr>
              <w:t>.42</w:t>
            </w:r>
          </w:p>
        </w:tc>
        <w:tc>
          <w:tcPr>
            <w:tcW w:w="1099" w:type="dxa"/>
            <w:tcBorders>
              <w:top w:val="nil"/>
              <w:left w:val="nil"/>
              <w:bottom w:val="single" w:sz="4" w:space="0" w:color="auto"/>
              <w:right w:val="single" w:sz="4" w:space="0" w:color="auto"/>
            </w:tcBorders>
            <w:shd w:val="clear" w:color="auto" w:fill="auto"/>
            <w:noWrap/>
            <w:vAlign w:val="center"/>
            <w:hideMark/>
          </w:tcPr>
          <w:p w:rsidR="006A3F77" w:rsidRPr="007A7DED" w:rsidP="00212ABE" w14:paraId="6327A159" w14:textId="77777777">
            <w:pPr>
              <w:overflowPunct/>
              <w:autoSpaceDE/>
              <w:autoSpaceDN/>
              <w:adjustRightInd/>
              <w:jc w:val="center"/>
              <w:textAlignment w:val="auto"/>
              <w:rPr>
                <w:rFonts w:cs="Calibri"/>
                <w:color w:val="000000"/>
                <w:sz w:val="24"/>
                <w:szCs w:val="22"/>
              </w:rPr>
            </w:pPr>
            <w:r w:rsidRPr="007A7DED">
              <w:rPr>
                <w:rFonts w:cs="Calibri"/>
                <w:color w:val="000000"/>
                <w:sz w:val="24"/>
                <w:szCs w:val="22"/>
              </w:rPr>
              <w:t> </w:t>
            </w:r>
          </w:p>
        </w:tc>
        <w:tc>
          <w:tcPr>
            <w:tcW w:w="1296" w:type="dxa"/>
            <w:tcBorders>
              <w:top w:val="nil"/>
              <w:left w:val="nil"/>
              <w:bottom w:val="single" w:sz="4" w:space="0" w:color="auto"/>
              <w:right w:val="single" w:sz="4" w:space="0" w:color="auto"/>
            </w:tcBorders>
            <w:shd w:val="clear" w:color="auto" w:fill="auto"/>
            <w:noWrap/>
            <w:vAlign w:val="center"/>
            <w:hideMark/>
          </w:tcPr>
          <w:p w:rsidR="006A3F77" w:rsidRPr="007A7DED" w:rsidP="00212ABE" w14:paraId="0265AD40" w14:textId="0585C3F1">
            <w:pPr>
              <w:overflowPunct/>
              <w:autoSpaceDE/>
              <w:autoSpaceDN/>
              <w:adjustRightInd/>
              <w:jc w:val="right"/>
              <w:textAlignment w:val="auto"/>
              <w:rPr>
                <w:rFonts w:cs="Calibri"/>
                <w:color w:val="000000"/>
                <w:sz w:val="24"/>
                <w:szCs w:val="22"/>
              </w:rPr>
            </w:pPr>
            <w:r w:rsidRPr="007A7DED">
              <w:rPr>
                <w:rFonts w:cs="Calibri"/>
                <w:color w:val="000000"/>
                <w:sz w:val="24"/>
                <w:szCs w:val="22"/>
              </w:rPr>
              <w:t>$1</w:t>
            </w:r>
            <w:r w:rsidR="008D0E29">
              <w:rPr>
                <w:rFonts w:cs="Calibri"/>
                <w:color w:val="000000"/>
                <w:sz w:val="24"/>
                <w:szCs w:val="22"/>
              </w:rPr>
              <w:t>2,</w:t>
            </w:r>
            <w:r w:rsidR="009B159C">
              <w:rPr>
                <w:rFonts w:cs="Calibri"/>
                <w:color w:val="000000"/>
                <w:sz w:val="24"/>
                <w:szCs w:val="22"/>
              </w:rPr>
              <w:t>85</w:t>
            </w:r>
            <w:r w:rsidR="005E6197">
              <w:rPr>
                <w:rFonts w:cs="Calibri"/>
                <w:color w:val="000000"/>
                <w:sz w:val="24"/>
                <w:szCs w:val="22"/>
              </w:rPr>
              <w:t>8.3</w:t>
            </w:r>
            <w:r w:rsidR="00AF62B7">
              <w:rPr>
                <w:rFonts w:cs="Calibri"/>
                <w:color w:val="000000"/>
                <w:sz w:val="24"/>
                <w:szCs w:val="22"/>
              </w:rPr>
              <w:t>6</w:t>
            </w:r>
          </w:p>
        </w:tc>
      </w:tr>
    </w:tbl>
    <w:p w:rsidR="00DD1CCE" w:rsidP="006A3F77" w14:paraId="2A985814" w14:textId="1C23A6F5">
      <w:pPr>
        <w:ind w:left="720"/>
        <w:jc w:val="both"/>
        <w:rPr>
          <w:color w:val="000000"/>
        </w:rPr>
      </w:pPr>
      <w:r w:rsidRPr="006A3F77">
        <w:rPr>
          <w:color w:val="000000"/>
        </w:rPr>
        <w:t>Estimated annual cost to the Federal Government assuming a GS-12 Project Manager reviews and processes the information.  The estimated number of respondents providing appeal letters is 100 out of the total 974, so the numbers are not added together.</w:t>
      </w:r>
    </w:p>
    <w:p w:rsidR="00E12B98" w:rsidRPr="006A3F77" w:rsidP="006A3F77" w14:paraId="05B74741" w14:textId="7CA9AED9">
      <w:pPr>
        <w:ind w:left="720"/>
        <w:jc w:val="both"/>
        <w:rPr>
          <w:color w:val="000000"/>
        </w:rPr>
      </w:pPr>
      <w:r>
        <w:rPr>
          <w:color w:val="000000"/>
        </w:rPr>
        <w:t xml:space="preserve">** </w:t>
      </w:r>
      <w:r w:rsidRPr="00E12B98">
        <w:rPr>
          <w:color w:val="000000"/>
        </w:rPr>
        <w:t>GS Salary table 202</w:t>
      </w:r>
      <w:r w:rsidR="009B159C">
        <w:rPr>
          <w:color w:val="000000"/>
        </w:rPr>
        <w:t>5</w:t>
      </w:r>
      <w:r w:rsidRPr="00E12B98">
        <w:rPr>
          <w:color w:val="000000"/>
        </w:rPr>
        <w:t>: estimated cost per hour for HUD staff (GS-12</w:t>
      </w:r>
      <w:r w:rsidR="00363907">
        <w:rPr>
          <w:color w:val="000000"/>
        </w:rPr>
        <w:t>, Step 1</w:t>
      </w:r>
      <w:r w:rsidRPr="00E12B98">
        <w:rPr>
          <w:color w:val="000000"/>
        </w:rPr>
        <w:t>) to review and process the documents for this collection.</w:t>
      </w:r>
    </w:p>
    <w:p w:rsidR="00DD1CCE" w:rsidRPr="00DD1CCE" w:rsidP="00DD1CCE" w14:paraId="3177BBC0" w14:textId="77777777">
      <w:pPr>
        <w:tabs>
          <w:tab w:val="left" w:pos="360"/>
        </w:tabs>
        <w:ind w:left="360" w:hanging="360"/>
        <w:rPr>
          <w:b/>
          <w:bCs/>
          <w:sz w:val="24"/>
          <w:szCs w:val="24"/>
        </w:rPr>
      </w:pPr>
    </w:p>
    <w:p w:rsidR="00DD1CCE" w:rsidRPr="00DD1CCE" w:rsidP="00DD1CCE" w14:paraId="596A8F56" w14:textId="77777777">
      <w:pPr>
        <w:keepLines/>
        <w:tabs>
          <w:tab w:val="left" w:pos="360"/>
        </w:tabs>
        <w:spacing w:after="80"/>
        <w:ind w:left="360" w:hanging="360"/>
        <w:rPr>
          <w:b/>
          <w:bCs/>
          <w:sz w:val="24"/>
          <w:szCs w:val="24"/>
        </w:rPr>
      </w:pPr>
      <w:r w:rsidRPr="00DD1CCE">
        <w:rPr>
          <w:b/>
          <w:bCs/>
          <w:sz w:val="24"/>
          <w:szCs w:val="24"/>
        </w:rPr>
        <w:t>15.</w:t>
      </w:r>
      <w:r w:rsidRPr="00DD1CCE">
        <w:rPr>
          <w:b/>
          <w:bCs/>
          <w:sz w:val="24"/>
          <w:szCs w:val="24"/>
        </w:rPr>
        <w:tab/>
        <w:t>Explain the reasons for any program changes or adjustments reported in Items 12 and 14 of the Supporting Statement.</w:t>
      </w:r>
    </w:p>
    <w:p w:rsidR="00DD1CCE" w:rsidP="00DD1CCE" w14:paraId="6809C73B" w14:textId="77777777">
      <w:pPr>
        <w:keepLines/>
        <w:tabs>
          <w:tab w:val="left" w:pos="360"/>
          <w:tab w:val="left" w:pos="720"/>
        </w:tabs>
        <w:ind w:left="360"/>
        <w:rPr>
          <w:b/>
          <w:bCs/>
          <w:sz w:val="24"/>
          <w:szCs w:val="24"/>
        </w:rPr>
      </w:pPr>
    </w:p>
    <w:p w:rsidR="00873A21" w:rsidP="00FD2069" w14:paraId="60552C29" w14:textId="5669B3BF">
      <w:pPr>
        <w:pStyle w:val="BodyTextIndent"/>
        <w:rPr>
          <w:b w:val="0"/>
          <w:bCs w:val="0"/>
          <w:color w:val="000000"/>
          <w:sz w:val="24"/>
        </w:rPr>
      </w:pPr>
      <w:r>
        <w:rPr>
          <w:b w:val="0"/>
          <w:bCs w:val="0"/>
          <w:color w:val="000000"/>
          <w:sz w:val="24"/>
        </w:rPr>
        <w:tab/>
      </w:r>
      <w:r w:rsidRPr="007A7DED" w:rsidR="006A3F77">
        <w:rPr>
          <w:b w:val="0"/>
          <w:bCs w:val="0"/>
          <w:color w:val="000000"/>
          <w:sz w:val="24"/>
        </w:rPr>
        <w:t>This is a</w:t>
      </w:r>
      <w:r>
        <w:rPr>
          <w:b w:val="0"/>
          <w:bCs w:val="0"/>
          <w:color w:val="000000"/>
          <w:sz w:val="24"/>
        </w:rPr>
        <w:t xml:space="preserve"> </w:t>
      </w:r>
      <w:r w:rsidR="006463AD">
        <w:rPr>
          <w:b w:val="0"/>
          <w:bCs w:val="0"/>
          <w:color w:val="000000"/>
          <w:sz w:val="24"/>
        </w:rPr>
        <w:t xml:space="preserve">reinstatement, with change, of </w:t>
      </w:r>
      <w:r w:rsidR="008B7CAD">
        <w:rPr>
          <w:b w:val="0"/>
          <w:bCs w:val="0"/>
          <w:color w:val="000000"/>
          <w:sz w:val="24"/>
        </w:rPr>
        <w:t xml:space="preserve">a previously approved collection for which </w:t>
      </w:r>
      <w:r w:rsidR="002151C3">
        <w:rPr>
          <w:b w:val="0"/>
          <w:bCs w:val="0"/>
          <w:color w:val="000000"/>
          <w:sz w:val="24"/>
        </w:rPr>
        <w:t xml:space="preserve">approval has expired. </w:t>
      </w:r>
      <w:r w:rsidR="00A62DF4">
        <w:rPr>
          <w:b w:val="0"/>
          <w:bCs w:val="0"/>
          <w:color w:val="000000"/>
          <w:sz w:val="24"/>
        </w:rPr>
        <w:t xml:space="preserve">The total annual burden hours have been adjusted </w:t>
      </w:r>
      <w:r w:rsidR="00585DA7">
        <w:rPr>
          <w:b w:val="0"/>
          <w:bCs w:val="0"/>
          <w:color w:val="000000"/>
          <w:sz w:val="24"/>
        </w:rPr>
        <w:t xml:space="preserve">due to </w:t>
      </w:r>
      <w:r>
        <w:rPr>
          <w:b w:val="0"/>
          <w:bCs w:val="0"/>
          <w:color w:val="000000"/>
          <w:sz w:val="24"/>
        </w:rPr>
        <w:t>corrections</w:t>
      </w:r>
      <w:r w:rsidR="00585DA7">
        <w:rPr>
          <w:b w:val="0"/>
          <w:bCs w:val="0"/>
          <w:color w:val="000000"/>
          <w:sz w:val="24"/>
        </w:rPr>
        <w:t xml:space="preserve"> in previous calculations. The adjustment reflects a more accurate estimate and does not result </w:t>
      </w:r>
      <w:r>
        <w:rPr>
          <w:b w:val="0"/>
          <w:bCs w:val="0"/>
          <w:color w:val="000000"/>
          <w:sz w:val="24"/>
        </w:rPr>
        <w:t>from</w:t>
      </w:r>
      <w:r w:rsidR="00585DA7">
        <w:rPr>
          <w:b w:val="0"/>
          <w:bCs w:val="0"/>
          <w:color w:val="000000"/>
          <w:sz w:val="24"/>
        </w:rPr>
        <w:t xml:space="preserve"> any changes to the information collection </w:t>
      </w:r>
      <w:r w:rsidR="00FA7071">
        <w:rPr>
          <w:b w:val="0"/>
          <w:bCs w:val="0"/>
          <w:color w:val="000000"/>
          <w:sz w:val="24"/>
        </w:rPr>
        <w:t>requirements</w:t>
      </w:r>
      <w:r w:rsidR="00585DA7">
        <w:rPr>
          <w:b w:val="0"/>
          <w:bCs w:val="0"/>
          <w:color w:val="000000"/>
          <w:sz w:val="24"/>
        </w:rPr>
        <w:t xml:space="preserve">. </w:t>
      </w:r>
    </w:p>
    <w:p w:rsidR="006A3F77" w:rsidRPr="00DD1CCE" w:rsidP="00DD1CCE" w14:paraId="0B6F78DD" w14:textId="77777777">
      <w:pPr>
        <w:keepLines/>
        <w:tabs>
          <w:tab w:val="left" w:pos="360"/>
          <w:tab w:val="left" w:pos="720"/>
        </w:tabs>
        <w:ind w:left="360"/>
        <w:rPr>
          <w:b/>
          <w:bCs/>
          <w:sz w:val="24"/>
          <w:szCs w:val="24"/>
        </w:rPr>
      </w:pPr>
    </w:p>
    <w:p w:rsidR="00DD1CCE" w:rsidP="006A3F77" w14:paraId="10181E95" w14:textId="714867F9">
      <w:pPr>
        <w:keepLines/>
        <w:tabs>
          <w:tab w:val="left" w:pos="360"/>
        </w:tabs>
        <w:spacing w:after="80"/>
        <w:ind w:left="360" w:hanging="360"/>
        <w:rPr>
          <w:b/>
          <w:bCs/>
          <w:sz w:val="24"/>
          <w:szCs w:val="24"/>
        </w:rPr>
      </w:pPr>
      <w:r w:rsidRPr="00DD1CCE">
        <w:rPr>
          <w:b/>
          <w:bCs/>
          <w:sz w:val="24"/>
          <w:szCs w:val="24"/>
        </w:rPr>
        <w:t>16.</w:t>
      </w:r>
      <w:r w:rsidRPr="00DD1CCE">
        <w:rPr>
          <w:b/>
          <w:bCs/>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A3F77" w:rsidRPr="007A7DED" w:rsidP="006A3F77" w14:paraId="4572FD20" w14:textId="3021928C">
      <w:pPr>
        <w:pStyle w:val="BodyTextIndent"/>
        <w:spacing w:before="240"/>
        <w:rPr>
          <w:b w:val="0"/>
          <w:bCs w:val="0"/>
          <w:color w:val="000000"/>
          <w:sz w:val="24"/>
        </w:rPr>
      </w:pPr>
      <w:r>
        <w:rPr>
          <w:b w:val="0"/>
          <w:bCs w:val="0"/>
          <w:color w:val="000000"/>
          <w:sz w:val="24"/>
        </w:rPr>
        <w:tab/>
      </w:r>
      <w:r w:rsidRPr="007A7DED">
        <w:rPr>
          <w:b w:val="0"/>
          <w:bCs w:val="0"/>
          <w:color w:val="000000"/>
          <w:sz w:val="24"/>
        </w:rPr>
        <w:t>The results of this collection will not be published.</w:t>
      </w:r>
    </w:p>
    <w:p w:rsidR="006A3F77" w:rsidRPr="00DD1CCE" w:rsidP="006A3F77" w14:paraId="0D31AAD2" w14:textId="77777777">
      <w:pPr>
        <w:tabs>
          <w:tab w:val="left" w:pos="360"/>
        </w:tabs>
        <w:rPr>
          <w:b/>
          <w:bCs/>
          <w:sz w:val="24"/>
          <w:szCs w:val="24"/>
        </w:rPr>
      </w:pPr>
    </w:p>
    <w:p w:rsidR="00DD1CCE" w:rsidRPr="00DD1CCE" w:rsidP="00DD1CCE" w14:paraId="0859E2AB" w14:textId="77777777">
      <w:pPr>
        <w:keepLines/>
        <w:tabs>
          <w:tab w:val="left" w:pos="360"/>
        </w:tabs>
        <w:spacing w:after="80"/>
        <w:ind w:left="360" w:hanging="360"/>
        <w:rPr>
          <w:b/>
          <w:bCs/>
          <w:sz w:val="24"/>
          <w:szCs w:val="24"/>
        </w:rPr>
      </w:pPr>
      <w:r w:rsidRPr="00DD1CCE">
        <w:rPr>
          <w:b/>
          <w:bCs/>
          <w:sz w:val="24"/>
          <w:szCs w:val="24"/>
        </w:rPr>
        <w:t>17.</w:t>
      </w:r>
      <w:r w:rsidRPr="00DD1CCE">
        <w:rPr>
          <w:b/>
          <w:bCs/>
          <w:sz w:val="24"/>
          <w:szCs w:val="24"/>
        </w:rPr>
        <w:tab/>
        <w:t>If seeking approval to not display the expiration date for OMB approval of the information collection, explain the reasons that display would be inappropriate.</w:t>
      </w:r>
    </w:p>
    <w:p w:rsidR="006A3F77" w:rsidRPr="007A7DED" w:rsidP="006A3F77" w14:paraId="3C700E61" w14:textId="12FFD316">
      <w:pPr>
        <w:pStyle w:val="BodyTextIndent"/>
        <w:spacing w:before="240"/>
        <w:rPr>
          <w:b w:val="0"/>
          <w:bCs w:val="0"/>
          <w:color w:val="000000"/>
          <w:sz w:val="24"/>
        </w:rPr>
      </w:pPr>
      <w:r>
        <w:rPr>
          <w:b w:val="0"/>
          <w:bCs w:val="0"/>
          <w:color w:val="000000"/>
          <w:sz w:val="24"/>
        </w:rPr>
        <w:tab/>
      </w:r>
      <w:r w:rsidRPr="007A7DED">
        <w:rPr>
          <w:b w:val="0"/>
          <w:bCs w:val="0"/>
          <w:color w:val="000000"/>
          <w:sz w:val="24"/>
        </w:rPr>
        <w:t>HUD is not requesting approval to not display the expiration date on the HUD Form-92547-A.</w:t>
      </w:r>
    </w:p>
    <w:p w:rsidR="00DD1CCE" w:rsidP="006A3F77" w14:paraId="7B5977DC" w14:textId="77777777">
      <w:pPr>
        <w:keepLines/>
        <w:tabs>
          <w:tab w:val="left" w:pos="360"/>
          <w:tab w:val="left" w:pos="720"/>
        </w:tabs>
        <w:rPr>
          <w:b/>
          <w:bCs/>
          <w:sz w:val="24"/>
          <w:szCs w:val="24"/>
        </w:rPr>
      </w:pPr>
    </w:p>
    <w:p w:rsidR="006A3F77" w:rsidRPr="00DD1CCE" w:rsidP="006A3F77" w14:paraId="5D4F87E5" w14:textId="77777777">
      <w:pPr>
        <w:keepLines/>
        <w:tabs>
          <w:tab w:val="left" w:pos="360"/>
          <w:tab w:val="left" w:pos="720"/>
        </w:tabs>
        <w:rPr>
          <w:b/>
          <w:bCs/>
          <w:sz w:val="24"/>
          <w:szCs w:val="24"/>
        </w:rPr>
      </w:pPr>
    </w:p>
    <w:p w:rsidR="00DD1CCE" w:rsidRPr="00DD1CCE" w:rsidP="00DD1CCE" w14:paraId="3258268A" w14:textId="77777777">
      <w:pPr>
        <w:keepLines/>
        <w:tabs>
          <w:tab w:val="left" w:pos="360"/>
        </w:tabs>
        <w:spacing w:after="80"/>
        <w:ind w:left="360" w:hanging="360"/>
        <w:rPr>
          <w:rFonts w:ascii="Courier" w:hAnsi="Courier"/>
          <w:b/>
          <w:bCs/>
          <w:sz w:val="24"/>
          <w:szCs w:val="24"/>
        </w:rPr>
      </w:pPr>
      <w:r w:rsidRPr="00DD1CCE">
        <w:rPr>
          <w:b/>
          <w:bCs/>
          <w:sz w:val="24"/>
          <w:szCs w:val="24"/>
        </w:rPr>
        <w:t>18.</w:t>
      </w:r>
      <w:r w:rsidRPr="00DD1CCE">
        <w:rPr>
          <w:b/>
          <w:bCs/>
          <w:sz w:val="24"/>
          <w:szCs w:val="24"/>
        </w:rPr>
        <w:tab/>
        <w:t>Explain each exception to the certification statement identified in item 19.</w:t>
      </w:r>
    </w:p>
    <w:p w:rsidR="006A3F77" w:rsidRPr="006A3F77" w:rsidP="00EF2869" w14:paraId="6303A560" w14:textId="4AC0EC04">
      <w:pPr>
        <w:pStyle w:val="BodyTextIndent"/>
        <w:spacing w:before="240"/>
        <w:ind w:firstLine="0"/>
        <w:rPr>
          <w:b w:val="0"/>
          <w:bCs w:val="0"/>
          <w:color w:val="000000"/>
          <w:sz w:val="24"/>
        </w:rPr>
      </w:pPr>
      <w:r w:rsidRPr="007A7DED">
        <w:rPr>
          <w:b w:val="0"/>
          <w:bCs w:val="0"/>
          <w:color w:val="000000"/>
          <w:sz w:val="24"/>
        </w:rPr>
        <w:t>There are no exceptions to the certification statement identified in Item #19 on form OMB 83-I, “Certification for Paperwork Reduction Act Submissions.”</w:t>
      </w:r>
    </w:p>
    <w:p w:rsidR="00DD1CCE" w:rsidRPr="00DD1CCE" w:rsidP="00DD1CCE" w14:paraId="6180B33D" w14:textId="77777777">
      <w:pPr>
        <w:tabs>
          <w:tab w:val="left" w:pos="360"/>
          <w:tab w:val="left" w:pos="720"/>
        </w:tabs>
        <w:rPr>
          <w:b/>
          <w:bCs/>
          <w:sz w:val="24"/>
          <w:szCs w:val="24"/>
        </w:rPr>
      </w:pPr>
    </w:p>
    <w:p w:rsidR="00DD1CCE" w:rsidRPr="00DD1CCE" w:rsidP="00DD1CCE" w14:paraId="21690334" w14:textId="77777777">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bCs/>
          <w:sz w:val="24"/>
          <w:szCs w:val="24"/>
        </w:rPr>
      </w:pPr>
      <w:r w:rsidRPr="00DD1CCE">
        <w:rPr>
          <w:rFonts w:ascii="Helvetica" w:hAnsi="Helvetica"/>
          <w:b/>
          <w:bCs/>
          <w:sz w:val="24"/>
          <w:szCs w:val="24"/>
        </w:rPr>
        <w:t xml:space="preserve">B. </w:t>
      </w:r>
      <w:r w:rsidRPr="00DD1CCE">
        <w:rPr>
          <w:rFonts w:ascii="Helvetica" w:hAnsi="Helvetica"/>
          <w:b/>
          <w:bCs/>
          <w:sz w:val="24"/>
          <w:szCs w:val="24"/>
        </w:rPr>
        <w:tab/>
        <w:t>Collections of Information Employing Statistical Methods</w:t>
      </w:r>
    </w:p>
    <w:p w:rsidR="00DD1CCE" w:rsidRPr="00DD1CCE" w:rsidP="00DD1CCE" w14:paraId="730B4272" w14:textId="77777777">
      <w:pPr>
        <w:rPr>
          <w:b/>
          <w:bCs/>
        </w:rPr>
      </w:pPr>
    </w:p>
    <w:p w:rsidR="006A3F77" w:rsidRPr="007A7DED" w:rsidP="006A3F77" w14:paraId="1FF076DF" w14:textId="77777777">
      <w:pPr>
        <w:tabs>
          <w:tab w:val="left" w:pos="360"/>
          <w:tab w:val="left" w:pos="720"/>
        </w:tabs>
        <w:ind w:left="360"/>
        <w:rPr>
          <w:color w:val="000000"/>
          <w:sz w:val="24"/>
        </w:rPr>
      </w:pPr>
      <w:r w:rsidRPr="007A7DED">
        <w:rPr>
          <w:color w:val="000000"/>
          <w:sz w:val="24"/>
        </w:rPr>
        <w:t xml:space="preserve">There are no plans to use statistical methods for </w:t>
      </w:r>
      <w:r w:rsidRPr="007A7DED">
        <w:rPr>
          <w:color w:val="000000"/>
          <w:sz w:val="24"/>
        </w:rPr>
        <w:t>collection</w:t>
      </w:r>
      <w:r w:rsidRPr="007A7DED">
        <w:rPr>
          <w:color w:val="000000"/>
          <w:sz w:val="24"/>
        </w:rPr>
        <w:t xml:space="preserve"> of this information.</w:t>
      </w:r>
    </w:p>
    <w:p w:rsidR="00DD1CCE" w:rsidRPr="00DD1CCE" w14:paraId="19315FF1" w14:textId="77777777">
      <w:pPr>
        <w:rPr>
          <w:b/>
          <w:bCs/>
        </w:rPr>
      </w:pPr>
    </w:p>
    <w:sectPr w:rsidSect="00DD1CCE">
      <w:headerReference w:type="default" r:id="rId4"/>
      <w:pgSz w:w="12240" w:h="15840"/>
      <w:pgMar w:top="1440" w:right="1440" w:bottom="1440" w:left="900" w:header="480" w:footer="480" w:gutter="0"/>
      <w:cols w:space="480" w:equalWidth="0">
        <w:col w:w="10080"/>
      </w:cols>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3F77" w14:paraId="54ACA5C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083E5D89"/>
    <w:multiLevelType w:val="hybridMultilevel"/>
    <w:tmpl w:val="599E9C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F147097"/>
    <w:multiLevelType w:val="hybridMultilevel"/>
    <w:tmpl w:val="2C4E013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3D2D250C"/>
    <w:multiLevelType w:val="hybridMultilevel"/>
    <w:tmpl w:val="2DEE605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44733EFF"/>
    <w:multiLevelType w:val="hybridMultilevel"/>
    <w:tmpl w:val="1A3E2F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4B206095"/>
    <w:multiLevelType w:val="singleLevel"/>
    <w:tmpl w:val="2FA6477C"/>
    <w:lvl w:ilvl="0">
      <w:start w:val="7"/>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abstractNum w:abstractNumId="6">
    <w:nsid w:val="5F62088F"/>
    <w:multiLevelType w:val="hybridMultilevel"/>
    <w:tmpl w:val="21DE8F68"/>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6495693C"/>
    <w:multiLevelType w:val="hybridMultilevel"/>
    <w:tmpl w:val="27E27356"/>
    <w:lvl w:ilvl="0">
      <w:start w:val="1"/>
      <w:numFmt w:val="decimal"/>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8DE2D85"/>
    <w:multiLevelType w:val="hybridMultilevel"/>
    <w:tmpl w:val="4790C1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60258905">
    <w:abstractNumId w:val="5"/>
  </w:num>
  <w:num w:numId="2" w16cid:durableId="1651398821">
    <w:abstractNumId w:val="0"/>
    <w:lvlOverride w:ilvl="0">
      <w:lvl w:ilvl="0">
        <w:start w:val="1"/>
        <w:numFmt w:val="bullet"/>
        <w:lvlText w:val=""/>
        <w:legacy w:legacy="1" w:legacySpace="0" w:legacyIndent="144"/>
        <w:lvlJc w:val="left"/>
        <w:pPr>
          <w:ind w:left="684" w:hanging="144"/>
        </w:pPr>
        <w:rPr>
          <w:rFonts w:ascii="Symbol" w:hAnsi="Symbol" w:hint="default"/>
          <w:sz w:val="16"/>
        </w:rPr>
      </w:lvl>
    </w:lvlOverride>
  </w:num>
  <w:num w:numId="3" w16cid:durableId="170994441">
    <w:abstractNumId w:val="6"/>
  </w:num>
  <w:num w:numId="4" w16cid:durableId="371732211">
    <w:abstractNumId w:val="4"/>
  </w:num>
  <w:num w:numId="5" w16cid:durableId="2049792734">
    <w:abstractNumId w:val="2"/>
  </w:num>
  <w:num w:numId="6" w16cid:durableId="353655760">
    <w:abstractNumId w:val="8"/>
  </w:num>
  <w:num w:numId="7" w16cid:durableId="21245707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28953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812977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CCE"/>
    <w:rsid w:val="0003436B"/>
    <w:rsid w:val="00052574"/>
    <w:rsid w:val="0006271C"/>
    <w:rsid w:val="00070D3F"/>
    <w:rsid w:val="00074822"/>
    <w:rsid w:val="000951A7"/>
    <w:rsid w:val="000E66EF"/>
    <w:rsid w:val="00114B2A"/>
    <w:rsid w:val="001241D0"/>
    <w:rsid w:val="001A3287"/>
    <w:rsid w:val="001A453E"/>
    <w:rsid w:val="001C0932"/>
    <w:rsid w:val="001C7A2E"/>
    <w:rsid w:val="001D68E8"/>
    <w:rsid w:val="00212ABE"/>
    <w:rsid w:val="002151C3"/>
    <w:rsid w:val="00242C85"/>
    <w:rsid w:val="00271DCA"/>
    <w:rsid w:val="002A695F"/>
    <w:rsid w:val="002A7F25"/>
    <w:rsid w:val="002E5193"/>
    <w:rsid w:val="00333320"/>
    <w:rsid w:val="003546F0"/>
    <w:rsid w:val="00363907"/>
    <w:rsid w:val="00437A07"/>
    <w:rsid w:val="00461F54"/>
    <w:rsid w:val="00480C89"/>
    <w:rsid w:val="00487F8D"/>
    <w:rsid w:val="00495247"/>
    <w:rsid w:val="004A4C24"/>
    <w:rsid w:val="004B6049"/>
    <w:rsid w:val="004E0B4E"/>
    <w:rsid w:val="00513EE5"/>
    <w:rsid w:val="005240B1"/>
    <w:rsid w:val="00582C38"/>
    <w:rsid w:val="00585DA7"/>
    <w:rsid w:val="005E551E"/>
    <w:rsid w:val="005E6197"/>
    <w:rsid w:val="005E7635"/>
    <w:rsid w:val="006463AD"/>
    <w:rsid w:val="00660233"/>
    <w:rsid w:val="0066190F"/>
    <w:rsid w:val="00673C28"/>
    <w:rsid w:val="006857D0"/>
    <w:rsid w:val="0069534D"/>
    <w:rsid w:val="0069555D"/>
    <w:rsid w:val="006A3F77"/>
    <w:rsid w:val="006A5D3A"/>
    <w:rsid w:val="006E2514"/>
    <w:rsid w:val="00722BBE"/>
    <w:rsid w:val="007946E0"/>
    <w:rsid w:val="007A7DED"/>
    <w:rsid w:val="007E25EE"/>
    <w:rsid w:val="008276C1"/>
    <w:rsid w:val="008533D5"/>
    <w:rsid w:val="00873A21"/>
    <w:rsid w:val="008A4A01"/>
    <w:rsid w:val="008B7CAD"/>
    <w:rsid w:val="008C0336"/>
    <w:rsid w:val="008D0E29"/>
    <w:rsid w:val="008E3A32"/>
    <w:rsid w:val="008F1C3A"/>
    <w:rsid w:val="009A1A88"/>
    <w:rsid w:val="009B159C"/>
    <w:rsid w:val="00A362CA"/>
    <w:rsid w:val="00A62DF4"/>
    <w:rsid w:val="00A71008"/>
    <w:rsid w:val="00A80306"/>
    <w:rsid w:val="00AB4363"/>
    <w:rsid w:val="00AD3E4F"/>
    <w:rsid w:val="00AF2420"/>
    <w:rsid w:val="00AF62B7"/>
    <w:rsid w:val="00B1503E"/>
    <w:rsid w:val="00B52C29"/>
    <w:rsid w:val="00B75A00"/>
    <w:rsid w:val="00B84614"/>
    <w:rsid w:val="00BE7F3B"/>
    <w:rsid w:val="00C331FF"/>
    <w:rsid w:val="00C509CD"/>
    <w:rsid w:val="00CA5220"/>
    <w:rsid w:val="00CD16BC"/>
    <w:rsid w:val="00D02046"/>
    <w:rsid w:val="00D10797"/>
    <w:rsid w:val="00D308A6"/>
    <w:rsid w:val="00D3650B"/>
    <w:rsid w:val="00DB60CB"/>
    <w:rsid w:val="00DC305E"/>
    <w:rsid w:val="00DC5E2E"/>
    <w:rsid w:val="00DD1CCE"/>
    <w:rsid w:val="00E10653"/>
    <w:rsid w:val="00E12B98"/>
    <w:rsid w:val="00E46F26"/>
    <w:rsid w:val="00EA182D"/>
    <w:rsid w:val="00ED4470"/>
    <w:rsid w:val="00EF2869"/>
    <w:rsid w:val="00FA7071"/>
    <w:rsid w:val="00FD206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545DE7"/>
  <w15:chartTrackingRefBased/>
  <w15:docId w15:val="{F2797ABC-E42B-4F71-8FD9-CE5A5590B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1CCE"/>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DD1C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D1C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1C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1C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1C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1CC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1CC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1CC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1CC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C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D1C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1C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1C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1C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1C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1C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1C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1CCE"/>
    <w:rPr>
      <w:rFonts w:eastAsiaTheme="majorEastAsia" w:cstheme="majorBidi"/>
      <w:color w:val="272727" w:themeColor="text1" w:themeTint="D8"/>
    </w:rPr>
  </w:style>
  <w:style w:type="paragraph" w:styleId="Title">
    <w:name w:val="Title"/>
    <w:basedOn w:val="Normal"/>
    <w:next w:val="Normal"/>
    <w:link w:val="TitleChar"/>
    <w:uiPriority w:val="10"/>
    <w:qFormat/>
    <w:rsid w:val="00DD1C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1C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1C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1C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1CCE"/>
    <w:pPr>
      <w:spacing w:before="160"/>
      <w:jc w:val="center"/>
    </w:pPr>
    <w:rPr>
      <w:i/>
      <w:iCs/>
      <w:color w:val="404040" w:themeColor="text1" w:themeTint="BF"/>
    </w:rPr>
  </w:style>
  <w:style w:type="character" w:customStyle="1" w:styleId="QuoteChar">
    <w:name w:val="Quote Char"/>
    <w:basedOn w:val="DefaultParagraphFont"/>
    <w:link w:val="Quote"/>
    <w:uiPriority w:val="29"/>
    <w:rsid w:val="00DD1CCE"/>
    <w:rPr>
      <w:i/>
      <w:iCs/>
      <w:color w:val="404040" w:themeColor="text1" w:themeTint="BF"/>
    </w:rPr>
  </w:style>
  <w:style w:type="paragraph" w:styleId="ListParagraph">
    <w:name w:val="List Paragraph"/>
    <w:basedOn w:val="Normal"/>
    <w:uiPriority w:val="34"/>
    <w:qFormat/>
    <w:rsid w:val="00DD1CCE"/>
    <w:pPr>
      <w:ind w:left="720"/>
      <w:contextualSpacing/>
    </w:pPr>
  </w:style>
  <w:style w:type="character" w:styleId="IntenseEmphasis">
    <w:name w:val="Intense Emphasis"/>
    <w:basedOn w:val="DefaultParagraphFont"/>
    <w:uiPriority w:val="21"/>
    <w:qFormat/>
    <w:rsid w:val="00DD1CCE"/>
    <w:rPr>
      <w:i/>
      <w:iCs/>
      <w:color w:val="0F4761" w:themeColor="accent1" w:themeShade="BF"/>
    </w:rPr>
  </w:style>
  <w:style w:type="paragraph" w:styleId="IntenseQuote">
    <w:name w:val="Intense Quote"/>
    <w:basedOn w:val="Normal"/>
    <w:next w:val="Normal"/>
    <w:link w:val="IntenseQuoteChar"/>
    <w:uiPriority w:val="30"/>
    <w:qFormat/>
    <w:rsid w:val="00DD1C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1CCE"/>
    <w:rPr>
      <w:i/>
      <w:iCs/>
      <w:color w:val="0F4761" w:themeColor="accent1" w:themeShade="BF"/>
    </w:rPr>
  </w:style>
  <w:style w:type="character" w:styleId="IntenseReference">
    <w:name w:val="Intense Reference"/>
    <w:basedOn w:val="DefaultParagraphFont"/>
    <w:uiPriority w:val="32"/>
    <w:qFormat/>
    <w:rsid w:val="00DD1CCE"/>
    <w:rPr>
      <w:b/>
      <w:bCs/>
      <w:smallCaps/>
      <w:color w:val="0F4761" w:themeColor="accent1" w:themeShade="BF"/>
      <w:spacing w:val="5"/>
    </w:rPr>
  </w:style>
  <w:style w:type="paragraph" w:styleId="Header">
    <w:name w:val="header"/>
    <w:basedOn w:val="Normal"/>
    <w:link w:val="HeaderChar"/>
    <w:unhideWhenUsed/>
    <w:rsid w:val="00DD1CCE"/>
    <w:pPr>
      <w:tabs>
        <w:tab w:val="center" w:pos="4680"/>
        <w:tab w:val="right" w:pos="9360"/>
      </w:tabs>
    </w:pPr>
  </w:style>
  <w:style w:type="character" w:customStyle="1" w:styleId="HeaderChar">
    <w:name w:val="Header Char"/>
    <w:basedOn w:val="DefaultParagraphFont"/>
    <w:link w:val="Header"/>
    <w:uiPriority w:val="99"/>
    <w:rsid w:val="00DD1CCE"/>
  </w:style>
  <w:style w:type="paragraph" w:styleId="Footer">
    <w:name w:val="footer"/>
    <w:basedOn w:val="Normal"/>
    <w:link w:val="FooterChar"/>
    <w:uiPriority w:val="99"/>
    <w:unhideWhenUsed/>
    <w:rsid w:val="00DD1CCE"/>
    <w:pPr>
      <w:tabs>
        <w:tab w:val="center" w:pos="4680"/>
        <w:tab w:val="right" w:pos="9360"/>
      </w:tabs>
    </w:pPr>
  </w:style>
  <w:style w:type="character" w:customStyle="1" w:styleId="FooterChar">
    <w:name w:val="Footer Char"/>
    <w:basedOn w:val="DefaultParagraphFont"/>
    <w:link w:val="Footer"/>
    <w:uiPriority w:val="99"/>
    <w:rsid w:val="00DD1CCE"/>
  </w:style>
  <w:style w:type="paragraph" w:styleId="BodyTextIndent">
    <w:name w:val="Body Text Indent"/>
    <w:basedOn w:val="Normal"/>
    <w:link w:val="BodyTextIndentChar"/>
    <w:semiHidden/>
    <w:rsid w:val="00DD1CCE"/>
    <w:pPr>
      <w:tabs>
        <w:tab w:val="left" w:pos="360"/>
      </w:tabs>
      <w:ind w:left="360" w:hanging="360"/>
    </w:pPr>
    <w:rPr>
      <w:b/>
      <w:bCs/>
      <w:sz w:val="22"/>
    </w:rPr>
  </w:style>
  <w:style w:type="character" w:customStyle="1" w:styleId="BodyTextIndentChar">
    <w:name w:val="Body Text Indent Char"/>
    <w:basedOn w:val="DefaultParagraphFont"/>
    <w:link w:val="BodyTextIndent"/>
    <w:semiHidden/>
    <w:rsid w:val="00DD1CCE"/>
    <w:rPr>
      <w:rFonts w:ascii="Times New Roman" w:eastAsia="Times New Roman" w:hAnsi="Times New Roman" w:cs="Times New Roman"/>
      <w:b/>
      <w:bCs/>
      <w:kern w:val="0"/>
      <w:szCs w:val="20"/>
      <w14:ligatures w14:val="none"/>
    </w:rPr>
  </w:style>
  <w:style w:type="paragraph" w:styleId="BodyTextIndent2">
    <w:name w:val="Body Text Indent 2"/>
    <w:basedOn w:val="Normal"/>
    <w:link w:val="BodyTextIndent2Char"/>
    <w:semiHidden/>
    <w:rsid w:val="00DD1CCE"/>
    <w:pPr>
      <w:tabs>
        <w:tab w:val="left" w:pos="360"/>
        <w:tab w:val="left" w:pos="720"/>
      </w:tabs>
      <w:ind w:left="360"/>
    </w:pPr>
    <w:rPr>
      <w:rFonts w:ascii="Arial" w:hAnsi="Arial" w:cs="Arial"/>
    </w:rPr>
  </w:style>
  <w:style w:type="character" w:customStyle="1" w:styleId="BodyTextIndent2Char">
    <w:name w:val="Body Text Indent 2 Char"/>
    <w:basedOn w:val="DefaultParagraphFont"/>
    <w:link w:val="BodyTextIndent2"/>
    <w:semiHidden/>
    <w:rsid w:val="00DD1CCE"/>
    <w:rPr>
      <w:rFonts w:ascii="Arial" w:eastAsia="Times New Roman" w:hAnsi="Arial" w:cs="Arial"/>
      <w:kern w:val="0"/>
      <w:sz w:val="20"/>
      <w:szCs w:val="20"/>
      <w14:ligatures w14:val="none"/>
    </w:rPr>
  </w:style>
  <w:style w:type="paragraph" w:styleId="PlainText">
    <w:name w:val="Plain Text"/>
    <w:basedOn w:val="Normal"/>
    <w:link w:val="PlainTextChar"/>
    <w:uiPriority w:val="99"/>
    <w:rsid w:val="00DD1CCE"/>
    <w:pPr>
      <w:overflowPunct/>
      <w:autoSpaceDE/>
      <w:autoSpaceDN/>
      <w:adjustRightInd/>
      <w:textAlignment w:val="auto"/>
    </w:pPr>
    <w:rPr>
      <w:rFonts w:ascii="Courier New" w:hAnsi="Courier New" w:cs="Courier New"/>
    </w:rPr>
  </w:style>
  <w:style w:type="character" w:customStyle="1" w:styleId="PlainTextChar">
    <w:name w:val="Plain Text Char"/>
    <w:basedOn w:val="DefaultParagraphFont"/>
    <w:link w:val="PlainText"/>
    <w:uiPriority w:val="99"/>
    <w:rsid w:val="00DD1CCE"/>
    <w:rPr>
      <w:rFonts w:ascii="Courier New" w:eastAsia="Times New Roman" w:hAnsi="Courier New" w:cs="Courier New"/>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Template>
  <TotalTime>9</TotalTime>
  <Pages>9</Pages>
  <Words>3404</Words>
  <Characters>19407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U.S. Department of Housing and Urban Development</Company>
  <LinksUpToDate>false</LinksUpToDate>
  <CharactersWithSpaces>22766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Disabatino, Amber J</dc:creator>
  <cp:lastModifiedBy>Herring, Vivian M</cp:lastModifiedBy>
  <cp:revision>2</cp:revision>
  <dcterms:created xsi:type="dcterms:W3CDTF">2025-03-12T19:33:00Z</dcterms:created>
  <dcterms:modified xsi:type="dcterms:W3CDTF">2025-03-12T19:33:00Z</dcterms:modified>
</cp:coreProperties>
</file>