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49BF" w:rsidP="001F49BF" w14:paraId="0684F429" w14:textId="77777777">
      <w:pPr>
        <w:pStyle w:val="CoverTextRed16pt"/>
        <w:rPr>
          <w:noProof/>
        </w:rPr>
      </w:pPr>
      <w:r>
        <w:rPr>
          <w:noProof/>
        </w:rPr>
        <w:t>Supporting Statement for OMB Clearance Request</w:t>
      </w:r>
    </w:p>
    <w:p w:rsidR="00C8728A" w:rsidP="001F49BF" w14:paraId="0684F42A" w14:textId="77777777">
      <w:pPr>
        <w:pStyle w:val="CoverTextRed16pt"/>
        <w:rPr>
          <w:noProof/>
        </w:rPr>
      </w:pPr>
      <w:r>
        <w:rPr>
          <w:noProof/>
        </w:rPr>
        <w:t>Part A</w:t>
      </w:r>
    </w:p>
    <w:p w:rsidR="00FD3B50" w:rsidP="001F49BF" w14:paraId="0684F42B" w14:textId="77777777">
      <w:pPr>
        <w:pStyle w:val="CoverTextRed16pt"/>
        <w:rPr>
          <w:noProof/>
        </w:rPr>
      </w:pPr>
    </w:p>
    <w:p w:rsidR="001F49BF" w:rsidP="001F49BF" w14:paraId="0684F42C" w14:textId="77777777">
      <w:pPr>
        <w:pStyle w:val="CoverTextRed16pt"/>
        <w:rPr>
          <w:noProof/>
        </w:rPr>
      </w:pPr>
    </w:p>
    <w:p w:rsidR="001E2CF1" w:rsidP="001F49BF" w14:paraId="0684F42D" w14:textId="35992FA7">
      <w:pPr>
        <w:pStyle w:val="CoverTextRed16pt"/>
        <w:rPr>
          <w:noProof/>
        </w:rPr>
      </w:pPr>
      <w:r>
        <w:rPr>
          <w:noProof/>
        </w:rPr>
        <w:t>Moving to Work, Landlord Incentives Cohort Evaluation</w:t>
      </w:r>
    </w:p>
    <w:p w:rsidR="009565D4" w:rsidP="009565D4" w14:paraId="0684F42E" w14:textId="77777777">
      <w:pPr>
        <w:pStyle w:val="CoverText-Address"/>
        <w:rPr>
          <w:noProof/>
        </w:rPr>
      </w:pPr>
    </w:p>
    <w:p w:rsidR="009565D4" w:rsidP="009565D4" w14:paraId="0684F42F" w14:textId="77777777">
      <w:pPr>
        <w:pStyle w:val="CoverText-Address"/>
        <w:rPr>
          <w:noProof/>
        </w:rPr>
      </w:pPr>
    </w:p>
    <w:p w:rsidR="009565D4" w:rsidP="009565D4" w14:paraId="0684F430" w14:textId="77777777">
      <w:pPr>
        <w:pStyle w:val="CoverText-Address"/>
        <w:rPr>
          <w:noProof/>
        </w:rPr>
      </w:pPr>
    </w:p>
    <w:p w:rsidR="001E2CF1" w:rsidP="00744E2C" w14:paraId="0684F431" w14:textId="77777777">
      <w:pPr>
        <w:pStyle w:val="CoverText-Address"/>
      </w:pPr>
    </w:p>
    <w:p w:rsidR="001F49BF" w:rsidP="001F49BF" w14:paraId="0684F432" w14:textId="612A380A">
      <w:pPr>
        <w:pStyle w:val="CoverTextGreyBold"/>
      </w:pPr>
      <w:r w:rsidRPr="00B76A61">
        <w:t>Contract Number:</w:t>
      </w:r>
      <w:r>
        <w:t xml:space="preserve">  </w:t>
      </w:r>
      <w:r w:rsidRPr="00594F92" w:rsidR="00594F92">
        <w:rPr>
          <w:rFonts w:asciiTheme="minorBidi" w:hAnsiTheme="minorBidi" w:cstheme="minorBidi"/>
          <w:b w:val="0"/>
        </w:rPr>
        <w:t>GS00F252CA</w:t>
      </w:r>
    </w:p>
    <w:p w:rsidR="009565D4" w:rsidP="005B471A" w14:paraId="0684F435" w14:textId="77777777">
      <w:pPr>
        <w:pStyle w:val="CoverText-Address"/>
        <w:ind w:left="0"/>
        <w:jc w:val="left"/>
      </w:pPr>
    </w:p>
    <w:p w:rsidR="009565D4" w:rsidRPr="001E2CF1" w:rsidP="00744E2C" w14:paraId="0684F436" w14:textId="32AD1A58">
      <w:pPr>
        <w:pStyle w:val="CoverText-Address"/>
      </w:pPr>
      <w:r>
        <w:t>October 3</w:t>
      </w:r>
      <w:r w:rsidR="00F42AAE">
        <w:t>, 2022</w:t>
      </w:r>
    </w:p>
    <w:p w:rsidR="001E2CF1" w:rsidRPr="001E2CF1" w:rsidP="001E2CF1" w14:paraId="0684F437" w14:textId="77777777">
      <w:pPr>
        <w:tabs>
          <w:tab w:val="left" w:pos="720"/>
          <w:tab w:val="left" w:pos="1080"/>
          <w:tab w:val="left" w:pos="1440"/>
          <w:tab w:val="left" w:pos="1800"/>
          <w:tab w:val="left" w:pos="6660"/>
        </w:tabs>
        <w:spacing w:after="0"/>
        <w:ind w:left="6490" w:right="-540"/>
        <w:jc w:val="right"/>
        <w:rPr>
          <w:rFonts w:ascii="Arial" w:hAnsi="Arial"/>
          <w:szCs w:val="24"/>
        </w:rPr>
      </w:pPr>
    </w:p>
    <w:p w:rsidR="009565D4" w:rsidP="009565D4" w14:paraId="0684F438" w14:textId="77777777">
      <w:pPr>
        <w:pStyle w:val="CoverText11pt"/>
      </w:pPr>
      <w:r w:rsidRPr="001E2CF1">
        <w:t>Prepared for:</w:t>
      </w:r>
    </w:p>
    <w:p w:rsidR="00A7078B" w:rsidP="00A7078B" w14:paraId="4CE144CA" w14:textId="77777777">
      <w:pPr>
        <w:pStyle w:val="CoverText-Address"/>
        <w:ind w:left="5760"/>
        <w:rPr>
          <w:b/>
          <w:color w:val="DA291C"/>
        </w:rPr>
      </w:pPr>
      <w:r>
        <w:rPr>
          <w:b/>
          <w:color w:val="DA291C"/>
        </w:rPr>
        <w:t>Elizabeth Rudd</w:t>
      </w:r>
    </w:p>
    <w:p w:rsidR="00A7078B" w:rsidRPr="009565D4" w:rsidP="00A7078B" w14:paraId="7918D132" w14:textId="77777777">
      <w:pPr>
        <w:pStyle w:val="CoverText-Address"/>
        <w:ind w:left="5760"/>
        <w:rPr>
          <w:b/>
          <w:color w:val="DA291C"/>
        </w:rPr>
      </w:pPr>
      <w:r>
        <w:rPr>
          <w:b/>
          <w:color w:val="DA291C"/>
        </w:rPr>
        <w:t>Paul Joice</w:t>
      </w:r>
    </w:p>
    <w:p w:rsidR="00A7078B" w:rsidP="00A7078B" w14:paraId="481E66DF" w14:textId="77777777">
      <w:pPr>
        <w:pStyle w:val="CoverText-Address"/>
        <w:ind w:left="5760"/>
      </w:pPr>
      <w:r>
        <w:t>Office of Policy Development and Research</w:t>
      </w:r>
    </w:p>
    <w:p w:rsidR="00A7078B" w:rsidP="00A7078B" w14:paraId="515D4EA7" w14:textId="77777777">
      <w:pPr>
        <w:pStyle w:val="CoverText-Address"/>
        <w:ind w:left="5760"/>
      </w:pPr>
      <w:r>
        <w:t>U.S. Department of Housing and Urban Development</w:t>
      </w:r>
    </w:p>
    <w:p w:rsidR="00A7078B" w:rsidP="00A7078B" w14:paraId="039F4E1D" w14:textId="77777777">
      <w:pPr>
        <w:pStyle w:val="CoverText-Address"/>
      </w:pPr>
    </w:p>
    <w:p w:rsidR="00A7078B" w:rsidRPr="001E2CF1" w:rsidP="00A7078B" w14:paraId="1184622A" w14:textId="77777777">
      <w:pPr>
        <w:pStyle w:val="CoverText-Address"/>
      </w:pPr>
    </w:p>
    <w:p w:rsidR="00A7078B" w:rsidRPr="001E2CF1" w:rsidP="00A7078B" w14:paraId="1EB69E81" w14:textId="77777777">
      <w:pPr>
        <w:pStyle w:val="CoverText-Address"/>
      </w:pPr>
    </w:p>
    <w:p w:rsidR="00A7078B" w:rsidRPr="001E2CF1" w:rsidP="00A7078B" w14:paraId="5EEB8C02" w14:textId="77777777">
      <w:pPr>
        <w:pStyle w:val="CoverText11pt"/>
      </w:pPr>
      <w:r w:rsidRPr="001E2CF1">
        <w:t>Submitted by:</w:t>
      </w:r>
    </w:p>
    <w:p w:rsidR="00A7078B" w:rsidP="00A7078B" w14:paraId="0D671E11" w14:textId="77777777">
      <w:pPr>
        <w:pStyle w:val="CoverText-Address"/>
        <w:rPr>
          <w:b/>
          <w:color w:val="DA291C"/>
        </w:rPr>
      </w:pPr>
      <w:r w:rsidRPr="00C04D4C">
        <w:rPr>
          <w:b/>
          <w:color w:val="DA291C"/>
        </w:rPr>
        <w:t>Abt</w:t>
      </w:r>
      <w:r w:rsidRPr="00C04D4C">
        <w:rPr>
          <w:b/>
          <w:color w:val="DA291C"/>
        </w:rPr>
        <w:t xml:space="preserve"> Associates Inc</w:t>
      </w:r>
      <w:r w:rsidRPr="00354503">
        <w:rPr>
          <w:b/>
          <w:color w:val="DA291C"/>
        </w:rPr>
        <w:t>.</w:t>
      </w:r>
    </w:p>
    <w:p w:rsidR="00A7078B" w:rsidP="00A7078B" w14:paraId="47F936E3" w14:textId="77777777">
      <w:pPr>
        <w:pStyle w:val="CoverText-Address"/>
        <w:ind w:left="5760"/>
      </w:pPr>
      <w:r>
        <w:t>6130 Executive Boulevard</w:t>
      </w:r>
    </w:p>
    <w:p w:rsidR="00A7078B" w:rsidP="00A7078B" w14:paraId="3EBB6B98" w14:textId="77777777">
      <w:pPr>
        <w:pStyle w:val="CoverText-Address"/>
        <w:ind w:left="5760"/>
      </w:pPr>
      <w:r>
        <w:t>Rockville, MD 20852</w:t>
      </w:r>
    </w:p>
    <w:p w:rsidR="00A7078B" w:rsidP="00A7078B" w14:paraId="371B8AD9" w14:textId="77777777">
      <w:pPr>
        <w:pStyle w:val="CoverText-Address"/>
        <w:ind w:left="5760"/>
      </w:pPr>
    </w:p>
    <w:p w:rsidR="00A7078B" w:rsidRPr="00C04D4C" w:rsidP="00A7078B" w14:paraId="36AA7E80" w14:textId="77777777">
      <w:pPr>
        <w:pStyle w:val="CoverText-Address"/>
        <w:ind w:left="5760"/>
        <w:rPr>
          <w:b/>
          <w:bCs/>
          <w:color w:val="DA291C"/>
        </w:rPr>
      </w:pPr>
      <w:r w:rsidRPr="00C04D4C">
        <w:rPr>
          <w:b/>
          <w:bCs/>
          <w:color w:val="DA291C"/>
        </w:rPr>
        <w:t>University of Hawai’i</w:t>
      </w:r>
    </w:p>
    <w:p w:rsidR="00A7078B" w:rsidP="00A7078B" w14:paraId="45C3BBE8" w14:textId="77777777">
      <w:pPr>
        <w:pStyle w:val="CoverText-Address"/>
        <w:ind w:left="5760"/>
      </w:pPr>
      <w:r>
        <w:t xml:space="preserve">2424 </w:t>
      </w:r>
      <w:r>
        <w:t>Maile</w:t>
      </w:r>
      <w:r>
        <w:t xml:space="preserve"> Way</w:t>
      </w:r>
    </w:p>
    <w:p w:rsidR="00A7078B" w:rsidP="00A7078B" w14:paraId="010C9118" w14:textId="77777777">
      <w:pPr>
        <w:pStyle w:val="CoverText-Address"/>
        <w:ind w:left="5760"/>
      </w:pPr>
      <w:r>
        <w:t>Honolulu, HI 96822</w:t>
      </w:r>
    </w:p>
    <w:p w:rsidR="00AB3167" w:rsidRPr="00354503" w:rsidP="00354503" w14:paraId="0684F442" w14:textId="77777777">
      <w:pPr>
        <w:pStyle w:val="CoverText-Address"/>
        <w:rPr>
          <w:b/>
          <w:color w:val="DA291C"/>
        </w:rPr>
      </w:pPr>
    </w:p>
    <w:p w:rsidR="001E2CF1" w:rsidRPr="001E2CF1" w:rsidP="00354503" w14:paraId="0684F443" w14:textId="77777777">
      <w:pPr>
        <w:pStyle w:val="CoverText-Address"/>
      </w:pPr>
    </w:p>
    <w:p w:rsidR="00157E04" w:rsidP="00D979EA" w14:paraId="0684F444" w14:textId="77777777">
      <w:pPr>
        <w:sectPr w:rsidSect="00A67C7A">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440" w:header="720" w:footer="720" w:gutter="0"/>
          <w:pgNumType w:fmt="lowerRoman" w:start="1"/>
          <w:cols w:space="720"/>
          <w:docGrid w:linePitch="299"/>
        </w:sectPr>
      </w:pPr>
    </w:p>
    <w:p w:rsidR="00752119" w:rsidRPr="00A178FC" w:rsidP="00D979EA" w14:paraId="0684F445" w14:textId="77777777">
      <w:pPr>
        <w:pStyle w:val="TOCHeader"/>
      </w:pPr>
      <w:r w:rsidRPr="00A178FC">
        <w:t>Table of Contents</w:t>
      </w:r>
    </w:p>
    <w:p w:rsidR="0063074A" w14:paraId="6653DFC3" w14:textId="47F453ED">
      <w:pPr>
        <w:pStyle w:val="TOC1"/>
        <w:rPr>
          <w:rFonts w:asciiTheme="minorHAnsi" w:eastAsiaTheme="minorEastAsia" w:hAnsiTheme="minorHAnsi" w:cstheme="minorBidi"/>
          <w:b w:val="0"/>
          <w:noProof/>
          <w:szCs w:val="22"/>
        </w:rPr>
      </w:pPr>
      <w:r>
        <w:rPr>
          <w:b w:val="0"/>
        </w:rPr>
        <w:fldChar w:fldCharType="begin"/>
      </w:r>
      <w:r>
        <w:rPr>
          <w:b w:val="0"/>
        </w:rPr>
        <w:instrText xml:space="preserve"> TOC \o "1-2" \h \z \u </w:instrText>
      </w:r>
      <w:r>
        <w:rPr>
          <w:b w:val="0"/>
        </w:rPr>
        <w:fldChar w:fldCharType="separate"/>
      </w:r>
      <w:hyperlink w:anchor="_Toc106789166" w:history="1">
        <w:r w:rsidRPr="00105708">
          <w:rPr>
            <w:rStyle w:val="Hyperlink"/>
            <w:noProof/>
          </w:rPr>
          <w:t>Part A: Supporting Statement for Paperwork Reduction Act Submission: Interview Guides and Surveys</w:t>
        </w:r>
        <w:r>
          <w:rPr>
            <w:noProof/>
            <w:webHidden/>
          </w:rPr>
          <w:tab/>
        </w:r>
        <w:r>
          <w:rPr>
            <w:noProof/>
            <w:webHidden/>
          </w:rPr>
          <w:fldChar w:fldCharType="begin"/>
        </w:r>
        <w:r>
          <w:rPr>
            <w:noProof/>
            <w:webHidden/>
          </w:rPr>
          <w:instrText xml:space="preserve"> PAGEREF _Toc106789166 \h </w:instrText>
        </w:r>
        <w:r>
          <w:rPr>
            <w:noProof/>
            <w:webHidden/>
          </w:rPr>
          <w:fldChar w:fldCharType="separate"/>
        </w:r>
        <w:r>
          <w:rPr>
            <w:noProof/>
            <w:webHidden/>
          </w:rPr>
          <w:t>1</w:t>
        </w:r>
        <w:r>
          <w:rPr>
            <w:noProof/>
            <w:webHidden/>
          </w:rPr>
          <w:fldChar w:fldCharType="end"/>
        </w:r>
      </w:hyperlink>
    </w:p>
    <w:p w:rsidR="0063074A" w14:paraId="3ABC25C0" w14:textId="7B357DC9">
      <w:pPr>
        <w:pStyle w:val="TOC2"/>
        <w:rPr>
          <w:rFonts w:asciiTheme="minorHAnsi" w:eastAsiaTheme="minorEastAsia" w:hAnsiTheme="minorHAnsi" w:cstheme="minorBidi"/>
          <w:szCs w:val="22"/>
        </w:rPr>
      </w:pPr>
      <w:hyperlink w:anchor="_Toc106789167" w:history="1">
        <w:r w:rsidRPr="00105708">
          <w:rPr>
            <w:rStyle w:val="Hyperlink"/>
          </w:rPr>
          <w:t>Overview</w:t>
        </w:r>
        <w:r>
          <w:rPr>
            <w:webHidden/>
          </w:rPr>
          <w:tab/>
        </w:r>
        <w:r>
          <w:rPr>
            <w:webHidden/>
          </w:rPr>
          <w:fldChar w:fldCharType="begin"/>
        </w:r>
        <w:r>
          <w:rPr>
            <w:webHidden/>
          </w:rPr>
          <w:instrText xml:space="preserve"> PAGEREF _Toc106789167 \h </w:instrText>
        </w:r>
        <w:r>
          <w:rPr>
            <w:webHidden/>
          </w:rPr>
          <w:fldChar w:fldCharType="separate"/>
        </w:r>
        <w:r>
          <w:rPr>
            <w:webHidden/>
          </w:rPr>
          <w:t>1</w:t>
        </w:r>
        <w:r>
          <w:rPr>
            <w:webHidden/>
          </w:rPr>
          <w:fldChar w:fldCharType="end"/>
        </w:r>
      </w:hyperlink>
    </w:p>
    <w:p w:rsidR="0063074A" w14:paraId="5F011A1A" w14:textId="1F12BD46">
      <w:pPr>
        <w:pStyle w:val="TOC2"/>
        <w:rPr>
          <w:rFonts w:asciiTheme="minorHAnsi" w:eastAsiaTheme="minorEastAsia" w:hAnsiTheme="minorHAnsi" w:cstheme="minorBidi"/>
          <w:szCs w:val="22"/>
        </w:rPr>
      </w:pPr>
      <w:hyperlink w:anchor="_Toc106789168" w:history="1">
        <w:r w:rsidRPr="00105708">
          <w:rPr>
            <w:rStyle w:val="Hyperlink"/>
          </w:rPr>
          <w:t>A.1: Necessity for the Data Collection</w:t>
        </w:r>
        <w:r>
          <w:rPr>
            <w:webHidden/>
          </w:rPr>
          <w:tab/>
        </w:r>
        <w:r>
          <w:rPr>
            <w:webHidden/>
          </w:rPr>
          <w:fldChar w:fldCharType="begin"/>
        </w:r>
        <w:r>
          <w:rPr>
            <w:webHidden/>
          </w:rPr>
          <w:instrText xml:space="preserve"> PAGEREF _Toc106789168 \h </w:instrText>
        </w:r>
        <w:r>
          <w:rPr>
            <w:webHidden/>
          </w:rPr>
          <w:fldChar w:fldCharType="separate"/>
        </w:r>
        <w:r>
          <w:rPr>
            <w:webHidden/>
          </w:rPr>
          <w:t>2</w:t>
        </w:r>
        <w:r>
          <w:rPr>
            <w:webHidden/>
          </w:rPr>
          <w:fldChar w:fldCharType="end"/>
        </w:r>
      </w:hyperlink>
    </w:p>
    <w:p w:rsidR="0063074A" w14:paraId="4853521A" w14:textId="3472D721">
      <w:pPr>
        <w:pStyle w:val="TOC2"/>
        <w:rPr>
          <w:rFonts w:asciiTheme="minorHAnsi" w:eastAsiaTheme="minorEastAsia" w:hAnsiTheme="minorHAnsi" w:cstheme="minorBidi"/>
          <w:szCs w:val="22"/>
        </w:rPr>
      </w:pPr>
      <w:hyperlink w:anchor="_Toc106789169" w:history="1">
        <w:r w:rsidRPr="00105708">
          <w:rPr>
            <w:rStyle w:val="Hyperlink"/>
          </w:rPr>
          <w:t>A.2: Purpose and Users of Information</w:t>
        </w:r>
        <w:r>
          <w:rPr>
            <w:webHidden/>
          </w:rPr>
          <w:tab/>
        </w:r>
        <w:r>
          <w:rPr>
            <w:webHidden/>
          </w:rPr>
          <w:fldChar w:fldCharType="begin"/>
        </w:r>
        <w:r>
          <w:rPr>
            <w:webHidden/>
          </w:rPr>
          <w:instrText xml:space="preserve"> PAGEREF _Toc106789169 \h </w:instrText>
        </w:r>
        <w:r>
          <w:rPr>
            <w:webHidden/>
          </w:rPr>
          <w:fldChar w:fldCharType="separate"/>
        </w:r>
        <w:r>
          <w:rPr>
            <w:webHidden/>
          </w:rPr>
          <w:t>3</w:t>
        </w:r>
        <w:r>
          <w:rPr>
            <w:webHidden/>
          </w:rPr>
          <w:fldChar w:fldCharType="end"/>
        </w:r>
      </w:hyperlink>
    </w:p>
    <w:p w:rsidR="0063074A" w14:paraId="3F81968C" w14:textId="61BB11CB">
      <w:pPr>
        <w:pStyle w:val="TOC2"/>
        <w:rPr>
          <w:rFonts w:asciiTheme="minorHAnsi" w:eastAsiaTheme="minorEastAsia" w:hAnsiTheme="minorHAnsi" w:cstheme="minorBidi"/>
          <w:szCs w:val="22"/>
        </w:rPr>
      </w:pPr>
      <w:hyperlink w:anchor="_Toc106789170" w:history="1">
        <w:r w:rsidRPr="00105708">
          <w:rPr>
            <w:rStyle w:val="Hyperlink"/>
          </w:rPr>
          <w:t>A.3: Use of Information Technology</w:t>
        </w:r>
        <w:r>
          <w:rPr>
            <w:webHidden/>
          </w:rPr>
          <w:tab/>
        </w:r>
        <w:r>
          <w:rPr>
            <w:webHidden/>
          </w:rPr>
          <w:fldChar w:fldCharType="begin"/>
        </w:r>
        <w:r>
          <w:rPr>
            <w:webHidden/>
          </w:rPr>
          <w:instrText xml:space="preserve"> PAGEREF _Toc106789170 \h </w:instrText>
        </w:r>
        <w:r>
          <w:rPr>
            <w:webHidden/>
          </w:rPr>
          <w:fldChar w:fldCharType="separate"/>
        </w:r>
        <w:r>
          <w:rPr>
            <w:webHidden/>
          </w:rPr>
          <w:t>13</w:t>
        </w:r>
        <w:r>
          <w:rPr>
            <w:webHidden/>
          </w:rPr>
          <w:fldChar w:fldCharType="end"/>
        </w:r>
      </w:hyperlink>
    </w:p>
    <w:p w:rsidR="0063074A" w14:paraId="6979504C" w14:textId="537D46F2">
      <w:pPr>
        <w:pStyle w:val="TOC2"/>
        <w:rPr>
          <w:rFonts w:asciiTheme="minorHAnsi" w:eastAsiaTheme="minorEastAsia" w:hAnsiTheme="minorHAnsi" w:cstheme="minorBidi"/>
          <w:szCs w:val="22"/>
        </w:rPr>
      </w:pPr>
      <w:hyperlink w:anchor="_Toc106789171" w:history="1">
        <w:r w:rsidRPr="00105708">
          <w:rPr>
            <w:rStyle w:val="Hyperlink"/>
          </w:rPr>
          <w:t>A.4: Efforts to Identify Duplication</w:t>
        </w:r>
        <w:r>
          <w:rPr>
            <w:webHidden/>
          </w:rPr>
          <w:tab/>
        </w:r>
        <w:r>
          <w:rPr>
            <w:webHidden/>
          </w:rPr>
          <w:fldChar w:fldCharType="begin"/>
        </w:r>
        <w:r>
          <w:rPr>
            <w:webHidden/>
          </w:rPr>
          <w:instrText xml:space="preserve"> PAGEREF _Toc106789171 \h </w:instrText>
        </w:r>
        <w:r>
          <w:rPr>
            <w:webHidden/>
          </w:rPr>
          <w:fldChar w:fldCharType="separate"/>
        </w:r>
        <w:r>
          <w:rPr>
            <w:webHidden/>
          </w:rPr>
          <w:t>14</w:t>
        </w:r>
        <w:r>
          <w:rPr>
            <w:webHidden/>
          </w:rPr>
          <w:fldChar w:fldCharType="end"/>
        </w:r>
      </w:hyperlink>
    </w:p>
    <w:p w:rsidR="0063074A" w14:paraId="6E0A72D6" w14:textId="62D2CE44">
      <w:pPr>
        <w:pStyle w:val="TOC2"/>
        <w:rPr>
          <w:rFonts w:asciiTheme="minorHAnsi" w:eastAsiaTheme="minorEastAsia" w:hAnsiTheme="minorHAnsi" w:cstheme="minorBidi"/>
          <w:szCs w:val="22"/>
        </w:rPr>
      </w:pPr>
      <w:hyperlink w:anchor="_Toc106789172" w:history="1">
        <w:r w:rsidRPr="00105708">
          <w:rPr>
            <w:rStyle w:val="Hyperlink"/>
          </w:rPr>
          <w:t>A.5: Involvement of Small Organizations</w:t>
        </w:r>
        <w:r>
          <w:rPr>
            <w:webHidden/>
          </w:rPr>
          <w:tab/>
        </w:r>
        <w:r>
          <w:rPr>
            <w:webHidden/>
          </w:rPr>
          <w:fldChar w:fldCharType="begin"/>
        </w:r>
        <w:r>
          <w:rPr>
            <w:webHidden/>
          </w:rPr>
          <w:instrText xml:space="preserve"> PAGEREF _Toc106789172 \h </w:instrText>
        </w:r>
        <w:r>
          <w:rPr>
            <w:webHidden/>
          </w:rPr>
          <w:fldChar w:fldCharType="separate"/>
        </w:r>
        <w:r>
          <w:rPr>
            <w:webHidden/>
          </w:rPr>
          <w:t>14</w:t>
        </w:r>
        <w:r>
          <w:rPr>
            <w:webHidden/>
          </w:rPr>
          <w:fldChar w:fldCharType="end"/>
        </w:r>
      </w:hyperlink>
    </w:p>
    <w:p w:rsidR="0063074A" w14:paraId="21E465EB" w14:textId="71F4EB64">
      <w:pPr>
        <w:pStyle w:val="TOC2"/>
        <w:rPr>
          <w:rFonts w:asciiTheme="minorHAnsi" w:eastAsiaTheme="minorEastAsia" w:hAnsiTheme="minorHAnsi" w:cstheme="minorBidi"/>
          <w:szCs w:val="22"/>
        </w:rPr>
      </w:pPr>
      <w:hyperlink w:anchor="_Toc106789173" w:history="1">
        <w:r w:rsidRPr="00105708">
          <w:rPr>
            <w:rStyle w:val="Hyperlink"/>
          </w:rPr>
          <w:t>A.6: Consequences of No or Less Frequent Data Collection</w:t>
        </w:r>
        <w:r>
          <w:rPr>
            <w:webHidden/>
          </w:rPr>
          <w:tab/>
        </w:r>
        <w:r>
          <w:rPr>
            <w:webHidden/>
          </w:rPr>
          <w:fldChar w:fldCharType="begin"/>
        </w:r>
        <w:r>
          <w:rPr>
            <w:webHidden/>
          </w:rPr>
          <w:instrText xml:space="preserve"> PAGEREF _Toc106789173 \h </w:instrText>
        </w:r>
        <w:r>
          <w:rPr>
            <w:webHidden/>
          </w:rPr>
          <w:fldChar w:fldCharType="separate"/>
        </w:r>
        <w:r>
          <w:rPr>
            <w:webHidden/>
          </w:rPr>
          <w:t>14</w:t>
        </w:r>
        <w:r>
          <w:rPr>
            <w:webHidden/>
          </w:rPr>
          <w:fldChar w:fldCharType="end"/>
        </w:r>
      </w:hyperlink>
    </w:p>
    <w:p w:rsidR="0063074A" w14:paraId="5226AAAF" w14:textId="63DBF894">
      <w:pPr>
        <w:pStyle w:val="TOC2"/>
        <w:rPr>
          <w:rFonts w:asciiTheme="minorHAnsi" w:eastAsiaTheme="minorEastAsia" w:hAnsiTheme="minorHAnsi" w:cstheme="minorBidi"/>
          <w:szCs w:val="22"/>
        </w:rPr>
      </w:pPr>
      <w:hyperlink w:anchor="_Toc106789174" w:history="1">
        <w:r w:rsidRPr="00105708">
          <w:rPr>
            <w:rStyle w:val="Hyperlink"/>
          </w:rPr>
          <w:t>A.7: Special Circumstances</w:t>
        </w:r>
        <w:r>
          <w:rPr>
            <w:webHidden/>
          </w:rPr>
          <w:tab/>
        </w:r>
        <w:r>
          <w:rPr>
            <w:webHidden/>
          </w:rPr>
          <w:fldChar w:fldCharType="begin"/>
        </w:r>
        <w:r>
          <w:rPr>
            <w:webHidden/>
          </w:rPr>
          <w:instrText xml:space="preserve"> PAGEREF _Toc106789174 \h </w:instrText>
        </w:r>
        <w:r>
          <w:rPr>
            <w:webHidden/>
          </w:rPr>
          <w:fldChar w:fldCharType="separate"/>
        </w:r>
        <w:r>
          <w:rPr>
            <w:webHidden/>
          </w:rPr>
          <w:t>15</w:t>
        </w:r>
        <w:r>
          <w:rPr>
            <w:webHidden/>
          </w:rPr>
          <w:fldChar w:fldCharType="end"/>
        </w:r>
      </w:hyperlink>
    </w:p>
    <w:p w:rsidR="0063074A" w14:paraId="306ECBE6" w14:textId="0A2D3BF5">
      <w:pPr>
        <w:pStyle w:val="TOC2"/>
        <w:rPr>
          <w:rFonts w:asciiTheme="minorHAnsi" w:eastAsiaTheme="minorEastAsia" w:hAnsiTheme="minorHAnsi" w:cstheme="minorBidi"/>
          <w:szCs w:val="22"/>
        </w:rPr>
      </w:pPr>
      <w:hyperlink w:anchor="_Toc106789175" w:history="1">
        <w:r w:rsidRPr="00105708">
          <w:rPr>
            <w:rStyle w:val="Hyperlink"/>
          </w:rPr>
          <w:t>A.8: FRN and Consultation</w:t>
        </w:r>
        <w:r>
          <w:rPr>
            <w:webHidden/>
          </w:rPr>
          <w:tab/>
        </w:r>
        <w:r>
          <w:rPr>
            <w:webHidden/>
          </w:rPr>
          <w:fldChar w:fldCharType="begin"/>
        </w:r>
        <w:r>
          <w:rPr>
            <w:webHidden/>
          </w:rPr>
          <w:instrText xml:space="preserve"> PAGEREF _Toc106789175 \h </w:instrText>
        </w:r>
        <w:r>
          <w:rPr>
            <w:webHidden/>
          </w:rPr>
          <w:fldChar w:fldCharType="separate"/>
        </w:r>
        <w:r>
          <w:rPr>
            <w:webHidden/>
          </w:rPr>
          <w:t>15</w:t>
        </w:r>
        <w:r>
          <w:rPr>
            <w:webHidden/>
          </w:rPr>
          <w:fldChar w:fldCharType="end"/>
        </w:r>
      </w:hyperlink>
    </w:p>
    <w:p w:rsidR="0063074A" w14:paraId="2591059B" w14:textId="55CF0F56">
      <w:pPr>
        <w:pStyle w:val="TOC2"/>
        <w:rPr>
          <w:rFonts w:asciiTheme="minorHAnsi" w:eastAsiaTheme="minorEastAsia" w:hAnsiTheme="minorHAnsi" w:cstheme="minorBidi"/>
          <w:szCs w:val="22"/>
        </w:rPr>
      </w:pPr>
      <w:hyperlink w:anchor="_Toc106789176" w:history="1">
        <w:r w:rsidRPr="00105708">
          <w:rPr>
            <w:rStyle w:val="Hyperlink"/>
          </w:rPr>
          <w:t>A.9: Payment of Respondents</w:t>
        </w:r>
        <w:r>
          <w:rPr>
            <w:webHidden/>
          </w:rPr>
          <w:tab/>
        </w:r>
        <w:r>
          <w:rPr>
            <w:webHidden/>
          </w:rPr>
          <w:fldChar w:fldCharType="begin"/>
        </w:r>
        <w:r>
          <w:rPr>
            <w:webHidden/>
          </w:rPr>
          <w:instrText xml:space="preserve"> PAGEREF _Toc106789176 \h </w:instrText>
        </w:r>
        <w:r>
          <w:rPr>
            <w:webHidden/>
          </w:rPr>
          <w:fldChar w:fldCharType="separate"/>
        </w:r>
        <w:r>
          <w:rPr>
            <w:webHidden/>
          </w:rPr>
          <w:t>16</w:t>
        </w:r>
        <w:r>
          <w:rPr>
            <w:webHidden/>
          </w:rPr>
          <w:fldChar w:fldCharType="end"/>
        </w:r>
      </w:hyperlink>
    </w:p>
    <w:p w:rsidR="0063074A" w14:paraId="4790D6FC" w14:textId="117828B9">
      <w:pPr>
        <w:pStyle w:val="TOC2"/>
        <w:rPr>
          <w:rFonts w:asciiTheme="minorHAnsi" w:eastAsiaTheme="minorEastAsia" w:hAnsiTheme="minorHAnsi" w:cstheme="minorBidi"/>
          <w:szCs w:val="22"/>
        </w:rPr>
      </w:pPr>
      <w:hyperlink w:anchor="_Toc106789177" w:history="1">
        <w:r w:rsidRPr="00105708">
          <w:rPr>
            <w:rStyle w:val="Hyperlink"/>
          </w:rPr>
          <w:t>A.10: Assurances of Confidentiality Provided to Respondents</w:t>
        </w:r>
        <w:r>
          <w:rPr>
            <w:webHidden/>
          </w:rPr>
          <w:tab/>
        </w:r>
        <w:r>
          <w:rPr>
            <w:webHidden/>
          </w:rPr>
          <w:fldChar w:fldCharType="begin"/>
        </w:r>
        <w:r>
          <w:rPr>
            <w:webHidden/>
          </w:rPr>
          <w:instrText xml:space="preserve"> PAGEREF _Toc106789177 \h </w:instrText>
        </w:r>
        <w:r>
          <w:rPr>
            <w:webHidden/>
          </w:rPr>
          <w:fldChar w:fldCharType="separate"/>
        </w:r>
        <w:r>
          <w:rPr>
            <w:webHidden/>
          </w:rPr>
          <w:t>16</w:t>
        </w:r>
        <w:r>
          <w:rPr>
            <w:webHidden/>
          </w:rPr>
          <w:fldChar w:fldCharType="end"/>
        </w:r>
      </w:hyperlink>
    </w:p>
    <w:p w:rsidR="0063074A" w14:paraId="1A946CEC" w14:textId="18AE413E">
      <w:pPr>
        <w:pStyle w:val="TOC2"/>
        <w:rPr>
          <w:rFonts w:asciiTheme="minorHAnsi" w:eastAsiaTheme="minorEastAsia" w:hAnsiTheme="minorHAnsi" w:cstheme="minorBidi"/>
          <w:szCs w:val="22"/>
        </w:rPr>
      </w:pPr>
      <w:hyperlink w:anchor="_Toc106789178" w:history="1">
        <w:r w:rsidRPr="00105708">
          <w:rPr>
            <w:rStyle w:val="Hyperlink"/>
          </w:rPr>
          <w:t>A.11: Sensitive Questions</w:t>
        </w:r>
        <w:r>
          <w:rPr>
            <w:webHidden/>
          </w:rPr>
          <w:tab/>
        </w:r>
        <w:r>
          <w:rPr>
            <w:webHidden/>
          </w:rPr>
          <w:fldChar w:fldCharType="begin"/>
        </w:r>
        <w:r>
          <w:rPr>
            <w:webHidden/>
          </w:rPr>
          <w:instrText xml:space="preserve"> PAGEREF _Toc106789178 \h </w:instrText>
        </w:r>
        <w:r>
          <w:rPr>
            <w:webHidden/>
          </w:rPr>
          <w:fldChar w:fldCharType="separate"/>
        </w:r>
        <w:r>
          <w:rPr>
            <w:webHidden/>
          </w:rPr>
          <w:t>17</w:t>
        </w:r>
        <w:r>
          <w:rPr>
            <w:webHidden/>
          </w:rPr>
          <w:fldChar w:fldCharType="end"/>
        </w:r>
      </w:hyperlink>
    </w:p>
    <w:p w:rsidR="0063074A" w14:paraId="4B235860" w14:textId="4D85AAC5">
      <w:pPr>
        <w:pStyle w:val="TOC2"/>
        <w:rPr>
          <w:rFonts w:asciiTheme="minorHAnsi" w:eastAsiaTheme="minorEastAsia" w:hAnsiTheme="minorHAnsi" w:cstheme="minorBidi"/>
          <w:szCs w:val="22"/>
        </w:rPr>
      </w:pPr>
      <w:hyperlink w:anchor="_Toc106789179" w:history="1">
        <w:r w:rsidRPr="00105708">
          <w:rPr>
            <w:rStyle w:val="Hyperlink"/>
          </w:rPr>
          <w:t>A.12: Estimation of Information Collection Burden</w:t>
        </w:r>
        <w:r>
          <w:rPr>
            <w:webHidden/>
          </w:rPr>
          <w:tab/>
        </w:r>
        <w:r>
          <w:rPr>
            <w:webHidden/>
          </w:rPr>
          <w:fldChar w:fldCharType="begin"/>
        </w:r>
        <w:r>
          <w:rPr>
            <w:webHidden/>
          </w:rPr>
          <w:instrText xml:space="preserve"> PAGEREF _Toc106789179 \h </w:instrText>
        </w:r>
        <w:r>
          <w:rPr>
            <w:webHidden/>
          </w:rPr>
          <w:fldChar w:fldCharType="separate"/>
        </w:r>
        <w:r>
          <w:rPr>
            <w:webHidden/>
          </w:rPr>
          <w:t>17</w:t>
        </w:r>
        <w:r>
          <w:rPr>
            <w:webHidden/>
          </w:rPr>
          <w:fldChar w:fldCharType="end"/>
        </w:r>
      </w:hyperlink>
    </w:p>
    <w:p w:rsidR="0063074A" w14:paraId="26022F05" w14:textId="4D58C617">
      <w:pPr>
        <w:pStyle w:val="TOC2"/>
        <w:rPr>
          <w:rFonts w:asciiTheme="minorHAnsi" w:eastAsiaTheme="minorEastAsia" w:hAnsiTheme="minorHAnsi" w:cstheme="minorBidi"/>
          <w:szCs w:val="22"/>
        </w:rPr>
      </w:pPr>
      <w:hyperlink w:anchor="_Toc106789180" w:history="1">
        <w:r w:rsidRPr="00105708">
          <w:rPr>
            <w:rStyle w:val="Hyperlink"/>
          </w:rPr>
          <w:t>A.13: Cost Burden to Respondents or Record Keepers</w:t>
        </w:r>
        <w:r>
          <w:rPr>
            <w:webHidden/>
          </w:rPr>
          <w:tab/>
        </w:r>
        <w:r>
          <w:rPr>
            <w:webHidden/>
          </w:rPr>
          <w:fldChar w:fldCharType="begin"/>
        </w:r>
        <w:r>
          <w:rPr>
            <w:webHidden/>
          </w:rPr>
          <w:instrText xml:space="preserve"> PAGEREF _Toc106789180 \h </w:instrText>
        </w:r>
        <w:r>
          <w:rPr>
            <w:webHidden/>
          </w:rPr>
          <w:fldChar w:fldCharType="separate"/>
        </w:r>
        <w:r>
          <w:rPr>
            <w:webHidden/>
          </w:rPr>
          <w:t>19</w:t>
        </w:r>
        <w:r>
          <w:rPr>
            <w:webHidden/>
          </w:rPr>
          <w:fldChar w:fldCharType="end"/>
        </w:r>
      </w:hyperlink>
    </w:p>
    <w:p w:rsidR="0063074A" w14:paraId="3CD2ABFB" w14:textId="3EDCC364">
      <w:pPr>
        <w:pStyle w:val="TOC2"/>
        <w:rPr>
          <w:rFonts w:asciiTheme="minorHAnsi" w:eastAsiaTheme="minorEastAsia" w:hAnsiTheme="minorHAnsi" w:cstheme="minorBidi"/>
          <w:szCs w:val="22"/>
        </w:rPr>
      </w:pPr>
      <w:hyperlink w:anchor="_Toc106789181" w:history="1">
        <w:r w:rsidRPr="00105708">
          <w:rPr>
            <w:rStyle w:val="Hyperlink"/>
          </w:rPr>
          <w:t>A.14: Estimate of Cost to the Federal Government</w:t>
        </w:r>
        <w:r>
          <w:rPr>
            <w:webHidden/>
          </w:rPr>
          <w:tab/>
        </w:r>
        <w:r>
          <w:rPr>
            <w:webHidden/>
          </w:rPr>
          <w:fldChar w:fldCharType="begin"/>
        </w:r>
        <w:r>
          <w:rPr>
            <w:webHidden/>
          </w:rPr>
          <w:instrText xml:space="preserve"> PAGEREF _Toc106789181 \h </w:instrText>
        </w:r>
        <w:r>
          <w:rPr>
            <w:webHidden/>
          </w:rPr>
          <w:fldChar w:fldCharType="separate"/>
        </w:r>
        <w:r>
          <w:rPr>
            <w:webHidden/>
          </w:rPr>
          <w:t>19</w:t>
        </w:r>
        <w:r>
          <w:rPr>
            <w:webHidden/>
          </w:rPr>
          <w:fldChar w:fldCharType="end"/>
        </w:r>
      </w:hyperlink>
    </w:p>
    <w:p w:rsidR="0063074A" w14:paraId="791C9BDD" w14:textId="20B2CC3E">
      <w:pPr>
        <w:pStyle w:val="TOC2"/>
        <w:rPr>
          <w:rFonts w:asciiTheme="minorHAnsi" w:eastAsiaTheme="minorEastAsia" w:hAnsiTheme="minorHAnsi" w:cstheme="minorBidi"/>
          <w:szCs w:val="22"/>
        </w:rPr>
      </w:pPr>
      <w:hyperlink w:anchor="_Toc106789182" w:history="1">
        <w:r w:rsidRPr="00105708">
          <w:rPr>
            <w:rStyle w:val="Hyperlink"/>
          </w:rPr>
          <w:t>A.15: Reasons for Change in Burden</w:t>
        </w:r>
        <w:r>
          <w:rPr>
            <w:webHidden/>
          </w:rPr>
          <w:tab/>
        </w:r>
        <w:r>
          <w:rPr>
            <w:webHidden/>
          </w:rPr>
          <w:fldChar w:fldCharType="begin"/>
        </w:r>
        <w:r>
          <w:rPr>
            <w:webHidden/>
          </w:rPr>
          <w:instrText xml:space="preserve"> PAGEREF _Toc106789182 \h </w:instrText>
        </w:r>
        <w:r>
          <w:rPr>
            <w:webHidden/>
          </w:rPr>
          <w:fldChar w:fldCharType="separate"/>
        </w:r>
        <w:r>
          <w:rPr>
            <w:webHidden/>
          </w:rPr>
          <w:t>19</w:t>
        </w:r>
        <w:r>
          <w:rPr>
            <w:webHidden/>
          </w:rPr>
          <w:fldChar w:fldCharType="end"/>
        </w:r>
      </w:hyperlink>
    </w:p>
    <w:p w:rsidR="0063074A" w14:paraId="59946BC3" w14:textId="40CC2CB4">
      <w:pPr>
        <w:pStyle w:val="TOC2"/>
        <w:rPr>
          <w:rFonts w:asciiTheme="minorHAnsi" w:eastAsiaTheme="minorEastAsia" w:hAnsiTheme="minorHAnsi" w:cstheme="minorBidi"/>
          <w:szCs w:val="22"/>
        </w:rPr>
      </w:pPr>
      <w:hyperlink w:anchor="_Toc106789183" w:history="1">
        <w:r w:rsidRPr="00105708">
          <w:rPr>
            <w:rStyle w:val="Hyperlink"/>
          </w:rPr>
          <w:t>A.16: Plan for Tabulation, Statistical Analysis, and Publication</w:t>
        </w:r>
        <w:r>
          <w:rPr>
            <w:webHidden/>
          </w:rPr>
          <w:tab/>
        </w:r>
        <w:r>
          <w:rPr>
            <w:webHidden/>
          </w:rPr>
          <w:fldChar w:fldCharType="begin"/>
        </w:r>
        <w:r>
          <w:rPr>
            <w:webHidden/>
          </w:rPr>
          <w:instrText xml:space="preserve"> PAGEREF _Toc106789183 \h </w:instrText>
        </w:r>
        <w:r>
          <w:rPr>
            <w:webHidden/>
          </w:rPr>
          <w:fldChar w:fldCharType="separate"/>
        </w:r>
        <w:r>
          <w:rPr>
            <w:webHidden/>
          </w:rPr>
          <w:t>19</w:t>
        </w:r>
        <w:r>
          <w:rPr>
            <w:webHidden/>
          </w:rPr>
          <w:fldChar w:fldCharType="end"/>
        </w:r>
      </w:hyperlink>
    </w:p>
    <w:p w:rsidR="0063074A" w14:paraId="2DF7090F" w14:textId="73082A5E">
      <w:pPr>
        <w:pStyle w:val="TOC2"/>
        <w:rPr>
          <w:rFonts w:asciiTheme="minorHAnsi" w:eastAsiaTheme="minorEastAsia" w:hAnsiTheme="minorHAnsi" w:cstheme="minorBidi"/>
          <w:szCs w:val="22"/>
        </w:rPr>
      </w:pPr>
      <w:hyperlink w:anchor="_Toc106789184" w:history="1">
        <w:r w:rsidRPr="00105708">
          <w:rPr>
            <w:rStyle w:val="Hyperlink"/>
          </w:rPr>
          <w:t>A17: Reasons not to Display OMB Expiration Date</w:t>
        </w:r>
        <w:r>
          <w:rPr>
            <w:webHidden/>
          </w:rPr>
          <w:tab/>
        </w:r>
        <w:r>
          <w:rPr>
            <w:webHidden/>
          </w:rPr>
          <w:fldChar w:fldCharType="begin"/>
        </w:r>
        <w:r>
          <w:rPr>
            <w:webHidden/>
          </w:rPr>
          <w:instrText xml:space="preserve"> PAGEREF _Toc106789184 \h </w:instrText>
        </w:r>
        <w:r>
          <w:rPr>
            <w:webHidden/>
          </w:rPr>
          <w:fldChar w:fldCharType="separate"/>
        </w:r>
        <w:r>
          <w:rPr>
            <w:webHidden/>
          </w:rPr>
          <w:t>20</w:t>
        </w:r>
        <w:r>
          <w:rPr>
            <w:webHidden/>
          </w:rPr>
          <w:fldChar w:fldCharType="end"/>
        </w:r>
      </w:hyperlink>
    </w:p>
    <w:p w:rsidR="0063074A" w14:paraId="79234988" w14:textId="4ABAFB02">
      <w:pPr>
        <w:pStyle w:val="TOC2"/>
        <w:rPr>
          <w:rFonts w:asciiTheme="minorHAnsi" w:eastAsiaTheme="minorEastAsia" w:hAnsiTheme="minorHAnsi" w:cstheme="minorBidi"/>
          <w:szCs w:val="22"/>
        </w:rPr>
      </w:pPr>
      <w:hyperlink w:anchor="_Toc106789185" w:history="1">
        <w:r w:rsidRPr="00105708">
          <w:rPr>
            <w:rStyle w:val="Hyperlink"/>
          </w:rPr>
          <w:t>A18: Exceptions to Certification for Paperwork Reduction Act Submissions</w:t>
        </w:r>
        <w:r>
          <w:rPr>
            <w:webHidden/>
          </w:rPr>
          <w:tab/>
        </w:r>
        <w:r>
          <w:rPr>
            <w:webHidden/>
          </w:rPr>
          <w:fldChar w:fldCharType="begin"/>
        </w:r>
        <w:r>
          <w:rPr>
            <w:webHidden/>
          </w:rPr>
          <w:instrText xml:space="preserve"> PAGEREF _Toc106789185 \h </w:instrText>
        </w:r>
        <w:r>
          <w:rPr>
            <w:webHidden/>
          </w:rPr>
          <w:fldChar w:fldCharType="separate"/>
        </w:r>
        <w:r>
          <w:rPr>
            <w:webHidden/>
          </w:rPr>
          <w:t>21</w:t>
        </w:r>
        <w:r>
          <w:rPr>
            <w:webHidden/>
          </w:rPr>
          <w:fldChar w:fldCharType="end"/>
        </w:r>
      </w:hyperlink>
    </w:p>
    <w:p w:rsidR="001467ED" w:rsidP="001467ED" w14:paraId="0684F45B" w14:textId="59C8D260">
      <w:pPr>
        <w:tabs>
          <w:tab w:val="center" w:pos="4680"/>
        </w:tabs>
      </w:pPr>
      <w:r>
        <w:rPr>
          <w:b/>
        </w:rPr>
        <w:fldChar w:fldCharType="end"/>
      </w:r>
    </w:p>
    <w:p w:rsidR="001467ED" w14:paraId="0684F45C" w14:textId="77777777">
      <w:pPr>
        <w:spacing w:after="0" w:line="240" w:lineRule="auto"/>
      </w:pPr>
      <w:r>
        <w:br w:type="page"/>
      </w:r>
    </w:p>
    <w:p w:rsidR="006B1DA6" w:rsidP="00D979EA" w14:paraId="0684F45D" w14:textId="77777777">
      <w:pPr>
        <w:pStyle w:val="BodyText"/>
        <w:sectPr w:rsidSect="00236B01">
          <w:headerReference w:type="default" r:id="rId15"/>
          <w:footerReference w:type="default" r:id="rId16"/>
          <w:pgSz w:w="12240" w:h="15840" w:code="1"/>
          <w:pgMar w:top="1440" w:right="1440" w:bottom="1440" w:left="1440" w:header="1080" w:footer="720" w:gutter="0"/>
          <w:pgNumType w:fmt="lowerRoman" w:start="1"/>
          <w:cols w:space="720"/>
          <w:docGrid w:linePitch="299"/>
        </w:sectPr>
      </w:pPr>
    </w:p>
    <w:p w:rsidR="005B6ACF" w:rsidP="005B6ACF" w14:paraId="0684F45E" w14:textId="532E84F4">
      <w:pPr>
        <w:pStyle w:val="Heading1"/>
        <w:numPr>
          <w:ilvl w:val="0"/>
          <w:numId w:val="0"/>
        </w:numPr>
        <w:spacing w:after="200"/>
      </w:pPr>
      <w:bookmarkStart w:id="0" w:name="_Toc106789166"/>
      <w:r w:rsidRPr="001034D3">
        <w:t xml:space="preserve">Part A: </w:t>
      </w:r>
      <w:r w:rsidR="00C8728A">
        <w:t xml:space="preserve">Supporting Statement for Paperwork Reduction Act Submission: </w:t>
      </w:r>
      <w:r w:rsidR="0036721B">
        <w:t>Interview Guides and Surveys</w:t>
      </w:r>
      <w:bookmarkEnd w:id="0"/>
    </w:p>
    <w:p w:rsidR="00BB5141" w:rsidRPr="00236B01" w:rsidP="00236B01" w14:paraId="0684F45F" w14:textId="77777777">
      <w:pPr>
        <w:pStyle w:val="Heading2"/>
      </w:pPr>
      <w:bookmarkStart w:id="1" w:name="_Toc106789167"/>
      <w:r>
        <w:t>Overview</w:t>
      </w:r>
      <w:bookmarkEnd w:id="1"/>
    </w:p>
    <w:p w:rsidR="00DB399E" w:rsidP="00236B01" w14:paraId="37EFEFFE" w14:textId="75A915F7">
      <w:pPr>
        <w:pStyle w:val="BodyText"/>
      </w:pPr>
      <w:r w:rsidRPr="00AB7A6D">
        <w:t xml:space="preserve">The </w:t>
      </w:r>
      <w:r w:rsidR="00464E84">
        <w:t xml:space="preserve">Office of Policy Development and Research (PD&amp;R) </w:t>
      </w:r>
      <w:r w:rsidR="00326E5D">
        <w:t xml:space="preserve">at the </w:t>
      </w:r>
      <w:r w:rsidR="00451CCE">
        <w:t xml:space="preserve">U. S. </w:t>
      </w:r>
      <w:r w:rsidRPr="00AB7A6D">
        <w:t xml:space="preserve">Department of </w:t>
      </w:r>
      <w:r>
        <w:t>Housing and Urban Development</w:t>
      </w:r>
      <w:r w:rsidRPr="00AB7A6D">
        <w:t xml:space="preserve"> (</w:t>
      </w:r>
      <w:r>
        <w:t>HUD</w:t>
      </w:r>
      <w:r w:rsidRPr="00AB7A6D">
        <w:t xml:space="preserve">) contracted with </w:t>
      </w:r>
      <w:r w:rsidRPr="00AB7A6D">
        <w:t>Abt</w:t>
      </w:r>
      <w:r w:rsidRPr="00AB7A6D">
        <w:t xml:space="preserve"> Associates (in partnership with </w:t>
      </w:r>
      <w:r>
        <w:t>the University of Hawai’i</w:t>
      </w:r>
      <w:r w:rsidRPr="00AB7A6D">
        <w:t xml:space="preserve">) to conduct an evaluation of the </w:t>
      </w:r>
      <w:r>
        <w:t>Moving to Work, Landlord Incentives cohort</w:t>
      </w:r>
      <w:r w:rsidR="00B9307B">
        <w:t>. As required</w:t>
      </w:r>
      <w:r>
        <w:t xml:space="preserve"> under the Paperwork Reduction Act</w:t>
      </w:r>
      <w:r w:rsidR="00696796">
        <w:t>,</w:t>
      </w:r>
      <w:r w:rsidR="00B9307B">
        <w:t xml:space="preserve"> </w:t>
      </w:r>
      <w:r w:rsidR="0007789E">
        <w:t>HUD</w:t>
      </w:r>
      <w:r w:rsidR="00B9307B">
        <w:t xml:space="preserve"> seek</w:t>
      </w:r>
      <w:r w:rsidR="0007789E">
        <w:t>s</w:t>
      </w:r>
      <w:r w:rsidR="00B9307B">
        <w:t xml:space="preserve"> approval from </w:t>
      </w:r>
      <w:r w:rsidR="00451CCE">
        <w:t>the Office of Management and Budget (</w:t>
      </w:r>
      <w:r w:rsidR="00B9307B">
        <w:t>OMB</w:t>
      </w:r>
      <w:r w:rsidR="00451CCE">
        <w:t>)</w:t>
      </w:r>
      <w:r>
        <w:t xml:space="preserve"> for data collection instruments associated with the evaluation</w:t>
      </w:r>
      <w:r w:rsidRPr="00AB7A6D">
        <w:t xml:space="preserve">. </w:t>
      </w:r>
    </w:p>
    <w:p w:rsidR="00006481" w:rsidRPr="0044434F" w:rsidP="00006481" w14:paraId="225BE329" w14:textId="640DCB05">
      <w:pPr>
        <w:rPr>
          <w:rFonts w:asciiTheme="majorBidi" w:hAnsiTheme="majorBidi" w:cstheme="majorBidi"/>
        </w:rPr>
      </w:pPr>
      <w:r w:rsidRPr="0044434F">
        <w:rPr>
          <w:rFonts w:asciiTheme="majorBidi" w:hAnsiTheme="majorBidi" w:cstheme="majorBidi"/>
        </w:rPr>
        <w:t>The Housing Choice Voucher (HCV) program is tenant-based housing assistance</w:t>
      </w:r>
      <w:r>
        <w:rPr>
          <w:rFonts w:asciiTheme="majorBidi" w:hAnsiTheme="majorBidi" w:cstheme="majorBidi"/>
        </w:rPr>
        <w:t xml:space="preserve"> program</w:t>
      </w:r>
      <w:r w:rsidRPr="0044434F">
        <w:rPr>
          <w:rFonts w:asciiTheme="majorBidi" w:hAnsiTheme="majorBidi" w:cstheme="majorBidi"/>
        </w:rPr>
        <w:t xml:space="preserve"> and is the Department of Housing and Urban Development’s (HUD’s) largest rental assistance program. </w:t>
      </w:r>
      <w:r>
        <w:rPr>
          <w:rFonts w:asciiTheme="majorBidi" w:hAnsiTheme="majorBidi" w:cstheme="majorBidi"/>
        </w:rPr>
        <w:t xml:space="preserve">Rather than </w:t>
      </w:r>
      <w:r w:rsidRPr="0044434F">
        <w:rPr>
          <w:rFonts w:asciiTheme="majorBidi" w:hAnsiTheme="majorBidi" w:cstheme="majorBidi"/>
        </w:rPr>
        <w:t xml:space="preserve">limiting households to rental units located in </w:t>
      </w:r>
      <w:r>
        <w:rPr>
          <w:rFonts w:asciiTheme="majorBidi" w:hAnsiTheme="majorBidi" w:cstheme="majorBidi"/>
        </w:rPr>
        <w:t xml:space="preserve">specific </w:t>
      </w:r>
      <w:r w:rsidRPr="0044434F">
        <w:rPr>
          <w:rFonts w:asciiTheme="majorBidi" w:hAnsiTheme="majorBidi" w:cstheme="majorBidi"/>
        </w:rPr>
        <w:t xml:space="preserve">housing projects, the HCV program lets households use vouchers to find their own housing in the private rental market. For this reason, the HCV program works well only if private market landlords are willing to make their units available to voucher holders. Many </w:t>
      </w:r>
      <w:r>
        <w:rPr>
          <w:rFonts w:asciiTheme="majorBidi" w:hAnsiTheme="majorBidi" w:cstheme="majorBidi"/>
        </w:rPr>
        <w:t>public housing agencies (</w:t>
      </w:r>
      <w:r w:rsidRPr="0044434F">
        <w:rPr>
          <w:rFonts w:asciiTheme="majorBidi" w:hAnsiTheme="majorBidi" w:cstheme="majorBidi"/>
        </w:rPr>
        <w:t>PHAs</w:t>
      </w:r>
      <w:r>
        <w:rPr>
          <w:rFonts w:asciiTheme="majorBidi" w:hAnsiTheme="majorBidi" w:cstheme="majorBidi"/>
        </w:rPr>
        <w:t>)</w:t>
      </w:r>
      <w:r w:rsidRPr="0044434F">
        <w:rPr>
          <w:rFonts w:asciiTheme="majorBidi" w:hAnsiTheme="majorBidi" w:cstheme="majorBidi"/>
        </w:rPr>
        <w:t xml:space="preserve"> struggle to attract and retain landlords in the program, leading to low rates </w:t>
      </w:r>
      <w:r>
        <w:rPr>
          <w:rFonts w:asciiTheme="majorBidi" w:hAnsiTheme="majorBidi" w:cstheme="majorBidi"/>
        </w:rPr>
        <w:t xml:space="preserve">for voucher holders successfully leasing units </w:t>
      </w:r>
      <w:r w:rsidRPr="0044434F">
        <w:rPr>
          <w:rFonts w:asciiTheme="majorBidi" w:hAnsiTheme="majorBidi" w:cstheme="majorBidi"/>
        </w:rPr>
        <w:t>and other program inefficiencies.</w:t>
      </w:r>
    </w:p>
    <w:p w:rsidR="00006481" w:rsidRPr="0044434F" w:rsidP="00006481" w14:paraId="6FC4A75F" w14:textId="2E9CFC62">
      <w:pPr>
        <w:rPr>
          <w:rFonts w:asciiTheme="majorBidi" w:hAnsiTheme="majorBidi" w:cstheme="majorBidi"/>
        </w:rPr>
      </w:pPr>
      <w:r w:rsidRPr="0044434F">
        <w:rPr>
          <w:rFonts w:asciiTheme="majorBidi" w:hAnsiTheme="majorBidi" w:cstheme="majorBidi"/>
        </w:rPr>
        <w:t xml:space="preserve">Moving to Work (MTW) is a HUD demonstration program that encourages PHAs to test ways to increase the cost effectiveness of federal housing programs, encourage greater self-sufficiency of households receiving housing assistance, and increase housing choice for low-income families. MTW designation gives PHAs relief from many of the regulations and statutory provisions that apply to HCV </w:t>
      </w:r>
      <w:r>
        <w:rPr>
          <w:rFonts w:asciiTheme="majorBidi" w:hAnsiTheme="majorBidi" w:cstheme="majorBidi"/>
        </w:rPr>
        <w:t xml:space="preserve">and public housing </w:t>
      </w:r>
      <w:r w:rsidRPr="0044434F">
        <w:rPr>
          <w:rFonts w:asciiTheme="majorBidi" w:hAnsiTheme="majorBidi" w:cstheme="majorBidi"/>
        </w:rPr>
        <w:t>programs. MTW was initially authorized by Congress in 1996, and in 2016, HUD was authorized to expand the Demonstration to an additional 100 PHAs.</w:t>
      </w:r>
    </w:p>
    <w:p w:rsidR="00006481" w:rsidRPr="0044434F" w:rsidP="00006481" w14:paraId="087C0B19" w14:textId="469532B5">
      <w:pPr>
        <w:rPr>
          <w:rFonts w:asciiTheme="majorBidi" w:hAnsiTheme="majorBidi" w:cstheme="majorBidi"/>
        </w:rPr>
      </w:pPr>
      <w:r w:rsidRPr="0044434F">
        <w:rPr>
          <w:rFonts w:asciiTheme="majorBidi" w:hAnsiTheme="majorBidi" w:cstheme="majorBidi"/>
        </w:rPr>
        <w:t>In January 2021, HUD published a Request for Applications for the</w:t>
      </w:r>
      <w:r>
        <w:rPr>
          <w:rFonts w:asciiTheme="majorBidi" w:hAnsiTheme="majorBidi" w:cstheme="majorBidi"/>
        </w:rPr>
        <w:t xml:space="preserve"> Landlord Incentives</w:t>
      </w:r>
      <w:r w:rsidRPr="0044434F">
        <w:rPr>
          <w:rFonts w:asciiTheme="majorBidi" w:hAnsiTheme="majorBidi" w:cstheme="majorBidi"/>
        </w:rPr>
        <w:t xml:space="preserve"> </w:t>
      </w:r>
      <w:r>
        <w:rPr>
          <w:rFonts w:asciiTheme="majorBidi" w:hAnsiTheme="majorBidi" w:cstheme="majorBidi"/>
        </w:rPr>
        <w:t>C</w:t>
      </w:r>
      <w:r w:rsidRPr="0044434F">
        <w:rPr>
          <w:rFonts w:asciiTheme="majorBidi" w:hAnsiTheme="majorBidi" w:cstheme="majorBidi"/>
        </w:rPr>
        <w:t>ohort of the MTW Expansion</w:t>
      </w:r>
      <w:r>
        <w:rPr>
          <w:rFonts w:asciiTheme="majorBidi" w:hAnsiTheme="majorBidi" w:cstheme="majorBidi"/>
        </w:rPr>
        <w:t>.</w:t>
      </w:r>
      <w:r w:rsidRPr="0044434F">
        <w:rPr>
          <w:rFonts w:asciiTheme="majorBidi" w:hAnsiTheme="majorBidi" w:cstheme="majorBidi"/>
        </w:rPr>
        <w:t xml:space="preserve"> In this cohort, PHAs will implement incentives for landlords to encourage their participation in the HCV program. In January 2022, HUD announced that twenty-nine (2</w:t>
      </w:r>
      <w:r w:rsidR="00347081">
        <w:rPr>
          <w:rFonts w:asciiTheme="majorBidi" w:hAnsiTheme="majorBidi" w:cstheme="majorBidi"/>
        </w:rPr>
        <w:t>8</w:t>
      </w:r>
      <w:r w:rsidRPr="0044434F">
        <w:rPr>
          <w:rFonts w:asciiTheme="majorBidi" w:hAnsiTheme="majorBidi" w:cstheme="majorBidi"/>
        </w:rPr>
        <w:t>) PHAs were selected to participate in the Landlord Incentives Cohort. PHAs participating in the Landlord Incentives Cohort must adopt at least two incentives from a menu of nine incentive options. Incentive options include payment standards flexibility, one-time financial incentives (such as signing bonuses and damage reimbursements), and simplified inspections processes. The goal</w:t>
      </w:r>
      <w:r>
        <w:rPr>
          <w:rFonts w:asciiTheme="majorBidi" w:hAnsiTheme="majorBidi" w:cstheme="majorBidi"/>
        </w:rPr>
        <w:t>s</w:t>
      </w:r>
      <w:r w:rsidRPr="0044434F">
        <w:rPr>
          <w:rFonts w:asciiTheme="majorBidi" w:hAnsiTheme="majorBidi" w:cstheme="majorBidi"/>
        </w:rPr>
        <w:t xml:space="preserve"> of these incentives are: (1) to increase landlord </w:t>
      </w:r>
      <w:r>
        <w:rPr>
          <w:rFonts w:asciiTheme="majorBidi" w:hAnsiTheme="majorBidi" w:cstheme="majorBidi"/>
        </w:rPr>
        <w:t xml:space="preserve">participation in the HCV program </w:t>
      </w:r>
      <w:r w:rsidRPr="0044434F">
        <w:rPr>
          <w:rFonts w:asciiTheme="majorBidi" w:hAnsiTheme="majorBidi" w:cstheme="majorBidi"/>
        </w:rPr>
        <w:t xml:space="preserve">and (2) to increase voucher </w:t>
      </w:r>
      <w:r>
        <w:rPr>
          <w:rFonts w:asciiTheme="majorBidi" w:hAnsiTheme="majorBidi" w:cstheme="majorBidi"/>
        </w:rPr>
        <w:t xml:space="preserve">holder </w:t>
      </w:r>
      <w:r w:rsidRPr="0044434F">
        <w:rPr>
          <w:rFonts w:asciiTheme="majorBidi" w:hAnsiTheme="majorBidi" w:cstheme="majorBidi"/>
        </w:rPr>
        <w:t>success rates</w:t>
      </w:r>
      <w:r>
        <w:rPr>
          <w:rFonts w:asciiTheme="majorBidi" w:hAnsiTheme="majorBidi" w:cstheme="majorBidi"/>
        </w:rPr>
        <w:t xml:space="preserve"> in leasing units in the program</w:t>
      </w:r>
      <w:r w:rsidRPr="0044434F">
        <w:rPr>
          <w:rFonts w:asciiTheme="majorBidi" w:hAnsiTheme="majorBidi" w:cstheme="majorBidi"/>
        </w:rPr>
        <w:t xml:space="preserve">. </w:t>
      </w:r>
    </w:p>
    <w:p w:rsidR="007F3520" w:rsidRPr="00006481" w:rsidP="00006481" w14:paraId="0684F460" w14:textId="426B41C0">
      <w:pPr>
        <w:rPr>
          <w:rFonts w:asciiTheme="majorBidi" w:hAnsiTheme="majorBidi" w:cstheme="majorBidi"/>
        </w:rPr>
      </w:pPr>
      <w:r w:rsidRPr="0044434F">
        <w:rPr>
          <w:rFonts w:asciiTheme="majorBidi" w:hAnsiTheme="majorBidi" w:cstheme="majorBidi"/>
        </w:rPr>
        <w:t xml:space="preserve">The </w:t>
      </w:r>
      <w:r w:rsidRPr="0044434F">
        <w:rPr>
          <w:rFonts w:asciiTheme="majorBidi" w:hAnsiTheme="majorBidi" w:cstheme="majorBidi"/>
          <w:i/>
          <w:iCs/>
        </w:rPr>
        <w:t>Moving to Work Landlord Incentives Evaluation</w:t>
      </w:r>
      <w:r w:rsidRPr="0044434F">
        <w:rPr>
          <w:rFonts w:asciiTheme="majorBidi" w:hAnsiTheme="majorBidi" w:cstheme="majorBidi"/>
        </w:rPr>
        <w:t xml:space="preserve"> (“Landlord Incentives Evaluation”), led by </w:t>
      </w:r>
      <w:r w:rsidRPr="0044434F">
        <w:rPr>
          <w:rFonts w:asciiTheme="majorBidi" w:hAnsiTheme="majorBidi" w:cstheme="majorBidi"/>
        </w:rPr>
        <w:t>Abt</w:t>
      </w:r>
      <w:r w:rsidRPr="0044434F">
        <w:rPr>
          <w:rFonts w:asciiTheme="majorBidi" w:hAnsiTheme="majorBidi" w:cstheme="majorBidi"/>
        </w:rPr>
        <w:t xml:space="preserve"> </w:t>
      </w:r>
      <w:r>
        <w:rPr>
          <w:rFonts w:asciiTheme="majorBidi" w:hAnsiTheme="majorBidi" w:cstheme="majorBidi"/>
        </w:rPr>
        <w:t>A</w:t>
      </w:r>
      <w:r w:rsidRPr="0044434F">
        <w:rPr>
          <w:rFonts w:asciiTheme="majorBidi" w:hAnsiTheme="majorBidi" w:cstheme="majorBidi"/>
        </w:rPr>
        <w:t xml:space="preserve">ssociates, will examine how PHAs implement these incentives and how these incentives affect program outcomes. This request relates to primary data to be collected for the Landlord Incentives Evaluation.  </w:t>
      </w:r>
    </w:p>
    <w:p w:rsidR="00207F4C" w:rsidRPr="00EA21E0" w:rsidP="00207F4C" w14:paraId="7130CDE0" w14:textId="6C7A5406">
      <w:pPr>
        <w:rPr>
          <w:rFonts w:asciiTheme="majorBidi" w:hAnsiTheme="majorBidi" w:cstheme="majorBidi"/>
          <w:szCs w:val="22"/>
        </w:rPr>
      </w:pPr>
      <w:r>
        <w:t>Th</w:t>
      </w:r>
      <w:r w:rsidR="00451CCE">
        <w:t xml:space="preserve">is supporting statement </w:t>
      </w:r>
      <w:r w:rsidR="00696796">
        <w:t>is</w:t>
      </w:r>
      <w:r w:rsidRPr="00220515">
        <w:t xml:space="preserve"> the first in a series of </w:t>
      </w:r>
      <w:r w:rsidR="00AE748D">
        <w:t xml:space="preserve">OMB submissions that correspond to an array of </w:t>
      </w:r>
      <w:r w:rsidRPr="00220515">
        <w:t xml:space="preserve">data collection activities for </w:t>
      </w:r>
      <w:r>
        <w:t xml:space="preserve">the evaluation </w:t>
      </w:r>
      <w:r w:rsidR="00697292">
        <w:t xml:space="preserve">of </w:t>
      </w:r>
      <w:r>
        <w:t xml:space="preserve">the </w:t>
      </w:r>
      <w:r w:rsidR="00006481">
        <w:t>Moving to Work, Landlord Incentives cohort</w:t>
      </w:r>
      <w:r>
        <w:t xml:space="preserve">. </w:t>
      </w:r>
      <w:r w:rsidR="00936717">
        <w:t>HUD</w:t>
      </w:r>
      <w:r w:rsidR="00C8728A">
        <w:t xml:space="preserve"> seek</w:t>
      </w:r>
      <w:r w:rsidR="00006481">
        <w:t>s</w:t>
      </w:r>
      <w:r w:rsidR="00C8728A">
        <w:t xml:space="preserve"> clearance</w:t>
      </w:r>
      <w:r>
        <w:t xml:space="preserve"> in this submission </w:t>
      </w:r>
      <w:r w:rsidR="00C8728A">
        <w:t>for:</w:t>
      </w:r>
      <w:r w:rsidRPr="00EA21E0">
        <w:rPr>
          <w:rFonts w:asciiTheme="majorBidi" w:hAnsiTheme="majorBidi" w:cstheme="majorBidi"/>
          <w:szCs w:val="22"/>
        </w:rPr>
        <w:t xml:space="preserve">  </w:t>
      </w:r>
    </w:p>
    <w:p w:rsidR="00207F4C" w:rsidRPr="00EA21E0" w:rsidP="00207F4C" w14:paraId="78570C26" w14:textId="09F66C10">
      <w:pPr>
        <w:pStyle w:val="ListParagraph"/>
        <w:numPr>
          <w:ilvl w:val="0"/>
          <w:numId w:val="7"/>
        </w:numPr>
        <w:spacing w:after="120" w:line="240" w:lineRule="auto"/>
        <w:jc w:val="both"/>
        <w:rPr>
          <w:rFonts w:asciiTheme="majorBidi" w:hAnsiTheme="majorBidi" w:cstheme="majorBidi"/>
        </w:rPr>
      </w:pPr>
      <w:r>
        <w:rPr>
          <w:rFonts w:asciiTheme="majorBidi" w:hAnsiTheme="majorBidi" w:cstheme="majorBidi"/>
        </w:rPr>
        <w:t>Semi-structure</w:t>
      </w:r>
      <w:r w:rsidR="00814CA8">
        <w:rPr>
          <w:rFonts w:asciiTheme="majorBidi" w:hAnsiTheme="majorBidi" w:cstheme="majorBidi"/>
        </w:rPr>
        <w:t>d i</w:t>
      </w:r>
      <w:r w:rsidRPr="00EA21E0">
        <w:rPr>
          <w:rFonts w:asciiTheme="majorBidi" w:hAnsiTheme="majorBidi" w:cstheme="majorBidi"/>
        </w:rPr>
        <w:t>nterview</w:t>
      </w:r>
      <w:r w:rsidR="00814CA8">
        <w:rPr>
          <w:rFonts w:asciiTheme="majorBidi" w:hAnsiTheme="majorBidi" w:cstheme="majorBidi"/>
        </w:rPr>
        <w:t xml:space="preserve"> guides for site visits and telephone interviews</w:t>
      </w:r>
      <w:r w:rsidRPr="00EA21E0">
        <w:rPr>
          <w:rFonts w:asciiTheme="majorBidi" w:hAnsiTheme="majorBidi" w:cstheme="majorBidi"/>
        </w:rPr>
        <w:t xml:space="preserve"> with staff from treatment and a subset of comparison PHAs; </w:t>
      </w:r>
    </w:p>
    <w:p w:rsidR="00207F4C" w:rsidRPr="00EA21E0" w:rsidP="00207F4C" w14:paraId="3E79FEB9" w14:textId="77777777">
      <w:pPr>
        <w:pStyle w:val="ListParagraph"/>
        <w:numPr>
          <w:ilvl w:val="0"/>
          <w:numId w:val="7"/>
        </w:numPr>
        <w:spacing w:after="120" w:line="240" w:lineRule="auto"/>
        <w:jc w:val="both"/>
        <w:rPr>
          <w:rFonts w:asciiTheme="majorBidi" w:hAnsiTheme="majorBidi" w:cstheme="majorBidi"/>
        </w:rPr>
      </w:pPr>
      <w:r w:rsidRPr="00EA21E0">
        <w:rPr>
          <w:rFonts w:asciiTheme="majorBidi" w:hAnsiTheme="majorBidi" w:cstheme="majorBidi"/>
        </w:rPr>
        <w:t>Online surveys to treatment and comparison PHAs; and</w:t>
      </w:r>
    </w:p>
    <w:p w:rsidR="006F299B" w:rsidRPr="00B1671A" w:rsidP="00B1671A" w14:paraId="0684F462" w14:textId="02DA994E">
      <w:pPr>
        <w:pStyle w:val="ListParagraph"/>
        <w:numPr>
          <w:ilvl w:val="0"/>
          <w:numId w:val="7"/>
        </w:numPr>
        <w:spacing w:after="120" w:line="240" w:lineRule="auto"/>
        <w:jc w:val="both"/>
        <w:rPr>
          <w:rFonts w:asciiTheme="majorBidi" w:hAnsiTheme="majorBidi" w:cstheme="majorBidi"/>
        </w:rPr>
      </w:pPr>
      <w:r>
        <w:rPr>
          <w:rFonts w:asciiTheme="majorBidi" w:hAnsiTheme="majorBidi" w:cstheme="majorBidi"/>
        </w:rPr>
        <w:t>Semi-structure i</w:t>
      </w:r>
      <w:r w:rsidRPr="00EA21E0" w:rsidR="00207F4C">
        <w:rPr>
          <w:rFonts w:asciiTheme="majorBidi" w:hAnsiTheme="majorBidi" w:cstheme="majorBidi"/>
        </w:rPr>
        <w:t>nterview</w:t>
      </w:r>
      <w:r>
        <w:rPr>
          <w:rFonts w:asciiTheme="majorBidi" w:hAnsiTheme="majorBidi" w:cstheme="majorBidi"/>
        </w:rPr>
        <w:t xml:space="preserve"> guide</w:t>
      </w:r>
      <w:r w:rsidRPr="00EA21E0" w:rsidR="00207F4C">
        <w:rPr>
          <w:rFonts w:asciiTheme="majorBidi" w:hAnsiTheme="majorBidi" w:cstheme="majorBidi"/>
        </w:rPr>
        <w:t xml:space="preserve">s </w:t>
      </w:r>
      <w:r>
        <w:rPr>
          <w:rFonts w:asciiTheme="majorBidi" w:hAnsiTheme="majorBidi" w:cstheme="majorBidi"/>
        </w:rPr>
        <w:t xml:space="preserve">for site visits </w:t>
      </w:r>
      <w:r w:rsidRPr="00EA21E0" w:rsidR="00207F4C">
        <w:rPr>
          <w:rFonts w:asciiTheme="majorBidi" w:hAnsiTheme="majorBidi" w:cstheme="majorBidi"/>
        </w:rPr>
        <w:t>with landlords within treatment and a subset of comparison PHA jurisdictions.</w:t>
      </w:r>
      <w:r w:rsidR="00B418F5">
        <w:t xml:space="preserve">  </w:t>
      </w:r>
    </w:p>
    <w:p w:rsidR="006F299B" w:rsidP="006F299B" w14:paraId="0684F463" w14:textId="77777777">
      <w:pPr>
        <w:pStyle w:val="Heading2"/>
      </w:pPr>
      <w:bookmarkStart w:id="2" w:name="_Toc106789168"/>
      <w:r w:rsidRPr="00220515">
        <w:t>A</w:t>
      </w:r>
      <w:r w:rsidR="00626051">
        <w:t>.</w:t>
      </w:r>
      <w:r w:rsidRPr="00220515">
        <w:t xml:space="preserve">1: Necessity for the </w:t>
      </w:r>
      <w:r w:rsidR="00222854">
        <w:t>D</w:t>
      </w:r>
      <w:r w:rsidRPr="00220515">
        <w:t xml:space="preserve">ata </w:t>
      </w:r>
      <w:r w:rsidR="00222854">
        <w:t>C</w:t>
      </w:r>
      <w:r w:rsidRPr="00220515">
        <w:t>ollection</w:t>
      </w:r>
      <w:bookmarkEnd w:id="2"/>
    </w:p>
    <w:p w:rsidR="00C95FF9" w:rsidRPr="00E46C8C" w:rsidP="00C95FF9" w14:paraId="57C1A8C2" w14:textId="78BFEE0F">
      <w:pPr>
        <w:rPr>
          <w:rFonts w:asciiTheme="majorBidi" w:hAnsiTheme="majorBidi" w:cstheme="majorBidi"/>
        </w:rPr>
      </w:pPr>
      <w:r w:rsidRPr="00E46C8C">
        <w:rPr>
          <w:rFonts w:asciiTheme="majorBidi" w:hAnsiTheme="majorBidi" w:cstheme="majorBidi"/>
        </w:rPr>
        <w:t xml:space="preserve">The Landlord Incentives Evaluation—supported by this information collection request (ICR)—will help HUD determine whether and how landlord incentives result in greater </w:t>
      </w:r>
      <w:r>
        <w:rPr>
          <w:rFonts w:asciiTheme="majorBidi" w:hAnsiTheme="majorBidi" w:cstheme="majorBidi"/>
        </w:rPr>
        <w:t>acceptance of HCVs</w:t>
      </w:r>
      <w:r w:rsidRPr="00E46C8C">
        <w:rPr>
          <w:rFonts w:asciiTheme="majorBidi" w:hAnsiTheme="majorBidi" w:cstheme="majorBidi"/>
        </w:rPr>
        <w:t xml:space="preserve"> among landlords. HUD contracted with </w:t>
      </w:r>
      <w:r w:rsidRPr="00E46C8C">
        <w:rPr>
          <w:rFonts w:asciiTheme="majorBidi" w:hAnsiTheme="majorBidi" w:cstheme="majorBidi"/>
        </w:rPr>
        <w:t>Abt</w:t>
      </w:r>
      <w:r w:rsidRPr="00E46C8C">
        <w:rPr>
          <w:rFonts w:asciiTheme="majorBidi" w:hAnsiTheme="majorBidi" w:cstheme="majorBidi"/>
        </w:rPr>
        <w:t xml:space="preserve"> Associates for the Landlord Incentives Evaluation. This research is conducted under the authority of the HUD Secretary to undertake programs of research, studies, testing</w:t>
      </w:r>
      <w:r>
        <w:rPr>
          <w:rFonts w:asciiTheme="majorBidi" w:hAnsiTheme="majorBidi" w:cstheme="majorBidi"/>
        </w:rPr>
        <w:t>,</w:t>
      </w:r>
      <w:r w:rsidRPr="00E46C8C">
        <w:rPr>
          <w:rFonts w:asciiTheme="majorBidi" w:hAnsiTheme="majorBidi" w:cstheme="majorBidi"/>
        </w:rPr>
        <w:t xml:space="preserve"> and demonstration related to the mission and programs of HUD </w:t>
      </w:r>
      <w:r w:rsidRPr="00876EBB">
        <w:rPr>
          <w:rFonts w:asciiTheme="majorBidi" w:hAnsiTheme="majorBidi" w:cstheme="majorBidi"/>
        </w:rPr>
        <w:t>(12 USC 1701z-1 et seq.).</w:t>
      </w:r>
    </w:p>
    <w:p w:rsidR="00C95FF9" w:rsidRPr="00E46C8C" w:rsidP="00C95FF9" w14:paraId="6DB23397" w14:textId="47CCC2F5">
      <w:pPr>
        <w:rPr>
          <w:rFonts w:asciiTheme="majorBidi" w:hAnsiTheme="majorBidi" w:cstheme="majorBidi"/>
        </w:rPr>
      </w:pPr>
      <w:r w:rsidRPr="00E46C8C">
        <w:rPr>
          <w:rFonts w:asciiTheme="majorBidi" w:hAnsiTheme="majorBidi" w:cstheme="majorBidi"/>
        </w:rPr>
        <w:t>The Landlord Incentives Evaluation will collect descriptive information on the programs and policies implemented by 2</w:t>
      </w:r>
      <w:r w:rsidR="00347081">
        <w:rPr>
          <w:rFonts w:asciiTheme="majorBidi" w:hAnsiTheme="majorBidi" w:cstheme="majorBidi"/>
        </w:rPr>
        <w:t>8</w:t>
      </w:r>
      <w:r w:rsidRPr="00E46C8C">
        <w:rPr>
          <w:rFonts w:asciiTheme="majorBidi" w:hAnsiTheme="majorBidi" w:cstheme="majorBidi"/>
        </w:rPr>
        <w:t xml:space="preserve"> PHAs selected to join the Landlord Incentives </w:t>
      </w:r>
      <w:r>
        <w:rPr>
          <w:rFonts w:asciiTheme="majorBidi" w:hAnsiTheme="majorBidi" w:cstheme="majorBidi"/>
        </w:rPr>
        <w:t>C</w:t>
      </w:r>
      <w:r w:rsidRPr="00E46C8C">
        <w:rPr>
          <w:rFonts w:asciiTheme="majorBidi" w:hAnsiTheme="majorBidi" w:cstheme="majorBidi"/>
        </w:rPr>
        <w:t xml:space="preserve">ohort (“treatment PHAs”). </w:t>
      </w:r>
      <w:r>
        <w:rPr>
          <w:rFonts w:asciiTheme="majorBidi" w:hAnsiTheme="majorBidi" w:cstheme="majorBidi"/>
        </w:rPr>
        <w:t>T</w:t>
      </w:r>
      <w:r w:rsidRPr="00E46C8C">
        <w:rPr>
          <w:rFonts w:asciiTheme="majorBidi" w:hAnsiTheme="majorBidi" w:cstheme="majorBidi"/>
        </w:rPr>
        <w:t>o rigorously evaluate the impact of the landlord incentives, the study will also compare the outcomes achieved by the</w:t>
      </w:r>
      <w:r>
        <w:rPr>
          <w:rFonts w:asciiTheme="majorBidi" w:hAnsiTheme="majorBidi" w:cstheme="majorBidi"/>
        </w:rPr>
        <w:t xml:space="preserve"> treatment PHAs</w:t>
      </w:r>
      <w:r w:rsidRPr="00E46C8C">
        <w:rPr>
          <w:rFonts w:asciiTheme="majorBidi" w:hAnsiTheme="majorBidi" w:cstheme="majorBidi"/>
        </w:rPr>
        <w:t xml:space="preserve"> to those achieved by a group of 11</w:t>
      </w:r>
      <w:r w:rsidR="008577CA">
        <w:rPr>
          <w:rFonts w:asciiTheme="majorBidi" w:hAnsiTheme="majorBidi" w:cstheme="majorBidi"/>
        </w:rPr>
        <w:t>2</w:t>
      </w:r>
      <w:r w:rsidRPr="00E46C8C">
        <w:rPr>
          <w:rFonts w:asciiTheme="majorBidi" w:hAnsiTheme="majorBidi" w:cstheme="majorBidi"/>
        </w:rPr>
        <w:t xml:space="preserve"> similar PHAs who do not have MTW designation (“comparison PHAs”). </w:t>
      </w:r>
    </w:p>
    <w:p w:rsidR="00C95FF9" w:rsidRPr="00C95FF9" w:rsidP="00C95FF9" w14:paraId="7D86240E" w14:textId="46D97620">
      <w:pPr>
        <w:rPr>
          <w:rFonts w:asciiTheme="majorBidi" w:hAnsiTheme="majorBidi" w:cstheme="majorBidi"/>
        </w:rPr>
      </w:pPr>
      <w:r w:rsidRPr="00E46C8C">
        <w:rPr>
          <w:rFonts w:asciiTheme="majorBidi" w:hAnsiTheme="majorBidi" w:cstheme="majorBidi"/>
        </w:rPr>
        <w:t>The Landlord Incentives Evaluation includes three components:</w:t>
      </w:r>
      <w:r w:rsidRPr="007D4297">
        <w:rPr>
          <w:rFonts w:asciiTheme="majorBidi" w:hAnsiTheme="majorBidi" w:cstheme="majorBidi"/>
        </w:rPr>
        <w:t xml:space="preserve"> a </w:t>
      </w:r>
      <w:r w:rsidRPr="007D4297">
        <w:rPr>
          <w:rFonts w:asciiTheme="majorBidi" w:hAnsiTheme="majorBidi" w:cstheme="majorBidi"/>
          <w:i/>
          <w:iCs/>
        </w:rPr>
        <w:t xml:space="preserve">process study, </w:t>
      </w:r>
      <w:r w:rsidRPr="007D4297">
        <w:rPr>
          <w:rFonts w:asciiTheme="majorBidi" w:hAnsiTheme="majorBidi" w:cstheme="majorBidi"/>
        </w:rPr>
        <w:t xml:space="preserve">an </w:t>
      </w:r>
      <w:r w:rsidRPr="007D4297">
        <w:rPr>
          <w:rFonts w:asciiTheme="majorBidi" w:hAnsiTheme="majorBidi" w:cstheme="majorBidi"/>
          <w:i/>
          <w:iCs/>
        </w:rPr>
        <w:t xml:space="preserve">impact study </w:t>
      </w:r>
      <w:r w:rsidRPr="007D4297">
        <w:rPr>
          <w:rFonts w:asciiTheme="majorBidi" w:hAnsiTheme="majorBidi" w:cstheme="majorBidi"/>
        </w:rPr>
        <w:t xml:space="preserve">and a </w:t>
      </w:r>
      <w:r w:rsidRPr="007D4297">
        <w:rPr>
          <w:rFonts w:asciiTheme="majorBidi" w:hAnsiTheme="majorBidi" w:cstheme="majorBidi"/>
          <w:i/>
          <w:iCs/>
        </w:rPr>
        <w:t xml:space="preserve">cost study. </w:t>
      </w:r>
      <w:r w:rsidRPr="007D4297">
        <w:rPr>
          <w:rFonts w:asciiTheme="majorBidi" w:hAnsiTheme="majorBidi" w:cstheme="majorBidi"/>
        </w:rPr>
        <w:t>Each component addresses different research questions and uses different research approaches. A summary of the three study components and the corresponding research questions is shown in Exhibit 1 below.</w:t>
      </w:r>
    </w:p>
    <w:p w:rsidR="00C95FF9" w:rsidRPr="00FC6C01" w:rsidP="00C95FF9" w14:paraId="1E2234B5" w14:textId="77777777">
      <w:pPr>
        <w:rPr>
          <w:rFonts w:ascii="Arial Narrow" w:hAnsi="Arial Narrow" w:cstheme="majorBidi"/>
          <w:b/>
          <w:bCs/>
        </w:rPr>
      </w:pPr>
      <w:r w:rsidRPr="00FC6C01">
        <w:rPr>
          <w:rFonts w:ascii="Arial Narrow" w:hAnsi="Arial Narrow" w:cstheme="majorBidi"/>
          <w:b/>
          <w:bCs/>
        </w:rPr>
        <w:t>Exhibit 1: Study Components and Research Questions</w:t>
      </w:r>
    </w:p>
    <w:tbl>
      <w:tblPr>
        <w:tblW w:w="9858" w:type="dxa"/>
        <w:tblLook w:val="04A0"/>
      </w:tblPr>
      <w:tblGrid>
        <w:gridCol w:w="1430"/>
        <w:gridCol w:w="8428"/>
      </w:tblGrid>
      <w:tr w14:paraId="0F47C5E7" w14:textId="77777777" w:rsidTr="00A67C7A">
        <w:tblPrEx>
          <w:tblW w:w="9858" w:type="dxa"/>
          <w:tblLook w:val="04A0"/>
        </w:tblPrEx>
        <w:trPr>
          <w:trHeight w:val="743"/>
        </w:trPr>
        <w:tc>
          <w:tcPr>
            <w:tcW w:w="1430" w:type="dxa"/>
            <w:tcBorders>
              <w:top w:val="single" w:sz="8" w:space="0" w:color="BFBFBF"/>
              <w:left w:val="single" w:sz="8" w:space="0" w:color="BFBFBF"/>
              <w:bottom w:val="single" w:sz="8" w:space="0" w:color="BFBFBF"/>
              <w:right w:val="single" w:sz="8" w:space="0" w:color="BFBFBF"/>
            </w:tcBorders>
            <w:shd w:val="clear" w:color="auto" w:fill="DA291C"/>
            <w:noWrap/>
            <w:vAlign w:val="center"/>
            <w:hideMark/>
          </w:tcPr>
          <w:p w:rsidR="00C95FF9" w:rsidRPr="00A67C7A" w:rsidP="00A67C7A" w14:paraId="214CD4E7" w14:textId="77777777">
            <w:pPr>
              <w:jc w:val="center"/>
              <w:rPr>
                <w:rFonts w:ascii="Arial Narrow" w:hAnsi="Arial Narrow" w:cs="Calibri"/>
                <w:b/>
                <w:bCs/>
                <w:color w:val="F0F4F6" w:themeColor="background1" w:themeTint="33"/>
                <w:sz w:val="20"/>
              </w:rPr>
            </w:pPr>
            <w:r w:rsidRPr="00A67C7A">
              <w:rPr>
                <w:rFonts w:ascii="Arial Narrow" w:hAnsi="Arial Narrow" w:cs="Calibri"/>
                <w:b/>
                <w:bCs/>
                <w:color w:val="F0F4F6" w:themeColor="background1" w:themeTint="33"/>
                <w:sz w:val="20"/>
              </w:rPr>
              <w:t>Study Component</w:t>
            </w:r>
          </w:p>
        </w:tc>
        <w:tc>
          <w:tcPr>
            <w:tcW w:w="8428" w:type="dxa"/>
            <w:tcBorders>
              <w:top w:val="single" w:sz="8" w:space="0" w:color="BFBFBF"/>
              <w:left w:val="nil"/>
              <w:bottom w:val="single" w:sz="8" w:space="0" w:color="BFBFBF"/>
              <w:right w:val="single" w:sz="8" w:space="0" w:color="BFBFBF"/>
            </w:tcBorders>
            <w:shd w:val="clear" w:color="auto" w:fill="DA291C"/>
            <w:noWrap/>
            <w:vAlign w:val="center"/>
            <w:hideMark/>
          </w:tcPr>
          <w:p w:rsidR="00C95FF9" w:rsidRPr="00A67C7A" w:rsidP="00A67C7A" w14:paraId="1B9070E5" w14:textId="77777777">
            <w:pPr>
              <w:jc w:val="center"/>
              <w:rPr>
                <w:rFonts w:ascii="Arial Narrow" w:hAnsi="Arial Narrow" w:cs="Calibri"/>
                <w:b/>
                <w:bCs/>
                <w:color w:val="F0F4F6" w:themeColor="background1" w:themeTint="33"/>
                <w:sz w:val="20"/>
              </w:rPr>
            </w:pPr>
            <w:r w:rsidRPr="00A67C7A">
              <w:rPr>
                <w:rFonts w:ascii="Arial Narrow" w:hAnsi="Arial Narrow" w:cs="Calibri"/>
                <w:b/>
                <w:bCs/>
                <w:color w:val="F0F4F6" w:themeColor="background1" w:themeTint="33"/>
                <w:sz w:val="20"/>
              </w:rPr>
              <w:t>Research Questions</w:t>
            </w:r>
          </w:p>
        </w:tc>
      </w:tr>
      <w:tr w14:paraId="448F9917" w14:textId="77777777" w:rsidTr="00F21C9D">
        <w:tblPrEx>
          <w:tblW w:w="9858" w:type="dxa"/>
          <w:tblLook w:val="04A0"/>
        </w:tblPrEx>
        <w:trPr>
          <w:trHeight w:val="395"/>
        </w:trPr>
        <w:tc>
          <w:tcPr>
            <w:tcW w:w="1430" w:type="dxa"/>
            <w:tcBorders>
              <w:top w:val="nil"/>
              <w:left w:val="single" w:sz="8" w:space="0" w:color="BFBFBF"/>
              <w:bottom w:val="single" w:sz="8" w:space="0" w:color="BFBFBF"/>
              <w:right w:val="single" w:sz="8" w:space="0" w:color="BFBFBF"/>
            </w:tcBorders>
            <w:shd w:val="clear" w:color="auto" w:fill="auto"/>
            <w:noWrap/>
            <w:vAlign w:val="center"/>
            <w:hideMark/>
          </w:tcPr>
          <w:p w:rsidR="00C95FF9" w:rsidRPr="00C07942" w:rsidP="00F21C9D" w14:paraId="4F7FF80C" w14:textId="77777777">
            <w:pPr>
              <w:rPr>
                <w:rFonts w:ascii="Arial Narrow" w:hAnsi="Arial Narrow" w:cs="Calibri"/>
                <w:i/>
                <w:iCs/>
                <w:color w:val="000000"/>
                <w:sz w:val="20"/>
              </w:rPr>
            </w:pPr>
            <w:r w:rsidRPr="00EA21E0">
              <w:rPr>
                <w:rFonts w:ascii="Arial Narrow" w:hAnsi="Arial Narrow" w:cs="Calibri"/>
                <w:b/>
                <w:bCs/>
                <w:color w:val="DA291C"/>
                <w:sz w:val="20"/>
              </w:rPr>
              <w:t>Process Study:</w:t>
            </w:r>
            <w:r>
              <w:rPr>
                <w:rFonts w:ascii="Arial Narrow" w:hAnsi="Arial Narrow" w:cs="Calibri"/>
                <w:b/>
                <w:bCs/>
                <w:color w:val="000000"/>
                <w:sz w:val="20"/>
              </w:rPr>
              <w:t xml:space="preserve"> </w:t>
            </w:r>
            <w:r>
              <w:rPr>
                <w:rFonts w:ascii="Arial Narrow" w:hAnsi="Arial Narrow" w:cs="Calibri"/>
                <w:color w:val="000000"/>
                <w:sz w:val="20"/>
              </w:rPr>
              <w:t xml:space="preserve">describing how landlord incentives are implemented </w:t>
            </w:r>
          </w:p>
        </w:tc>
        <w:tc>
          <w:tcPr>
            <w:tcW w:w="8428" w:type="dxa"/>
            <w:tcBorders>
              <w:top w:val="nil"/>
              <w:left w:val="nil"/>
              <w:bottom w:val="single" w:sz="8" w:space="0" w:color="BFBFBF"/>
              <w:right w:val="single" w:sz="8" w:space="0" w:color="BFBFBF"/>
            </w:tcBorders>
            <w:shd w:val="clear" w:color="auto" w:fill="auto"/>
            <w:noWrap/>
            <w:vAlign w:val="center"/>
          </w:tcPr>
          <w:p w:rsidR="00C95FF9" w:rsidRPr="00B723D2" w:rsidP="005D051A" w14:paraId="7B5BC8FC" w14:textId="77777777">
            <w:pPr>
              <w:pStyle w:val="ListParagraph"/>
              <w:numPr>
                <w:ilvl w:val="0"/>
                <w:numId w:val="10"/>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 xml:space="preserve">Why did PHAs decide to apply for the MTW Landlord Incentive Cohort? </w:t>
            </w:r>
          </w:p>
          <w:p w:rsidR="00C95FF9" w:rsidRPr="00B723D2" w:rsidP="005D051A" w14:paraId="0B3A6994" w14:textId="77777777">
            <w:pPr>
              <w:pStyle w:val="ListParagraph"/>
              <w:numPr>
                <w:ilvl w:val="0"/>
                <w:numId w:val="10"/>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 xml:space="preserve">Among the PHAs receiving that designation, what landlord incentives did PHAs select from among </w:t>
            </w:r>
            <w:r>
              <w:rPr>
                <w:rFonts w:ascii="Arial Narrow" w:hAnsi="Arial Narrow" w:cs="Calibri"/>
                <w:color w:val="000000"/>
                <w:sz w:val="20"/>
                <w:szCs w:val="20"/>
              </w:rPr>
              <w:t>the</w:t>
            </w:r>
            <w:r w:rsidRPr="00B723D2">
              <w:rPr>
                <w:rFonts w:ascii="Arial Narrow" w:hAnsi="Arial Narrow" w:cs="Calibri"/>
                <w:color w:val="000000"/>
                <w:sz w:val="20"/>
                <w:szCs w:val="20"/>
              </w:rPr>
              <w:t xml:space="preserve"> menu of landlord incentives offered them by HUD? Why did they choose the incentives they did? How did they implement their chosen incentives? To what extent did their choice of incentives and implementation vary by market conditions or other factors?</w:t>
            </w:r>
          </w:p>
          <w:p w:rsidR="00C95FF9" w:rsidRPr="00B723D2" w:rsidP="005D051A" w14:paraId="5AF11A52" w14:textId="77777777">
            <w:pPr>
              <w:pStyle w:val="ListParagraph"/>
              <w:numPr>
                <w:ilvl w:val="0"/>
                <w:numId w:val="10"/>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Among PHAs without the MTW designation (the comparison group), did they implement any landlord incentives permitted by HUD to non-MTW PHAs? If so, which incentives did they choose and why? How did they implement those incentives?</w:t>
            </w:r>
          </w:p>
          <w:p w:rsidR="00C95FF9" w:rsidRPr="00B723D2" w:rsidP="005D051A" w14:paraId="6E8BA789" w14:textId="77777777">
            <w:pPr>
              <w:pStyle w:val="ListParagraph"/>
              <w:numPr>
                <w:ilvl w:val="0"/>
                <w:numId w:val="10"/>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To what extent were landlords aware of the incentives implemented by the Landlord Incentive Cohort?</w:t>
            </w:r>
          </w:p>
          <w:p w:rsidR="00C95FF9" w:rsidRPr="00B723D2" w:rsidP="005D051A" w14:paraId="7EA7143F" w14:textId="77777777">
            <w:pPr>
              <w:pStyle w:val="ListParagraph"/>
              <w:numPr>
                <w:ilvl w:val="0"/>
                <w:numId w:val="10"/>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 xml:space="preserve">To what extent did landlord willingness to accept vouchers for some or all units change in response to the incentives? </w:t>
            </w:r>
          </w:p>
          <w:p w:rsidR="00C95FF9" w:rsidRPr="00B723D2" w:rsidP="005D051A" w14:paraId="6AC0C13A" w14:textId="77777777">
            <w:pPr>
              <w:pStyle w:val="ListParagraph"/>
              <w:numPr>
                <w:ilvl w:val="0"/>
                <w:numId w:val="10"/>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 xml:space="preserve">Which incentives were most important in motivating landlords to accept voucher holders? </w:t>
            </w:r>
          </w:p>
          <w:p w:rsidR="00C95FF9" w:rsidRPr="00B723D2" w:rsidP="005D051A" w14:paraId="7FC1B026" w14:textId="77777777">
            <w:pPr>
              <w:pStyle w:val="ListParagraph"/>
              <w:numPr>
                <w:ilvl w:val="0"/>
                <w:numId w:val="10"/>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How was any change in landlord willingness to rent to voucher holders affected by the community and housing market context in which the PHAs implemented the incentives?</w:t>
            </w:r>
          </w:p>
        </w:tc>
      </w:tr>
      <w:tr w14:paraId="4042436C" w14:textId="77777777" w:rsidTr="00CB21DC">
        <w:tblPrEx>
          <w:tblW w:w="9858" w:type="dxa"/>
          <w:tblLook w:val="04A0"/>
        </w:tblPrEx>
        <w:trPr>
          <w:trHeight w:val="556"/>
        </w:trPr>
        <w:tc>
          <w:tcPr>
            <w:tcW w:w="1430" w:type="dxa"/>
            <w:tcBorders>
              <w:top w:val="nil"/>
              <w:left w:val="single" w:sz="8" w:space="0" w:color="BFBFBF"/>
              <w:bottom w:val="single" w:sz="8" w:space="0" w:color="BFBFBF"/>
              <w:right w:val="single" w:sz="8" w:space="0" w:color="BFBFBF"/>
            </w:tcBorders>
            <w:shd w:val="clear" w:color="auto" w:fill="auto"/>
            <w:noWrap/>
            <w:vAlign w:val="center"/>
            <w:hideMark/>
          </w:tcPr>
          <w:p w:rsidR="00C95FF9" w:rsidRPr="00B723D2" w:rsidP="00F21C9D" w14:paraId="53F0E7CA" w14:textId="77777777">
            <w:pPr>
              <w:rPr>
                <w:rFonts w:ascii="Arial Narrow" w:hAnsi="Arial Narrow" w:cs="Calibri"/>
                <w:b/>
                <w:bCs/>
                <w:color w:val="000000"/>
                <w:sz w:val="20"/>
              </w:rPr>
            </w:pPr>
            <w:r w:rsidRPr="00EA21E0">
              <w:rPr>
                <w:rFonts w:ascii="Arial Narrow" w:hAnsi="Arial Narrow" w:cs="Calibri"/>
                <w:b/>
                <w:bCs/>
                <w:color w:val="DA291C"/>
                <w:sz w:val="20"/>
              </w:rPr>
              <w:t xml:space="preserve">Impact Study: </w:t>
            </w:r>
            <w:r>
              <w:rPr>
                <w:rFonts w:ascii="Arial Narrow" w:hAnsi="Arial Narrow" w:cs="Calibri"/>
                <w:color w:val="000000"/>
                <w:sz w:val="20"/>
              </w:rPr>
              <w:t>describing impact of landlord incentives on program outcomes</w:t>
            </w:r>
            <w:r w:rsidRPr="00B723D2">
              <w:rPr>
                <w:rFonts w:ascii="Arial Narrow" w:hAnsi="Arial Narrow" w:cs="Calibri"/>
                <w:b/>
                <w:bCs/>
                <w:color w:val="000000"/>
                <w:sz w:val="20"/>
              </w:rPr>
              <w:t xml:space="preserve"> </w:t>
            </w:r>
          </w:p>
        </w:tc>
        <w:tc>
          <w:tcPr>
            <w:tcW w:w="8428" w:type="dxa"/>
            <w:tcBorders>
              <w:top w:val="nil"/>
              <w:left w:val="nil"/>
              <w:bottom w:val="single" w:sz="8" w:space="0" w:color="BFBFBF"/>
              <w:right w:val="single" w:sz="8" w:space="0" w:color="BFBFBF"/>
            </w:tcBorders>
            <w:shd w:val="clear" w:color="auto" w:fill="auto"/>
            <w:noWrap/>
            <w:vAlign w:val="center"/>
          </w:tcPr>
          <w:p w:rsidR="00C95FF9" w:rsidRPr="00B723D2" w:rsidP="005D051A" w14:paraId="5BF90174" w14:textId="77777777">
            <w:pPr>
              <w:pStyle w:val="ListParagraph"/>
              <w:numPr>
                <w:ilvl w:val="0"/>
                <w:numId w:val="8"/>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 xml:space="preserve">What are the impacts of the MTW landlord incentives on landlord </w:t>
            </w:r>
            <w:r>
              <w:rPr>
                <w:rFonts w:ascii="Arial Narrow" w:hAnsi="Arial Narrow" w:cs="Calibri"/>
                <w:color w:val="000000"/>
                <w:sz w:val="20"/>
                <w:szCs w:val="20"/>
              </w:rPr>
              <w:t>participation in the HCV program</w:t>
            </w:r>
            <w:r w:rsidRPr="00B723D2">
              <w:rPr>
                <w:rFonts w:ascii="Arial Narrow" w:hAnsi="Arial Narrow" w:cs="Calibri"/>
                <w:color w:val="000000"/>
                <w:sz w:val="20"/>
                <w:szCs w:val="20"/>
              </w:rPr>
              <w:t xml:space="preserve">? </w:t>
            </w:r>
          </w:p>
          <w:p w:rsidR="00C95FF9" w:rsidRPr="00B723D2" w:rsidP="005D051A" w14:paraId="7AB9AD82" w14:textId="77777777">
            <w:pPr>
              <w:pStyle w:val="ListParagraph"/>
              <w:numPr>
                <w:ilvl w:val="0"/>
                <w:numId w:val="8"/>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What are the impacts of the MTW landlord incentives on the success of households in using their vouchers to lease housing units?</w:t>
            </w:r>
          </w:p>
        </w:tc>
      </w:tr>
      <w:tr w14:paraId="38A64400" w14:textId="77777777" w:rsidTr="00F21C9D">
        <w:tblPrEx>
          <w:tblW w:w="9858" w:type="dxa"/>
          <w:tblLook w:val="04A0"/>
        </w:tblPrEx>
        <w:trPr>
          <w:trHeight w:val="1107"/>
        </w:trPr>
        <w:tc>
          <w:tcPr>
            <w:tcW w:w="1430" w:type="dxa"/>
            <w:tcBorders>
              <w:top w:val="nil"/>
              <w:left w:val="single" w:sz="8" w:space="0" w:color="BFBFBF"/>
              <w:bottom w:val="single" w:sz="8" w:space="0" w:color="BFBFBF"/>
              <w:right w:val="single" w:sz="8" w:space="0" w:color="BFBFBF"/>
            </w:tcBorders>
            <w:shd w:val="clear" w:color="auto" w:fill="auto"/>
            <w:noWrap/>
            <w:vAlign w:val="center"/>
            <w:hideMark/>
          </w:tcPr>
          <w:p w:rsidR="00C95FF9" w:rsidRPr="00B723D2" w:rsidP="00F21C9D" w14:paraId="49214EFD" w14:textId="77777777">
            <w:pPr>
              <w:rPr>
                <w:rFonts w:ascii="Arial Narrow" w:hAnsi="Arial Narrow" w:cs="Calibri"/>
                <w:b/>
                <w:bCs/>
                <w:color w:val="000000"/>
                <w:sz w:val="20"/>
              </w:rPr>
            </w:pPr>
            <w:r w:rsidRPr="00EA21E0">
              <w:rPr>
                <w:rFonts w:ascii="Arial Narrow" w:hAnsi="Arial Narrow" w:cs="Calibri"/>
                <w:b/>
                <w:bCs/>
                <w:color w:val="DA291C"/>
                <w:sz w:val="20"/>
              </w:rPr>
              <w:t xml:space="preserve">Cost Study: </w:t>
            </w:r>
            <w:r>
              <w:rPr>
                <w:rFonts w:ascii="Arial Narrow" w:hAnsi="Arial Narrow" w:cs="Calibri"/>
                <w:color w:val="000000"/>
                <w:sz w:val="20"/>
              </w:rPr>
              <w:t>describing costs and savings associated with landlord incentives</w:t>
            </w:r>
            <w:r w:rsidRPr="00B723D2">
              <w:rPr>
                <w:rFonts w:ascii="Arial Narrow" w:hAnsi="Arial Narrow" w:cs="Calibri"/>
                <w:b/>
                <w:bCs/>
                <w:color w:val="000000"/>
                <w:sz w:val="20"/>
              </w:rPr>
              <w:t xml:space="preserve">  </w:t>
            </w:r>
          </w:p>
        </w:tc>
        <w:tc>
          <w:tcPr>
            <w:tcW w:w="8428" w:type="dxa"/>
            <w:tcBorders>
              <w:top w:val="nil"/>
              <w:left w:val="nil"/>
              <w:bottom w:val="single" w:sz="8" w:space="0" w:color="BFBFBF"/>
              <w:right w:val="single" w:sz="8" w:space="0" w:color="BFBFBF"/>
            </w:tcBorders>
            <w:shd w:val="clear" w:color="auto" w:fill="auto"/>
            <w:noWrap/>
            <w:vAlign w:val="center"/>
          </w:tcPr>
          <w:p w:rsidR="00C95FF9" w:rsidRPr="00B723D2" w:rsidP="005D051A" w14:paraId="1DE02810" w14:textId="77777777">
            <w:pPr>
              <w:pStyle w:val="ListParagraph"/>
              <w:numPr>
                <w:ilvl w:val="0"/>
                <w:numId w:val="9"/>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 xml:space="preserve">For PHAs that offered financial incentives, how often did they pay out particular incentives (for example, signing bonuses) and how much was the average payment? </w:t>
            </w:r>
          </w:p>
          <w:p w:rsidR="00C95FF9" w:rsidRPr="00B723D2" w:rsidP="005D051A" w14:paraId="3B6DB3B9" w14:textId="77777777">
            <w:pPr>
              <w:pStyle w:val="ListParagraph"/>
              <w:numPr>
                <w:ilvl w:val="0"/>
                <w:numId w:val="9"/>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 xml:space="preserve">For PHAs that simplified inspections, what administrative cost savings did the PHAs realize? </w:t>
            </w:r>
          </w:p>
          <w:p w:rsidR="00C95FF9" w:rsidRPr="00B723D2" w:rsidP="005D051A" w14:paraId="7A9485BD" w14:textId="77777777">
            <w:pPr>
              <w:pStyle w:val="ListParagraph"/>
              <w:numPr>
                <w:ilvl w:val="0"/>
                <w:numId w:val="9"/>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 xml:space="preserve">How much did implementing landlord incentives affect the per-unit costs of housing assistance payments? </w:t>
            </w:r>
          </w:p>
          <w:p w:rsidR="00C95FF9" w:rsidRPr="00B723D2" w:rsidP="005D051A" w14:paraId="2EDB9314" w14:textId="77777777">
            <w:pPr>
              <w:pStyle w:val="ListParagraph"/>
              <w:numPr>
                <w:ilvl w:val="0"/>
                <w:numId w:val="9"/>
              </w:numPr>
              <w:spacing w:after="120" w:line="240" w:lineRule="auto"/>
              <w:jc w:val="both"/>
              <w:rPr>
                <w:rFonts w:ascii="Arial Narrow" w:hAnsi="Arial Narrow" w:cs="Calibri"/>
                <w:color w:val="000000"/>
                <w:sz w:val="20"/>
                <w:szCs w:val="20"/>
              </w:rPr>
            </w:pPr>
            <w:r w:rsidRPr="00B723D2">
              <w:rPr>
                <w:rFonts w:ascii="Arial Narrow" w:hAnsi="Arial Narrow" w:cs="Calibri"/>
                <w:color w:val="000000"/>
                <w:sz w:val="20"/>
                <w:szCs w:val="20"/>
              </w:rPr>
              <w:t>If landlord incentives had an impact on success rates, what administrative cost savings did the PHAs realize?</w:t>
            </w:r>
          </w:p>
        </w:tc>
      </w:tr>
    </w:tbl>
    <w:p w:rsidR="00C95FF9" w:rsidRPr="00E46C8C" w:rsidP="00C95FF9" w14:paraId="4F235363" w14:textId="77777777">
      <w:pPr>
        <w:rPr>
          <w:rFonts w:asciiTheme="majorBidi" w:hAnsiTheme="majorBidi" w:cstheme="majorBidi"/>
        </w:rPr>
      </w:pPr>
    </w:p>
    <w:p w:rsidR="00C95FF9" w:rsidRPr="00EA21E0" w:rsidP="00C95FF9" w14:paraId="356540EE" w14:textId="36C1D395">
      <w:pPr>
        <w:rPr>
          <w:rFonts w:asciiTheme="majorBidi" w:hAnsiTheme="majorBidi" w:cstheme="majorBidi"/>
          <w:szCs w:val="22"/>
        </w:rPr>
      </w:pPr>
      <w:r w:rsidRPr="00EA21E0">
        <w:rPr>
          <w:rFonts w:asciiTheme="majorBidi" w:hAnsiTheme="majorBidi" w:cstheme="majorBidi"/>
          <w:szCs w:val="22"/>
        </w:rPr>
        <w:t xml:space="preserve">To the extent possible, the Landlord Incentives Evaluation will address these research questions using administrative data that PHAs already prepare and submit to HUD on a regular basis. This includes data from HUD’s Inventory Management System, which captures data on the characteristics of units subsidized through the program; the MTW Supplement, in which PHAs in the Landlord Incentive cohort report on their activities related to landlord incentives; and HUD’s Voucher Management System, which collects information on housing subsidies. </w:t>
      </w:r>
    </w:p>
    <w:p w:rsidR="00C95FF9" w:rsidRPr="00E954B3" w:rsidP="00C95FF9" w14:paraId="1A6342EB" w14:textId="44AF8AA1">
      <w:pPr>
        <w:rPr>
          <w:rFonts w:asciiTheme="majorBidi" w:hAnsiTheme="majorBidi" w:cstheme="majorBidi"/>
          <w:szCs w:val="22"/>
        </w:rPr>
      </w:pPr>
      <w:r>
        <w:rPr>
          <w:rFonts w:asciiTheme="majorBidi" w:hAnsiTheme="majorBidi" w:cstheme="majorBidi"/>
          <w:szCs w:val="22"/>
        </w:rPr>
        <w:t>I</w:t>
      </w:r>
      <w:r w:rsidRPr="00EA21E0">
        <w:rPr>
          <w:rFonts w:asciiTheme="majorBidi" w:hAnsiTheme="majorBidi" w:cstheme="majorBidi"/>
          <w:szCs w:val="22"/>
        </w:rPr>
        <w:t xml:space="preserve">n addition to administrative data, the evaluation requires modest primary data collection from PHAs and landlords. This information will: (1) clarify and expand upon </w:t>
      </w:r>
      <w:r w:rsidRPr="00E954B3">
        <w:rPr>
          <w:rFonts w:asciiTheme="majorBidi" w:hAnsiTheme="majorBidi" w:cstheme="majorBidi"/>
          <w:szCs w:val="22"/>
        </w:rPr>
        <w:t xml:space="preserve">administrative data and other secondary sources; (2) provide qualitative insights into the experiences of landlords and PHAs to inform the process study; and (3) provide context for the findings of the impact and cost studies, highlighting why incentives were or were not successful in achieving HUD’s desired outcomes. </w:t>
      </w:r>
    </w:p>
    <w:p w:rsidR="00904991" w:rsidRPr="00EA21E0" w:rsidP="00C95FF9" w14:paraId="0684F48F" w14:textId="06028DFE">
      <w:pPr>
        <w:pStyle w:val="BodyText"/>
        <w:rPr>
          <w:rFonts w:asciiTheme="majorBidi" w:hAnsiTheme="majorBidi" w:cstheme="majorBidi"/>
          <w:szCs w:val="22"/>
        </w:rPr>
      </w:pPr>
      <w:r w:rsidRPr="00E954B3">
        <w:rPr>
          <w:rFonts w:asciiTheme="majorBidi" w:hAnsiTheme="majorBidi" w:cstheme="majorBidi"/>
          <w:szCs w:val="22"/>
        </w:rPr>
        <w:t xml:space="preserve">Data collection activities are expected to begin in November 2022 and continue through </w:t>
      </w:r>
      <w:r w:rsidRPr="00E954B3" w:rsidR="00441DD8">
        <w:rPr>
          <w:rFonts w:asciiTheme="majorBidi" w:hAnsiTheme="majorBidi" w:cstheme="majorBidi"/>
          <w:szCs w:val="22"/>
        </w:rPr>
        <w:t>December</w:t>
      </w:r>
      <w:r w:rsidRPr="00E954B3">
        <w:rPr>
          <w:rFonts w:asciiTheme="majorBidi" w:hAnsiTheme="majorBidi" w:cstheme="majorBidi"/>
          <w:szCs w:val="22"/>
        </w:rPr>
        <w:t xml:space="preserve"> 2025.</w:t>
      </w:r>
      <w:r w:rsidRPr="00EA21E0" w:rsidR="00241545">
        <w:rPr>
          <w:rFonts w:asciiTheme="majorBidi" w:hAnsiTheme="majorBidi" w:cstheme="majorBidi"/>
          <w:szCs w:val="22"/>
        </w:rPr>
        <w:t xml:space="preserve"> </w:t>
      </w:r>
    </w:p>
    <w:p w:rsidR="006F299B" w:rsidP="008615B4" w14:paraId="0684F490" w14:textId="77777777">
      <w:pPr>
        <w:pStyle w:val="Heading2"/>
      </w:pPr>
      <w:bookmarkStart w:id="3" w:name="_Toc106789169"/>
      <w:r w:rsidRPr="001034D3">
        <w:t>A</w:t>
      </w:r>
      <w:r w:rsidR="00626051">
        <w:t>.</w:t>
      </w:r>
      <w:r w:rsidRPr="001034D3">
        <w:t xml:space="preserve">2: </w:t>
      </w:r>
      <w:r w:rsidR="00790C7A">
        <w:t>Purpose and Users of Information</w:t>
      </w:r>
      <w:bookmarkEnd w:id="3"/>
    </w:p>
    <w:p w:rsidR="00087CEE" w:rsidRPr="00D4487B" w:rsidP="00087CEE" w14:paraId="7C93EB59" w14:textId="23AF7803">
      <w:pPr>
        <w:rPr>
          <w:rFonts w:asciiTheme="majorBidi" w:hAnsiTheme="majorBidi" w:cstheme="majorBidi"/>
        </w:rPr>
      </w:pPr>
      <w:r w:rsidRPr="00D4487B">
        <w:rPr>
          <w:rFonts w:asciiTheme="majorBidi" w:hAnsiTheme="majorBidi" w:cstheme="majorBidi"/>
        </w:rPr>
        <w:t xml:space="preserve">This is a new collection. HUD will use the information collected to learn about the </w:t>
      </w:r>
      <w:r>
        <w:rPr>
          <w:rFonts w:asciiTheme="majorBidi" w:hAnsiTheme="majorBidi" w:cstheme="majorBidi"/>
        </w:rPr>
        <w:t xml:space="preserve">implementation of incentives and the </w:t>
      </w:r>
      <w:r w:rsidRPr="00D4487B">
        <w:rPr>
          <w:rFonts w:asciiTheme="majorBidi" w:hAnsiTheme="majorBidi" w:cstheme="majorBidi"/>
        </w:rPr>
        <w:t xml:space="preserve">impacts of landlord incentives on </w:t>
      </w:r>
      <w:r>
        <w:rPr>
          <w:rFonts w:asciiTheme="majorBidi" w:hAnsiTheme="majorBidi" w:cstheme="majorBidi"/>
        </w:rPr>
        <w:t xml:space="preserve">HCV </w:t>
      </w:r>
      <w:r w:rsidRPr="00D4487B">
        <w:rPr>
          <w:rFonts w:asciiTheme="majorBidi" w:hAnsiTheme="majorBidi" w:cstheme="majorBidi"/>
        </w:rPr>
        <w:t>program outcomes.</w:t>
      </w:r>
      <w:r>
        <w:rPr>
          <w:rFonts w:asciiTheme="majorBidi" w:hAnsiTheme="majorBidi" w:cstheme="majorBidi"/>
        </w:rPr>
        <w:t xml:space="preserve"> </w:t>
      </w:r>
      <w:r>
        <w:t>PHAs that are considering implementing landlord incentive programs will learn about the effectiveness of various landlord incentives.</w:t>
      </w:r>
      <w:r w:rsidRPr="00D4487B">
        <w:rPr>
          <w:rFonts w:asciiTheme="majorBidi" w:hAnsiTheme="majorBidi" w:cstheme="majorBidi"/>
        </w:rPr>
        <w:t xml:space="preserve"> </w:t>
      </w:r>
      <w:r w:rsidRPr="00D4487B">
        <w:rPr>
          <w:rFonts w:asciiTheme="majorBidi" w:hAnsiTheme="majorBidi" w:cstheme="majorBidi"/>
        </w:rPr>
        <w:t>Abt</w:t>
      </w:r>
      <w:r w:rsidRPr="00D4487B">
        <w:rPr>
          <w:rFonts w:asciiTheme="majorBidi" w:hAnsiTheme="majorBidi" w:cstheme="majorBidi"/>
        </w:rPr>
        <w:t xml:space="preserve"> Associates, the evaluation contractor, will </w:t>
      </w:r>
      <w:r w:rsidRPr="00F53EFF">
        <w:rPr>
          <w:rFonts w:asciiTheme="majorBidi" w:hAnsiTheme="majorBidi" w:cstheme="majorBidi"/>
        </w:rPr>
        <w:t>carry out the data collection and analysis on HUD’s behalf. The data collection activities covered under this request are described in further detail below and are summarized in Exhibit 2.</w:t>
      </w:r>
    </w:p>
    <w:p w:rsidR="00087CEE" w:rsidRPr="00D4487B" w:rsidP="00087CEE" w14:paraId="51B8C053" w14:textId="77777777">
      <w:pPr>
        <w:pStyle w:val="Heading3"/>
      </w:pPr>
      <w:r w:rsidRPr="00D4487B">
        <w:t>Interviews with PHAs</w:t>
      </w:r>
    </w:p>
    <w:p w:rsidR="00087CEE" w:rsidRPr="00216F27" w:rsidP="004D283D" w14:paraId="03B6AA92" w14:textId="15601449">
      <w:pPr>
        <w:rPr>
          <w:rFonts w:asciiTheme="majorBidi" w:hAnsiTheme="majorBidi" w:cstheme="majorBidi"/>
        </w:rPr>
      </w:pPr>
      <w:r w:rsidRPr="00D4487B">
        <w:rPr>
          <w:rFonts w:asciiTheme="majorBidi" w:hAnsiTheme="majorBidi" w:cstheme="majorBidi"/>
        </w:rPr>
        <w:t>Abt</w:t>
      </w:r>
      <w:r w:rsidRPr="00D4487B">
        <w:rPr>
          <w:rFonts w:asciiTheme="majorBidi" w:hAnsiTheme="majorBidi" w:cstheme="majorBidi"/>
        </w:rPr>
        <w:t xml:space="preserve"> Associates will conduct three rounds of interviews with the 2</w:t>
      </w:r>
      <w:r w:rsidR="00347081">
        <w:rPr>
          <w:rFonts w:asciiTheme="majorBidi" w:hAnsiTheme="majorBidi" w:cstheme="majorBidi"/>
        </w:rPr>
        <w:t>8</w:t>
      </w:r>
      <w:r w:rsidRPr="00D4487B">
        <w:rPr>
          <w:rFonts w:asciiTheme="majorBidi" w:hAnsiTheme="majorBidi" w:cstheme="majorBidi"/>
        </w:rPr>
        <w:t xml:space="preserve"> </w:t>
      </w:r>
      <w:r w:rsidRPr="00384FEF">
        <w:rPr>
          <w:rFonts w:asciiTheme="majorBidi" w:hAnsiTheme="majorBidi" w:cstheme="majorBidi"/>
        </w:rPr>
        <w:t xml:space="preserve">treatment PHAs. In each round, </w:t>
      </w:r>
      <w:r w:rsidRPr="00384FEF">
        <w:rPr>
          <w:rFonts w:asciiTheme="majorBidi" w:hAnsiTheme="majorBidi" w:cstheme="majorBidi"/>
        </w:rPr>
        <w:t>Abt</w:t>
      </w:r>
      <w:r w:rsidRPr="00384FEF">
        <w:rPr>
          <w:rFonts w:asciiTheme="majorBidi" w:hAnsiTheme="majorBidi" w:cstheme="majorBidi"/>
        </w:rPr>
        <w:t xml:space="preserve"> research staff will interview up to 5 staff involved in the HCV program, such as the PHA Executive Director, HCV Director, and Landlord Liaison. Each interview will take approximately one hour. The first round of interviews will be held in-person during site visits, anticipated to take place between January and April 2023. The second round of interviews will be conducted by telephone and take place in 2024. The third and final round of interviews will be held in-person during site visits and are anticipated to take place between </w:t>
      </w:r>
      <w:r w:rsidRPr="00216F27" w:rsidR="00216F27">
        <w:rPr>
          <w:rFonts w:asciiTheme="majorBidi" w:hAnsiTheme="majorBidi" w:cstheme="majorBidi"/>
        </w:rPr>
        <w:t>May</w:t>
      </w:r>
      <w:r w:rsidRPr="00216F27">
        <w:rPr>
          <w:rFonts w:asciiTheme="majorBidi" w:hAnsiTheme="majorBidi" w:cstheme="majorBidi"/>
        </w:rPr>
        <w:t xml:space="preserve"> and </w:t>
      </w:r>
      <w:r w:rsidRPr="00216F27" w:rsidR="00DF7242">
        <w:rPr>
          <w:rFonts w:asciiTheme="majorBidi" w:hAnsiTheme="majorBidi" w:cstheme="majorBidi"/>
        </w:rPr>
        <w:t>December</w:t>
      </w:r>
      <w:r w:rsidRPr="00216F27">
        <w:rPr>
          <w:rFonts w:asciiTheme="majorBidi" w:hAnsiTheme="majorBidi" w:cstheme="majorBidi"/>
        </w:rPr>
        <w:t xml:space="preserve"> 2025. </w:t>
      </w:r>
    </w:p>
    <w:p w:rsidR="00087CEE" w:rsidRPr="00D4487B" w:rsidP="00087CEE" w14:paraId="349017E2" w14:textId="3012BA98">
      <w:pPr>
        <w:rPr>
          <w:rFonts w:asciiTheme="majorBidi" w:hAnsiTheme="majorBidi" w:cstheme="majorBidi"/>
        </w:rPr>
      </w:pPr>
      <w:r w:rsidRPr="00216F27">
        <w:rPr>
          <w:rFonts w:asciiTheme="majorBidi" w:hAnsiTheme="majorBidi" w:cstheme="majorBidi"/>
        </w:rPr>
        <w:t>Abt</w:t>
      </w:r>
      <w:r w:rsidRPr="00216F27">
        <w:rPr>
          <w:rFonts w:asciiTheme="majorBidi" w:hAnsiTheme="majorBidi" w:cstheme="majorBidi"/>
        </w:rPr>
        <w:t xml:space="preserve"> Associates will also conduct a single round of interviews with a subset of 21 of the comparison PHAs. Similar to treatment PHAs, </w:t>
      </w:r>
      <w:r w:rsidRPr="00216F27">
        <w:rPr>
          <w:rFonts w:asciiTheme="majorBidi" w:hAnsiTheme="majorBidi" w:cstheme="majorBidi"/>
        </w:rPr>
        <w:t>Abt</w:t>
      </w:r>
      <w:r w:rsidRPr="00216F27">
        <w:rPr>
          <w:rFonts w:asciiTheme="majorBidi" w:hAnsiTheme="majorBidi" w:cstheme="majorBidi"/>
        </w:rPr>
        <w:t xml:space="preserve"> research staff will interview up to 5 PHA staff during an in-person site visit. Each interview will take approximately one hour. Comparison PHA interviews are anticipated to occur between </w:t>
      </w:r>
      <w:r w:rsidRPr="00216F27" w:rsidR="00216F27">
        <w:rPr>
          <w:rFonts w:asciiTheme="majorBidi" w:hAnsiTheme="majorBidi" w:cstheme="majorBidi"/>
        </w:rPr>
        <w:t>May</w:t>
      </w:r>
      <w:r w:rsidRPr="00216F27">
        <w:rPr>
          <w:rFonts w:asciiTheme="majorBidi" w:hAnsiTheme="majorBidi" w:cstheme="majorBidi"/>
        </w:rPr>
        <w:t xml:space="preserve"> and </w:t>
      </w:r>
      <w:r w:rsidRPr="00216F27" w:rsidR="00DF7242">
        <w:rPr>
          <w:rFonts w:asciiTheme="majorBidi" w:hAnsiTheme="majorBidi" w:cstheme="majorBidi"/>
        </w:rPr>
        <w:t>December</w:t>
      </w:r>
      <w:r w:rsidRPr="00216F27">
        <w:rPr>
          <w:rFonts w:asciiTheme="majorBidi" w:hAnsiTheme="majorBidi" w:cstheme="majorBidi"/>
        </w:rPr>
        <w:t xml:space="preserve"> 2025, concurrently</w:t>
      </w:r>
      <w:r w:rsidRPr="00D4487B">
        <w:rPr>
          <w:rFonts w:asciiTheme="majorBidi" w:hAnsiTheme="majorBidi" w:cstheme="majorBidi"/>
        </w:rPr>
        <w:t xml:space="preserve"> with the final round of treatment PHA interviews. </w:t>
      </w:r>
    </w:p>
    <w:p w:rsidR="00087CEE" w:rsidRPr="00D4487B" w:rsidP="00087CEE" w14:paraId="3A9B6BC6" w14:textId="009547D5">
      <w:pPr>
        <w:rPr>
          <w:rFonts w:asciiTheme="majorBidi" w:hAnsiTheme="majorBidi" w:cstheme="majorBidi"/>
        </w:rPr>
      </w:pPr>
      <w:r w:rsidRPr="00D4487B">
        <w:rPr>
          <w:rFonts w:asciiTheme="majorBidi" w:hAnsiTheme="majorBidi" w:cstheme="majorBidi"/>
        </w:rPr>
        <w:t>If in-person interviews are not feasible due to COVID-19 precautions – whether due to travel restrictions, PHA policies on in-person meetings, or due to participants’ own preferences – the study team is prepared to conduct interviews remotely as needed. Remote interviews with PHA staff will take place over the phone</w:t>
      </w:r>
      <w:r>
        <w:rPr>
          <w:rFonts w:asciiTheme="majorBidi" w:hAnsiTheme="majorBidi" w:cstheme="majorBidi"/>
        </w:rPr>
        <w:t>, through Microsoft Teams,</w:t>
      </w:r>
      <w:r w:rsidRPr="00D4487B">
        <w:rPr>
          <w:rFonts w:asciiTheme="majorBidi" w:hAnsiTheme="majorBidi" w:cstheme="majorBidi"/>
        </w:rPr>
        <w:t xml:space="preserve"> or through Webex</w:t>
      </w:r>
      <w:r>
        <w:rPr>
          <w:rFonts w:asciiTheme="majorBidi" w:hAnsiTheme="majorBidi" w:cstheme="majorBidi"/>
        </w:rPr>
        <w:t>. Microsoft Teams and WebEx are</w:t>
      </w:r>
      <w:r w:rsidRPr="00D4487B">
        <w:rPr>
          <w:rFonts w:asciiTheme="majorBidi" w:hAnsiTheme="majorBidi" w:cstheme="majorBidi"/>
        </w:rPr>
        <w:t xml:space="preserve"> secure conferencing platform</w:t>
      </w:r>
      <w:r>
        <w:rPr>
          <w:rFonts w:asciiTheme="majorBidi" w:hAnsiTheme="majorBidi" w:cstheme="majorBidi"/>
        </w:rPr>
        <w:t>s that allow us to audio record the interviews</w:t>
      </w:r>
      <w:r w:rsidRPr="00D4487B">
        <w:rPr>
          <w:rFonts w:asciiTheme="majorBidi" w:hAnsiTheme="majorBidi" w:cstheme="majorBidi"/>
        </w:rPr>
        <w:t xml:space="preserve">. </w:t>
      </w:r>
    </w:p>
    <w:p w:rsidR="00087CEE" w:rsidRPr="00D4487B" w:rsidP="00087CEE" w14:paraId="5F527765" w14:textId="1398F052">
      <w:pPr>
        <w:rPr>
          <w:rFonts w:asciiTheme="majorBidi" w:hAnsiTheme="majorBidi" w:cstheme="majorBidi"/>
        </w:rPr>
      </w:pPr>
      <w:r w:rsidRPr="00D4487B">
        <w:rPr>
          <w:rFonts w:asciiTheme="majorBidi" w:hAnsiTheme="majorBidi" w:cstheme="majorBidi"/>
        </w:rPr>
        <w:t>The overall goals of these interviews are to understand PHA staff experience</w:t>
      </w:r>
      <w:r>
        <w:rPr>
          <w:rFonts w:asciiTheme="majorBidi" w:hAnsiTheme="majorBidi" w:cstheme="majorBidi"/>
        </w:rPr>
        <w:t>s</w:t>
      </w:r>
      <w:r w:rsidRPr="00D4487B">
        <w:rPr>
          <w:rFonts w:asciiTheme="majorBidi" w:hAnsiTheme="majorBidi" w:cstheme="majorBidi"/>
        </w:rPr>
        <w:t xml:space="preserve"> implementing the </w:t>
      </w:r>
      <w:r>
        <w:rPr>
          <w:rFonts w:asciiTheme="majorBidi" w:hAnsiTheme="majorBidi" w:cstheme="majorBidi"/>
        </w:rPr>
        <w:t>landlord</w:t>
      </w:r>
      <w:r w:rsidRPr="00D4487B">
        <w:rPr>
          <w:rFonts w:asciiTheme="majorBidi" w:hAnsiTheme="majorBidi" w:cstheme="majorBidi"/>
        </w:rPr>
        <w:t xml:space="preserve"> incentives</w:t>
      </w:r>
      <w:r>
        <w:rPr>
          <w:rFonts w:asciiTheme="majorBidi" w:hAnsiTheme="majorBidi" w:cstheme="majorBidi"/>
        </w:rPr>
        <w:t>; to</w:t>
      </w:r>
      <w:r w:rsidRPr="00D4487B">
        <w:rPr>
          <w:rFonts w:asciiTheme="majorBidi" w:hAnsiTheme="majorBidi" w:cstheme="majorBidi"/>
        </w:rPr>
        <w:t xml:space="preserve"> gather insights about their relationships with landlords; to understand the efforts </w:t>
      </w:r>
      <w:r>
        <w:rPr>
          <w:rFonts w:asciiTheme="majorBidi" w:hAnsiTheme="majorBidi" w:cstheme="majorBidi"/>
        </w:rPr>
        <w:t>PHA staff</w:t>
      </w:r>
      <w:r w:rsidRPr="00D4487B">
        <w:rPr>
          <w:rFonts w:asciiTheme="majorBidi" w:hAnsiTheme="majorBidi" w:cstheme="majorBidi"/>
        </w:rPr>
        <w:t xml:space="preserve"> have made to increase landlord participation; and to learn </w:t>
      </w:r>
      <w:r>
        <w:rPr>
          <w:rFonts w:asciiTheme="majorBidi" w:hAnsiTheme="majorBidi" w:cstheme="majorBidi"/>
        </w:rPr>
        <w:t>PHA staff</w:t>
      </w:r>
      <w:r w:rsidRPr="00D4487B">
        <w:rPr>
          <w:rFonts w:asciiTheme="majorBidi" w:hAnsiTheme="majorBidi" w:cstheme="majorBidi"/>
        </w:rPr>
        <w:t xml:space="preserve"> views on how </w:t>
      </w:r>
      <w:r>
        <w:rPr>
          <w:rFonts w:asciiTheme="majorBidi" w:hAnsiTheme="majorBidi" w:cstheme="majorBidi"/>
        </w:rPr>
        <w:t>landlord incentive</w:t>
      </w:r>
      <w:r w:rsidRPr="00D4487B">
        <w:rPr>
          <w:rFonts w:asciiTheme="majorBidi" w:hAnsiTheme="majorBidi" w:cstheme="majorBidi"/>
        </w:rPr>
        <w:t xml:space="preserve"> efforts have influenced program outcomes. This </w:t>
      </w:r>
      <w:r w:rsidRPr="00BA6A4A">
        <w:rPr>
          <w:rFonts w:asciiTheme="majorBidi" w:hAnsiTheme="majorBidi" w:cstheme="majorBidi"/>
        </w:rPr>
        <w:t>information will be used to address the key research questions from the process study (Exhibit 1), illuminating PHAs’ challenges and strategies for promoting landlord participation in the HCV program</w:t>
      </w:r>
      <w:r w:rsidRPr="00D4487B">
        <w:rPr>
          <w:rFonts w:asciiTheme="majorBidi" w:hAnsiTheme="majorBidi" w:cstheme="majorBidi"/>
        </w:rPr>
        <w:t xml:space="preserve">, and highlighting the contrast between landlord incentives (implemented at treatment PHAs) and standard practice (implemented at comparison PHAs). PHA interviews will also provide necessary context for collecting data and interpreting administrative and survey data in the cost and impact studies. For example, if the impact study reveals that a particular incentive was not impactful, interview data can highlight potential explanations, such as PHAs’ challenges implementing the incentive. </w:t>
      </w:r>
    </w:p>
    <w:p w:rsidR="00087CEE" w:rsidRPr="00D4487B" w:rsidP="00087CEE" w14:paraId="79BB3AD3" w14:textId="77777777">
      <w:pPr>
        <w:rPr>
          <w:rFonts w:asciiTheme="majorBidi" w:hAnsiTheme="majorBidi" w:cstheme="majorBidi"/>
        </w:rPr>
      </w:pPr>
      <w:r w:rsidRPr="00D4487B">
        <w:rPr>
          <w:rFonts w:asciiTheme="majorBidi" w:hAnsiTheme="majorBidi" w:cstheme="majorBidi"/>
        </w:rPr>
        <w:t xml:space="preserve">The </w:t>
      </w:r>
      <w:r>
        <w:rPr>
          <w:rFonts w:asciiTheme="majorBidi" w:hAnsiTheme="majorBidi" w:cstheme="majorBidi"/>
        </w:rPr>
        <w:t>Abt</w:t>
      </w:r>
      <w:r w:rsidRPr="00D4487B">
        <w:rPr>
          <w:rFonts w:asciiTheme="majorBidi" w:hAnsiTheme="majorBidi" w:cstheme="majorBidi"/>
        </w:rPr>
        <w:t xml:space="preserve"> research team has developed four separate data collection instruments for </w:t>
      </w:r>
      <w:r>
        <w:rPr>
          <w:rFonts w:asciiTheme="majorBidi" w:hAnsiTheme="majorBidi" w:cstheme="majorBidi"/>
        </w:rPr>
        <w:t xml:space="preserve">PHA </w:t>
      </w:r>
      <w:r w:rsidRPr="00D4487B">
        <w:rPr>
          <w:rFonts w:asciiTheme="majorBidi" w:hAnsiTheme="majorBidi" w:cstheme="majorBidi"/>
        </w:rPr>
        <w:t>interviews:</w:t>
      </w:r>
    </w:p>
    <w:p w:rsidR="00087CEE" w:rsidRPr="00D4487B" w:rsidP="005D051A" w14:paraId="1ECCA864" w14:textId="63909FC5">
      <w:pPr>
        <w:pStyle w:val="ListParagraph"/>
        <w:numPr>
          <w:ilvl w:val="0"/>
          <w:numId w:val="11"/>
        </w:numPr>
        <w:spacing w:after="120" w:line="240" w:lineRule="auto"/>
        <w:jc w:val="both"/>
        <w:rPr>
          <w:rFonts w:asciiTheme="majorBidi" w:hAnsiTheme="majorBidi" w:cstheme="majorBidi"/>
          <w:sz w:val="24"/>
          <w:szCs w:val="24"/>
        </w:rPr>
      </w:pPr>
      <w:r w:rsidRPr="00D4487B">
        <w:rPr>
          <w:rFonts w:asciiTheme="majorBidi" w:hAnsiTheme="majorBidi" w:cstheme="majorBidi"/>
          <w:sz w:val="24"/>
          <w:szCs w:val="24"/>
        </w:rPr>
        <w:t xml:space="preserve">Treatment PHA interview guide for Round 1 </w:t>
      </w:r>
    </w:p>
    <w:p w:rsidR="00087CEE" w:rsidRPr="00D4487B" w:rsidP="005D051A" w14:paraId="2C64C1FF" w14:textId="04088FDA">
      <w:pPr>
        <w:pStyle w:val="ListParagraph"/>
        <w:numPr>
          <w:ilvl w:val="0"/>
          <w:numId w:val="11"/>
        </w:numPr>
        <w:spacing w:after="120" w:line="240" w:lineRule="auto"/>
        <w:jc w:val="both"/>
        <w:rPr>
          <w:rFonts w:asciiTheme="majorBidi" w:hAnsiTheme="majorBidi" w:cstheme="majorBidi"/>
          <w:sz w:val="24"/>
          <w:szCs w:val="24"/>
        </w:rPr>
      </w:pPr>
      <w:r w:rsidRPr="00D4487B">
        <w:rPr>
          <w:rFonts w:asciiTheme="majorBidi" w:hAnsiTheme="majorBidi" w:cstheme="majorBidi"/>
          <w:sz w:val="24"/>
          <w:szCs w:val="24"/>
        </w:rPr>
        <w:t xml:space="preserve">Treatment PHA interview guide for Round 2 </w:t>
      </w:r>
    </w:p>
    <w:p w:rsidR="00087CEE" w:rsidRPr="00D4487B" w:rsidP="00B24DEE" w14:paraId="307319EC" w14:textId="65CD6652">
      <w:pPr>
        <w:pStyle w:val="ListParagraph"/>
        <w:numPr>
          <w:ilvl w:val="0"/>
          <w:numId w:val="11"/>
        </w:numPr>
        <w:spacing w:after="120" w:line="240" w:lineRule="auto"/>
        <w:jc w:val="both"/>
        <w:rPr>
          <w:rFonts w:asciiTheme="majorBidi" w:hAnsiTheme="majorBidi" w:cstheme="majorBidi"/>
          <w:sz w:val="24"/>
          <w:szCs w:val="24"/>
        </w:rPr>
      </w:pPr>
      <w:r w:rsidRPr="00D4487B">
        <w:rPr>
          <w:rFonts w:asciiTheme="majorBidi" w:hAnsiTheme="majorBidi" w:cstheme="majorBidi"/>
          <w:sz w:val="24"/>
          <w:szCs w:val="24"/>
        </w:rPr>
        <w:t>Treatment PHA interview guide for Round 3</w:t>
      </w:r>
    </w:p>
    <w:p w:rsidR="00087CEE" w:rsidRPr="00087CEE" w:rsidP="005D051A" w14:paraId="4B125E33" w14:textId="618691DE">
      <w:pPr>
        <w:pStyle w:val="ListParagraph"/>
        <w:numPr>
          <w:ilvl w:val="0"/>
          <w:numId w:val="11"/>
        </w:numPr>
        <w:spacing w:after="120" w:line="240" w:lineRule="auto"/>
        <w:jc w:val="both"/>
        <w:rPr>
          <w:rFonts w:asciiTheme="majorBidi" w:hAnsiTheme="majorBidi" w:cstheme="majorBidi"/>
          <w:sz w:val="24"/>
          <w:szCs w:val="24"/>
        </w:rPr>
      </w:pPr>
      <w:r w:rsidRPr="00D4487B">
        <w:rPr>
          <w:rFonts w:asciiTheme="majorBidi" w:hAnsiTheme="majorBidi" w:cstheme="majorBidi"/>
          <w:sz w:val="24"/>
          <w:szCs w:val="24"/>
        </w:rPr>
        <w:t xml:space="preserve">Comparison PHA interview guide </w:t>
      </w:r>
    </w:p>
    <w:p w:rsidR="00087CEE" w:rsidRPr="00D4487B" w:rsidP="00087CEE" w14:paraId="1AB4AA10" w14:textId="77777777">
      <w:pPr>
        <w:pStyle w:val="Heading3"/>
      </w:pPr>
      <w:r w:rsidRPr="00D4487B">
        <w:rPr>
          <w:iCs/>
        </w:rPr>
        <w:t xml:space="preserve">PHA </w:t>
      </w:r>
      <w:r w:rsidRPr="00D4487B">
        <w:t>Web Surveys</w:t>
      </w:r>
    </w:p>
    <w:p w:rsidR="00087CEE" w:rsidRPr="00D4487B" w:rsidP="00087CEE" w14:paraId="600C705E" w14:textId="747421DF">
      <w:pPr>
        <w:rPr>
          <w:rFonts w:asciiTheme="majorBidi" w:hAnsiTheme="majorBidi" w:cstheme="majorBidi"/>
        </w:rPr>
      </w:pPr>
      <w:r w:rsidRPr="00D4487B">
        <w:rPr>
          <w:rFonts w:asciiTheme="majorBidi" w:hAnsiTheme="majorBidi" w:cstheme="majorBidi"/>
        </w:rPr>
        <w:t>Abt</w:t>
      </w:r>
      <w:r w:rsidRPr="00D4487B">
        <w:rPr>
          <w:rFonts w:asciiTheme="majorBidi" w:hAnsiTheme="majorBidi" w:cstheme="majorBidi"/>
        </w:rPr>
        <w:t xml:space="preserve"> Associates will field a brief online survey to all 2</w:t>
      </w:r>
      <w:r w:rsidR="00347081">
        <w:rPr>
          <w:rFonts w:asciiTheme="majorBidi" w:hAnsiTheme="majorBidi" w:cstheme="majorBidi"/>
        </w:rPr>
        <w:t>8</w:t>
      </w:r>
      <w:r w:rsidRPr="00D4487B">
        <w:rPr>
          <w:rFonts w:asciiTheme="majorBidi" w:hAnsiTheme="majorBidi" w:cstheme="majorBidi"/>
        </w:rPr>
        <w:t xml:space="preserve"> treatment PHAs </w:t>
      </w:r>
      <w:r w:rsidRPr="00F53EFF">
        <w:rPr>
          <w:rFonts w:asciiTheme="majorBidi" w:hAnsiTheme="majorBidi" w:cstheme="majorBidi"/>
        </w:rPr>
        <w:t>and 11</w:t>
      </w:r>
      <w:r w:rsidR="008577CA">
        <w:rPr>
          <w:rFonts w:asciiTheme="majorBidi" w:hAnsiTheme="majorBidi" w:cstheme="majorBidi"/>
        </w:rPr>
        <w:t>2</w:t>
      </w:r>
      <w:r w:rsidRPr="00F53EFF">
        <w:rPr>
          <w:rFonts w:asciiTheme="majorBidi" w:hAnsiTheme="majorBidi" w:cstheme="majorBidi"/>
        </w:rPr>
        <w:t xml:space="preserve"> comparison PHAs at baseline (</w:t>
      </w:r>
      <w:r w:rsidR="00DE5DF1">
        <w:rPr>
          <w:rFonts w:asciiTheme="majorBidi" w:hAnsiTheme="majorBidi" w:cstheme="majorBidi"/>
        </w:rPr>
        <w:t>January</w:t>
      </w:r>
      <w:r w:rsidRPr="00F53EFF">
        <w:rPr>
          <w:rFonts w:asciiTheme="majorBidi" w:hAnsiTheme="majorBidi" w:cstheme="majorBidi"/>
        </w:rPr>
        <w:t xml:space="preserve"> 202</w:t>
      </w:r>
      <w:r w:rsidR="00DE5DF1">
        <w:rPr>
          <w:rFonts w:asciiTheme="majorBidi" w:hAnsiTheme="majorBidi" w:cstheme="majorBidi"/>
        </w:rPr>
        <w:t>3</w:t>
      </w:r>
      <w:r w:rsidRPr="00F53EFF">
        <w:rPr>
          <w:rFonts w:asciiTheme="majorBidi" w:hAnsiTheme="majorBidi" w:cstheme="majorBidi"/>
        </w:rPr>
        <w:t>) and in the final year of the study (November 2025). Surveys will be sent to a single staff member at each PHA and will take approximately 30 minutes to complete. Surveys will primarily include close-ended responses to reduce</w:t>
      </w:r>
      <w:r>
        <w:rPr>
          <w:rFonts w:asciiTheme="majorBidi" w:hAnsiTheme="majorBidi" w:cstheme="majorBidi"/>
        </w:rPr>
        <w:t xml:space="preserve"> respondent burden.</w:t>
      </w:r>
    </w:p>
    <w:p w:rsidR="00087CEE" w:rsidRPr="00F53EFF" w:rsidP="00087CEE" w14:paraId="1E70417C" w14:textId="73A95918">
      <w:pPr>
        <w:rPr>
          <w:rFonts w:asciiTheme="majorBidi" w:hAnsiTheme="majorBidi" w:cstheme="majorBidi"/>
        </w:rPr>
      </w:pPr>
      <w:r w:rsidRPr="00D4487B">
        <w:rPr>
          <w:rFonts w:asciiTheme="majorBidi" w:hAnsiTheme="majorBidi" w:cstheme="majorBidi"/>
        </w:rPr>
        <w:t xml:space="preserve">The goal of the surveys is to collect information about PHAs’ planned or implemented incentives or other initiatives to improve landlord participation. To minimize burden, the survey will only ask for information that is not otherwise reported in secondary sources </w:t>
      </w:r>
      <w:r>
        <w:rPr>
          <w:rFonts w:asciiTheme="majorBidi" w:hAnsiTheme="majorBidi" w:cstheme="majorBidi"/>
        </w:rPr>
        <w:t xml:space="preserve">(such as HUD administrative data). </w:t>
      </w:r>
      <w:r w:rsidRPr="00D4487B">
        <w:rPr>
          <w:rFonts w:asciiTheme="majorBidi" w:hAnsiTheme="majorBidi" w:cstheme="majorBidi"/>
        </w:rPr>
        <w:t xml:space="preserve">For treatment PHAs, the surveys will gather details about specific incentives that are not otherwise reported in the MTW Supplement, including the timing, targeting, and number of incentives provided.  For comparison PHAs, the surveys at baseline and follow-up will gather details about other </w:t>
      </w:r>
      <w:r w:rsidRPr="00F53EFF">
        <w:rPr>
          <w:rFonts w:asciiTheme="majorBidi" w:hAnsiTheme="majorBidi" w:cstheme="majorBidi"/>
        </w:rPr>
        <w:t>efforts to increase landlord participation outside of the Landlord Incentives Cohort. The surveys will also ask about success rates and other information to support the cost and impact studies. For example, if we find that comparison PHAs adopted comparable incentives even without MTW authority, we would expect that their costs and outcomes would be more similar to treatment PHAs.</w:t>
      </w:r>
    </w:p>
    <w:p w:rsidR="00087CEE" w:rsidRPr="00F53EFF" w:rsidP="00087CEE" w14:paraId="538D04EB" w14:textId="77777777">
      <w:pPr>
        <w:rPr>
          <w:rFonts w:asciiTheme="majorBidi" w:hAnsiTheme="majorBidi" w:cstheme="majorBidi"/>
          <w:szCs w:val="22"/>
        </w:rPr>
      </w:pPr>
      <w:r w:rsidRPr="00F53EFF">
        <w:rPr>
          <w:rFonts w:asciiTheme="majorBidi" w:hAnsiTheme="majorBidi" w:cstheme="majorBidi"/>
          <w:szCs w:val="22"/>
        </w:rPr>
        <w:t xml:space="preserve">The </w:t>
      </w:r>
      <w:r w:rsidRPr="00F53EFF">
        <w:rPr>
          <w:rFonts w:asciiTheme="majorBidi" w:hAnsiTheme="majorBidi" w:cstheme="majorBidi"/>
          <w:szCs w:val="22"/>
        </w:rPr>
        <w:t>Abt</w:t>
      </w:r>
      <w:r w:rsidRPr="00F53EFF">
        <w:rPr>
          <w:rFonts w:asciiTheme="majorBidi" w:hAnsiTheme="majorBidi" w:cstheme="majorBidi"/>
          <w:szCs w:val="22"/>
        </w:rPr>
        <w:t xml:space="preserve"> research team has developed four separate data collection instruments:</w:t>
      </w:r>
    </w:p>
    <w:p w:rsidR="00087CEE" w:rsidRPr="00F53EFF" w:rsidP="005D051A" w14:paraId="6402812A" w14:textId="3299EB64">
      <w:pPr>
        <w:pStyle w:val="ListParagraph"/>
        <w:numPr>
          <w:ilvl w:val="0"/>
          <w:numId w:val="12"/>
        </w:numPr>
        <w:spacing w:after="120" w:line="240" w:lineRule="auto"/>
        <w:jc w:val="both"/>
        <w:rPr>
          <w:rFonts w:asciiTheme="majorBidi" w:hAnsiTheme="majorBidi" w:cstheme="majorBidi"/>
        </w:rPr>
      </w:pPr>
      <w:r w:rsidRPr="00F53EFF">
        <w:rPr>
          <w:rFonts w:asciiTheme="majorBidi" w:hAnsiTheme="majorBidi" w:cstheme="majorBidi"/>
        </w:rPr>
        <w:t xml:space="preserve">Treatment PHA baseline survey </w:t>
      </w:r>
    </w:p>
    <w:p w:rsidR="00087CEE" w:rsidRPr="00F53EFF" w:rsidP="005D051A" w14:paraId="4F220146" w14:textId="11259D46">
      <w:pPr>
        <w:pStyle w:val="ListParagraph"/>
        <w:numPr>
          <w:ilvl w:val="0"/>
          <w:numId w:val="12"/>
        </w:numPr>
        <w:spacing w:after="120" w:line="240" w:lineRule="auto"/>
        <w:jc w:val="both"/>
        <w:rPr>
          <w:rFonts w:asciiTheme="majorBidi" w:hAnsiTheme="majorBidi" w:cstheme="majorBidi"/>
        </w:rPr>
      </w:pPr>
      <w:r w:rsidRPr="00F53EFF">
        <w:rPr>
          <w:rFonts w:asciiTheme="majorBidi" w:hAnsiTheme="majorBidi" w:cstheme="majorBidi"/>
        </w:rPr>
        <w:t xml:space="preserve">Treatment PHA follow-up survey </w:t>
      </w:r>
    </w:p>
    <w:p w:rsidR="00087CEE" w:rsidRPr="00F53EFF" w:rsidP="00F53EFF" w14:paraId="6697AC2D" w14:textId="22A1915D">
      <w:pPr>
        <w:pStyle w:val="ListParagraph"/>
        <w:numPr>
          <w:ilvl w:val="0"/>
          <w:numId w:val="12"/>
        </w:numPr>
        <w:spacing w:after="120" w:line="240" w:lineRule="auto"/>
        <w:jc w:val="both"/>
        <w:rPr>
          <w:rFonts w:asciiTheme="majorBidi" w:hAnsiTheme="majorBidi" w:cstheme="majorBidi"/>
        </w:rPr>
      </w:pPr>
      <w:r w:rsidRPr="00F53EFF">
        <w:rPr>
          <w:rFonts w:asciiTheme="majorBidi" w:hAnsiTheme="majorBidi" w:cstheme="majorBidi"/>
        </w:rPr>
        <w:t xml:space="preserve">Comparison PHA baseline survey </w:t>
      </w:r>
    </w:p>
    <w:p w:rsidR="00087CEE" w:rsidRPr="00F53EFF" w:rsidP="005D051A" w14:paraId="35CE5BDC" w14:textId="40B1DC06">
      <w:pPr>
        <w:pStyle w:val="ListParagraph"/>
        <w:numPr>
          <w:ilvl w:val="0"/>
          <w:numId w:val="12"/>
        </w:numPr>
        <w:spacing w:after="120" w:line="240" w:lineRule="auto"/>
        <w:jc w:val="both"/>
        <w:rPr>
          <w:rFonts w:asciiTheme="majorBidi" w:hAnsiTheme="majorBidi" w:cstheme="majorBidi"/>
        </w:rPr>
      </w:pPr>
      <w:r w:rsidRPr="00F53EFF">
        <w:rPr>
          <w:rFonts w:asciiTheme="majorBidi" w:hAnsiTheme="majorBidi" w:cstheme="majorBidi"/>
        </w:rPr>
        <w:t xml:space="preserve">Comparison PHA follow-up survey </w:t>
      </w:r>
    </w:p>
    <w:p w:rsidR="00087CEE" w:rsidRPr="00D4487B" w:rsidP="00087CEE" w14:paraId="48A6D30C" w14:textId="77777777">
      <w:pPr>
        <w:pStyle w:val="Heading3"/>
      </w:pPr>
      <w:r w:rsidRPr="00D4487B">
        <w:t>Landlord Interviews</w:t>
      </w:r>
    </w:p>
    <w:p w:rsidR="00087CEE" w:rsidRPr="00F53EFF" w:rsidP="00087CEE" w14:paraId="40F24AFD" w14:textId="71768BA8">
      <w:pPr>
        <w:rPr>
          <w:rFonts w:asciiTheme="majorBidi" w:hAnsiTheme="majorBidi" w:cstheme="majorBidi"/>
        </w:rPr>
      </w:pPr>
      <w:r w:rsidRPr="00D4487B">
        <w:rPr>
          <w:rFonts w:asciiTheme="majorBidi" w:hAnsiTheme="majorBidi" w:cstheme="majorBidi"/>
        </w:rPr>
        <w:t xml:space="preserve">To better understand landlords’ response to the new incentives, as well as barriers they face to </w:t>
      </w:r>
      <w:r>
        <w:rPr>
          <w:rFonts w:asciiTheme="majorBidi" w:hAnsiTheme="majorBidi" w:cstheme="majorBidi"/>
        </w:rPr>
        <w:t xml:space="preserve">HCV program </w:t>
      </w:r>
      <w:r w:rsidRPr="00D4487B">
        <w:rPr>
          <w:rFonts w:asciiTheme="majorBidi" w:hAnsiTheme="majorBidi" w:cstheme="majorBidi"/>
        </w:rPr>
        <w:t xml:space="preserve">participation, we will interview 400 landlords in 20 </w:t>
      </w:r>
      <w:r w:rsidRPr="00F53EFF">
        <w:rPr>
          <w:rFonts w:asciiTheme="majorBidi" w:hAnsiTheme="majorBidi" w:cstheme="majorBidi"/>
        </w:rPr>
        <w:t xml:space="preserve">sites (13 treatment, 7 comparison). Landlord interviews will take place in-person, supplemented with telephone interviews as needed to accommodate landlords’ schedules. Each interview will take </w:t>
      </w:r>
      <w:r w:rsidRPr="00F53EFF">
        <w:rPr>
          <w:rFonts w:asciiTheme="majorBidi" w:hAnsiTheme="majorBidi" w:cstheme="majorBidi"/>
        </w:rPr>
        <w:t xml:space="preserve">approximately </w:t>
      </w:r>
      <w:r w:rsidRPr="00F53EFF">
        <w:rPr>
          <w:rFonts w:asciiTheme="majorBidi" w:hAnsiTheme="majorBidi" w:cstheme="majorBidi"/>
        </w:rPr>
        <w:t xml:space="preserve">one hour. Landlord interviews are anticipated to occur between May and November 2025, concurrently with the final round of interviews with treatment PHAs and comparison PHAs.  </w:t>
      </w:r>
    </w:p>
    <w:p w:rsidR="00087CEE" w:rsidP="00087CEE" w14:paraId="19E64E60" w14:textId="511D4CC1">
      <w:pPr>
        <w:rPr>
          <w:rFonts w:asciiTheme="majorBidi" w:hAnsiTheme="majorBidi" w:cstheme="majorBidi"/>
        </w:rPr>
      </w:pPr>
      <w:r w:rsidRPr="00F53EFF">
        <w:rPr>
          <w:rFonts w:asciiTheme="majorBidi" w:hAnsiTheme="majorBidi" w:cstheme="majorBidi"/>
        </w:rPr>
        <w:t xml:space="preserve">Similar to the interviews with PHA staff, if the local or national COVID-19 context prevents in-person interviews, the </w:t>
      </w:r>
      <w:r w:rsidRPr="00F53EFF">
        <w:rPr>
          <w:rFonts w:asciiTheme="majorBidi" w:hAnsiTheme="majorBidi" w:cstheme="majorBidi"/>
        </w:rPr>
        <w:t>Abt</w:t>
      </w:r>
      <w:r w:rsidRPr="00F53EFF">
        <w:rPr>
          <w:rFonts w:asciiTheme="majorBidi" w:hAnsiTheme="majorBidi" w:cstheme="majorBidi"/>
        </w:rPr>
        <w:t xml:space="preserve"> research team is prepared to conduct interviews remotely as needed</w:t>
      </w:r>
      <w:r w:rsidRPr="00D4487B">
        <w:rPr>
          <w:rFonts w:asciiTheme="majorBidi" w:hAnsiTheme="majorBidi" w:cstheme="majorBidi"/>
        </w:rPr>
        <w:t>. Remote interviews with landlords will be conducted over the phone</w:t>
      </w:r>
      <w:r>
        <w:rPr>
          <w:rFonts w:asciiTheme="majorBidi" w:hAnsiTheme="majorBidi" w:cstheme="majorBidi"/>
        </w:rPr>
        <w:t xml:space="preserve"> or via WebEx or Microsoft Teams</w:t>
      </w:r>
      <w:r w:rsidRPr="00D4487B">
        <w:rPr>
          <w:rFonts w:asciiTheme="majorBidi" w:hAnsiTheme="majorBidi" w:cstheme="majorBidi"/>
        </w:rPr>
        <w:t xml:space="preserve">. </w:t>
      </w:r>
      <w:r w:rsidRPr="00D4487B">
        <w:rPr>
          <w:rFonts w:asciiTheme="majorBidi" w:hAnsiTheme="majorBidi" w:cstheme="majorBidi"/>
        </w:rPr>
        <w:t xml:space="preserve"> </w:t>
      </w:r>
      <w:r>
        <w:rPr>
          <w:rFonts w:asciiTheme="majorBidi" w:hAnsiTheme="majorBidi" w:cstheme="majorBidi"/>
        </w:rPr>
        <w:tab/>
      </w:r>
    </w:p>
    <w:p w:rsidR="00087CEE" w:rsidRPr="006C388B" w:rsidP="00087CEE" w14:paraId="08370F07" w14:textId="0E1EBC92">
      <w:pPr>
        <w:rPr>
          <w:rFonts w:asciiTheme="majorBidi" w:hAnsiTheme="majorBidi" w:cstheme="majorBidi"/>
          <w:szCs w:val="22"/>
        </w:rPr>
      </w:pPr>
      <w:r w:rsidRPr="00326438">
        <w:rPr>
          <w:rFonts w:asciiTheme="majorBidi" w:hAnsiTheme="majorBidi" w:cstheme="majorBidi"/>
        </w:rPr>
        <w:t xml:space="preserve">The purpose of the interviews is to learn whether landlords are aware of various landlord incentives associated with </w:t>
      </w:r>
      <w:r>
        <w:rPr>
          <w:rFonts w:asciiTheme="majorBidi" w:hAnsiTheme="majorBidi" w:cstheme="majorBidi"/>
        </w:rPr>
        <w:t xml:space="preserve">MTW </w:t>
      </w:r>
      <w:r w:rsidRPr="00326438">
        <w:rPr>
          <w:rFonts w:asciiTheme="majorBidi" w:hAnsiTheme="majorBidi" w:cstheme="majorBidi"/>
        </w:rPr>
        <w:t>and how these changes have affected (or could affect) landlord decisions about participation in the HCV program.</w:t>
      </w:r>
      <w:r>
        <w:rPr>
          <w:rFonts w:asciiTheme="majorBidi" w:hAnsiTheme="majorBidi" w:cstheme="majorBidi"/>
        </w:rPr>
        <w:t xml:space="preserve"> The interviews will help address the process study questions and will provide context for the impact study. For example, if we find that landlords were highly motivated by a certain incentive, we would expect that PHAs that implemented that incentive would have better outcomes than other PHAs.</w:t>
      </w:r>
    </w:p>
    <w:p w:rsidR="00087CEE" w:rsidRPr="006C388B" w:rsidP="00087CEE" w14:paraId="43482D79" w14:textId="77777777">
      <w:pPr>
        <w:rPr>
          <w:rFonts w:asciiTheme="majorBidi" w:hAnsiTheme="majorBidi" w:cstheme="majorBidi"/>
          <w:szCs w:val="22"/>
        </w:rPr>
      </w:pPr>
      <w:r w:rsidRPr="006C388B">
        <w:rPr>
          <w:rFonts w:asciiTheme="majorBidi" w:hAnsiTheme="majorBidi" w:cstheme="majorBidi"/>
          <w:szCs w:val="22"/>
        </w:rPr>
        <w:t xml:space="preserve">The study team has developed two different interview guides for landlord interviews: </w:t>
      </w:r>
    </w:p>
    <w:p w:rsidR="00087CEE" w:rsidRPr="006C388B" w:rsidP="005D051A" w14:paraId="4305620F" w14:textId="399B021C">
      <w:pPr>
        <w:pStyle w:val="ListParagraph"/>
        <w:numPr>
          <w:ilvl w:val="0"/>
          <w:numId w:val="13"/>
        </w:numPr>
        <w:spacing w:after="120" w:line="240" w:lineRule="auto"/>
        <w:jc w:val="both"/>
        <w:rPr>
          <w:rFonts w:asciiTheme="majorBidi" w:hAnsiTheme="majorBidi" w:cstheme="majorBidi"/>
        </w:rPr>
      </w:pPr>
      <w:r w:rsidRPr="006C388B">
        <w:rPr>
          <w:rFonts w:asciiTheme="majorBidi" w:hAnsiTheme="majorBidi" w:cstheme="majorBidi"/>
        </w:rPr>
        <w:t xml:space="preserve">Thematic interview guide </w:t>
      </w:r>
    </w:p>
    <w:p w:rsidR="00087CEE" w:rsidRPr="006C388B" w:rsidP="005D051A" w14:paraId="6381F3B1" w14:textId="1E89288C">
      <w:pPr>
        <w:pStyle w:val="ListParagraph"/>
        <w:numPr>
          <w:ilvl w:val="0"/>
          <w:numId w:val="13"/>
        </w:numPr>
        <w:spacing w:after="120" w:line="240" w:lineRule="auto"/>
        <w:jc w:val="both"/>
        <w:rPr>
          <w:rFonts w:asciiTheme="majorBidi" w:hAnsiTheme="majorBidi" w:cstheme="majorBidi"/>
        </w:rPr>
      </w:pPr>
      <w:r w:rsidRPr="006C388B">
        <w:rPr>
          <w:rFonts w:asciiTheme="majorBidi" w:hAnsiTheme="majorBidi" w:cstheme="majorBidi"/>
        </w:rPr>
        <w:t>Qualitative Impact Protocol (</w:t>
      </w:r>
      <w:r w:rsidRPr="006C388B">
        <w:rPr>
          <w:rFonts w:asciiTheme="majorBidi" w:hAnsiTheme="majorBidi" w:cstheme="majorBidi"/>
        </w:rPr>
        <w:t>QuIP</w:t>
      </w:r>
      <w:r w:rsidRPr="006C388B">
        <w:rPr>
          <w:rFonts w:asciiTheme="majorBidi" w:hAnsiTheme="majorBidi" w:cstheme="majorBidi"/>
        </w:rPr>
        <w:t xml:space="preserve">)guide </w:t>
      </w:r>
    </w:p>
    <w:p w:rsidR="00087CEE" w:rsidRPr="0044434F" w:rsidP="00087CEE" w14:paraId="0B6EB77A" w14:textId="77777777">
      <w:pPr>
        <w:rPr>
          <w:rFonts w:asciiTheme="majorBidi" w:hAnsiTheme="majorBidi" w:cstheme="majorBidi"/>
        </w:rPr>
      </w:pPr>
    </w:p>
    <w:p w:rsidR="00087CEE" w:rsidRPr="003E4AF4" w:rsidP="00087CEE" w14:paraId="3181858F" w14:textId="77777777">
      <w:pPr>
        <w:rPr>
          <w:rFonts w:ascii="Arial Narrow" w:hAnsi="Arial Narrow" w:cstheme="majorBidi"/>
          <w:b/>
          <w:iCs/>
          <w:szCs w:val="22"/>
        </w:rPr>
      </w:pPr>
      <w:r w:rsidRPr="003E4AF4">
        <w:rPr>
          <w:rFonts w:ascii="Arial Narrow" w:hAnsi="Arial Narrow" w:cstheme="majorBidi"/>
          <w:b/>
          <w:iCs/>
          <w:szCs w:val="22"/>
        </w:rPr>
        <w:t xml:space="preserve">Exhibit </w:t>
      </w:r>
      <w:r w:rsidRPr="003E4AF4">
        <w:rPr>
          <w:rFonts w:ascii="Arial Narrow" w:hAnsi="Arial Narrow" w:cstheme="majorBidi"/>
          <w:b/>
          <w:bCs/>
          <w:iCs/>
          <w:szCs w:val="22"/>
        </w:rPr>
        <w:t>2</w:t>
      </w:r>
      <w:r w:rsidRPr="003E4AF4">
        <w:rPr>
          <w:rFonts w:ascii="Arial Narrow" w:hAnsi="Arial Narrow" w:cstheme="majorBidi"/>
          <w:b/>
          <w:iCs/>
          <w:szCs w:val="22"/>
        </w:rPr>
        <w:t xml:space="preserve">: Justification for Data Collection Activities </w:t>
      </w:r>
    </w:p>
    <w:tbl>
      <w:tblPr>
        <w:tblStyle w:val="TableGrid"/>
        <w:tblW w:w="9895" w:type="dxa"/>
        <w:tblLayout w:type="fixed"/>
        <w:tblCellMar>
          <w:left w:w="43" w:type="dxa"/>
          <w:right w:w="43" w:type="dxa"/>
        </w:tblCellMar>
        <w:tblLook w:val="04A0"/>
      </w:tblPr>
      <w:tblGrid>
        <w:gridCol w:w="1393"/>
        <w:gridCol w:w="8502"/>
      </w:tblGrid>
      <w:tr w14:paraId="7661A587" w14:textId="77777777" w:rsidTr="006C388B">
        <w:tblPrEx>
          <w:tblW w:w="9895" w:type="dxa"/>
          <w:tblLayout w:type="fixed"/>
          <w:tblCellMar>
            <w:left w:w="43" w:type="dxa"/>
            <w:right w:w="43" w:type="dxa"/>
          </w:tblCellMar>
          <w:tblLook w:val="04A0"/>
        </w:tblPrEx>
        <w:trPr>
          <w:trHeight w:val="481"/>
          <w:tblHeader/>
        </w:trPr>
        <w:tc>
          <w:tcPr>
            <w:tcW w:w="1393" w:type="dxa"/>
            <w:shd w:val="clear" w:color="auto" w:fill="DA291C"/>
          </w:tcPr>
          <w:p w:rsidR="00087CEE" w:rsidRPr="006C388B" w:rsidP="006C388B" w14:paraId="50ED884E" w14:textId="77777777">
            <w:pPr>
              <w:jc w:val="center"/>
              <w:rPr>
                <w:rFonts w:ascii="Arial Narrow" w:hAnsi="Arial Narrow" w:cstheme="majorBidi"/>
                <w:b/>
                <w:color w:val="F0F4F6" w:themeColor="background1" w:themeTint="33"/>
                <w:szCs w:val="22"/>
              </w:rPr>
            </w:pPr>
            <w:r w:rsidRPr="006C388B">
              <w:rPr>
                <w:rFonts w:ascii="Arial Narrow" w:hAnsi="Arial Narrow" w:cstheme="majorBidi"/>
                <w:b/>
                <w:color w:val="F0F4F6" w:themeColor="background1" w:themeTint="33"/>
                <w:szCs w:val="22"/>
              </w:rPr>
              <w:t>Year / Group and Mode</w:t>
            </w:r>
          </w:p>
        </w:tc>
        <w:tc>
          <w:tcPr>
            <w:tcW w:w="8502" w:type="dxa"/>
            <w:shd w:val="clear" w:color="auto" w:fill="DA291C"/>
          </w:tcPr>
          <w:p w:rsidR="00087CEE" w:rsidRPr="006C388B" w:rsidP="006C388B" w14:paraId="4392EB82" w14:textId="77777777">
            <w:pPr>
              <w:jc w:val="center"/>
              <w:rPr>
                <w:rFonts w:ascii="Arial Narrow" w:hAnsi="Arial Narrow" w:cstheme="majorBidi"/>
                <w:b/>
                <w:color w:val="F0F4F6" w:themeColor="background1" w:themeTint="33"/>
                <w:szCs w:val="22"/>
              </w:rPr>
            </w:pPr>
            <w:r w:rsidRPr="006C388B">
              <w:rPr>
                <w:rFonts w:ascii="Arial Narrow" w:hAnsi="Arial Narrow" w:cstheme="majorBidi"/>
                <w:b/>
                <w:color w:val="F0F4F6" w:themeColor="background1" w:themeTint="33"/>
                <w:szCs w:val="22"/>
              </w:rPr>
              <w:t>Respondents, Content, and Justification for Inclusion</w:t>
            </w:r>
          </w:p>
        </w:tc>
      </w:tr>
      <w:tr w14:paraId="7C065178" w14:textId="77777777" w:rsidTr="00F21C9D">
        <w:tblPrEx>
          <w:tblW w:w="9895" w:type="dxa"/>
          <w:tblLayout w:type="fixed"/>
          <w:tblCellMar>
            <w:left w:w="43" w:type="dxa"/>
            <w:right w:w="43" w:type="dxa"/>
          </w:tblCellMar>
          <w:tblLook w:val="04A0"/>
        </w:tblPrEx>
        <w:trPr>
          <w:trHeight w:val="1538"/>
        </w:trPr>
        <w:tc>
          <w:tcPr>
            <w:tcW w:w="1393" w:type="dxa"/>
            <w:shd w:val="clear" w:color="auto" w:fill="auto"/>
          </w:tcPr>
          <w:p w:rsidR="00087CEE" w:rsidP="00F21C9D" w14:paraId="1B181AF0" w14:textId="77777777">
            <w:pPr>
              <w:rPr>
                <w:rFonts w:ascii="Arial Narrow" w:hAnsi="Arial Narrow" w:cstheme="majorBidi"/>
                <w:b/>
                <w:bCs/>
                <w:szCs w:val="22"/>
              </w:rPr>
            </w:pPr>
            <w:r w:rsidRPr="000E3D2C">
              <w:rPr>
                <w:rFonts w:ascii="Arial Narrow" w:hAnsi="Arial Narrow" w:cstheme="majorBidi"/>
                <w:b/>
                <w:szCs w:val="22"/>
              </w:rPr>
              <w:t xml:space="preserve">Treatment PHA Interviews </w:t>
            </w:r>
            <w:r>
              <w:rPr>
                <w:rFonts w:ascii="Arial Narrow" w:hAnsi="Arial Narrow" w:cstheme="majorBidi"/>
                <w:b/>
                <w:bCs/>
                <w:szCs w:val="22"/>
              </w:rPr>
              <w:t>– Round</w:t>
            </w:r>
            <w:r>
              <w:rPr>
                <w:rFonts w:ascii="Arial Narrow" w:hAnsi="Arial Narrow" w:cstheme="majorBidi"/>
                <w:b/>
                <w:szCs w:val="22"/>
              </w:rPr>
              <w:t xml:space="preserve"> 1</w:t>
            </w:r>
            <w:r>
              <w:rPr>
                <w:rFonts w:ascii="Arial Narrow" w:hAnsi="Arial Narrow" w:cstheme="majorBidi"/>
                <w:b/>
                <w:bCs/>
                <w:szCs w:val="22"/>
              </w:rPr>
              <w:t xml:space="preserve"> </w:t>
            </w:r>
          </w:p>
          <w:p w:rsidR="00087CEE" w:rsidP="00F21C9D" w14:paraId="06CE3C70" w14:textId="77777777">
            <w:pPr>
              <w:rPr>
                <w:rFonts w:ascii="Arial Narrow" w:hAnsi="Arial Narrow" w:cstheme="majorBidi"/>
                <w:b/>
                <w:bCs/>
                <w:szCs w:val="22"/>
              </w:rPr>
            </w:pPr>
          </w:p>
          <w:p w:rsidR="00087CEE" w:rsidRPr="000E3D2C" w:rsidP="00F21C9D" w14:paraId="30F14099" w14:textId="77777777">
            <w:pPr>
              <w:rPr>
                <w:rFonts w:ascii="Arial Narrow" w:hAnsi="Arial Narrow" w:cstheme="majorBidi"/>
                <w:b/>
                <w:szCs w:val="22"/>
              </w:rPr>
            </w:pPr>
            <w:r w:rsidRPr="000E3D2C">
              <w:rPr>
                <w:rFonts w:ascii="Arial Narrow" w:hAnsi="Arial Narrow" w:cstheme="majorBidi"/>
                <w:b/>
                <w:bCs/>
                <w:szCs w:val="22"/>
              </w:rPr>
              <w:t>(</w:t>
            </w:r>
            <w:r w:rsidRPr="000E3D2C">
              <w:rPr>
                <w:rFonts w:ascii="Arial Narrow" w:hAnsi="Arial Narrow" w:cstheme="majorBidi"/>
                <w:b/>
                <w:szCs w:val="22"/>
              </w:rPr>
              <w:t>In-person)</w:t>
            </w:r>
          </w:p>
        </w:tc>
        <w:tc>
          <w:tcPr>
            <w:tcW w:w="8502" w:type="dxa"/>
          </w:tcPr>
          <w:p w:rsidR="00087CEE" w:rsidRPr="000E3D2C" w:rsidP="00087CEE" w14:paraId="0D1B70E6" w14:textId="0244118A">
            <w:pPr>
              <w:rPr>
                <w:rFonts w:ascii="Arial Narrow" w:hAnsi="Arial Narrow" w:cstheme="majorBidi"/>
                <w:szCs w:val="22"/>
              </w:rPr>
            </w:pPr>
            <w:r w:rsidRPr="000E3D2C">
              <w:rPr>
                <w:rFonts w:ascii="Arial Narrow" w:hAnsi="Arial Narrow" w:cstheme="majorBidi"/>
                <w:b/>
                <w:i/>
                <w:szCs w:val="22"/>
              </w:rPr>
              <w:t>Respondents</w:t>
            </w:r>
            <w:r w:rsidRPr="000E3D2C">
              <w:rPr>
                <w:rFonts w:ascii="Arial Narrow" w:hAnsi="Arial Narrow" w:cstheme="majorBidi"/>
                <w:i/>
                <w:szCs w:val="22"/>
              </w:rPr>
              <w:t>:</w:t>
            </w:r>
            <w:r w:rsidRPr="000E3D2C">
              <w:rPr>
                <w:rFonts w:ascii="Arial Narrow" w:hAnsi="Arial Narrow" w:cstheme="majorBidi"/>
                <w:szCs w:val="22"/>
              </w:rPr>
              <w:t xml:space="preserve"> Key HCV program staff (Executive Director, HCV Director, etc.) at 2</w:t>
            </w:r>
            <w:r w:rsidR="00347081">
              <w:rPr>
                <w:rFonts w:ascii="Arial Narrow" w:hAnsi="Arial Narrow" w:cstheme="majorBidi"/>
                <w:szCs w:val="22"/>
              </w:rPr>
              <w:t>8</w:t>
            </w:r>
            <w:r w:rsidRPr="000E3D2C">
              <w:rPr>
                <w:rFonts w:ascii="Arial Narrow" w:hAnsi="Arial Narrow" w:cstheme="majorBidi"/>
                <w:szCs w:val="22"/>
              </w:rPr>
              <w:t xml:space="preserve"> treatment PHAs. Three to five staff per PHA. </w:t>
            </w:r>
          </w:p>
          <w:p w:rsidR="00087CEE" w:rsidRPr="000E3D2C" w:rsidP="00F21C9D" w14:paraId="70C6CFF0" w14:textId="77777777">
            <w:pPr>
              <w:rPr>
                <w:rFonts w:ascii="Arial Narrow" w:hAnsi="Arial Narrow" w:cstheme="majorBidi"/>
                <w:b/>
                <w:i/>
                <w:szCs w:val="22"/>
              </w:rPr>
            </w:pPr>
            <w:r w:rsidRPr="000E3D2C">
              <w:rPr>
                <w:rFonts w:ascii="Arial Narrow" w:hAnsi="Arial Narrow" w:cstheme="majorBidi"/>
                <w:b/>
                <w:i/>
                <w:szCs w:val="22"/>
              </w:rPr>
              <w:t xml:space="preserve">Topics: </w:t>
            </w:r>
          </w:p>
          <w:p w:rsidR="00087CEE" w:rsidRPr="000E3D2C" w:rsidP="005D051A" w14:paraId="162426B9" w14:textId="77777777">
            <w:pPr>
              <w:pStyle w:val="ListParagraph"/>
              <w:numPr>
                <w:ilvl w:val="0"/>
                <w:numId w:val="14"/>
              </w:numPr>
              <w:spacing w:after="120" w:line="240" w:lineRule="auto"/>
              <w:jc w:val="both"/>
              <w:rPr>
                <w:rFonts w:ascii="Arial Narrow" w:hAnsi="Arial Narrow" w:cstheme="majorBidi"/>
              </w:rPr>
            </w:pPr>
            <w:r w:rsidRPr="000E3D2C">
              <w:rPr>
                <w:rFonts w:ascii="Arial Narrow" w:hAnsi="Arial Narrow" w:cstheme="majorBidi"/>
              </w:rPr>
              <w:t>Current rental market context and conditions</w:t>
            </w:r>
          </w:p>
          <w:p w:rsidR="00087CEE" w:rsidRPr="000E3D2C" w:rsidP="005D051A" w14:paraId="03EE367E" w14:textId="77777777">
            <w:pPr>
              <w:pStyle w:val="ListParagraph"/>
              <w:numPr>
                <w:ilvl w:val="0"/>
                <w:numId w:val="14"/>
              </w:numPr>
              <w:spacing w:after="120" w:line="240" w:lineRule="auto"/>
              <w:jc w:val="both"/>
              <w:rPr>
                <w:rFonts w:ascii="Arial Narrow" w:hAnsi="Arial Narrow" w:cstheme="majorBidi"/>
              </w:rPr>
            </w:pPr>
            <w:r w:rsidRPr="000E3D2C">
              <w:rPr>
                <w:rFonts w:ascii="Arial Narrow" w:hAnsi="Arial Narrow" w:cstheme="majorBidi"/>
              </w:rPr>
              <w:t>Current program performance, successes, and challenges</w:t>
            </w:r>
            <w:r>
              <w:rPr>
                <w:rFonts w:ascii="Arial Narrow" w:hAnsi="Arial Narrow" w:cstheme="majorBidi"/>
              </w:rPr>
              <w:t xml:space="preserve"> </w:t>
            </w:r>
          </w:p>
          <w:p w:rsidR="00087CEE" w:rsidRPr="000E3D2C" w:rsidP="005D051A" w14:paraId="64AD247D" w14:textId="77777777">
            <w:pPr>
              <w:pStyle w:val="ListParagraph"/>
              <w:numPr>
                <w:ilvl w:val="0"/>
                <w:numId w:val="14"/>
              </w:numPr>
              <w:spacing w:after="120" w:line="240" w:lineRule="auto"/>
              <w:jc w:val="both"/>
              <w:rPr>
                <w:rFonts w:ascii="Arial Narrow" w:hAnsi="Arial Narrow" w:cstheme="majorBidi"/>
              </w:rPr>
            </w:pPr>
            <w:r w:rsidRPr="000E3D2C">
              <w:rPr>
                <w:rFonts w:ascii="Arial Narrow" w:hAnsi="Arial Narrow" w:cstheme="majorBidi"/>
              </w:rPr>
              <w:t>Relationship with landlords and perception of PHA among landlords</w:t>
            </w:r>
          </w:p>
          <w:p w:rsidR="00087CEE" w:rsidRPr="000E3D2C" w:rsidP="005D051A" w14:paraId="615DA966" w14:textId="77777777">
            <w:pPr>
              <w:pStyle w:val="ListParagraph"/>
              <w:numPr>
                <w:ilvl w:val="0"/>
                <w:numId w:val="14"/>
              </w:numPr>
              <w:spacing w:after="120" w:line="240" w:lineRule="auto"/>
              <w:jc w:val="both"/>
              <w:rPr>
                <w:rFonts w:ascii="Arial Narrow" w:hAnsi="Arial Narrow" w:cstheme="majorBidi"/>
              </w:rPr>
            </w:pPr>
            <w:r w:rsidRPr="000E3D2C">
              <w:rPr>
                <w:rFonts w:ascii="Arial Narrow" w:hAnsi="Arial Narrow" w:cstheme="majorBidi"/>
              </w:rPr>
              <w:t>PHA efforts to improve landlord participation and overall program performance</w:t>
            </w:r>
          </w:p>
          <w:p w:rsidR="00087CEE" w:rsidRPr="000E3D2C" w:rsidP="005D051A" w14:paraId="61388DA9" w14:textId="77777777">
            <w:pPr>
              <w:pStyle w:val="ListParagraph"/>
              <w:numPr>
                <w:ilvl w:val="0"/>
                <w:numId w:val="14"/>
              </w:numPr>
              <w:spacing w:after="120" w:line="240" w:lineRule="auto"/>
              <w:jc w:val="both"/>
              <w:rPr>
                <w:rFonts w:ascii="Arial Narrow" w:hAnsi="Arial Narrow" w:cstheme="majorBidi"/>
              </w:rPr>
            </w:pPr>
            <w:r w:rsidRPr="000E3D2C">
              <w:rPr>
                <w:rFonts w:ascii="Arial Narrow" w:hAnsi="Arial Narrow" w:cstheme="majorBidi"/>
              </w:rPr>
              <w:t>Motivations for applying to MTW</w:t>
            </w:r>
          </w:p>
          <w:p w:rsidR="00087CEE" w:rsidRPr="000E3D2C" w:rsidP="005D051A" w14:paraId="519F83E8" w14:textId="77777777">
            <w:pPr>
              <w:pStyle w:val="ListParagraph"/>
              <w:numPr>
                <w:ilvl w:val="0"/>
                <w:numId w:val="14"/>
              </w:numPr>
              <w:spacing w:after="120" w:line="240" w:lineRule="auto"/>
              <w:jc w:val="both"/>
              <w:rPr>
                <w:rFonts w:ascii="Arial Narrow" w:hAnsi="Arial Narrow" w:cstheme="majorBidi"/>
              </w:rPr>
            </w:pPr>
            <w:r w:rsidRPr="000E3D2C">
              <w:rPr>
                <w:rFonts w:ascii="Arial Narrow" w:hAnsi="Arial Narrow" w:cstheme="majorBidi"/>
              </w:rPr>
              <w:t>Process for developing MTW Supplement</w:t>
            </w:r>
          </w:p>
          <w:p w:rsidR="00087CEE" w:rsidRPr="000E3D2C" w:rsidP="005D051A" w14:paraId="6F942A41" w14:textId="77777777">
            <w:pPr>
              <w:pStyle w:val="ListParagraph"/>
              <w:numPr>
                <w:ilvl w:val="0"/>
                <w:numId w:val="14"/>
              </w:numPr>
              <w:spacing w:after="120" w:line="240" w:lineRule="auto"/>
              <w:jc w:val="both"/>
              <w:rPr>
                <w:rFonts w:ascii="Arial Narrow" w:hAnsi="Arial Narrow" w:cstheme="majorBidi"/>
              </w:rPr>
            </w:pPr>
            <w:r w:rsidRPr="000E3D2C">
              <w:rPr>
                <w:rFonts w:ascii="Arial Narrow" w:hAnsi="Arial Narrow" w:cstheme="majorBidi"/>
              </w:rPr>
              <w:t>Anticipated impact of incentives on landlord willingness and overall program performance</w:t>
            </w:r>
          </w:p>
          <w:p w:rsidR="00087CEE" w:rsidRPr="000E3D2C" w:rsidP="005D051A" w14:paraId="2225EAB0" w14:textId="77777777">
            <w:pPr>
              <w:pStyle w:val="ListParagraph"/>
              <w:numPr>
                <w:ilvl w:val="0"/>
                <w:numId w:val="14"/>
              </w:numPr>
              <w:spacing w:after="120" w:line="240" w:lineRule="auto"/>
              <w:jc w:val="both"/>
              <w:rPr>
                <w:rFonts w:ascii="Arial Narrow" w:hAnsi="Arial Narrow" w:cstheme="majorBidi"/>
              </w:rPr>
            </w:pPr>
            <w:r w:rsidRPr="000E3D2C">
              <w:rPr>
                <w:rFonts w:ascii="Arial Narrow" w:hAnsi="Arial Narrow" w:cstheme="majorBidi"/>
              </w:rPr>
              <w:t xml:space="preserve">Anticipated implications of incentives for program operations </w:t>
            </w:r>
          </w:p>
          <w:p w:rsidR="00087CEE" w:rsidRPr="00087CEE" w:rsidP="005D051A" w14:paraId="2BE8EFAD" w14:textId="6BAE2E86">
            <w:pPr>
              <w:pStyle w:val="ListParagraph"/>
              <w:numPr>
                <w:ilvl w:val="0"/>
                <w:numId w:val="14"/>
              </w:numPr>
              <w:spacing w:after="120" w:line="240" w:lineRule="auto"/>
              <w:jc w:val="both"/>
              <w:rPr>
                <w:rFonts w:ascii="Arial Narrow" w:hAnsi="Arial Narrow" w:cstheme="majorBidi"/>
              </w:rPr>
            </w:pPr>
            <w:r w:rsidRPr="000E3D2C">
              <w:rPr>
                <w:rFonts w:ascii="Arial Narrow" w:hAnsi="Arial Narrow" w:cstheme="majorBidi"/>
              </w:rPr>
              <w:t>PHA staffing and program implementation capacity</w:t>
            </w:r>
          </w:p>
          <w:p w:rsidR="00087CEE" w:rsidRPr="000E3D2C" w:rsidP="00F21C9D" w14:paraId="223F9365" w14:textId="77777777">
            <w:pPr>
              <w:rPr>
                <w:rFonts w:ascii="Arial Narrow" w:hAnsi="Arial Narrow" w:cstheme="majorBidi"/>
                <w:szCs w:val="22"/>
              </w:rPr>
            </w:pPr>
            <w:r w:rsidRPr="000E3D2C">
              <w:rPr>
                <w:rFonts w:ascii="Arial Narrow" w:hAnsi="Arial Narrow" w:cstheme="majorBidi"/>
                <w:b/>
                <w:i/>
                <w:szCs w:val="22"/>
              </w:rPr>
              <w:t>Justification:</w:t>
            </w:r>
            <w:r w:rsidRPr="000E3D2C">
              <w:rPr>
                <w:rFonts w:ascii="Arial Narrow" w:hAnsi="Arial Narrow" w:cstheme="majorBidi"/>
                <w:szCs w:val="22"/>
              </w:rPr>
              <w:t xml:space="preserve"> The baseline interview with treatment PHA staff is essential for collecting in-depth information on PHAs’ initial motivations for applying for MTW designation and for selecting specific incentives. It is also essential for assessing the ‘current state’ of their program prior to the implementation of the incentives. This information will be used to address key questions in the process study and to establish baseline information for the cost study. Information from the site visits will also provide contextual information to inform subsequent analyses of the impact study data.</w:t>
            </w:r>
          </w:p>
        </w:tc>
      </w:tr>
      <w:tr w14:paraId="4A18BF3D" w14:textId="77777777" w:rsidTr="00F21C9D">
        <w:tblPrEx>
          <w:tblW w:w="9895" w:type="dxa"/>
          <w:tblLayout w:type="fixed"/>
          <w:tblCellMar>
            <w:left w:w="43" w:type="dxa"/>
            <w:right w:w="43" w:type="dxa"/>
          </w:tblCellMar>
          <w:tblLook w:val="04A0"/>
        </w:tblPrEx>
        <w:trPr>
          <w:trHeight w:val="863"/>
        </w:trPr>
        <w:tc>
          <w:tcPr>
            <w:tcW w:w="1393" w:type="dxa"/>
            <w:shd w:val="clear" w:color="auto" w:fill="auto"/>
          </w:tcPr>
          <w:p w:rsidR="00087CEE" w:rsidP="00F21C9D" w14:paraId="19706940" w14:textId="77777777">
            <w:pPr>
              <w:rPr>
                <w:rFonts w:ascii="Arial Narrow" w:hAnsi="Arial Narrow" w:cstheme="majorBidi"/>
                <w:b/>
                <w:bCs/>
                <w:szCs w:val="22"/>
              </w:rPr>
            </w:pPr>
            <w:r w:rsidRPr="000E3D2C">
              <w:rPr>
                <w:rFonts w:ascii="Arial Narrow" w:hAnsi="Arial Narrow" w:cstheme="majorBidi"/>
                <w:b/>
                <w:szCs w:val="22"/>
              </w:rPr>
              <w:t xml:space="preserve">Treatment PHA </w:t>
            </w:r>
            <w:r>
              <w:rPr>
                <w:rFonts w:ascii="Arial Narrow" w:hAnsi="Arial Narrow" w:cstheme="majorBidi"/>
                <w:b/>
                <w:szCs w:val="22"/>
              </w:rPr>
              <w:t>I</w:t>
            </w:r>
            <w:r w:rsidRPr="000E3D2C">
              <w:rPr>
                <w:rFonts w:ascii="Arial Narrow" w:hAnsi="Arial Narrow" w:cstheme="majorBidi"/>
                <w:b/>
                <w:szCs w:val="22"/>
              </w:rPr>
              <w:t xml:space="preserve">nterviews </w:t>
            </w:r>
            <w:r>
              <w:rPr>
                <w:rFonts w:ascii="Arial Narrow" w:hAnsi="Arial Narrow" w:cstheme="majorBidi"/>
                <w:b/>
                <w:bCs/>
                <w:szCs w:val="22"/>
              </w:rPr>
              <w:t>– Round</w:t>
            </w:r>
            <w:r>
              <w:rPr>
                <w:rFonts w:ascii="Arial Narrow" w:hAnsi="Arial Narrow" w:cstheme="majorBidi"/>
                <w:b/>
                <w:szCs w:val="22"/>
              </w:rPr>
              <w:t xml:space="preserve"> 2</w:t>
            </w:r>
            <w:r>
              <w:rPr>
                <w:rFonts w:ascii="Arial Narrow" w:hAnsi="Arial Narrow" w:cstheme="majorBidi"/>
                <w:b/>
                <w:bCs/>
                <w:szCs w:val="22"/>
              </w:rPr>
              <w:t xml:space="preserve"> </w:t>
            </w:r>
          </w:p>
          <w:p w:rsidR="00087CEE" w:rsidP="00F21C9D" w14:paraId="08826B15" w14:textId="77777777">
            <w:pPr>
              <w:rPr>
                <w:rFonts w:ascii="Arial Narrow" w:hAnsi="Arial Narrow" w:cstheme="majorBidi"/>
                <w:b/>
                <w:bCs/>
                <w:szCs w:val="22"/>
              </w:rPr>
            </w:pPr>
          </w:p>
          <w:p w:rsidR="00087CEE" w:rsidRPr="000E3D2C" w:rsidP="00F21C9D" w14:paraId="0E52CC44" w14:textId="77777777">
            <w:pPr>
              <w:rPr>
                <w:rFonts w:ascii="Arial Narrow" w:hAnsi="Arial Narrow" w:cstheme="majorBidi"/>
                <w:b/>
                <w:szCs w:val="22"/>
              </w:rPr>
            </w:pPr>
            <w:r>
              <w:rPr>
                <w:rFonts w:ascii="Arial Narrow" w:hAnsi="Arial Narrow" w:cstheme="majorBidi"/>
                <w:b/>
                <w:bCs/>
                <w:szCs w:val="22"/>
              </w:rPr>
              <w:t>(Telephone</w:t>
            </w:r>
            <w:r>
              <w:rPr>
                <w:rFonts w:ascii="Arial Narrow" w:hAnsi="Arial Narrow" w:cstheme="majorBidi"/>
                <w:b/>
                <w:szCs w:val="22"/>
              </w:rPr>
              <w:t>)</w:t>
            </w:r>
          </w:p>
        </w:tc>
        <w:tc>
          <w:tcPr>
            <w:tcW w:w="8502" w:type="dxa"/>
          </w:tcPr>
          <w:p w:rsidR="00087CEE" w:rsidRPr="000E3D2C" w:rsidP="00087CEE" w14:paraId="69D54DA9" w14:textId="08618D43">
            <w:pPr>
              <w:rPr>
                <w:rFonts w:ascii="Arial Narrow" w:hAnsi="Arial Narrow" w:cstheme="majorBidi"/>
                <w:szCs w:val="22"/>
              </w:rPr>
            </w:pPr>
            <w:r w:rsidRPr="000E3D2C">
              <w:rPr>
                <w:rFonts w:ascii="Arial Narrow" w:hAnsi="Arial Narrow" w:cstheme="majorBidi"/>
                <w:b/>
                <w:i/>
                <w:szCs w:val="22"/>
              </w:rPr>
              <w:t>Respondents</w:t>
            </w:r>
            <w:r w:rsidRPr="000E3D2C">
              <w:rPr>
                <w:rFonts w:ascii="Arial Narrow" w:hAnsi="Arial Narrow" w:cstheme="majorBidi"/>
                <w:szCs w:val="22"/>
              </w:rPr>
              <w:t>: Key HCV program staff (Executive Director, HCV Director, etc.) at 2</w:t>
            </w:r>
            <w:r w:rsidR="00347081">
              <w:rPr>
                <w:rFonts w:ascii="Arial Narrow" w:hAnsi="Arial Narrow" w:cstheme="majorBidi"/>
                <w:szCs w:val="22"/>
              </w:rPr>
              <w:t>8</w:t>
            </w:r>
            <w:r w:rsidRPr="000E3D2C">
              <w:rPr>
                <w:rFonts w:ascii="Arial Narrow" w:hAnsi="Arial Narrow" w:cstheme="majorBidi"/>
                <w:szCs w:val="22"/>
              </w:rPr>
              <w:t xml:space="preserve"> treatment PHAs. Three staff per PHA. </w:t>
            </w:r>
          </w:p>
          <w:p w:rsidR="00087CEE" w:rsidRPr="000E3D2C" w:rsidP="00F21C9D" w14:paraId="371132AC" w14:textId="77777777">
            <w:pPr>
              <w:rPr>
                <w:rFonts w:ascii="Arial Narrow" w:hAnsi="Arial Narrow" w:cstheme="majorBidi"/>
                <w:b/>
                <w:i/>
                <w:szCs w:val="22"/>
              </w:rPr>
            </w:pPr>
            <w:r w:rsidRPr="000E3D2C">
              <w:rPr>
                <w:rFonts w:ascii="Arial Narrow" w:hAnsi="Arial Narrow" w:cstheme="majorBidi"/>
                <w:b/>
                <w:i/>
                <w:szCs w:val="22"/>
              </w:rPr>
              <w:t>Topics:</w:t>
            </w:r>
          </w:p>
          <w:p w:rsidR="00087CEE" w:rsidRPr="000E3D2C" w:rsidP="005D051A" w14:paraId="29D1C801" w14:textId="77777777">
            <w:pPr>
              <w:pStyle w:val="ListParagraph"/>
              <w:numPr>
                <w:ilvl w:val="0"/>
                <w:numId w:val="15"/>
              </w:numPr>
              <w:spacing w:after="120" w:line="240" w:lineRule="auto"/>
              <w:jc w:val="both"/>
              <w:rPr>
                <w:rFonts w:ascii="Arial Narrow" w:hAnsi="Arial Narrow" w:cstheme="majorBidi"/>
              </w:rPr>
            </w:pPr>
            <w:r w:rsidRPr="000E3D2C">
              <w:rPr>
                <w:rFonts w:ascii="Arial Narrow" w:hAnsi="Arial Narrow" w:cstheme="majorBidi"/>
              </w:rPr>
              <w:t>Changes in rental market context since baseline</w:t>
            </w:r>
          </w:p>
          <w:p w:rsidR="00087CEE" w:rsidRPr="000E3D2C" w:rsidP="005D051A" w14:paraId="6FF287D5" w14:textId="77777777">
            <w:pPr>
              <w:pStyle w:val="ListParagraph"/>
              <w:numPr>
                <w:ilvl w:val="0"/>
                <w:numId w:val="15"/>
              </w:numPr>
              <w:spacing w:after="120" w:line="240" w:lineRule="auto"/>
              <w:jc w:val="both"/>
              <w:rPr>
                <w:rFonts w:ascii="Arial Narrow" w:hAnsi="Arial Narrow" w:cstheme="majorBidi"/>
              </w:rPr>
            </w:pPr>
            <w:r w:rsidRPr="000E3D2C">
              <w:rPr>
                <w:rFonts w:ascii="Arial Narrow" w:hAnsi="Arial Narrow" w:cstheme="majorBidi"/>
              </w:rPr>
              <w:t>Changes in PHA leadership or operations since baseline</w:t>
            </w:r>
          </w:p>
          <w:p w:rsidR="00087CEE" w:rsidRPr="000E3D2C" w:rsidP="005D051A" w14:paraId="4651DC6E" w14:textId="77777777">
            <w:pPr>
              <w:pStyle w:val="ListParagraph"/>
              <w:numPr>
                <w:ilvl w:val="0"/>
                <w:numId w:val="15"/>
              </w:numPr>
              <w:spacing w:after="120" w:line="240" w:lineRule="auto"/>
              <w:jc w:val="both"/>
              <w:rPr>
                <w:rFonts w:ascii="Arial Narrow" w:hAnsi="Arial Narrow" w:cstheme="majorBidi"/>
              </w:rPr>
            </w:pPr>
            <w:r w:rsidRPr="000E3D2C">
              <w:rPr>
                <w:rFonts w:ascii="Arial Narrow" w:hAnsi="Arial Narrow" w:cstheme="majorBidi"/>
              </w:rPr>
              <w:t>Current program performance, successes, and challenges</w:t>
            </w:r>
            <w:r>
              <w:rPr>
                <w:rFonts w:ascii="Arial Narrow" w:hAnsi="Arial Narrow" w:cstheme="majorBidi"/>
              </w:rPr>
              <w:t xml:space="preserve"> (including success rates)</w:t>
            </w:r>
          </w:p>
          <w:p w:rsidR="00087CEE" w:rsidRPr="000E3D2C" w:rsidP="005D051A" w14:paraId="4D825116" w14:textId="77777777">
            <w:pPr>
              <w:pStyle w:val="ListParagraph"/>
              <w:numPr>
                <w:ilvl w:val="0"/>
                <w:numId w:val="15"/>
              </w:numPr>
              <w:spacing w:after="120" w:line="240" w:lineRule="auto"/>
              <w:jc w:val="both"/>
              <w:rPr>
                <w:rFonts w:ascii="Arial Narrow" w:hAnsi="Arial Narrow" w:cstheme="majorBidi"/>
              </w:rPr>
            </w:pPr>
            <w:r w:rsidRPr="000E3D2C">
              <w:rPr>
                <w:rFonts w:ascii="Arial Narrow" w:hAnsi="Arial Narrow" w:cstheme="majorBidi"/>
              </w:rPr>
              <w:t>PHA staffing and program implementation capacity</w:t>
            </w:r>
          </w:p>
          <w:p w:rsidR="00087CEE" w:rsidRPr="000E3D2C" w:rsidP="005D051A" w14:paraId="1B6D8CC4" w14:textId="77777777">
            <w:pPr>
              <w:pStyle w:val="ListParagraph"/>
              <w:numPr>
                <w:ilvl w:val="0"/>
                <w:numId w:val="15"/>
              </w:numPr>
              <w:spacing w:after="120" w:line="240" w:lineRule="auto"/>
              <w:jc w:val="both"/>
              <w:rPr>
                <w:rFonts w:ascii="Arial Narrow" w:hAnsi="Arial Narrow" w:cstheme="majorBidi"/>
              </w:rPr>
            </w:pPr>
            <w:r w:rsidRPr="000E3D2C">
              <w:rPr>
                <w:rFonts w:ascii="Arial Narrow" w:hAnsi="Arial Narrow" w:cstheme="majorBidi"/>
              </w:rPr>
              <w:t>Changes to planned incentives since launch</w:t>
            </w:r>
          </w:p>
          <w:p w:rsidR="00087CEE" w:rsidRPr="000E3D2C" w:rsidP="005D051A" w14:paraId="54BDF186" w14:textId="77777777">
            <w:pPr>
              <w:pStyle w:val="ListParagraph"/>
              <w:numPr>
                <w:ilvl w:val="0"/>
                <w:numId w:val="15"/>
              </w:numPr>
              <w:spacing w:after="120" w:line="240" w:lineRule="auto"/>
              <w:jc w:val="both"/>
              <w:rPr>
                <w:rFonts w:ascii="Arial Narrow" w:hAnsi="Arial Narrow" w:cstheme="majorBidi"/>
              </w:rPr>
            </w:pPr>
            <w:r w:rsidRPr="000E3D2C">
              <w:rPr>
                <w:rFonts w:ascii="Arial Narrow" w:hAnsi="Arial Narrow" w:cstheme="majorBidi"/>
              </w:rPr>
              <w:t>Challenges in implementing incentives</w:t>
            </w:r>
          </w:p>
          <w:p w:rsidR="00087CEE" w:rsidRPr="000E3D2C" w:rsidP="005D051A" w14:paraId="15E795F9" w14:textId="77777777">
            <w:pPr>
              <w:pStyle w:val="ListParagraph"/>
              <w:numPr>
                <w:ilvl w:val="0"/>
                <w:numId w:val="15"/>
              </w:numPr>
              <w:spacing w:after="120" w:line="240" w:lineRule="auto"/>
              <w:jc w:val="both"/>
              <w:rPr>
                <w:rFonts w:ascii="Arial Narrow" w:hAnsi="Arial Narrow" w:cstheme="majorBidi"/>
              </w:rPr>
            </w:pPr>
            <w:r w:rsidRPr="000E3D2C">
              <w:rPr>
                <w:rFonts w:ascii="Arial Narrow" w:hAnsi="Arial Narrow" w:cstheme="majorBidi"/>
              </w:rPr>
              <w:t>Reactions to incentives among landlords</w:t>
            </w:r>
          </w:p>
          <w:p w:rsidR="00087CEE" w:rsidRPr="000E3D2C" w:rsidP="005D051A" w14:paraId="70712155" w14:textId="77777777">
            <w:pPr>
              <w:pStyle w:val="ListParagraph"/>
              <w:numPr>
                <w:ilvl w:val="0"/>
                <w:numId w:val="15"/>
              </w:numPr>
              <w:spacing w:after="120" w:line="240" w:lineRule="auto"/>
              <w:jc w:val="both"/>
              <w:rPr>
                <w:rFonts w:ascii="Arial Narrow" w:hAnsi="Arial Narrow" w:cstheme="majorBidi"/>
              </w:rPr>
            </w:pPr>
            <w:r w:rsidRPr="000E3D2C">
              <w:rPr>
                <w:rFonts w:ascii="Arial Narrow" w:hAnsi="Arial Narrow" w:cstheme="majorBidi"/>
              </w:rPr>
              <w:t xml:space="preserve">Early changes in program performance </w:t>
            </w:r>
          </w:p>
          <w:p w:rsidR="00087CEE" w:rsidRPr="00087CEE" w:rsidP="005D051A" w14:paraId="330C24ED" w14:textId="00B3C6C6">
            <w:pPr>
              <w:pStyle w:val="ListParagraph"/>
              <w:numPr>
                <w:ilvl w:val="0"/>
                <w:numId w:val="15"/>
              </w:numPr>
              <w:spacing w:after="120" w:line="240" w:lineRule="auto"/>
              <w:jc w:val="both"/>
              <w:rPr>
                <w:rFonts w:ascii="Arial Narrow" w:hAnsi="Arial Narrow" w:cstheme="majorBidi"/>
              </w:rPr>
            </w:pPr>
            <w:r w:rsidRPr="000E3D2C">
              <w:rPr>
                <w:rFonts w:ascii="Arial Narrow" w:hAnsi="Arial Narrow" w:cstheme="majorBidi"/>
              </w:rPr>
              <w:t xml:space="preserve">Cost indicators not otherwise reported in secondary data (to inform cost study) </w:t>
            </w:r>
          </w:p>
          <w:p w:rsidR="00087CEE" w:rsidRPr="000E3D2C" w:rsidP="00087CEE" w14:paraId="0E5410E4" w14:textId="26B5B61F">
            <w:pPr>
              <w:rPr>
                <w:rFonts w:ascii="Arial Narrow" w:hAnsi="Arial Narrow" w:cstheme="majorBidi"/>
                <w:szCs w:val="22"/>
              </w:rPr>
            </w:pPr>
            <w:r w:rsidRPr="000E3D2C">
              <w:rPr>
                <w:rFonts w:ascii="Arial Narrow" w:hAnsi="Arial Narrow" w:cstheme="majorBidi"/>
                <w:b/>
                <w:i/>
                <w:szCs w:val="22"/>
              </w:rPr>
              <w:t>Justification:</w:t>
            </w:r>
            <w:r w:rsidRPr="000E3D2C">
              <w:rPr>
                <w:rFonts w:ascii="Arial Narrow" w:hAnsi="Arial Narrow" w:cstheme="majorBidi"/>
                <w:szCs w:val="22"/>
              </w:rPr>
              <w:t xml:space="preserve"> The midpoint interviews with treatment PHA staff will collect in-depth information about how incentives have been implemented, and any unexpected challenges or changes that PHAs have faced in the initial implementation. This information will be used to address key questions in the process study and provide context for the cost study and impact study analyses.</w:t>
            </w:r>
          </w:p>
        </w:tc>
      </w:tr>
      <w:tr w14:paraId="7DAC917B" w14:textId="77777777" w:rsidTr="00F21C9D">
        <w:tblPrEx>
          <w:tblW w:w="9895" w:type="dxa"/>
          <w:tblLayout w:type="fixed"/>
          <w:tblCellMar>
            <w:left w:w="43" w:type="dxa"/>
            <w:right w:w="43" w:type="dxa"/>
          </w:tblCellMar>
          <w:tblLook w:val="04A0"/>
        </w:tblPrEx>
        <w:trPr>
          <w:trHeight w:val="1268"/>
        </w:trPr>
        <w:tc>
          <w:tcPr>
            <w:tcW w:w="1393" w:type="dxa"/>
            <w:shd w:val="clear" w:color="auto" w:fill="auto"/>
          </w:tcPr>
          <w:p w:rsidR="00087CEE" w:rsidP="00F21C9D" w14:paraId="326D5AC8" w14:textId="77777777">
            <w:pPr>
              <w:rPr>
                <w:rFonts w:ascii="Arial Narrow" w:hAnsi="Arial Narrow" w:cstheme="majorBidi"/>
                <w:b/>
                <w:bCs/>
                <w:szCs w:val="22"/>
              </w:rPr>
            </w:pPr>
            <w:r w:rsidRPr="000E3D2C">
              <w:rPr>
                <w:rFonts w:ascii="Arial Narrow" w:hAnsi="Arial Narrow" w:cstheme="majorBidi"/>
                <w:b/>
                <w:szCs w:val="22"/>
              </w:rPr>
              <w:t xml:space="preserve">Treatment PHA </w:t>
            </w:r>
            <w:r>
              <w:rPr>
                <w:rFonts w:ascii="Arial Narrow" w:hAnsi="Arial Narrow" w:cstheme="majorBidi"/>
                <w:b/>
                <w:szCs w:val="22"/>
              </w:rPr>
              <w:t>I</w:t>
            </w:r>
            <w:r w:rsidRPr="000E3D2C">
              <w:rPr>
                <w:rFonts w:ascii="Arial Narrow" w:hAnsi="Arial Narrow" w:cstheme="majorBidi"/>
                <w:b/>
                <w:szCs w:val="22"/>
              </w:rPr>
              <w:t xml:space="preserve">nterviews </w:t>
            </w:r>
            <w:r>
              <w:rPr>
                <w:rFonts w:ascii="Arial Narrow" w:hAnsi="Arial Narrow" w:cstheme="majorBidi"/>
                <w:b/>
                <w:bCs/>
                <w:szCs w:val="22"/>
              </w:rPr>
              <w:t>– Round</w:t>
            </w:r>
            <w:r>
              <w:rPr>
                <w:rFonts w:ascii="Arial Narrow" w:hAnsi="Arial Narrow" w:cstheme="majorBidi"/>
                <w:b/>
                <w:szCs w:val="22"/>
              </w:rPr>
              <w:t xml:space="preserve"> 3</w:t>
            </w:r>
            <w:r>
              <w:rPr>
                <w:rFonts w:ascii="Arial Narrow" w:hAnsi="Arial Narrow" w:cstheme="majorBidi"/>
                <w:b/>
                <w:bCs/>
                <w:szCs w:val="22"/>
              </w:rPr>
              <w:t xml:space="preserve"> </w:t>
            </w:r>
          </w:p>
          <w:p w:rsidR="00087CEE" w:rsidP="00F21C9D" w14:paraId="28407968" w14:textId="77777777">
            <w:pPr>
              <w:rPr>
                <w:rFonts w:ascii="Arial Narrow" w:hAnsi="Arial Narrow" w:cstheme="majorBidi"/>
                <w:b/>
                <w:bCs/>
                <w:szCs w:val="22"/>
              </w:rPr>
            </w:pPr>
          </w:p>
          <w:p w:rsidR="00087CEE" w:rsidRPr="000E3D2C" w:rsidP="00F21C9D" w14:paraId="4C7E60F3" w14:textId="77777777">
            <w:pPr>
              <w:rPr>
                <w:rFonts w:ascii="Arial Narrow" w:hAnsi="Arial Narrow" w:cstheme="majorBidi"/>
                <w:b/>
                <w:szCs w:val="22"/>
              </w:rPr>
            </w:pPr>
            <w:r>
              <w:rPr>
                <w:rFonts w:ascii="Arial Narrow" w:hAnsi="Arial Narrow" w:cstheme="majorBidi"/>
                <w:b/>
                <w:bCs/>
                <w:szCs w:val="22"/>
              </w:rPr>
              <w:t>(</w:t>
            </w:r>
            <w:r>
              <w:rPr>
                <w:rFonts w:ascii="Arial Narrow" w:hAnsi="Arial Narrow" w:cstheme="majorBidi"/>
                <w:b/>
                <w:szCs w:val="22"/>
              </w:rPr>
              <w:t>In-person)</w:t>
            </w:r>
          </w:p>
        </w:tc>
        <w:tc>
          <w:tcPr>
            <w:tcW w:w="8502" w:type="dxa"/>
          </w:tcPr>
          <w:p w:rsidR="00087CEE" w:rsidRPr="000E3D2C" w:rsidP="00087CEE" w14:paraId="4781AC12" w14:textId="21750AAD">
            <w:pPr>
              <w:rPr>
                <w:rFonts w:ascii="Arial Narrow" w:hAnsi="Arial Narrow" w:cstheme="majorBidi"/>
                <w:szCs w:val="22"/>
              </w:rPr>
            </w:pPr>
            <w:r w:rsidRPr="009859E2">
              <w:rPr>
                <w:rFonts w:ascii="Arial Narrow" w:hAnsi="Arial Narrow" w:cstheme="majorBidi"/>
                <w:b/>
                <w:i/>
                <w:szCs w:val="22"/>
              </w:rPr>
              <w:t>Respondents</w:t>
            </w:r>
            <w:r w:rsidRPr="000E3D2C">
              <w:rPr>
                <w:rFonts w:ascii="Arial Narrow" w:hAnsi="Arial Narrow" w:cstheme="majorBidi"/>
                <w:szCs w:val="22"/>
              </w:rPr>
              <w:t>: Key HCV program staff (Executive Director, HCV Director, etc.) at 2</w:t>
            </w:r>
            <w:r w:rsidR="00347081">
              <w:rPr>
                <w:rFonts w:ascii="Arial Narrow" w:hAnsi="Arial Narrow" w:cstheme="majorBidi"/>
                <w:szCs w:val="22"/>
              </w:rPr>
              <w:t>8</w:t>
            </w:r>
            <w:r w:rsidRPr="000E3D2C">
              <w:rPr>
                <w:rFonts w:ascii="Arial Narrow" w:hAnsi="Arial Narrow" w:cstheme="majorBidi"/>
                <w:szCs w:val="22"/>
              </w:rPr>
              <w:t xml:space="preserve"> treatment PHAs. Three to five staff per PHA. </w:t>
            </w:r>
          </w:p>
          <w:p w:rsidR="00087CEE" w:rsidRPr="009859E2" w:rsidP="00F21C9D" w14:paraId="54B310C5" w14:textId="77777777">
            <w:pPr>
              <w:rPr>
                <w:rFonts w:ascii="Arial Narrow" w:hAnsi="Arial Narrow" w:cstheme="majorBidi"/>
                <w:b/>
                <w:i/>
                <w:szCs w:val="22"/>
              </w:rPr>
            </w:pPr>
            <w:r w:rsidRPr="009859E2">
              <w:rPr>
                <w:rFonts w:ascii="Arial Narrow" w:hAnsi="Arial Narrow" w:cstheme="majorBidi"/>
                <w:b/>
                <w:i/>
                <w:szCs w:val="22"/>
              </w:rPr>
              <w:t xml:space="preserve">Topics: </w:t>
            </w:r>
          </w:p>
          <w:p w:rsidR="00087CEE" w:rsidRPr="00244882" w:rsidP="005D051A" w14:paraId="7497346C" w14:textId="77777777">
            <w:pPr>
              <w:pStyle w:val="ListParagraph"/>
              <w:numPr>
                <w:ilvl w:val="0"/>
                <w:numId w:val="16"/>
              </w:numPr>
              <w:spacing w:after="120" w:line="240" w:lineRule="auto"/>
              <w:jc w:val="both"/>
              <w:rPr>
                <w:rFonts w:ascii="Arial Narrow" w:hAnsi="Arial Narrow" w:cstheme="majorBidi"/>
              </w:rPr>
            </w:pPr>
            <w:r w:rsidRPr="00244882">
              <w:rPr>
                <w:rFonts w:ascii="Arial Narrow" w:hAnsi="Arial Narrow" w:cstheme="majorBidi"/>
              </w:rPr>
              <w:t>Current rental market context and conditions</w:t>
            </w:r>
          </w:p>
          <w:p w:rsidR="00087CEE" w:rsidRPr="00244882" w:rsidP="005D051A" w14:paraId="67C311C9" w14:textId="77777777">
            <w:pPr>
              <w:pStyle w:val="ListParagraph"/>
              <w:numPr>
                <w:ilvl w:val="0"/>
                <w:numId w:val="16"/>
              </w:numPr>
              <w:spacing w:after="120" w:line="240" w:lineRule="auto"/>
              <w:jc w:val="both"/>
              <w:rPr>
                <w:rFonts w:ascii="Arial Narrow" w:hAnsi="Arial Narrow" w:cstheme="majorBidi"/>
              </w:rPr>
            </w:pPr>
            <w:r w:rsidRPr="00244882">
              <w:rPr>
                <w:rFonts w:ascii="Arial Narrow" w:hAnsi="Arial Narrow" w:cstheme="majorBidi"/>
              </w:rPr>
              <w:t>Current program performance, successes, and challenges</w:t>
            </w:r>
            <w:r>
              <w:rPr>
                <w:rFonts w:ascii="Arial Narrow" w:hAnsi="Arial Narrow" w:cstheme="majorBidi"/>
              </w:rPr>
              <w:t xml:space="preserve"> (including success rates)</w:t>
            </w:r>
          </w:p>
          <w:p w:rsidR="00087CEE" w:rsidRPr="00244882" w:rsidP="005D051A" w14:paraId="418E4448" w14:textId="77777777">
            <w:pPr>
              <w:pStyle w:val="ListParagraph"/>
              <w:numPr>
                <w:ilvl w:val="0"/>
                <w:numId w:val="16"/>
              </w:numPr>
              <w:spacing w:after="120" w:line="240" w:lineRule="auto"/>
              <w:jc w:val="both"/>
              <w:rPr>
                <w:rFonts w:ascii="Arial Narrow" w:hAnsi="Arial Narrow" w:cstheme="majorBidi"/>
              </w:rPr>
            </w:pPr>
            <w:r w:rsidRPr="00244882">
              <w:rPr>
                <w:rFonts w:ascii="Arial Narrow" w:hAnsi="Arial Narrow" w:cstheme="majorBidi"/>
              </w:rPr>
              <w:t xml:space="preserve">Changes from initial MTW Plan </w:t>
            </w:r>
          </w:p>
          <w:p w:rsidR="00087CEE" w:rsidRPr="00244882" w:rsidP="005D051A" w14:paraId="09DE4617" w14:textId="77777777">
            <w:pPr>
              <w:pStyle w:val="ListParagraph"/>
              <w:numPr>
                <w:ilvl w:val="0"/>
                <w:numId w:val="16"/>
              </w:numPr>
              <w:spacing w:after="120" w:line="240" w:lineRule="auto"/>
              <w:jc w:val="both"/>
              <w:rPr>
                <w:rFonts w:ascii="Arial Narrow" w:hAnsi="Arial Narrow" w:cstheme="majorBidi"/>
              </w:rPr>
            </w:pPr>
            <w:r w:rsidRPr="00244882">
              <w:rPr>
                <w:rFonts w:ascii="Arial Narrow" w:hAnsi="Arial Narrow" w:cstheme="majorBidi"/>
              </w:rPr>
              <w:t>PHA staffing and program implementation capacity</w:t>
            </w:r>
          </w:p>
          <w:p w:rsidR="00087CEE" w:rsidRPr="00244882" w:rsidP="005D051A" w14:paraId="2F33A238" w14:textId="77777777">
            <w:pPr>
              <w:pStyle w:val="ListParagraph"/>
              <w:numPr>
                <w:ilvl w:val="0"/>
                <w:numId w:val="16"/>
              </w:numPr>
              <w:spacing w:after="120" w:line="240" w:lineRule="auto"/>
              <w:jc w:val="both"/>
              <w:rPr>
                <w:rFonts w:ascii="Arial Narrow" w:hAnsi="Arial Narrow" w:cstheme="majorBidi"/>
              </w:rPr>
            </w:pPr>
            <w:r w:rsidRPr="00244882">
              <w:rPr>
                <w:rFonts w:ascii="Arial Narrow" w:hAnsi="Arial Narrow" w:cstheme="majorBidi"/>
              </w:rPr>
              <w:t>Challenges and successes in implementing landlord incentives</w:t>
            </w:r>
          </w:p>
          <w:p w:rsidR="00087CEE" w:rsidRPr="00244882" w:rsidP="005D051A" w14:paraId="6AE30B38" w14:textId="77777777">
            <w:pPr>
              <w:pStyle w:val="ListParagraph"/>
              <w:numPr>
                <w:ilvl w:val="0"/>
                <w:numId w:val="16"/>
              </w:numPr>
              <w:spacing w:after="120" w:line="240" w:lineRule="auto"/>
              <w:jc w:val="both"/>
              <w:rPr>
                <w:rFonts w:ascii="Arial Narrow" w:hAnsi="Arial Narrow" w:cstheme="majorBidi"/>
              </w:rPr>
            </w:pPr>
            <w:r w:rsidRPr="00244882">
              <w:rPr>
                <w:rFonts w:ascii="Arial Narrow" w:hAnsi="Arial Narrow" w:cstheme="majorBidi"/>
              </w:rPr>
              <w:t>Perceived impact of incentives on landlord willingness and overall program performance</w:t>
            </w:r>
          </w:p>
          <w:p w:rsidR="00087CEE" w:rsidRPr="00244882" w:rsidP="005D051A" w14:paraId="23324B1F" w14:textId="77777777">
            <w:pPr>
              <w:pStyle w:val="ListParagraph"/>
              <w:numPr>
                <w:ilvl w:val="0"/>
                <w:numId w:val="16"/>
              </w:numPr>
              <w:spacing w:after="120" w:line="240" w:lineRule="auto"/>
              <w:jc w:val="both"/>
              <w:rPr>
                <w:rFonts w:ascii="Arial Narrow" w:hAnsi="Arial Narrow" w:cstheme="majorBidi"/>
              </w:rPr>
            </w:pPr>
            <w:r w:rsidRPr="00244882">
              <w:rPr>
                <w:rFonts w:ascii="Arial Narrow" w:hAnsi="Arial Narrow" w:cstheme="majorBidi"/>
              </w:rPr>
              <w:t xml:space="preserve">Implications of incentives for program operations </w:t>
            </w:r>
          </w:p>
          <w:p w:rsidR="00087CEE" w:rsidRPr="00087CEE" w:rsidP="005D051A" w14:paraId="3FAF194F" w14:textId="0AA2CF05">
            <w:pPr>
              <w:pStyle w:val="ListParagraph"/>
              <w:numPr>
                <w:ilvl w:val="0"/>
                <w:numId w:val="16"/>
              </w:numPr>
              <w:spacing w:after="120" w:line="240" w:lineRule="auto"/>
              <w:jc w:val="both"/>
              <w:rPr>
                <w:rFonts w:ascii="Arial Narrow" w:hAnsi="Arial Narrow" w:cstheme="majorBidi"/>
              </w:rPr>
            </w:pPr>
            <w:r w:rsidRPr="00244882">
              <w:rPr>
                <w:rFonts w:ascii="Arial Narrow" w:hAnsi="Arial Narrow" w:cstheme="majorBidi"/>
              </w:rPr>
              <w:t>Plans for close-out of incentives</w:t>
            </w:r>
          </w:p>
          <w:p w:rsidR="00087CEE" w:rsidRPr="000E3D2C" w:rsidP="00087CEE" w14:paraId="0C7EF5E9" w14:textId="76773409">
            <w:pPr>
              <w:rPr>
                <w:rFonts w:ascii="Arial Narrow" w:hAnsi="Arial Narrow" w:cstheme="majorBidi"/>
                <w:szCs w:val="22"/>
              </w:rPr>
            </w:pPr>
            <w:r w:rsidRPr="0089403A">
              <w:rPr>
                <w:rFonts w:ascii="Arial Narrow" w:hAnsi="Arial Narrow" w:cstheme="majorBidi"/>
                <w:b/>
                <w:i/>
                <w:szCs w:val="22"/>
              </w:rPr>
              <w:t>Justification:</w:t>
            </w:r>
            <w:r w:rsidRPr="000E3D2C">
              <w:rPr>
                <w:rFonts w:ascii="Arial Narrow" w:hAnsi="Arial Narrow" w:cstheme="majorBidi"/>
                <w:szCs w:val="22"/>
              </w:rPr>
              <w:t xml:space="preserve"> The final round of interviews with treatment PHA staff are essential for collecting more in-depth information on PHAs’ experiences implementing the incentives, any challenges they have faced or lessons learned, and their reflections on the impacts of the incentives on program performance. This information is critical for the process study and will also lend context to the impact and cost studies, allowing HUD to better understand why the incentives did or did not lead to greater landlord participation. Given the expected small, expected change in landlord participation, these studies will help tease out deeper understanding of the degree to which PHA incentives may act as facilitators and barriers to engaging landlords in the HCV program. </w:t>
            </w:r>
          </w:p>
        </w:tc>
      </w:tr>
      <w:tr w14:paraId="1BE34C45" w14:textId="77777777" w:rsidTr="00F21C9D">
        <w:tblPrEx>
          <w:tblW w:w="9895" w:type="dxa"/>
          <w:tblLayout w:type="fixed"/>
          <w:tblCellMar>
            <w:left w:w="43" w:type="dxa"/>
            <w:right w:w="43" w:type="dxa"/>
          </w:tblCellMar>
          <w:tblLook w:val="04A0"/>
        </w:tblPrEx>
        <w:trPr>
          <w:cantSplit/>
          <w:trHeight w:val="1657"/>
        </w:trPr>
        <w:tc>
          <w:tcPr>
            <w:tcW w:w="1393" w:type="dxa"/>
            <w:shd w:val="clear" w:color="auto" w:fill="auto"/>
          </w:tcPr>
          <w:p w:rsidR="00087CEE" w:rsidP="00F21C9D" w14:paraId="60561178" w14:textId="77777777">
            <w:pPr>
              <w:rPr>
                <w:rFonts w:ascii="Arial Narrow" w:hAnsi="Arial Narrow" w:cstheme="majorBidi"/>
                <w:b/>
                <w:bCs/>
                <w:szCs w:val="22"/>
              </w:rPr>
            </w:pPr>
            <w:r w:rsidRPr="000E3D2C">
              <w:rPr>
                <w:rFonts w:ascii="Arial Narrow" w:hAnsi="Arial Narrow" w:cstheme="majorBidi"/>
                <w:b/>
                <w:szCs w:val="22"/>
              </w:rPr>
              <w:t xml:space="preserve">Comparison PHA </w:t>
            </w:r>
            <w:r>
              <w:rPr>
                <w:rFonts w:ascii="Arial Narrow" w:hAnsi="Arial Narrow" w:cstheme="majorBidi"/>
                <w:b/>
                <w:szCs w:val="22"/>
              </w:rPr>
              <w:t>I</w:t>
            </w:r>
            <w:r w:rsidRPr="000E3D2C">
              <w:rPr>
                <w:rFonts w:ascii="Arial Narrow" w:hAnsi="Arial Narrow" w:cstheme="majorBidi"/>
                <w:b/>
                <w:szCs w:val="22"/>
              </w:rPr>
              <w:t xml:space="preserve">nterviews </w:t>
            </w:r>
          </w:p>
          <w:p w:rsidR="00087CEE" w:rsidP="00F21C9D" w14:paraId="60E9171C" w14:textId="77777777">
            <w:pPr>
              <w:rPr>
                <w:rFonts w:ascii="Arial Narrow" w:hAnsi="Arial Narrow" w:cstheme="majorBidi"/>
                <w:b/>
                <w:bCs/>
                <w:szCs w:val="22"/>
              </w:rPr>
            </w:pPr>
          </w:p>
          <w:p w:rsidR="00087CEE" w:rsidRPr="000E3D2C" w:rsidP="00F21C9D" w14:paraId="69288A4D" w14:textId="77777777">
            <w:pPr>
              <w:rPr>
                <w:rFonts w:ascii="Arial Narrow" w:hAnsi="Arial Narrow" w:cstheme="majorBidi"/>
                <w:b/>
                <w:szCs w:val="22"/>
              </w:rPr>
            </w:pPr>
            <w:r w:rsidRPr="000E3D2C">
              <w:rPr>
                <w:rFonts w:ascii="Arial Narrow" w:hAnsi="Arial Narrow" w:cstheme="majorBidi"/>
                <w:b/>
                <w:szCs w:val="22"/>
              </w:rPr>
              <w:t>(</w:t>
            </w:r>
            <w:r>
              <w:rPr>
                <w:rFonts w:ascii="Arial Narrow" w:hAnsi="Arial Narrow" w:cstheme="majorBidi"/>
                <w:b/>
                <w:szCs w:val="22"/>
              </w:rPr>
              <w:t>I</w:t>
            </w:r>
            <w:r w:rsidRPr="000E3D2C">
              <w:rPr>
                <w:rFonts w:ascii="Arial Narrow" w:hAnsi="Arial Narrow" w:cstheme="majorBidi"/>
                <w:b/>
                <w:szCs w:val="22"/>
              </w:rPr>
              <w:t>n-person)</w:t>
            </w:r>
          </w:p>
        </w:tc>
        <w:tc>
          <w:tcPr>
            <w:tcW w:w="8502" w:type="dxa"/>
          </w:tcPr>
          <w:p w:rsidR="00087CEE" w:rsidRPr="000E3D2C" w:rsidP="00087CEE" w14:paraId="086477BC" w14:textId="4884719D">
            <w:pPr>
              <w:rPr>
                <w:rFonts w:ascii="Arial Narrow" w:hAnsi="Arial Narrow" w:cstheme="majorBidi"/>
                <w:szCs w:val="22"/>
              </w:rPr>
            </w:pPr>
            <w:r w:rsidRPr="0089403A">
              <w:rPr>
                <w:rFonts w:ascii="Arial Narrow" w:hAnsi="Arial Narrow" w:cstheme="majorBidi"/>
                <w:b/>
                <w:i/>
                <w:szCs w:val="22"/>
              </w:rPr>
              <w:t>Respondents:</w:t>
            </w:r>
            <w:r w:rsidRPr="000E3D2C">
              <w:rPr>
                <w:rFonts w:ascii="Arial Narrow" w:hAnsi="Arial Narrow" w:cstheme="majorBidi"/>
                <w:szCs w:val="22"/>
              </w:rPr>
              <w:t xml:space="preserve"> Key HCV program staff (Executive Director, HCV Director, etc.) at 21 comparison PHAs. Three to five staff per PHA. </w:t>
            </w:r>
          </w:p>
          <w:p w:rsidR="00087CEE" w:rsidRPr="0089403A" w:rsidP="00F21C9D" w14:paraId="1152262A" w14:textId="77777777">
            <w:pPr>
              <w:rPr>
                <w:rFonts w:ascii="Arial Narrow" w:hAnsi="Arial Narrow" w:cstheme="majorBidi"/>
                <w:b/>
                <w:i/>
                <w:szCs w:val="22"/>
              </w:rPr>
            </w:pPr>
            <w:r w:rsidRPr="0089403A">
              <w:rPr>
                <w:rFonts w:ascii="Arial Narrow" w:hAnsi="Arial Narrow" w:cstheme="majorBidi"/>
                <w:b/>
                <w:i/>
                <w:szCs w:val="22"/>
              </w:rPr>
              <w:t xml:space="preserve">Topics: </w:t>
            </w:r>
          </w:p>
          <w:p w:rsidR="00087CEE" w:rsidRPr="00244882" w:rsidP="005D051A" w14:paraId="178EDBF2" w14:textId="77777777">
            <w:pPr>
              <w:pStyle w:val="ListParagraph"/>
              <w:numPr>
                <w:ilvl w:val="0"/>
                <w:numId w:val="17"/>
              </w:numPr>
              <w:spacing w:after="120" w:line="240" w:lineRule="auto"/>
              <w:jc w:val="both"/>
              <w:rPr>
                <w:rFonts w:ascii="Arial Narrow" w:hAnsi="Arial Narrow" w:cstheme="majorBidi"/>
              </w:rPr>
            </w:pPr>
            <w:r w:rsidRPr="00244882">
              <w:rPr>
                <w:rFonts w:ascii="Arial Narrow" w:hAnsi="Arial Narrow" w:cstheme="majorBidi"/>
              </w:rPr>
              <w:t>Current rental market context and conditions</w:t>
            </w:r>
          </w:p>
          <w:p w:rsidR="00087CEE" w:rsidRPr="00244882" w:rsidP="005D051A" w14:paraId="5E989FB7" w14:textId="77777777">
            <w:pPr>
              <w:pStyle w:val="ListParagraph"/>
              <w:numPr>
                <w:ilvl w:val="0"/>
                <w:numId w:val="17"/>
              </w:numPr>
              <w:spacing w:after="120" w:line="240" w:lineRule="auto"/>
              <w:jc w:val="both"/>
              <w:rPr>
                <w:rFonts w:ascii="Arial Narrow" w:hAnsi="Arial Narrow" w:cstheme="majorBidi"/>
              </w:rPr>
            </w:pPr>
            <w:r w:rsidRPr="00244882">
              <w:rPr>
                <w:rFonts w:ascii="Arial Narrow" w:hAnsi="Arial Narrow" w:cstheme="majorBidi"/>
              </w:rPr>
              <w:t xml:space="preserve">Current program performance </w:t>
            </w:r>
            <w:r>
              <w:rPr>
                <w:rFonts w:ascii="Arial Narrow" w:hAnsi="Arial Narrow" w:cstheme="majorBidi"/>
              </w:rPr>
              <w:t>(including success rates)</w:t>
            </w:r>
          </w:p>
          <w:p w:rsidR="00087CEE" w:rsidRPr="00244882" w:rsidP="005D051A" w14:paraId="2034104A" w14:textId="77777777">
            <w:pPr>
              <w:pStyle w:val="ListParagraph"/>
              <w:numPr>
                <w:ilvl w:val="0"/>
                <w:numId w:val="17"/>
              </w:numPr>
              <w:spacing w:after="120" w:line="240" w:lineRule="auto"/>
              <w:jc w:val="both"/>
              <w:rPr>
                <w:rFonts w:ascii="Arial Narrow" w:hAnsi="Arial Narrow" w:cstheme="majorBidi"/>
              </w:rPr>
            </w:pPr>
            <w:r w:rsidRPr="00244882">
              <w:rPr>
                <w:rFonts w:ascii="Arial Narrow" w:hAnsi="Arial Narrow" w:cstheme="majorBidi"/>
              </w:rPr>
              <w:t>Staffing and program implementation capacity</w:t>
            </w:r>
          </w:p>
          <w:p w:rsidR="00087CEE" w:rsidRPr="00244882" w:rsidP="005D051A" w14:paraId="0861B470" w14:textId="77777777">
            <w:pPr>
              <w:pStyle w:val="ListParagraph"/>
              <w:numPr>
                <w:ilvl w:val="0"/>
                <w:numId w:val="17"/>
              </w:numPr>
              <w:spacing w:after="120" w:line="240" w:lineRule="auto"/>
              <w:jc w:val="both"/>
              <w:rPr>
                <w:rFonts w:ascii="Arial Narrow" w:hAnsi="Arial Narrow" w:cstheme="majorBidi"/>
              </w:rPr>
            </w:pPr>
            <w:r w:rsidRPr="00244882">
              <w:rPr>
                <w:rFonts w:ascii="Arial Narrow" w:hAnsi="Arial Narrow" w:cstheme="majorBidi"/>
              </w:rPr>
              <w:t>Relationship with landlords and perception of PHA among landlords</w:t>
            </w:r>
          </w:p>
          <w:p w:rsidR="00087CEE" w:rsidRPr="00244882" w:rsidP="005D051A" w14:paraId="2753E017" w14:textId="77777777">
            <w:pPr>
              <w:pStyle w:val="ListParagraph"/>
              <w:numPr>
                <w:ilvl w:val="0"/>
                <w:numId w:val="17"/>
              </w:numPr>
              <w:spacing w:after="120" w:line="240" w:lineRule="auto"/>
              <w:jc w:val="both"/>
              <w:rPr>
                <w:rFonts w:ascii="Arial Narrow" w:hAnsi="Arial Narrow" w:cstheme="majorBidi"/>
              </w:rPr>
            </w:pPr>
            <w:r w:rsidRPr="00244882">
              <w:rPr>
                <w:rFonts w:ascii="Arial Narrow" w:hAnsi="Arial Narrow" w:cstheme="majorBidi"/>
              </w:rPr>
              <w:t>PHA efforts to promote landlord participation and improve overall program performance</w:t>
            </w:r>
          </w:p>
          <w:p w:rsidR="00087CEE" w:rsidRPr="00244882" w:rsidP="005D051A" w14:paraId="57C89D0F" w14:textId="77777777">
            <w:pPr>
              <w:pStyle w:val="ListParagraph"/>
              <w:numPr>
                <w:ilvl w:val="0"/>
                <w:numId w:val="17"/>
              </w:numPr>
              <w:spacing w:after="120" w:line="240" w:lineRule="auto"/>
              <w:jc w:val="both"/>
              <w:rPr>
                <w:rFonts w:ascii="Arial Narrow" w:hAnsi="Arial Narrow" w:cstheme="majorBidi"/>
              </w:rPr>
            </w:pPr>
            <w:r w:rsidRPr="00244882">
              <w:rPr>
                <w:rFonts w:ascii="Arial Narrow" w:hAnsi="Arial Narrow" w:cstheme="majorBidi"/>
              </w:rPr>
              <w:t>Comparable incentives offered without MTW authority</w:t>
            </w:r>
          </w:p>
          <w:p w:rsidR="00087CEE" w:rsidRPr="00087CEE" w:rsidP="005D051A" w14:paraId="59431C37" w14:textId="3532D397">
            <w:pPr>
              <w:pStyle w:val="ListParagraph"/>
              <w:numPr>
                <w:ilvl w:val="0"/>
                <w:numId w:val="17"/>
              </w:numPr>
              <w:spacing w:after="120" w:line="240" w:lineRule="auto"/>
              <w:jc w:val="both"/>
              <w:rPr>
                <w:rFonts w:ascii="Arial Narrow" w:hAnsi="Arial Narrow" w:cstheme="majorBidi"/>
              </w:rPr>
            </w:pPr>
            <w:r w:rsidRPr="00244882">
              <w:rPr>
                <w:rFonts w:ascii="Arial Narrow" w:hAnsi="Arial Narrow" w:cstheme="majorBidi"/>
              </w:rPr>
              <w:t>Perceived impacts of incentives on program performance</w:t>
            </w:r>
          </w:p>
          <w:p w:rsidR="00087CEE" w:rsidRPr="000E3D2C" w:rsidP="00087CEE" w14:paraId="1CC710FC" w14:textId="0AB306A4">
            <w:pPr>
              <w:rPr>
                <w:rFonts w:ascii="Arial Narrow" w:hAnsi="Arial Narrow" w:cstheme="majorBidi"/>
                <w:szCs w:val="22"/>
              </w:rPr>
            </w:pPr>
            <w:r w:rsidRPr="0089403A">
              <w:rPr>
                <w:rFonts w:ascii="Arial Narrow" w:hAnsi="Arial Narrow" w:cstheme="majorBidi"/>
                <w:b/>
                <w:i/>
                <w:szCs w:val="22"/>
              </w:rPr>
              <w:t>Justification:</w:t>
            </w:r>
            <w:r w:rsidRPr="000E3D2C">
              <w:rPr>
                <w:rFonts w:ascii="Arial Narrow" w:hAnsi="Arial Narrow" w:cstheme="majorBidi"/>
                <w:szCs w:val="22"/>
              </w:rPr>
              <w:t xml:space="preserve"> Even without MTW authority, many PHAs have implemented new programs or policies designed to attract or retain landlords in the HCV program. Interviews with comparison PHAs will provide insight into the “usual practice” of PHAs absent MTW authority. The information is necessary for addressing the process study questions and will also provide context for the impact and cost studies. Understanding the characteristics of programs in the comparison group is critical to enabling the impact study team to assess why they may or may not see any differences between the treatment and comparison groups. </w:t>
            </w:r>
          </w:p>
        </w:tc>
      </w:tr>
      <w:tr w14:paraId="498105D5" w14:textId="77777777" w:rsidTr="00F21C9D">
        <w:tblPrEx>
          <w:tblW w:w="9895" w:type="dxa"/>
          <w:tblLayout w:type="fixed"/>
          <w:tblCellMar>
            <w:left w:w="43" w:type="dxa"/>
            <w:right w:w="43" w:type="dxa"/>
          </w:tblCellMar>
          <w:tblLook w:val="04A0"/>
        </w:tblPrEx>
        <w:trPr>
          <w:cantSplit/>
          <w:trHeight w:val="1657"/>
        </w:trPr>
        <w:tc>
          <w:tcPr>
            <w:tcW w:w="1393" w:type="dxa"/>
            <w:shd w:val="clear" w:color="auto" w:fill="auto"/>
          </w:tcPr>
          <w:p w:rsidR="00087CEE" w:rsidRPr="00421937" w:rsidP="00F21C9D" w14:paraId="79F1B9CC" w14:textId="77777777">
            <w:pPr>
              <w:rPr>
                <w:rFonts w:ascii="Arial Narrow" w:hAnsi="Arial Narrow" w:cstheme="majorBidi"/>
                <w:b/>
                <w:bCs/>
                <w:szCs w:val="22"/>
              </w:rPr>
            </w:pPr>
            <w:r w:rsidRPr="00421937">
              <w:rPr>
                <w:rFonts w:ascii="Arial Narrow" w:hAnsi="Arial Narrow" w:cstheme="majorBidi"/>
                <w:b/>
                <w:szCs w:val="22"/>
              </w:rPr>
              <w:t xml:space="preserve">Treatment PHA </w:t>
            </w:r>
            <w:r>
              <w:rPr>
                <w:rFonts w:ascii="Arial Narrow" w:hAnsi="Arial Narrow" w:cstheme="majorBidi"/>
                <w:b/>
                <w:szCs w:val="22"/>
              </w:rPr>
              <w:t>S</w:t>
            </w:r>
            <w:r w:rsidRPr="00421937">
              <w:rPr>
                <w:rFonts w:ascii="Arial Narrow" w:hAnsi="Arial Narrow" w:cstheme="majorBidi"/>
                <w:b/>
                <w:szCs w:val="22"/>
              </w:rPr>
              <w:t xml:space="preserve">urvey </w:t>
            </w:r>
            <w:r w:rsidRPr="00421937">
              <w:rPr>
                <w:rFonts w:ascii="Arial Narrow" w:hAnsi="Arial Narrow" w:cstheme="majorBidi"/>
                <w:b/>
                <w:bCs/>
                <w:szCs w:val="22"/>
              </w:rPr>
              <w:t>- Baseline</w:t>
            </w:r>
          </w:p>
          <w:p w:rsidR="00087CEE" w:rsidRPr="00421937" w:rsidP="00F21C9D" w14:paraId="4971B2EE" w14:textId="77777777">
            <w:pPr>
              <w:rPr>
                <w:rFonts w:ascii="Arial Narrow" w:hAnsi="Arial Narrow" w:cstheme="majorBidi"/>
                <w:b/>
                <w:bCs/>
                <w:szCs w:val="22"/>
              </w:rPr>
            </w:pPr>
          </w:p>
          <w:p w:rsidR="00087CEE" w:rsidRPr="000E3D2C" w:rsidP="00F21C9D" w14:paraId="29EA3CFD" w14:textId="77777777">
            <w:pPr>
              <w:rPr>
                <w:rFonts w:ascii="Arial Narrow" w:hAnsi="Arial Narrow" w:cstheme="majorBidi"/>
                <w:b/>
                <w:szCs w:val="22"/>
              </w:rPr>
            </w:pPr>
            <w:r w:rsidRPr="00421937">
              <w:rPr>
                <w:rFonts w:ascii="Arial Narrow" w:hAnsi="Arial Narrow" w:cstheme="majorBidi"/>
                <w:b/>
                <w:bCs/>
                <w:szCs w:val="22"/>
              </w:rPr>
              <w:t>(</w:t>
            </w:r>
            <w:r>
              <w:rPr>
                <w:rFonts w:ascii="Arial Narrow" w:hAnsi="Arial Narrow" w:cstheme="majorBidi"/>
                <w:b/>
                <w:szCs w:val="22"/>
              </w:rPr>
              <w:t>Internet</w:t>
            </w:r>
            <w:r w:rsidRPr="00421937">
              <w:rPr>
                <w:rFonts w:ascii="Arial Narrow" w:hAnsi="Arial Narrow" w:cstheme="majorBidi"/>
                <w:b/>
                <w:szCs w:val="22"/>
              </w:rPr>
              <w:t>)</w:t>
            </w:r>
          </w:p>
        </w:tc>
        <w:tc>
          <w:tcPr>
            <w:tcW w:w="8502" w:type="dxa"/>
          </w:tcPr>
          <w:p w:rsidR="00087CEE" w:rsidRPr="000E3D2C" w:rsidP="00087CEE" w14:paraId="1D3DD2E7" w14:textId="22275652">
            <w:pPr>
              <w:rPr>
                <w:rFonts w:ascii="Arial Narrow" w:hAnsi="Arial Narrow" w:cstheme="majorBidi"/>
                <w:szCs w:val="22"/>
              </w:rPr>
            </w:pPr>
            <w:r w:rsidRPr="0089403A">
              <w:rPr>
                <w:rFonts w:ascii="Arial Narrow" w:hAnsi="Arial Narrow" w:cstheme="majorBidi"/>
                <w:b/>
                <w:i/>
                <w:szCs w:val="22"/>
              </w:rPr>
              <w:t>Respondents:</w:t>
            </w:r>
            <w:r w:rsidRPr="000E3D2C">
              <w:rPr>
                <w:rFonts w:ascii="Arial Narrow" w:hAnsi="Arial Narrow" w:cstheme="majorBidi"/>
                <w:szCs w:val="22"/>
              </w:rPr>
              <w:t xml:space="preserve"> HCV Director or equivalent at 2</w:t>
            </w:r>
            <w:r w:rsidR="00347081">
              <w:rPr>
                <w:rFonts w:ascii="Arial Narrow" w:hAnsi="Arial Narrow" w:cstheme="majorBidi"/>
                <w:szCs w:val="22"/>
              </w:rPr>
              <w:t>8</w:t>
            </w:r>
            <w:r w:rsidRPr="000E3D2C">
              <w:rPr>
                <w:rFonts w:ascii="Arial Narrow" w:hAnsi="Arial Narrow" w:cstheme="majorBidi"/>
                <w:szCs w:val="22"/>
              </w:rPr>
              <w:t xml:space="preserve"> treatment PHAs.</w:t>
            </w:r>
          </w:p>
          <w:p w:rsidR="00087CEE" w:rsidRPr="0089403A" w:rsidP="00F21C9D" w14:paraId="67D0B2D8" w14:textId="77777777">
            <w:pPr>
              <w:rPr>
                <w:rFonts w:ascii="Arial Narrow" w:hAnsi="Arial Narrow" w:cstheme="majorBidi"/>
                <w:b/>
                <w:i/>
                <w:szCs w:val="22"/>
              </w:rPr>
            </w:pPr>
            <w:r w:rsidRPr="0089403A">
              <w:rPr>
                <w:rFonts w:ascii="Arial Narrow" w:hAnsi="Arial Narrow" w:cstheme="majorBidi"/>
                <w:b/>
                <w:i/>
                <w:szCs w:val="22"/>
              </w:rPr>
              <w:t>Topics:</w:t>
            </w:r>
          </w:p>
          <w:p w:rsidR="00087CEE" w:rsidRPr="00244882" w:rsidP="005D051A" w14:paraId="4C69FAE2" w14:textId="77777777">
            <w:pPr>
              <w:pStyle w:val="ListParagraph"/>
              <w:numPr>
                <w:ilvl w:val="0"/>
                <w:numId w:val="19"/>
              </w:numPr>
              <w:spacing w:after="120" w:line="240" w:lineRule="auto"/>
              <w:jc w:val="both"/>
              <w:rPr>
                <w:rFonts w:ascii="Arial Narrow" w:hAnsi="Arial Narrow" w:cstheme="majorBidi"/>
              </w:rPr>
            </w:pPr>
            <w:r w:rsidRPr="00244882">
              <w:rPr>
                <w:rFonts w:ascii="Arial Narrow" w:hAnsi="Arial Narrow" w:cstheme="majorBidi"/>
              </w:rPr>
              <w:t>Confirmation of current success rate</w:t>
            </w:r>
          </w:p>
          <w:p w:rsidR="00087CEE" w:rsidRPr="00244882" w:rsidP="005D051A" w14:paraId="18CA97F4" w14:textId="77777777">
            <w:pPr>
              <w:pStyle w:val="ListParagraph"/>
              <w:numPr>
                <w:ilvl w:val="0"/>
                <w:numId w:val="19"/>
              </w:numPr>
              <w:spacing w:after="120" w:line="240" w:lineRule="auto"/>
              <w:jc w:val="both"/>
              <w:rPr>
                <w:rFonts w:ascii="Arial Narrow" w:hAnsi="Arial Narrow" w:cstheme="majorBidi"/>
              </w:rPr>
            </w:pPr>
            <w:r w:rsidRPr="00244882">
              <w:rPr>
                <w:rFonts w:ascii="Arial Narrow" w:hAnsi="Arial Narrow" w:cstheme="majorBidi"/>
              </w:rPr>
              <w:t>Number of units available to voucher tenants</w:t>
            </w:r>
          </w:p>
          <w:p w:rsidR="00087CEE" w:rsidRPr="00244882" w:rsidP="005D051A" w14:paraId="2F343C0A" w14:textId="77777777">
            <w:pPr>
              <w:pStyle w:val="ListParagraph"/>
              <w:numPr>
                <w:ilvl w:val="0"/>
                <w:numId w:val="19"/>
              </w:numPr>
              <w:spacing w:after="120" w:line="240" w:lineRule="auto"/>
              <w:jc w:val="both"/>
              <w:rPr>
                <w:rFonts w:ascii="Arial Narrow" w:hAnsi="Arial Narrow" w:cstheme="majorBidi"/>
              </w:rPr>
            </w:pPr>
            <w:r w:rsidRPr="00244882">
              <w:rPr>
                <w:rFonts w:ascii="Arial Narrow" w:hAnsi="Arial Narrow" w:cstheme="majorBidi"/>
              </w:rPr>
              <w:t>C</w:t>
            </w:r>
            <w:r>
              <w:rPr>
                <w:rFonts w:ascii="Arial Narrow" w:hAnsi="Arial Narrow" w:cstheme="majorBidi"/>
              </w:rPr>
              <w:t>urrent c</w:t>
            </w:r>
            <w:r w:rsidRPr="00244882">
              <w:rPr>
                <w:rFonts w:ascii="Arial Narrow" w:hAnsi="Arial Narrow" w:cstheme="majorBidi"/>
              </w:rPr>
              <w:t>hallenges in recruiting or retaining landlords</w:t>
            </w:r>
          </w:p>
          <w:p w:rsidR="00087CEE" w:rsidRPr="00087CEE" w:rsidP="005D051A" w14:paraId="7447CB39" w14:textId="6EFD12DA">
            <w:pPr>
              <w:pStyle w:val="ListParagraph"/>
              <w:numPr>
                <w:ilvl w:val="0"/>
                <w:numId w:val="19"/>
              </w:numPr>
              <w:spacing w:after="120" w:line="240" w:lineRule="auto"/>
              <w:jc w:val="both"/>
              <w:rPr>
                <w:rFonts w:ascii="Arial Narrow" w:hAnsi="Arial Narrow" w:cstheme="majorBidi"/>
              </w:rPr>
            </w:pPr>
            <w:r>
              <w:rPr>
                <w:rFonts w:ascii="Arial Narrow" w:hAnsi="Arial Narrow" w:cstheme="majorBidi"/>
              </w:rPr>
              <w:t>Planned MTW incentives</w:t>
            </w:r>
            <w:r w:rsidRPr="00244882">
              <w:rPr>
                <w:rFonts w:ascii="Arial Narrow" w:hAnsi="Arial Narrow" w:cstheme="majorBidi"/>
              </w:rPr>
              <w:t xml:space="preserve"> </w:t>
            </w:r>
            <w:r>
              <w:rPr>
                <w:rFonts w:ascii="Arial Narrow" w:hAnsi="Arial Narrow" w:cstheme="majorBidi"/>
              </w:rPr>
              <w:t>or</w:t>
            </w:r>
            <w:r w:rsidRPr="00244882">
              <w:rPr>
                <w:rFonts w:ascii="Arial Narrow" w:hAnsi="Arial Narrow" w:cstheme="majorBidi"/>
              </w:rPr>
              <w:t xml:space="preserve"> other efforts to increase landlord participation</w:t>
            </w:r>
          </w:p>
          <w:p w:rsidR="00087CEE" w:rsidRPr="000E3D2C" w:rsidP="00087CEE" w14:paraId="63AB9BB3" w14:textId="7DB02335">
            <w:pPr>
              <w:rPr>
                <w:rFonts w:ascii="Arial Narrow" w:hAnsi="Arial Narrow" w:cstheme="majorBidi"/>
                <w:szCs w:val="22"/>
              </w:rPr>
            </w:pPr>
            <w:r w:rsidRPr="0089403A">
              <w:rPr>
                <w:rFonts w:ascii="Arial Narrow" w:hAnsi="Arial Narrow" w:cstheme="majorBidi"/>
                <w:b/>
                <w:i/>
                <w:szCs w:val="22"/>
              </w:rPr>
              <w:t>Justification:</w:t>
            </w:r>
            <w:r w:rsidRPr="000E3D2C">
              <w:rPr>
                <w:rFonts w:ascii="Arial Narrow" w:hAnsi="Arial Narrow" w:cstheme="majorBidi"/>
                <w:szCs w:val="22"/>
              </w:rPr>
              <w:t xml:space="preserve"> The main purpose of the baseline survey of treatment PHAs is to capture information on incentives and program performance that is not otherwise available from administrative sources, including the number of units available to voucher holders (i.e. advertised in PHA-managed listings) and the timing of planned incentives. The survey will </w:t>
            </w:r>
            <w:r>
              <w:rPr>
                <w:rFonts w:ascii="Arial Narrow" w:hAnsi="Arial Narrow" w:cstheme="majorBidi"/>
                <w:szCs w:val="22"/>
              </w:rPr>
              <w:t xml:space="preserve">also </w:t>
            </w:r>
            <w:r w:rsidRPr="000E3D2C">
              <w:rPr>
                <w:rFonts w:ascii="Arial Narrow" w:hAnsi="Arial Narrow" w:cstheme="majorBidi"/>
                <w:szCs w:val="22"/>
              </w:rPr>
              <w:t>gather information on PHA relationships with landlords and any efforts to increase landlord participation, including any incentives that could be comparable to those offered under MTW. This information will inform the cost and impact studies</w:t>
            </w:r>
            <w:r>
              <w:rPr>
                <w:rFonts w:ascii="Arial Narrow" w:hAnsi="Arial Narrow" w:cstheme="majorBidi"/>
                <w:szCs w:val="22"/>
              </w:rPr>
              <w:t>,</w:t>
            </w:r>
            <w:r w:rsidRPr="000E3D2C">
              <w:rPr>
                <w:rFonts w:ascii="Arial Narrow" w:hAnsi="Arial Narrow" w:cstheme="majorBidi"/>
                <w:szCs w:val="22"/>
              </w:rPr>
              <w:t xml:space="preserve"> allowing for baseline information for the cost study and providing contextual information for sampling frames for the impact study. </w:t>
            </w:r>
            <w:r w:rsidRPr="008E5000">
              <w:rPr>
                <w:rFonts w:ascii="Arial Narrow" w:hAnsi="Arial Narrow" w:cstheme="majorBidi"/>
                <w:szCs w:val="22"/>
              </w:rPr>
              <w:t xml:space="preserve">The survey will be fielded prior to site visits, so </w:t>
            </w:r>
            <w:r>
              <w:rPr>
                <w:rFonts w:ascii="Arial Narrow" w:hAnsi="Arial Narrow" w:cstheme="majorBidi"/>
                <w:szCs w:val="22"/>
              </w:rPr>
              <w:t>information about incentives will</w:t>
            </w:r>
            <w:r w:rsidRPr="008E5000">
              <w:rPr>
                <w:rFonts w:ascii="Arial Narrow" w:hAnsi="Arial Narrow" w:cstheme="majorBidi"/>
                <w:szCs w:val="22"/>
              </w:rPr>
              <w:t xml:space="preserve"> also be used to </w:t>
            </w:r>
            <w:r>
              <w:rPr>
                <w:rFonts w:ascii="Arial Narrow" w:hAnsi="Arial Narrow" w:cstheme="majorBidi"/>
                <w:szCs w:val="22"/>
              </w:rPr>
              <w:t>tailor the interviews with PHA staff.</w:t>
            </w:r>
          </w:p>
        </w:tc>
      </w:tr>
      <w:tr w14:paraId="4B2A1453" w14:textId="77777777" w:rsidTr="00087CEE">
        <w:tblPrEx>
          <w:tblW w:w="9895" w:type="dxa"/>
          <w:tblLayout w:type="fixed"/>
          <w:tblCellMar>
            <w:left w:w="43" w:type="dxa"/>
            <w:right w:w="43" w:type="dxa"/>
          </w:tblCellMar>
          <w:tblLook w:val="04A0"/>
        </w:tblPrEx>
        <w:trPr>
          <w:cantSplit/>
          <w:trHeight w:val="4247"/>
        </w:trPr>
        <w:tc>
          <w:tcPr>
            <w:tcW w:w="1393" w:type="dxa"/>
            <w:shd w:val="clear" w:color="auto" w:fill="auto"/>
          </w:tcPr>
          <w:p w:rsidR="00087CEE" w:rsidP="00F21C9D" w14:paraId="75C99F95" w14:textId="77777777">
            <w:pPr>
              <w:rPr>
                <w:rFonts w:ascii="Arial Narrow" w:hAnsi="Arial Narrow" w:cstheme="majorBidi"/>
                <w:b/>
                <w:bCs/>
                <w:szCs w:val="22"/>
              </w:rPr>
            </w:pPr>
            <w:r w:rsidRPr="000E3D2C">
              <w:rPr>
                <w:rFonts w:ascii="Arial Narrow" w:hAnsi="Arial Narrow" w:cstheme="majorBidi"/>
                <w:b/>
                <w:szCs w:val="22"/>
              </w:rPr>
              <w:t xml:space="preserve">Treatment PHA </w:t>
            </w:r>
            <w:r>
              <w:rPr>
                <w:rFonts w:ascii="Arial Narrow" w:hAnsi="Arial Narrow" w:cstheme="majorBidi"/>
                <w:b/>
                <w:szCs w:val="22"/>
              </w:rPr>
              <w:t>S</w:t>
            </w:r>
            <w:r w:rsidRPr="000E3D2C">
              <w:rPr>
                <w:rFonts w:ascii="Arial Narrow" w:hAnsi="Arial Narrow" w:cstheme="majorBidi"/>
                <w:b/>
                <w:szCs w:val="22"/>
              </w:rPr>
              <w:t xml:space="preserve">urvey </w:t>
            </w:r>
            <w:r>
              <w:rPr>
                <w:rFonts w:ascii="Arial Narrow" w:hAnsi="Arial Narrow" w:cstheme="majorBidi"/>
                <w:b/>
                <w:bCs/>
                <w:szCs w:val="22"/>
              </w:rPr>
              <w:t>– Follow-up</w:t>
            </w:r>
          </w:p>
          <w:p w:rsidR="00087CEE" w:rsidP="00F21C9D" w14:paraId="52FC03D9" w14:textId="77777777">
            <w:pPr>
              <w:rPr>
                <w:rFonts w:ascii="Arial Narrow" w:hAnsi="Arial Narrow" w:cstheme="majorBidi"/>
                <w:b/>
                <w:bCs/>
                <w:szCs w:val="22"/>
              </w:rPr>
            </w:pPr>
          </w:p>
          <w:p w:rsidR="00087CEE" w:rsidRPr="000E3D2C" w:rsidP="00F21C9D" w14:paraId="292C8B41" w14:textId="77777777">
            <w:pPr>
              <w:rPr>
                <w:rFonts w:ascii="Arial Narrow" w:hAnsi="Arial Narrow" w:cstheme="majorBidi"/>
                <w:b/>
                <w:szCs w:val="22"/>
              </w:rPr>
            </w:pPr>
            <w:r>
              <w:rPr>
                <w:rFonts w:ascii="Arial Narrow" w:hAnsi="Arial Narrow" w:cstheme="majorBidi"/>
                <w:b/>
                <w:bCs/>
                <w:szCs w:val="22"/>
              </w:rPr>
              <w:t>(</w:t>
            </w:r>
            <w:r>
              <w:rPr>
                <w:rFonts w:ascii="Arial Narrow" w:hAnsi="Arial Narrow" w:cstheme="majorBidi"/>
                <w:b/>
                <w:szCs w:val="22"/>
              </w:rPr>
              <w:t>Internet)</w:t>
            </w:r>
          </w:p>
        </w:tc>
        <w:tc>
          <w:tcPr>
            <w:tcW w:w="8502" w:type="dxa"/>
          </w:tcPr>
          <w:p w:rsidR="00087CEE" w:rsidRPr="00244882" w:rsidP="00087CEE" w14:paraId="33280D6F" w14:textId="5A275D52">
            <w:pPr>
              <w:rPr>
                <w:rFonts w:ascii="Arial Narrow" w:hAnsi="Arial Narrow" w:cstheme="majorBidi"/>
                <w:szCs w:val="22"/>
              </w:rPr>
            </w:pPr>
            <w:r w:rsidRPr="00244882">
              <w:rPr>
                <w:rFonts w:ascii="Arial Narrow" w:hAnsi="Arial Narrow" w:cstheme="majorBidi"/>
                <w:b/>
                <w:i/>
                <w:szCs w:val="22"/>
              </w:rPr>
              <w:t>Respondents:</w:t>
            </w:r>
            <w:r w:rsidRPr="00244882">
              <w:rPr>
                <w:rFonts w:ascii="Arial Narrow" w:hAnsi="Arial Narrow" w:cstheme="majorBidi"/>
                <w:szCs w:val="22"/>
              </w:rPr>
              <w:t xml:space="preserve"> HCV Director or equivalent at 2</w:t>
            </w:r>
            <w:r w:rsidR="00347081">
              <w:rPr>
                <w:rFonts w:ascii="Arial Narrow" w:hAnsi="Arial Narrow" w:cstheme="majorBidi"/>
                <w:szCs w:val="22"/>
              </w:rPr>
              <w:t>8</w:t>
            </w:r>
            <w:r w:rsidRPr="00244882">
              <w:rPr>
                <w:rFonts w:ascii="Arial Narrow" w:hAnsi="Arial Narrow" w:cstheme="majorBidi"/>
                <w:szCs w:val="22"/>
              </w:rPr>
              <w:t xml:space="preserve"> treatment PHAs.</w:t>
            </w:r>
          </w:p>
          <w:p w:rsidR="00087CEE" w:rsidRPr="00244882" w:rsidP="00F21C9D" w14:paraId="2298225C" w14:textId="77777777">
            <w:pPr>
              <w:rPr>
                <w:rFonts w:ascii="Arial Narrow" w:hAnsi="Arial Narrow" w:cstheme="majorBidi"/>
                <w:b/>
                <w:i/>
                <w:szCs w:val="22"/>
              </w:rPr>
            </w:pPr>
            <w:r w:rsidRPr="00244882">
              <w:rPr>
                <w:rFonts w:ascii="Arial Narrow" w:hAnsi="Arial Narrow" w:cstheme="majorBidi"/>
                <w:b/>
                <w:i/>
                <w:szCs w:val="22"/>
              </w:rPr>
              <w:t>Topics:</w:t>
            </w:r>
          </w:p>
          <w:p w:rsidR="00087CEE" w:rsidRPr="00244882" w:rsidP="005D051A" w14:paraId="416ADE64" w14:textId="77777777">
            <w:pPr>
              <w:pStyle w:val="ListParagraph"/>
              <w:numPr>
                <w:ilvl w:val="0"/>
                <w:numId w:val="18"/>
              </w:numPr>
              <w:spacing w:after="120" w:line="240" w:lineRule="auto"/>
              <w:jc w:val="both"/>
              <w:rPr>
                <w:rFonts w:ascii="Arial Narrow" w:hAnsi="Arial Narrow" w:cstheme="majorBidi"/>
              </w:rPr>
            </w:pPr>
            <w:r w:rsidRPr="00244882">
              <w:rPr>
                <w:rFonts w:ascii="Arial Narrow" w:hAnsi="Arial Narrow" w:cstheme="majorBidi"/>
              </w:rPr>
              <w:t>Confirmation of success rate</w:t>
            </w:r>
            <w:r>
              <w:rPr>
                <w:rFonts w:ascii="Arial Narrow" w:hAnsi="Arial Narrow" w:cstheme="majorBidi"/>
              </w:rPr>
              <w:t>s</w:t>
            </w:r>
          </w:p>
          <w:p w:rsidR="00087CEE" w:rsidRPr="00244882" w:rsidP="005D051A" w14:paraId="3BE27A4B" w14:textId="77777777">
            <w:pPr>
              <w:pStyle w:val="ListParagraph"/>
              <w:numPr>
                <w:ilvl w:val="0"/>
                <w:numId w:val="18"/>
              </w:numPr>
              <w:spacing w:after="120" w:line="240" w:lineRule="auto"/>
              <w:jc w:val="both"/>
              <w:rPr>
                <w:rFonts w:ascii="Arial Narrow" w:hAnsi="Arial Narrow" w:cstheme="majorBidi"/>
              </w:rPr>
            </w:pPr>
            <w:r w:rsidRPr="00244882">
              <w:rPr>
                <w:rFonts w:ascii="Arial Narrow" w:hAnsi="Arial Narrow" w:cstheme="majorBidi"/>
              </w:rPr>
              <w:t>Number of units available to voucher tenants</w:t>
            </w:r>
          </w:p>
          <w:p w:rsidR="00087CEE" w:rsidP="005D051A" w14:paraId="7A7A7286" w14:textId="77777777">
            <w:pPr>
              <w:pStyle w:val="ListParagraph"/>
              <w:numPr>
                <w:ilvl w:val="0"/>
                <w:numId w:val="18"/>
              </w:numPr>
              <w:spacing w:after="120" w:line="240" w:lineRule="auto"/>
              <w:jc w:val="both"/>
              <w:rPr>
                <w:rFonts w:ascii="Arial Narrow" w:hAnsi="Arial Narrow" w:cstheme="majorBidi"/>
              </w:rPr>
            </w:pPr>
            <w:r w:rsidRPr="00244882">
              <w:rPr>
                <w:rFonts w:ascii="Arial Narrow" w:hAnsi="Arial Narrow" w:cstheme="majorBidi"/>
              </w:rPr>
              <w:t>Cost data not otherwise collected in administrative data</w:t>
            </w:r>
          </w:p>
          <w:p w:rsidR="00087CEE" w:rsidRPr="00087CEE" w:rsidP="005D051A" w14:paraId="7B986B5E" w14:textId="204084EB">
            <w:pPr>
              <w:pStyle w:val="ListParagraph"/>
              <w:numPr>
                <w:ilvl w:val="0"/>
                <w:numId w:val="18"/>
              </w:numPr>
              <w:spacing w:after="120" w:line="240" w:lineRule="auto"/>
              <w:jc w:val="both"/>
              <w:rPr>
                <w:rFonts w:ascii="Arial Narrow" w:hAnsi="Arial Narrow" w:cstheme="majorBidi"/>
              </w:rPr>
            </w:pPr>
            <w:r>
              <w:rPr>
                <w:rFonts w:ascii="Arial Narrow" w:hAnsi="Arial Narrow" w:cstheme="majorBidi"/>
              </w:rPr>
              <w:t>MTW incentives offered or other efforts to increase landlord participation</w:t>
            </w:r>
          </w:p>
          <w:p w:rsidR="00087CEE" w:rsidRPr="000E3D2C" w:rsidP="00087CEE" w14:paraId="5F75F44D" w14:textId="0BCC5BB0">
            <w:pPr>
              <w:rPr>
                <w:rFonts w:ascii="Arial Narrow" w:hAnsi="Arial Narrow" w:cstheme="majorBidi"/>
                <w:szCs w:val="22"/>
              </w:rPr>
            </w:pPr>
            <w:r w:rsidRPr="00244882">
              <w:rPr>
                <w:rFonts w:ascii="Arial Narrow" w:hAnsi="Arial Narrow" w:cstheme="majorBidi"/>
                <w:b/>
                <w:i/>
                <w:szCs w:val="22"/>
              </w:rPr>
              <w:t>Justification:</w:t>
            </w:r>
            <w:r w:rsidRPr="00244882">
              <w:rPr>
                <w:rFonts w:ascii="Arial Narrow" w:hAnsi="Arial Narrow" w:cstheme="majorBidi"/>
                <w:szCs w:val="22"/>
              </w:rPr>
              <w:t xml:space="preserve"> The main purpose of the follow-up survey of treatment PHAs is to capture information on incentives and program performance that is not otherwise available from administrative sources, including the number of units available to voucher holders (i.e. advertised in PHA-managed listings) and certain indicators of cost for specific incentives. This information will inform the cost and impact studies. The survey will be fielded prior to site visits, so it will also be used to identify potential interviewees and coordinate scheduling for site visits. In addition it will provide preliminary data that will be used in planning site visits to focus interview questions.</w:t>
            </w:r>
          </w:p>
        </w:tc>
      </w:tr>
      <w:tr w14:paraId="6D7236A8" w14:textId="77777777" w:rsidTr="00F21C9D">
        <w:tblPrEx>
          <w:tblW w:w="9895" w:type="dxa"/>
          <w:tblLayout w:type="fixed"/>
          <w:tblCellMar>
            <w:left w:w="43" w:type="dxa"/>
            <w:right w:w="43" w:type="dxa"/>
          </w:tblCellMar>
          <w:tblLook w:val="04A0"/>
        </w:tblPrEx>
        <w:trPr>
          <w:cantSplit/>
          <w:trHeight w:val="1657"/>
        </w:trPr>
        <w:tc>
          <w:tcPr>
            <w:tcW w:w="1393" w:type="dxa"/>
            <w:shd w:val="clear" w:color="auto" w:fill="auto"/>
          </w:tcPr>
          <w:p w:rsidR="00087CEE" w:rsidP="00F21C9D" w14:paraId="285A92A4" w14:textId="77777777">
            <w:pPr>
              <w:rPr>
                <w:rFonts w:ascii="Arial Narrow" w:hAnsi="Arial Narrow" w:cstheme="majorBidi"/>
                <w:b/>
                <w:bCs/>
                <w:szCs w:val="22"/>
              </w:rPr>
            </w:pPr>
            <w:r w:rsidRPr="000E3D2C">
              <w:rPr>
                <w:rFonts w:ascii="Arial Narrow" w:hAnsi="Arial Narrow" w:cstheme="majorBidi"/>
                <w:b/>
                <w:szCs w:val="22"/>
              </w:rPr>
              <w:t xml:space="preserve">Comparison PHA </w:t>
            </w:r>
            <w:r>
              <w:rPr>
                <w:rFonts w:ascii="Arial Narrow" w:hAnsi="Arial Narrow" w:cstheme="majorBidi"/>
                <w:b/>
                <w:szCs w:val="22"/>
              </w:rPr>
              <w:t>S</w:t>
            </w:r>
            <w:r w:rsidRPr="000E3D2C">
              <w:rPr>
                <w:rFonts w:ascii="Arial Narrow" w:hAnsi="Arial Narrow" w:cstheme="majorBidi"/>
                <w:b/>
                <w:szCs w:val="22"/>
              </w:rPr>
              <w:t xml:space="preserve">urvey </w:t>
            </w:r>
            <w:r>
              <w:rPr>
                <w:rFonts w:ascii="Arial Narrow" w:hAnsi="Arial Narrow" w:cstheme="majorBidi"/>
                <w:b/>
                <w:bCs/>
                <w:szCs w:val="22"/>
              </w:rPr>
              <w:t>– Baseline</w:t>
            </w:r>
          </w:p>
          <w:p w:rsidR="00087CEE" w:rsidP="00F21C9D" w14:paraId="35B852EE" w14:textId="77777777">
            <w:pPr>
              <w:rPr>
                <w:rFonts w:ascii="Arial Narrow" w:hAnsi="Arial Narrow" w:cstheme="majorBidi"/>
                <w:b/>
                <w:bCs/>
                <w:szCs w:val="22"/>
              </w:rPr>
            </w:pPr>
          </w:p>
          <w:p w:rsidR="00087CEE" w:rsidRPr="000E3D2C" w:rsidP="00F21C9D" w14:paraId="7B523485" w14:textId="77777777">
            <w:pPr>
              <w:rPr>
                <w:rFonts w:ascii="Arial Narrow" w:hAnsi="Arial Narrow" w:cstheme="majorBidi"/>
                <w:b/>
                <w:szCs w:val="22"/>
              </w:rPr>
            </w:pPr>
            <w:r>
              <w:rPr>
                <w:rFonts w:ascii="Arial Narrow" w:hAnsi="Arial Narrow" w:cstheme="majorBidi"/>
                <w:b/>
                <w:bCs/>
                <w:szCs w:val="22"/>
              </w:rPr>
              <w:t>(</w:t>
            </w:r>
            <w:r>
              <w:rPr>
                <w:rFonts w:ascii="Arial Narrow" w:hAnsi="Arial Narrow" w:cstheme="majorBidi"/>
                <w:b/>
                <w:szCs w:val="22"/>
              </w:rPr>
              <w:t>Internet)</w:t>
            </w:r>
          </w:p>
        </w:tc>
        <w:tc>
          <w:tcPr>
            <w:tcW w:w="8502" w:type="dxa"/>
          </w:tcPr>
          <w:p w:rsidR="00087CEE" w:rsidRPr="000E3D2C" w:rsidP="00087CEE" w14:paraId="2B179618" w14:textId="3333E699">
            <w:pPr>
              <w:rPr>
                <w:rFonts w:ascii="Arial Narrow" w:hAnsi="Arial Narrow" w:cstheme="majorBidi"/>
                <w:szCs w:val="22"/>
              </w:rPr>
            </w:pPr>
            <w:r w:rsidRPr="00777AE5">
              <w:rPr>
                <w:rFonts w:ascii="Arial Narrow" w:hAnsi="Arial Narrow" w:cstheme="majorBidi"/>
                <w:b/>
                <w:i/>
                <w:szCs w:val="22"/>
              </w:rPr>
              <w:t>Respondents:</w:t>
            </w:r>
            <w:r w:rsidRPr="000E3D2C">
              <w:rPr>
                <w:rFonts w:ascii="Arial Narrow" w:hAnsi="Arial Narrow" w:cstheme="majorBidi"/>
                <w:szCs w:val="22"/>
              </w:rPr>
              <w:t xml:space="preserve"> HCV Director or equivalent at 11</w:t>
            </w:r>
            <w:r w:rsidR="008577CA">
              <w:rPr>
                <w:rFonts w:ascii="Arial Narrow" w:hAnsi="Arial Narrow" w:cstheme="majorBidi"/>
                <w:szCs w:val="22"/>
              </w:rPr>
              <w:t>2</w:t>
            </w:r>
            <w:r w:rsidRPr="000E3D2C">
              <w:rPr>
                <w:rFonts w:ascii="Arial Narrow" w:hAnsi="Arial Narrow" w:cstheme="majorBidi"/>
                <w:szCs w:val="22"/>
              </w:rPr>
              <w:t xml:space="preserve"> comparison PHAs.</w:t>
            </w:r>
          </w:p>
          <w:p w:rsidR="00087CEE" w:rsidRPr="00777AE5" w:rsidP="00F21C9D" w14:paraId="42E5E518" w14:textId="77777777">
            <w:pPr>
              <w:rPr>
                <w:rFonts w:ascii="Arial Narrow" w:hAnsi="Arial Narrow" w:cstheme="majorBidi"/>
                <w:b/>
                <w:i/>
                <w:szCs w:val="22"/>
              </w:rPr>
            </w:pPr>
            <w:r w:rsidRPr="00777AE5">
              <w:rPr>
                <w:rFonts w:ascii="Arial Narrow" w:hAnsi="Arial Narrow" w:cstheme="majorBidi"/>
                <w:b/>
                <w:i/>
                <w:szCs w:val="22"/>
              </w:rPr>
              <w:t>Topics:</w:t>
            </w:r>
          </w:p>
          <w:p w:rsidR="00087CEE" w:rsidRPr="00244882" w:rsidP="005D051A" w14:paraId="0892A369" w14:textId="77777777">
            <w:pPr>
              <w:pStyle w:val="ListParagraph"/>
              <w:numPr>
                <w:ilvl w:val="0"/>
                <w:numId w:val="19"/>
              </w:numPr>
              <w:spacing w:after="120" w:line="240" w:lineRule="auto"/>
              <w:jc w:val="both"/>
              <w:rPr>
                <w:rFonts w:ascii="Arial Narrow" w:hAnsi="Arial Narrow" w:cstheme="majorBidi"/>
              </w:rPr>
            </w:pPr>
            <w:r w:rsidRPr="00244882">
              <w:rPr>
                <w:rFonts w:ascii="Arial Narrow" w:hAnsi="Arial Narrow" w:cstheme="majorBidi"/>
              </w:rPr>
              <w:t>Confirmation of current success rate</w:t>
            </w:r>
          </w:p>
          <w:p w:rsidR="00087CEE" w:rsidRPr="00244882" w:rsidP="005D051A" w14:paraId="7C93B6E0" w14:textId="77777777">
            <w:pPr>
              <w:pStyle w:val="ListParagraph"/>
              <w:numPr>
                <w:ilvl w:val="0"/>
                <w:numId w:val="19"/>
              </w:numPr>
              <w:spacing w:after="120" w:line="240" w:lineRule="auto"/>
              <w:jc w:val="both"/>
              <w:rPr>
                <w:rFonts w:ascii="Arial Narrow" w:hAnsi="Arial Narrow" w:cstheme="majorBidi"/>
              </w:rPr>
            </w:pPr>
            <w:r w:rsidRPr="00244882">
              <w:rPr>
                <w:rFonts w:ascii="Arial Narrow" w:hAnsi="Arial Narrow" w:cstheme="majorBidi"/>
              </w:rPr>
              <w:t>Number of units available to voucher tenants</w:t>
            </w:r>
          </w:p>
          <w:p w:rsidR="00087CEE" w:rsidRPr="00244882" w:rsidP="005D051A" w14:paraId="49DBB75F" w14:textId="77777777">
            <w:pPr>
              <w:pStyle w:val="ListParagraph"/>
              <w:numPr>
                <w:ilvl w:val="0"/>
                <w:numId w:val="19"/>
              </w:numPr>
              <w:spacing w:after="120" w:line="240" w:lineRule="auto"/>
              <w:jc w:val="both"/>
              <w:rPr>
                <w:rFonts w:ascii="Arial Narrow" w:hAnsi="Arial Narrow" w:cstheme="majorBidi"/>
              </w:rPr>
            </w:pPr>
            <w:r w:rsidRPr="00244882">
              <w:rPr>
                <w:rFonts w:ascii="Arial Narrow" w:hAnsi="Arial Narrow" w:cstheme="majorBidi"/>
              </w:rPr>
              <w:t>Challenges in recruiting or retaining landlords</w:t>
            </w:r>
          </w:p>
          <w:p w:rsidR="00087CEE" w:rsidRPr="00087CEE" w:rsidP="005D051A" w14:paraId="33FB9094" w14:textId="761C5685">
            <w:pPr>
              <w:pStyle w:val="ListParagraph"/>
              <w:numPr>
                <w:ilvl w:val="0"/>
                <w:numId w:val="19"/>
              </w:numPr>
              <w:spacing w:after="120" w:line="240" w:lineRule="auto"/>
              <w:jc w:val="both"/>
              <w:rPr>
                <w:rFonts w:ascii="Arial Narrow" w:hAnsi="Arial Narrow" w:cstheme="majorBidi"/>
              </w:rPr>
            </w:pPr>
            <w:r w:rsidRPr="00244882">
              <w:rPr>
                <w:rFonts w:ascii="Arial Narrow" w:hAnsi="Arial Narrow" w:cstheme="majorBidi"/>
              </w:rPr>
              <w:t>Comparable incentives offered or other efforts to increase landlord participation</w:t>
            </w:r>
          </w:p>
          <w:p w:rsidR="00087CEE" w:rsidRPr="000E3D2C" w:rsidP="00087CEE" w14:paraId="2177011B" w14:textId="084A8A86">
            <w:pPr>
              <w:rPr>
                <w:rFonts w:ascii="Arial Narrow" w:hAnsi="Arial Narrow" w:cstheme="majorBidi"/>
                <w:szCs w:val="22"/>
              </w:rPr>
            </w:pPr>
            <w:r w:rsidRPr="00777AE5">
              <w:rPr>
                <w:rFonts w:ascii="Arial Narrow" w:hAnsi="Arial Narrow" w:cstheme="majorBidi"/>
                <w:b/>
                <w:i/>
                <w:szCs w:val="22"/>
              </w:rPr>
              <w:t>Justification:</w:t>
            </w:r>
            <w:r w:rsidRPr="000E3D2C">
              <w:rPr>
                <w:rFonts w:ascii="Arial Narrow" w:hAnsi="Arial Narrow" w:cstheme="majorBidi"/>
                <w:szCs w:val="22"/>
              </w:rPr>
              <w:t xml:space="preserve"> The purpose of the baseline survey of comparison PHAs is to collect information that will allow the study team to compare the experiences of PHAs with and without MTW authority. The survey will gather information on PHA relationships with landlords and any efforts to increase landlord participation, including any incentives that could be comparable to those offered under MTW. </w:t>
            </w:r>
            <w:r>
              <w:rPr>
                <w:rFonts w:ascii="Arial Narrow" w:hAnsi="Arial Narrow" w:cstheme="majorBidi"/>
                <w:szCs w:val="22"/>
              </w:rPr>
              <w:t xml:space="preserve">The survey will also gather information on </w:t>
            </w:r>
            <w:r w:rsidRPr="000E3D2C">
              <w:rPr>
                <w:rFonts w:ascii="Arial Narrow" w:hAnsi="Arial Narrow" w:cstheme="majorBidi"/>
                <w:szCs w:val="22"/>
              </w:rPr>
              <w:t>the number of units available to voucher holders (i.e. advertised in PHA-managed listings)</w:t>
            </w:r>
            <w:r>
              <w:rPr>
                <w:rFonts w:ascii="Arial Narrow" w:hAnsi="Arial Narrow" w:cstheme="majorBidi"/>
                <w:szCs w:val="22"/>
              </w:rPr>
              <w:t>.</w:t>
            </w:r>
            <w:r w:rsidRPr="000E3D2C">
              <w:rPr>
                <w:rFonts w:ascii="Arial Narrow" w:hAnsi="Arial Narrow" w:cstheme="majorBidi"/>
                <w:szCs w:val="22"/>
              </w:rPr>
              <w:t xml:space="preserve"> This information</w:t>
            </w:r>
            <w:r w:rsidRPr="000E3D2C">
              <w:rPr>
                <w:rFonts w:ascii="Arial Narrow" w:hAnsi="Arial Narrow" w:cstheme="majorBidi"/>
                <w:szCs w:val="22"/>
              </w:rPr>
              <w:t xml:space="preserve"> </w:t>
            </w:r>
            <w:r w:rsidRPr="000E3D2C">
              <w:rPr>
                <w:rFonts w:ascii="Arial Narrow" w:hAnsi="Arial Narrow" w:cstheme="majorBidi"/>
                <w:szCs w:val="22"/>
              </w:rPr>
              <w:t>will address key process study questions and is necessary for establishing a meaningful set of cost and impact study data for the comparison sites.</w:t>
            </w:r>
          </w:p>
        </w:tc>
      </w:tr>
      <w:tr w14:paraId="042378C3" w14:textId="77777777" w:rsidTr="00F21C9D">
        <w:tblPrEx>
          <w:tblW w:w="9895" w:type="dxa"/>
          <w:tblLayout w:type="fixed"/>
          <w:tblCellMar>
            <w:left w:w="43" w:type="dxa"/>
            <w:right w:w="43" w:type="dxa"/>
          </w:tblCellMar>
          <w:tblLook w:val="04A0"/>
        </w:tblPrEx>
        <w:trPr>
          <w:cantSplit/>
          <w:trHeight w:val="1657"/>
        </w:trPr>
        <w:tc>
          <w:tcPr>
            <w:tcW w:w="1393" w:type="dxa"/>
            <w:shd w:val="clear" w:color="auto" w:fill="auto"/>
          </w:tcPr>
          <w:p w:rsidR="00087CEE" w:rsidP="00F21C9D" w14:paraId="51A7C0AB" w14:textId="77777777">
            <w:pPr>
              <w:rPr>
                <w:rFonts w:ascii="Arial Narrow" w:hAnsi="Arial Narrow" w:cstheme="majorBidi"/>
                <w:b/>
                <w:bCs/>
                <w:szCs w:val="22"/>
              </w:rPr>
            </w:pPr>
            <w:r w:rsidRPr="000E3D2C">
              <w:rPr>
                <w:rFonts w:ascii="Arial Narrow" w:hAnsi="Arial Narrow" w:cstheme="majorBidi"/>
                <w:b/>
                <w:szCs w:val="22"/>
              </w:rPr>
              <w:t xml:space="preserve">Comparison PHA </w:t>
            </w:r>
            <w:r>
              <w:rPr>
                <w:rFonts w:ascii="Arial Narrow" w:hAnsi="Arial Narrow" w:cstheme="majorBidi"/>
                <w:b/>
                <w:szCs w:val="22"/>
              </w:rPr>
              <w:t>S</w:t>
            </w:r>
            <w:r w:rsidRPr="000E3D2C">
              <w:rPr>
                <w:rFonts w:ascii="Arial Narrow" w:hAnsi="Arial Narrow" w:cstheme="majorBidi"/>
                <w:b/>
                <w:szCs w:val="22"/>
              </w:rPr>
              <w:t xml:space="preserve">urvey </w:t>
            </w:r>
            <w:r>
              <w:rPr>
                <w:rFonts w:ascii="Arial Narrow" w:hAnsi="Arial Narrow" w:cstheme="majorBidi"/>
                <w:b/>
                <w:bCs/>
                <w:szCs w:val="22"/>
              </w:rPr>
              <w:t xml:space="preserve">– Follow up </w:t>
            </w:r>
          </w:p>
          <w:p w:rsidR="00087CEE" w:rsidP="00F21C9D" w14:paraId="2B9740DB" w14:textId="77777777">
            <w:pPr>
              <w:rPr>
                <w:rFonts w:ascii="Arial Narrow" w:hAnsi="Arial Narrow" w:cstheme="majorBidi"/>
                <w:b/>
                <w:bCs/>
                <w:szCs w:val="22"/>
              </w:rPr>
            </w:pPr>
          </w:p>
          <w:p w:rsidR="00087CEE" w:rsidRPr="000E3D2C" w:rsidP="00F21C9D" w14:paraId="649FD824" w14:textId="77777777">
            <w:pPr>
              <w:rPr>
                <w:rFonts w:ascii="Arial Narrow" w:hAnsi="Arial Narrow" w:cstheme="majorBidi"/>
                <w:b/>
                <w:szCs w:val="22"/>
              </w:rPr>
            </w:pPr>
            <w:r>
              <w:rPr>
                <w:rFonts w:ascii="Arial Narrow" w:hAnsi="Arial Narrow" w:cstheme="majorBidi"/>
                <w:b/>
                <w:bCs/>
                <w:szCs w:val="22"/>
              </w:rPr>
              <w:t>(</w:t>
            </w:r>
            <w:r>
              <w:rPr>
                <w:rFonts w:ascii="Arial Narrow" w:hAnsi="Arial Narrow" w:cstheme="majorBidi"/>
                <w:b/>
                <w:szCs w:val="22"/>
              </w:rPr>
              <w:t>Internet)</w:t>
            </w:r>
          </w:p>
        </w:tc>
        <w:tc>
          <w:tcPr>
            <w:tcW w:w="8502" w:type="dxa"/>
          </w:tcPr>
          <w:p w:rsidR="00087CEE" w:rsidRPr="000E3D2C" w:rsidP="00087CEE" w14:paraId="5298600F" w14:textId="6922489B">
            <w:pPr>
              <w:rPr>
                <w:rFonts w:ascii="Arial Narrow" w:hAnsi="Arial Narrow" w:cstheme="majorBidi"/>
                <w:szCs w:val="22"/>
              </w:rPr>
            </w:pPr>
            <w:r w:rsidRPr="00244882">
              <w:rPr>
                <w:rFonts w:ascii="Arial Narrow" w:hAnsi="Arial Narrow" w:cstheme="majorBidi"/>
                <w:b/>
                <w:i/>
                <w:szCs w:val="22"/>
              </w:rPr>
              <w:t>Respondents:</w:t>
            </w:r>
            <w:r w:rsidRPr="000E3D2C">
              <w:rPr>
                <w:rFonts w:ascii="Arial Narrow" w:hAnsi="Arial Narrow" w:cstheme="majorBidi"/>
                <w:szCs w:val="22"/>
              </w:rPr>
              <w:t xml:space="preserve"> HCV Director or equivalent at 11</w:t>
            </w:r>
            <w:r w:rsidR="008577CA">
              <w:rPr>
                <w:rFonts w:ascii="Arial Narrow" w:hAnsi="Arial Narrow" w:cstheme="majorBidi"/>
                <w:szCs w:val="22"/>
              </w:rPr>
              <w:t>2</w:t>
            </w:r>
            <w:r w:rsidRPr="000E3D2C">
              <w:rPr>
                <w:rFonts w:ascii="Arial Narrow" w:hAnsi="Arial Narrow" w:cstheme="majorBidi"/>
                <w:szCs w:val="22"/>
              </w:rPr>
              <w:t xml:space="preserve"> comparison PHAs.</w:t>
            </w:r>
          </w:p>
          <w:p w:rsidR="00087CEE" w:rsidRPr="000E3D2C" w:rsidP="00F21C9D" w14:paraId="3AAA007B" w14:textId="77777777">
            <w:pPr>
              <w:rPr>
                <w:rFonts w:ascii="Arial Narrow" w:hAnsi="Arial Narrow" w:cstheme="majorBidi"/>
                <w:szCs w:val="22"/>
              </w:rPr>
            </w:pPr>
            <w:r w:rsidRPr="00244882">
              <w:rPr>
                <w:rFonts w:ascii="Arial Narrow" w:hAnsi="Arial Narrow" w:cstheme="majorBidi"/>
                <w:b/>
                <w:i/>
                <w:szCs w:val="22"/>
              </w:rPr>
              <w:t>Topics</w:t>
            </w:r>
            <w:r w:rsidRPr="000E3D2C">
              <w:rPr>
                <w:rFonts w:ascii="Arial Narrow" w:hAnsi="Arial Narrow" w:cstheme="majorBidi"/>
                <w:szCs w:val="22"/>
              </w:rPr>
              <w:t>:</w:t>
            </w:r>
          </w:p>
          <w:p w:rsidR="00087CEE" w:rsidRPr="00244882" w:rsidP="005D051A" w14:paraId="26E15124" w14:textId="77777777">
            <w:pPr>
              <w:pStyle w:val="ListParagraph"/>
              <w:numPr>
                <w:ilvl w:val="0"/>
                <w:numId w:val="20"/>
              </w:numPr>
              <w:spacing w:after="120" w:line="240" w:lineRule="auto"/>
              <w:jc w:val="both"/>
              <w:rPr>
                <w:rFonts w:ascii="Arial Narrow" w:hAnsi="Arial Narrow" w:cstheme="majorBidi"/>
              </w:rPr>
            </w:pPr>
            <w:r w:rsidRPr="00244882">
              <w:rPr>
                <w:rFonts w:ascii="Arial Narrow" w:hAnsi="Arial Narrow" w:cstheme="majorBidi"/>
              </w:rPr>
              <w:t>Confirmation of current success rate</w:t>
            </w:r>
          </w:p>
          <w:p w:rsidR="00087CEE" w:rsidP="005D051A" w14:paraId="2CF29F7B" w14:textId="77777777">
            <w:pPr>
              <w:pStyle w:val="ListParagraph"/>
              <w:numPr>
                <w:ilvl w:val="0"/>
                <w:numId w:val="20"/>
              </w:numPr>
              <w:spacing w:after="120" w:line="240" w:lineRule="auto"/>
              <w:jc w:val="both"/>
              <w:rPr>
                <w:rFonts w:ascii="Arial Narrow" w:hAnsi="Arial Narrow" w:cstheme="majorBidi"/>
              </w:rPr>
            </w:pPr>
            <w:r w:rsidRPr="00244882">
              <w:rPr>
                <w:rFonts w:ascii="Arial Narrow" w:hAnsi="Arial Narrow" w:cstheme="majorBidi"/>
              </w:rPr>
              <w:t>Number of units available to voucher tenants</w:t>
            </w:r>
          </w:p>
          <w:p w:rsidR="00087CEE" w:rsidRPr="00244882" w:rsidP="005D051A" w14:paraId="72DCFD82" w14:textId="77777777">
            <w:pPr>
              <w:pStyle w:val="ListParagraph"/>
              <w:numPr>
                <w:ilvl w:val="0"/>
                <w:numId w:val="20"/>
              </w:numPr>
              <w:spacing w:after="120" w:line="240" w:lineRule="auto"/>
              <w:jc w:val="both"/>
              <w:rPr>
                <w:rFonts w:ascii="Arial Narrow" w:hAnsi="Arial Narrow" w:cstheme="majorBidi"/>
              </w:rPr>
            </w:pPr>
            <w:r>
              <w:rPr>
                <w:rFonts w:ascii="Arial Narrow" w:hAnsi="Arial Narrow" w:cstheme="majorBidi"/>
              </w:rPr>
              <w:t>Challenges recruiting or retaining landlords during the study period</w:t>
            </w:r>
          </w:p>
          <w:p w:rsidR="00087CEE" w:rsidRPr="00087CEE" w:rsidP="005D051A" w14:paraId="606F2D9B" w14:textId="66807D00">
            <w:pPr>
              <w:pStyle w:val="ListParagraph"/>
              <w:numPr>
                <w:ilvl w:val="0"/>
                <w:numId w:val="20"/>
              </w:numPr>
              <w:spacing w:after="120" w:line="240" w:lineRule="auto"/>
              <w:jc w:val="both"/>
              <w:rPr>
                <w:rFonts w:ascii="Arial Narrow" w:hAnsi="Arial Narrow" w:cstheme="majorBidi"/>
              </w:rPr>
            </w:pPr>
            <w:r w:rsidRPr="00244882">
              <w:rPr>
                <w:rFonts w:ascii="Arial Narrow" w:hAnsi="Arial Narrow" w:cstheme="majorBidi"/>
              </w:rPr>
              <w:t>Comparable incentives offered or other efforts to increase landlord participation</w:t>
            </w:r>
            <w:r>
              <w:rPr>
                <w:rFonts w:ascii="Arial Narrow" w:hAnsi="Arial Narrow" w:cstheme="majorBidi"/>
              </w:rPr>
              <w:t xml:space="preserve"> during the study period</w:t>
            </w:r>
          </w:p>
          <w:p w:rsidR="00087CEE" w:rsidRPr="000E3D2C" w:rsidP="00087CEE" w14:paraId="30F6B8FC" w14:textId="5A365FB5">
            <w:pPr>
              <w:rPr>
                <w:rFonts w:ascii="Arial Narrow" w:hAnsi="Arial Narrow" w:cstheme="majorBidi"/>
                <w:szCs w:val="22"/>
              </w:rPr>
            </w:pPr>
            <w:r w:rsidRPr="00244882">
              <w:rPr>
                <w:rFonts w:ascii="Arial Narrow" w:hAnsi="Arial Narrow" w:cstheme="majorBidi"/>
                <w:b/>
                <w:i/>
                <w:szCs w:val="22"/>
              </w:rPr>
              <w:t>Justification:</w:t>
            </w:r>
            <w:r w:rsidRPr="000E3D2C">
              <w:rPr>
                <w:rFonts w:ascii="Arial Narrow" w:hAnsi="Arial Narrow" w:cstheme="majorBidi"/>
                <w:szCs w:val="22"/>
              </w:rPr>
              <w:t xml:space="preserve"> The purpose of the </w:t>
            </w:r>
            <w:r>
              <w:rPr>
                <w:rFonts w:ascii="Arial Narrow" w:hAnsi="Arial Narrow" w:cstheme="majorBidi"/>
                <w:szCs w:val="22"/>
              </w:rPr>
              <w:t>follow-up</w:t>
            </w:r>
            <w:r w:rsidRPr="000E3D2C">
              <w:rPr>
                <w:rFonts w:ascii="Arial Narrow" w:hAnsi="Arial Narrow" w:cstheme="majorBidi"/>
                <w:szCs w:val="22"/>
              </w:rPr>
              <w:t xml:space="preserve"> survey of comparison PHAs is to collect information that will allow the study team to compare the experiences of PHAs with and without MTW authority. The survey will gather information on PHAs’ experiences with landlord participation and any efforts to increase landlord participation</w:t>
            </w:r>
            <w:r>
              <w:rPr>
                <w:rFonts w:ascii="Arial Narrow" w:hAnsi="Arial Narrow" w:cstheme="majorBidi"/>
                <w:szCs w:val="22"/>
              </w:rPr>
              <w:t xml:space="preserve"> during the study period</w:t>
            </w:r>
            <w:r w:rsidRPr="000E3D2C">
              <w:rPr>
                <w:rFonts w:ascii="Arial Narrow" w:hAnsi="Arial Narrow" w:cstheme="majorBidi"/>
                <w:szCs w:val="22"/>
              </w:rPr>
              <w:t>, including any incentives that could be comparable to those offered under MTW. This information will address key process study questions and is necessary for establishing a meaningful set of cost and impact study data for the comparison sites.</w:t>
            </w:r>
          </w:p>
        </w:tc>
      </w:tr>
      <w:tr w14:paraId="5B6CD6F4" w14:textId="77777777" w:rsidTr="00F21C9D">
        <w:tblPrEx>
          <w:tblW w:w="9895" w:type="dxa"/>
          <w:tblLayout w:type="fixed"/>
          <w:tblCellMar>
            <w:left w:w="43" w:type="dxa"/>
            <w:right w:w="43" w:type="dxa"/>
          </w:tblCellMar>
          <w:tblLook w:val="04A0"/>
        </w:tblPrEx>
        <w:trPr>
          <w:cantSplit/>
          <w:trHeight w:val="1657"/>
        </w:trPr>
        <w:tc>
          <w:tcPr>
            <w:tcW w:w="1393" w:type="dxa"/>
            <w:shd w:val="clear" w:color="auto" w:fill="auto"/>
          </w:tcPr>
          <w:p w:rsidR="00087CEE" w:rsidP="00F21C9D" w14:paraId="5FDC82D1" w14:textId="77777777">
            <w:pPr>
              <w:rPr>
                <w:rFonts w:ascii="Arial Narrow" w:hAnsi="Arial Narrow" w:cstheme="majorBidi"/>
                <w:b/>
                <w:bCs/>
                <w:szCs w:val="22"/>
              </w:rPr>
            </w:pPr>
            <w:r w:rsidRPr="000E3D2C">
              <w:rPr>
                <w:rFonts w:ascii="Arial Narrow" w:hAnsi="Arial Narrow" w:cstheme="majorBidi"/>
                <w:b/>
                <w:bCs/>
                <w:szCs w:val="22"/>
              </w:rPr>
              <w:t xml:space="preserve">Landlord </w:t>
            </w:r>
            <w:r>
              <w:rPr>
                <w:rFonts w:ascii="Arial Narrow" w:hAnsi="Arial Narrow" w:cstheme="majorBidi"/>
                <w:b/>
                <w:bCs/>
                <w:szCs w:val="22"/>
              </w:rPr>
              <w:t>Thematic Interviews</w:t>
            </w:r>
          </w:p>
          <w:p w:rsidR="00087CEE" w:rsidP="00F21C9D" w14:paraId="29936BB0" w14:textId="77777777">
            <w:pPr>
              <w:rPr>
                <w:rFonts w:ascii="Arial Narrow" w:hAnsi="Arial Narrow" w:cstheme="majorBidi"/>
                <w:b/>
                <w:bCs/>
                <w:szCs w:val="22"/>
              </w:rPr>
            </w:pPr>
          </w:p>
          <w:p w:rsidR="00087CEE" w:rsidRPr="000E3D2C" w:rsidP="00F21C9D" w14:paraId="1796F7A9" w14:textId="77777777">
            <w:pPr>
              <w:rPr>
                <w:rFonts w:ascii="Arial Narrow" w:hAnsi="Arial Narrow" w:cstheme="majorBidi"/>
                <w:b/>
                <w:szCs w:val="22"/>
              </w:rPr>
            </w:pPr>
            <w:r>
              <w:rPr>
                <w:rFonts w:ascii="Arial Narrow" w:hAnsi="Arial Narrow" w:cstheme="majorBidi"/>
                <w:b/>
                <w:bCs/>
                <w:szCs w:val="22"/>
              </w:rPr>
              <w:t>(In-person or Phone/Web Conference)</w:t>
            </w:r>
          </w:p>
        </w:tc>
        <w:tc>
          <w:tcPr>
            <w:tcW w:w="8502" w:type="dxa"/>
          </w:tcPr>
          <w:p w:rsidR="00087CEE" w:rsidRPr="000E3D2C" w:rsidP="00087CEE" w14:paraId="62A81872" w14:textId="26E1D030">
            <w:pPr>
              <w:rPr>
                <w:rFonts w:ascii="Arial Narrow" w:hAnsi="Arial Narrow" w:cstheme="majorBidi"/>
                <w:szCs w:val="22"/>
              </w:rPr>
            </w:pPr>
            <w:r w:rsidRPr="00244882">
              <w:rPr>
                <w:rFonts w:ascii="Arial Narrow" w:hAnsi="Arial Narrow" w:cstheme="majorBidi"/>
                <w:b/>
                <w:i/>
                <w:szCs w:val="22"/>
              </w:rPr>
              <w:t>Respondents:</w:t>
            </w:r>
            <w:r w:rsidRPr="000E3D2C">
              <w:rPr>
                <w:rFonts w:ascii="Arial Narrow" w:hAnsi="Arial Narrow" w:cstheme="majorBidi"/>
                <w:szCs w:val="22"/>
              </w:rPr>
              <w:t xml:space="preserve"> Landlords and property managers with available rental units within each PHA catchment area. For treatment PHAs this will include 1) landlords who rented to HCV families prior to incentives; 2) landlords who rented to HCV families only haver incentives; 3) landlords who do not rent to HCV families. For comparison PHAs this will include 1) landlords who rent to HCV families; 2) landlords who do not rent to HCV families.</w:t>
            </w:r>
          </w:p>
          <w:p w:rsidR="00087CEE" w:rsidRPr="00244882" w:rsidP="00F21C9D" w14:paraId="65BEB5DD" w14:textId="77777777">
            <w:pPr>
              <w:rPr>
                <w:rFonts w:ascii="Arial Narrow" w:hAnsi="Arial Narrow" w:cstheme="majorBidi"/>
                <w:b/>
                <w:i/>
                <w:szCs w:val="22"/>
              </w:rPr>
            </w:pPr>
            <w:r w:rsidRPr="00244882">
              <w:rPr>
                <w:rFonts w:ascii="Arial Narrow" w:hAnsi="Arial Narrow" w:cstheme="majorBidi"/>
                <w:b/>
                <w:i/>
                <w:szCs w:val="22"/>
              </w:rPr>
              <w:t>Topics:</w:t>
            </w:r>
          </w:p>
          <w:p w:rsidR="00087CEE" w:rsidRPr="00244882" w:rsidP="005D051A" w14:paraId="6053C111" w14:textId="77777777">
            <w:pPr>
              <w:pStyle w:val="ListParagraph"/>
              <w:numPr>
                <w:ilvl w:val="0"/>
                <w:numId w:val="20"/>
              </w:numPr>
              <w:spacing w:after="120" w:line="240" w:lineRule="auto"/>
              <w:jc w:val="both"/>
              <w:rPr>
                <w:rFonts w:ascii="Arial Narrow" w:hAnsi="Arial Narrow" w:cstheme="majorBidi"/>
              </w:rPr>
            </w:pPr>
            <w:r w:rsidRPr="00244882">
              <w:rPr>
                <w:rFonts w:ascii="Arial Narrow" w:hAnsi="Arial Narrow" w:cstheme="majorBidi"/>
              </w:rPr>
              <w:t>Business strategies and motivation for real estate investment</w:t>
            </w:r>
          </w:p>
          <w:p w:rsidR="00087CEE" w:rsidRPr="00244882" w:rsidP="005D051A" w14:paraId="08228498" w14:textId="77777777">
            <w:pPr>
              <w:pStyle w:val="ListParagraph"/>
              <w:numPr>
                <w:ilvl w:val="0"/>
                <w:numId w:val="20"/>
              </w:numPr>
              <w:spacing w:after="120" w:line="240" w:lineRule="auto"/>
              <w:jc w:val="both"/>
              <w:rPr>
                <w:rFonts w:ascii="Arial Narrow" w:hAnsi="Arial Narrow" w:cstheme="majorBidi"/>
              </w:rPr>
            </w:pPr>
            <w:r w:rsidRPr="00244882">
              <w:rPr>
                <w:rFonts w:ascii="Arial Narrow" w:hAnsi="Arial Narrow" w:cstheme="majorBidi"/>
              </w:rPr>
              <w:t>Experience with and knowledge of HCV program</w:t>
            </w:r>
          </w:p>
          <w:p w:rsidR="00087CEE" w:rsidRPr="00244882" w:rsidP="005D051A" w14:paraId="2F455F69" w14:textId="77777777">
            <w:pPr>
              <w:pStyle w:val="ListParagraph"/>
              <w:numPr>
                <w:ilvl w:val="0"/>
                <w:numId w:val="20"/>
              </w:numPr>
              <w:spacing w:after="120" w:line="240" w:lineRule="auto"/>
              <w:jc w:val="both"/>
              <w:rPr>
                <w:rFonts w:ascii="Arial Narrow" w:hAnsi="Arial Narrow" w:cstheme="majorBidi"/>
              </w:rPr>
            </w:pPr>
            <w:r w:rsidRPr="00244882">
              <w:rPr>
                <w:rFonts w:ascii="Arial Narrow" w:hAnsi="Arial Narrow" w:cstheme="majorBidi"/>
              </w:rPr>
              <w:t>Incentives and barriers to HCV participation</w:t>
            </w:r>
          </w:p>
          <w:p w:rsidR="00087CEE" w:rsidRPr="00087CEE" w:rsidP="005D051A" w14:paraId="66C37EEF" w14:textId="3E22C177">
            <w:pPr>
              <w:pStyle w:val="ListParagraph"/>
              <w:numPr>
                <w:ilvl w:val="0"/>
                <w:numId w:val="20"/>
              </w:numPr>
              <w:spacing w:after="120" w:line="240" w:lineRule="auto"/>
              <w:jc w:val="both"/>
              <w:rPr>
                <w:rFonts w:ascii="Arial Narrow" w:hAnsi="Arial Narrow" w:cstheme="majorBidi"/>
              </w:rPr>
            </w:pPr>
            <w:r w:rsidRPr="00244882">
              <w:rPr>
                <w:rFonts w:ascii="Arial Narrow" w:hAnsi="Arial Narrow" w:cstheme="majorBidi"/>
              </w:rPr>
              <w:t>Experience with and knowledge of landlord incentives</w:t>
            </w:r>
          </w:p>
          <w:p w:rsidR="00087CEE" w:rsidRPr="000E3D2C" w:rsidP="00087CEE" w14:paraId="3EA1ACBE" w14:textId="28D8EF38">
            <w:pPr>
              <w:rPr>
                <w:rFonts w:ascii="Arial Narrow" w:eastAsia="Calibri" w:hAnsi="Arial Narrow" w:cstheme="majorBidi"/>
                <w:szCs w:val="22"/>
              </w:rPr>
            </w:pPr>
            <w:r w:rsidRPr="00244882">
              <w:rPr>
                <w:rFonts w:ascii="Arial Narrow" w:eastAsia="Calibri" w:hAnsi="Arial Narrow" w:cstheme="majorBidi"/>
                <w:b/>
                <w:i/>
                <w:szCs w:val="22"/>
              </w:rPr>
              <w:t>Justification:</w:t>
            </w:r>
            <w:r w:rsidRPr="000E3D2C">
              <w:rPr>
                <w:rFonts w:ascii="Arial Narrow" w:eastAsia="Calibri" w:hAnsi="Arial Narrow" w:cstheme="majorBidi"/>
                <w:szCs w:val="22"/>
              </w:rPr>
              <w:t xml:space="preserve"> The purpose of these in-depth interviews is to understand landlords’ motivation for participation in the HCV program and the role of PHA incentives in their decision making (if any). The interviews will allow the research team to understand landlord perspectives and business decisions and how they operate in different markets</w:t>
            </w:r>
            <w:r w:rsidRPr="000E3D2C">
              <w:rPr>
                <w:rFonts w:ascii="Arial Narrow" w:eastAsia="Calibri" w:hAnsi="Arial Narrow" w:cstheme="majorBidi"/>
                <w:szCs w:val="22"/>
              </w:rPr>
              <w:t xml:space="preserve"> </w:t>
            </w:r>
            <w:r w:rsidRPr="000E3D2C">
              <w:rPr>
                <w:rFonts w:ascii="Arial Narrow" w:eastAsia="Calibri" w:hAnsi="Arial Narrow" w:cstheme="majorBidi"/>
                <w:szCs w:val="22"/>
              </w:rPr>
              <w:t>and social networks. These data will be critical in understanding the mechanisms by which the incentives shifted participation (or failed to do so), permitting accurate interpretations of the impact study.</w:t>
            </w:r>
          </w:p>
        </w:tc>
      </w:tr>
      <w:tr w14:paraId="34E1ABF4" w14:textId="77777777" w:rsidTr="00F21C9D">
        <w:tblPrEx>
          <w:tblW w:w="9895" w:type="dxa"/>
          <w:tblLayout w:type="fixed"/>
          <w:tblCellMar>
            <w:left w:w="43" w:type="dxa"/>
            <w:right w:w="43" w:type="dxa"/>
          </w:tblCellMar>
          <w:tblLook w:val="04A0"/>
        </w:tblPrEx>
        <w:trPr>
          <w:cantSplit/>
          <w:trHeight w:val="6038"/>
        </w:trPr>
        <w:tc>
          <w:tcPr>
            <w:tcW w:w="1393" w:type="dxa"/>
            <w:shd w:val="clear" w:color="auto" w:fill="auto"/>
          </w:tcPr>
          <w:p w:rsidR="00087CEE" w:rsidP="00F21C9D" w14:paraId="797F37FD" w14:textId="77777777">
            <w:pPr>
              <w:rPr>
                <w:rFonts w:ascii="Arial Narrow" w:hAnsi="Arial Narrow" w:cstheme="majorBidi"/>
                <w:b/>
                <w:bCs/>
                <w:szCs w:val="22"/>
              </w:rPr>
            </w:pPr>
            <w:r w:rsidRPr="000E3D2C">
              <w:rPr>
                <w:rFonts w:ascii="Arial Narrow" w:hAnsi="Arial Narrow" w:cstheme="majorBidi"/>
                <w:b/>
                <w:szCs w:val="22"/>
              </w:rPr>
              <w:t xml:space="preserve">Landlord </w:t>
            </w:r>
            <w:r w:rsidRPr="000E3D2C">
              <w:rPr>
                <w:rFonts w:ascii="Arial Narrow" w:hAnsi="Arial Narrow" w:cstheme="majorBidi"/>
                <w:b/>
                <w:szCs w:val="22"/>
              </w:rPr>
              <w:t>QuIP</w:t>
            </w:r>
            <w:r>
              <w:rPr>
                <w:rFonts w:ascii="Arial Narrow" w:hAnsi="Arial Narrow" w:cstheme="majorBidi"/>
                <w:b/>
                <w:bCs/>
                <w:szCs w:val="22"/>
              </w:rPr>
              <w:t xml:space="preserve"> Interviews </w:t>
            </w:r>
          </w:p>
          <w:p w:rsidR="00087CEE" w:rsidP="00F21C9D" w14:paraId="2093CD96" w14:textId="77777777">
            <w:pPr>
              <w:rPr>
                <w:rFonts w:ascii="Arial Narrow" w:hAnsi="Arial Narrow" w:cstheme="majorBidi"/>
                <w:b/>
                <w:bCs/>
                <w:szCs w:val="22"/>
              </w:rPr>
            </w:pPr>
          </w:p>
          <w:p w:rsidR="00087CEE" w:rsidRPr="000E3D2C" w:rsidP="00F21C9D" w14:paraId="6142C3E3" w14:textId="77777777">
            <w:pPr>
              <w:rPr>
                <w:rFonts w:ascii="Arial Narrow" w:hAnsi="Arial Narrow" w:cstheme="majorBidi"/>
                <w:b/>
                <w:szCs w:val="22"/>
              </w:rPr>
            </w:pPr>
            <w:r>
              <w:rPr>
                <w:rFonts w:ascii="Arial Narrow" w:hAnsi="Arial Narrow" w:cstheme="majorBidi"/>
                <w:b/>
                <w:bCs/>
                <w:szCs w:val="22"/>
              </w:rPr>
              <w:t>(In-person or Phone/Web Conference)</w:t>
            </w:r>
          </w:p>
        </w:tc>
        <w:tc>
          <w:tcPr>
            <w:tcW w:w="8502" w:type="dxa"/>
          </w:tcPr>
          <w:p w:rsidR="00087CEE" w:rsidRPr="000E3D2C" w:rsidP="00087CEE" w14:paraId="19A26764" w14:textId="31A03B84">
            <w:pPr>
              <w:rPr>
                <w:rFonts w:ascii="Arial Narrow" w:hAnsi="Arial Narrow" w:cstheme="majorBidi"/>
                <w:szCs w:val="22"/>
              </w:rPr>
            </w:pPr>
            <w:r w:rsidRPr="00244882">
              <w:rPr>
                <w:rFonts w:ascii="Arial Narrow" w:hAnsi="Arial Narrow" w:cstheme="majorBidi"/>
                <w:b/>
                <w:i/>
                <w:szCs w:val="22"/>
              </w:rPr>
              <w:t>Respondents:</w:t>
            </w:r>
            <w:r w:rsidRPr="000E3D2C">
              <w:rPr>
                <w:rFonts w:ascii="Arial Narrow" w:hAnsi="Arial Narrow" w:cstheme="majorBidi"/>
                <w:szCs w:val="22"/>
              </w:rPr>
              <w:t xml:space="preserve"> Landlords and property managers with available rental units within each treatment PHA catchment area. This will include 1) landlords who rented to HCV families prior to incentives; 2) landlords who rented to HCV families only have incentives; 3) landlords who do not rent to HCV families.</w:t>
            </w:r>
          </w:p>
          <w:p w:rsidR="00087CEE" w:rsidRPr="00244882" w:rsidP="00F21C9D" w14:paraId="06652CB7" w14:textId="77777777">
            <w:pPr>
              <w:rPr>
                <w:rFonts w:ascii="Arial Narrow" w:hAnsi="Arial Narrow" w:cstheme="majorBidi"/>
                <w:b/>
                <w:i/>
                <w:szCs w:val="22"/>
              </w:rPr>
            </w:pPr>
            <w:r w:rsidRPr="00244882">
              <w:rPr>
                <w:rFonts w:ascii="Arial Narrow" w:hAnsi="Arial Narrow" w:cstheme="majorBidi"/>
                <w:b/>
                <w:i/>
                <w:szCs w:val="22"/>
              </w:rPr>
              <w:t>Topics:</w:t>
            </w:r>
          </w:p>
          <w:p w:rsidR="00087CEE" w:rsidRPr="00244882" w:rsidP="00F21C9D" w14:paraId="72712399" w14:textId="77777777">
            <w:pPr>
              <w:rPr>
                <w:rFonts w:ascii="Arial Narrow" w:hAnsi="Arial Narrow" w:cstheme="majorBidi"/>
                <w:szCs w:val="22"/>
              </w:rPr>
            </w:pPr>
            <w:r w:rsidRPr="00244882">
              <w:rPr>
                <w:rFonts w:ascii="Arial Narrow" w:hAnsi="Arial Narrow" w:cstheme="majorBidi"/>
                <w:szCs w:val="22"/>
              </w:rPr>
              <w:t>Topics explored will look for changes within the intervention window (2022-2025) in the following areas to see if respondents organically mention the incentives without specific probing about the HCV program:</w:t>
            </w:r>
          </w:p>
          <w:p w:rsidR="00087CEE" w:rsidRPr="00244882" w:rsidP="005D051A" w14:paraId="796F8A7B" w14:textId="77777777">
            <w:pPr>
              <w:pStyle w:val="ListParagraph"/>
              <w:numPr>
                <w:ilvl w:val="0"/>
                <w:numId w:val="21"/>
              </w:numPr>
              <w:spacing w:after="120" w:line="240" w:lineRule="auto"/>
              <w:jc w:val="both"/>
              <w:rPr>
                <w:rFonts w:ascii="Arial Narrow" w:hAnsi="Arial Narrow" w:cstheme="majorBidi"/>
              </w:rPr>
            </w:pPr>
            <w:r w:rsidRPr="00244882">
              <w:rPr>
                <w:rFonts w:ascii="Arial Narrow" w:hAnsi="Arial Narrow" w:cstheme="majorBidi"/>
              </w:rPr>
              <w:t>Business income and expenses</w:t>
            </w:r>
          </w:p>
          <w:p w:rsidR="00087CEE" w:rsidRPr="00244882" w:rsidP="005D051A" w14:paraId="47209216" w14:textId="77777777">
            <w:pPr>
              <w:pStyle w:val="ListParagraph"/>
              <w:numPr>
                <w:ilvl w:val="0"/>
                <w:numId w:val="21"/>
              </w:numPr>
              <w:spacing w:after="120" w:line="240" w:lineRule="auto"/>
              <w:jc w:val="both"/>
              <w:rPr>
                <w:rFonts w:ascii="Arial Narrow" w:hAnsi="Arial Narrow" w:cstheme="majorBidi"/>
              </w:rPr>
            </w:pPr>
            <w:r w:rsidRPr="00244882">
              <w:rPr>
                <w:rFonts w:ascii="Arial Narrow" w:hAnsi="Arial Narrow" w:cstheme="majorBidi"/>
              </w:rPr>
              <w:t>Risk management</w:t>
            </w:r>
          </w:p>
          <w:p w:rsidR="00087CEE" w:rsidRPr="00244882" w:rsidP="005D051A" w14:paraId="47912424" w14:textId="77777777">
            <w:pPr>
              <w:pStyle w:val="ListParagraph"/>
              <w:numPr>
                <w:ilvl w:val="0"/>
                <w:numId w:val="21"/>
              </w:numPr>
              <w:spacing w:after="120" w:line="240" w:lineRule="auto"/>
              <w:jc w:val="both"/>
              <w:rPr>
                <w:rFonts w:ascii="Arial Narrow" w:hAnsi="Arial Narrow" w:cstheme="majorBidi"/>
              </w:rPr>
            </w:pPr>
            <w:r w:rsidRPr="00244882">
              <w:rPr>
                <w:rFonts w:ascii="Arial Narrow" w:hAnsi="Arial Narrow" w:cstheme="majorBidi"/>
              </w:rPr>
              <w:t>Rental decisions including subsidized renters receiving HCV</w:t>
            </w:r>
          </w:p>
          <w:p w:rsidR="00087CEE" w:rsidRPr="00244882" w:rsidP="005D051A" w14:paraId="2624643A" w14:textId="77777777">
            <w:pPr>
              <w:pStyle w:val="ListParagraph"/>
              <w:numPr>
                <w:ilvl w:val="0"/>
                <w:numId w:val="21"/>
              </w:numPr>
              <w:spacing w:after="120" w:line="240" w:lineRule="auto"/>
              <w:jc w:val="both"/>
              <w:rPr>
                <w:rFonts w:ascii="Arial Narrow" w:hAnsi="Arial Narrow" w:cstheme="majorBidi"/>
              </w:rPr>
            </w:pPr>
            <w:r w:rsidRPr="00244882">
              <w:rPr>
                <w:rFonts w:ascii="Arial Narrow" w:hAnsi="Arial Narrow" w:cstheme="majorBidi"/>
              </w:rPr>
              <w:t>Relationship and experiences with different kinds of renters including subsidized renters receiving HCV</w:t>
            </w:r>
          </w:p>
          <w:p w:rsidR="00087CEE" w:rsidRPr="00244882" w:rsidP="005D051A" w14:paraId="5D25D52B" w14:textId="77777777">
            <w:pPr>
              <w:pStyle w:val="ListParagraph"/>
              <w:numPr>
                <w:ilvl w:val="0"/>
                <w:numId w:val="21"/>
              </w:numPr>
              <w:spacing w:after="120" w:line="240" w:lineRule="auto"/>
              <w:jc w:val="both"/>
              <w:rPr>
                <w:rFonts w:ascii="Arial Narrow" w:hAnsi="Arial Narrow" w:cstheme="majorBidi"/>
              </w:rPr>
            </w:pPr>
            <w:r w:rsidRPr="00244882">
              <w:rPr>
                <w:rFonts w:ascii="Arial Narrow" w:hAnsi="Arial Narrow" w:cstheme="majorBidi"/>
              </w:rPr>
              <w:t>Relationship with the PHA</w:t>
            </w:r>
          </w:p>
          <w:p w:rsidR="00087CEE" w:rsidRPr="00087CEE" w:rsidP="005D051A" w14:paraId="4B37D107" w14:textId="6947A559">
            <w:pPr>
              <w:pStyle w:val="ListParagraph"/>
              <w:numPr>
                <w:ilvl w:val="0"/>
                <w:numId w:val="21"/>
              </w:numPr>
              <w:spacing w:after="120" w:line="240" w:lineRule="auto"/>
              <w:jc w:val="both"/>
              <w:rPr>
                <w:rFonts w:ascii="Arial Narrow" w:hAnsi="Arial Narrow" w:cstheme="majorBidi"/>
              </w:rPr>
            </w:pPr>
            <w:r w:rsidRPr="00244882">
              <w:rPr>
                <w:rFonts w:ascii="Arial Narrow" w:hAnsi="Arial Narrow" w:cstheme="majorBidi"/>
              </w:rPr>
              <w:t>Marketing of available units</w:t>
            </w:r>
          </w:p>
          <w:p w:rsidR="00087CEE" w:rsidRPr="000E3D2C" w:rsidP="00F21C9D" w14:paraId="375AE3CB" w14:textId="77777777">
            <w:pPr>
              <w:rPr>
                <w:rFonts w:ascii="Arial Narrow" w:hAnsi="Arial Narrow" w:cstheme="majorBidi"/>
                <w:szCs w:val="22"/>
              </w:rPr>
            </w:pPr>
            <w:r w:rsidRPr="00244882">
              <w:rPr>
                <w:rFonts w:ascii="Arial Narrow" w:hAnsi="Arial Narrow" w:cstheme="majorBidi"/>
                <w:b/>
                <w:i/>
                <w:szCs w:val="22"/>
              </w:rPr>
              <w:t>Justification:</w:t>
            </w:r>
            <w:r w:rsidRPr="000E3D2C">
              <w:rPr>
                <w:rFonts w:ascii="Arial Narrow" w:hAnsi="Arial Narrow" w:cstheme="majorBidi"/>
                <w:szCs w:val="22"/>
              </w:rPr>
              <w:t xml:space="preserve"> The purpose of the </w:t>
            </w:r>
            <w:r w:rsidRPr="000E3D2C">
              <w:rPr>
                <w:rFonts w:ascii="Arial Narrow" w:hAnsi="Arial Narrow" w:cstheme="majorBidi"/>
                <w:szCs w:val="22"/>
              </w:rPr>
              <w:t>QuIP</w:t>
            </w:r>
            <w:r w:rsidRPr="000E3D2C">
              <w:rPr>
                <w:rFonts w:ascii="Arial Narrow" w:hAnsi="Arial Narrow" w:cstheme="majorBidi"/>
                <w:szCs w:val="22"/>
              </w:rPr>
              <w:t xml:space="preserve"> interviews is to establish whether, as a result of the MTW incentives, landlords have made different decisions in any areas of their rental business. The </w:t>
            </w:r>
            <w:r w:rsidRPr="000E3D2C">
              <w:rPr>
                <w:rFonts w:ascii="Arial Narrow" w:hAnsi="Arial Narrow" w:cstheme="majorBidi"/>
                <w:szCs w:val="22"/>
              </w:rPr>
              <w:t>QuIP</w:t>
            </w:r>
            <w:r w:rsidRPr="000E3D2C">
              <w:rPr>
                <w:rFonts w:ascii="Arial Narrow" w:hAnsi="Arial Narrow" w:cstheme="majorBidi"/>
                <w:szCs w:val="22"/>
              </w:rPr>
              <w:t xml:space="preserve"> uses a specific methodological approach </w:t>
            </w:r>
            <w:r>
              <w:rPr>
                <w:rFonts w:ascii="Arial Narrow" w:hAnsi="Arial Narrow" w:cstheme="majorBidi"/>
                <w:szCs w:val="22"/>
              </w:rPr>
              <w:t>that</w:t>
            </w:r>
            <w:r w:rsidRPr="000E3D2C">
              <w:rPr>
                <w:rFonts w:ascii="Arial Narrow" w:hAnsi="Arial Narrow" w:cstheme="majorBidi"/>
                <w:szCs w:val="22"/>
              </w:rPr>
              <w:t xml:space="preserve"> keeps interviewees blinded</w:t>
            </w:r>
            <w:r>
              <w:rPr>
                <w:rFonts w:ascii="Arial Narrow" w:hAnsi="Arial Narrow" w:cstheme="majorBidi"/>
                <w:szCs w:val="22"/>
              </w:rPr>
              <w:t>;</w:t>
            </w:r>
            <w:r w:rsidRPr="000E3D2C">
              <w:rPr>
                <w:rFonts w:ascii="Arial Narrow" w:hAnsi="Arial Narrow" w:cstheme="majorBidi"/>
                <w:szCs w:val="22"/>
              </w:rPr>
              <w:t xml:space="preserve"> they do not know what the intervention being studied is. From the changes—positive or negative—reported by landlords as resulting from a </w:t>
            </w:r>
            <w:r>
              <w:rPr>
                <w:rFonts w:ascii="Arial Narrow" w:hAnsi="Arial Narrow" w:cstheme="majorBidi"/>
                <w:szCs w:val="22"/>
              </w:rPr>
              <w:t>landlord</w:t>
            </w:r>
            <w:r w:rsidRPr="000E3D2C">
              <w:rPr>
                <w:rFonts w:ascii="Arial Narrow" w:hAnsi="Arial Narrow" w:cstheme="majorBidi"/>
                <w:szCs w:val="22"/>
              </w:rPr>
              <w:t xml:space="preserve"> incentive, the team can explore the perceived impact of the </w:t>
            </w:r>
            <w:r>
              <w:rPr>
                <w:rFonts w:ascii="Arial Narrow" w:hAnsi="Arial Narrow" w:cstheme="majorBidi"/>
                <w:szCs w:val="22"/>
              </w:rPr>
              <w:t>landlord incentives</w:t>
            </w:r>
            <w:r w:rsidRPr="000E3D2C">
              <w:rPr>
                <w:rFonts w:ascii="Arial Narrow" w:hAnsi="Arial Narrow" w:cstheme="majorBidi"/>
                <w:szCs w:val="22"/>
              </w:rPr>
              <w:t xml:space="preserve">, if any, on landlord decision-making. This data will allow the </w:t>
            </w:r>
            <w:r>
              <w:rPr>
                <w:rFonts w:ascii="Arial Narrow" w:hAnsi="Arial Narrow" w:cstheme="majorBidi"/>
                <w:szCs w:val="22"/>
              </w:rPr>
              <w:t>Abt</w:t>
            </w:r>
            <w:r>
              <w:rPr>
                <w:rFonts w:ascii="Arial Narrow" w:hAnsi="Arial Narrow" w:cstheme="majorBidi"/>
                <w:szCs w:val="22"/>
              </w:rPr>
              <w:t xml:space="preserve"> research</w:t>
            </w:r>
            <w:r w:rsidRPr="000E3D2C">
              <w:rPr>
                <w:rFonts w:ascii="Arial Narrow" w:hAnsi="Arial Narrow" w:cstheme="majorBidi"/>
                <w:szCs w:val="22"/>
              </w:rPr>
              <w:t xml:space="preserve"> team to assess impact through a methodological approach parallel to the quasi-experimental impact study.  </w:t>
            </w:r>
          </w:p>
        </w:tc>
      </w:tr>
    </w:tbl>
    <w:p w:rsidR="00E7420B" w:rsidP="003478A0" w14:paraId="0684F4A7" w14:textId="263658C3">
      <w:pPr>
        <w:pStyle w:val="BodyText"/>
      </w:pPr>
    </w:p>
    <w:p w:rsidR="006F299B" w:rsidP="008615B4" w14:paraId="0684F4A8" w14:textId="731233C7">
      <w:pPr>
        <w:pStyle w:val="Heading2"/>
      </w:pPr>
      <w:bookmarkStart w:id="4" w:name="_Toc106789170"/>
      <w:r w:rsidRPr="001034D3">
        <w:t>A</w:t>
      </w:r>
      <w:r w:rsidR="00626051">
        <w:t>.</w:t>
      </w:r>
      <w:r w:rsidRPr="001034D3">
        <w:t xml:space="preserve">3: </w:t>
      </w:r>
      <w:r w:rsidR="009B6198">
        <w:t>Use of Information Technology</w:t>
      </w:r>
      <w:bookmarkEnd w:id="4"/>
    </w:p>
    <w:p w:rsidR="00042D5A" w:rsidP="00042D5A" w14:paraId="619148B3" w14:textId="72902A07">
      <w:pPr>
        <w:rPr>
          <w:rFonts w:asciiTheme="majorBidi" w:hAnsiTheme="majorBidi" w:cstheme="majorBidi"/>
        </w:rPr>
      </w:pPr>
      <w:r w:rsidRPr="00326438">
        <w:rPr>
          <w:rFonts w:asciiTheme="majorBidi" w:hAnsiTheme="majorBidi" w:cstheme="majorBidi"/>
        </w:rPr>
        <w:t xml:space="preserve">In accordance with the E-Government Act of 2002, information technology has been incorporated into the data collection to reduce respondent burden. Electronic mail will be used, whenever possible, to communicate with </w:t>
      </w:r>
      <w:r>
        <w:rPr>
          <w:rFonts w:asciiTheme="majorBidi" w:hAnsiTheme="majorBidi" w:cstheme="majorBidi"/>
        </w:rPr>
        <w:t xml:space="preserve">PHAs and landlords to request their participation in interviews. </w:t>
      </w:r>
      <w:r w:rsidRPr="005732E8">
        <w:rPr>
          <w:rFonts w:asciiTheme="majorBidi" w:hAnsiTheme="majorBidi" w:cstheme="majorBidi"/>
        </w:rPr>
        <w:t xml:space="preserve"> </w:t>
      </w:r>
      <w:r>
        <w:rPr>
          <w:rFonts w:asciiTheme="majorBidi" w:hAnsiTheme="majorBidi" w:cstheme="majorBidi"/>
        </w:rPr>
        <w:t>In addition, we will use Calendly – an online scheduling tool – to allow landlords and PHA staff to quickly find an interview time that works for their schedule, minimizing the need for additional emails.</w:t>
      </w:r>
    </w:p>
    <w:p w:rsidR="00042D5A" w:rsidRPr="0044434F" w:rsidP="00042D5A" w14:paraId="73E59CF6" w14:textId="34FEBCD2">
      <w:pPr>
        <w:rPr>
          <w:rFonts w:asciiTheme="majorBidi" w:hAnsiTheme="majorBidi" w:cstheme="majorBidi"/>
        </w:rPr>
      </w:pPr>
      <w:r w:rsidRPr="0044434F">
        <w:rPr>
          <w:rFonts w:asciiTheme="majorBidi" w:hAnsiTheme="majorBidi" w:cstheme="majorBidi"/>
        </w:rPr>
        <w:t xml:space="preserve">Interviews with PHAs and landlords will primarily be conducted in-person, with one round of treatment PHA interviews taking place by phone. With participants’ permission, interviewers will audio-record all interviews so that the interviewer can fully focus on conducting the interview without pauses or delays for notetaking. </w:t>
      </w:r>
      <w:r>
        <w:rPr>
          <w:rFonts w:asciiTheme="majorBidi" w:hAnsiTheme="majorBidi" w:cstheme="majorBidi"/>
        </w:rPr>
        <w:t xml:space="preserve"> </w:t>
      </w:r>
      <w:r w:rsidRPr="0044434F">
        <w:rPr>
          <w:rFonts w:asciiTheme="majorBidi" w:hAnsiTheme="majorBidi" w:cstheme="majorBidi"/>
        </w:rPr>
        <w:t xml:space="preserve">If in-person data collection is not feasible due to travel restrictions or health risks posed by the COVID-19 pandemic, the </w:t>
      </w:r>
      <w:r>
        <w:rPr>
          <w:rFonts w:asciiTheme="majorBidi" w:hAnsiTheme="majorBidi" w:cstheme="majorBidi"/>
        </w:rPr>
        <w:t>Abt</w:t>
      </w:r>
      <w:r>
        <w:rPr>
          <w:rFonts w:asciiTheme="majorBidi" w:hAnsiTheme="majorBidi" w:cstheme="majorBidi"/>
        </w:rPr>
        <w:t xml:space="preserve"> research</w:t>
      </w:r>
      <w:r w:rsidRPr="0044434F">
        <w:rPr>
          <w:rFonts w:asciiTheme="majorBidi" w:hAnsiTheme="majorBidi" w:cstheme="majorBidi"/>
        </w:rPr>
        <w:t xml:space="preserve"> team is prepared to conduct all interviews remotely. Remote interviews will either take place over the phone or through Webex</w:t>
      </w:r>
      <w:r>
        <w:rPr>
          <w:rFonts w:asciiTheme="majorBidi" w:hAnsiTheme="majorBidi" w:cstheme="majorBidi"/>
        </w:rPr>
        <w:t xml:space="preserve"> or Microsoft Team</w:t>
      </w:r>
      <w:r w:rsidRPr="0044434F">
        <w:rPr>
          <w:rFonts w:asciiTheme="majorBidi" w:hAnsiTheme="majorBidi" w:cstheme="majorBidi"/>
        </w:rPr>
        <w:t>, secure web conferencing platform</w:t>
      </w:r>
      <w:r>
        <w:rPr>
          <w:rFonts w:asciiTheme="majorBidi" w:hAnsiTheme="majorBidi" w:cstheme="majorBidi"/>
        </w:rPr>
        <w:t>s</w:t>
      </w:r>
      <w:r w:rsidRPr="0044434F">
        <w:rPr>
          <w:rFonts w:asciiTheme="majorBidi" w:hAnsiTheme="majorBidi" w:cstheme="majorBidi"/>
        </w:rPr>
        <w:t xml:space="preserve">, depending on the participants’ preferences. </w:t>
      </w:r>
    </w:p>
    <w:p w:rsidR="00042D5A" w:rsidRPr="0044434F" w:rsidP="00042D5A" w14:paraId="4AC37A5C" w14:textId="77777777">
      <w:pPr>
        <w:rPr>
          <w:rFonts w:asciiTheme="majorBidi" w:hAnsiTheme="majorBidi" w:cstheme="majorBidi"/>
        </w:rPr>
      </w:pPr>
      <w:r>
        <w:rPr>
          <w:rFonts w:asciiTheme="majorBidi" w:hAnsiTheme="majorBidi" w:cstheme="majorBidi"/>
        </w:rPr>
        <w:t>PHA surveys will be completed online using</w:t>
      </w:r>
      <w:r w:rsidRPr="0044434F">
        <w:rPr>
          <w:rFonts w:asciiTheme="majorBidi" w:hAnsiTheme="majorBidi" w:cstheme="majorBidi"/>
        </w:rPr>
        <w:t xml:space="preserve"> </w:t>
      </w:r>
      <w:r w:rsidRPr="0044434F">
        <w:rPr>
          <w:rFonts w:asciiTheme="majorBidi" w:hAnsiTheme="majorBidi" w:cstheme="majorBidi"/>
        </w:rPr>
        <w:t>ConfirmIT</w:t>
      </w:r>
      <w:r w:rsidRPr="0044434F">
        <w:rPr>
          <w:rFonts w:asciiTheme="majorBidi" w:hAnsiTheme="majorBidi" w:cstheme="majorBidi"/>
        </w:rPr>
        <w:t xml:space="preserve">, a user-friendly survey application. Respondents will receive a link to the survey via email and enter their responses directly into the survey. To reduce participant burden, to the extent possible, surveys will be pre-populated with information from </w:t>
      </w:r>
      <w:r>
        <w:rPr>
          <w:rFonts w:asciiTheme="majorBidi" w:hAnsiTheme="majorBidi" w:cstheme="majorBidi"/>
        </w:rPr>
        <w:t xml:space="preserve">administrative </w:t>
      </w:r>
      <w:r w:rsidRPr="0044434F">
        <w:rPr>
          <w:rFonts w:asciiTheme="majorBidi" w:hAnsiTheme="majorBidi" w:cstheme="majorBidi"/>
        </w:rPr>
        <w:t>sources (for example, using PIC/IMS data to pre-populate the PHA name</w:t>
      </w:r>
      <w:r>
        <w:rPr>
          <w:rFonts w:asciiTheme="majorBidi" w:hAnsiTheme="majorBidi" w:cstheme="majorBidi"/>
        </w:rPr>
        <w:t xml:space="preserve"> and success rate, and using text responses from the baseline survey to pre-populate text fields in the follow-up survey</w:t>
      </w:r>
      <w:r w:rsidRPr="0044434F">
        <w:rPr>
          <w:rFonts w:asciiTheme="majorBidi" w:hAnsiTheme="majorBidi" w:cstheme="majorBidi"/>
        </w:rPr>
        <w:t xml:space="preserve">).  </w:t>
      </w:r>
    </w:p>
    <w:p w:rsidR="006F299B" w:rsidP="008615B4" w14:paraId="0684F4AA" w14:textId="77777777">
      <w:pPr>
        <w:pStyle w:val="Heading2"/>
      </w:pPr>
      <w:bookmarkStart w:id="5" w:name="_Toc106789171"/>
      <w:r w:rsidRPr="006236E7">
        <w:t>A</w:t>
      </w:r>
      <w:r w:rsidR="00626051">
        <w:t>.</w:t>
      </w:r>
      <w:r w:rsidRPr="006236E7">
        <w:t xml:space="preserve">4: Efforts to </w:t>
      </w:r>
      <w:r w:rsidRPr="006236E7" w:rsidR="00222854">
        <w:t>Identify Duplication</w:t>
      </w:r>
      <w:bookmarkEnd w:id="5"/>
    </w:p>
    <w:p w:rsidR="00A33CF4" w:rsidP="00A33CF4" w14:paraId="53D6A881" w14:textId="38EFA495">
      <w:pPr>
        <w:rPr>
          <w:rFonts w:asciiTheme="majorBidi" w:hAnsiTheme="majorBidi" w:cstheme="majorBidi"/>
        </w:rPr>
      </w:pPr>
      <w:r w:rsidRPr="00326438">
        <w:rPr>
          <w:rFonts w:asciiTheme="majorBidi" w:hAnsiTheme="majorBidi" w:cstheme="majorBidi"/>
        </w:rPr>
        <w:t xml:space="preserve">As part of the design process for the study, </w:t>
      </w:r>
      <w:r>
        <w:rPr>
          <w:rFonts w:asciiTheme="majorBidi" w:hAnsiTheme="majorBidi" w:cstheme="majorBidi"/>
        </w:rPr>
        <w:t>Abt</w:t>
      </w:r>
      <w:r>
        <w:rPr>
          <w:rFonts w:asciiTheme="majorBidi" w:hAnsiTheme="majorBidi" w:cstheme="majorBidi"/>
        </w:rPr>
        <w:t xml:space="preserve"> Associates</w:t>
      </w:r>
      <w:r w:rsidRPr="00326438">
        <w:rPr>
          <w:rFonts w:asciiTheme="majorBidi" w:hAnsiTheme="majorBidi" w:cstheme="majorBidi"/>
        </w:rPr>
        <w:t xml:space="preserve"> conducted a review of literature regarding the HCV program. No studies were identified that involved discussions with landlords regarding landlord incentive programs except in the mobility program context. HUD is unaware of any other studies for which this study represents a duplicate research effort.</w:t>
      </w:r>
      <w:r>
        <w:rPr>
          <w:rFonts w:asciiTheme="majorBidi" w:hAnsiTheme="majorBidi" w:cstheme="majorBidi"/>
        </w:rPr>
        <w:t xml:space="preserve"> </w:t>
      </w:r>
    </w:p>
    <w:p w:rsidR="00B24BAF" w:rsidRPr="00A33CF4" w:rsidP="00A33CF4" w14:paraId="0684F4AD" w14:textId="666F6771">
      <w:pPr>
        <w:rPr>
          <w:rFonts w:asciiTheme="majorBidi" w:hAnsiTheme="majorBidi" w:cstheme="majorBidi"/>
        </w:rPr>
      </w:pPr>
      <w:r>
        <w:rPr>
          <w:rFonts w:asciiTheme="majorBidi" w:hAnsiTheme="majorBidi" w:cstheme="majorBidi"/>
        </w:rPr>
        <w:t xml:space="preserve">The </w:t>
      </w:r>
      <w:r>
        <w:rPr>
          <w:rFonts w:asciiTheme="majorBidi" w:hAnsiTheme="majorBidi" w:cstheme="majorBidi"/>
        </w:rPr>
        <w:t>Abt</w:t>
      </w:r>
      <w:r>
        <w:rPr>
          <w:rFonts w:asciiTheme="majorBidi" w:hAnsiTheme="majorBidi" w:cstheme="majorBidi"/>
        </w:rPr>
        <w:t xml:space="preserve"> research team also reviewed existing sources of secondary data for PHAs (such as IMS/PIC data and the template for MTW Supplements) prior to designing the PHA surveys.  The surveys are designed to capture information that is not otherwise available in these secondary sources.</w:t>
      </w:r>
      <w:r>
        <w:t xml:space="preserve">  </w:t>
      </w:r>
    </w:p>
    <w:p w:rsidR="006F299B" w:rsidP="008615B4" w14:paraId="0684F4AE" w14:textId="77777777">
      <w:pPr>
        <w:pStyle w:val="Heading2"/>
      </w:pPr>
      <w:bookmarkStart w:id="6" w:name="_Toc106789172"/>
      <w:r w:rsidRPr="004E0069">
        <w:t>A</w:t>
      </w:r>
      <w:r w:rsidR="00626051">
        <w:t>.</w:t>
      </w:r>
      <w:r w:rsidRPr="004E0069">
        <w:t xml:space="preserve">5: Involvement of </w:t>
      </w:r>
      <w:r w:rsidRPr="004E0069" w:rsidR="00222854">
        <w:t>Small Organizations</w:t>
      </w:r>
      <w:bookmarkEnd w:id="6"/>
    </w:p>
    <w:p w:rsidR="001C036E" w:rsidP="00236B01" w14:paraId="0684F4AF" w14:textId="7AF353AD">
      <w:pPr>
        <w:pStyle w:val="BodyText"/>
      </w:pPr>
      <w:r w:rsidRPr="00326438">
        <w:rPr>
          <w:rFonts w:asciiTheme="majorBidi" w:hAnsiTheme="majorBidi" w:cstheme="majorBidi"/>
        </w:rPr>
        <w:t xml:space="preserve">This data collection effort may include interviews with landlords who are owners of rental properties, and these owners could include small property ownership entities. However, this is a voluntary interview and </w:t>
      </w:r>
      <w:r w:rsidRPr="0044434F">
        <w:rPr>
          <w:rFonts w:asciiTheme="majorBidi" w:hAnsiTheme="majorBidi" w:cstheme="majorBidi"/>
        </w:rPr>
        <w:t>interviews have been designed to minimize burden. Landlords will have the option to participate in-person at a location convenient to the landlord or by phone. Interviews</w:t>
      </w:r>
      <w:r w:rsidRPr="00326438">
        <w:rPr>
          <w:rFonts w:asciiTheme="majorBidi" w:hAnsiTheme="majorBidi" w:cstheme="majorBidi"/>
        </w:rPr>
        <w:t xml:space="preserve"> will be </w:t>
      </w:r>
      <w:r>
        <w:rPr>
          <w:rFonts w:asciiTheme="majorBidi" w:hAnsiTheme="majorBidi" w:cstheme="majorBidi"/>
        </w:rPr>
        <w:t>audio-</w:t>
      </w:r>
      <w:r w:rsidRPr="0044434F">
        <w:rPr>
          <w:rFonts w:asciiTheme="majorBidi" w:hAnsiTheme="majorBidi" w:cstheme="majorBidi"/>
        </w:rPr>
        <w:t>recorded to minimize disruptions or delays for note-taking.</w:t>
      </w:r>
      <w:r w:rsidRPr="00326438">
        <w:rPr>
          <w:rFonts w:asciiTheme="majorBidi" w:hAnsiTheme="majorBidi" w:cstheme="majorBidi"/>
        </w:rPr>
        <w:t xml:space="preserve"> At </w:t>
      </w:r>
      <w:r w:rsidRPr="0022646A">
        <w:rPr>
          <w:rFonts w:asciiTheme="majorBidi" w:hAnsiTheme="majorBidi" w:cstheme="majorBidi"/>
        </w:rPr>
        <w:t>most, 400 landlords will participate in the data collection and each participant will be given $50 as a token</w:t>
      </w:r>
      <w:r>
        <w:rPr>
          <w:rFonts w:asciiTheme="majorBidi" w:hAnsiTheme="majorBidi" w:cstheme="majorBidi"/>
        </w:rPr>
        <w:t xml:space="preserve"> of appreciation for their participation.</w:t>
      </w:r>
      <w:r w:rsidR="00216B09">
        <w:t xml:space="preserve">  </w:t>
      </w:r>
    </w:p>
    <w:p w:rsidR="006F299B" w:rsidRPr="0087138F" w:rsidP="008615B4" w14:paraId="0684F4B0" w14:textId="4F5E1920">
      <w:pPr>
        <w:pStyle w:val="Heading2"/>
      </w:pPr>
      <w:bookmarkStart w:id="7" w:name="_Toc106789173"/>
      <w:r w:rsidRPr="0087138F">
        <w:t>A</w:t>
      </w:r>
      <w:r w:rsidR="00626051">
        <w:t>.</w:t>
      </w:r>
      <w:r w:rsidRPr="0087138F">
        <w:t xml:space="preserve">6: Consequences of </w:t>
      </w:r>
      <w:r w:rsidR="00223968">
        <w:t>No</w:t>
      </w:r>
      <w:r w:rsidR="0049036C">
        <w:t xml:space="preserve"> or Less Frequent Data Collection</w:t>
      </w:r>
      <w:bookmarkEnd w:id="7"/>
    </w:p>
    <w:p w:rsidR="00216B09" w:rsidRPr="002D1E91" w:rsidP="002D1E91" w14:paraId="0684F4B4" w14:textId="3D89A2BC">
      <w:pPr>
        <w:rPr>
          <w:rFonts w:asciiTheme="majorBidi" w:hAnsiTheme="majorBidi" w:cstheme="majorBidi"/>
        </w:rPr>
      </w:pPr>
      <w:r w:rsidRPr="00326438">
        <w:rPr>
          <w:rFonts w:asciiTheme="majorBidi" w:hAnsiTheme="majorBidi" w:cstheme="majorBidi"/>
        </w:rPr>
        <w:t xml:space="preserve">This data collection effort will only be conducted once and under specific contract guidelines. </w:t>
      </w:r>
      <w:r>
        <w:rPr>
          <w:rFonts w:asciiTheme="majorBidi" w:hAnsiTheme="majorBidi" w:cstheme="majorBidi"/>
        </w:rPr>
        <w:t>Without the data collection activities described in this statement,</w:t>
      </w:r>
      <w:r w:rsidRPr="00326438">
        <w:rPr>
          <w:rFonts w:asciiTheme="majorBidi" w:hAnsiTheme="majorBidi" w:cstheme="majorBidi"/>
        </w:rPr>
        <w:t xml:space="preserve"> </w:t>
      </w:r>
      <w:r>
        <w:rPr>
          <w:rFonts w:asciiTheme="majorBidi" w:hAnsiTheme="majorBidi" w:cstheme="majorBidi"/>
        </w:rPr>
        <w:t>HUD</w:t>
      </w:r>
      <w:r w:rsidRPr="00326438">
        <w:rPr>
          <w:rFonts w:asciiTheme="majorBidi" w:hAnsiTheme="majorBidi" w:cstheme="majorBidi"/>
        </w:rPr>
        <w:t xml:space="preserve"> would have incomplete information </w:t>
      </w:r>
      <w:r>
        <w:rPr>
          <w:rFonts w:asciiTheme="majorBidi" w:hAnsiTheme="majorBidi" w:cstheme="majorBidi"/>
        </w:rPr>
        <w:t>to evaluate the effectiveness of landlord incentives on program outcomes</w:t>
      </w:r>
      <w:r w:rsidRPr="0044434F">
        <w:rPr>
          <w:rFonts w:asciiTheme="majorBidi" w:hAnsiTheme="majorBidi" w:cstheme="majorBidi"/>
        </w:rPr>
        <w:t>.</w:t>
      </w:r>
      <w:r w:rsidRPr="00326438">
        <w:rPr>
          <w:rFonts w:asciiTheme="majorBidi" w:hAnsiTheme="majorBidi" w:cstheme="majorBidi"/>
        </w:rPr>
        <w:t xml:space="preserve"> If </w:t>
      </w:r>
      <w:r>
        <w:rPr>
          <w:rFonts w:asciiTheme="majorBidi" w:hAnsiTheme="majorBidi" w:cstheme="majorBidi"/>
        </w:rPr>
        <w:t>the data collection activities described in this statement</w:t>
      </w:r>
      <w:r w:rsidRPr="00326438">
        <w:rPr>
          <w:rFonts w:asciiTheme="majorBidi" w:hAnsiTheme="majorBidi" w:cstheme="majorBidi"/>
        </w:rPr>
        <w:t xml:space="preserve"> </w:t>
      </w:r>
      <w:r>
        <w:rPr>
          <w:rFonts w:asciiTheme="majorBidi" w:hAnsiTheme="majorBidi" w:cstheme="majorBidi"/>
        </w:rPr>
        <w:t>are</w:t>
      </w:r>
      <w:r w:rsidRPr="00326438">
        <w:rPr>
          <w:rFonts w:asciiTheme="majorBidi" w:hAnsiTheme="majorBidi" w:cstheme="majorBidi"/>
        </w:rPr>
        <w:t xml:space="preserve"> not approved, the evaluation </w:t>
      </w:r>
      <w:r>
        <w:rPr>
          <w:rFonts w:asciiTheme="majorBidi" w:hAnsiTheme="majorBidi" w:cstheme="majorBidi"/>
        </w:rPr>
        <w:t>of the Landlord Incentives Cohort would rely only on</w:t>
      </w:r>
      <w:r w:rsidRPr="0044434F">
        <w:rPr>
          <w:rFonts w:asciiTheme="majorBidi" w:hAnsiTheme="majorBidi" w:cstheme="majorBidi"/>
        </w:rPr>
        <w:t xml:space="preserve"> </w:t>
      </w:r>
      <w:r>
        <w:rPr>
          <w:rFonts w:asciiTheme="majorBidi" w:hAnsiTheme="majorBidi" w:cstheme="majorBidi"/>
        </w:rPr>
        <w:t xml:space="preserve">secondary </w:t>
      </w:r>
      <w:r w:rsidRPr="0044434F">
        <w:rPr>
          <w:rFonts w:asciiTheme="majorBidi" w:hAnsiTheme="majorBidi" w:cstheme="majorBidi"/>
        </w:rPr>
        <w:t>data sources</w:t>
      </w:r>
      <w:r>
        <w:rPr>
          <w:rFonts w:asciiTheme="majorBidi" w:hAnsiTheme="majorBidi" w:cstheme="majorBidi"/>
        </w:rPr>
        <w:t xml:space="preserve"> (such as HUD administrative data)</w:t>
      </w:r>
      <w:r w:rsidRPr="0044434F">
        <w:rPr>
          <w:rFonts w:asciiTheme="majorBidi" w:hAnsiTheme="majorBidi" w:cstheme="majorBidi"/>
        </w:rPr>
        <w:t xml:space="preserve"> </w:t>
      </w:r>
      <w:r>
        <w:rPr>
          <w:rFonts w:asciiTheme="majorBidi" w:hAnsiTheme="majorBidi" w:cstheme="majorBidi"/>
        </w:rPr>
        <w:t xml:space="preserve">to address the research questions. </w:t>
      </w:r>
      <w:r w:rsidRPr="0044434F">
        <w:rPr>
          <w:rFonts w:asciiTheme="majorBidi" w:hAnsiTheme="majorBidi" w:cstheme="majorBidi"/>
        </w:rPr>
        <w:t xml:space="preserve">These </w:t>
      </w:r>
      <w:r>
        <w:rPr>
          <w:rFonts w:asciiTheme="majorBidi" w:hAnsiTheme="majorBidi" w:cstheme="majorBidi"/>
        </w:rPr>
        <w:t>secondary sources could</w:t>
      </w:r>
      <w:r w:rsidRPr="00326438">
        <w:rPr>
          <w:rFonts w:asciiTheme="majorBidi" w:hAnsiTheme="majorBidi" w:cstheme="majorBidi"/>
        </w:rPr>
        <w:t xml:space="preserve"> </w:t>
      </w:r>
      <w:r>
        <w:rPr>
          <w:rFonts w:asciiTheme="majorBidi" w:hAnsiTheme="majorBidi" w:cstheme="majorBidi"/>
        </w:rPr>
        <w:t>help HUD determine</w:t>
      </w:r>
      <w:r w:rsidRPr="00326438">
        <w:rPr>
          <w:rFonts w:asciiTheme="majorBidi" w:hAnsiTheme="majorBidi" w:cstheme="majorBidi"/>
        </w:rPr>
        <w:t xml:space="preserve"> </w:t>
      </w:r>
      <w:r w:rsidRPr="003D1410">
        <w:rPr>
          <w:rFonts w:asciiTheme="majorBidi" w:hAnsiTheme="majorBidi" w:cstheme="majorBidi"/>
          <w:i/>
          <w:iCs/>
        </w:rPr>
        <w:t>whether</w:t>
      </w:r>
      <w:r w:rsidRPr="00BB5C58">
        <w:rPr>
          <w:rFonts w:asciiTheme="majorBidi" w:hAnsiTheme="majorBidi" w:cstheme="majorBidi"/>
          <w:i/>
        </w:rPr>
        <w:t xml:space="preserve"> </w:t>
      </w:r>
      <w:r w:rsidRPr="00326438">
        <w:rPr>
          <w:rFonts w:asciiTheme="majorBidi" w:hAnsiTheme="majorBidi" w:cstheme="majorBidi"/>
        </w:rPr>
        <w:t xml:space="preserve">landlord incentives </w:t>
      </w:r>
      <w:r>
        <w:rPr>
          <w:rFonts w:asciiTheme="majorBidi" w:hAnsiTheme="majorBidi" w:cstheme="majorBidi"/>
        </w:rPr>
        <w:t>led to improved program outcomes; however,</w:t>
      </w:r>
      <w:r w:rsidRPr="00326438">
        <w:rPr>
          <w:rFonts w:asciiTheme="majorBidi" w:hAnsiTheme="majorBidi" w:cstheme="majorBidi"/>
        </w:rPr>
        <w:t xml:space="preserve"> </w:t>
      </w:r>
      <w:r>
        <w:rPr>
          <w:rFonts w:asciiTheme="majorBidi" w:hAnsiTheme="majorBidi" w:cstheme="majorBidi"/>
        </w:rPr>
        <w:t>without primary data collection, it would be impossible to determine</w:t>
      </w:r>
      <w:r w:rsidRPr="00326438">
        <w:rPr>
          <w:rFonts w:asciiTheme="majorBidi" w:hAnsiTheme="majorBidi" w:cstheme="majorBidi"/>
        </w:rPr>
        <w:t xml:space="preserve"> </w:t>
      </w:r>
      <w:r w:rsidRPr="003D1410">
        <w:rPr>
          <w:rFonts w:asciiTheme="majorBidi" w:hAnsiTheme="majorBidi" w:cstheme="majorBidi"/>
          <w:i/>
          <w:iCs/>
        </w:rPr>
        <w:t>why</w:t>
      </w:r>
      <w:r w:rsidRPr="00326438">
        <w:rPr>
          <w:rFonts w:asciiTheme="majorBidi" w:hAnsiTheme="majorBidi" w:cstheme="majorBidi"/>
        </w:rPr>
        <w:t xml:space="preserve"> they were</w:t>
      </w:r>
      <w:r>
        <w:rPr>
          <w:rFonts w:asciiTheme="majorBidi" w:hAnsiTheme="majorBidi" w:cstheme="majorBidi"/>
        </w:rPr>
        <w:t xml:space="preserve"> successful, which is one of the key goals of this research</w:t>
      </w:r>
      <w:r w:rsidRPr="0044434F">
        <w:rPr>
          <w:rFonts w:asciiTheme="majorBidi" w:hAnsiTheme="majorBidi" w:cstheme="majorBidi"/>
        </w:rPr>
        <w:t>.</w:t>
      </w:r>
      <w:r>
        <w:rPr>
          <w:rFonts w:asciiTheme="majorBidi" w:hAnsiTheme="majorBidi" w:cstheme="majorBidi"/>
        </w:rPr>
        <w:t xml:space="preserve"> </w:t>
      </w:r>
      <w:r w:rsidRPr="00326438">
        <w:rPr>
          <w:rFonts w:asciiTheme="majorBidi" w:hAnsiTheme="majorBidi" w:cstheme="majorBidi"/>
        </w:rPr>
        <w:t xml:space="preserve">A full assessment of the use of </w:t>
      </w:r>
      <w:r>
        <w:rPr>
          <w:rFonts w:asciiTheme="majorBidi" w:hAnsiTheme="majorBidi" w:cstheme="majorBidi"/>
        </w:rPr>
        <w:t>landlord incentives</w:t>
      </w:r>
      <w:r w:rsidRPr="00326438">
        <w:rPr>
          <w:rFonts w:asciiTheme="majorBidi" w:hAnsiTheme="majorBidi" w:cstheme="majorBidi"/>
        </w:rPr>
        <w:t xml:space="preserve"> is crucial as </w:t>
      </w:r>
      <w:r>
        <w:rPr>
          <w:rFonts w:asciiTheme="majorBidi" w:hAnsiTheme="majorBidi" w:cstheme="majorBidi"/>
        </w:rPr>
        <w:t>HUD</w:t>
      </w:r>
      <w:r w:rsidRPr="00326438">
        <w:rPr>
          <w:rFonts w:asciiTheme="majorBidi" w:hAnsiTheme="majorBidi" w:cstheme="majorBidi"/>
        </w:rPr>
        <w:t xml:space="preserve"> considers how to improve </w:t>
      </w:r>
      <w:r>
        <w:rPr>
          <w:rFonts w:asciiTheme="majorBidi" w:hAnsiTheme="majorBidi" w:cstheme="majorBidi"/>
        </w:rPr>
        <w:t>success</w:t>
      </w:r>
      <w:r w:rsidRPr="00326438">
        <w:rPr>
          <w:rFonts w:asciiTheme="majorBidi" w:hAnsiTheme="majorBidi" w:cstheme="majorBidi"/>
        </w:rPr>
        <w:t xml:space="preserve"> rates in the HCV program.</w:t>
      </w:r>
      <w:r w:rsidR="00635E36">
        <w:t xml:space="preserve">  </w:t>
      </w:r>
    </w:p>
    <w:p w:rsidR="006F299B" w:rsidP="008615B4" w14:paraId="0684F4B5" w14:textId="77777777">
      <w:pPr>
        <w:pStyle w:val="Heading2"/>
      </w:pPr>
      <w:bookmarkStart w:id="8" w:name="_Toc106789174"/>
      <w:r w:rsidRPr="001034D3">
        <w:t>A</w:t>
      </w:r>
      <w:r w:rsidR="00626051">
        <w:t>.</w:t>
      </w:r>
      <w:r w:rsidRPr="001034D3">
        <w:t xml:space="preserve">7: Special </w:t>
      </w:r>
      <w:r w:rsidR="00911BD5">
        <w:t>C</w:t>
      </w:r>
      <w:r w:rsidRPr="001034D3">
        <w:t>ircumstances</w:t>
      </w:r>
      <w:bookmarkEnd w:id="8"/>
    </w:p>
    <w:p w:rsidR="00F00FB6" w:rsidRPr="00F00FB6" w:rsidP="00F00FB6" w14:paraId="4CA61847" w14:textId="18E0FD45">
      <w:pPr>
        <w:rPr>
          <w:rFonts w:asciiTheme="majorBidi" w:hAnsiTheme="majorBidi" w:cstheme="majorBidi"/>
          <w:szCs w:val="22"/>
        </w:rPr>
      </w:pPr>
      <w:r w:rsidRPr="00F00FB6">
        <w:rPr>
          <w:rFonts w:asciiTheme="majorBidi" w:hAnsiTheme="majorBidi" w:cstheme="majorBidi"/>
          <w:szCs w:val="22"/>
        </w:rPr>
        <w:t>The proposed data collection activities are consistent with the guidelines set forth in 5 CFR 1320.6 (Controlling Paperwork Burden on the Public – General Information Collection Guidelines). As noted below, there are no special circumstances that require deviation from these guidelines.</w:t>
      </w:r>
    </w:p>
    <w:p w:rsidR="00F00FB6" w:rsidRPr="00F00FB6" w:rsidP="005D051A" w14:paraId="1AFE399B" w14:textId="77777777">
      <w:pPr>
        <w:pStyle w:val="ListParagraph"/>
        <w:numPr>
          <w:ilvl w:val="0"/>
          <w:numId w:val="22"/>
        </w:numPr>
        <w:spacing w:after="120" w:line="240" w:lineRule="auto"/>
        <w:rPr>
          <w:rFonts w:asciiTheme="majorBidi" w:hAnsiTheme="majorBidi" w:cstheme="majorBidi"/>
          <w:b/>
          <w:bCs/>
        </w:rPr>
      </w:pPr>
      <w:r w:rsidRPr="00F00FB6">
        <w:rPr>
          <w:rFonts w:asciiTheme="majorBidi" w:hAnsiTheme="majorBidi" w:cstheme="majorBidi"/>
          <w:b/>
          <w:bCs/>
        </w:rPr>
        <w:t xml:space="preserve">Requiring respondents to report information to the agency more than quarterly: </w:t>
      </w:r>
      <w:r w:rsidRPr="00F00FB6">
        <w:rPr>
          <w:rFonts w:asciiTheme="majorBidi" w:hAnsiTheme="majorBidi" w:cstheme="majorBidi"/>
        </w:rPr>
        <w:t xml:space="preserve">Respondents are not required to report information more than quarterly. </w:t>
      </w:r>
    </w:p>
    <w:p w:rsidR="00F00FB6" w:rsidRPr="00F00FB6" w:rsidP="005D051A" w14:paraId="25F4B2AC" w14:textId="77777777">
      <w:pPr>
        <w:pStyle w:val="ListParagraph"/>
        <w:numPr>
          <w:ilvl w:val="0"/>
          <w:numId w:val="22"/>
        </w:numPr>
        <w:spacing w:after="120" w:line="240" w:lineRule="auto"/>
        <w:rPr>
          <w:rFonts w:asciiTheme="majorBidi" w:hAnsiTheme="majorBidi" w:cstheme="majorBidi"/>
          <w:b/>
          <w:bCs/>
        </w:rPr>
      </w:pPr>
      <w:r w:rsidRPr="00F00FB6">
        <w:rPr>
          <w:rFonts w:asciiTheme="majorBidi" w:hAnsiTheme="majorBidi" w:cstheme="majorBidi"/>
          <w:b/>
          <w:bCs/>
        </w:rPr>
        <w:t xml:space="preserve">Requiring respondents to prepare a written response to a collection of information in fewer than 30 days after receipt of it:  </w:t>
      </w:r>
      <w:r w:rsidRPr="00F00FB6">
        <w:rPr>
          <w:rFonts w:asciiTheme="majorBidi" w:hAnsiTheme="majorBidi" w:cstheme="majorBidi"/>
        </w:rPr>
        <w:t xml:space="preserve">Respondents are not required to prepare a written response as part of this data collection effort. </w:t>
      </w:r>
    </w:p>
    <w:p w:rsidR="00F00FB6" w:rsidRPr="00F00FB6" w:rsidP="005D051A" w14:paraId="37772F46" w14:textId="77777777">
      <w:pPr>
        <w:pStyle w:val="ListParagraph"/>
        <w:numPr>
          <w:ilvl w:val="0"/>
          <w:numId w:val="22"/>
        </w:numPr>
        <w:spacing w:after="120" w:line="240" w:lineRule="auto"/>
        <w:rPr>
          <w:rFonts w:asciiTheme="majorBidi" w:hAnsiTheme="majorBidi" w:cstheme="majorBidi"/>
          <w:b/>
          <w:bCs/>
        </w:rPr>
      </w:pPr>
      <w:r w:rsidRPr="00F00FB6">
        <w:rPr>
          <w:rFonts w:asciiTheme="majorBidi" w:hAnsiTheme="majorBidi" w:cstheme="majorBidi"/>
          <w:b/>
          <w:bCs/>
        </w:rPr>
        <w:t>Requiring respondents to submit more than an original and two copies of any document:</w:t>
      </w:r>
      <w:r w:rsidRPr="00F00FB6">
        <w:rPr>
          <w:rFonts w:asciiTheme="majorBidi" w:hAnsiTheme="majorBidi" w:cstheme="majorBidi"/>
        </w:rPr>
        <w:t xml:space="preserve"> Respondents are not required to submit any documents as part of this data collection effort.</w:t>
      </w:r>
    </w:p>
    <w:p w:rsidR="00F00FB6" w:rsidRPr="00F00FB6" w:rsidP="005D051A" w14:paraId="725D7282" w14:textId="77777777">
      <w:pPr>
        <w:pStyle w:val="ListParagraph"/>
        <w:numPr>
          <w:ilvl w:val="0"/>
          <w:numId w:val="22"/>
        </w:numPr>
        <w:spacing w:after="120" w:line="240" w:lineRule="auto"/>
        <w:rPr>
          <w:rFonts w:asciiTheme="majorBidi" w:hAnsiTheme="majorBidi" w:cstheme="majorBidi"/>
          <w:b/>
          <w:bCs/>
        </w:rPr>
      </w:pPr>
      <w:r w:rsidRPr="00F00FB6">
        <w:rPr>
          <w:rFonts w:asciiTheme="majorBidi" w:hAnsiTheme="majorBidi" w:cstheme="majorBidi"/>
          <w:b/>
          <w:bCs/>
        </w:rPr>
        <w:t xml:space="preserve">Requiring respondents to retain records other than health, medical, government contract, grant-in-aid, or tax records for more than three years: </w:t>
      </w:r>
      <w:r w:rsidRPr="00F00FB6">
        <w:rPr>
          <w:rFonts w:asciiTheme="majorBidi" w:hAnsiTheme="majorBidi" w:cstheme="majorBidi"/>
        </w:rPr>
        <w:t>Respondents are not required to retain records as part of this data collection effort.</w:t>
      </w:r>
    </w:p>
    <w:p w:rsidR="00F00FB6" w:rsidRPr="00F00FB6" w:rsidP="005D051A" w14:paraId="05FEDC84" w14:textId="77777777">
      <w:pPr>
        <w:pStyle w:val="ListParagraph"/>
        <w:numPr>
          <w:ilvl w:val="0"/>
          <w:numId w:val="22"/>
        </w:numPr>
        <w:spacing w:after="120" w:line="240" w:lineRule="auto"/>
        <w:rPr>
          <w:rFonts w:asciiTheme="majorBidi" w:hAnsiTheme="majorBidi" w:cstheme="majorBidi"/>
        </w:rPr>
      </w:pPr>
      <w:r w:rsidRPr="00F00FB6">
        <w:rPr>
          <w:rFonts w:asciiTheme="majorBidi" w:hAnsiTheme="majorBidi" w:cstheme="majorBidi"/>
          <w:b/>
          <w:bCs/>
        </w:rPr>
        <w:t xml:space="preserve">In connection with a statistical survey, that is not designed to produce valid and reliable results than can be generalized to the universe of study: </w:t>
      </w:r>
      <w:r w:rsidRPr="00F00FB6">
        <w:rPr>
          <w:rFonts w:asciiTheme="majorBidi" w:hAnsiTheme="majorBidi" w:cstheme="majorBidi"/>
        </w:rPr>
        <w:t xml:space="preserve">The surveys to PHAs are designed to produce results that can be generalized to the broader universe of the study. </w:t>
      </w:r>
    </w:p>
    <w:p w:rsidR="00F00FB6" w:rsidRPr="00F00FB6" w:rsidP="005D051A" w14:paraId="1D5E6E06" w14:textId="77777777">
      <w:pPr>
        <w:pStyle w:val="ListParagraph"/>
        <w:numPr>
          <w:ilvl w:val="0"/>
          <w:numId w:val="22"/>
        </w:numPr>
        <w:spacing w:after="120" w:line="240" w:lineRule="auto"/>
        <w:rPr>
          <w:rFonts w:asciiTheme="majorBidi" w:hAnsiTheme="majorBidi" w:cstheme="majorBidi"/>
          <w:b/>
          <w:bCs/>
        </w:rPr>
      </w:pPr>
      <w:r w:rsidRPr="00F00FB6">
        <w:rPr>
          <w:rFonts w:asciiTheme="majorBidi" w:hAnsiTheme="majorBidi" w:cstheme="majorBidi"/>
          <w:b/>
          <w:bCs/>
        </w:rPr>
        <w:t xml:space="preserve">Requiring the use of a statistical data classification that has not been reviewed and approved by OMB: </w:t>
      </w:r>
      <w:r w:rsidRPr="00F00FB6">
        <w:rPr>
          <w:rFonts w:asciiTheme="majorBidi" w:hAnsiTheme="majorBidi" w:cstheme="majorBidi"/>
        </w:rPr>
        <w:t>This data collection does not involve the use of any statistical data that would not be reviewed and approved by OMB.</w:t>
      </w:r>
    </w:p>
    <w:p w:rsidR="00F00FB6" w:rsidRPr="00F00FB6" w:rsidP="005D051A" w14:paraId="15F14AC8" w14:textId="77777777">
      <w:pPr>
        <w:pStyle w:val="ListParagraph"/>
        <w:numPr>
          <w:ilvl w:val="0"/>
          <w:numId w:val="22"/>
        </w:numPr>
        <w:spacing w:after="120" w:line="240" w:lineRule="auto"/>
        <w:rPr>
          <w:rFonts w:asciiTheme="majorBidi" w:hAnsiTheme="majorBidi" w:cstheme="majorBidi"/>
          <w:b/>
          <w:bCs/>
        </w:rPr>
      </w:pPr>
      <w:r w:rsidRPr="00F00FB6">
        <w:rPr>
          <w:rFonts w:asciiTheme="majorBidi" w:hAnsiTheme="majorBidi" w:cstheme="majorBidi"/>
          <w:b/>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F00FB6">
        <w:rPr>
          <w:rFonts w:asciiTheme="majorBidi" w:hAnsiTheme="majorBidi" w:cstheme="majorBidi"/>
        </w:rPr>
        <w:t>This data collection does not involve the use of a pledge of confidentiality that would deviate from statute or regulation, be inconsistent with disclosure and data security policies, or be considered as impeding the sharing of data as appropriate.</w:t>
      </w:r>
    </w:p>
    <w:p w:rsidR="006F299B" w:rsidRPr="00F00FB6" w:rsidP="005D051A" w14:paraId="0684F4B6" w14:textId="2B63278E">
      <w:pPr>
        <w:pStyle w:val="ListParagraph"/>
        <w:numPr>
          <w:ilvl w:val="0"/>
          <w:numId w:val="22"/>
        </w:numPr>
        <w:spacing w:after="120" w:line="240" w:lineRule="auto"/>
        <w:rPr>
          <w:rFonts w:asciiTheme="majorBidi" w:hAnsiTheme="majorBidi" w:cstheme="majorBidi"/>
          <w:b/>
          <w:bCs/>
        </w:rPr>
      </w:pPr>
      <w:r w:rsidRPr="00F00FB6">
        <w:rPr>
          <w:rFonts w:asciiTheme="majorBidi" w:hAnsiTheme="majorBidi" w:cstheme="majorBidi"/>
          <w:b/>
        </w:rPr>
        <w:t>Requiring respondents to submit proprietary trade secret, or other confidential information unless the agency can demonstrate that it has instituted procedures to protect the information's confidentiality to the extent permitted by law</w:t>
      </w:r>
      <w:r w:rsidRPr="00F00FB6">
        <w:rPr>
          <w:rFonts w:asciiTheme="majorBidi" w:hAnsiTheme="majorBidi" w:cstheme="majorBidi"/>
          <w:b/>
          <w:bCs/>
        </w:rPr>
        <w:t xml:space="preserve">: </w:t>
      </w:r>
      <w:r w:rsidRPr="00F00FB6">
        <w:rPr>
          <w:rFonts w:asciiTheme="majorBidi" w:hAnsiTheme="majorBidi" w:cstheme="majorBidi"/>
        </w:rPr>
        <w:t>This data collection does not require respondents to submit proprietary trade secrets or confidential information. Any such information would be kept confidential to the extent permitted by law.</w:t>
      </w:r>
      <w:r w:rsidRPr="00F00FB6">
        <w:t xml:space="preserve"> </w:t>
      </w:r>
    </w:p>
    <w:p w:rsidR="006F299B" w:rsidP="008615B4" w14:paraId="0684F4B7" w14:textId="77777777">
      <w:pPr>
        <w:pStyle w:val="Heading2"/>
      </w:pPr>
      <w:bookmarkStart w:id="9" w:name="_Toc106789175"/>
      <w:r w:rsidRPr="001034D3">
        <w:t>A</w:t>
      </w:r>
      <w:r w:rsidR="00626051">
        <w:t>.</w:t>
      </w:r>
      <w:r w:rsidRPr="001034D3">
        <w:t xml:space="preserve">8: FRN and </w:t>
      </w:r>
      <w:r w:rsidR="00911BD5">
        <w:t>C</w:t>
      </w:r>
      <w:r w:rsidRPr="001034D3">
        <w:t>onsultation</w:t>
      </w:r>
      <w:bookmarkEnd w:id="9"/>
    </w:p>
    <w:p w:rsidR="00762DD6" w:rsidRPr="00762DD6" w:rsidP="00236B01" w14:paraId="0684F4B8" w14:textId="77777777">
      <w:pPr>
        <w:pStyle w:val="Heading3"/>
      </w:pPr>
      <w:r>
        <w:t>Federal Register Notice and Comments</w:t>
      </w:r>
    </w:p>
    <w:p w:rsidR="00D71B21" w:rsidRPr="00B434D4" w:rsidP="00D71B21" w14:paraId="26CA35A1" w14:textId="6E29EC29">
      <w:r w:rsidRPr="00B434D4">
        <w:t xml:space="preserve">In accordance with 5 CFR 1320.8 (Paperwork Reduction Act of 1995), HUD published a 60-Day Notice of Proposed Information Collection in the Federal Register on August 1, 2022 (Docket No. FR-7060-N-04, pages 46991 - 46992). The notice provided a 60-day period for public comments, and comments were due September 30, 2022. (See Attachment 03 for a copy of the 60-Day Notice of Proposed Information Collection.)  </w:t>
      </w:r>
      <w:r>
        <w:t>No comments were received.</w:t>
      </w:r>
    </w:p>
    <w:p w:rsidR="00762DD6" w:rsidRPr="00762DD6" w:rsidP="00236B01" w14:paraId="0684F4BA" w14:textId="77777777">
      <w:pPr>
        <w:pStyle w:val="Heading3"/>
      </w:pPr>
      <w:r w:rsidRPr="00762DD6">
        <w:t xml:space="preserve">Consultation with Experts </w:t>
      </w:r>
    </w:p>
    <w:p w:rsidR="00762DD6" w:rsidRPr="00325FBC" w:rsidP="00325FBC" w14:paraId="0684F4C3" w14:textId="276D5FCC">
      <w:pPr>
        <w:rPr>
          <w:rFonts w:asciiTheme="majorBidi" w:hAnsiTheme="majorBidi" w:cstheme="majorBidi"/>
        </w:rPr>
      </w:pPr>
      <w:r w:rsidRPr="0044434F">
        <w:rPr>
          <w:rFonts w:asciiTheme="majorBidi" w:hAnsiTheme="majorBidi" w:cstheme="majorBidi"/>
        </w:rPr>
        <w:t xml:space="preserve">The Landlord Incentives Evaluation was developed and is being implemented by </w:t>
      </w:r>
      <w:r w:rsidRPr="0044434F">
        <w:rPr>
          <w:rFonts w:asciiTheme="majorBidi" w:hAnsiTheme="majorBidi" w:cstheme="majorBidi"/>
        </w:rPr>
        <w:t>Abt</w:t>
      </w:r>
      <w:r w:rsidRPr="0044434F">
        <w:rPr>
          <w:rFonts w:asciiTheme="majorBidi" w:hAnsiTheme="majorBidi" w:cstheme="majorBidi"/>
        </w:rPr>
        <w:t xml:space="preserve"> Associates Inc., HUD’s contractor. Key members of the </w:t>
      </w:r>
      <w:r w:rsidRPr="0044434F">
        <w:rPr>
          <w:rFonts w:asciiTheme="majorBidi" w:hAnsiTheme="majorBidi" w:cstheme="majorBidi"/>
        </w:rPr>
        <w:t>Abt</w:t>
      </w:r>
      <w:r w:rsidRPr="0044434F">
        <w:rPr>
          <w:rFonts w:asciiTheme="majorBidi" w:hAnsiTheme="majorBidi" w:cstheme="majorBidi"/>
        </w:rPr>
        <w:t xml:space="preserve"> </w:t>
      </w:r>
      <w:r>
        <w:rPr>
          <w:rFonts w:asciiTheme="majorBidi" w:hAnsiTheme="majorBidi" w:cstheme="majorBidi"/>
        </w:rPr>
        <w:t xml:space="preserve">research </w:t>
      </w:r>
      <w:r w:rsidRPr="0044434F">
        <w:rPr>
          <w:rFonts w:asciiTheme="majorBidi" w:hAnsiTheme="majorBidi" w:cstheme="majorBidi"/>
        </w:rPr>
        <w:t xml:space="preserve">team include </w:t>
      </w:r>
      <w:r>
        <w:rPr>
          <w:rFonts w:asciiTheme="majorBidi" w:hAnsiTheme="majorBidi" w:cstheme="majorBidi"/>
        </w:rPr>
        <w:t>Co-</w:t>
      </w:r>
      <w:r w:rsidRPr="0044434F">
        <w:rPr>
          <w:rFonts w:asciiTheme="majorBidi" w:hAnsiTheme="majorBidi" w:cstheme="majorBidi"/>
        </w:rPr>
        <w:t xml:space="preserve">Principal Investigators Dr. Laura Peck and Dr. Larry </w:t>
      </w:r>
      <w:r w:rsidRPr="0044434F">
        <w:rPr>
          <w:rFonts w:asciiTheme="majorBidi" w:hAnsiTheme="majorBidi" w:cstheme="majorBidi"/>
        </w:rPr>
        <w:t>Buron</w:t>
      </w:r>
      <w:r w:rsidRPr="0044434F">
        <w:rPr>
          <w:rFonts w:asciiTheme="majorBidi" w:hAnsiTheme="majorBidi" w:cstheme="majorBidi"/>
        </w:rPr>
        <w:t xml:space="preserve">; Project Director Dr. Meryl Finkel; Project Quality Advisor Dr. Jill </w:t>
      </w:r>
      <w:r w:rsidRPr="0044434F">
        <w:rPr>
          <w:rFonts w:asciiTheme="majorBidi" w:hAnsiTheme="majorBidi" w:cstheme="majorBidi"/>
        </w:rPr>
        <w:t>Khadduri</w:t>
      </w:r>
      <w:r w:rsidRPr="0044434F">
        <w:rPr>
          <w:rFonts w:asciiTheme="majorBidi" w:hAnsiTheme="majorBidi" w:cstheme="majorBidi"/>
        </w:rPr>
        <w:t xml:space="preserve">; </w:t>
      </w:r>
      <w:r>
        <w:rPr>
          <w:rFonts w:asciiTheme="majorBidi" w:hAnsiTheme="majorBidi" w:cstheme="majorBidi"/>
        </w:rPr>
        <w:t xml:space="preserve">Director of Quantitative Analysis Dr. Judy Geyer; </w:t>
      </w:r>
      <w:r w:rsidRPr="0044434F">
        <w:rPr>
          <w:rFonts w:asciiTheme="majorBidi" w:hAnsiTheme="majorBidi" w:cstheme="majorBidi"/>
        </w:rPr>
        <w:t xml:space="preserve">and Director of Qualitative Analysis Dr. Hannah Thomas. </w:t>
      </w:r>
      <w:r w:rsidRPr="0044434F">
        <w:rPr>
          <w:rFonts w:asciiTheme="majorBidi" w:hAnsiTheme="majorBidi" w:cstheme="majorBidi"/>
        </w:rPr>
        <w:t>Abt</w:t>
      </w:r>
      <w:r w:rsidRPr="0044434F">
        <w:rPr>
          <w:rFonts w:asciiTheme="majorBidi" w:hAnsiTheme="majorBidi" w:cstheme="majorBidi"/>
        </w:rPr>
        <w:t xml:space="preserve"> has also engaged Dr. Phillip </w:t>
      </w:r>
      <w:r w:rsidRPr="0044434F">
        <w:rPr>
          <w:rFonts w:asciiTheme="majorBidi" w:hAnsiTheme="majorBidi" w:cstheme="majorBidi"/>
        </w:rPr>
        <w:t>Garboden</w:t>
      </w:r>
      <w:r w:rsidRPr="0044434F">
        <w:rPr>
          <w:rFonts w:asciiTheme="majorBidi" w:hAnsiTheme="majorBidi" w:cstheme="majorBidi"/>
        </w:rPr>
        <w:t xml:space="preserve"> of the University of Hawai’i to </w:t>
      </w:r>
      <w:r>
        <w:rPr>
          <w:rFonts w:asciiTheme="majorBidi" w:hAnsiTheme="majorBidi" w:cstheme="majorBidi"/>
        </w:rPr>
        <w:t>support</w:t>
      </w:r>
      <w:r w:rsidRPr="0044434F">
        <w:rPr>
          <w:rFonts w:asciiTheme="majorBidi" w:hAnsiTheme="majorBidi" w:cstheme="majorBidi"/>
        </w:rPr>
        <w:t xml:space="preserve"> data collection and analysis tasks. Staff from HUD’s Office of Policy Development and Research and Office of Public and Indian Housing have collaborated with the </w:t>
      </w:r>
      <w:r w:rsidRPr="0044434F">
        <w:rPr>
          <w:rFonts w:asciiTheme="majorBidi" w:hAnsiTheme="majorBidi" w:cstheme="majorBidi"/>
        </w:rPr>
        <w:t>Abt</w:t>
      </w:r>
      <w:r w:rsidRPr="0044434F">
        <w:rPr>
          <w:rFonts w:asciiTheme="majorBidi" w:hAnsiTheme="majorBidi" w:cstheme="majorBidi"/>
        </w:rPr>
        <w:t xml:space="preserve"> </w:t>
      </w:r>
      <w:r>
        <w:rPr>
          <w:rFonts w:asciiTheme="majorBidi" w:hAnsiTheme="majorBidi" w:cstheme="majorBidi"/>
        </w:rPr>
        <w:t>research</w:t>
      </w:r>
      <w:r w:rsidRPr="0044434F">
        <w:rPr>
          <w:rFonts w:asciiTheme="majorBidi" w:hAnsiTheme="majorBidi" w:cstheme="majorBidi"/>
        </w:rPr>
        <w:t xml:space="preserve"> team on study design and data collection plan. </w:t>
      </w:r>
      <w:r w:rsidRPr="00762DD6">
        <w:t xml:space="preserve">  </w:t>
      </w:r>
    </w:p>
    <w:p w:rsidR="002251AA" w:rsidRPr="00762DD6" w:rsidP="00236B01" w14:paraId="0684F4C4" w14:textId="64601D0A">
      <w:pPr>
        <w:pStyle w:val="Heading3"/>
      </w:pPr>
      <w:r w:rsidRPr="00762DD6">
        <w:t xml:space="preserve">Consultation with </w:t>
      </w:r>
      <w:r w:rsidR="005B4FED">
        <w:t>a Resident Expert Panel</w:t>
      </w:r>
    </w:p>
    <w:p w:rsidR="002251AA" w:rsidP="002251AA" w14:paraId="0684F4C5" w14:textId="76FB05E1">
      <w:pPr>
        <w:pStyle w:val="BodyText"/>
      </w:pPr>
      <w:r w:rsidRPr="0044434F">
        <w:rPr>
          <w:rFonts w:asciiTheme="majorBidi" w:hAnsiTheme="majorBidi" w:cstheme="majorBidi"/>
        </w:rPr>
        <w:t xml:space="preserve">In addition to the core study team described above, the study will also involve consultation with a Resident Expert Panel (REP). The role of the REP is to ensure that the research approach considers the perspectives, priorities, and experiences of people who are served by the HCV program. The REP will include six members who have experience as users of the HCV program, recruited from two organizations that have relationships with members of the </w:t>
      </w:r>
      <w:r w:rsidRPr="0044434F">
        <w:rPr>
          <w:rFonts w:asciiTheme="majorBidi" w:hAnsiTheme="majorBidi" w:cstheme="majorBidi"/>
        </w:rPr>
        <w:t>Abt</w:t>
      </w:r>
      <w:r w:rsidRPr="0044434F">
        <w:rPr>
          <w:rFonts w:asciiTheme="majorBidi" w:hAnsiTheme="majorBidi" w:cstheme="majorBidi"/>
        </w:rPr>
        <w:t xml:space="preserve"> Associates </w:t>
      </w:r>
      <w:r>
        <w:rPr>
          <w:rFonts w:asciiTheme="majorBidi" w:hAnsiTheme="majorBidi" w:cstheme="majorBidi"/>
        </w:rPr>
        <w:t>research</w:t>
      </w:r>
      <w:r w:rsidRPr="0044434F">
        <w:rPr>
          <w:rFonts w:asciiTheme="majorBidi" w:hAnsiTheme="majorBidi" w:cstheme="majorBidi"/>
        </w:rPr>
        <w:t xml:space="preserve"> team. We will convene the REP in a workshop format at </w:t>
      </w:r>
      <w:r>
        <w:rPr>
          <w:rFonts w:asciiTheme="majorBidi" w:hAnsiTheme="majorBidi" w:cstheme="majorBidi"/>
        </w:rPr>
        <w:t>10</w:t>
      </w:r>
      <w:r w:rsidRPr="0044434F">
        <w:rPr>
          <w:rFonts w:asciiTheme="majorBidi" w:hAnsiTheme="majorBidi" w:cstheme="majorBidi"/>
        </w:rPr>
        <w:t xml:space="preserve"> critical points throughout the study to provide feedback on research questions and outcome measures, landlord interviews, data collection processes, interim reports, special topic analyses, evaluation findings, and the final report. REP members will receive a $50 honorarium per workshop (with a total of ten workshops), plus an additional honorarium of $175 for those who attend all </w:t>
      </w:r>
      <w:r>
        <w:rPr>
          <w:rFonts w:asciiTheme="majorBidi" w:hAnsiTheme="majorBidi" w:cstheme="majorBidi"/>
        </w:rPr>
        <w:t>10</w:t>
      </w:r>
      <w:r w:rsidRPr="0044434F">
        <w:rPr>
          <w:rFonts w:asciiTheme="majorBidi" w:hAnsiTheme="majorBidi" w:cstheme="majorBidi"/>
        </w:rPr>
        <w:t xml:space="preserve"> sessions to incentivize retention.</w:t>
      </w:r>
      <w:r w:rsidRPr="00762DD6">
        <w:t xml:space="preserve">  </w:t>
      </w:r>
    </w:p>
    <w:p w:rsidR="006F299B" w:rsidP="008615B4" w14:paraId="0684F4C6" w14:textId="77777777">
      <w:pPr>
        <w:pStyle w:val="Heading2"/>
      </w:pPr>
      <w:bookmarkStart w:id="10" w:name="_Toc106789176"/>
      <w:r>
        <w:t>A</w:t>
      </w:r>
      <w:r w:rsidR="00626051">
        <w:t>.</w:t>
      </w:r>
      <w:r w:rsidRPr="001034D3">
        <w:t xml:space="preserve">9: Payment of </w:t>
      </w:r>
      <w:r w:rsidR="00911BD5">
        <w:t>R</w:t>
      </w:r>
      <w:r w:rsidRPr="001034D3">
        <w:t>espondents</w:t>
      </w:r>
      <w:bookmarkEnd w:id="10"/>
    </w:p>
    <w:p w:rsidR="006F299B" w:rsidRPr="00D534E2" w:rsidP="008615B4" w14:paraId="0684F4C8" w14:textId="3528DAF3">
      <w:pPr>
        <w:pStyle w:val="BodyText"/>
      </w:pPr>
      <w:r>
        <w:rPr>
          <w:rFonts w:asciiTheme="majorBidi" w:hAnsiTheme="majorBidi" w:cstheme="majorBidi"/>
        </w:rPr>
        <w:t>Landlords will receive $50 as a token of appreciation for participating in an interview</w:t>
      </w:r>
      <w:r w:rsidRPr="0DE58C7F">
        <w:rPr>
          <w:rFonts w:asciiTheme="majorBidi" w:hAnsiTheme="majorBidi" w:cstheme="majorBidi"/>
        </w:rPr>
        <w:t xml:space="preserve">. </w:t>
      </w:r>
      <w:r w:rsidRPr="0044434F">
        <w:rPr>
          <w:rFonts w:asciiTheme="majorBidi" w:hAnsiTheme="majorBidi" w:cstheme="majorBidi"/>
        </w:rPr>
        <w:t xml:space="preserve">The landlord </w:t>
      </w:r>
      <w:r>
        <w:rPr>
          <w:rFonts w:asciiTheme="majorBidi" w:hAnsiTheme="majorBidi" w:cstheme="majorBidi"/>
        </w:rPr>
        <w:t>payment</w:t>
      </w:r>
      <w:r w:rsidRPr="0044434F">
        <w:rPr>
          <w:rFonts w:asciiTheme="majorBidi" w:hAnsiTheme="majorBidi" w:cstheme="majorBidi"/>
        </w:rPr>
        <w:t xml:space="preserve"> amount is based on previous landlord interview projects</w:t>
      </w:r>
      <w:r>
        <w:rPr>
          <w:rFonts w:asciiTheme="majorBidi" w:hAnsiTheme="majorBidi" w:cstheme="majorBidi"/>
          <w:vertAlign w:val="superscript"/>
        </w:rPr>
        <w:footnoteReference w:id="3"/>
      </w:r>
      <w:r w:rsidRPr="0044434F">
        <w:rPr>
          <w:rFonts w:asciiTheme="majorBidi" w:hAnsiTheme="majorBidi" w:cstheme="majorBidi"/>
        </w:rPr>
        <w:t xml:space="preserve"> </w:t>
      </w:r>
      <w:r>
        <w:rPr>
          <w:rFonts w:asciiTheme="majorBidi" w:hAnsiTheme="majorBidi" w:cstheme="majorBidi"/>
        </w:rPr>
        <w:t>that</w:t>
      </w:r>
      <w:r w:rsidRPr="0044434F">
        <w:rPr>
          <w:rFonts w:asciiTheme="majorBidi" w:hAnsiTheme="majorBidi" w:cstheme="majorBidi"/>
        </w:rPr>
        <w:t xml:space="preserve"> determined that $50 indicated appropriate respect for the respondent’s time while not presenting a coercive influence on their decision to participate.</w:t>
      </w:r>
      <w:r>
        <w:rPr>
          <w:rFonts w:asciiTheme="majorBidi" w:hAnsiTheme="majorBidi" w:cstheme="majorBidi"/>
        </w:rPr>
        <w:t xml:space="preserve"> </w:t>
      </w:r>
      <w:r w:rsidRPr="0DE58C7F">
        <w:rPr>
          <w:rFonts w:asciiTheme="majorBidi" w:hAnsiTheme="majorBidi" w:cstheme="majorBidi"/>
        </w:rPr>
        <w:t xml:space="preserve">PHA staff will receive no </w:t>
      </w:r>
      <w:r>
        <w:rPr>
          <w:rFonts w:asciiTheme="majorBidi" w:hAnsiTheme="majorBidi" w:cstheme="majorBidi"/>
        </w:rPr>
        <w:t>payment</w:t>
      </w:r>
      <w:r w:rsidRPr="0DE58C7F">
        <w:rPr>
          <w:rFonts w:asciiTheme="majorBidi" w:hAnsiTheme="majorBidi" w:cstheme="majorBidi"/>
        </w:rPr>
        <w:t xml:space="preserve"> for participating in interviews or completing surveys.</w:t>
      </w:r>
      <w:r w:rsidR="00FB1945">
        <w:t xml:space="preserve"> </w:t>
      </w:r>
    </w:p>
    <w:p w:rsidR="006F299B" w:rsidP="000F2E8A" w14:paraId="0684F4C9" w14:textId="74385EA8">
      <w:pPr>
        <w:pStyle w:val="Heading2"/>
        <w:pBdr>
          <w:bottom w:val="single" w:sz="6" w:space="0" w:color="D0D3D4"/>
        </w:pBdr>
      </w:pPr>
      <w:bookmarkStart w:id="11" w:name="_Toc106789177"/>
      <w:r w:rsidRPr="00D534E2">
        <w:t>A</w:t>
      </w:r>
      <w:r w:rsidR="00626051">
        <w:t>.</w:t>
      </w:r>
      <w:r w:rsidRPr="00D534E2">
        <w:t xml:space="preserve">10: </w:t>
      </w:r>
      <w:r w:rsidR="00BD2D17">
        <w:t>Assurances of Confidentiality Provided to</w:t>
      </w:r>
      <w:r w:rsidRPr="00D534E2">
        <w:t xml:space="preserve"> </w:t>
      </w:r>
      <w:r w:rsidR="00911BD5">
        <w:t>R</w:t>
      </w:r>
      <w:r w:rsidRPr="00D534E2">
        <w:t>espondents</w:t>
      </w:r>
      <w:bookmarkEnd w:id="11"/>
    </w:p>
    <w:p w:rsidR="00E60473" w:rsidRPr="0044434F" w:rsidP="00E60473" w14:paraId="2B00CDB4" w14:textId="14119E30">
      <w:pPr>
        <w:rPr>
          <w:rFonts w:asciiTheme="majorBidi" w:hAnsiTheme="majorBidi" w:cstheme="majorBidi"/>
        </w:rPr>
      </w:pPr>
      <w:r w:rsidRPr="0044434F">
        <w:rPr>
          <w:rFonts w:asciiTheme="majorBidi" w:hAnsiTheme="majorBidi" w:cstheme="majorBidi"/>
        </w:rPr>
        <w:t xml:space="preserve">HUD has entered into a contract with an independent research team, </w:t>
      </w:r>
      <w:r w:rsidRPr="0044434F">
        <w:rPr>
          <w:rFonts w:asciiTheme="majorBidi" w:hAnsiTheme="majorBidi" w:cstheme="majorBidi"/>
        </w:rPr>
        <w:t>Abt</w:t>
      </w:r>
      <w:r w:rsidRPr="0044434F">
        <w:rPr>
          <w:rFonts w:asciiTheme="majorBidi" w:hAnsiTheme="majorBidi" w:cstheme="majorBidi"/>
        </w:rPr>
        <w:t xml:space="preserve"> Associates, to conduct this research effort. HUD and </w:t>
      </w:r>
      <w:r w:rsidRPr="0044434F">
        <w:rPr>
          <w:rFonts w:asciiTheme="majorBidi" w:hAnsiTheme="majorBidi" w:cstheme="majorBidi"/>
        </w:rPr>
        <w:t>Abt</w:t>
      </w:r>
      <w:r w:rsidRPr="0044434F">
        <w:rPr>
          <w:rFonts w:asciiTheme="majorBidi" w:hAnsiTheme="majorBidi" w:cstheme="majorBidi"/>
        </w:rPr>
        <w:t xml:space="preserve"> Associates will make every effort to maintain the privacy of respondents. The information requested under this collection is protected and held confidential in accordance with 42 U.S.C. 1306, 20 CFR 401 and 402, 5 U.S.C.552 (Freedom of Information Act), 5 U.S.C. 552a (Privacy Act of 1974) and OMB Circular No. A-130. All research staff working on the project have been trained to protect private information and the study has a Data Security Plan governing the storage and use of the data collected through the study. Individuals will not be cited as sources of information in prepared reports. </w:t>
      </w:r>
    </w:p>
    <w:p w:rsidR="00E60473" w:rsidRPr="0044434F" w:rsidP="00E60473" w14:paraId="2B55B919" w14:textId="5D6C0120">
      <w:pPr>
        <w:rPr>
          <w:rFonts w:asciiTheme="majorBidi" w:hAnsiTheme="majorBidi" w:cstheme="majorBidi"/>
        </w:rPr>
      </w:pPr>
      <w:r w:rsidRPr="0044434F">
        <w:rPr>
          <w:rFonts w:asciiTheme="majorBidi" w:hAnsiTheme="majorBidi" w:cstheme="majorBidi"/>
        </w:rPr>
        <w:t xml:space="preserve">Research reports may name specific PHAs that were included in the study, for example, to highlight a unique practice or program. However, individual PHA staff members who participate in interviews will not be named in reports. PHA staff members will be informed that, although they will not be named directly in any publications, they may be identifiable based on their affiliation with a specific PHA. </w:t>
      </w:r>
    </w:p>
    <w:p w:rsidR="006A0712" w:rsidRPr="0017620D" w:rsidP="00E60473" w14:paraId="0684F4D5" w14:textId="7EA63170">
      <w:pPr>
        <w:pStyle w:val="BodyText"/>
      </w:pPr>
      <w:r w:rsidRPr="0044434F">
        <w:rPr>
          <w:rFonts w:asciiTheme="majorBidi" w:hAnsiTheme="majorBidi" w:cstheme="majorBidi"/>
        </w:rPr>
        <w:t xml:space="preserve">All respondents included in the </w:t>
      </w:r>
      <w:r w:rsidR="0046701A">
        <w:rPr>
          <w:rFonts w:asciiTheme="majorBidi" w:hAnsiTheme="majorBidi" w:cstheme="majorBidi"/>
        </w:rPr>
        <w:t>interviews</w:t>
      </w:r>
      <w:r w:rsidRPr="0044434F" w:rsidR="0046701A">
        <w:rPr>
          <w:rFonts w:asciiTheme="majorBidi" w:hAnsiTheme="majorBidi" w:cstheme="majorBidi"/>
        </w:rPr>
        <w:t xml:space="preserve"> </w:t>
      </w:r>
      <w:r w:rsidRPr="0044434F">
        <w:rPr>
          <w:rFonts w:asciiTheme="majorBidi" w:hAnsiTheme="majorBidi" w:cstheme="majorBidi"/>
        </w:rPr>
        <w:t xml:space="preserve">will be </w:t>
      </w:r>
      <w:r w:rsidR="009B4413">
        <w:rPr>
          <w:rFonts w:asciiTheme="majorBidi" w:hAnsiTheme="majorBidi" w:cstheme="majorBidi"/>
        </w:rPr>
        <w:t>asked</w:t>
      </w:r>
      <w:r w:rsidR="0046701A">
        <w:rPr>
          <w:rFonts w:asciiTheme="majorBidi" w:hAnsiTheme="majorBidi" w:cstheme="majorBidi"/>
        </w:rPr>
        <w:t xml:space="preserve"> if they consent to participate. They will also be made aware that</w:t>
      </w:r>
      <w:r w:rsidRPr="0044434F">
        <w:rPr>
          <w:rFonts w:asciiTheme="majorBidi" w:hAnsiTheme="majorBidi" w:cstheme="majorBidi"/>
        </w:rPr>
        <w:t xml:space="preserve"> the information they provide will be used only for research purposes.</w:t>
      </w:r>
      <w:r w:rsidR="003B6D44">
        <w:t xml:space="preserve">  </w:t>
      </w:r>
      <w:r>
        <w:t xml:space="preserve">  </w:t>
      </w:r>
    </w:p>
    <w:p w:rsidR="006F299B" w:rsidRPr="004205E1" w:rsidP="008615B4" w14:paraId="0684F4D6" w14:textId="77777777">
      <w:pPr>
        <w:pStyle w:val="Heading2"/>
      </w:pPr>
      <w:bookmarkStart w:id="12" w:name="_Toc106789178"/>
      <w:r w:rsidRPr="004205E1">
        <w:t>A</w:t>
      </w:r>
      <w:r w:rsidR="00626051">
        <w:t>.</w:t>
      </w:r>
      <w:r w:rsidRPr="004205E1">
        <w:t xml:space="preserve">11: Sensitive </w:t>
      </w:r>
      <w:r w:rsidR="008615B4">
        <w:t>Q</w:t>
      </w:r>
      <w:r w:rsidRPr="004205E1">
        <w:t>uestions</w:t>
      </w:r>
      <w:bookmarkEnd w:id="12"/>
    </w:p>
    <w:p w:rsidR="00C32CBC" w:rsidP="00236B01" w14:paraId="0684F4DD" w14:textId="11EE05B5">
      <w:pPr>
        <w:pStyle w:val="BodyText"/>
      </w:pPr>
      <w:r w:rsidRPr="0044434F">
        <w:rPr>
          <w:rFonts w:asciiTheme="majorBidi" w:hAnsiTheme="majorBidi" w:cstheme="majorBidi"/>
        </w:rPr>
        <w:t xml:space="preserve">The data collection instruments do not contain any sensitive questions. </w:t>
      </w:r>
      <w:r w:rsidRPr="00326438">
        <w:rPr>
          <w:rFonts w:asciiTheme="majorBidi" w:hAnsiTheme="majorBidi" w:cstheme="majorBidi"/>
        </w:rPr>
        <w:t xml:space="preserve">We are not asking for financial information or for any </w:t>
      </w:r>
      <w:r>
        <w:rPr>
          <w:rFonts w:asciiTheme="majorBidi" w:hAnsiTheme="majorBidi" w:cstheme="majorBidi"/>
        </w:rPr>
        <w:t>other</w:t>
      </w:r>
      <w:r w:rsidRPr="0044434F">
        <w:rPr>
          <w:rFonts w:asciiTheme="majorBidi" w:hAnsiTheme="majorBidi" w:cstheme="majorBidi"/>
        </w:rPr>
        <w:t xml:space="preserve"> </w:t>
      </w:r>
      <w:r w:rsidRPr="00326438">
        <w:rPr>
          <w:rFonts w:asciiTheme="majorBidi" w:hAnsiTheme="majorBidi" w:cstheme="majorBidi"/>
        </w:rPr>
        <w:t>personal and sensitive information.</w:t>
      </w:r>
      <w:r w:rsidR="00FC7B3B">
        <w:t xml:space="preserve"> </w:t>
      </w:r>
    </w:p>
    <w:p w:rsidR="006F299B" w:rsidP="008615B4" w14:paraId="0684F4DE" w14:textId="77777777">
      <w:pPr>
        <w:pStyle w:val="Heading2"/>
      </w:pPr>
      <w:bookmarkStart w:id="13" w:name="_Toc106789179"/>
      <w:r w:rsidRPr="001034D3">
        <w:t>A</w:t>
      </w:r>
      <w:r w:rsidR="00626051">
        <w:t>.</w:t>
      </w:r>
      <w:r w:rsidRPr="001034D3">
        <w:t xml:space="preserve">12: Estimation of Information </w:t>
      </w:r>
      <w:r w:rsidR="008615B4">
        <w:t>C</w:t>
      </w:r>
      <w:r w:rsidRPr="001034D3">
        <w:t xml:space="preserve">ollection </w:t>
      </w:r>
      <w:r w:rsidR="008615B4">
        <w:t>B</w:t>
      </w:r>
      <w:r w:rsidRPr="001034D3">
        <w:t>urden</w:t>
      </w:r>
      <w:bookmarkEnd w:id="13"/>
    </w:p>
    <w:p w:rsidR="00E410D6" w:rsidP="00184771" w14:paraId="50F1DE2F" w14:textId="2D6C046D">
      <w:pPr>
        <w:rPr>
          <w:rFonts w:asciiTheme="majorBidi" w:hAnsiTheme="majorBidi" w:cstheme="majorBidi"/>
        </w:rPr>
      </w:pPr>
      <w:r w:rsidRPr="00326438">
        <w:rPr>
          <w:rFonts w:asciiTheme="majorBidi" w:hAnsiTheme="majorBidi" w:cstheme="majorBidi"/>
        </w:rPr>
        <w:t xml:space="preserve">Exhibit </w:t>
      </w:r>
      <w:r>
        <w:rPr>
          <w:rFonts w:asciiTheme="majorBidi" w:hAnsiTheme="majorBidi" w:cstheme="majorBidi"/>
        </w:rPr>
        <w:t>3</w:t>
      </w:r>
      <w:r w:rsidRPr="00326438">
        <w:rPr>
          <w:rFonts w:asciiTheme="majorBidi" w:hAnsiTheme="majorBidi" w:cstheme="majorBidi"/>
        </w:rPr>
        <w:t xml:space="preserve"> presents the estimated </w:t>
      </w:r>
      <w:r w:rsidRPr="0044434F">
        <w:rPr>
          <w:rFonts w:asciiTheme="majorBidi" w:hAnsiTheme="majorBidi" w:cstheme="majorBidi"/>
        </w:rPr>
        <w:t xml:space="preserve">annualized </w:t>
      </w:r>
      <w:r w:rsidRPr="00326438">
        <w:rPr>
          <w:rFonts w:asciiTheme="majorBidi" w:hAnsiTheme="majorBidi" w:cstheme="majorBidi"/>
        </w:rPr>
        <w:t xml:space="preserve">respondent burden for this information collection. </w:t>
      </w:r>
      <w:r>
        <w:rPr>
          <w:rFonts w:asciiTheme="majorBidi" w:hAnsiTheme="majorBidi" w:cstheme="majorBidi"/>
        </w:rPr>
        <w:t>The burden estimates are inclusive of PHA surveys, PHA interviews, and landlord interviews. Although the data collection instruments for each of these activities varies slightly between treatment/comparison groups and between baseline and follow-up time periods, we anticipate that the burden will be similar within each category.</w:t>
      </w:r>
    </w:p>
    <w:p w:rsidR="00184771" w:rsidRPr="0044434F" w:rsidP="00E410D6" w14:paraId="69E57FF9" w14:textId="6CE3746E">
      <w:pPr>
        <w:spacing w:after="0" w:line="240" w:lineRule="auto"/>
        <w:rPr>
          <w:rFonts w:asciiTheme="majorBidi" w:hAnsiTheme="majorBidi" w:cstheme="majorBidi"/>
        </w:rPr>
      </w:pPr>
      <w:r>
        <w:rPr>
          <w:rFonts w:asciiTheme="majorBidi" w:hAnsiTheme="majorBidi" w:cstheme="majorBidi"/>
        </w:rPr>
        <w:br w:type="page"/>
      </w:r>
    </w:p>
    <w:p w:rsidR="00184771" w:rsidRPr="006C1FC4" w:rsidP="00184771" w14:paraId="246B5790" w14:textId="77777777">
      <w:pPr>
        <w:rPr>
          <w:rFonts w:ascii="Arial Narrow" w:hAnsi="Arial Narrow" w:cstheme="majorBidi"/>
          <w:b/>
        </w:rPr>
      </w:pPr>
      <w:r w:rsidRPr="006C1FC4">
        <w:rPr>
          <w:rFonts w:ascii="Arial Narrow" w:hAnsi="Arial Narrow" w:cstheme="majorBidi"/>
          <w:b/>
          <w:bCs/>
        </w:rPr>
        <w:t xml:space="preserve">Exhibit </w:t>
      </w:r>
      <w:r>
        <w:rPr>
          <w:rFonts w:ascii="Arial Narrow" w:hAnsi="Arial Narrow" w:cstheme="majorBidi"/>
          <w:b/>
          <w:bCs/>
        </w:rPr>
        <w:t>3</w:t>
      </w:r>
      <w:r w:rsidRPr="006C1FC4">
        <w:rPr>
          <w:rFonts w:ascii="Arial Narrow" w:hAnsi="Arial Narrow" w:cstheme="majorBidi"/>
          <w:b/>
          <w:bCs/>
        </w:rPr>
        <w:t xml:space="preserve">: </w:t>
      </w:r>
      <w:r>
        <w:rPr>
          <w:rFonts w:ascii="Arial Narrow" w:hAnsi="Arial Narrow" w:cstheme="majorBidi"/>
          <w:b/>
          <w:bCs/>
        </w:rPr>
        <w:t xml:space="preserve">Estimated Respondents, Burden Hours, and Costs </w:t>
      </w:r>
    </w:p>
    <w:tbl>
      <w:tblPr>
        <w:tblW w:w="10440" w:type="dxa"/>
        <w:tblInd w:w="-460" w:type="dxa"/>
        <w:tblLook w:val="04A0"/>
      </w:tblPr>
      <w:tblGrid>
        <w:gridCol w:w="1612"/>
        <w:gridCol w:w="1112"/>
        <w:gridCol w:w="1278"/>
        <w:gridCol w:w="1234"/>
        <w:gridCol w:w="1004"/>
        <w:gridCol w:w="1019"/>
        <w:gridCol w:w="931"/>
        <w:gridCol w:w="1080"/>
        <w:gridCol w:w="1170"/>
      </w:tblGrid>
      <w:tr w14:paraId="4F81AF17" w14:textId="77777777" w:rsidTr="00FB7079">
        <w:tblPrEx>
          <w:tblW w:w="10440" w:type="dxa"/>
          <w:tblInd w:w="-460" w:type="dxa"/>
          <w:tblLook w:val="04A0"/>
        </w:tblPrEx>
        <w:trPr>
          <w:trHeight w:val="637"/>
        </w:trPr>
        <w:tc>
          <w:tcPr>
            <w:tcW w:w="1612" w:type="dxa"/>
            <w:tcBorders>
              <w:top w:val="single" w:sz="8" w:space="0" w:color="BFBFBF"/>
              <w:left w:val="single" w:sz="8" w:space="0" w:color="BFBFBF"/>
              <w:bottom w:val="single" w:sz="8" w:space="0" w:color="BFBFBF"/>
              <w:right w:val="single" w:sz="8" w:space="0" w:color="BFBFBF"/>
            </w:tcBorders>
            <w:shd w:val="clear" w:color="auto" w:fill="DA291C"/>
            <w:noWrap/>
            <w:vAlign w:val="center"/>
            <w:hideMark/>
          </w:tcPr>
          <w:p w:rsidR="00184771" w:rsidRPr="006C5EFF" w:rsidP="00A67C7A" w14:paraId="450AFC90" w14:textId="77777777">
            <w:pPr>
              <w:jc w:val="center"/>
              <w:rPr>
                <w:rFonts w:ascii="Arial Narrow" w:hAnsi="Arial Narrow" w:cs="Calibri"/>
                <w:b/>
                <w:bCs/>
                <w:color w:val="F0F4F6" w:themeColor="background1" w:themeTint="33"/>
                <w:sz w:val="18"/>
                <w:szCs w:val="18"/>
              </w:rPr>
            </w:pPr>
            <w:bookmarkStart w:id="14" w:name="_Hlk103710250"/>
            <w:r w:rsidRPr="006C5EFF">
              <w:rPr>
                <w:rFonts w:ascii="Arial Narrow" w:hAnsi="Arial Narrow" w:cs="Calibri"/>
                <w:b/>
                <w:bCs/>
                <w:color w:val="F0F4F6" w:themeColor="background1" w:themeTint="33"/>
                <w:sz w:val="18"/>
                <w:szCs w:val="18"/>
              </w:rPr>
              <w:t>Information Collection</w:t>
            </w:r>
          </w:p>
        </w:tc>
        <w:tc>
          <w:tcPr>
            <w:tcW w:w="1124" w:type="dxa"/>
            <w:tcBorders>
              <w:top w:val="single" w:sz="8" w:space="0" w:color="BFBFBF"/>
              <w:left w:val="nil"/>
              <w:bottom w:val="single" w:sz="8" w:space="0" w:color="BFBFBF"/>
              <w:right w:val="single" w:sz="8" w:space="0" w:color="BFBFBF"/>
            </w:tcBorders>
            <w:shd w:val="clear" w:color="auto" w:fill="DA291C"/>
            <w:vAlign w:val="center"/>
            <w:hideMark/>
          </w:tcPr>
          <w:p w:rsidR="00184771" w:rsidRPr="006C5EFF" w:rsidP="00A67C7A" w14:paraId="51880491" w14:textId="0E6A8BB6">
            <w:pPr>
              <w:jc w:val="center"/>
              <w:rPr>
                <w:rFonts w:ascii="Arial Narrow" w:hAnsi="Arial Narrow" w:cs="Calibri"/>
                <w:b/>
                <w:bCs/>
                <w:color w:val="F0F4F6" w:themeColor="background1" w:themeTint="33"/>
                <w:sz w:val="18"/>
                <w:szCs w:val="18"/>
              </w:rPr>
            </w:pPr>
            <w:r w:rsidRPr="006C5EFF">
              <w:rPr>
                <w:rFonts w:ascii="Arial Narrow" w:hAnsi="Arial Narrow" w:cs="Calibri"/>
                <w:b/>
                <w:bCs/>
                <w:color w:val="F0F4F6" w:themeColor="background1" w:themeTint="33"/>
                <w:sz w:val="18"/>
                <w:szCs w:val="18"/>
              </w:rPr>
              <w:t>Assumption</w:t>
            </w:r>
          </w:p>
        </w:tc>
        <w:tc>
          <w:tcPr>
            <w:tcW w:w="1278" w:type="dxa"/>
            <w:tcBorders>
              <w:top w:val="single" w:sz="8" w:space="0" w:color="BFBFBF"/>
              <w:left w:val="nil"/>
              <w:bottom w:val="single" w:sz="8" w:space="0" w:color="BFBFBF"/>
              <w:right w:val="single" w:sz="8" w:space="0" w:color="BFBFBF"/>
            </w:tcBorders>
            <w:shd w:val="clear" w:color="auto" w:fill="DA291C"/>
            <w:noWrap/>
            <w:vAlign w:val="center"/>
            <w:hideMark/>
          </w:tcPr>
          <w:p w:rsidR="00184771" w:rsidRPr="006C5EFF" w:rsidP="00A67C7A" w14:paraId="6A2409DC" w14:textId="7A29ADBF">
            <w:pPr>
              <w:jc w:val="center"/>
              <w:rPr>
                <w:rFonts w:ascii="Arial Narrow" w:hAnsi="Arial Narrow" w:cs="Calibri"/>
                <w:b/>
                <w:bCs/>
                <w:color w:val="F0F4F6" w:themeColor="background1" w:themeTint="33"/>
                <w:sz w:val="18"/>
                <w:szCs w:val="18"/>
              </w:rPr>
            </w:pPr>
            <w:r w:rsidRPr="006C5EFF">
              <w:rPr>
                <w:rFonts w:ascii="Arial Narrow" w:hAnsi="Arial Narrow" w:cs="Calibri"/>
                <w:b/>
                <w:bCs/>
                <w:color w:val="F0F4F6" w:themeColor="background1" w:themeTint="33"/>
                <w:sz w:val="18"/>
                <w:szCs w:val="18"/>
              </w:rPr>
              <w:t xml:space="preserve">Estimated </w:t>
            </w:r>
            <w:r w:rsidRPr="006C5EFF" w:rsidR="001E2EC1">
              <w:rPr>
                <w:rFonts w:ascii="Arial Narrow" w:hAnsi="Arial Narrow" w:cs="Calibri"/>
                <w:b/>
                <w:bCs/>
                <w:color w:val="F0F4F6" w:themeColor="background1" w:themeTint="33"/>
                <w:sz w:val="18"/>
                <w:szCs w:val="18"/>
              </w:rPr>
              <w:t>R</w:t>
            </w:r>
            <w:r w:rsidRPr="006C5EFF">
              <w:rPr>
                <w:rFonts w:ascii="Arial Narrow" w:hAnsi="Arial Narrow" w:cs="Calibri"/>
                <w:b/>
                <w:bCs/>
                <w:color w:val="F0F4F6" w:themeColor="background1" w:themeTint="33"/>
                <w:sz w:val="18"/>
                <w:szCs w:val="18"/>
              </w:rPr>
              <w:t>espondents</w:t>
            </w:r>
          </w:p>
        </w:tc>
        <w:tc>
          <w:tcPr>
            <w:tcW w:w="1234" w:type="dxa"/>
            <w:tcBorders>
              <w:top w:val="single" w:sz="8" w:space="0" w:color="BFBFBF"/>
              <w:left w:val="nil"/>
              <w:bottom w:val="single" w:sz="8" w:space="0" w:color="BFBFBF"/>
              <w:right w:val="single" w:sz="8" w:space="0" w:color="BFBFBF"/>
            </w:tcBorders>
            <w:shd w:val="clear" w:color="auto" w:fill="DA291C"/>
            <w:noWrap/>
            <w:vAlign w:val="center"/>
            <w:hideMark/>
          </w:tcPr>
          <w:p w:rsidR="00184771" w:rsidRPr="006C5EFF" w:rsidP="00A67C7A" w14:paraId="039B3F4D" w14:textId="77777777">
            <w:pPr>
              <w:jc w:val="center"/>
              <w:rPr>
                <w:rFonts w:ascii="Arial Narrow" w:hAnsi="Arial Narrow" w:cs="Calibri"/>
                <w:b/>
                <w:bCs/>
                <w:color w:val="F0F4F6" w:themeColor="background1" w:themeTint="33"/>
                <w:sz w:val="18"/>
                <w:szCs w:val="18"/>
              </w:rPr>
            </w:pPr>
            <w:r w:rsidRPr="006C5EFF">
              <w:rPr>
                <w:rFonts w:ascii="Arial Narrow" w:hAnsi="Arial Narrow" w:cs="Calibri"/>
                <w:b/>
                <w:bCs/>
                <w:color w:val="F0F4F6" w:themeColor="background1" w:themeTint="33"/>
                <w:sz w:val="18"/>
                <w:szCs w:val="18"/>
              </w:rPr>
              <w:t>Frequency of Response</w:t>
            </w:r>
          </w:p>
        </w:tc>
        <w:tc>
          <w:tcPr>
            <w:tcW w:w="1004" w:type="dxa"/>
            <w:tcBorders>
              <w:top w:val="single" w:sz="8" w:space="0" w:color="BFBFBF"/>
              <w:left w:val="nil"/>
              <w:bottom w:val="single" w:sz="8" w:space="0" w:color="BFBFBF"/>
              <w:right w:val="single" w:sz="8" w:space="0" w:color="BFBFBF"/>
            </w:tcBorders>
            <w:shd w:val="clear" w:color="auto" w:fill="DA291C"/>
            <w:noWrap/>
            <w:vAlign w:val="center"/>
            <w:hideMark/>
          </w:tcPr>
          <w:p w:rsidR="00184771" w:rsidRPr="006C5EFF" w:rsidP="00A67C7A" w14:paraId="75D8228B" w14:textId="77777777">
            <w:pPr>
              <w:jc w:val="center"/>
              <w:rPr>
                <w:rFonts w:ascii="Arial Narrow" w:hAnsi="Arial Narrow" w:cs="Calibri"/>
                <w:b/>
                <w:bCs/>
                <w:color w:val="F0F4F6" w:themeColor="background1" w:themeTint="33"/>
                <w:sz w:val="18"/>
                <w:szCs w:val="18"/>
              </w:rPr>
            </w:pPr>
            <w:r w:rsidRPr="006C5EFF">
              <w:rPr>
                <w:rFonts w:ascii="Arial Narrow" w:hAnsi="Arial Narrow" w:cs="Calibri"/>
                <w:b/>
                <w:bCs/>
                <w:color w:val="F0F4F6" w:themeColor="background1" w:themeTint="33"/>
                <w:sz w:val="18"/>
                <w:szCs w:val="18"/>
              </w:rPr>
              <w:t>Responses per Annum</w:t>
            </w:r>
          </w:p>
        </w:tc>
        <w:tc>
          <w:tcPr>
            <w:tcW w:w="1019" w:type="dxa"/>
            <w:tcBorders>
              <w:top w:val="single" w:sz="8" w:space="0" w:color="BFBFBF"/>
              <w:left w:val="nil"/>
              <w:bottom w:val="single" w:sz="8" w:space="0" w:color="BFBFBF"/>
              <w:right w:val="single" w:sz="8" w:space="0" w:color="BFBFBF"/>
            </w:tcBorders>
            <w:shd w:val="clear" w:color="auto" w:fill="DA291C"/>
            <w:noWrap/>
            <w:vAlign w:val="center"/>
            <w:hideMark/>
          </w:tcPr>
          <w:p w:rsidR="00184771" w:rsidRPr="006C5EFF" w:rsidP="00A67C7A" w14:paraId="7FB229D3" w14:textId="77777777">
            <w:pPr>
              <w:jc w:val="center"/>
              <w:rPr>
                <w:rFonts w:ascii="Arial Narrow" w:hAnsi="Arial Narrow" w:cs="Calibri"/>
                <w:b/>
                <w:bCs/>
                <w:color w:val="F0F4F6" w:themeColor="background1" w:themeTint="33"/>
                <w:sz w:val="18"/>
                <w:szCs w:val="18"/>
              </w:rPr>
            </w:pPr>
            <w:r w:rsidRPr="006C5EFF">
              <w:rPr>
                <w:rFonts w:ascii="Arial Narrow" w:hAnsi="Arial Narrow" w:cs="Calibri"/>
                <w:b/>
                <w:bCs/>
                <w:color w:val="F0F4F6" w:themeColor="background1" w:themeTint="33"/>
                <w:sz w:val="18"/>
                <w:szCs w:val="18"/>
              </w:rPr>
              <w:t>Burden Hours per Response</w:t>
            </w:r>
          </w:p>
        </w:tc>
        <w:tc>
          <w:tcPr>
            <w:tcW w:w="919" w:type="dxa"/>
            <w:tcBorders>
              <w:top w:val="single" w:sz="8" w:space="0" w:color="BFBFBF"/>
              <w:left w:val="nil"/>
              <w:bottom w:val="single" w:sz="8" w:space="0" w:color="BFBFBF"/>
              <w:right w:val="single" w:sz="8" w:space="0" w:color="BFBFBF"/>
            </w:tcBorders>
            <w:shd w:val="clear" w:color="auto" w:fill="DA291C"/>
            <w:noWrap/>
            <w:vAlign w:val="center"/>
            <w:hideMark/>
          </w:tcPr>
          <w:p w:rsidR="00184771" w:rsidRPr="006C5EFF" w:rsidP="00A67C7A" w14:paraId="70FB8341" w14:textId="7C2D0E19">
            <w:pPr>
              <w:jc w:val="center"/>
              <w:rPr>
                <w:rFonts w:ascii="Arial Narrow" w:hAnsi="Arial Narrow" w:cs="Calibri"/>
                <w:b/>
                <w:bCs/>
                <w:color w:val="F0F4F6" w:themeColor="background1" w:themeTint="33"/>
                <w:sz w:val="18"/>
                <w:szCs w:val="18"/>
              </w:rPr>
            </w:pPr>
            <w:r w:rsidRPr="006C5EFF">
              <w:rPr>
                <w:rFonts w:ascii="Arial Narrow" w:hAnsi="Arial Narrow" w:cs="Calibri"/>
                <w:b/>
                <w:bCs/>
                <w:color w:val="F0F4F6" w:themeColor="background1" w:themeTint="33"/>
                <w:sz w:val="18"/>
                <w:szCs w:val="18"/>
              </w:rPr>
              <w:t>Annual Burden Hours</w:t>
            </w:r>
          </w:p>
        </w:tc>
        <w:tc>
          <w:tcPr>
            <w:tcW w:w="1080" w:type="dxa"/>
            <w:tcBorders>
              <w:top w:val="single" w:sz="8" w:space="0" w:color="BFBFBF"/>
              <w:left w:val="nil"/>
              <w:bottom w:val="single" w:sz="8" w:space="0" w:color="BFBFBF"/>
              <w:right w:val="single" w:sz="8" w:space="0" w:color="BFBFBF"/>
            </w:tcBorders>
            <w:shd w:val="clear" w:color="auto" w:fill="DA291C"/>
            <w:noWrap/>
            <w:vAlign w:val="center"/>
            <w:hideMark/>
          </w:tcPr>
          <w:p w:rsidR="00184771" w:rsidRPr="006C5EFF" w:rsidP="00A67C7A" w14:paraId="7BE73B56" w14:textId="77777777">
            <w:pPr>
              <w:jc w:val="center"/>
              <w:rPr>
                <w:rFonts w:ascii="Arial Narrow" w:hAnsi="Arial Narrow" w:cs="Calibri"/>
                <w:b/>
                <w:bCs/>
                <w:color w:val="F0F4F6" w:themeColor="background1" w:themeTint="33"/>
                <w:sz w:val="18"/>
                <w:szCs w:val="18"/>
              </w:rPr>
            </w:pPr>
            <w:r w:rsidRPr="006C5EFF">
              <w:rPr>
                <w:rFonts w:ascii="Arial Narrow" w:hAnsi="Arial Narrow" w:cs="Calibri"/>
                <w:b/>
                <w:bCs/>
                <w:color w:val="F0F4F6" w:themeColor="background1" w:themeTint="33"/>
                <w:sz w:val="18"/>
                <w:szCs w:val="18"/>
              </w:rPr>
              <w:t>Hourly Cost per Response</w:t>
            </w:r>
          </w:p>
        </w:tc>
        <w:tc>
          <w:tcPr>
            <w:tcW w:w="1170" w:type="dxa"/>
            <w:tcBorders>
              <w:top w:val="single" w:sz="8" w:space="0" w:color="BFBFBF"/>
              <w:left w:val="nil"/>
              <w:bottom w:val="single" w:sz="8" w:space="0" w:color="BFBFBF"/>
              <w:right w:val="single" w:sz="8" w:space="0" w:color="BFBFBF"/>
            </w:tcBorders>
            <w:shd w:val="clear" w:color="auto" w:fill="DA291C"/>
            <w:noWrap/>
            <w:vAlign w:val="center"/>
            <w:hideMark/>
          </w:tcPr>
          <w:p w:rsidR="00184771" w:rsidRPr="006C5EFF" w:rsidP="00A67C7A" w14:paraId="70DC53A4" w14:textId="77777777">
            <w:pPr>
              <w:jc w:val="center"/>
              <w:rPr>
                <w:rFonts w:ascii="Arial Narrow" w:hAnsi="Arial Narrow" w:cs="Calibri"/>
                <w:b/>
                <w:bCs/>
                <w:color w:val="F0F4F6" w:themeColor="background1" w:themeTint="33"/>
                <w:sz w:val="18"/>
                <w:szCs w:val="18"/>
              </w:rPr>
            </w:pPr>
            <w:r w:rsidRPr="006C5EFF">
              <w:rPr>
                <w:rFonts w:ascii="Arial Narrow" w:hAnsi="Arial Narrow" w:cs="Calibri"/>
                <w:b/>
                <w:bCs/>
                <w:color w:val="F0F4F6" w:themeColor="background1" w:themeTint="33"/>
                <w:sz w:val="18"/>
                <w:szCs w:val="18"/>
              </w:rPr>
              <w:t>Annual Cost</w:t>
            </w:r>
          </w:p>
        </w:tc>
      </w:tr>
      <w:tr w14:paraId="3C764E76" w14:textId="77777777" w:rsidTr="00FB7079">
        <w:tblPrEx>
          <w:tblW w:w="10440" w:type="dxa"/>
          <w:tblInd w:w="-460" w:type="dxa"/>
          <w:tblLook w:val="04A0"/>
        </w:tblPrEx>
        <w:trPr>
          <w:trHeight w:val="1933"/>
        </w:trPr>
        <w:tc>
          <w:tcPr>
            <w:tcW w:w="1612" w:type="dxa"/>
            <w:tcBorders>
              <w:top w:val="nil"/>
              <w:left w:val="single" w:sz="8" w:space="0" w:color="BFBFBF"/>
              <w:bottom w:val="single" w:sz="8" w:space="0" w:color="BFBFBF"/>
              <w:right w:val="single" w:sz="8" w:space="0" w:color="BFBFBF"/>
            </w:tcBorders>
            <w:shd w:val="clear" w:color="auto" w:fill="auto"/>
            <w:noWrap/>
            <w:vAlign w:val="center"/>
            <w:hideMark/>
          </w:tcPr>
          <w:p w:rsidR="00FB7079" w:rsidRPr="006C5EFF" w:rsidP="00FB7079" w14:paraId="311067FC" w14:textId="4002D723">
            <w:pPr>
              <w:rPr>
                <w:rFonts w:ascii="Arial Narrow" w:hAnsi="Arial Narrow" w:cs="Calibri"/>
                <w:color w:val="000000"/>
                <w:sz w:val="18"/>
                <w:szCs w:val="18"/>
              </w:rPr>
            </w:pPr>
            <w:r w:rsidRPr="006C5EFF">
              <w:rPr>
                <w:rFonts w:ascii="Arial Narrow" w:hAnsi="Arial Narrow" w:cs="Calibri"/>
                <w:color w:val="000000"/>
                <w:sz w:val="18"/>
                <w:szCs w:val="18"/>
              </w:rPr>
              <w:t>Baseline 05_Web Survey Treatment PHA 10.05.2022</w:t>
            </w:r>
          </w:p>
          <w:p w:rsidR="00FB7079" w:rsidRPr="006C5EFF" w:rsidP="00FB7079" w14:paraId="3D26F094" w14:textId="6BE21BA3">
            <w:pPr>
              <w:rPr>
                <w:rFonts w:ascii="Arial Narrow" w:hAnsi="Arial Narrow" w:cs="Calibri"/>
                <w:color w:val="000000"/>
                <w:sz w:val="18"/>
                <w:szCs w:val="18"/>
              </w:rPr>
            </w:pPr>
            <w:r w:rsidRPr="006C5EFF">
              <w:rPr>
                <w:rFonts w:ascii="Arial Narrow" w:hAnsi="Arial Narrow" w:cs="Calibri"/>
                <w:color w:val="000000"/>
                <w:sz w:val="18"/>
                <w:szCs w:val="18"/>
              </w:rPr>
              <w:t xml:space="preserve">06_Baseline Web Survey Comparison PHA 10.05.2022 </w:t>
            </w:r>
          </w:p>
        </w:tc>
        <w:tc>
          <w:tcPr>
            <w:tcW w:w="1124" w:type="dxa"/>
            <w:tcBorders>
              <w:top w:val="nil"/>
              <w:left w:val="nil"/>
              <w:bottom w:val="single" w:sz="8" w:space="0" w:color="BFBFBF"/>
              <w:right w:val="single" w:sz="8" w:space="0" w:color="BFBFBF"/>
            </w:tcBorders>
            <w:shd w:val="clear" w:color="auto" w:fill="auto"/>
            <w:vAlign w:val="center"/>
            <w:hideMark/>
          </w:tcPr>
          <w:p w:rsidR="00FB7079" w:rsidRPr="006C5EFF" w:rsidP="00FB7079" w14:paraId="19E834D6" w14:textId="77777777">
            <w:pPr>
              <w:rPr>
                <w:rFonts w:ascii="Arial Narrow" w:hAnsi="Arial Narrow" w:cs="Calibri"/>
                <w:color w:val="000000"/>
                <w:sz w:val="18"/>
                <w:szCs w:val="18"/>
              </w:rPr>
            </w:pPr>
            <w:r w:rsidRPr="006C5EFF">
              <w:rPr>
                <w:rFonts w:ascii="Arial Narrow" w:hAnsi="Arial Narrow" w:cs="Calibri"/>
                <w:color w:val="000000"/>
                <w:sz w:val="18"/>
                <w:szCs w:val="18"/>
              </w:rPr>
              <w:t>All PHAs</w:t>
            </w:r>
          </w:p>
        </w:tc>
        <w:tc>
          <w:tcPr>
            <w:tcW w:w="1278" w:type="dxa"/>
            <w:tcBorders>
              <w:top w:val="nil"/>
              <w:left w:val="nil"/>
              <w:bottom w:val="single" w:sz="8" w:space="0" w:color="BFBFBF"/>
              <w:right w:val="single" w:sz="8" w:space="0" w:color="BFBFBF"/>
            </w:tcBorders>
            <w:shd w:val="clear" w:color="auto" w:fill="auto"/>
            <w:noWrap/>
            <w:hideMark/>
          </w:tcPr>
          <w:p w:rsidR="00FB7079" w:rsidRPr="006C5EFF" w:rsidP="00FB7079" w14:paraId="7C3FABC3" w14:textId="2C6D8ACB">
            <w:pPr>
              <w:jc w:val="right"/>
              <w:rPr>
                <w:rFonts w:ascii="Arial Narrow" w:hAnsi="Arial Narrow" w:cs="Calibri"/>
                <w:color w:val="000000"/>
                <w:sz w:val="18"/>
                <w:szCs w:val="18"/>
              </w:rPr>
            </w:pPr>
            <w:r w:rsidRPr="00991C7D">
              <w:t xml:space="preserve"> 140.00 </w:t>
            </w:r>
          </w:p>
        </w:tc>
        <w:tc>
          <w:tcPr>
            <w:tcW w:w="1234" w:type="dxa"/>
            <w:tcBorders>
              <w:top w:val="nil"/>
              <w:left w:val="nil"/>
              <w:bottom w:val="single" w:sz="8" w:space="0" w:color="BFBFBF"/>
              <w:right w:val="single" w:sz="8" w:space="0" w:color="BFBFBF"/>
            </w:tcBorders>
            <w:shd w:val="clear" w:color="auto" w:fill="auto"/>
            <w:noWrap/>
            <w:hideMark/>
          </w:tcPr>
          <w:p w:rsidR="00FB7079" w:rsidRPr="006C5EFF" w:rsidP="00FB7079" w14:paraId="31AD569F" w14:textId="0EBC7A75">
            <w:pPr>
              <w:jc w:val="right"/>
              <w:rPr>
                <w:rFonts w:ascii="Arial Narrow" w:hAnsi="Arial Narrow" w:cs="Calibri"/>
                <w:color w:val="000000"/>
                <w:sz w:val="18"/>
                <w:szCs w:val="18"/>
              </w:rPr>
            </w:pPr>
            <w:r w:rsidRPr="00991C7D">
              <w:t xml:space="preserve"> 0.33 </w:t>
            </w:r>
          </w:p>
        </w:tc>
        <w:tc>
          <w:tcPr>
            <w:tcW w:w="1004" w:type="dxa"/>
            <w:tcBorders>
              <w:top w:val="nil"/>
              <w:left w:val="nil"/>
              <w:bottom w:val="single" w:sz="8" w:space="0" w:color="BFBFBF"/>
              <w:right w:val="single" w:sz="8" w:space="0" w:color="BFBFBF"/>
            </w:tcBorders>
            <w:shd w:val="clear" w:color="auto" w:fill="auto"/>
            <w:noWrap/>
            <w:hideMark/>
          </w:tcPr>
          <w:p w:rsidR="00FB7079" w:rsidRPr="006C5EFF" w:rsidP="00FB7079" w14:paraId="61E0D220" w14:textId="31D0C2D7">
            <w:pPr>
              <w:jc w:val="right"/>
              <w:rPr>
                <w:rFonts w:ascii="Arial Narrow" w:hAnsi="Arial Narrow" w:cs="Calibri"/>
                <w:color w:val="000000"/>
                <w:sz w:val="18"/>
                <w:szCs w:val="18"/>
              </w:rPr>
            </w:pPr>
            <w:r w:rsidRPr="00991C7D">
              <w:t xml:space="preserve"> 46.67 </w:t>
            </w:r>
          </w:p>
        </w:tc>
        <w:tc>
          <w:tcPr>
            <w:tcW w:w="1019" w:type="dxa"/>
            <w:tcBorders>
              <w:top w:val="nil"/>
              <w:left w:val="nil"/>
              <w:bottom w:val="single" w:sz="8" w:space="0" w:color="BFBFBF"/>
              <w:right w:val="single" w:sz="8" w:space="0" w:color="BFBFBF"/>
            </w:tcBorders>
            <w:shd w:val="clear" w:color="auto" w:fill="auto"/>
            <w:noWrap/>
            <w:hideMark/>
          </w:tcPr>
          <w:p w:rsidR="00FB7079" w:rsidRPr="006C5EFF" w:rsidP="00FB7079" w14:paraId="08E9F097" w14:textId="30CF8D4B">
            <w:pPr>
              <w:jc w:val="right"/>
              <w:rPr>
                <w:rFonts w:ascii="Arial Narrow" w:hAnsi="Arial Narrow" w:cs="Calibri"/>
                <w:color w:val="000000"/>
                <w:sz w:val="18"/>
                <w:szCs w:val="18"/>
              </w:rPr>
            </w:pPr>
            <w:r w:rsidRPr="00991C7D">
              <w:t xml:space="preserve"> 0.50 </w:t>
            </w:r>
          </w:p>
        </w:tc>
        <w:tc>
          <w:tcPr>
            <w:tcW w:w="919" w:type="dxa"/>
            <w:tcBorders>
              <w:top w:val="nil"/>
              <w:left w:val="nil"/>
              <w:bottom w:val="single" w:sz="8" w:space="0" w:color="BFBFBF"/>
              <w:right w:val="single" w:sz="8" w:space="0" w:color="BFBFBF"/>
            </w:tcBorders>
            <w:shd w:val="clear" w:color="auto" w:fill="auto"/>
            <w:noWrap/>
            <w:hideMark/>
          </w:tcPr>
          <w:p w:rsidR="00FB7079" w:rsidRPr="006C5EFF" w:rsidP="00FB7079" w14:paraId="11BF97F7" w14:textId="479C89EA">
            <w:pPr>
              <w:jc w:val="right"/>
              <w:rPr>
                <w:rFonts w:ascii="Arial Narrow" w:hAnsi="Arial Narrow" w:cs="Calibri"/>
                <w:color w:val="000000"/>
                <w:sz w:val="18"/>
                <w:szCs w:val="18"/>
              </w:rPr>
            </w:pPr>
            <w:r w:rsidRPr="00991C7D">
              <w:t>$23.33</w:t>
            </w:r>
          </w:p>
        </w:tc>
        <w:tc>
          <w:tcPr>
            <w:tcW w:w="1080" w:type="dxa"/>
            <w:tcBorders>
              <w:top w:val="nil"/>
              <w:left w:val="nil"/>
              <w:bottom w:val="single" w:sz="8" w:space="0" w:color="BFBFBF"/>
              <w:right w:val="single" w:sz="8" w:space="0" w:color="BFBFBF"/>
            </w:tcBorders>
            <w:shd w:val="clear" w:color="auto" w:fill="auto"/>
            <w:noWrap/>
            <w:hideMark/>
          </w:tcPr>
          <w:p w:rsidR="00FB7079" w:rsidRPr="006C5EFF" w:rsidP="00FB7079" w14:paraId="7E35A0AA" w14:textId="5B63AAFA">
            <w:pPr>
              <w:jc w:val="right"/>
              <w:rPr>
                <w:rFonts w:ascii="Arial Narrow" w:hAnsi="Arial Narrow" w:cs="Calibri"/>
                <w:color w:val="000000"/>
                <w:sz w:val="18"/>
                <w:szCs w:val="18"/>
              </w:rPr>
            </w:pPr>
            <w:r w:rsidRPr="00991C7D">
              <w:t xml:space="preserve">$54.96 </w:t>
            </w:r>
          </w:p>
        </w:tc>
        <w:tc>
          <w:tcPr>
            <w:tcW w:w="1170" w:type="dxa"/>
            <w:tcBorders>
              <w:top w:val="nil"/>
              <w:left w:val="nil"/>
              <w:bottom w:val="single" w:sz="8" w:space="0" w:color="BFBFBF"/>
              <w:right w:val="single" w:sz="8" w:space="0" w:color="BFBFBF"/>
            </w:tcBorders>
            <w:shd w:val="clear" w:color="auto" w:fill="auto"/>
            <w:noWrap/>
            <w:hideMark/>
          </w:tcPr>
          <w:p w:rsidR="00FB7079" w:rsidRPr="006C5EFF" w:rsidP="00FB7079" w14:paraId="6A6193F7" w14:textId="45FBD5A9">
            <w:pPr>
              <w:jc w:val="right"/>
              <w:rPr>
                <w:rFonts w:ascii="Arial Narrow" w:hAnsi="Arial Narrow" w:cs="Calibri"/>
                <w:color w:val="000000"/>
                <w:sz w:val="18"/>
                <w:szCs w:val="18"/>
              </w:rPr>
            </w:pPr>
            <w:r w:rsidRPr="00991C7D">
              <w:t>$1,282.43</w:t>
            </w:r>
          </w:p>
        </w:tc>
      </w:tr>
      <w:tr w14:paraId="7FCC286F" w14:textId="77777777" w:rsidTr="00FB7079">
        <w:tblPrEx>
          <w:tblW w:w="10440" w:type="dxa"/>
          <w:tblInd w:w="-460" w:type="dxa"/>
          <w:tblLook w:val="04A0"/>
        </w:tblPrEx>
        <w:trPr>
          <w:trHeight w:val="682"/>
        </w:trPr>
        <w:tc>
          <w:tcPr>
            <w:tcW w:w="1612" w:type="dxa"/>
            <w:tcBorders>
              <w:top w:val="nil"/>
              <w:left w:val="single" w:sz="8" w:space="0" w:color="BFBFBF"/>
              <w:bottom w:val="single" w:sz="8" w:space="0" w:color="BFBFBF"/>
              <w:right w:val="single" w:sz="8" w:space="0" w:color="BFBFBF"/>
            </w:tcBorders>
            <w:shd w:val="clear" w:color="auto" w:fill="auto"/>
            <w:noWrap/>
            <w:vAlign w:val="center"/>
            <w:hideMark/>
          </w:tcPr>
          <w:p w:rsidR="00FB7079" w:rsidRPr="006C5EFF" w:rsidP="00FB7079" w14:paraId="21ACD5A4" w14:textId="3BFB873C">
            <w:pPr>
              <w:rPr>
                <w:rFonts w:ascii="Arial Narrow" w:hAnsi="Arial Narrow" w:cs="Calibri"/>
                <w:color w:val="000000"/>
                <w:sz w:val="18"/>
                <w:szCs w:val="18"/>
              </w:rPr>
            </w:pPr>
            <w:r w:rsidRPr="006C5EFF">
              <w:rPr>
                <w:rFonts w:ascii="Arial Narrow" w:hAnsi="Arial Narrow" w:cs="Calibri"/>
                <w:color w:val="000000"/>
                <w:sz w:val="18"/>
                <w:szCs w:val="18"/>
              </w:rPr>
              <w:t>09_Baseline Site Visit Interviews Y2 10.05.2022</w:t>
            </w:r>
          </w:p>
        </w:tc>
        <w:tc>
          <w:tcPr>
            <w:tcW w:w="1124" w:type="dxa"/>
            <w:tcBorders>
              <w:top w:val="nil"/>
              <w:left w:val="nil"/>
              <w:bottom w:val="single" w:sz="8" w:space="0" w:color="BFBFBF"/>
              <w:right w:val="single" w:sz="8" w:space="0" w:color="BFBFBF"/>
            </w:tcBorders>
            <w:shd w:val="clear" w:color="auto" w:fill="auto"/>
            <w:vAlign w:val="center"/>
            <w:hideMark/>
          </w:tcPr>
          <w:p w:rsidR="00FB7079" w:rsidRPr="006C5EFF" w:rsidP="00FB7079" w14:paraId="7E8CC712" w14:textId="77777777">
            <w:pPr>
              <w:rPr>
                <w:rFonts w:ascii="Arial Narrow" w:hAnsi="Arial Narrow" w:cs="Calibri"/>
                <w:color w:val="000000"/>
                <w:sz w:val="18"/>
                <w:szCs w:val="18"/>
              </w:rPr>
            </w:pPr>
            <w:r w:rsidRPr="006C5EFF">
              <w:rPr>
                <w:rFonts w:ascii="Arial Narrow" w:hAnsi="Arial Narrow" w:cs="Calibri"/>
                <w:color w:val="000000"/>
                <w:sz w:val="18"/>
                <w:szCs w:val="18"/>
              </w:rPr>
              <w:t>29 PHAs, 4 interviews per PHA</w:t>
            </w:r>
          </w:p>
        </w:tc>
        <w:tc>
          <w:tcPr>
            <w:tcW w:w="1278" w:type="dxa"/>
            <w:tcBorders>
              <w:top w:val="nil"/>
              <w:left w:val="nil"/>
              <w:bottom w:val="single" w:sz="8" w:space="0" w:color="BFBFBF"/>
              <w:right w:val="single" w:sz="8" w:space="0" w:color="BFBFBF"/>
            </w:tcBorders>
            <w:shd w:val="clear" w:color="auto" w:fill="auto"/>
            <w:noWrap/>
            <w:hideMark/>
          </w:tcPr>
          <w:p w:rsidR="00FB7079" w:rsidRPr="006C5EFF" w:rsidP="00FB7079" w14:paraId="79BDFD37" w14:textId="6A501FFA">
            <w:pPr>
              <w:jc w:val="right"/>
              <w:rPr>
                <w:rFonts w:ascii="Arial Narrow" w:hAnsi="Arial Narrow" w:cs="Calibri"/>
                <w:color w:val="000000"/>
                <w:sz w:val="18"/>
                <w:szCs w:val="18"/>
              </w:rPr>
            </w:pPr>
            <w:r w:rsidRPr="00991C7D">
              <w:t xml:space="preserve"> 112.00 </w:t>
            </w:r>
          </w:p>
        </w:tc>
        <w:tc>
          <w:tcPr>
            <w:tcW w:w="1234" w:type="dxa"/>
            <w:tcBorders>
              <w:top w:val="nil"/>
              <w:left w:val="nil"/>
              <w:bottom w:val="single" w:sz="8" w:space="0" w:color="BFBFBF"/>
              <w:right w:val="single" w:sz="8" w:space="0" w:color="BFBFBF"/>
            </w:tcBorders>
            <w:shd w:val="clear" w:color="auto" w:fill="auto"/>
            <w:noWrap/>
            <w:hideMark/>
          </w:tcPr>
          <w:p w:rsidR="00FB7079" w:rsidRPr="006C5EFF" w:rsidP="00FB7079" w14:paraId="08A8149B" w14:textId="1EE7BA66">
            <w:pPr>
              <w:jc w:val="right"/>
              <w:rPr>
                <w:rFonts w:ascii="Arial Narrow" w:hAnsi="Arial Narrow" w:cs="Calibri"/>
                <w:color w:val="000000"/>
                <w:sz w:val="18"/>
                <w:szCs w:val="18"/>
              </w:rPr>
            </w:pPr>
            <w:r w:rsidRPr="00991C7D">
              <w:t xml:space="preserve"> 0.33 </w:t>
            </w:r>
          </w:p>
        </w:tc>
        <w:tc>
          <w:tcPr>
            <w:tcW w:w="1004" w:type="dxa"/>
            <w:tcBorders>
              <w:top w:val="nil"/>
              <w:left w:val="nil"/>
              <w:bottom w:val="single" w:sz="8" w:space="0" w:color="BFBFBF"/>
              <w:right w:val="single" w:sz="8" w:space="0" w:color="BFBFBF"/>
            </w:tcBorders>
            <w:shd w:val="clear" w:color="auto" w:fill="auto"/>
            <w:noWrap/>
            <w:hideMark/>
          </w:tcPr>
          <w:p w:rsidR="00FB7079" w:rsidRPr="006C5EFF" w:rsidP="00FB7079" w14:paraId="332B27E5" w14:textId="3DF61B0A">
            <w:pPr>
              <w:jc w:val="right"/>
              <w:rPr>
                <w:rFonts w:ascii="Arial Narrow" w:hAnsi="Arial Narrow" w:cs="Calibri"/>
                <w:color w:val="000000"/>
                <w:sz w:val="18"/>
                <w:szCs w:val="18"/>
              </w:rPr>
            </w:pPr>
            <w:r w:rsidRPr="00991C7D">
              <w:t xml:space="preserve"> 37.33 </w:t>
            </w:r>
          </w:p>
        </w:tc>
        <w:tc>
          <w:tcPr>
            <w:tcW w:w="1019" w:type="dxa"/>
            <w:tcBorders>
              <w:top w:val="nil"/>
              <w:left w:val="nil"/>
              <w:bottom w:val="single" w:sz="8" w:space="0" w:color="BFBFBF"/>
              <w:right w:val="single" w:sz="8" w:space="0" w:color="BFBFBF"/>
            </w:tcBorders>
            <w:shd w:val="clear" w:color="auto" w:fill="auto"/>
            <w:noWrap/>
            <w:hideMark/>
          </w:tcPr>
          <w:p w:rsidR="00FB7079" w:rsidRPr="006C5EFF" w:rsidP="00FB7079" w14:paraId="19A64EC4" w14:textId="25781EBC">
            <w:pPr>
              <w:jc w:val="right"/>
              <w:rPr>
                <w:rFonts w:ascii="Arial Narrow" w:hAnsi="Arial Narrow" w:cs="Calibri"/>
                <w:color w:val="000000"/>
                <w:sz w:val="18"/>
                <w:szCs w:val="18"/>
              </w:rPr>
            </w:pPr>
            <w:r w:rsidRPr="00991C7D">
              <w:t xml:space="preserve"> 1.00 </w:t>
            </w:r>
          </w:p>
        </w:tc>
        <w:tc>
          <w:tcPr>
            <w:tcW w:w="919" w:type="dxa"/>
            <w:tcBorders>
              <w:top w:val="nil"/>
              <w:left w:val="nil"/>
              <w:bottom w:val="single" w:sz="8" w:space="0" w:color="BFBFBF"/>
              <w:right w:val="single" w:sz="8" w:space="0" w:color="BFBFBF"/>
            </w:tcBorders>
            <w:shd w:val="clear" w:color="auto" w:fill="auto"/>
            <w:noWrap/>
            <w:hideMark/>
          </w:tcPr>
          <w:p w:rsidR="00FB7079" w:rsidRPr="006C5EFF" w:rsidP="00FB7079" w14:paraId="1C286F20" w14:textId="0692E318">
            <w:pPr>
              <w:jc w:val="right"/>
              <w:rPr>
                <w:rFonts w:ascii="Arial Narrow" w:hAnsi="Arial Narrow" w:cs="Calibri"/>
                <w:color w:val="000000"/>
                <w:sz w:val="18"/>
                <w:szCs w:val="18"/>
              </w:rPr>
            </w:pPr>
            <w:r w:rsidRPr="00991C7D">
              <w:t>$37.33</w:t>
            </w:r>
          </w:p>
        </w:tc>
        <w:tc>
          <w:tcPr>
            <w:tcW w:w="1080" w:type="dxa"/>
            <w:tcBorders>
              <w:top w:val="nil"/>
              <w:left w:val="nil"/>
              <w:bottom w:val="single" w:sz="8" w:space="0" w:color="BFBFBF"/>
              <w:right w:val="single" w:sz="8" w:space="0" w:color="BFBFBF"/>
            </w:tcBorders>
            <w:shd w:val="clear" w:color="auto" w:fill="auto"/>
            <w:noWrap/>
            <w:hideMark/>
          </w:tcPr>
          <w:p w:rsidR="00FB7079" w:rsidRPr="006C5EFF" w:rsidP="00FB7079" w14:paraId="563BE1C2" w14:textId="4C1ED39A">
            <w:pPr>
              <w:jc w:val="right"/>
              <w:rPr>
                <w:rFonts w:ascii="Arial Narrow" w:hAnsi="Arial Narrow" w:cs="Calibri"/>
                <w:color w:val="000000"/>
                <w:sz w:val="18"/>
                <w:szCs w:val="18"/>
              </w:rPr>
            </w:pPr>
            <w:r w:rsidRPr="00991C7D">
              <w:t xml:space="preserve">$54.96 </w:t>
            </w:r>
          </w:p>
        </w:tc>
        <w:tc>
          <w:tcPr>
            <w:tcW w:w="1170" w:type="dxa"/>
            <w:tcBorders>
              <w:top w:val="nil"/>
              <w:left w:val="nil"/>
              <w:bottom w:val="single" w:sz="8" w:space="0" w:color="BFBFBF"/>
              <w:right w:val="single" w:sz="8" w:space="0" w:color="BFBFBF"/>
            </w:tcBorders>
            <w:shd w:val="clear" w:color="auto" w:fill="auto"/>
            <w:noWrap/>
            <w:hideMark/>
          </w:tcPr>
          <w:p w:rsidR="00FB7079" w:rsidRPr="006C5EFF" w:rsidP="00FB7079" w14:paraId="5250C616" w14:textId="67C4B7FB">
            <w:pPr>
              <w:jc w:val="right"/>
              <w:rPr>
                <w:rFonts w:ascii="Arial Narrow" w:hAnsi="Arial Narrow" w:cs="Calibri"/>
                <w:color w:val="000000"/>
                <w:sz w:val="18"/>
                <w:szCs w:val="18"/>
              </w:rPr>
            </w:pPr>
            <w:r w:rsidRPr="00991C7D">
              <w:t>$2,051.88</w:t>
            </w:r>
          </w:p>
        </w:tc>
      </w:tr>
      <w:tr w14:paraId="4969CD6D" w14:textId="77777777" w:rsidTr="00FB7079">
        <w:tblPrEx>
          <w:tblW w:w="10440" w:type="dxa"/>
          <w:tblInd w:w="-460" w:type="dxa"/>
          <w:tblLook w:val="04A0"/>
        </w:tblPrEx>
        <w:trPr>
          <w:trHeight w:val="628"/>
        </w:trPr>
        <w:tc>
          <w:tcPr>
            <w:tcW w:w="1612" w:type="dxa"/>
            <w:tcBorders>
              <w:top w:val="nil"/>
              <w:left w:val="single" w:sz="8" w:space="0" w:color="BFBFBF"/>
              <w:bottom w:val="single" w:sz="8" w:space="0" w:color="BFBFBF"/>
              <w:right w:val="single" w:sz="8" w:space="0" w:color="BFBFBF"/>
            </w:tcBorders>
            <w:shd w:val="clear" w:color="auto" w:fill="auto"/>
            <w:noWrap/>
            <w:vAlign w:val="center"/>
            <w:hideMark/>
          </w:tcPr>
          <w:p w:rsidR="00FB7079" w:rsidRPr="006C5EFF" w:rsidP="00FB7079" w14:paraId="5638207C" w14:textId="79A954B5">
            <w:pPr>
              <w:rPr>
                <w:rFonts w:ascii="Arial Narrow" w:hAnsi="Arial Narrow" w:cs="Calibri"/>
                <w:color w:val="000000"/>
                <w:sz w:val="18"/>
                <w:szCs w:val="18"/>
              </w:rPr>
            </w:pPr>
            <w:r w:rsidRPr="006C5EFF">
              <w:rPr>
                <w:rFonts w:ascii="Arial Narrow" w:hAnsi="Arial Narrow" w:cs="Calibri"/>
                <w:color w:val="000000"/>
                <w:sz w:val="18"/>
                <w:szCs w:val="18"/>
              </w:rPr>
              <w:t>10_Phone Interviews Y3 10.05.2022</w:t>
            </w:r>
          </w:p>
        </w:tc>
        <w:tc>
          <w:tcPr>
            <w:tcW w:w="1124" w:type="dxa"/>
            <w:tcBorders>
              <w:top w:val="nil"/>
              <w:left w:val="nil"/>
              <w:bottom w:val="single" w:sz="8" w:space="0" w:color="BFBFBF"/>
              <w:right w:val="single" w:sz="8" w:space="0" w:color="BFBFBF"/>
            </w:tcBorders>
            <w:shd w:val="clear" w:color="auto" w:fill="auto"/>
            <w:vAlign w:val="center"/>
            <w:hideMark/>
          </w:tcPr>
          <w:p w:rsidR="00FB7079" w:rsidRPr="006C5EFF" w:rsidP="00FB7079" w14:paraId="4243201F" w14:textId="77777777">
            <w:pPr>
              <w:rPr>
                <w:rFonts w:ascii="Arial Narrow" w:hAnsi="Arial Narrow" w:cs="Calibri"/>
                <w:color w:val="000000"/>
                <w:sz w:val="18"/>
                <w:szCs w:val="18"/>
              </w:rPr>
            </w:pPr>
            <w:r w:rsidRPr="006C5EFF">
              <w:rPr>
                <w:rFonts w:ascii="Arial Narrow" w:hAnsi="Arial Narrow" w:cs="Calibri"/>
                <w:color w:val="000000"/>
                <w:sz w:val="18"/>
                <w:szCs w:val="18"/>
              </w:rPr>
              <w:t>29 PHAs, 3 interviews per PHA</w:t>
            </w:r>
          </w:p>
        </w:tc>
        <w:tc>
          <w:tcPr>
            <w:tcW w:w="1278" w:type="dxa"/>
            <w:tcBorders>
              <w:top w:val="nil"/>
              <w:left w:val="nil"/>
              <w:bottom w:val="single" w:sz="8" w:space="0" w:color="BFBFBF"/>
              <w:right w:val="single" w:sz="8" w:space="0" w:color="BFBFBF"/>
            </w:tcBorders>
            <w:shd w:val="clear" w:color="auto" w:fill="auto"/>
            <w:noWrap/>
            <w:hideMark/>
          </w:tcPr>
          <w:p w:rsidR="00FB7079" w:rsidRPr="006C5EFF" w:rsidP="00FB7079" w14:paraId="24340E65" w14:textId="3AA69ECE">
            <w:pPr>
              <w:jc w:val="right"/>
              <w:rPr>
                <w:rFonts w:ascii="Arial Narrow" w:hAnsi="Arial Narrow" w:cs="Calibri"/>
                <w:color w:val="000000"/>
                <w:sz w:val="18"/>
                <w:szCs w:val="18"/>
              </w:rPr>
            </w:pPr>
            <w:r w:rsidRPr="00991C7D">
              <w:t xml:space="preserve"> 84.00 </w:t>
            </w:r>
          </w:p>
        </w:tc>
        <w:tc>
          <w:tcPr>
            <w:tcW w:w="1234" w:type="dxa"/>
            <w:tcBorders>
              <w:top w:val="nil"/>
              <w:left w:val="nil"/>
              <w:bottom w:val="single" w:sz="8" w:space="0" w:color="BFBFBF"/>
              <w:right w:val="single" w:sz="8" w:space="0" w:color="BFBFBF"/>
            </w:tcBorders>
            <w:shd w:val="clear" w:color="auto" w:fill="auto"/>
            <w:noWrap/>
            <w:hideMark/>
          </w:tcPr>
          <w:p w:rsidR="00FB7079" w:rsidRPr="006C5EFF" w:rsidP="00FB7079" w14:paraId="7C18F6F4" w14:textId="252719F5">
            <w:pPr>
              <w:jc w:val="right"/>
              <w:rPr>
                <w:rFonts w:ascii="Arial Narrow" w:hAnsi="Arial Narrow" w:cs="Calibri"/>
                <w:color w:val="000000"/>
                <w:sz w:val="18"/>
                <w:szCs w:val="18"/>
              </w:rPr>
            </w:pPr>
            <w:r w:rsidRPr="00991C7D">
              <w:t xml:space="preserve"> 0.33 </w:t>
            </w:r>
          </w:p>
        </w:tc>
        <w:tc>
          <w:tcPr>
            <w:tcW w:w="1004" w:type="dxa"/>
            <w:tcBorders>
              <w:top w:val="nil"/>
              <w:left w:val="nil"/>
              <w:bottom w:val="single" w:sz="8" w:space="0" w:color="BFBFBF"/>
              <w:right w:val="single" w:sz="8" w:space="0" w:color="BFBFBF"/>
            </w:tcBorders>
            <w:shd w:val="clear" w:color="auto" w:fill="auto"/>
            <w:noWrap/>
            <w:hideMark/>
          </w:tcPr>
          <w:p w:rsidR="00FB7079" w:rsidRPr="006C5EFF" w:rsidP="00FB7079" w14:paraId="64C6ECAB" w14:textId="1CCC897B">
            <w:pPr>
              <w:jc w:val="right"/>
              <w:rPr>
                <w:rFonts w:ascii="Arial Narrow" w:hAnsi="Arial Narrow" w:cs="Calibri"/>
                <w:color w:val="000000"/>
                <w:sz w:val="18"/>
                <w:szCs w:val="18"/>
              </w:rPr>
            </w:pPr>
            <w:r w:rsidRPr="00991C7D">
              <w:t xml:space="preserve"> 28.00 </w:t>
            </w:r>
          </w:p>
        </w:tc>
        <w:tc>
          <w:tcPr>
            <w:tcW w:w="1019" w:type="dxa"/>
            <w:tcBorders>
              <w:top w:val="nil"/>
              <w:left w:val="nil"/>
              <w:bottom w:val="single" w:sz="8" w:space="0" w:color="BFBFBF"/>
              <w:right w:val="single" w:sz="8" w:space="0" w:color="BFBFBF"/>
            </w:tcBorders>
            <w:shd w:val="clear" w:color="auto" w:fill="auto"/>
            <w:noWrap/>
            <w:hideMark/>
          </w:tcPr>
          <w:p w:rsidR="00FB7079" w:rsidRPr="006C5EFF" w:rsidP="00FB7079" w14:paraId="3E724A0B" w14:textId="68A6A783">
            <w:pPr>
              <w:jc w:val="right"/>
              <w:rPr>
                <w:rFonts w:ascii="Arial Narrow" w:hAnsi="Arial Narrow" w:cs="Calibri"/>
                <w:color w:val="000000"/>
                <w:sz w:val="18"/>
                <w:szCs w:val="18"/>
              </w:rPr>
            </w:pPr>
            <w:r w:rsidRPr="00991C7D">
              <w:t xml:space="preserve"> 0.75 </w:t>
            </w:r>
          </w:p>
        </w:tc>
        <w:tc>
          <w:tcPr>
            <w:tcW w:w="919" w:type="dxa"/>
            <w:tcBorders>
              <w:top w:val="nil"/>
              <w:left w:val="nil"/>
              <w:bottom w:val="single" w:sz="8" w:space="0" w:color="BFBFBF"/>
              <w:right w:val="single" w:sz="8" w:space="0" w:color="BFBFBF"/>
            </w:tcBorders>
            <w:shd w:val="clear" w:color="auto" w:fill="auto"/>
            <w:noWrap/>
            <w:hideMark/>
          </w:tcPr>
          <w:p w:rsidR="00FB7079" w:rsidRPr="006C5EFF" w:rsidP="00FB7079" w14:paraId="418F4D61" w14:textId="5C754A18">
            <w:pPr>
              <w:jc w:val="right"/>
              <w:rPr>
                <w:rFonts w:ascii="Arial Narrow" w:hAnsi="Arial Narrow" w:cs="Calibri"/>
                <w:color w:val="000000"/>
                <w:sz w:val="18"/>
                <w:szCs w:val="18"/>
              </w:rPr>
            </w:pPr>
            <w:r w:rsidRPr="00991C7D">
              <w:t>$21.00</w:t>
            </w:r>
          </w:p>
        </w:tc>
        <w:tc>
          <w:tcPr>
            <w:tcW w:w="1080" w:type="dxa"/>
            <w:tcBorders>
              <w:top w:val="nil"/>
              <w:left w:val="nil"/>
              <w:bottom w:val="single" w:sz="8" w:space="0" w:color="BFBFBF"/>
              <w:right w:val="single" w:sz="8" w:space="0" w:color="BFBFBF"/>
            </w:tcBorders>
            <w:shd w:val="clear" w:color="auto" w:fill="auto"/>
            <w:noWrap/>
            <w:hideMark/>
          </w:tcPr>
          <w:p w:rsidR="00FB7079" w:rsidRPr="006C5EFF" w:rsidP="00FB7079" w14:paraId="319863B9" w14:textId="1AA85E14">
            <w:pPr>
              <w:jc w:val="right"/>
              <w:rPr>
                <w:rFonts w:ascii="Arial Narrow" w:hAnsi="Arial Narrow" w:cs="Calibri"/>
                <w:color w:val="000000"/>
                <w:sz w:val="18"/>
                <w:szCs w:val="18"/>
              </w:rPr>
            </w:pPr>
            <w:r w:rsidRPr="00991C7D">
              <w:t xml:space="preserve">$54.96 </w:t>
            </w:r>
          </w:p>
        </w:tc>
        <w:tc>
          <w:tcPr>
            <w:tcW w:w="1170" w:type="dxa"/>
            <w:tcBorders>
              <w:top w:val="nil"/>
              <w:left w:val="nil"/>
              <w:bottom w:val="single" w:sz="8" w:space="0" w:color="BFBFBF"/>
              <w:right w:val="single" w:sz="8" w:space="0" w:color="BFBFBF"/>
            </w:tcBorders>
            <w:shd w:val="clear" w:color="auto" w:fill="auto"/>
            <w:noWrap/>
            <w:hideMark/>
          </w:tcPr>
          <w:p w:rsidR="00FB7079" w:rsidRPr="006C5EFF" w:rsidP="00FB7079" w14:paraId="3E366FBF" w14:textId="482DD332">
            <w:pPr>
              <w:jc w:val="right"/>
              <w:rPr>
                <w:rFonts w:ascii="Arial Narrow" w:hAnsi="Arial Narrow" w:cs="Calibri"/>
                <w:color w:val="000000"/>
                <w:sz w:val="18"/>
                <w:szCs w:val="18"/>
              </w:rPr>
            </w:pPr>
            <w:r w:rsidRPr="00991C7D">
              <w:t>$1,154.18</w:t>
            </w:r>
          </w:p>
        </w:tc>
      </w:tr>
      <w:tr w14:paraId="57AD19CD" w14:textId="77777777" w:rsidTr="00FB7079">
        <w:tblPrEx>
          <w:tblW w:w="10440" w:type="dxa"/>
          <w:tblInd w:w="-460" w:type="dxa"/>
          <w:tblLook w:val="04A0"/>
        </w:tblPrEx>
        <w:trPr>
          <w:trHeight w:val="2005"/>
        </w:trPr>
        <w:tc>
          <w:tcPr>
            <w:tcW w:w="1612" w:type="dxa"/>
            <w:tcBorders>
              <w:top w:val="nil"/>
              <w:left w:val="single" w:sz="8" w:space="0" w:color="BFBFBF"/>
              <w:bottom w:val="single" w:sz="8" w:space="0" w:color="BFBFBF"/>
              <w:right w:val="single" w:sz="8" w:space="0" w:color="BFBFBF"/>
            </w:tcBorders>
            <w:shd w:val="clear" w:color="auto" w:fill="auto"/>
            <w:noWrap/>
            <w:vAlign w:val="center"/>
            <w:hideMark/>
          </w:tcPr>
          <w:p w:rsidR="00FB7079" w:rsidRPr="006C5EFF" w:rsidP="00FB7079" w14:paraId="02C44990" w14:textId="1F0E6584">
            <w:pPr>
              <w:rPr>
                <w:rFonts w:ascii="Arial Narrow" w:hAnsi="Arial Narrow" w:cs="Calibri"/>
                <w:color w:val="000000"/>
                <w:sz w:val="18"/>
                <w:szCs w:val="18"/>
              </w:rPr>
            </w:pPr>
            <w:r w:rsidRPr="006C5EFF">
              <w:rPr>
                <w:rFonts w:ascii="Arial Narrow" w:hAnsi="Arial Narrow" w:cs="Calibri"/>
                <w:color w:val="000000"/>
                <w:sz w:val="18"/>
                <w:szCs w:val="18"/>
              </w:rPr>
              <w:t>07_Follow-up Web Survey Treatment PHA 10.05.2022</w:t>
            </w:r>
          </w:p>
          <w:p w:rsidR="00FB7079" w:rsidRPr="006C5EFF" w:rsidP="00FB7079" w14:paraId="7AFA9CAB" w14:textId="2D448FCE">
            <w:pPr>
              <w:rPr>
                <w:rFonts w:ascii="Arial Narrow" w:hAnsi="Arial Narrow" w:cs="Calibri"/>
                <w:color w:val="000000"/>
                <w:sz w:val="18"/>
                <w:szCs w:val="18"/>
              </w:rPr>
            </w:pPr>
            <w:r w:rsidRPr="006C5EFF">
              <w:rPr>
                <w:rFonts w:ascii="Arial Narrow" w:hAnsi="Arial Narrow" w:cs="Calibri"/>
                <w:color w:val="000000"/>
                <w:sz w:val="18"/>
                <w:szCs w:val="18"/>
              </w:rPr>
              <w:t xml:space="preserve">08_Follow-up Web Survey Comparison PHA 10.05.2022 </w:t>
            </w:r>
          </w:p>
        </w:tc>
        <w:tc>
          <w:tcPr>
            <w:tcW w:w="1124" w:type="dxa"/>
            <w:tcBorders>
              <w:top w:val="nil"/>
              <w:left w:val="nil"/>
              <w:bottom w:val="single" w:sz="8" w:space="0" w:color="BFBFBF"/>
              <w:right w:val="single" w:sz="8" w:space="0" w:color="BFBFBF"/>
            </w:tcBorders>
            <w:shd w:val="clear" w:color="auto" w:fill="auto"/>
            <w:vAlign w:val="center"/>
            <w:hideMark/>
          </w:tcPr>
          <w:p w:rsidR="00FB7079" w:rsidRPr="006C5EFF" w:rsidP="00FB7079" w14:paraId="7B5956A9" w14:textId="77777777">
            <w:pPr>
              <w:rPr>
                <w:rFonts w:ascii="Arial Narrow" w:hAnsi="Arial Narrow" w:cs="Calibri"/>
                <w:color w:val="000000"/>
                <w:sz w:val="18"/>
                <w:szCs w:val="18"/>
              </w:rPr>
            </w:pPr>
            <w:r w:rsidRPr="006C5EFF">
              <w:rPr>
                <w:rFonts w:ascii="Arial Narrow" w:hAnsi="Arial Narrow" w:cs="Calibri"/>
                <w:color w:val="000000"/>
                <w:sz w:val="18"/>
                <w:szCs w:val="18"/>
              </w:rPr>
              <w:t>All PHAs</w:t>
            </w:r>
          </w:p>
        </w:tc>
        <w:tc>
          <w:tcPr>
            <w:tcW w:w="1278" w:type="dxa"/>
            <w:tcBorders>
              <w:top w:val="nil"/>
              <w:left w:val="nil"/>
              <w:bottom w:val="single" w:sz="8" w:space="0" w:color="BFBFBF"/>
              <w:right w:val="single" w:sz="8" w:space="0" w:color="BFBFBF"/>
            </w:tcBorders>
            <w:shd w:val="clear" w:color="auto" w:fill="auto"/>
            <w:noWrap/>
            <w:hideMark/>
          </w:tcPr>
          <w:p w:rsidR="00FB7079" w:rsidRPr="006C5EFF" w:rsidP="00FB7079" w14:paraId="2D5E8C0E" w14:textId="663F6424">
            <w:pPr>
              <w:jc w:val="right"/>
              <w:rPr>
                <w:rFonts w:ascii="Arial Narrow" w:hAnsi="Arial Narrow" w:cs="Calibri"/>
                <w:color w:val="000000"/>
                <w:sz w:val="18"/>
                <w:szCs w:val="18"/>
              </w:rPr>
            </w:pPr>
            <w:r w:rsidRPr="00991C7D">
              <w:t xml:space="preserve"> 140.00 </w:t>
            </w:r>
          </w:p>
        </w:tc>
        <w:tc>
          <w:tcPr>
            <w:tcW w:w="1234" w:type="dxa"/>
            <w:tcBorders>
              <w:top w:val="nil"/>
              <w:left w:val="nil"/>
              <w:bottom w:val="single" w:sz="8" w:space="0" w:color="BFBFBF"/>
              <w:right w:val="single" w:sz="8" w:space="0" w:color="BFBFBF"/>
            </w:tcBorders>
            <w:shd w:val="clear" w:color="auto" w:fill="auto"/>
            <w:noWrap/>
            <w:hideMark/>
          </w:tcPr>
          <w:p w:rsidR="00FB7079" w:rsidRPr="006C5EFF" w:rsidP="00FB7079" w14:paraId="1F2FB5E7" w14:textId="28F1B84F">
            <w:pPr>
              <w:jc w:val="right"/>
              <w:rPr>
                <w:rFonts w:ascii="Arial Narrow" w:hAnsi="Arial Narrow" w:cs="Calibri"/>
                <w:color w:val="000000"/>
                <w:sz w:val="18"/>
                <w:szCs w:val="18"/>
              </w:rPr>
            </w:pPr>
            <w:r w:rsidRPr="00991C7D">
              <w:t xml:space="preserve"> 0.33 </w:t>
            </w:r>
          </w:p>
        </w:tc>
        <w:tc>
          <w:tcPr>
            <w:tcW w:w="1004" w:type="dxa"/>
            <w:tcBorders>
              <w:top w:val="nil"/>
              <w:left w:val="nil"/>
              <w:bottom w:val="single" w:sz="8" w:space="0" w:color="BFBFBF"/>
              <w:right w:val="single" w:sz="8" w:space="0" w:color="BFBFBF"/>
            </w:tcBorders>
            <w:shd w:val="clear" w:color="auto" w:fill="auto"/>
            <w:noWrap/>
            <w:hideMark/>
          </w:tcPr>
          <w:p w:rsidR="00FB7079" w:rsidRPr="006C5EFF" w:rsidP="00FB7079" w14:paraId="046216F8" w14:textId="7C8DCDD3">
            <w:pPr>
              <w:jc w:val="right"/>
              <w:rPr>
                <w:rFonts w:ascii="Arial Narrow" w:hAnsi="Arial Narrow" w:cs="Calibri"/>
                <w:color w:val="000000"/>
                <w:sz w:val="18"/>
                <w:szCs w:val="18"/>
              </w:rPr>
            </w:pPr>
            <w:r w:rsidRPr="00991C7D">
              <w:t xml:space="preserve"> 46.67 </w:t>
            </w:r>
          </w:p>
        </w:tc>
        <w:tc>
          <w:tcPr>
            <w:tcW w:w="1019" w:type="dxa"/>
            <w:tcBorders>
              <w:top w:val="nil"/>
              <w:left w:val="nil"/>
              <w:bottom w:val="single" w:sz="8" w:space="0" w:color="BFBFBF"/>
              <w:right w:val="single" w:sz="8" w:space="0" w:color="BFBFBF"/>
            </w:tcBorders>
            <w:shd w:val="clear" w:color="auto" w:fill="auto"/>
            <w:noWrap/>
            <w:hideMark/>
          </w:tcPr>
          <w:p w:rsidR="00FB7079" w:rsidRPr="006C5EFF" w:rsidP="00FB7079" w14:paraId="4217D679" w14:textId="671E075E">
            <w:pPr>
              <w:jc w:val="right"/>
              <w:rPr>
                <w:rFonts w:ascii="Arial Narrow" w:hAnsi="Arial Narrow" w:cs="Calibri"/>
                <w:color w:val="000000"/>
                <w:sz w:val="18"/>
                <w:szCs w:val="18"/>
              </w:rPr>
            </w:pPr>
            <w:r w:rsidRPr="00991C7D">
              <w:t xml:space="preserve"> 0.50 </w:t>
            </w:r>
          </w:p>
        </w:tc>
        <w:tc>
          <w:tcPr>
            <w:tcW w:w="919" w:type="dxa"/>
            <w:tcBorders>
              <w:top w:val="nil"/>
              <w:left w:val="nil"/>
              <w:bottom w:val="single" w:sz="8" w:space="0" w:color="BFBFBF"/>
              <w:right w:val="single" w:sz="8" w:space="0" w:color="BFBFBF"/>
            </w:tcBorders>
            <w:shd w:val="clear" w:color="auto" w:fill="auto"/>
            <w:noWrap/>
            <w:hideMark/>
          </w:tcPr>
          <w:p w:rsidR="00FB7079" w:rsidRPr="006C5EFF" w:rsidP="00FB7079" w14:paraId="278BCA82" w14:textId="52F6D6BF">
            <w:pPr>
              <w:jc w:val="right"/>
              <w:rPr>
                <w:rFonts w:ascii="Arial Narrow" w:hAnsi="Arial Narrow" w:cs="Calibri"/>
                <w:color w:val="000000"/>
                <w:sz w:val="18"/>
                <w:szCs w:val="18"/>
              </w:rPr>
            </w:pPr>
            <w:r w:rsidRPr="00991C7D">
              <w:t>$23.33</w:t>
            </w:r>
          </w:p>
        </w:tc>
        <w:tc>
          <w:tcPr>
            <w:tcW w:w="1080" w:type="dxa"/>
            <w:tcBorders>
              <w:top w:val="nil"/>
              <w:left w:val="nil"/>
              <w:bottom w:val="single" w:sz="8" w:space="0" w:color="BFBFBF"/>
              <w:right w:val="single" w:sz="8" w:space="0" w:color="BFBFBF"/>
            </w:tcBorders>
            <w:shd w:val="clear" w:color="auto" w:fill="auto"/>
            <w:noWrap/>
            <w:hideMark/>
          </w:tcPr>
          <w:p w:rsidR="00FB7079" w:rsidRPr="006C5EFF" w:rsidP="00FB7079" w14:paraId="38E49BF1" w14:textId="62994828">
            <w:pPr>
              <w:jc w:val="right"/>
              <w:rPr>
                <w:rFonts w:ascii="Arial Narrow" w:hAnsi="Arial Narrow" w:cs="Calibri"/>
                <w:color w:val="000000"/>
                <w:sz w:val="18"/>
                <w:szCs w:val="18"/>
              </w:rPr>
            </w:pPr>
            <w:r w:rsidRPr="00991C7D">
              <w:t xml:space="preserve">$54.96 </w:t>
            </w:r>
          </w:p>
        </w:tc>
        <w:tc>
          <w:tcPr>
            <w:tcW w:w="1170" w:type="dxa"/>
            <w:tcBorders>
              <w:top w:val="nil"/>
              <w:left w:val="nil"/>
              <w:bottom w:val="single" w:sz="8" w:space="0" w:color="BFBFBF"/>
              <w:right w:val="single" w:sz="8" w:space="0" w:color="BFBFBF"/>
            </w:tcBorders>
            <w:shd w:val="clear" w:color="auto" w:fill="auto"/>
            <w:noWrap/>
            <w:hideMark/>
          </w:tcPr>
          <w:p w:rsidR="00FB7079" w:rsidRPr="006C5EFF" w:rsidP="00FB7079" w14:paraId="353F47AA" w14:textId="1C7D6D90">
            <w:pPr>
              <w:jc w:val="right"/>
              <w:rPr>
                <w:rFonts w:ascii="Arial Narrow" w:hAnsi="Arial Narrow" w:cs="Calibri"/>
                <w:color w:val="000000"/>
                <w:sz w:val="18"/>
                <w:szCs w:val="18"/>
              </w:rPr>
            </w:pPr>
            <w:r w:rsidRPr="00991C7D">
              <w:t>$1,282.43</w:t>
            </w:r>
          </w:p>
        </w:tc>
      </w:tr>
      <w:tr w14:paraId="63B1DDA9" w14:textId="77777777" w:rsidTr="00FB7079">
        <w:tblPrEx>
          <w:tblW w:w="10440" w:type="dxa"/>
          <w:tblInd w:w="-460" w:type="dxa"/>
          <w:tblLook w:val="04A0"/>
        </w:tblPrEx>
        <w:trPr>
          <w:trHeight w:val="2203"/>
        </w:trPr>
        <w:tc>
          <w:tcPr>
            <w:tcW w:w="1612" w:type="dxa"/>
            <w:tcBorders>
              <w:top w:val="nil"/>
              <w:left w:val="single" w:sz="8" w:space="0" w:color="BFBFBF"/>
              <w:bottom w:val="single" w:sz="8" w:space="0" w:color="BFBFBF"/>
              <w:right w:val="single" w:sz="8" w:space="0" w:color="BFBFBF"/>
            </w:tcBorders>
            <w:shd w:val="clear" w:color="auto" w:fill="auto"/>
            <w:noWrap/>
            <w:vAlign w:val="center"/>
            <w:hideMark/>
          </w:tcPr>
          <w:p w:rsidR="00FB7079" w:rsidRPr="006C5EFF" w:rsidP="00FB7079" w14:paraId="6A078B61" w14:textId="2923A5F1">
            <w:pPr>
              <w:rPr>
                <w:rFonts w:ascii="Arial Narrow" w:hAnsi="Arial Narrow" w:cs="Calibri"/>
                <w:color w:val="000000"/>
                <w:sz w:val="18"/>
                <w:szCs w:val="18"/>
              </w:rPr>
            </w:pPr>
            <w:r w:rsidRPr="006C5EFF">
              <w:rPr>
                <w:rFonts w:ascii="Arial Narrow" w:hAnsi="Arial Narrow" w:cs="Calibri"/>
                <w:color w:val="000000"/>
                <w:sz w:val="18"/>
                <w:szCs w:val="18"/>
              </w:rPr>
              <w:t>11_Follow-up Site Visit Interviews Treatment PHA Y5 10.05.2022</w:t>
            </w:r>
          </w:p>
          <w:p w:rsidR="00FB7079" w:rsidRPr="006C5EFF" w:rsidP="00FB7079" w14:paraId="26C3AD88" w14:textId="36D12F73">
            <w:pPr>
              <w:rPr>
                <w:rFonts w:ascii="Arial Narrow" w:hAnsi="Arial Narrow" w:cs="Calibri"/>
                <w:color w:val="000000"/>
                <w:sz w:val="18"/>
                <w:szCs w:val="18"/>
              </w:rPr>
            </w:pPr>
            <w:r w:rsidRPr="006C5EFF">
              <w:rPr>
                <w:rFonts w:ascii="Arial Narrow" w:hAnsi="Arial Narrow" w:cs="Calibri"/>
                <w:color w:val="000000"/>
                <w:sz w:val="18"/>
                <w:szCs w:val="18"/>
              </w:rPr>
              <w:t>12_Follow-up Site Visit Interviews Comparison PHA Y5 10.05.2022</w:t>
            </w:r>
          </w:p>
        </w:tc>
        <w:tc>
          <w:tcPr>
            <w:tcW w:w="1124" w:type="dxa"/>
            <w:tcBorders>
              <w:top w:val="nil"/>
              <w:left w:val="nil"/>
              <w:bottom w:val="single" w:sz="8" w:space="0" w:color="BFBFBF"/>
              <w:right w:val="single" w:sz="8" w:space="0" w:color="BFBFBF"/>
            </w:tcBorders>
            <w:shd w:val="clear" w:color="auto" w:fill="auto"/>
            <w:vAlign w:val="center"/>
            <w:hideMark/>
          </w:tcPr>
          <w:p w:rsidR="00FB7079" w:rsidRPr="006C5EFF" w:rsidP="00FB7079" w14:paraId="3BE50F00" w14:textId="77777777">
            <w:pPr>
              <w:rPr>
                <w:rFonts w:ascii="Arial Narrow" w:hAnsi="Arial Narrow" w:cs="Calibri"/>
                <w:color w:val="000000"/>
                <w:sz w:val="18"/>
                <w:szCs w:val="18"/>
              </w:rPr>
            </w:pPr>
            <w:r w:rsidRPr="006C5EFF">
              <w:rPr>
                <w:rFonts w:ascii="Arial Narrow" w:hAnsi="Arial Narrow" w:cs="Calibri"/>
                <w:color w:val="000000"/>
                <w:sz w:val="18"/>
                <w:szCs w:val="18"/>
              </w:rPr>
              <w:t>50 PHAs, 4 interviews per PHA</w:t>
            </w:r>
          </w:p>
        </w:tc>
        <w:tc>
          <w:tcPr>
            <w:tcW w:w="1278" w:type="dxa"/>
            <w:tcBorders>
              <w:top w:val="nil"/>
              <w:left w:val="nil"/>
              <w:bottom w:val="single" w:sz="8" w:space="0" w:color="BFBFBF"/>
              <w:right w:val="single" w:sz="8" w:space="0" w:color="BFBFBF"/>
            </w:tcBorders>
            <w:shd w:val="clear" w:color="auto" w:fill="auto"/>
            <w:noWrap/>
            <w:hideMark/>
          </w:tcPr>
          <w:p w:rsidR="00FB7079" w:rsidRPr="006C5EFF" w:rsidP="00FB7079" w14:paraId="5D7D4F9C" w14:textId="12E0DC72">
            <w:pPr>
              <w:jc w:val="right"/>
              <w:rPr>
                <w:rFonts w:ascii="Arial Narrow" w:hAnsi="Arial Narrow" w:cs="Calibri"/>
                <w:color w:val="000000"/>
                <w:sz w:val="18"/>
                <w:szCs w:val="18"/>
              </w:rPr>
            </w:pPr>
            <w:r w:rsidRPr="00991C7D">
              <w:t xml:space="preserve"> 200.00 </w:t>
            </w:r>
          </w:p>
        </w:tc>
        <w:tc>
          <w:tcPr>
            <w:tcW w:w="1234" w:type="dxa"/>
            <w:tcBorders>
              <w:top w:val="nil"/>
              <w:left w:val="nil"/>
              <w:bottom w:val="single" w:sz="8" w:space="0" w:color="BFBFBF"/>
              <w:right w:val="single" w:sz="8" w:space="0" w:color="BFBFBF"/>
            </w:tcBorders>
            <w:shd w:val="clear" w:color="auto" w:fill="auto"/>
            <w:noWrap/>
            <w:hideMark/>
          </w:tcPr>
          <w:p w:rsidR="00FB7079" w:rsidRPr="006C5EFF" w:rsidP="00FB7079" w14:paraId="2B6400FE" w14:textId="5775BE8E">
            <w:pPr>
              <w:jc w:val="right"/>
              <w:rPr>
                <w:rFonts w:ascii="Arial Narrow" w:hAnsi="Arial Narrow" w:cs="Calibri"/>
                <w:color w:val="000000"/>
                <w:sz w:val="18"/>
                <w:szCs w:val="18"/>
              </w:rPr>
            </w:pPr>
            <w:r w:rsidRPr="00991C7D">
              <w:t xml:space="preserve"> 0.33 </w:t>
            </w:r>
          </w:p>
        </w:tc>
        <w:tc>
          <w:tcPr>
            <w:tcW w:w="1004" w:type="dxa"/>
            <w:tcBorders>
              <w:top w:val="nil"/>
              <w:left w:val="nil"/>
              <w:bottom w:val="single" w:sz="8" w:space="0" w:color="BFBFBF"/>
              <w:right w:val="single" w:sz="8" w:space="0" w:color="BFBFBF"/>
            </w:tcBorders>
            <w:shd w:val="clear" w:color="auto" w:fill="auto"/>
            <w:noWrap/>
            <w:hideMark/>
          </w:tcPr>
          <w:p w:rsidR="00FB7079" w:rsidRPr="006C5EFF" w:rsidP="00FB7079" w14:paraId="3686EAA3" w14:textId="5B1C2FD1">
            <w:pPr>
              <w:jc w:val="right"/>
              <w:rPr>
                <w:rFonts w:ascii="Arial Narrow" w:hAnsi="Arial Narrow" w:cs="Calibri"/>
                <w:color w:val="000000"/>
                <w:sz w:val="18"/>
                <w:szCs w:val="18"/>
              </w:rPr>
            </w:pPr>
            <w:r w:rsidRPr="00991C7D">
              <w:t xml:space="preserve"> 66.67 </w:t>
            </w:r>
          </w:p>
        </w:tc>
        <w:tc>
          <w:tcPr>
            <w:tcW w:w="1019" w:type="dxa"/>
            <w:tcBorders>
              <w:top w:val="nil"/>
              <w:left w:val="nil"/>
              <w:bottom w:val="single" w:sz="8" w:space="0" w:color="BFBFBF"/>
              <w:right w:val="single" w:sz="8" w:space="0" w:color="BFBFBF"/>
            </w:tcBorders>
            <w:shd w:val="clear" w:color="auto" w:fill="auto"/>
            <w:noWrap/>
            <w:hideMark/>
          </w:tcPr>
          <w:p w:rsidR="00FB7079" w:rsidRPr="006C5EFF" w:rsidP="00FB7079" w14:paraId="70E44B4D" w14:textId="636343C8">
            <w:pPr>
              <w:jc w:val="right"/>
              <w:rPr>
                <w:rFonts w:ascii="Arial Narrow" w:hAnsi="Arial Narrow" w:cs="Calibri"/>
                <w:color w:val="000000"/>
                <w:sz w:val="18"/>
                <w:szCs w:val="18"/>
              </w:rPr>
            </w:pPr>
            <w:r w:rsidRPr="00991C7D">
              <w:t>1.00</w:t>
            </w:r>
          </w:p>
        </w:tc>
        <w:tc>
          <w:tcPr>
            <w:tcW w:w="919" w:type="dxa"/>
            <w:tcBorders>
              <w:top w:val="nil"/>
              <w:left w:val="nil"/>
              <w:bottom w:val="single" w:sz="8" w:space="0" w:color="BFBFBF"/>
              <w:right w:val="single" w:sz="8" w:space="0" w:color="BFBFBF"/>
            </w:tcBorders>
            <w:shd w:val="clear" w:color="auto" w:fill="auto"/>
            <w:noWrap/>
            <w:hideMark/>
          </w:tcPr>
          <w:p w:rsidR="00FB7079" w:rsidRPr="006C5EFF" w:rsidP="00FB7079" w14:paraId="0129ABE2" w14:textId="722C4E35">
            <w:pPr>
              <w:jc w:val="right"/>
              <w:rPr>
                <w:rFonts w:ascii="Arial Narrow" w:hAnsi="Arial Narrow" w:cs="Calibri"/>
                <w:color w:val="000000"/>
                <w:sz w:val="18"/>
                <w:szCs w:val="18"/>
              </w:rPr>
            </w:pPr>
            <w:r w:rsidRPr="00991C7D">
              <w:t>$66.67</w:t>
            </w:r>
          </w:p>
        </w:tc>
        <w:tc>
          <w:tcPr>
            <w:tcW w:w="1080" w:type="dxa"/>
            <w:tcBorders>
              <w:top w:val="nil"/>
              <w:left w:val="nil"/>
              <w:bottom w:val="single" w:sz="8" w:space="0" w:color="BFBFBF"/>
              <w:right w:val="single" w:sz="8" w:space="0" w:color="BFBFBF"/>
            </w:tcBorders>
            <w:shd w:val="clear" w:color="auto" w:fill="auto"/>
            <w:noWrap/>
            <w:hideMark/>
          </w:tcPr>
          <w:p w:rsidR="00FB7079" w:rsidRPr="006C5EFF" w:rsidP="00FB7079" w14:paraId="36B3A796" w14:textId="28C13F71">
            <w:pPr>
              <w:jc w:val="right"/>
              <w:rPr>
                <w:rFonts w:ascii="Arial Narrow" w:hAnsi="Arial Narrow" w:cs="Calibri"/>
                <w:color w:val="000000"/>
                <w:sz w:val="18"/>
                <w:szCs w:val="18"/>
              </w:rPr>
            </w:pPr>
            <w:r w:rsidRPr="00991C7D">
              <w:t xml:space="preserve">$54.96 </w:t>
            </w:r>
          </w:p>
        </w:tc>
        <w:tc>
          <w:tcPr>
            <w:tcW w:w="1170" w:type="dxa"/>
            <w:tcBorders>
              <w:top w:val="nil"/>
              <w:left w:val="nil"/>
              <w:bottom w:val="single" w:sz="8" w:space="0" w:color="BFBFBF"/>
              <w:right w:val="single" w:sz="8" w:space="0" w:color="BFBFBF"/>
            </w:tcBorders>
            <w:shd w:val="clear" w:color="auto" w:fill="auto"/>
            <w:noWrap/>
            <w:hideMark/>
          </w:tcPr>
          <w:p w:rsidR="00FB7079" w:rsidRPr="006C5EFF" w:rsidP="00FB7079" w14:paraId="2530FEF6" w14:textId="18AB9304">
            <w:pPr>
              <w:jc w:val="right"/>
              <w:rPr>
                <w:rFonts w:ascii="Arial Narrow" w:hAnsi="Arial Narrow" w:cs="Calibri"/>
                <w:color w:val="000000"/>
                <w:sz w:val="18"/>
                <w:szCs w:val="18"/>
              </w:rPr>
            </w:pPr>
            <w:r w:rsidRPr="00991C7D">
              <w:t>$3,664.07</w:t>
            </w:r>
          </w:p>
        </w:tc>
      </w:tr>
      <w:tr w14:paraId="7DA4EC5B" w14:textId="77777777" w:rsidTr="00FB7079">
        <w:tblPrEx>
          <w:tblW w:w="10440" w:type="dxa"/>
          <w:tblInd w:w="-460" w:type="dxa"/>
          <w:tblLook w:val="04A0"/>
        </w:tblPrEx>
        <w:trPr>
          <w:trHeight w:val="1690"/>
        </w:trPr>
        <w:tc>
          <w:tcPr>
            <w:tcW w:w="1612" w:type="dxa"/>
            <w:tcBorders>
              <w:top w:val="nil"/>
              <w:left w:val="single" w:sz="8" w:space="0" w:color="BFBFBF"/>
              <w:bottom w:val="single" w:sz="8" w:space="0" w:color="BFBFBF"/>
              <w:right w:val="single" w:sz="8" w:space="0" w:color="BFBFBF"/>
            </w:tcBorders>
            <w:shd w:val="clear" w:color="auto" w:fill="auto"/>
            <w:noWrap/>
            <w:vAlign w:val="center"/>
            <w:hideMark/>
          </w:tcPr>
          <w:p w:rsidR="00FB7079" w:rsidRPr="006C5EFF" w:rsidP="00FB7079" w14:paraId="02EC11E3" w14:textId="759181B6">
            <w:pPr>
              <w:rPr>
                <w:rFonts w:ascii="Arial Narrow" w:hAnsi="Arial Narrow" w:cs="Calibri"/>
                <w:color w:val="000000"/>
                <w:sz w:val="18"/>
                <w:szCs w:val="18"/>
              </w:rPr>
            </w:pPr>
            <w:r w:rsidRPr="006C5EFF">
              <w:rPr>
                <w:rFonts w:ascii="Arial Narrow" w:hAnsi="Arial Narrow" w:cs="Calibri"/>
                <w:color w:val="000000"/>
                <w:sz w:val="18"/>
                <w:szCs w:val="18"/>
              </w:rPr>
              <w:t>14_Landlord Interviews TIA 10.05.2022</w:t>
            </w:r>
          </w:p>
          <w:p w:rsidR="00FB7079" w:rsidRPr="006C5EFF" w:rsidP="00FB7079" w14:paraId="3991825F" w14:textId="7DBCD8BC">
            <w:pPr>
              <w:rPr>
                <w:rFonts w:ascii="Arial Narrow" w:hAnsi="Arial Narrow" w:cs="Calibri"/>
                <w:color w:val="000000"/>
                <w:sz w:val="18"/>
                <w:szCs w:val="18"/>
              </w:rPr>
            </w:pPr>
            <w:r w:rsidRPr="006C5EFF">
              <w:rPr>
                <w:rFonts w:ascii="Arial Narrow" w:hAnsi="Arial Narrow" w:cs="Calibri"/>
                <w:color w:val="000000"/>
                <w:sz w:val="18"/>
                <w:szCs w:val="18"/>
              </w:rPr>
              <w:t xml:space="preserve">15_Landlord Interviews </w:t>
            </w:r>
            <w:r w:rsidRPr="006C5EFF">
              <w:rPr>
                <w:rFonts w:ascii="Arial Narrow" w:hAnsi="Arial Narrow" w:cs="Calibri"/>
                <w:color w:val="000000"/>
                <w:sz w:val="18"/>
                <w:szCs w:val="18"/>
              </w:rPr>
              <w:t>QuIP</w:t>
            </w:r>
            <w:r w:rsidRPr="006C5EFF">
              <w:rPr>
                <w:rFonts w:ascii="Arial Narrow" w:hAnsi="Arial Narrow" w:cs="Calibri"/>
                <w:color w:val="000000"/>
                <w:sz w:val="18"/>
                <w:szCs w:val="18"/>
              </w:rPr>
              <w:t xml:space="preserve"> 10.05.2022</w:t>
            </w:r>
          </w:p>
        </w:tc>
        <w:tc>
          <w:tcPr>
            <w:tcW w:w="1124" w:type="dxa"/>
            <w:tcBorders>
              <w:top w:val="nil"/>
              <w:left w:val="nil"/>
              <w:bottom w:val="single" w:sz="8" w:space="0" w:color="BFBFBF"/>
              <w:right w:val="single" w:sz="8" w:space="0" w:color="BFBFBF"/>
            </w:tcBorders>
            <w:shd w:val="clear" w:color="auto" w:fill="auto"/>
            <w:vAlign w:val="center"/>
            <w:hideMark/>
          </w:tcPr>
          <w:p w:rsidR="00FB7079" w:rsidRPr="006C5EFF" w:rsidP="00FB7079" w14:paraId="1E435885" w14:textId="77777777">
            <w:pPr>
              <w:rPr>
                <w:rFonts w:ascii="Arial Narrow" w:hAnsi="Arial Narrow" w:cs="Calibri"/>
                <w:color w:val="000000"/>
                <w:sz w:val="18"/>
                <w:szCs w:val="18"/>
              </w:rPr>
            </w:pPr>
            <w:r w:rsidRPr="006C5EFF">
              <w:rPr>
                <w:rFonts w:ascii="Arial Narrow" w:hAnsi="Arial Narrow" w:cs="Calibri"/>
                <w:color w:val="000000"/>
                <w:sz w:val="18"/>
                <w:szCs w:val="18"/>
              </w:rPr>
              <w:t>All landlords</w:t>
            </w:r>
          </w:p>
        </w:tc>
        <w:tc>
          <w:tcPr>
            <w:tcW w:w="1278" w:type="dxa"/>
            <w:tcBorders>
              <w:top w:val="nil"/>
              <w:left w:val="nil"/>
              <w:bottom w:val="single" w:sz="8" w:space="0" w:color="BFBFBF"/>
              <w:right w:val="single" w:sz="8" w:space="0" w:color="BFBFBF"/>
            </w:tcBorders>
            <w:shd w:val="clear" w:color="auto" w:fill="auto"/>
            <w:noWrap/>
            <w:hideMark/>
          </w:tcPr>
          <w:p w:rsidR="00FB7079" w:rsidRPr="006C5EFF" w:rsidP="00FB7079" w14:paraId="18A7B046" w14:textId="0933C671">
            <w:pPr>
              <w:jc w:val="right"/>
              <w:rPr>
                <w:rFonts w:ascii="Arial Narrow" w:hAnsi="Arial Narrow" w:cs="Calibri"/>
                <w:color w:val="000000"/>
                <w:sz w:val="18"/>
                <w:szCs w:val="18"/>
              </w:rPr>
            </w:pPr>
            <w:r w:rsidRPr="00991C7D">
              <w:t xml:space="preserve"> 400.00 </w:t>
            </w:r>
          </w:p>
        </w:tc>
        <w:tc>
          <w:tcPr>
            <w:tcW w:w="1234" w:type="dxa"/>
            <w:tcBorders>
              <w:top w:val="nil"/>
              <w:left w:val="nil"/>
              <w:bottom w:val="single" w:sz="8" w:space="0" w:color="BFBFBF"/>
              <w:right w:val="single" w:sz="8" w:space="0" w:color="BFBFBF"/>
            </w:tcBorders>
            <w:shd w:val="clear" w:color="auto" w:fill="auto"/>
            <w:noWrap/>
            <w:hideMark/>
          </w:tcPr>
          <w:p w:rsidR="00FB7079" w:rsidRPr="006C5EFF" w:rsidP="00FB7079" w14:paraId="74222B9E" w14:textId="22508331">
            <w:pPr>
              <w:jc w:val="right"/>
              <w:rPr>
                <w:rFonts w:ascii="Arial Narrow" w:hAnsi="Arial Narrow" w:cs="Calibri"/>
                <w:color w:val="000000"/>
                <w:sz w:val="18"/>
                <w:szCs w:val="18"/>
              </w:rPr>
            </w:pPr>
            <w:r w:rsidRPr="00991C7D">
              <w:t xml:space="preserve"> 0.33 </w:t>
            </w:r>
          </w:p>
        </w:tc>
        <w:tc>
          <w:tcPr>
            <w:tcW w:w="1004" w:type="dxa"/>
            <w:tcBorders>
              <w:top w:val="nil"/>
              <w:left w:val="nil"/>
              <w:bottom w:val="single" w:sz="8" w:space="0" w:color="BFBFBF"/>
              <w:right w:val="single" w:sz="8" w:space="0" w:color="BFBFBF"/>
            </w:tcBorders>
            <w:shd w:val="clear" w:color="auto" w:fill="auto"/>
            <w:noWrap/>
            <w:hideMark/>
          </w:tcPr>
          <w:p w:rsidR="00FB7079" w:rsidRPr="006C5EFF" w:rsidP="00FB7079" w14:paraId="5DF04375" w14:textId="05C5B3BD">
            <w:pPr>
              <w:jc w:val="right"/>
              <w:rPr>
                <w:rFonts w:ascii="Arial Narrow" w:hAnsi="Arial Narrow" w:cs="Calibri"/>
                <w:color w:val="000000"/>
                <w:sz w:val="18"/>
                <w:szCs w:val="18"/>
              </w:rPr>
            </w:pPr>
            <w:r w:rsidRPr="00991C7D">
              <w:t xml:space="preserve"> 133.34 </w:t>
            </w:r>
          </w:p>
        </w:tc>
        <w:tc>
          <w:tcPr>
            <w:tcW w:w="1019" w:type="dxa"/>
            <w:tcBorders>
              <w:top w:val="nil"/>
              <w:left w:val="nil"/>
              <w:bottom w:val="single" w:sz="8" w:space="0" w:color="BFBFBF"/>
              <w:right w:val="single" w:sz="8" w:space="0" w:color="BFBFBF"/>
            </w:tcBorders>
            <w:shd w:val="clear" w:color="auto" w:fill="auto"/>
            <w:noWrap/>
            <w:hideMark/>
          </w:tcPr>
          <w:p w:rsidR="00FB7079" w:rsidRPr="006C5EFF" w:rsidP="00FB7079" w14:paraId="6558D178" w14:textId="0C8D1156">
            <w:pPr>
              <w:jc w:val="right"/>
              <w:rPr>
                <w:rFonts w:ascii="Arial Narrow" w:hAnsi="Arial Narrow" w:cs="Calibri"/>
                <w:color w:val="000000"/>
                <w:sz w:val="18"/>
                <w:szCs w:val="18"/>
              </w:rPr>
            </w:pPr>
            <w:r w:rsidRPr="00991C7D">
              <w:t xml:space="preserve"> 1.00 </w:t>
            </w:r>
          </w:p>
        </w:tc>
        <w:tc>
          <w:tcPr>
            <w:tcW w:w="919" w:type="dxa"/>
            <w:tcBorders>
              <w:top w:val="nil"/>
              <w:left w:val="nil"/>
              <w:bottom w:val="single" w:sz="8" w:space="0" w:color="BFBFBF"/>
              <w:right w:val="single" w:sz="8" w:space="0" w:color="BFBFBF"/>
            </w:tcBorders>
            <w:shd w:val="clear" w:color="auto" w:fill="auto"/>
            <w:noWrap/>
            <w:hideMark/>
          </w:tcPr>
          <w:p w:rsidR="00FB7079" w:rsidRPr="006C5EFF" w:rsidP="00FB7079" w14:paraId="1B68CD00" w14:textId="1ADEC226">
            <w:pPr>
              <w:jc w:val="right"/>
              <w:rPr>
                <w:rFonts w:ascii="Arial Narrow" w:hAnsi="Arial Narrow" w:cs="Calibri"/>
                <w:color w:val="000000"/>
                <w:sz w:val="18"/>
                <w:szCs w:val="18"/>
              </w:rPr>
            </w:pPr>
            <w:r w:rsidRPr="00991C7D">
              <w:t>$133.34</w:t>
            </w:r>
          </w:p>
        </w:tc>
        <w:tc>
          <w:tcPr>
            <w:tcW w:w="1080" w:type="dxa"/>
            <w:tcBorders>
              <w:top w:val="nil"/>
              <w:left w:val="nil"/>
              <w:bottom w:val="single" w:sz="8" w:space="0" w:color="BFBFBF"/>
              <w:right w:val="single" w:sz="8" w:space="0" w:color="BFBFBF"/>
            </w:tcBorders>
            <w:shd w:val="clear" w:color="auto" w:fill="auto"/>
            <w:noWrap/>
            <w:hideMark/>
          </w:tcPr>
          <w:p w:rsidR="00FB7079" w:rsidRPr="006C5EFF" w:rsidP="00FB7079" w14:paraId="1E8D3BC3" w14:textId="6ECADE3B">
            <w:pPr>
              <w:jc w:val="right"/>
              <w:rPr>
                <w:rFonts w:ascii="Arial Narrow" w:hAnsi="Arial Narrow" w:cs="Calibri"/>
                <w:color w:val="000000"/>
                <w:sz w:val="18"/>
                <w:szCs w:val="18"/>
              </w:rPr>
            </w:pPr>
            <w:r w:rsidRPr="00991C7D">
              <w:t xml:space="preserve">$35.20 </w:t>
            </w:r>
          </w:p>
        </w:tc>
        <w:tc>
          <w:tcPr>
            <w:tcW w:w="1170" w:type="dxa"/>
            <w:tcBorders>
              <w:top w:val="nil"/>
              <w:left w:val="nil"/>
              <w:bottom w:val="single" w:sz="8" w:space="0" w:color="BFBFBF"/>
              <w:right w:val="single" w:sz="8" w:space="0" w:color="BFBFBF"/>
            </w:tcBorders>
            <w:shd w:val="clear" w:color="auto" w:fill="auto"/>
            <w:noWrap/>
            <w:hideMark/>
          </w:tcPr>
          <w:p w:rsidR="00FB7079" w:rsidRPr="006C5EFF" w:rsidP="00FB7079" w14:paraId="2B3A7B9C" w14:textId="77BC60A3">
            <w:pPr>
              <w:jc w:val="right"/>
              <w:rPr>
                <w:rFonts w:ascii="Arial Narrow" w:hAnsi="Arial Narrow" w:cs="Calibri"/>
                <w:color w:val="000000"/>
                <w:sz w:val="18"/>
                <w:szCs w:val="18"/>
              </w:rPr>
            </w:pPr>
            <w:r w:rsidRPr="00991C7D">
              <w:t>$4,693.43</w:t>
            </w:r>
          </w:p>
        </w:tc>
      </w:tr>
      <w:tr w14:paraId="0B5880AD" w14:textId="77777777" w:rsidTr="00FB7079">
        <w:tblPrEx>
          <w:tblW w:w="10440" w:type="dxa"/>
          <w:tblInd w:w="-460" w:type="dxa"/>
          <w:tblLook w:val="04A0"/>
        </w:tblPrEx>
        <w:trPr>
          <w:trHeight w:val="274"/>
        </w:trPr>
        <w:tc>
          <w:tcPr>
            <w:tcW w:w="1612" w:type="dxa"/>
            <w:tcBorders>
              <w:top w:val="nil"/>
              <w:left w:val="single" w:sz="8" w:space="0" w:color="BFBFBF"/>
              <w:bottom w:val="nil"/>
              <w:right w:val="single" w:sz="8" w:space="0" w:color="BFBFBF"/>
            </w:tcBorders>
            <w:shd w:val="clear" w:color="auto" w:fill="auto"/>
            <w:noWrap/>
            <w:vAlign w:val="center"/>
            <w:hideMark/>
          </w:tcPr>
          <w:p w:rsidR="00184771" w:rsidRPr="006C5EFF" w:rsidP="00F21C9D" w14:paraId="3B0C5359" w14:textId="77777777">
            <w:pPr>
              <w:rPr>
                <w:rFonts w:ascii="Arial Narrow" w:hAnsi="Arial Narrow" w:cs="Calibri"/>
                <w:b/>
                <w:bCs/>
                <w:i/>
                <w:iCs/>
                <w:color w:val="000000"/>
                <w:sz w:val="18"/>
                <w:szCs w:val="18"/>
              </w:rPr>
            </w:pPr>
            <w:r w:rsidRPr="006C5EFF">
              <w:rPr>
                <w:rFonts w:ascii="Arial Narrow" w:hAnsi="Arial Narrow" w:cs="Calibri"/>
                <w:b/>
                <w:bCs/>
                <w:i/>
                <w:iCs/>
                <w:color w:val="000000"/>
                <w:sz w:val="18"/>
                <w:szCs w:val="18"/>
              </w:rPr>
              <w:t>Total Annual Cost</w:t>
            </w:r>
          </w:p>
        </w:tc>
        <w:tc>
          <w:tcPr>
            <w:tcW w:w="1124" w:type="dxa"/>
            <w:tcBorders>
              <w:top w:val="nil"/>
              <w:left w:val="nil"/>
              <w:bottom w:val="nil"/>
              <w:right w:val="single" w:sz="8" w:space="0" w:color="BFBFBF"/>
            </w:tcBorders>
            <w:shd w:val="clear" w:color="auto" w:fill="auto"/>
            <w:vAlign w:val="center"/>
            <w:hideMark/>
          </w:tcPr>
          <w:p w:rsidR="00184771" w:rsidRPr="006C5EFF" w:rsidP="00F21C9D" w14:paraId="62E65393" w14:textId="77777777">
            <w:pPr>
              <w:rPr>
                <w:rFonts w:ascii="Arial Narrow" w:hAnsi="Arial Narrow" w:cs="Calibri"/>
                <w:b/>
                <w:bCs/>
                <w:i/>
                <w:iCs/>
                <w:color w:val="000000"/>
                <w:sz w:val="18"/>
                <w:szCs w:val="18"/>
              </w:rPr>
            </w:pPr>
            <w:r w:rsidRPr="006C5EFF">
              <w:rPr>
                <w:rFonts w:ascii="Arial Narrow" w:hAnsi="Arial Narrow" w:cs="Calibri"/>
                <w:b/>
                <w:bCs/>
                <w:i/>
                <w:iCs/>
                <w:color w:val="000000"/>
                <w:sz w:val="18"/>
                <w:szCs w:val="18"/>
              </w:rPr>
              <w:t> </w:t>
            </w:r>
          </w:p>
        </w:tc>
        <w:tc>
          <w:tcPr>
            <w:tcW w:w="1278" w:type="dxa"/>
            <w:tcBorders>
              <w:top w:val="nil"/>
              <w:left w:val="nil"/>
              <w:bottom w:val="nil"/>
              <w:right w:val="single" w:sz="8" w:space="0" w:color="BFBFBF"/>
            </w:tcBorders>
            <w:shd w:val="clear" w:color="auto" w:fill="auto"/>
            <w:noWrap/>
            <w:vAlign w:val="center"/>
            <w:hideMark/>
          </w:tcPr>
          <w:p w:rsidR="00184771" w:rsidRPr="006C5EFF" w:rsidP="00F21C9D" w14:paraId="39210ADD" w14:textId="77777777">
            <w:pPr>
              <w:rPr>
                <w:rFonts w:ascii="Arial Narrow" w:hAnsi="Arial Narrow" w:cs="Calibri"/>
                <w:b/>
                <w:bCs/>
                <w:i/>
                <w:iCs/>
                <w:color w:val="000000"/>
                <w:sz w:val="18"/>
                <w:szCs w:val="18"/>
              </w:rPr>
            </w:pPr>
            <w:r w:rsidRPr="006C5EFF">
              <w:rPr>
                <w:rFonts w:ascii="Arial Narrow" w:hAnsi="Arial Narrow" w:cs="Calibri"/>
                <w:b/>
                <w:bCs/>
                <w:i/>
                <w:iCs/>
                <w:color w:val="000000"/>
                <w:sz w:val="18"/>
                <w:szCs w:val="18"/>
              </w:rPr>
              <w:t> </w:t>
            </w:r>
          </w:p>
        </w:tc>
        <w:tc>
          <w:tcPr>
            <w:tcW w:w="1234" w:type="dxa"/>
            <w:tcBorders>
              <w:top w:val="nil"/>
              <w:left w:val="nil"/>
              <w:bottom w:val="nil"/>
              <w:right w:val="single" w:sz="8" w:space="0" w:color="BFBFBF"/>
            </w:tcBorders>
            <w:shd w:val="clear" w:color="auto" w:fill="auto"/>
            <w:noWrap/>
            <w:vAlign w:val="center"/>
            <w:hideMark/>
          </w:tcPr>
          <w:p w:rsidR="00184771" w:rsidRPr="006C5EFF" w:rsidP="00F21C9D" w14:paraId="43AA9FAB" w14:textId="77777777">
            <w:pPr>
              <w:rPr>
                <w:rFonts w:ascii="Arial Narrow" w:hAnsi="Arial Narrow" w:cs="Calibri"/>
                <w:color w:val="000000"/>
                <w:sz w:val="18"/>
                <w:szCs w:val="18"/>
              </w:rPr>
            </w:pPr>
            <w:r w:rsidRPr="006C5EFF">
              <w:rPr>
                <w:rFonts w:ascii="Arial Narrow" w:hAnsi="Arial Narrow" w:cs="Calibri"/>
                <w:color w:val="000000"/>
                <w:sz w:val="18"/>
                <w:szCs w:val="18"/>
              </w:rPr>
              <w:t> </w:t>
            </w:r>
          </w:p>
        </w:tc>
        <w:tc>
          <w:tcPr>
            <w:tcW w:w="1004" w:type="dxa"/>
            <w:tcBorders>
              <w:top w:val="nil"/>
              <w:left w:val="nil"/>
              <w:bottom w:val="nil"/>
              <w:right w:val="single" w:sz="8" w:space="0" w:color="BFBFBF"/>
            </w:tcBorders>
            <w:shd w:val="clear" w:color="auto" w:fill="auto"/>
            <w:noWrap/>
            <w:vAlign w:val="center"/>
            <w:hideMark/>
          </w:tcPr>
          <w:p w:rsidR="00184771" w:rsidRPr="006C5EFF" w:rsidP="00F21C9D" w14:paraId="03BC45BB" w14:textId="77777777">
            <w:pPr>
              <w:rPr>
                <w:rFonts w:ascii="Arial Narrow" w:hAnsi="Arial Narrow" w:cs="Calibri"/>
                <w:color w:val="000000"/>
                <w:sz w:val="18"/>
                <w:szCs w:val="18"/>
              </w:rPr>
            </w:pPr>
            <w:r w:rsidRPr="006C5EFF">
              <w:rPr>
                <w:rFonts w:ascii="Arial Narrow" w:hAnsi="Arial Narrow" w:cs="Calibri"/>
                <w:color w:val="000000"/>
                <w:sz w:val="18"/>
                <w:szCs w:val="18"/>
              </w:rPr>
              <w:t> </w:t>
            </w:r>
          </w:p>
        </w:tc>
        <w:tc>
          <w:tcPr>
            <w:tcW w:w="1019" w:type="dxa"/>
            <w:tcBorders>
              <w:top w:val="nil"/>
              <w:left w:val="nil"/>
              <w:bottom w:val="nil"/>
              <w:right w:val="single" w:sz="8" w:space="0" w:color="BFBFBF"/>
            </w:tcBorders>
            <w:shd w:val="clear" w:color="auto" w:fill="auto"/>
            <w:noWrap/>
            <w:vAlign w:val="center"/>
            <w:hideMark/>
          </w:tcPr>
          <w:p w:rsidR="00184771" w:rsidRPr="006C5EFF" w:rsidP="00F21C9D" w14:paraId="68CBCBE8" w14:textId="77777777">
            <w:pPr>
              <w:rPr>
                <w:rFonts w:ascii="Arial Narrow" w:hAnsi="Arial Narrow" w:cs="Calibri"/>
                <w:color w:val="000000"/>
                <w:sz w:val="18"/>
                <w:szCs w:val="18"/>
              </w:rPr>
            </w:pPr>
            <w:r w:rsidRPr="006C5EFF">
              <w:rPr>
                <w:rFonts w:ascii="Arial Narrow" w:hAnsi="Arial Narrow" w:cs="Calibri"/>
                <w:color w:val="000000"/>
                <w:sz w:val="18"/>
                <w:szCs w:val="18"/>
              </w:rPr>
              <w:t> </w:t>
            </w:r>
          </w:p>
        </w:tc>
        <w:tc>
          <w:tcPr>
            <w:tcW w:w="919" w:type="dxa"/>
            <w:tcBorders>
              <w:top w:val="nil"/>
              <w:left w:val="nil"/>
              <w:bottom w:val="nil"/>
              <w:right w:val="single" w:sz="8" w:space="0" w:color="BFBFBF"/>
            </w:tcBorders>
            <w:shd w:val="clear" w:color="auto" w:fill="auto"/>
            <w:noWrap/>
            <w:vAlign w:val="center"/>
            <w:hideMark/>
          </w:tcPr>
          <w:p w:rsidR="00184771" w:rsidRPr="006C5EFF" w:rsidP="00F21C9D" w14:paraId="6D5A6D3A" w14:textId="77777777">
            <w:pPr>
              <w:rPr>
                <w:rFonts w:ascii="Arial Narrow" w:hAnsi="Arial Narrow" w:cs="Calibri"/>
                <w:color w:val="000000"/>
                <w:sz w:val="18"/>
                <w:szCs w:val="18"/>
              </w:rPr>
            </w:pPr>
            <w:r w:rsidRPr="006C5EFF">
              <w:rPr>
                <w:rFonts w:ascii="Arial Narrow" w:hAnsi="Arial Narrow" w:cs="Calibri"/>
                <w:color w:val="000000"/>
                <w:sz w:val="18"/>
                <w:szCs w:val="18"/>
              </w:rPr>
              <w:t> </w:t>
            </w:r>
          </w:p>
        </w:tc>
        <w:tc>
          <w:tcPr>
            <w:tcW w:w="1080" w:type="dxa"/>
            <w:tcBorders>
              <w:top w:val="nil"/>
              <w:left w:val="nil"/>
              <w:bottom w:val="nil"/>
              <w:right w:val="single" w:sz="8" w:space="0" w:color="BFBFBF"/>
            </w:tcBorders>
            <w:shd w:val="clear" w:color="auto" w:fill="auto"/>
            <w:noWrap/>
            <w:vAlign w:val="center"/>
            <w:hideMark/>
          </w:tcPr>
          <w:p w:rsidR="00184771" w:rsidRPr="006C5EFF" w:rsidP="00F21C9D" w14:paraId="411D4421" w14:textId="77777777">
            <w:pPr>
              <w:rPr>
                <w:rFonts w:ascii="Arial Narrow" w:hAnsi="Arial Narrow" w:cs="Calibri"/>
                <w:color w:val="000000"/>
                <w:sz w:val="18"/>
                <w:szCs w:val="18"/>
              </w:rPr>
            </w:pPr>
            <w:r w:rsidRPr="006C5EFF">
              <w:rPr>
                <w:rFonts w:ascii="Arial Narrow" w:hAnsi="Arial Narrow" w:cs="Calibri"/>
                <w:color w:val="000000"/>
                <w:sz w:val="18"/>
                <w:szCs w:val="18"/>
              </w:rPr>
              <w:t> </w:t>
            </w:r>
          </w:p>
        </w:tc>
        <w:tc>
          <w:tcPr>
            <w:tcW w:w="1170" w:type="dxa"/>
            <w:tcBorders>
              <w:top w:val="nil"/>
              <w:left w:val="nil"/>
              <w:bottom w:val="nil"/>
              <w:right w:val="single" w:sz="8" w:space="0" w:color="BFBFBF"/>
            </w:tcBorders>
            <w:shd w:val="clear" w:color="auto" w:fill="auto"/>
            <w:noWrap/>
            <w:vAlign w:val="center"/>
            <w:hideMark/>
          </w:tcPr>
          <w:p w:rsidR="00184771" w:rsidRPr="006C5EFF" w:rsidP="00F21C9D" w14:paraId="1ACB7BC9" w14:textId="135FA285">
            <w:pPr>
              <w:jc w:val="right"/>
              <w:rPr>
                <w:rFonts w:ascii="Arial Narrow" w:hAnsi="Arial Narrow" w:cs="Calibri"/>
                <w:b/>
                <w:bCs/>
                <w:i/>
                <w:iCs/>
                <w:color w:val="000000"/>
                <w:sz w:val="18"/>
                <w:szCs w:val="18"/>
              </w:rPr>
            </w:pPr>
            <w:r w:rsidRPr="006C5EFF">
              <w:rPr>
                <w:rFonts w:ascii="Arial Narrow" w:hAnsi="Arial Narrow" w:cs="Calibri"/>
                <w:b/>
                <w:bCs/>
                <w:i/>
                <w:iCs/>
                <w:color w:val="000000"/>
                <w:sz w:val="18"/>
                <w:szCs w:val="18"/>
              </w:rPr>
              <w:t>$</w:t>
            </w:r>
            <w:r w:rsidRPr="006C5EFF" w:rsidR="00855A96">
              <w:rPr>
                <w:rFonts w:ascii="Arial Narrow" w:hAnsi="Arial Narrow" w:cs="Calibri"/>
                <w:b/>
                <w:bCs/>
                <w:i/>
                <w:iCs/>
                <w:color w:val="000000"/>
                <w:sz w:val="18"/>
                <w:szCs w:val="18"/>
              </w:rPr>
              <w:t>14,128.</w:t>
            </w:r>
            <w:r w:rsidR="00FB7079">
              <w:rPr>
                <w:rFonts w:ascii="Arial Narrow" w:hAnsi="Arial Narrow" w:cs="Calibri"/>
                <w:b/>
                <w:bCs/>
                <w:i/>
                <w:iCs/>
                <w:color w:val="000000"/>
                <w:sz w:val="18"/>
                <w:szCs w:val="18"/>
              </w:rPr>
              <w:t>42</w:t>
            </w:r>
          </w:p>
        </w:tc>
      </w:tr>
      <w:tr w14:paraId="58E17227" w14:textId="77777777" w:rsidTr="00FB7079">
        <w:tblPrEx>
          <w:tblW w:w="10440" w:type="dxa"/>
          <w:tblInd w:w="-460" w:type="dxa"/>
          <w:tblLook w:val="04A0"/>
        </w:tblPrEx>
        <w:trPr>
          <w:trHeight w:val="531"/>
        </w:trPr>
        <w:tc>
          <w:tcPr>
            <w:tcW w:w="1612" w:type="dxa"/>
            <w:tcBorders>
              <w:top w:val="nil"/>
              <w:left w:val="single" w:sz="8" w:space="0" w:color="BFBFBF"/>
              <w:bottom w:val="single" w:sz="8" w:space="0" w:color="BFBFBF"/>
              <w:right w:val="single" w:sz="8" w:space="0" w:color="BFBFBF"/>
            </w:tcBorders>
            <w:shd w:val="clear" w:color="auto" w:fill="auto"/>
            <w:noWrap/>
            <w:vAlign w:val="center"/>
          </w:tcPr>
          <w:p w:rsidR="004A47E2" w:rsidRPr="006C5EFF" w:rsidP="00F21C9D" w14:paraId="7B319912" w14:textId="0B133536">
            <w:pPr>
              <w:rPr>
                <w:rFonts w:ascii="Arial Narrow" w:hAnsi="Arial Narrow" w:cs="Calibri"/>
                <w:b/>
                <w:bCs/>
                <w:i/>
                <w:iCs/>
                <w:color w:val="000000"/>
                <w:sz w:val="18"/>
                <w:szCs w:val="18"/>
              </w:rPr>
            </w:pPr>
            <w:r w:rsidRPr="006C5EFF">
              <w:rPr>
                <w:rFonts w:ascii="Arial Narrow" w:hAnsi="Arial Narrow" w:cs="Calibri"/>
                <w:b/>
                <w:bCs/>
                <w:i/>
                <w:iCs/>
                <w:color w:val="000000"/>
                <w:sz w:val="18"/>
                <w:szCs w:val="18"/>
              </w:rPr>
              <w:t>Total Cost for 3 Years</w:t>
            </w:r>
          </w:p>
        </w:tc>
        <w:tc>
          <w:tcPr>
            <w:tcW w:w="1124" w:type="dxa"/>
            <w:tcBorders>
              <w:top w:val="nil"/>
              <w:left w:val="nil"/>
              <w:bottom w:val="single" w:sz="8" w:space="0" w:color="BFBFBF"/>
              <w:right w:val="single" w:sz="8" w:space="0" w:color="BFBFBF"/>
            </w:tcBorders>
            <w:shd w:val="clear" w:color="auto" w:fill="auto"/>
            <w:vAlign w:val="center"/>
          </w:tcPr>
          <w:p w:rsidR="004A47E2" w:rsidRPr="006C5EFF" w:rsidP="00F21C9D" w14:paraId="38CA2F2A" w14:textId="77777777">
            <w:pPr>
              <w:rPr>
                <w:rFonts w:ascii="Arial Narrow" w:hAnsi="Arial Narrow" w:cs="Calibri"/>
                <w:b/>
                <w:bCs/>
                <w:i/>
                <w:iCs/>
                <w:color w:val="000000"/>
                <w:sz w:val="18"/>
                <w:szCs w:val="18"/>
              </w:rPr>
            </w:pPr>
          </w:p>
        </w:tc>
        <w:tc>
          <w:tcPr>
            <w:tcW w:w="1278" w:type="dxa"/>
            <w:tcBorders>
              <w:top w:val="nil"/>
              <w:left w:val="nil"/>
              <w:bottom w:val="single" w:sz="8" w:space="0" w:color="BFBFBF"/>
              <w:right w:val="single" w:sz="8" w:space="0" w:color="BFBFBF"/>
            </w:tcBorders>
            <w:shd w:val="clear" w:color="auto" w:fill="auto"/>
            <w:noWrap/>
            <w:vAlign w:val="center"/>
          </w:tcPr>
          <w:p w:rsidR="004A47E2" w:rsidRPr="006C5EFF" w:rsidP="00F21C9D" w14:paraId="3F804030" w14:textId="77777777">
            <w:pPr>
              <w:rPr>
                <w:rFonts w:ascii="Arial Narrow" w:hAnsi="Arial Narrow" w:cs="Calibri"/>
                <w:b/>
                <w:bCs/>
                <w:i/>
                <w:iCs/>
                <w:color w:val="000000"/>
                <w:sz w:val="18"/>
                <w:szCs w:val="18"/>
              </w:rPr>
            </w:pPr>
          </w:p>
        </w:tc>
        <w:tc>
          <w:tcPr>
            <w:tcW w:w="1234" w:type="dxa"/>
            <w:tcBorders>
              <w:top w:val="nil"/>
              <w:left w:val="nil"/>
              <w:bottom w:val="single" w:sz="8" w:space="0" w:color="BFBFBF"/>
              <w:right w:val="single" w:sz="8" w:space="0" w:color="BFBFBF"/>
            </w:tcBorders>
            <w:shd w:val="clear" w:color="auto" w:fill="auto"/>
            <w:noWrap/>
            <w:vAlign w:val="center"/>
          </w:tcPr>
          <w:p w:rsidR="004A47E2" w:rsidRPr="006C5EFF" w:rsidP="00F21C9D" w14:paraId="362B5ACA" w14:textId="77777777">
            <w:pPr>
              <w:rPr>
                <w:rFonts w:ascii="Arial Narrow" w:hAnsi="Arial Narrow" w:cs="Calibri"/>
                <w:color w:val="000000"/>
                <w:sz w:val="18"/>
                <w:szCs w:val="18"/>
              </w:rPr>
            </w:pPr>
          </w:p>
        </w:tc>
        <w:tc>
          <w:tcPr>
            <w:tcW w:w="1004" w:type="dxa"/>
            <w:tcBorders>
              <w:top w:val="nil"/>
              <w:left w:val="nil"/>
              <w:bottom w:val="single" w:sz="8" w:space="0" w:color="BFBFBF"/>
              <w:right w:val="single" w:sz="8" w:space="0" w:color="BFBFBF"/>
            </w:tcBorders>
            <w:shd w:val="clear" w:color="auto" w:fill="auto"/>
            <w:noWrap/>
            <w:vAlign w:val="center"/>
          </w:tcPr>
          <w:p w:rsidR="004A47E2" w:rsidRPr="006C5EFF" w:rsidP="00F21C9D" w14:paraId="3846B9B2" w14:textId="77777777">
            <w:pPr>
              <w:rPr>
                <w:rFonts w:ascii="Arial Narrow" w:hAnsi="Arial Narrow" w:cs="Calibri"/>
                <w:color w:val="000000"/>
                <w:sz w:val="18"/>
                <w:szCs w:val="18"/>
              </w:rPr>
            </w:pPr>
          </w:p>
        </w:tc>
        <w:tc>
          <w:tcPr>
            <w:tcW w:w="1019" w:type="dxa"/>
            <w:tcBorders>
              <w:top w:val="nil"/>
              <w:left w:val="nil"/>
              <w:bottom w:val="single" w:sz="8" w:space="0" w:color="BFBFBF"/>
              <w:right w:val="single" w:sz="8" w:space="0" w:color="BFBFBF"/>
            </w:tcBorders>
            <w:shd w:val="clear" w:color="auto" w:fill="auto"/>
            <w:noWrap/>
            <w:vAlign w:val="center"/>
          </w:tcPr>
          <w:p w:rsidR="004A47E2" w:rsidRPr="006C5EFF" w:rsidP="00F21C9D" w14:paraId="0C4EB1FE" w14:textId="77777777">
            <w:pPr>
              <w:rPr>
                <w:rFonts w:ascii="Arial Narrow" w:hAnsi="Arial Narrow" w:cs="Calibri"/>
                <w:color w:val="000000"/>
                <w:sz w:val="18"/>
                <w:szCs w:val="18"/>
              </w:rPr>
            </w:pPr>
          </w:p>
        </w:tc>
        <w:tc>
          <w:tcPr>
            <w:tcW w:w="919" w:type="dxa"/>
            <w:tcBorders>
              <w:top w:val="nil"/>
              <w:left w:val="nil"/>
              <w:bottom w:val="single" w:sz="8" w:space="0" w:color="BFBFBF"/>
              <w:right w:val="single" w:sz="8" w:space="0" w:color="BFBFBF"/>
            </w:tcBorders>
            <w:shd w:val="clear" w:color="auto" w:fill="auto"/>
            <w:noWrap/>
            <w:vAlign w:val="center"/>
          </w:tcPr>
          <w:p w:rsidR="004A47E2" w:rsidRPr="006C5EFF" w:rsidP="00F21C9D" w14:paraId="420F05F6" w14:textId="77777777">
            <w:pPr>
              <w:rPr>
                <w:rFonts w:ascii="Arial Narrow" w:hAnsi="Arial Narrow" w:cs="Calibri"/>
                <w:color w:val="000000"/>
                <w:sz w:val="18"/>
                <w:szCs w:val="18"/>
              </w:rPr>
            </w:pPr>
          </w:p>
        </w:tc>
        <w:tc>
          <w:tcPr>
            <w:tcW w:w="1080" w:type="dxa"/>
            <w:tcBorders>
              <w:top w:val="nil"/>
              <w:left w:val="nil"/>
              <w:bottom w:val="single" w:sz="8" w:space="0" w:color="BFBFBF"/>
              <w:right w:val="single" w:sz="8" w:space="0" w:color="BFBFBF"/>
            </w:tcBorders>
            <w:shd w:val="clear" w:color="auto" w:fill="auto"/>
            <w:noWrap/>
            <w:vAlign w:val="center"/>
          </w:tcPr>
          <w:p w:rsidR="004A47E2" w:rsidRPr="006C5EFF" w:rsidP="00F21C9D" w14:paraId="55647A0B" w14:textId="77777777">
            <w:pPr>
              <w:rPr>
                <w:rFonts w:ascii="Arial Narrow" w:hAnsi="Arial Narrow" w:cs="Calibri"/>
                <w:color w:val="000000"/>
                <w:sz w:val="18"/>
                <w:szCs w:val="18"/>
              </w:rPr>
            </w:pPr>
          </w:p>
        </w:tc>
        <w:tc>
          <w:tcPr>
            <w:tcW w:w="1170" w:type="dxa"/>
            <w:tcBorders>
              <w:top w:val="nil"/>
              <w:left w:val="nil"/>
              <w:bottom w:val="single" w:sz="8" w:space="0" w:color="BFBFBF"/>
              <w:right w:val="single" w:sz="8" w:space="0" w:color="BFBFBF"/>
            </w:tcBorders>
            <w:shd w:val="clear" w:color="auto" w:fill="auto"/>
            <w:noWrap/>
            <w:vAlign w:val="center"/>
          </w:tcPr>
          <w:p w:rsidR="004A47E2" w:rsidRPr="006C5EFF" w:rsidP="00F21C9D" w14:paraId="0AAAE35F" w14:textId="7648F5DA">
            <w:pPr>
              <w:jc w:val="right"/>
              <w:rPr>
                <w:rFonts w:ascii="Arial Narrow" w:hAnsi="Arial Narrow" w:cs="Calibri"/>
                <w:b/>
                <w:bCs/>
                <w:i/>
                <w:iCs/>
                <w:color w:val="000000"/>
                <w:sz w:val="18"/>
                <w:szCs w:val="18"/>
              </w:rPr>
            </w:pPr>
            <w:r w:rsidRPr="006C5EFF">
              <w:rPr>
                <w:rFonts w:ascii="Arial Narrow" w:hAnsi="Arial Narrow" w:cs="Calibri"/>
                <w:b/>
                <w:bCs/>
                <w:i/>
                <w:iCs/>
                <w:color w:val="000000"/>
                <w:sz w:val="18"/>
                <w:szCs w:val="18"/>
              </w:rPr>
              <w:t>$42,38</w:t>
            </w:r>
            <w:r w:rsidR="00FB7079">
              <w:rPr>
                <w:rFonts w:ascii="Arial Narrow" w:hAnsi="Arial Narrow" w:cs="Calibri"/>
                <w:b/>
                <w:bCs/>
                <w:i/>
                <w:iCs/>
                <w:color w:val="000000"/>
                <w:sz w:val="18"/>
                <w:szCs w:val="18"/>
              </w:rPr>
              <w:t>5</w:t>
            </w:r>
            <w:r w:rsidRPr="006C5EFF">
              <w:rPr>
                <w:rFonts w:ascii="Arial Narrow" w:hAnsi="Arial Narrow" w:cs="Calibri"/>
                <w:b/>
                <w:bCs/>
                <w:i/>
                <w:iCs/>
                <w:color w:val="000000"/>
                <w:sz w:val="18"/>
                <w:szCs w:val="18"/>
              </w:rPr>
              <w:t>.</w:t>
            </w:r>
            <w:r w:rsidR="00FB7079">
              <w:rPr>
                <w:rFonts w:ascii="Arial Narrow" w:hAnsi="Arial Narrow" w:cs="Calibri"/>
                <w:b/>
                <w:bCs/>
                <w:i/>
                <w:iCs/>
                <w:color w:val="000000"/>
                <w:sz w:val="18"/>
                <w:szCs w:val="18"/>
              </w:rPr>
              <w:t>25</w:t>
            </w:r>
          </w:p>
        </w:tc>
      </w:tr>
      <w:bookmarkEnd w:id="14"/>
    </w:tbl>
    <w:p w:rsidR="00184771" w:rsidRPr="002D2F19" w:rsidP="00184771" w14:paraId="5D4D183B" w14:textId="77777777">
      <w:pPr>
        <w:rPr>
          <w:rFonts w:ascii="Arial Narrow" w:hAnsi="Arial Narrow" w:cstheme="majorBidi"/>
          <w:sz w:val="20"/>
        </w:rPr>
      </w:pPr>
    </w:p>
    <w:p w:rsidR="00184771" w:rsidRPr="002D2F19" w:rsidP="00184771" w14:paraId="71A76FCA" w14:textId="5AE39D82">
      <w:pPr>
        <w:rPr>
          <w:rFonts w:ascii="Arial Narrow" w:hAnsi="Arial Narrow" w:cstheme="majorBidi"/>
          <w:sz w:val="20"/>
        </w:rPr>
      </w:pPr>
      <w:r w:rsidRPr="002D2F19">
        <w:rPr>
          <w:rFonts w:ascii="Arial Narrow" w:hAnsi="Arial Narrow" w:cstheme="majorBidi"/>
          <w:sz w:val="20"/>
        </w:rPr>
        <w:t xml:space="preserve">Total burden annualized over 3-year period, anticipated </w:t>
      </w:r>
      <w:r w:rsidR="00537BA8">
        <w:rPr>
          <w:rFonts w:ascii="Arial Narrow" w:hAnsi="Arial Narrow" w:cstheme="majorBidi"/>
          <w:sz w:val="20"/>
        </w:rPr>
        <w:t>January</w:t>
      </w:r>
      <w:r w:rsidRPr="002D2F19">
        <w:rPr>
          <w:rFonts w:ascii="Arial Narrow" w:hAnsi="Arial Narrow" w:cstheme="majorBidi"/>
          <w:sz w:val="20"/>
        </w:rPr>
        <w:t xml:space="preserve"> 202</w:t>
      </w:r>
      <w:r w:rsidR="00537BA8">
        <w:rPr>
          <w:rFonts w:ascii="Arial Narrow" w:hAnsi="Arial Narrow" w:cstheme="majorBidi"/>
          <w:sz w:val="20"/>
        </w:rPr>
        <w:t>3</w:t>
      </w:r>
      <w:r w:rsidRPr="002D2F19">
        <w:rPr>
          <w:rFonts w:ascii="Arial Narrow" w:hAnsi="Arial Narrow" w:cstheme="majorBidi"/>
          <w:sz w:val="20"/>
        </w:rPr>
        <w:t xml:space="preserve"> – November 2025.</w:t>
      </w:r>
    </w:p>
    <w:p w:rsidR="00184771" w:rsidRPr="002D2F19" w:rsidP="00184771" w14:paraId="3F7888DA" w14:textId="77777777">
      <w:pPr>
        <w:rPr>
          <w:rFonts w:ascii="Arial Narrow" w:hAnsi="Arial Narrow" w:cstheme="majorBidi"/>
          <w:sz w:val="20"/>
        </w:rPr>
      </w:pPr>
      <w:r w:rsidRPr="002D2F19">
        <w:rPr>
          <w:rFonts w:ascii="Arial Narrow" w:hAnsi="Arial Narrow" w:cstheme="majorBidi"/>
          <w:sz w:val="20"/>
        </w:rPr>
        <w:t xml:space="preserve">The average hourly rate for Landlords ($35.20) is based on the average hourly rates for Property, Real Estate, and Community Association Managers (Source: </w:t>
      </w:r>
      <w:hyperlink r:id="rId17" w:history="1">
        <w:r w:rsidRPr="002D2F19">
          <w:rPr>
            <w:rStyle w:val="Hyperlink"/>
            <w:rFonts w:ascii="Arial Narrow" w:hAnsi="Arial Narrow" w:cstheme="majorBidi"/>
            <w:sz w:val="20"/>
          </w:rPr>
          <w:t>Bureau of Labor Statistics, May 2020 National Occupational Employment and Wage Estimates</w:t>
        </w:r>
      </w:hyperlink>
      <w:r w:rsidRPr="002D2F19">
        <w:rPr>
          <w:rFonts w:ascii="Arial Narrow" w:hAnsi="Arial Narrow" w:cstheme="majorBidi"/>
          <w:sz w:val="20"/>
        </w:rPr>
        <w:t>.)</w:t>
      </w:r>
    </w:p>
    <w:p w:rsidR="00184771" w:rsidP="00184771" w14:paraId="0E26DF67" w14:textId="77777777">
      <w:pPr>
        <w:rPr>
          <w:rStyle w:val="Hyperlink"/>
          <w:rFonts w:ascii="Arial Narrow" w:hAnsi="Arial Narrow" w:cstheme="majorBidi"/>
          <w:sz w:val="20"/>
        </w:rPr>
      </w:pPr>
      <w:r w:rsidRPr="002D2F19">
        <w:rPr>
          <w:rFonts w:ascii="Arial Narrow" w:hAnsi="Arial Narrow" w:cstheme="majorBidi"/>
          <w:sz w:val="20"/>
        </w:rPr>
        <w:t xml:space="preserve">The average hourly rate for PHA staff ($54.96) is based on the average employer costs for State and Local Government employees (Source: </w:t>
      </w:r>
      <w:hyperlink r:id="rId18" w:history="1">
        <w:r w:rsidRPr="002D2F19">
          <w:rPr>
            <w:rStyle w:val="Hyperlink"/>
            <w:rFonts w:ascii="Arial Narrow" w:hAnsi="Arial Narrow" w:cstheme="majorBidi"/>
            <w:sz w:val="20"/>
          </w:rPr>
          <w:t>Bureau of Labor Statistics, December 2021 Employer Costs for Employee Compensation</w:t>
        </w:r>
      </w:hyperlink>
    </w:p>
    <w:p w:rsidR="006F299B" w:rsidP="00137474" w14:paraId="0684F57F" w14:textId="77777777">
      <w:pPr>
        <w:pStyle w:val="Heading2"/>
      </w:pPr>
      <w:bookmarkStart w:id="15" w:name="_Toc106789180"/>
      <w:r w:rsidRPr="001034D3">
        <w:t>A</w:t>
      </w:r>
      <w:r w:rsidR="00626051">
        <w:t>.</w:t>
      </w:r>
      <w:r w:rsidRPr="001034D3">
        <w:t xml:space="preserve">13: Cost </w:t>
      </w:r>
      <w:r w:rsidRPr="001034D3" w:rsidR="00911BD5">
        <w:t xml:space="preserve">Burden </w:t>
      </w:r>
      <w:r w:rsidR="00911BD5">
        <w:t>t</w:t>
      </w:r>
      <w:r w:rsidRPr="001034D3" w:rsidR="00911BD5">
        <w:t xml:space="preserve">o Respondents </w:t>
      </w:r>
      <w:r w:rsidR="00911BD5">
        <w:t>o</w:t>
      </w:r>
      <w:r w:rsidRPr="001034D3" w:rsidR="00911BD5">
        <w:t>r Record Keepers</w:t>
      </w:r>
      <w:bookmarkEnd w:id="15"/>
    </w:p>
    <w:p w:rsidR="00BE02A5" w:rsidRPr="00B03A98" w:rsidP="00B03A98" w14:paraId="0684F580" w14:textId="1A18D138">
      <w:pPr>
        <w:rPr>
          <w:rFonts w:asciiTheme="majorBidi" w:hAnsiTheme="majorBidi" w:cstheme="majorBidi"/>
        </w:rPr>
      </w:pPr>
      <w:r w:rsidRPr="00326438">
        <w:rPr>
          <w:rFonts w:asciiTheme="majorBidi" w:hAnsiTheme="majorBidi" w:cstheme="majorBidi"/>
        </w:rPr>
        <w:t xml:space="preserve">This data collection effort involves no recordkeeping or reporting costs for respondents other than the time burden to respond to questions during the interview described in item A.12 above. </w:t>
      </w:r>
    </w:p>
    <w:p w:rsidR="006F299B" w:rsidRPr="001034D3" w:rsidP="00137474" w14:paraId="0684F581" w14:textId="5241E0E3">
      <w:pPr>
        <w:pStyle w:val="Heading2"/>
      </w:pPr>
      <w:bookmarkStart w:id="16" w:name="_Toc106789181"/>
      <w:r w:rsidRPr="001034D3">
        <w:t>A</w:t>
      </w:r>
      <w:r w:rsidR="00626051">
        <w:t>.</w:t>
      </w:r>
      <w:r w:rsidRPr="001034D3">
        <w:t xml:space="preserve">14: Estimate of </w:t>
      </w:r>
      <w:r w:rsidR="00911BD5">
        <w:t>C</w:t>
      </w:r>
      <w:r w:rsidRPr="001034D3">
        <w:t xml:space="preserve">ost to the Federal </w:t>
      </w:r>
      <w:r w:rsidR="00911BD5">
        <w:t>G</w:t>
      </w:r>
      <w:r w:rsidRPr="001034D3">
        <w:t>overnment</w:t>
      </w:r>
      <w:bookmarkEnd w:id="16"/>
      <w:r w:rsidR="004D0C0F">
        <w:t xml:space="preserve"> </w:t>
      </w:r>
    </w:p>
    <w:p w:rsidR="00BC6B41" w:rsidP="5C29EF9C" w14:paraId="69C59C16" w14:textId="42E56105">
      <w:pPr>
        <w:rPr>
          <w:rFonts w:asciiTheme="majorBidi" w:hAnsiTheme="majorBidi" w:cstheme="majorBidi"/>
        </w:rPr>
      </w:pPr>
      <w:r w:rsidRPr="0CBB741C">
        <w:rPr>
          <w:rFonts w:asciiTheme="majorBidi" w:hAnsiTheme="majorBidi" w:cstheme="majorBidi"/>
        </w:rPr>
        <w:t xml:space="preserve">The current effort is being carried out under a HUD contract with </w:t>
      </w:r>
      <w:r w:rsidRPr="0CBB741C">
        <w:rPr>
          <w:rFonts w:asciiTheme="majorBidi" w:hAnsiTheme="majorBidi" w:cstheme="majorBidi"/>
        </w:rPr>
        <w:t>Abt</w:t>
      </w:r>
      <w:r w:rsidRPr="0CBB741C">
        <w:rPr>
          <w:rFonts w:asciiTheme="majorBidi" w:hAnsiTheme="majorBidi" w:cstheme="majorBidi"/>
        </w:rPr>
        <w:t xml:space="preserve"> Associates. HUD estimates the costs to the Federal government for this data collection and analysis of these data to be </w:t>
      </w:r>
      <w:r w:rsidRPr="004E722F">
        <w:rPr>
          <w:rFonts w:asciiTheme="majorBidi" w:hAnsiTheme="majorBidi" w:cstheme="majorBidi"/>
        </w:rPr>
        <w:t>approximately $</w:t>
      </w:r>
      <w:r w:rsidRPr="004E722F" w:rsidR="00C70D96">
        <w:rPr>
          <w:rFonts w:asciiTheme="majorBidi" w:hAnsiTheme="majorBidi" w:cstheme="majorBidi"/>
        </w:rPr>
        <w:t>7</w:t>
      </w:r>
      <w:r w:rsidR="00ED07D0">
        <w:rPr>
          <w:rFonts w:asciiTheme="majorBidi" w:hAnsiTheme="majorBidi" w:cstheme="majorBidi"/>
        </w:rPr>
        <w:t>68,152.20</w:t>
      </w:r>
      <w:r w:rsidRPr="0CBB741C">
        <w:rPr>
          <w:rFonts w:asciiTheme="majorBidi" w:hAnsiTheme="majorBidi" w:cstheme="majorBidi"/>
        </w:rPr>
        <w:t xml:space="preserve"> per year</w:t>
      </w:r>
      <w:r w:rsidR="009A3099">
        <w:rPr>
          <w:rFonts w:asciiTheme="majorBidi" w:hAnsiTheme="majorBidi" w:cstheme="majorBidi"/>
        </w:rPr>
        <w:t xml:space="preserve"> for five</w:t>
      </w:r>
      <w:r w:rsidRPr="0CBB741C">
        <w:rPr>
          <w:rFonts w:asciiTheme="majorBidi" w:hAnsiTheme="majorBidi" w:cstheme="majorBidi"/>
        </w:rPr>
        <w:t xml:space="preserve"> years. The professional labor cost estimates for this information collection include project management staff, </w:t>
      </w:r>
      <w:r w:rsidRPr="0CBB741C" w:rsidR="00452767">
        <w:rPr>
          <w:rFonts w:asciiTheme="majorBidi" w:hAnsiTheme="majorBidi" w:cstheme="majorBidi"/>
        </w:rPr>
        <w:t xml:space="preserve">data analysts, </w:t>
      </w:r>
      <w:r w:rsidRPr="0CBB741C">
        <w:rPr>
          <w:rFonts w:asciiTheme="majorBidi" w:hAnsiTheme="majorBidi" w:cstheme="majorBidi"/>
        </w:rPr>
        <w:t>survey methodologists, interviewers, and IT support staff. Exhibit 4 summarizes the cost breakdown per year.</w:t>
      </w:r>
    </w:p>
    <w:p w:rsidR="00BC6B41" w:rsidRPr="0044434F" w:rsidP="0CBB741C" w14:paraId="5D01F6FF" w14:textId="4DA49FDC">
      <w:pPr>
        <w:rPr>
          <w:rFonts w:asciiTheme="majorBidi" w:hAnsiTheme="majorBidi" w:cstheme="majorBidi"/>
        </w:rPr>
      </w:pPr>
      <w:r w:rsidRPr="0CBB741C">
        <w:rPr>
          <w:rFonts w:ascii="Arial Narrow" w:hAnsi="Arial Narrow" w:cstheme="majorBidi"/>
          <w:b/>
          <w:bCs/>
        </w:rPr>
        <w:t xml:space="preserve">Exhibit 4: Estimated Costs </w:t>
      </w:r>
      <w:r w:rsidR="004D0C0F">
        <w:rPr>
          <w:rFonts w:ascii="Arial Narrow" w:hAnsi="Arial Narrow" w:cstheme="majorBidi"/>
          <w:b/>
          <w:bCs/>
        </w:rPr>
        <w:t>P</w:t>
      </w:r>
      <w:r w:rsidRPr="0CBB741C">
        <w:rPr>
          <w:rFonts w:ascii="Arial Narrow" w:hAnsi="Arial Narrow" w:cstheme="majorBidi"/>
          <w:b/>
          <w:bCs/>
        </w:rPr>
        <w:t xml:space="preserve">er </w:t>
      </w:r>
      <w:r w:rsidR="004D0C0F">
        <w:rPr>
          <w:rFonts w:ascii="Arial Narrow" w:hAnsi="Arial Narrow" w:cstheme="majorBidi"/>
          <w:b/>
          <w:bCs/>
        </w:rPr>
        <w:t>Y</w:t>
      </w:r>
      <w:r w:rsidRPr="0CBB741C">
        <w:rPr>
          <w:rFonts w:ascii="Arial Narrow" w:hAnsi="Arial Narrow" w:cstheme="majorBidi"/>
          <w:b/>
          <w:bCs/>
        </w:rPr>
        <w:t>ear</w:t>
      </w:r>
    </w:p>
    <w:tbl>
      <w:tblPr>
        <w:tblStyle w:val="ListTable31"/>
        <w:tblW w:w="5000" w:type="pct"/>
        <w:tblLook w:val="0000"/>
      </w:tblPr>
      <w:tblGrid>
        <w:gridCol w:w="3116"/>
        <w:gridCol w:w="3117"/>
        <w:gridCol w:w="3117"/>
      </w:tblGrid>
      <w:tr w14:paraId="3EFE979D" w14:textId="77777777" w:rsidTr="00EB7EB8">
        <w:tblPrEx>
          <w:tblW w:w="5000" w:type="pct"/>
          <w:tblLook w:val="0000"/>
        </w:tblPrEx>
        <w:trPr>
          <w:trHeight w:val="20"/>
        </w:trPr>
        <w:tc>
          <w:tcPr>
            <w:tcW w:w="1666" w:type="pct"/>
            <w:shd w:val="clear" w:color="auto" w:fill="B7C9D3" w:themeFill="background1"/>
            <w:vAlign w:val="center"/>
          </w:tcPr>
          <w:p w:rsidR="00BC6B41" w:rsidRPr="00EB7EB8" w:rsidP="00F21C9D" w14:paraId="2F6D69E8" w14:textId="77777777">
            <w:pPr>
              <w:rPr>
                <w:rFonts w:ascii="Arial Narrow" w:hAnsi="Arial Narrow" w:cstheme="majorBidi"/>
                <w:b/>
                <w:szCs w:val="22"/>
              </w:rPr>
            </w:pPr>
            <w:r w:rsidRPr="00EB7EB8">
              <w:rPr>
                <w:rFonts w:ascii="Arial Narrow" w:eastAsia="Calibri" w:hAnsi="Arial Narrow" w:cstheme="majorBidi"/>
                <w:b/>
                <w:szCs w:val="22"/>
              </w:rPr>
              <w:t>Activity</w:t>
            </w:r>
          </w:p>
        </w:tc>
        <w:tc>
          <w:tcPr>
            <w:tcW w:w="1667" w:type="pct"/>
            <w:shd w:val="clear" w:color="auto" w:fill="B7C9D3" w:themeFill="background1"/>
            <w:vAlign w:val="center"/>
          </w:tcPr>
          <w:p w:rsidR="00BC6B41" w:rsidRPr="00EB7EB8" w:rsidP="00F21C9D" w14:paraId="1384B7E2" w14:textId="77777777">
            <w:pPr>
              <w:rPr>
                <w:rFonts w:ascii="Arial Narrow" w:hAnsi="Arial Narrow" w:cstheme="majorBidi"/>
                <w:b/>
                <w:szCs w:val="22"/>
              </w:rPr>
            </w:pPr>
            <w:r w:rsidRPr="00EB7EB8">
              <w:rPr>
                <w:rFonts w:ascii="Arial Narrow" w:eastAsia="Calibri" w:hAnsi="Arial Narrow" w:cstheme="majorBidi"/>
                <w:b/>
                <w:szCs w:val="22"/>
              </w:rPr>
              <w:t>Estimated Cost to Federal Government</w:t>
            </w:r>
          </w:p>
        </w:tc>
        <w:tc>
          <w:tcPr>
            <w:tcW w:w="1667" w:type="pct"/>
            <w:shd w:val="clear" w:color="auto" w:fill="B7C9D3" w:themeFill="background1"/>
          </w:tcPr>
          <w:p w:rsidR="00BC6B41" w:rsidRPr="00EB7EB8" w:rsidP="00F21C9D" w14:paraId="658F2155" w14:textId="77777777">
            <w:pPr>
              <w:rPr>
                <w:rFonts w:ascii="Arial Narrow" w:eastAsia="Calibri" w:hAnsi="Arial Narrow" w:cstheme="majorBidi"/>
                <w:b/>
                <w:szCs w:val="22"/>
              </w:rPr>
            </w:pPr>
            <w:r w:rsidRPr="00EB7EB8">
              <w:rPr>
                <w:rFonts w:ascii="Arial Narrow" w:eastAsia="Calibri" w:hAnsi="Arial Narrow" w:cstheme="majorBidi"/>
                <w:b/>
                <w:szCs w:val="22"/>
              </w:rPr>
              <w:t>Total Labor Hours for Information Collection</w:t>
            </w:r>
          </w:p>
        </w:tc>
      </w:tr>
      <w:tr w14:paraId="6745AF1A" w14:textId="77777777" w:rsidTr="00F21C9D">
        <w:tblPrEx>
          <w:tblW w:w="5000" w:type="pct"/>
          <w:tblLook w:val="0000"/>
        </w:tblPrEx>
        <w:trPr>
          <w:trHeight w:val="20"/>
        </w:trPr>
        <w:tc>
          <w:tcPr>
            <w:tcW w:w="1666" w:type="pct"/>
            <w:vAlign w:val="center"/>
          </w:tcPr>
          <w:p w:rsidR="00BC6B41" w:rsidRPr="001D1584" w:rsidP="00F21C9D" w14:paraId="480B44CA" w14:textId="3A943FED">
            <w:pPr>
              <w:rPr>
                <w:rFonts w:ascii="Arial Narrow" w:hAnsi="Arial Narrow" w:cstheme="majorBidi"/>
                <w:szCs w:val="22"/>
              </w:rPr>
            </w:pPr>
            <w:r w:rsidRPr="001D1584">
              <w:rPr>
                <w:rFonts w:ascii="Arial Narrow" w:hAnsi="Arial Narrow" w:cstheme="majorBidi"/>
                <w:szCs w:val="22"/>
              </w:rPr>
              <w:t xml:space="preserve">Professional </w:t>
            </w:r>
            <w:r w:rsidR="000279C5">
              <w:rPr>
                <w:rFonts w:ascii="Arial Narrow" w:hAnsi="Arial Narrow" w:cstheme="majorBidi"/>
                <w:szCs w:val="22"/>
              </w:rPr>
              <w:t>l</w:t>
            </w:r>
            <w:r w:rsidRPr="001D1584">
              <w:rPr>
                <w:rFonts w:ascii="Arial Narrow" w:hAnsi="Arial Narrow" w:cstheme="majorBidi"/>
                <w:szCs w:val="22"/>
              </w:rPr>
              <w:t>abor</w:t>
            </w:r>
          </w:p>
        </w:tc>
        <w:tc>
          <w:tcPr>
            <w:tcW w:w="1667" w:type="pct"/>
            <w:vAlign w:val="center"/>
          </w:tcPr>
          <w:p w:rsidR="00BC6B41" w:rsidRPr="001D1584" w:rsidP="00F21C9D" w14:paraId="735AE2A7" w14:textId="552287DA">
            <w:pPr>
              <w:rPr>
                <w:rFonts w:ascii="Arial Narrow" w:hAnsi="Arial Narrow" w:cstheme="majorBidi"/>
                <w:szCs w:val="22"/>
              </w:rPr>
            </w:pPr>
            <w:r w:rsidRPr="001D1584">
              <w:rPr>
                <w:rFonts w:ascii="Arial Narrow" w:hAnsi="Arial Narrow" w:cstheme="majorBidi"/>
                <w:szCs w:val="22"/>
              </w:rPr>
              <w:t>$</w:t>
            </w:r>
            <w:r w:rsidRPr="006852E5" w:rsidR="002D609D">
              <w:rPr>
                <w:rFonts w:ascii="Arial Narrow" w:hAnsi="Arial Narrow" w:cstheme="minorBidi"/>
                <w:szCs w:val="22"/>
              </w:rPr>
              <w:t>763,342.20</w:t>
            </w:r>
            <w:r w:rsidRPr="001D1584">
              <w:rPr>
                <w:rFonts w:ascii="Arial Narrow" w:hAnsi="Arial Narrow" w:cstheme="majorBidi"/>
                <w:szCs w:val="22"/>
              </w:rPr>
              <w:t xml:space="preserve"> </w:t>
            </w:r>
          </w:p>
        </w:tc>
        <w:tc>
          <w:tcPr>
            <w:tcW w:w="1667" w:type="pct"/>
          </w:tcPr>
          <w:p w:rsidR="00BC6B41" w:rsidRPr="001D1584" w:rsidP="00F21C9D" w14:paraId="00B628BE" w14:textId="34AAFA40">
            <w:pPr>
              <w:rPr>
                <w:rFonts w:ascii="Arial Narrow" w:hAnsi="Arial Narrow" w:cstheme="majorBidi"/>
                <w:szCs w:val="22"/>
              </w:rPr>
            </w:pPr>
            <w:r>
              <w:rPr>
                <w:rFonts w:ascii="Arial Narrow" w:hAnsi="Arial Narrow" w:cstheme="majorBidi"/>
                <w:szCs w:val="22"/>
              </w:rPr>
              <w:t>4,296.6</w:t>
            </w:r>
            <w:r w:rsidRPr="001D1584">
              <w:rPr>
                <w:rFonts w:ascii="Arial Narrow" w:hAnsi="Arial Narrow" w:cstheme="majorBidi"/>
                <w:szCs w:val="22"/>
              </w:rPr>
              <w:t xml:space="preserve"> hours</w:t>
            </w:r>
          </w:p>
        </w:tc>
      </w:tr>
      <w:tr w14:paraId="56BAA1A4" w14:textId="77777777" w:rsidTr="00F21C9D">
        <w:tblPrEx>
          <w:tblW w:w="5000" w:type="pct"/>
          <w:tblLook w:val="0000"/>
        </w:tblPrEx>
        <w:trPr>
          <w:trHeight w:val="20"/>
        </w:trPr>
        <w:tc>
          <w:tcPr>
            <w:tcW w:w="1666" w:type="pct"/>
            <w:vAlign w:val="center"/>
          </w:tcPr>
          <w:p w:rsidR="00BC6B41" w:rsidRPr="001D1584" w:rsidP="00F21C9D" w14:paraId="775B6D7B" w14:textId="77777777">
            <w:pPr>
              <w:rPr>
                <w:rFonts w:ascii="Arial Narrow" w:hAnsi="Arial Narrow" w:cstheme="majorBidi"/>
                <w:szCs w:val="22"/>
              </w:rPr>
            </w:pPr>
            <w:r w:rsidRPr="001D1584">
              <w:rPr>
                <w:rFonts w:ascii="Arial Narrow" w:hAnsi="Arial Narrow" w:cstheme="majorBidi"/>
                <w:szCs w:val="22"/>
              </w:rPr>
              <w:t xml:space="preserve">Landlord </w:t>
            </w:r>
            <w:r>
              <w:rPr>
                <w:rFonts w:ascii="Arial Narrow" w:hAnsi="Arial Narrow" w:cstheme="majorBidi"/>
                <w:szCs w:val="22"/>
              </w:rPr>
              <w:t>token of appreciation</w:t>
            </w:r>
            <w:r w:rsidRPr="001D1584">
              <w:rPr>
                <w:rFonts w:ascii="Arial Narrow" w:hAnsi="Arial Narrow" w:cstheme="majorBidi"/>
                <w:szCs w:val="22"/>
              </w:rPr>
              <w:t xml:space="preserve"> or other direct costs</w:t>
            </w:r>
          </w:p>
        </w:tc>
        <w:tc>
          <w:tcPr>
            <w:tcW w:w="1667" w:type="pct"/>
            <w:vAlign w:val="center"/>
          </w:tcPr>
          <w:p w:rsidR="00BC6B41" w:rsidRPr="001D1584" w:rsidP="00F21C9D" w14:paraId="098408B7" w14:textId="6A4DA7AD">
            <w:pPr>
              <w:rPr>
                <w:rFonts w:ascii="Arial Narrow" w:hAnsi="Arial Narrow" w:cstheme="majorBidi"/>
                <w:szCs w:val="22"/>
              </w:rPr>
            </w:pPr>
            <w:r>
              <w:rPr>
                <w:rFonts w:ascii="Arial Narrow" w:hAnsi="Arial Narrow" w:cstheme="majorBidi"/>
                <w:szCs w:val="22"/>
              </w:rPr>
              <w:t>$</w:t>
            </w:r>
            <w:r w:rsidR="00444376">
              <w:rPr>
                <w:rFonts w:ascii="Arial Narrow" w:hAnsi="Arial Narrow" w:cstheme="majorBidi"/>
                <w:szCs w:val="22"/>
              </w:rPr>
              <w:t>4</w:t>
            </w:r>
            <w:r>
              <w:rPr>
                <w:rFonts w:ascii="Arial Narrow" w:hAnsi="Arial Narrow" w:cstheme="majorBidi"/>
                <w:szCs w:val="22"/>
              </w:rPr>
              <w:t>,000</w:t>
            </w:r>
          </w:p>
        </w:tc>
        <w:tc>
          <w:tcPr>
            <w:tcW w:w="1667" w:type="pct"/>
          </w:tcPr>
          <w:p w:rsidR="00BC6B41" w:rsidRPr="001D1584" w:rsidP="00F21C9D" w14:paraId="294EFFDE" w14:textId="780C9549">
            <w:pPr>
              <w:rPr>
                <w:rFonts w:ascii="Arial Narrow" w:hAnsi="Arial Narrow" w:cstheme="majorBidi"/>
                <w:szCs w:val="22"/>
              </w:rPr>
            </w:pPr>
            <w:r>
              <w:rPr>
                <w:rFonts w:ascii="Arial Narrow" w:hAnsi="Arial Narrow" w:cstheme="majorBidi"/>
                <w:szCs w:val="22"/>
              </w:rPr>
              <w:t>N/A</w:t>
            </w:r>
          </w:p>
        </w:tc>
      </w:tr>
      <w:tr w14:paraId="37C004ED" w14:textId="77777777" w:rsidTr="00F21C9D">
        <w:tblPrEx>
          <w:tblW w:w="5000" w:type="pct"/>
          <w:tblLook w:val="0000"/>
        </w:tblPrEx>
        <w:trPr>
          <w:trHeight w:val="20"/>
        </w:trPr>
        <w:tc>
          <w:tcPr>
            <w:tcW w:w="1666" w:type="pct"/>
            <w:vAlign w:val="center"/>
          </w:tcPr>
          <w:p w:rsidR="00BC6B41" w:rsidRPr="001D1584" w:rsidP="00F21C9D" w14:paraId="50D8010B" w14:textId="77777777">
            <w:pPr>
              <w:rPr>
                <w:rFonts w:ascii="Arial Narrow" w:hAnsi="Arial Narrow" w:cstheme="majorBidi"/>
                <w:szCs w:val="22"/>
              </w:rPr>
            </w:pPr>
            <w:r>
              <w:rPr>
                <w:rFonts w:ascii="Arial Narrow" w:hAnsi="Arial Narrow" w:cstheme="majorBidi"/>
                <w:szCs w:val="22"/>
              </w:rPr>
              <w:t>REP payment</w:t>
            </w:r>
          </w:p>
        </w:tc>
        <w:tc>
          <w:tcPr>
            <w:tcW w:w="1667" w:type="pct"/>
            <w:vAlign w:val="center"/>
          </w:tcPr>
          <w:p w:rsidR="00BC6B41" w:rsidRPr="001D1584" w:rsidP="00F21C9D" w14:paraId="09ACF57D" w14:textId="437E10AD">
            <w:pPr>
              <w:rPr>
                <w:rFonts w:ascii="Arial Narrow" w:hAnsi="Arial Narrow" w:cstheme="majorBidi"/>
                <w:szCs w:val="22"/>
              </w:rPr>
            </w:pPr>
            <w:r>
              <w:rPr>
                <w:rFonts w:ascii="Arial Narrow" w:hAnsi="Arial Narrow" w:cstheme="majorBidi"/>
                <w:szCs w:val="22"/>
              </w:rPr>
              <w:t>$</w:t>
            </w:r>
            <w:r w:rsidR="00EF6A51">
              <w:rPr>
                <w:rFonts w:ascii="Arial Narrow" w:hAnsi="Arial Narrow" w:cstheme="majorBidi"/>
                <w:szCs w:val="22"/>
              </w:rPr>
              <w:t>810</w:t>
            </w:r>
          </w:p>
        </w:tc>
        <w:tc>
          <w:tcPr>
            <w:tcW w:w="1667" w:type="pct"/>
          </w:tcPr>
          <w:p w:rsidR="00BC6B41" w:rsidRPr="001D1584" w:rsidP="00F21C9D" w14:paraId="4B5284DE" w14:textId="65A1AADE">
            <w:pPr>
              <w:rPr>
                <w:rFonts w:ascii="Arial Narrow" w:hAnsi="Arial Narrow" w:cstheme="majorBidi"/>
                <w:szCs w:val="22"/>
              </w:rPr>
            </w:pPr>
            <w:r>
              <w:rPr>
                <w:rFonts w:ascii="Arial Narrow" w:hAnsi="Arial Narrow" w:cstheme="majorBidi"/>
                <w:szCs w:val="22"/>
              </w:rPr>
              <w:t>N/A</w:t>
            </w:r>
          </w:p>
        </w:tc>
      </w:tr>
      <w:tr w14:paraId="01FB6BF7" w14:textId="77777777" w:rsidTr="00F21C9D">
        <w:tblPrEx>
          <w:tblW w:w="5000" w:type="pct"/>
          <w:tblLook w:val="0000"/>
        </w:tblPrEx>
        <w:trPr>
          <w:trHeight w:val="70"/>
        </w:trPr>
        <w:tc>
          <w:tcPr>
            <w:tcW w:w="1666" w:type="pct"/>
          </w:tcPr>
          <w:p w:rsidR="00BC6B41" w:rsidRPr="001D1584" w:rsidP="00F21C9D" w14:paraId="5C89CE7D" w14:textId="77777777">
            <w:pPr>
              <w:rPr>
                <w:rFonts w:ascii="Arial Narrow" w:hAnsi="Arial Narrow" w:cstheme="majorBidi"/>
                <w:szCs w:val="22"/>
              </w:rPr>
            </w:pPr>
            <w:r w:rsidRPr="001D1584">
              <w:rPr>
                <w:rFonts w:ascii="Arial Narrow" w:hAnsi="Arial Narrow" w:cstheme="majorBidi"/>
                <w:szCs w:val="22"/>
              </w:rPr>
              <w:t xml:space="preserve">Total </w:t>
            </w:r>
          </w:p>
        </w:tc>
        <w:tc>
          <w:tcPr>
            <w:tcW w:w="1667" w:type="pct"/>
          </w:tcPr>
          <w:p w:rsidR="00BC6B41" w:rsidRPr="001D1584" w:rsidP="00F21C9D" w14:paraId="2DC37BCF" w14:textId="463A1237">
            <w:pPr>
              <w:rPr>
                <w:rFonts w:ascii="Arial Narrow" w:hAnsi="Arial Narrow" w:cstheme="majorBidi"/>
                <w:szCs w:val="22"/>
              </w:rPr>
            </w:pPr>
            <w:r w:rsidRPr="001D1584">
              <w:rPr>
                <w:rFonts w:ascii="Arial Narrow" w:hAnsi="Arial Narrow" w:cstheme="majorBidi"/>
                <w:szCs w:val="22"/>
              </w:rPr>
              <w:t>$</w:t>
            </w:r>
            <w:r w:rsidR="006852E5">
              <w:rPr>
                <w:rFonts w:ascii="Arial Narrow" w:hAnsi="Arial Narrow" w:cstheme="majorBidi"/>
                <w:szCs w:val="22"/>
              </w:rPr>
              <w:t>7</w:t>
            </w:r>
            <w:r w:rsidR="00ED07D0">
              <w:rPr>
                <w:rFonts w:ascii="Arial Narrow" w:hAnsi="Arial Narrow" w:cstheme="majorBidi"/>
                <w:szCs w:val="22"/>
              </w:rPr>
              <w:t>68,152.20</w:t>
            </w:r>
          </w:p>
        </w:tc>
        <w:tc>
          <w:tcPr>
            <w:tcW w:w="1667" w:type="pct"/>
          </w:tcPr>
          <w:p w:rsidR="00BC6B41" w:rsidRPr="001D1584" w:rsidP="00F21C9D" w14:paraId="3F718B57" w14:textId="0F16CCA1">
            <w:pPr>
              <w:rPr>
                <w:rFonts w:ascii="Arial Narrow" w:hAnsi="Arial Narrow" w:cstheme="majorBidi"/>
                <w:szCs w:val="22"/>
              </w:rPr>
            </w:pPr>
            <w:r>
              <w:rPr>
                <w:rFonts w:ascii="Arial Narrow" w:hAnsi="Arial Narrow" w:cstheme="majorBidi"/>
                <w:szCs w:val="22"/>
              </w:rPr>
              <w:t>4296.6</w:t>
            </w:r>
            <w:r w:rsidRPr="001D1584">
              <w:rPr>
                <w:rFonts w:ascii="Arial Narrow" w:hAnsi="Arial Narrow" w:cstheme="majorBidi"/>
                <w:szCs w:val="22"/>
              </w:rPr>
              <w:t xml:space="preserve"> hours</w:t>
            </w:r>
          </w:p>
        </w:tc>
      </w:tr>
    </w:tbl>
    <w:p w:rsidR="00CB67F6" w:rsidRPr="00BC6B41" w:rsidP="0CBB741C" w14:paraId="0684F585" w14:textId="0DB9E495">
      <w:pPr>
        <w:rPr>
          <w:rFonts w:asciiTheme="majorBidi" w:hAnsiTheme="majorBidi" w:cstheme="majorBidi"/>
        </w:rPr>
      </w:pPr>
    </w:p>
    <w:p w:rsidR="006F299B" w:rsidP="00137474" w14:paraId="0684F586" w14:textId="6EB191F3">
      <w:pPr>
        <w:pStyle w:val="Heading2"/>
      </w:pPr>
      <w:bookmarkStart w:id="17" w:name="_Toc106789182"/>
      <w:r w:rsidRPr="00297B36">
        <w:t>A</w:t>
      </w:r>
      <w:r w:rsidR="00626051">
        <w:t>.</w:t>
      </w:r>
      <w:r w:rsidRPr="00297B36">
        <w:t xml:space="preserve">15: </w:t>
      </w:r>
      <w:r w:rsidR="0050217A">
        <w:t xml:space="preserve">Reasons for </w:t>
      </w:r>
      <w:r w:rsidRPr="00297B36">
        <w:t xml:space="preserve">Change in </w:t>
      </w:r>
      <w:r w:rsidR="00911BD5">
        <w:t>B</w:t>
      </w:r>
      <w:r w:rsidRPr="001034D3">
        <w:t>urden</w:t>
      </w:r>
      <w:bookmarkEnd w:id="17"/>
    </w:p>
    <w:p w:rsidR="006F299B" w:rsidRPr="0076035F" w:rsidP="001D0620" w14:paraId="0684F587" w14:textId="3CADB13B">
      <w:pPr>
        <w:pStyle w:val="BodyText"/>
      </w:pPr>
      <w:r w:rsidRPr="00326438">
        <w:rPr>
          <w:rFonts w:asciiTheme="majorBidi" w:hAnsiTheme="majorBidi" w:cstheme="majorBidi"/>
        </w:rPr>
        <w:t>This submission to OMB is a new request for approval.</w:t>
      </w:r>
      <w:r>
        <w:t xml:space="preserve"> </w:t>
      </w:r>
    </w:p>
    <w:p w:rsidR="006F299B" w:rsidRPr="00B34B48" w:rsidP="00137474" w14:paraId="0684F588" w14:textId="43ED20D7">
      <w:pPr>
        <w:pStyle w:val="Heading2"/>
      </w:pPr>
      <w:bookmarkStart w:id="18" w:name="_Toc106789183"/>
      <w:r w:rsidRPr="00B34B48">
        <w:t>A</w:t>
      </w:r>
      <w:r w:rsidR="00626051">
        <w:t>.</w:t>
      </w:r>
      <w:r w:rsidRPr="00B34B48">
        <w:t xml:space="preserve">16: Plan </w:t>
      </w:r>
      <w:r w:rsidR="00911BD5">
        <w:t>f</w:t>
      </w:r>
      <w:r w:rsidRPr="00B34B48" w:rsidR="00911BD5">
        <w:t>or Tabulation</w:t>
      </w:r>
      <w:r w:rsidR="009E1FB9">
        <w:t>, Statistical Analysis,</w:t>
      </w:r>
      <w:r w:rsidRPr="00B34B48" w:rsidR="00911BD5">
        <w:t xml:space="preserve"> </w:t>
      </w:r>
      <w:r w:rsidR="00911BD5">
        <w:t>a</w:t>
      </w:r>
      <w:r w:rsidRPr="00B34B48" w:rsidR="00911BD5">
        <w:t>nd Publication</w:t>
      </w:r>
      <w:bookmarkEnd w:id="18"/>
    </w:p>
    <w:p w:rsidR="009E1FB9" w:rsidRPr="0089463F" w:rsidP="00302D88" w14:paraId="7E20E647" w14:textId="059BE746">
      <w:pPr>
        <w:rPr>
          <w:rFonts w:asciiTheme="majorBidi" w:hAnsiTheme="majorBidi" w:cstheme="majorBidi"/>
        </w:rPr>
      </w:pPr>
      <w:r>
        <w:rPr>
          <w:rFonts w:asciiTheme="majorBidi" w:hAnsiTheme="majorBidi" w:cstheme="majorBidi"/>
        </w:rPr>
        <w:t>Abt</w:t>
      </w:r>
      <w:r>
        <w:rPr>
          <w:rFonts w:asciiTheme="majorBidi" w:hAnsiTheme="majorBidi" w:cstheme="majorBidi"/>
        </w:rPr>
        <w:t xml:space="preserve"> Associates will analyze, tabulate, and report t</w:t>
      </w:r>
      <w:r w:rsidRPr="0044434F">
        <w:rPr>
          <w:rFonts w:asciiTheme="majorBidi" w:hAnsiTheme="majorBidi" w:cstheme="majorBidi"/>
        </w:rPr>
        <w:t xml:space="preserve">he data collected for the </w:t>
      </w:r>
      <w:r w:rsidRPr="0089463F">
        <w:rPr>
          <w:rFonts w:asciiTheme="majorBidi" w:hAnsiTheme="majorBidi" w:cstheme="majorBidi"/>
        </w:rPr>
        <w:t>Landlord Incentives Evaluation to HUD. Exhibit 5 presents an overview of the data collection and analysis schedule. This schedule assumes that data collection begins in November 2022.</w:t>
      </w:r>
    </w:p>
    <w:p w:rsidR="009E1FB9" w:rsidRPr="003E4AF4" w:rsidP="009E1FB9" w14:paraId="4F2F40AE" w14:textId="77777777">
      <w:pPr>
        <w:rPr>
          <w:rFonts w:ascii="Arial Narrow" w:hAnsi="Arial Narrow" w:cstheme="majorBidi"/>
          <w:b/>
          <w:bCs/>
        </w:rPr>
      </w:pPr>
      <w:r w:rsidRPr="0089463F">
        <w:rPr>
          <w:rFonts w:ascii="Arial Narrow" w:hAnsi="Arial Narrow" w:cstheme="majorBidi"/>
          <w:b/>
          <w:bCs/>
        </w:rPr>
        <w:t>Exhibit 5: Data Collection Timeline</w:t>
      </w:r>
    </w:p>
    <w:tbl>
      <w:tblPr>
        <w:tblW w:w="5002" w:type="pct"/>
        <w:tblBorders>
          <w:top w:val="single" w:sz="4" w:space="0" w:color="799AAD" w:themeColor="background1" w:themeShade="BF"/>
          <w:bottom w:val="single" w:sz="4" w:space="0" w:color="799AAD" w:themeColor="background1" w:themeShade="BF"/>
          <w:insideH w:val="single" w:sz="4" w:space="0" w:color="799AAD" w:themeColor="background1" w:themeShade="BF"/>
        </w:tblBorders>
        <w:tblLayout w:type="fixed"/>
        <w:tblCellMar>
          <w:left w:w="43" w:type="dxa"/>
          <w:right w:w="43" w:type="dxa"/>
        </w:tblCellMar>
        <w:tblLook w:val="0620"/>
      </w:tblPr>
      <w:tblGrid>
        <w:gridCol w:w="2339"/>
        <w:gridCol w:w="2342"/>
        <w:gridCol w:w="2341"/>
        <w:gridCol w:w="2342"/>
      </w:tblGrid>
      <w:tr w14:paraId="091BC634" w14:textId="77777777" w:rsidTr="00BA7BE4">
        <w:tblPrEx>
          <w:tblW w:w="5002" w:type="pct"/>
          <w:tblBorders>
            <w:top w:val="single" w:sz="4" w:space="0" w:color="799AAD" w:themeColor="background1" w:themeShade="BF"/>
            <w:bottom w:val="single" w:sz="4" w:space="0" w:color="799AAD" w:themeColor="background1" w:themeShade="BF"/>
            <w:insideH w:val="single" w:sz="4" w:space="0" w:color="799AAD" w:themeColor="background1" w:themeShade="BF"/>
          </w:tblBorders>
          <w:tblLayout w:type="fixed"/>
          <w:tblCellMar>
            <w:left w:w="43" w:type="dxa"/>
            <w:right w:w="43" w:type="dxa"/>
          </w:tblCellMar>
          <w:tblLook w:val="0620"/>
        </w:tblPrEx>
        <w:trPr>
          <w:tblHeader/>
        </w:trPr>
        <w:tc>
          <w:tcPr>
            <w:tcW w:w="2339" w:type="dxa"/>
            <w:shd w:val="clear" w:color="auto" w:fill="C00000"/>
            <w:vAlign w:val="bottom"/>
          </w:tcPr>
          <w:p w:rsidR="00423486" w:rsidRPr="005829EC" w:rsidP="00F21C9D" w14:paraId="73E24248" w14:textId="77777777">
            <w:pPr>
              <w:pStyle w:val="TableColumnHeader"/>
              <w:keepNext/>
              <w:keepLines/>
              <w:jc w:val="left"/>
              <w:rPr>
                <w:bCs/>
                <w:color w:val="F0F4F6" w:themeColor="background1" w:themeTint="33"/>
                <w:szCs w:val="22"/>
              </w:rPr>
            </w:pPr>
            <w:r w:rsidRPr="005829EC">
              <w:rPr>
                <w:bCs/>
                <w:color w:val="F0F4F6" w:themeColor="background1" w:themeTint="33"/>
                <w:szCs w:val="22"/>
              </w:rPr>
              <w:t>Activity</w:t>
            </w:r>
          </w:p>
        </w:tc>
        <w:tc>
          <w:tcPr>
            <w:tcW w:w="2342" w:type="dxa"/>
            <w:shd w:val="clear" w:color="auto" w:fill="C00000"/>
            <w:vAlign w:val="bottom"/>
          </w:tcPr>
          <w:p w:rsidR="00423486" w:rsidRPr="005829EC" w:rsidP="00F21C9D" w14:paraId="4A15BC91" w14:textId="77777777">
            <w:pPr>
              <w:pStyle w:val="TableColumnHeader"/>
              <w:keepNext/>
              <w:keepLines/>
              <w:rPr>
                <w:bCs/>
                <w:color w:val="F0F4F6" w:themeColor="background1" w:themeTint="33"/>
                <w:szCs w:val="22"/>
              </w:rPr>
            </w:pPr>
            <w:r w:rsidRPr="005829EC">
              <w:rPr>
                <w:bCs/>
                <w:color w:val="F0F4F6" w:themeColor="background1" w:themeTint="33"/>
                <w:szCs w:val="22"/>
              </w:rPr>
              <w:t>Treatment</w:t>
            </w:r>
          </w:p>
        </w:tc>
        <w:tc>
          <w:tcPr>
            <w:tcW w:w="2341" w:type="dxa"/>
            <w:shd w:val="clear" w:color="auto" w:fill="C00000"/>
            <w:vAlign w:val="bottom"/>
          </w:tcPr>
          <w:p w:rsidR="00423486" w:rsidRPr="005829EC" w:rsidP="00F21C9D" w14:paraId="3EEFDC9E" w14:textId="77777777">
            <w:pPr>
              <w:pStyle w:val="TableColumnHeader"/>
              <w:keepNext/>
              <w:keepLines/>
              <w:rPr>
                <w:bCs/>
                <w:color w:val="F0F4F6" w:themeColor="background1" w:themeTint="33"/>
                <w:szCs w:val="22"/>
              </w:rPr>
            </w:pPr>
            <w:r w:rsidRPr="005829EC">
              <w:rPr>
                <w:bCs/>
                <w:color w:val="F0F4F6" w:themeColor="background1" w:themeTint="33"/>
                <w:szCs w:val="22"/>
              </w:rPr>
              <w:t>Comparison</w:t>
            </w:r>
          </w:p>
        </w:tc>
        <w:tc>
          <w:tcPr>
            <w:tcW w:w="2342" w:type="dxa"/>
            <w:shd w:val="clear" w:color="auto" w:fill="C00000"/>
            <w:vAlign w:val="bottom"/>
          </w:tcPr>
          <w:p w:rsidR="00423486" w:rsidRPr="005829EC" w:rsidP="00F21C9D" w14:paraId="12EF805A" w14:textId="77777777">
            <w:pPr>
              <w:pStyle w:val="TableColumnHeader"/>
              <w:keepNext/>
              <w:keepLines/>
              <w:rPr>
                <w:bCs/>
                <w:color w:val="F0F4F6" w:themeColor="background1" w:themeTint="33"/>
                <w:szCs w:val="22"/>
              </w:rPr>
            </w:pPr>
            <w:r w:rsidRPr="005829EC">
              <w:rPr>
                <w:bCs/>
                <w:color w:val="F0F4F6" w:themeColor="background1" w:themeTint="33"/>
                <w:szCs w:val="22"/>
              </w:rPr>
              <w:t>In-Depth Comparison</w:t>
            </w:r>
          </w:p>
        </w:tc>
      </w:tr>
      <w:tr w14:paraId="30B7343C" w14:textId="77777777" w:rsidTr="00BA7BE4">
        <w:tblPrEx>
          <w:tblW w:w="5002" w:type="pct"/>
          <w:tblLayout w:type="fixed"/>
          <w:tblCellMar>
            <w:left w:w="43" w:type="dxa"/>
            <w:right w:w="43" w:type="dxa"/>
          </w:tblCellMar>
          <w:tblLook w:val="0620"/>
        </w:tblPrEx>
        <w:tc>
          <w:tcPr>
            <w:tcW w:w="2339" w:type="dxa"/>
          </w:tcPr>
          <w:p w:rsidR="00423486" w:rsidRPr="00BB2E46" w:rsidP="00F21C9D" w14:paraId="098F73A3" w14:textId="77777777">
            <w:pPr>
              <w:pStyle w:val="TableText"/>
              <w:keepNext/>
              <w:keepLines/>
              <w:rPr>
                <w:bCs w:val="0"/>
              </w:rPr>
            </w:pPr>
            <w:r w:rsidRPr="009578F2">
              <w:t>Sample</w:t>
            </w:r>
            <w:r w:rsidRPr="009578F2">
              <w:tab/>
            </w:r>
          </w:p>
        </w:tc>
        <w:tc>
          <w:tcPr>
            <w:tcW w:w="2342" w:type="dxa"/>
          </w:tcPr>
          <w:p w:rsidR="00423486" w:rsidRPr="009578F2" w:rsidP="00F21C9D" w14:paraId="5F53F746" w14:textId="74891651">
            <w:pPr>
              <w:pStyle w:val="TableBullets"/>
              <w:keepNext/>
              <w:keepLines/>
              <w:numPr>
                <w:ilvl w:val="0"/>
                <w:numId w:val="0"/>
              </w:numPr>
              <w:ind w:left="360" w:hanging="360"/>
              <w:jc w:val="center"/>
              <w:rPr>
                <w:bCs/>
              </w:rPr>
            </w:pPr>
            <w:r w:rsidRPr="009578F2">
              <w:rPr>
                <w:bCs/>
              </w:rPr>
              <w:t>2</w:t>
            </w:r>
            <w:r w:rsidR="00347081">
              <w:rPr>
                <w:bCs/>
              </w:rPr>
              <w:t>8</w:t>
            </w:r>
            <w:r w:rsidRPr="009578F2">
              <w:rPr>
                <w:bCs/>
              </w:rPr>
              <w:t xml:space="preserve"> PHAs</w:t>
            </w:r>
          </w:p>
        </w:tc>
        <w:tc>
          <w:tcPr>
            <w:tcW w:w="2341" w:type="dxa"/>
          </w:tcPr>
          <w:p w:rsidR="00423486" w:rsidRPr="009578F2" w:rsidP="00F21C9D" w14:paraId="33422813" w14:textId="4A2A1B2F">
            <w:pPr>
              <w:pStyle w:val="TableBullets"/>
              <w:keepNext/>
              <w:keepLines/>
              <w:numPr>
                <w:ilvl w:val="0"/>
                <w:numId w:val="0"/>
              </w:numPr>
              <w:ind w:left="360" w:hanging="360"/>
              <w:jc w:val="center"/>
              <w:rPr>
                <w:bCs/>
              </w:rPr>
            </w:pPr>
            <w:r w:rsidRPr="009578F2">
              <w:rPr>
                <w:bCs/>
              </w:rPr>
              <w:t>11</w:t>
            </w:r>
            <w:r w:rsidR="00347081">
              <w:rPr>
                <w:bCs/>
              </w:rPr>
              <w:t>2</w:t>
            </w:r>
            <w:r w:rsidRPr="009578F2">
              <w:rPr>
                <w:bCs/>
              </w:rPr>
              <w:t xml:space="preserve"> PHAs</w:t>
            </w:r>
          </w:p>
        </w:tc>
        <w:tc>
          <w:tcPr>
            <w:tcW w:w="2342" w:type="dxa"/>
          </w:tcPr>
          <w:p w:rsidR="00423486" w:rsidRPr="009578F2" w:rsidP="00F21C9D" w14:paraId="0C082D1C" w14:textId="4C61BA5B">
            <w:pPr>
              <w:pStyle w:val="TableBullets"/>
              <w:keepNext/>
              <w:keepLines/>
              <w:numPr>
                <w:ilvl w:val="0"/>
                <w:numId w:val="0"/>
              </w:numPr>
              <w:ind w:left="161" w:hanging="161"/>
              <w:jc w:val="center"/>
              <w:rPr>
                <w:bCs/>
              </w:rPr>
            </w:pPr>
            <w:r w:rsidRPr="009578F2">
              <w:rPr>
                <w:bCs/>
              </w:rPr>
              <w:t>2</w:t>
            </w:r>
            <w:r w:rsidR="005A6304">
              <w:rPr>
                <w:bCs/>
              </w:rPr>
              <w:t>2</w:t>
            </w:r>
            <w:r w:rsidRPr="009578F2">
              <w:rPr>
                <w:bCs/>
              </w:rPr>
              <w:t xml:space="preserve"> PHAs</w:t>
            </w:r>
          </w:p>
        </w:tc>
      </w:tr>
      <w:tr w14:paraId="7A93CC68" w14:textId="77777777" w:rsidTr="00BA7BE4">
        <w:tblPrEx>
          <w:tblW w:w="5002" w:type="pct"/>
          <w:tblLayout w:type="fixed"/>
          <w:tblCellMar>
            <w:left w:w="43" w:type="dxa"/>
            <w:right w:w="43" w:type="dxa"/>
          </w:tblCellMar>
          <w:tblLook w:val="0620"/>
        </w:tblPrEx>
        <w:trPr>
          <w:tblHeader/>
        </w:trPr>
        <w:tc>
          <w:tcPr>
            <w:tcW w:w="9364" w:type="dxa"/>
            <w:gridSpan w:val="4"/>
            <w:shd w:val="clear" w:color="auto" w:fill="E7E8E8" w:themeFill="text2" w:themeFillTint="33"/>
            <w:vAlign w:val="bottom"/>
          </w:tcPr>
          <w:p w:rsidR="00423486" w:rsidRPr="00263D08" w:rsidP="00F21C9D" w14:paraId="7F5BA9F3" w14:textId="77777777">
            <w:pPr>
              <w:pStyle w:val="TableColumnHeader"/>
              <w:keepNext/>
              <w:keepLines/>
              <w:jc w:val="left"/>
              <w:rPr>
                <w:bCs/>
                <w:szCs w:val="22"/>
              </w:rPr>
            </w:pPr>
            <w:r w:rsidRPr="00263D08">
              <w:rPr>
                <w:bCs/>
                <w:color w:val="auto"/>
                <w:szCs w:val="22"/>
              </w:rPr>
              <w:t>Year 1</w:t>
            </w:r>
          </w:p>
        </w:tc>
      </w:tr>
      <w:tr w14:paraId="1D58A5A8" w14:textId="77777777" w:rsidTr="00BA7BE4">
        <w:tblPrEx>
          <w:tblW w:w="5002" w:type="pct"/>
          <w:tblLayout w:type="fixed"/>
          <w:tblCellMar>
            <w:left w:w="43" w:type="dxa"/>
            <w:right w:w="43" w:type="dxa"/>
          </w:tblCellMar>
          <w:tblLook w:val="0620"/>
        </w:tblPrEx>
        <w:tc>
          <w:tcPr>
            <w:tcW w:w="2339" w:type="dxa"/>
          </w:tcPr>
          <w:p w:rsidR="00423486" w:rsidRPr="00BB2E46" w:rsidP="00F21C9D" w14:paraId="131598D0" w14:textId="77777777">
            <w:pPr>
              <w:pStyle w:val="TableText"/>
              <w:keepNext/>
              <w:keepLines/>
              <w:rPr>
                <w:bCs w:val="0"/>
              </w:rPr>
            </w:pPr>
            <w:r>
              <w:t>Secondary Data</w:t>
            </w:r>
          </w:p>
        </w:tc>
        <w:tc>
          <w:tcPr>
            <w:tcW w:w="2342" w:type="dxa"/>
          </w:tcPr>
          <w:p w:rsidR="00423486" w:rsidRPr="009578F2" w:rsidP="00F21C9D" w14:paraId="3E940DBF"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c>
          <w:tcPr>
            <w:tcW w:w="2341" w:type="dxa"/>
          </w:tcPr>
          <w:p w:rsidR="00423486" w:rsidRPr="009578F2" w:rsidP="00F21C9D" w14:paraId="50E03C57" w14:textId="77777777">
            <w:pPr>
              <w:pStyle w:val="TableBullets"/>
              <w:keepNext/>
              <w:keepLines/>
              <w:numPr>
                <w:ilvl w:val="0"/>
                <w:numId w:val="0"/>
              </w:numPr>
              <w:jc w:val="center"/>
              <w:rPr>
                <w:bCs/>
              </w:rPr>
            </w:pPr>
            <w:r w:rsidRPr="00ED297D">
              <w:rPr>
                <w:rFonts w:ascii="Wingdings" w:eastAsia="Wingdings" w:hAnsi="Wingdings" w:cs="Wingdings"/>
                <w:b/>
                <w:bCs/>
              </w:rPr>
              <w:t>ü</w:t>
            </w:r>
          </w:p>
        </w:tc>
        <w:tc>
          <w:tcPr>
            <w:tcW w:w="2342" w:type="dxa"/>
          </w:tcPr>
          <w:p w:rsidR="00423486" w:rsidRPr="009578F2" w:rsidP="00F21C9D" w14:paraId="4577BB48" w14:textId="77777777">
            <w:pPr>
              <w:keepNext/>
              <w:keepLines/>
              <w:spacing w:before="20" w:after="20"/>
              <w:ind w:left="161" w:hanging="161"/>
              <w:jc w:val="center"/>
              <w:rPr>
                <w:rFonts w:ascii="Arial Narrow" w:hAnsi="Arial Narrow"/>
                <w:bCs/>
              </w:rPr>
            </w:pPr>
            <w:r w:rsidRPr="00ED297D">
              <w:rPr>
                <w:rFonts w:ascii="Wingdings" w:eastAsia="Wingdings" w:hAnsi="Wingdings" w:cs="Wingdings"/>
                <w:b/>
                <w:bCs/>
              </w:rPr>
              <w:t>ü</w:t>
            </w:r>
          </w:p>
        </w:tc>
      </w:tr>
      <w:tr w14:paraId="3A23E04D" w14:textId="77777777" w:rsidTr="00BA7BE4">
        <w:tblPrEx>
          <w:tblW w:w="5002" w:type="pct"/>
          <w:tblLayout w:type="fixed"/>
          <w:tblCellMar>
            <w:left w:w="43" w:type="dxa"/>
            <w:right w:w="43" w:type="dxa"/>
          </w:tblCellMar>
          <w:tblLook w:val="0620"/>
        </w:tblPrEx>
        <w:trPr>
          <w:tblHeader/>
        </w:trPr>
        <w:tc>
          <w:tcPr>
            <w:tcW w:w="9364" w:type="dxa"/>
            <w:gridSpan w:val="4"/>
            <w:shd w:val="clear" w:color="auto" w:fill="E7E8E8" w:themeFill="text2" w:themeFillTint="33"/>
            <w:vAlign w:val="bottom"/>
          </w:tcPr>
          <w:p w:rsidR="00423486" w:rsidRPr="00263D08" w:rsidP="00F21C9D" w14:paraId="57D5A4E6" w14:textId="77777777">
            <w:pPr>
              <w:pStyle w:val="TableColumnHeader"/>
              <w:keepNext/>
              <w:keepLines/>
              <w:jc w:val="left"/>
              <w:rPr>
                <w:bCs/>
                <w:szCs w:val="22"/>
              </w:rPr>
            </w:pPr>
            <w:r w:rsidRPr="00263D08">
              <w:rPr>
                <w:bCs/>
                <w:color w:val="auto"/>
                <w:szCs w:val="22"/>
              </w:rPr>
              <w:t>Year 2</w:t>
            </w:r>
          </w:p>
        </w:tc>
      </w:tr>
      <w:tr w14:paraId="6189B9F2" w14:textId="77777777" w:rsidTr="00BA7BE4">
        <w:tblPrEx>
          <w:tblW w:w="5002" w:type="pct"/>
          <w:tblLayout w:type="fixed"/>
          <w:tblCellMar>
            <w:left w:w="43" w:type="dxa"/>
            <w:right w:w="43" w:type="dxa"/>
          </w:tblCellMar>
          <w:tblLook w:val="0620"/>
        </w:tblPrEx>
        <w:tc>
          <w:tcPr>
            <w:tcW w:w="2339" w:type="dxa"/>
          </w:tcPr>
          <w:p w:rsidR="00423486" w:rsidRPr="00AF5F6E" w:rsidP="00F21C9D" w14:paraId="0D60AE29" w14:textId="77777777">
            <w:pPr>
              <w:pStyle w:val="TableText"/>
              <w:keepNext/>
              <w:keepLines/>
              <w:rPr>
                <w:bCs w:val="0"/>
              </w:rPr>
            </w:pPr>
            <w:r>
              <w:t>Secondary Data</w:t>
            </w:r>
          </w:p>
        </w:tc>
        <w:tc>
          <w:tcPr>
            <w:tcW w:w="2342" w:type="dxa"/>
          </w:tcPr>
          <w:p w:rsidR="00423486" w:rsidRPr="00AF5F6E" w:rsidP="00F21C9D" w14:paraId="5106199C"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c>
          <w:tcPr>
            <w:tcW w:w="2341" w:type="dxa"/>
          </w:tcPr>
          <w:p w:rsidR="00423486" w:rsidRPr="00AF5F6E" w:rsidP="00F21C9D" w14:paraId="721150C8"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c>
          <w:tcPr>
            <w:tcW w:w="2342" w:type="dxa"/>
          </w:tcPr>
          <w:p w:rsidR="00423486" w:rsidRPr="00AF5F6E" w:rsidP="00F21C9D" w14:paraId="1D550411"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r>
      <w:tr w14:paraId="46314981" w14:textId="77777777" w:rsidTr="00BA7BE4">
        <w:tblPrEx>
          <w:tblW w:w="5002" w:type="pct"/>
          <w:tblLayout w:type="fixed"/>
          <w:tblCellMar>
            <w:left w:w="43" w:type="dxa"/>
            <w:right w:w="43" w:type="dxa"/>
          </w:tblCellMar>
          <w:tblLook w:val="0620"/>
        </w:tblPrEx>
        <w:tc>
          <w:tcPr>
            <w:tcW w:w="2339" w:type="dxa"/>
          </w:tcPr>
          <w:p w:rsidR="00BA7BE4" w:rsidP="00BA7BE4" w14:paraId="22A6F6C0" w14:textId="6CFA1349">
            <w:pPr>
              <w:pStyle w:val="TableText"/>
              <w:keepNext/>
              <w:keepLines/>
            </w:pPr>
            <w:r>
              <w:t>PHA Data</w:t>
            </w:r>
          </w:p>
        </w:tc>
        <w:tc>
          <w:tcPr>
            <w:tcW w:w="2342" w:type="dxa"/>
          </w:tcPr>
          <w:p w:rsidR="00BA7BE4" w:rsidRPr="00ED297D" w:rsidP="00BA7BE4" w14:paraId="7A54E6A8" w14:textId="50C2CB6F">
            <w:pPr>
              <w:pStyle w:val="TableBullets"/>
              <w:keepNext/>
              <w:keepLines/>
              <w:numPr>
                <w:ilvl w:val="0"/>
                <w:numId w:val="0"/>
              </w:numPr>
              <w:ind w:left="360" w:hanging="360"/>
              <w:jc w:val="center"/>
              <w:rPr>
                <w:rFonts w:ascii="Wingdings" w:eastAsia="Wingdings" w:hAnsi="Wingdings" w:cs="Wingdings"/>
                <w:b/>
                <w:bCs/>
              </w:rPr>
            </w:pPr>
            <w:r w:rsidRPr="007F3750">
              <w:rPr>
                <w:bCs/>
              </w:rPr>
              <w:t>Site Visits</w:t>
            </w:r>
          </w:p>
        </w:tc>
        <w:tc>
          <w:tcPr>
            <w:tcW w:w="2341" w:type="dxa"/>
          </w:tcPr>
          <w:p w:rsidR="00BA7BE4" w:rsidRPr="00ED297D" w:rsidP="00BA7BE4" w14:paraId="2621C31A" w14:textId="5C033B29">
            <w:pPr>
              <w:pStyle w:val="TableBullets"/>
              <w:keepNext/>
              <w:keepLines/>
              <w:numPr>
                <w:ilvl w:val="0"/>
                <w:numId w:val="0"/>
              </w:numPr>
              <w:ind w:left="360" w:hanging="360"/>
              <w:jc w:val="center"/>
              <w:rPr>
                <w:rFonts w:ascii="Wingdings" w:eastAsia="Wingdings" w:hAnsi="Wingdings" w:cs="Wingdings"/>
                <w:b/>
                <w:bCs/>
              </w:rPr>
            </w:pPr>
            <w:r w:rsidRPr="007F3750">
              <w:rPr>
                <w:bCs/>
              </w:rPr>
              <w:t>Web Survey</w:t>
            </w:r>
          </w:p>
        </w:tc>
        <w:tc>
          <w:tcPr>
            <w:tcW w:w="2342" w:type="dxa"/>
          </w:tcPr>
          <w:p w:rsidR="00BA7BE4" w:rsidRPr="00ED297D" w:rsidP="00BA7BE4" w14:paraId="784690E3" w14:textId="03018BEF">
            <w:pPr>
              <w:pStyle w:val="TableBullets"/>
              <w:keepNext/>
              <w:keepLines/>
              <w:numPr>
                <w:ilvl w:val="0"/>
                <w:numId w:val="0"/>
              </w:numPr>
              <w:ind w:left="360" w:hanging="360"/>
              <w:jc w:val="center"/>
              <w:rPr>
                <w:rFonts w:ascii="Wingdings" w:eastAsia="Wingdings" w:hAnsi="Wingdings" w:cs="Wingdings"/>
                <w:b/>
                <w:bCs/>
              </w:rPr>
            </w:pPr>
            <w:r>
              <w:rPr>
                <w:bCs/>
              </w:rPr>
              <w:t>Web Survey</w:t>
            </w:r>
          </w:p>
        </w:tc>
      </w:tr>
      <w:tr w14:paraId="1048A4D0" w14:textId="77777777" w:rsidTr="00BA7BE4">
        <w:tblPrEx>
          <w:tblW w:w="5002" w:type="pct"/>
          <w:tblLayout w:type="fixed"/>
          <w:tblCellMar>
            <w:left w:w="43" w:type="dxa"/>
            <w:right w:w="43" w:type="dxa"/>
          </w:tblCellMar>
          <w:tblLook w:val="0620"/>
        </w:tblPrEx>
        <w:trPr>
          <w:tblHeader/>
        </w:trPr>
        <w:tc>
          <w:tcPr>
            <w:tcW w:w="9364" w:type="dxa"/>
            <w:gridSpan w:val="4"/>
            <w:shd w:val="clear" w:color="auto" w:fill="E7E8E8" w:themeFill="text2" w:themeFillTint="33"/>
            <w:vAlign w:val="bottom"/>
          </w:tcPr>
          <w:p w:rsidR="00BA7BE4" w:rsidRPr="00263D08" w:rsidP="00BA7BE4" w14:paraId="7BAF5479" w14:textId="77777777">
            <w:pPr>
              <w:pStyle w:val="TableColumnHeader"/>
              <w:keepNext/>
              <w:keepLines/>
              <w:jc w:val="left"/>
              <w:rPr>
                <w:bCs/>
                <w:szCs w:val="22"/>
              </w:rPr>
            </w:pPr>
            <w:r w:rsidRPr="00263D08">
              <w:rPr>
                <w:bCs/>
                <w:color w:val="auto"/>
                <w:szCs w:val="22"/>
              </w:rPr>
              <w:t>Year 3</w:t>
            </w:r>
          </w:p>
        </w:tc>
      </w:tr>
      <w:tr w14:paraId="12F2082B" w14:textId="77777777" w:rsidTr="00BA7BE4">
        <w:tblPrEx>
          <w:tblW w:w="5002" w:type="pct"/>
          <w:tblLayout w:type="fixed"/>
          <w:tblCellMar>
            <w:left w:w="43" w:type="dxa"/>
            <w:right w:w="43" w:type="dxa"/>
          </w:tblCellMar>
          <w:tblLook w:val="0620"/>
        </w:tblPrEx>
        <w:tc>
          <w:tcPr>
            <w:tcW w:w="2339" w:type="dxa"/>
          </w:tcPr>
          <w:p w:rsidR="00BA7BE4" w:rsidRPr="00AF5F6E" w:rsidP="00BA7BE4" w14:paraId="4DE786F8" w14:textId="77777777">
            <w:pPr>
              <w:pStyle w:val="TableText"/>
              <w:keepNext/>
              <w:keepLines/>
              <w:rPr>
                <w:bCs w:val="0"/>
              </w:rPr>
            </w:pPr>
            <w:r>
              <w:t>Secondary Data</w:t>
            </w:r>
          </w:p>
        </w:tc>
        <w:tc>
          <w:tcPr>
            <w:tcW w:w="2342" w:type="dxa"/>
          </w:tcPr>
          <w:p w:rsidR="00BA7BE4" w:rsidRPr="00AF5F6E" w:rsidP="00BA7BE4" w14:paraId="4631B5E7"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c>
          <w:tcPr>
            <w:tcW w:w="2341" w:type="dxa"/>
          </w:tcPr>
          <w:p w:rsidR="00BA7BE4" w:rsidRPr="00AF5F6E" w:rsidP="00BA7BE4" w14:paraId="7C1C48A3"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c>
          <w:tcPr>
            <w:tcW w:w="2342" w:type="dxa"/>
          </w:tcPr>
          <w:p w:rsidR="00BA7BE4" w:rsidRPr="00AF5F6E" w:rsidP="00BA7BE4" w14:paraId="641BA0BB"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r>
      <w:tr w14:paraId="6A8C6CD4" w14:textId="77777777" w:rsidTr="00BA7BE4">
        <w:tblPrEx>
          <w:tblW w:w="5002" w:type="pct"/>
          <w:tblLayout w:type="fixed"/>
          <w:tblCellMar>
            <w:left w:w="43" w:type="dxa"/>
            <w:right w:w="43" w:type="dxa"/>
          </w:tblCellMar>
          <w:tblLook w:val="0620"/>
        </w:tblPrEx>
        <w:tc>
          <w:tcPr>
            <w:tcW w:w="2339" w:type="dxa"/>
          </w:tcPr>
          <w:p w:rsidR="00BA7BE4" w:rsidRPr="00AF5F6E" w:rsidP="00BA7BE4" w14:paraId="6A30121D" w14:textId="77777777">
            <w:pPr>
              <w:pStyle w:val="TableText"/>
              <w:keepNext/>
              <w:keepLines/>
              <w:rPr>
                <w:bCs w:val="0"/>
              </w:rPr>
            </w:pPr>
            <w:r>
              <w:t>PHA Data</w:t>
            </w:r>
          </w:p>
        </w:tc>
        <w:tc>
          <w:tcPr>
            <w:tcW w:w="2342" w:type="dxa"/>
          </w:tcPr>
          <w:p w:rsidR="00BA7BE4" w:rsidRPr="00AF5F6E" w:rsidP="00BA7BE4" w14:paraId="5133E117" w14:textId="77777777">
            <w:pPr>
              <w:pStyle w:val="TableBullets"/>
              <w:keepNext/>
              <w:keepLines/>
              <w:numPr>
                <w:ilvl w:val="0"/>
                <w:numId w:val="0"/>
              </w:numPr>
              <w:ind w:left="360" w:hanging="360"/>
              <w:jc w:val="center"/>
              <w:rPr>
                <w:bCs/>
              </w:rPr>
            </w:pPr>
            <w:r>
              <w:rPr>
                <w:bCs/>
              </w:rPr>
              <w:t>Phone Interviews</w:t>
            </w:r>
          </w:p>
        </w:tc>
        <w:tc>
          <w:tcPr>
            <w:tcW w:w="2341" w:type="dxa"/>
          </w:tcPr>
          <w:p w:rsidR="00BA7BE4" w:rsidRPr="00AF5F6E" w:rsidP="00BA7BE4" w14:paraId="4E4F012D" w14:textId="77777777">
            <w:pPr>
              <w:pStyle w:val="TableBullets"/>
              <w:keepNext/>
              <w:keepLines/>
              <w:numPr>
                <w:ilvl w:val="0"/>
                <w:numId w:val="0"/>
              </w:numPr>
              <w:ind w:left="360" w:hanging="360"/>
              <w:jc w:val="center"/>
              <w:rPr>
                <w:bCs/>
              </w:rPr>
            </w:pPr>
          </w:p>
        </w:tc>
        <w:tc>
          <w:tcPr>
            <w:tcW w:w="2342" w:type="dxa"/>
          </w:tcPr>
          <w:p w:rsidR="00BA7BE4" w:rsidRPr="00AF5F6E" w:rsidP="00BA7BE4" w14:paraId="47ED02AC" w14:textId="77777777">
            <w:pPr>
              <w:pStyle w:val="TableBullets"/>
              <w:keepNext/>
              <w:keepLines/>
              <w:numPr>
                <w:ilvl w:val="0"/>
                <w:numId w:val="0"/>
              </w:numPr>
              <w:ind w:left="360" w:hanging="360"/>
              <w:jc w:val="center"/>
              <w:rPr>
                <w:bCs/>
              </w:rPr>
            </w:pPr>
          </w:p>
        </w:tc>
      </w:tr>
      <w:tr w14:paraId="0593EA0A" w14:textId="77777777" w:rsidTr="00BA7BE4">
        <w:tblPrEx>
          <w:tblW w:w="5002" w:type="pct"/>
          <w:tblLayout w:type="fixed"/>
          <w:tblCellMar>
            <w:left w:w="43" w:type="dxa"/>
            <w:right w:w="43" w:type="dxa"/>
          </w:tblCellMar>
          <w:tblLook w:val="0620"/>
        </w:tblPrEx>
        <w:trPr>
          <w:tblHeader/>
        </w:trPr>
        <w:tc>
          <w:tcPr>
            <w:tcW w:w="9364" w:type="dxa"/>
            <w:gridSpan w:val="4"/>
            <w:shd w:val="clear" w:color="auto" w:fill="E7E8E8" w:themeFill="text2" w:themeFillTint="33"/>
            <w:vAlign w:val="bottom"/>
          </w:tcPr>
          <w:p w:rsidR="00BA7BE4" w:rsidRPr="00263D08" w:rsidP="00BA7BE4" w14:paraId="2837F3E2" w14:textId="77777777">
            <w:pPr>
              <w:pStyle w:val="TableColumnHeader"/>
              <w:keepNext/>
              <w:keepLines/>
              <w:jc w:val="left"/>
              <w:rPr>
                <w:bCs/>
                <w:szCs w:val="22"/>
              </w:rPr>
            </w:pPr>
            <w:r w:rsidRPr="00263D08">
              <w:rPr>
                <w:bCs/>
                <w:color w:val="auto"/>
                <w:szCs w:val="22"/>
              </w:rPr>
              <w:t>Year 4</w:t>
            </w:r>
          </w:p>
        </w:tc>
      </w:tr>
      <w:tr w14:paraId="47F30B39" w14:textId="77777777" w:rsidTr="00BA7BE4">
        <w:tblPrEx>
          <w:tblW w:w="5002" w:type="pct"/>
          <w:tblLayout w:type="fixed"/>
          <w:tblCellMar>
            <w:left w:w="43" w:type="dxa"/>
            <w:right w:w="43" w:type="dxa"/>
          </w:tblCellMar>
          <w:tblLook w:val="0620"/>
        </w:tblPrEx>
        <w:tc>
          <w:tcPr>
            <w:tcW w:w="2339" w:type="dxa"/>
          </w:tcPr>
          <w:p w:rsidR="00BA7BE4" w:rsidRPr="00AF5F6E" w:rsidP="00BA7BE4" w14:paraId="1686394F" w14:textId="77777777">
            <w:pPr>
              <w:pStyle w:val="TableText"/>
              <w:keepNext/>
              <w:keepLines/>
              <w:rPr>
                <w:bCs w:val="0"/>
              </w:rPr>
            </w:pPr>
            <w:r>
              <w:t>Secondary Data</w:t>
            </w:r>
          </w:p>
        </w:tc>
        <w:tc>
          <w:tcPr>
            <w:tcW w:w="2342" w:type="dxa"/>
          </w:tcPr>
          <w:p w:rsidR="00BA7BE4" w:rsidRPr="00AF5F6E" w:rsidP="00BA7BE4" w14:paraId="36513D9A"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c>
          <w:tcPr>
            <w:tcW w:w="2341" w:type="dxa"/>
          </w:tcPr>
          <w:p w:rsidR="00BA7BE4" w:rsidRPr="00AF5F6E" w:rsidP="00BA7BE4" w14:paraId="65B515BC"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c>
          <w:tcPr>
            <w:tcW w:w="2342" w:type="dxa"/>
          </w:tcPr>
          <w:p w:rsidR="00BA7BE4" w:rsidRPr="00AF5F6E" w:rsidP="00BA7BE4" w14:paraId="6F0FB080"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r>
      <w:tr w14:paraId="15187558" w14:textId="77777777" w:rsidTr="00BA7BE4">
        <w:tblPrEx>
          <w:tblW w:w="5002" w:type="pct"/>
          <w:tblLayout w:type="fixed"/>
          <w:tblCellMar>
            <w:left w:w="43" w:type="dxa"/>
            <w:right w:w="43" w:type="dxa"/>
          </w:tblCellMar>
          <w:tblLook w:val="0620"/>
        </w:tblPrEx>
        <w:tc>
          <w:tcPr>
            <w:tcW w:w="2339" w:type="dxa"/>
          </w:tcPr>
          <w:p w:rsidR="00BA7BE4" w:rsidRPr="00AF5F6E" w:rsidP="00BA7BE4" w14:paraId="520252C3" w14:textId="77777777">
            <w:pPr>
              <w:pStyle w:val="TableText"/>
              <w:keepNext/>
              <w:keepLines/>
              <w:rPr>
                <w:bCs w:val="0"/>
              </w:rPr>
            </w:pPr>
            <w:r>
              <w:t>PHA Data</w:t>
            </w:r>
          </w:p>
        </w:tc>
        <w:tc>
          <w:tcPr>
            <w:tcW w:w="2342" w:type="dxa"/>
          </w:tcPr>
          <w:p w:rsidR="00BA7BE4" w:rsidRPr="00AF5F6E" w:rsidP="00BA7BE4" w14:paraId="3E2DE080" w14:textId="77777777">
            <w:pPr>
              <w:pStyle w:val="TableBullets"/>
              <w:keepNext/>
              <w:keepLines/>
              <w:numPr>
                <w:ilvl w:val="0"/>
                <w:numId w:val="0"/>
              </w:numPr>
              <w:ind w:left="360" w:hanging="360"/>
              <w:jc w:val="center"/>
              <w:rPr>
                <w:bCs/>
              </w:rPr>
            </w:pPr>
            <w:r>
              <w:rPr>
                <w:bCs/>
              </w:rPr>
              <w:t>Site Visits</w:t>
            </w:r>
          </w:p>
        </w:tc>
        <w:tc>
          <w:tcPr>
            <w:tcW w:w="2341" w:type="dxa"/>
          </w:tcPr>
          <w:p w:rsidR="00BA7BE4" w:rsidRPr="00AF5F6E" w:rsidP="00BA7BE4" w14:paraId="010A6A4B" w14:textId="77777777">
            <w:pPr>
              <w:pStyle w:val="TableBullets"/>
              <w:keepNext/>
              <w:keepLines/>
              <w:numPr>
                <w:ilvl w:val="0"/>
                <w:numId w:val="0"/>
              </w:numPr>
              <w:ind w:left="360" w:hanging="360"/>
              <w:jc w:val="center"/>
              <w:rPr>
                <w:bCs/>
              </w:rPr>
            </w:pPr>
            <w:r>
              <w:rPr>
                <w:bCs/>
              </w:rPr>
              <w:t>Web Survey</w:t>
            </w:r>
          </w:p>
        </w:tc>
        <w:tc>
          <w:tcPr>
            <w:tcW w:w="2342" w:type="dxa"/>
          </w:tcPr>
          <w:p w:rsidR="00BA7BE4" w:rsidRPr="00AF5F6E" w:rsidP="00BA7BE4" w14:paraId="079C5FEB" w14:textId="77777777">
            <w:pPr>
              <w:pStyle w:val="TableBullets"/>
              <w:keepNext/>
              <w:keepLines/>
              <w:numPr>
                <w:ilvl w:val="0"/>
                <w:numId w:val="0"/>
              </w:numPr>
              <w:ind w:left="360" w:hanging="360"/>
              <w:jc w:val="center"/>
              <w:rPr>
                <w:bCs/>
              </w:rPr>
            </w:pPr>
            <w:r>
              <w:rPr>
                <w:bCs/>
              </w:rPr>
              <w:t>Site Visits</w:t>
            </w:r>
          </w:p>
        </w:tc>
      </w:tr>
      <w:tr w14:paraId="10A97DB5" w14:textId="77777777" w:rsidTr="00BA7BE4">
        <w:tblPrEx>
          <w:tblW w:w="5002" w:type="pct"/>
          <w:tblLayout w:type="fixed"/>
          <w:tblCellMar>
            <w:left w:w="43" w:type="dxa"/>
            <w:right w:w="43" w:type="dxa"/>
          </w:tblCellMar>
          <w:tblLook w:val="0620"/>
        </w:tblPrEx>
        <w:tc>
          <w:tcPr>
            <w:tcW w:w="2339" w:type="dxa"/>
          </w:tcPr>
          <w:p w:rsidR="00BA7BE4" w:rsidRPr="00AF5F6E" w:rsidP="00BA7BE4" w14:paraId="665A6E12" w14:textId="77777777">
            <w:pPr>
              <w:pStyle w:val="TableText"/>
              <w:keepNext/>
              <w:keepLines/>
              <w:rPr>
                <w:bCs w:val="0"/>
              </w:rPr>
            </w:pPr>
            <w:r>
              <w:t>Cost Data</w:t>
            </w:r>
          </w:p>
        </w:tc>
        <w:tc>
          <w:tcPr>
            <w:tcW w:w="2342" w:type="dxa"/>
          </w:tcPr>
          <w:p w:rsidR="00BA7BE4" w:rsidRPr="00AF5F6E" w:rsidP="00BA7BE4" w14:paraId="363D9A78" w14:textId="77777777">
            <w:pPr>
              <w:pStyle w:val="TableBullets"/>
              <w:keepNext/>
              <w:keepLines/>
              <w:numPr>
                <w:ilvl w:val="0"/>
                <w:numId w:val="0"/>
              </w:numPr>
              <w:ind w:left="360" w:hanging="360"/>
              <w:jc w:val="center"/>
              <w:rPr>
                <w:bCs/>
              </w:rPr>
            </w:pPr>
            <w:r>
              <w:rPr>
                <w:bCs/>
              </w:rPr>
              <w:t>Site Visits</w:t>
            </w:r>
          </w:p>
        </w:tc>
        <w:tc>
          <w:tcPr>
            <w:tcW w:w="2341" w:type="dxa"/>
          </w:tcPr>
          <w:p w:rsidR="00BA7BE4" w:rsidRPr="00AF5F6E" w:rsidP="00BA7BE4" w14:paraId="745BBB5E" w14:textId="77777777">
            <w:pPr>
              <w:pStyle w:val="TableBullets"/>
              <w:keepNext/>
              <w:keepLines/>
              <w:numPr>
                <w:ilvl w:val="0"/>
                <w:numId w:val="0"/>
              </w:numPr>
              <w:ind w:left="360" w:hanging="360"/>
              <w:jc w:val="center"/>
              <w:rPr>
                <w:bCs/>
              </w:rPr>
            </w:pPr>
          </w:p>
        </w:tc>
        <w:tc>
          <w:tcPr>
            <w:tcW w:w="2342" w:type="dxa"/>
          </w:tcPr>
          <w:p w:rsidR="00BA7BE4" w:rsidRPr="00AF5F6E" w:rsidP="00BA7BE4" w14:paraId="7E2FF3D0" w14:textId="77777777">
            <w:pPr>
              <w:pStyle w:val="TableBullets"/>
              <w:keepNext/>
              <w:keepLines/>
              <w:numPr>
                <w:ilvl w:val="0"/>
                <w:numId w:val="0"/>
              </w:numPr>
              <w:ind w:left="360" w:hanging="360"/>
              <w:jc w:val="center"/>
              <w:rPr>
                <w:bCs/>
              </w:rPr>
            </w:pPr>
            <w:r>
              <w:rPr>
                <w:bCs/>
              </w:rPr>
              <w:t>Site Visits</w:t>
            </w:r>
          </w:p>
        </w:tc>
      </w:tr>
      <w:tr w14:paraId="43AE56D8" w14:textId="77777777" w:rsidTr="00BA7BE4">
        <w:tblPrEx>
          <w:tblW w:w="5002" w:type="pct"/>
          <w:tblLayout w:type="fixed"/>
          <w:tblCellMar>
            <w:left w:w="43" w:type="dxa"/>
            <w:right w:w="43" w:type="dxa"/>
          </w:tblCellMar>
          <w:tblLook w:val="0620"/>
        </w:tblPrEx>
        <w:tc>
          <w:tcPr>
            <w:tcW w:w="2339" w:type="dxa"/>
          </w:tcPr>
          <w:p w:rsidR="00BA7BE4" w:rsidP="00BA7BE4" w14:paraId="51484811" w14:textId="77777777">
            <w:pPr>
              <w:pStyle w:val="TableText"/>
              <w:keepNext/>
              <w:keepLines/>
              <w:rPr>
                <w:bCs w:val="0"/>
              </w:rPr>
            </w:pPr>
            <w:r w:rsidRPr="00DB734A">
              <w:t>Thematic Landlord</w:t>
            </w:r>
          </w:p>
          <w:p w:rsidR="00BA7BE4" w:rsidRPr="00AF5F6E" w:rsidP="00BA7BE4" w14:paraId="5D01A0AC" w14:textId="77777777">
            <w:pPr>
              <w:pStyle w:val="TableText"/>
              <w:keepNext/>
              <w:keepLines/>
              <w:rPr>
                <w:bCs w:val="0"/>
              </w:rPr>
            </w:pPr>
            <w:r w:rsidRPr="00DB734A">
              <w:t>Data Collection</w:t>
            </w:r>
          </w:p>
        </w:tc>
        <w:tc>
          <w:tcPr>
            <w:tcW w:w="2342" w:type="dxa"/>
          </w:tcPr>
          <w:p w:rsidR="00BA7BE4" w:rsidRPr="00AF5F6E" w:rsidP="00BA7BE4" w14:paraId="227DC0ED" w14:textId="77777777">
            <w:pPr>
              <w:pStyle w:val="TableBullets"/>
              <w:keepNext/>
              <w:keepLines/>
              <w:numPr>
                <w:ilvl w:val="0"/>
                <w:numId w:val="0"/>
              </w:numPr>
              <w:jc w:val="center"/>
              <w:rPr>
                <w:bCs/>
              </w:rPr>
            </w:pPr>
            <w:r w:rsidRPr="00DB734A">
              <w:rPr>
                <w:bCs/>
              </w:rPr>
              <w:t>Interviews, Observations</w:t>
            </w:r>
            <w:r>
              <w:rPr>
                <w:bCs/>
              </w:rPr>
              <w:t xml:space="preserve"> </w:t>
            </w:r>
            <w:r w:rsidRPr="00DB734A">
              <w:rPr>
                <w:bCs/>
              </w:rPr>
              <w:t>in 6 PHA jurisdictions</w:t>
            </w:r>
          </w:p>
        </w:tc>
        <w:tc>
          <w:tcPr>
            <w:tcW w:w="2341" w:type="dxa"/>
          </w:tcPr>
          <w:p w:rsidR="00BA7BE4" w:rsidRPr="00AF5F6E" w:rsidP="00BA7BE4" w14:paraId="4D5F00CA" w14:textId="77777777">
            <w:pPr>
              <w:pStyle w:val="TableBullets"/>
              <w:keepNext/>
              <w:keepLines/>
              <w:numPr>
                <w:ilvl w:val="0"/>
                <w:numId w:val="0"/>
              </w:numPr>
              <w:ind w:left="360"/>
              <w:jc w:val="center"/>
              <w:rPr>
                <w:bCs/>
              </w:rPr>
            </w:pPr>
          </w:p>
        </w:tc>
        <w:tc>
          <w:tcPr>
            <w:tcW w:w="2342" w:type="dxa"/>
          </w:tcPr>
          <w:p w:rsidR="00BA7BE4" w:rsidRPr="00AF5F6E" w:rsidP="00BA7BE4" w14:paraId="50AE242B" w14:textId="77777777">
            <w:pPr>
              <w:pStyle w:val="TableBullets"/>
              <w:keepNext/>
              <w:keepLines/>
              <w:numPr>
                <w:ilvl w:val="0"/>
                <w:numId w:val="0"/>
              </w:numPr>
              <w:jc w:val="center"/>
              <w:rPr>
                <w:bCs/>
              </w:rPr>
            </w:pPr>
            <w:r w:rsidRPr="00DB734A">
              <w:rPr>
                <w:bCs/>
              </w:rPr>
              <w:t>Interviews, Observations</w:t>
            </w:r>
            <w:r>
              <w:rPr>
                <w:bCs/>
              </w:rPr>
              <w:t xml:space="preserve"> </w:t>
            </w:r>
            <w:r w:rsidRPr="00DB734A">
              <w:rPr>
                <w:bCs/>
              </w:rPr>
              <w:t xml:space="preserve">in </w:t>
            </w:r>
            <w:r>
              <w:rPr>
                <w:bCs/>
              </w:rPr>
              <w:t>4</w:t>
            </w:r>
            <w:r w:rsidRPr="00DB734A">
              <w:rPr>
                <w:bCs/>
              </w:rPr>
              <w:t xml:space="preserve"> PHA jurisdictions</w:t>
            </w:r>
          </w:p>
        </w:tc>
      </w:tr>
      <w:tr w14:paraId="6628EF01" w14:textId="77777777" w:rsidTr="00BA7BE4">
        <w:tblPrEx>
          <w:tblW w:w="5002" w:type="pct"/>
          <w:tblLayout w:type="fixed"/>
          <w:tblCellMar>
            <w:left w:w="43" w:type="dxa"/>
            <w:right w:w="43" w:type="dxa"/>
          </w:tblCellMar>
          <w:tblLook w:val="0620"/>
        </w:tblPrEx>
        <w:tc>
          <w:tcPr>
            <w:tcW w:w="2339" w:type="dxa"/>
          </w:tcPr>
          <w:p w:rsidR="00BA7BE4" w:rsidRPr="00AF5F6E" w:rsidP="00BA7BE4" w14:paraId="1246726A" w14:textId="77777777">
            <w:pPr>
              <w:pStyle w:val="TableText"/>
              <w:keepNext/>
              <w:keepLines/>
              <w:rPr>
                <w:bCs w:val="0"/>
              </w:rPr>
            </w:pPr>
            <w:r w:rsidRPr="000C67ED">
              <w:t>QuIP</w:t>
            </w:r>
            <w:r w:rsidRPr="000C67ED">
              <w:t xml:space="preserve"> Landlord Data Collection</w:t>
            </w:r>
          </w:p>
        </w:tc>
        <w:tc>
          <w:tcPr>
            <w:tcW w:w="2342" w:type="dxa"/>
          </w:tcPr>
          <w:p w:rsidR="00BA7BE4" w:rsidRPr="00AF5F6E" w:rsidP="00BA7BE4" w14:paraId="33A00D19" w14:textId="77777777">
            <w:pPr>
              <w:pStyle w:val="TableBullets"/>
              <w:keepNext/>
              <w:keepLines/>
              <w:numPr>
                <w:ilvl w:val="0"/>
                <w:numId w:val="0"/>
              </w:numPr>
              <w:jc w:val="center"/>
              <w:rPr>
                <w:bCs/>
              </w:rPr>
            </w:pPr>
            <w:r w:rsidRPr="00DB734A">
              <w:rPr>
                <w:bCs/>
              </w:rPr>
              <w:t>Interviews, Observations</w:t>
            </w:r>
            <w:r>
              <w:rPr>
                <w:bCs/>
              </w:rPr>
              <w:t xml:space="preserve"> </w:t>
            </w:r>
            <w:r w:rsidRPr="00DB734A">
              <w:rPr>
                <w:bCs/>
              </w:rPr>
              <w:t>in 6 PHA jurisdictions</w:t>
            </w:r>
          </w:p>
        </w:tc>
        <w:tc>
          <w:tcPr>
            <w:tcW w:w="2341" w:type="dxa"/>
          </w:tcPr>
          <w:p w:rsidR="00BA7BE4" w:rsidRPr="00AF5F6E" w:rsidP="00BA7BE4" w14:paraId="1E234197" w14:textId="77777777">
            <w:pPr>
              <w:pStyle w:val="TableBullets"/>
              <w:keepNext/>
              <w:keepLines/>
              <w:numPr>
                <w:ilvl w:val="0"/>
                <w:numId w:val="0"/>
              </w:numPr>
              <w:ind w:left="360"/>
              <w:jc w:val="center"/>
              <w:rPr>
                <w:bCs/>
              </w:rPr>
            </w:pPr>
          </w:p>
        </w:tc>
        <w:tc>
          <w:tcPr>
            <w:tcW w:w="2342" w:type="dxa"/>
          </w:tcPr>
          <w:p w:rsidR="00BA7BE4" w:rsidRPr="00AF5F6E" w:rsidP="00BA7BE4" w14:paraId="4997F899" w14:textId="77777777">
            <w:pPr>
              <w:pStyle w:val="TableBullets"/>
              <w:keepNext/>
              <w:keepLines/>
              <w:numPr>
                <w:ilvl w:val="0"/>
                <w:numId w:val="0"/>
              </w:numPr>
              <w:jc w:val="center"/>
              <w:rPr>
                <w:bCs/>
              </w:rPr>
            </w:pPr>
            <w:r w:rsidRPr="00DB734A">
              <w:rPr>
                <w:bCs/>
              </w:rPr>
              <w:t>Interviews, Observations</w:t>
            </w:r>
            <w:r>
              <w:rPr>
                <w:bCs/>
              </w:rPr>
              <w:t xml:space="preserve"> </w:t>
            </w:r>
            <w:r w:rsidRPr="00DB734A">
              <w:rPr>
                <w:bCs/>
              </w:rPr>
              <w:t>in</w:t>
            </w:r>
            <w:r>
              <w:rPr>
                <w:bCs/>
              </w:rPr>
              <w:t xml:space="preserve"> 4 </w:t>
            </w:r>
            <w:r w:rsidRPr="00DB734A">
              <w:rPr>
                <w:bCs/>
              </w:rPr>
              <w:t>PHA jurisdictions</w:t>
            </w:r>
          </w:p>
        </w:tc>
      </w:tr>
      <w:tr w14:paraId="2DF5AF4C" w14:textId="77777777" w:rsidTr="00BA7BE4">
        <w:tblPrEx>
          <w:tblW w:w="5002" w:type="pct"/>
          <w:tblLayout w:type="fixed"/>
          <w:tblCellMar>
            <w:left w:w="43" w:type="dxa"/>
            <w:right w:w="43" w:type="dxa"/>
          </w:tblCellMar>
          <w:tblLook w:val="0620"/>
        </w:tblPrEx>
        <w:trPr>
          <w:tblHeader/>
        </w:trPr>
        <w:tc>
          <w:tcPr>
            <w:tcW w:w="9364" w:type="dxa"/>
            <w:gridSpan w:val="4"/>
            <w:shd w:val="clear" w:color="auto" w:fill="E7E8E8" w:themeFill="text2" w:themeFillTint="33"/>
            <w:vAlign w:val="bottom"/>
          </w:tcPr>
          <w:p w:rsidR="00BA7BE4" w:rsidRPr="00263D08" w:rsidP="00BA7BE4" w14:paraId="36491D4C" w14:textId="77777777">
            <w:pPr>
              <w:pStyle w:val="TableColumnHeader"/>
              <w:keepNext/>
              <w:keepLines/>
              <w:jc w:val="left"/>
              <w:rPr>
                <w:bCs/>
                <w:szCs w:val="22"/>
              </w:rPr>
            </w:pPr>
            <w:r w:rsidRPr="00263D08">
              <w:rPr>
                <w:bCs/>
                <w:color w:val="auto"/>
                <w:szCs w:val="22"/>
              </w:rPr>
              <w:t>Year 5</w:t>
            </w:r>
          </w:p>
        </w:tc>
      </w:tr>
      <w:tr w14:paraId="195C5F62" w14:textId="77777777" w:rsidTr="00BA7BE4">
        <w:tblPrEx>
          <w:tblW w:w="5002" w:type="pct"/>
          <w:tblLayout w:type="fixed"/>
          <w:tblCellMar>
            <w:left w:w="43" w:type="dxa"/>
            <w:right w:w="43" w:type="dxa"/>
          </w:tblCellMar>
          <w:tblLook w:val="0620"/>
        </w:tblPrEx>
        <w:tc>
          <w:tcPr>
            <w:tcW w:w="2339" w:type="dxa"/>
          </w:tcPr>
          <w:p w:rsidR="00BA7BE4" w:rsidRPr="00AF5F6E" w:rsidP="00BA7BE4" w14:paraId="4552C369" w14:textId="77777777">
            <w:pPr>
              <w:pStyle w:val="TableText"/>
              <w:keepNext/>
              <w:keepLines/>
              <w:rPr>
                <w:bCs w:val="0"/>
              </w:rPr>
            </w:pPr>
            <w:r>
              <w:t>Secondary Data</w:t>
            </w:r>
          </w:p>
        </w:tc>
        <w:tc>
          <w:tcPr>
            <w:tcW w:w="2342" w:type="dxa"/>
          </w:tcPr>
          <w:p w:rsidR="00BA7BE4" w:rsidRPr="00AF5F6E" w:rsidP="00BA7BE4" w14:paraId="131F73F4"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c>
          <w:tcPr>
            <w:tcW w:w="2341" w:type="dxa"/>
          </w:tcPr>
          <w:p w:rsidR="00BA7BE4" w:rsidRPr="00AF5F6E" w:rsidP="00BA7BE4" w14:paraId="38B02531"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c>
          <w:tcPr>
            <w:tcW w:w="2342" w:type="dxa"/>
          </w:tcPr>
          <w:p w:rsidR="00BA7BE4" w:rsidRPr="00AF5F6E" w:rsidP="00BA7BE4" w14:paraId="588FA290" w14:textId="77777777">
            <w:pPr>
              <w:pStyle w:val="TableBullets"/>
              <w:keepNext/>
              <w:keepLines/>
              <w:numPr>
                <w:ilvl w:val="0"/>
                <w:numId w:val="0"/>
              </w:numPr>
              <w:ind w:left="360" w:hanging="360"/>
              <w:jc w:val="center"/>
              <w:rPr>
                <w:bCs/>
              </w:rPr>
            </w:pPr>
            <w:r w:rsidRPr="00ED297D">
              <w:rPr>
                <w:rFonts w:ascii="Wingdings" w:eastAsia="Wingdings" w:hAnsi="Wingdings" w:cs="Wingdings"/>
                <w:b/>
                <w:bCs/>
              </w:rPr>
              <w:t>ü</w:t>
            </w:r>
          </w:p>
        </w:tc>
      </w:tr>
    </w:tbl>
    <w:p w:rsidR="009E1FB9" w:rsidRPr="0044434F" w:rsidP="009E1FB9" w14:paraId="1D42CAF1" w14:textId="77777777">
      <w:pPr>
        <w:rPr>
          <w:rFonts w:asciiTheme="majorBidi" w:hAnsiTheme="majorBidi" w:cstheme="majorBidi"/>
        </w:rPr>
      </w:pPr>
    </w:p>
    <w:p w:rsidR="006F299B" w:rsidRPr="004F1FB4" w:rsidP="00137474" w14:paraId="0684F5A0" w14:textId="77777777">
      <w:pPr>
        <w:pStyle w:val="Heading2"/>
      </w:pPr>
      <w:bookmarkStart w:id="19" w:name="_Toc106789184"/>
      <w:r w:rsidRPr="004F1FB4">
        <w:t xml:space="preserve">A17: Reasons not to </w:t>
      </w:r>
      <w:r w:rsidR="00911BD5">
        <w:t>D</w:t>
      </w:r>
      <w:r w:rsidRPr="004F1FB4">
        <w:t>isplay OMB Expiration Date</w:t>
      </w:r>
      <w:bookmarkEnd w:id="19"/>
    </w:p>
    <w:p w:rsidR="00F91907" w:rsidRPr="00E52E12" w:rsidP="00F91907" w14:paraId="6943AA9D" w14:textId="1379D261">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pPr>
      <w:r w:rsidRPr="00E52E12">
        <w:t xml:space="preserve">HUD </w:t>
      </w:r>
      <w:r>
        <w:t>does</w:t>
      </w:r>
      <w:r w:rsidRPr="00E52E12">
        <w:t xml:space="preserve"> not seek approval to avoid displaying the expiration date.</w:t>
      </w:r>
      <w:r>
        <w:t xml:space="preserve"> </w:t>
      </w:r>
      <w:r w:rsidRPr="008D22F8">
        <w:t>All data collection instruments will prominently display the expiration date for OMB approval.</w:t>
      </w:r>
    </w:p>
    <w:p w:rsidR="006F299B" w:rsidRPr="004F1FB4" w:rsidP="00137474" w14:paraId="0684F5A2" w14:textId="77777777">
      <w:pPr>
        <w:pStyle w:val="Heading2"/>
      </w:pPr>
      <w:bookmarkStart w:id="20" w:name="_Toc106789185"/>
      <w:r w:rsidRPr="004F1FB4">
        <w:t>A18: Exceptions to Certification for Paperwork Reduction Act Submissions</w:t>
      </w:r>
      <w:bookmarkEnd w:id="20"/>
    </w:p>
    <w:p w:rsidR="00036ECE" w:rsidRPr="00177375" w:rsidP="005D051A" w14:paraId="0684F5AD" w14:textId="00151E1A">
      <w:pPr>
        <w:pStyle w:val="BodyText"/>
        <w:rPr>
          <w:szCs w:val="22"/>
        </w:rPr>
      </w:pPr>
      <w:r w:rsidRPr="004F1FB4">
        <w:t>No exceptions are necessary for this information collection.</w:t>
      </w:r>
    </w:p>
    <w:sectPr w:rsidSect="00A67C7A">
      <w:footerReference w:type="default" r:id="rId19"/>
      <w:pgSz w:w="12240" w:h="15840" w:code="1"/>
      <w:pgMar w:top="1440" w:right="1440" w:bottom="1440" w:left="1440" w:header="108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815" w14:paraId="5D2CA2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510" w:rsidP="00744E2C" w14:paraId="0684F5B3" w14:textId="77777777">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815" w14:paraId="01B7A5E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510" w:rsidRPr="0066134E" w:rsidP="00AB6564" w14:paraId="0684F5B5" w14:textId="77777777">
    <w:pPr>
      <w:pStyle w:val="Footer"/>
      <w:tabs>
        <w:tab w:val="clear" w:pos="9000"/>
        <w:tab w:val="right" w:pos="9360"/>
      </w:tabs>
    </w:pPr>
    <w:r w:rsidRPr="0007789E">
      <w:rPr>
        <w:color w:val="DA291C"/>
        <w:lang w:val="fr-FR"/>
      </w:rPr>
      <w:t>Abt Associates Inc.</w:t>
    </w:r>
    <w:r w:rsidRPr="0007789E">
      <w:rPr>
        <w:lang w:val="fr-FR"/>
      </w:rPr>
      <w:tab/>
    </w:r>
    <w:r w:rsidRPr="0007789E">
      <w:rPr>
        <w:rStyle w:val="PageNumber"/>
        <w:b/>
        <w:lang w:val="fr-FR"/>
      </w:rPr>
      <w:tab/>
      <w:t>Contents</w:t>
    </w:r>
    <w:r>
      <w:rPr>
        <w:rStyle w:val="PageNumber"/>
        <w:b/>
      </w:rPr>
      <w:t> </w:t>
    </w:r>
    <w:r w:rsidRPr="0007789E">
      <w:rPr>
        <w:rStyle w:val="PageNumber"/>
        <w:rFonts w:cs="Arial"/>
        <w:b/>
        <w:lang w:val="fr-FR"/>
      </w:rPr>
      <w:t>▌</w:t>
    </w:r>
    <w:r w:rsidRPr="0007789E">
      <w:rPr>
        <w:rStyle w:val="PageNumber"/>
        <w:b/>
        <w:lang w:val="fr-FR"/>
      </w:rPr>
      <w:t>pg</w:t>
    </w:r>
    <w:r w:rsidRPr="0007789E">
      <w:rPr>
        <w:rStyle w:val="PageNumber"/>
        <w:b/>
        <w:lang w:val="fr-FR"/>
      </w:rPr>
      <w:t xml:space="preserve">. </w:t>
    </w:r>
    <w:r w:rsidRPr="002064D3">
      <w:rPr>
        <w:rStyle w:val="PageNumber"/>
        <w:b/>
        <w:color w:val="DA291C"/>
      </w:rPr>
      <w:fldChar w:fldCharType="begin"/>
    </w:r>
    <w:r w:rsidRPr="0007789E">
      <w:rPr>
        <w:rStyle w:val="PageNumber"/>
        <w:b/>
        <w:color w:val="DA291C"/>
        <w:lang w:val="fr-FR"/>
      </w:rPr>
      <w:instrText xml:space="preserve"> PAGE   \* MERGEFORMAT </w:instrText>
    </w:r>
    <w:r w:rsidRPr="002064D3">
      <w:rPr>
        <w:rStyle w:val="PageNumber"/>
        <w:b/>
        <w:color w:val="DA291C"/>
      </w:rPr>
      <w:fldChar w:fldCharType="separate"/>
    </w:r>
    <w:r w:rsidR="00CF7625">
      <w:rPr>
        <w:rStyle w:val="PageNumber"/>
        <w:b/>
        <w:noProof/>
        <w:color w:val="DA291C"/>
      </w:rPr>
      <w:t>i</w:t>
    </w:r>
    <w:r w:rsidRPr="002064D3">
      <w:rPr>
        <w:rStyle w:val="PageNumber"/>
        <w:b/>
        <w:noProof/>
        <w:color w:val="DA291C"/>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510" w:rsidRPr="0066134E" w:rsidP="001D0620" w14:paraId="0684F5B6" w14:textId="77777777">
    <w:pPr>
      <w:pStyle w:val="Footer"/>
      <w:tabs>
        <w:tab w:val="clear" w:pos="4507"/>
        <w:tab w:val="clear" w:pos="9000"/>
        <w:tab w:val="right" w:pos="9360"/>
      </w:tabs>
    </w:pPr>
    <w:r w:rsidRPr="00967D7C">
      <w:rPr>
        <w:color w:val="DA291C"/>
      </w:rPr>
      <w:t>Abt</w:t>
    </w:r>
    <w:r w:rsidRPr="00967D7C">
      <w:rPr>
        <w:color w:val="DA291C"/>
      </w:rPr>
      <w:t xml:space="preserve"> Associates Inc.</w:t>
    </w:r>
    <w:r w:rsidRPr="0066134E">
      <w:rPr>
        <w:rStyle w:val="PageNumber"/>
        <w:b/>
      </w:rPr>
      <w:tab/>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CF7625">
      <w:rPr>
        <w:rStyle w:val="PageNumber"/>
        <w:b/>
        <w:noProof/>
        <w:color w:val="DA291C"/>
      </w:rPr>
      <w:t>16</w:t>
    </w:r>
    <w:r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1F62" w:rsidP="00D979EA" w14:paraId="20F3C37D" w14:textId="77777777">
      <w:r>
        <w:separator/>
      </w:r>
    </w:p>
  </w:footnote>
  <w:footnote w:type="continuationSeparator" w:id="1">
    <w:p w:rsidR="00D21F62" w:rsidP="00D979EA" w14:paraId="7750D8B5" w14:textId="77777777">
      <w:r>
        <w:continuationSeparator/>
      </w:r>
    </w:p>
  </w:footnote>
  <w:footnote w:type="continuationNotice" w:id="2">
    <w:p w:rsidR="00D21F62" w14:paraId="700069D3" w14:textId="77777777">
      <w:pPr>
        <w:spacing w:after="0" w:line="240" w:lineRule="auto"/>
      </w:pPr>
    </w:p>
  </w:footnote>
  <w:footnote w:id="3">
    <w:p w:rsidR="00BD2D17" w:rsidRPr="00CA1697" w:rsidP="00BD2D17" w14:paraId="7B647DD5" w14:textId="77777777">
      <w:pPr>
        <w:pStyle w:val="FootnoteText"/>
        <w:rPr>
          <w:rFonts w:asciiTheme="majorBidi" w:hAnsiTheme="majorBidi" w:cstheme="majorBidi"/>
          <w:sz w:val="18"/>
          <w:szCs w:val="18"/>
        </w:rPr>
      </w:pPr>
      <w:r w:rsidRPr="00CA1697">
        <w:rPr>
          <w:rStyle w:val="FootnoteReference"/>
          <w:rFonts w:asciiTheme="majorBidi" w:hAnsiTheme="majorBidi" w:cstheme="majorBidi"/>
          <w:sz w:val="18"/>
          <w:szCs w:val="18"/>
        </w:rPr>
        <w:footnoteRef/>
      </w:r>
      <w:r w:rsidRPr="00203D5C">
        <w:rPr>
          <w:rFonts w:asciiTheme="majorBidi" w:hAnsiTheme="majorBidi" w:cstheme="majorBidi"/>
          <w:sz w:val="18"/>
          <w:szCs w:val="18"/>
          <w:lang w:val="de-DE"/>
        </w:rPr>
        <w:t xml:space="preserve"> </w:t>
      </w:r>
      <w:r w:rsidRPr="00203D5C">
        <w:rPr>
          <w:rFonts w:eastAsia="Arial" w:asciiTheme="majorBidi" w:hAnsiTheme="majorBidi" w:cstheme="majorBidi"/>
          <w:sz w:val="18"/>
          <w:szCs w:val="18"/>
          <w:lang w:val="de-DE"/>
        </w:rPr>
        <w:t xml:space="preserve">Garboden, P. M., &amp; Rosen, E. (2018). </w:t>
      </w:r>
      <w:r w:rsidRPr="00CA1697">
        <w:rPr>
          <w:rFonts w:eastAsia="Arial" w:asciiTheme="majorBidi" w:hAnsiTheme="majorBidi" w:cstheme="majorBidi"/>
          <w:sz w:val="18"/>
          <w:szCs w:val="18"/>
        </w:rPr>
        <w:t xml:space="preserve">Talking to landlords. </w:t>
      </w:r>
      <w:r w:rsidRPr="00CA1697">
        <w:rPr>
          <w:rFonts w:eastAsia="Arial" w:asciiTheme="majorBidi" w:hAnsiTheme="majorBidi" w:cstheme="majorBidi"/>
          <w:i/>
          <w:iCs/>
          <w:sz w:val="18"/>
          <w:szCs w:val="18"/>
        </w:rPr>
        <w:t>Cityscape</w:t>
      </w:r>
      <w:r w:rsidRPr="00CA1697">
        <w:rPr>
          <w:rFonts w:eastAsia="Arial" w:asciiTheme="majorBidi" w:hAnsiTheme="majorBidi" w:cstheme="majorBidi"/>
          <w:sz w:val="18"/>
          <w:szCs w:val="18"/>
        </w:rPr>
        <w:t xml:space="preserve">, </w:t>
      </w:r>
      <w:r w:rsidRPr="00CA1697">
        <w:rPr>
          <w:rFonts w:eastAsia="Arial" w:asciiTheme="majorBidi" w:hAnsiTheme="majorBidi" w:cstheme="majorBidi"/>
          <w:i/>
          <w:iCs/>
          <w:sz w:val="18"/>
          <w:szCs w:val="18"/>
        </w:rPr>
        <w:t>20</w:t>
      </w:r>
      <w:r w:rsidRPr="00CA1697">
        <w:rPr>
          <w:rFonts w:eastAsia="Arial" w:asciiTheme="majorBidi" w:hAnsiTheme="majorBidi" w:cstheme="majorBidi"/>
          <w:sz w:val="18"/>
          <w:szCs w:val="18"/>
        </w:rPr>
        <w:t>(3), 281-291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815" w14:paraId="6CA979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510" w:rsidRPr="0005750B" w:rsidP="0005750B" w14:paraId="0684F5B2"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815" w14:paraId="7A98B7A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510" w:rsidRPr="0099739B" w:rsidP="0099739B" w14:paraId="0684F5B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4264C"/>
    <w:multiLevelType w:val="hybridMultilevel"/>
    <w:tmpl w:val="B7F0F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F499E"/>
    <w:multiLevelType w:val="hybridMultilevel"/>
    <w:tmpl w:val="D958B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3675DB"/>
    <w:multiLevelType w:val="hybridMultilevel"/>
    <w:tmpl w:val="158859DA"/>
    <w:lvl w:ilvl="0">
      <w:start w:val="1"/>
      <w:numFmt w:val="bullet"/>
      <w:pStyle w:val="TableBullets"/>
      <w:lvlText w:val=""/>
      <w:lvlJc w:val="left"/>
      <w:pPr>
        <w:ind w:left="360" w:hanging="360"/>
      </w:pPr>
      <w:rPr>
        <w:rFonts w:ascii="Symbol" w:hAnsi="Symbol" w:hint="default"/>
        <w:color w:val="C0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D7267D6"/>
    <w:multiLevelType w:val="hybridMultilevel"/>
    <w:tmpl w:val="76E00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6204B61"/>
    <w:multiLevelType w:val="hybridMultilevel"/>
    <w:tmpl w:val="12D49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70035C"/>
    <w:multiLevelType w:val="hybridMultilevel"/>
    <w:tmpl w:val="3A02B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F343D9"/>
    <w:multiLevelType w:val="hybridMultilevel"/>
    <w:tmpl w:val="182CA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9">
    <w:nsid w:val="41A04F5C"/>
    <w:multiLevelType w:val="hybridMultilevel"/>
    <w:tmpl w:val="920E9AF6"/>
    <w:lvl w:ilvl="0">
      <w:start w:val="1"/>
      <w:numFmt w:val="bullet"/>
      <w:pStyle w:val="ListBulleted"/>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4704A10"/>
    <w:multiLevelType w:val="hybridMultilevel"/>
    <w:tmpl w:val="FAD0A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C472E0"/>
    <w:multiLevelType w:val="hybridMultilevel"/>
    <w:tmpl w:val="CC72CB3C"/>
    <w:lvl w:ilvl="0">
      <w:start w:val="1"/>
      <w:numFmt w:val="bulle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F2A34"/>
    <w:multiLevelType w:val="hybridMultilevel"/>
    <w:tmpl w:val="7AB61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6A0677"/>
    <w:multiLevelType w:val="hybridMultilevel"/>
    <w:tmpl w:val="CBB0B6EE"/>
    <w:lvl w:ilvl="0">
      <w:start w:val="1"/>
      <w:numFmt w:val="bulle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DE1786"/>
    <w:multiLevelType w:val="hybridMultilevel"/>
    <w:tmpl w:val="62609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D177CF4"/>
    <w:multiLevelType w:val="hybridMultilevel"/>
    <w:tmpl w:val="E0409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D16AD3"/>
    <w:multiLevelType w:val="hybridMultilevel"/>
    <w:tmpl w:val="A6F6D92E"/>
    <w:lvl w:ilvl="0">
      <w:start w:val="1"/>
      <w:numFmt w:val="bulle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300B7B"/>
    <w:multiLevelType w:val="hybridMultilevel"/>
    <w:tmpl w:val="2E0CF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9">
    <w:nsid w:val="74A23465"/>
    <w:multiLevelType w:val="hybridMultilevel"/>
    <w:tmpl w:val="71FEA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1">
    <w:nsid w:val="7F717678"/>
    <w:multiLevelType w:val="hybridMultilevel"/>
    <w:tmpl w:val="F6F0F6E4"/>
    <w:lvl w:ilvl="0">
      <w:start w:val="1"/>
      <w:numFmt w:val="bulle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72246708">
    <w:abstractNumId w:val="4"/>
  </w:num>
  <w:num w:numId="2" w16cid:durableId="417871781">
    <w:abstractNumId w:val="18"/>
  </w:num>
  <w:num w:numId="3" w16cid:durableId="1947036902">
    <w:abstractNumId w:val="20"/>
  </w:num>
  <w:num w:numId="4" w16cid:durableId="1660383378">
    <w:abstractNumId w:val="8"/>
  </w:num>
  <w:num w:numId="5" w16cid:durableId="1355183151">
    <w:abstractNumId w:val="22"/>
  </w:num>
  <w:num w:numId="6" w16cid:durableId="555238535">
    <w:abstractNumId w:val="9"/>
  </w:num>
  <w:num w:numId="7" w16cid:durableId="744839273">
    <w:abstractNumId w:val="13"/>
  </w:num>
  <w:num w:numId="8" w16cid:durableId="52316274">
    <w:abstractNumId w:val="11"/>
  </w:num>
  <w:num w:numId="9" w16cid:durableId="2047901083">
    <w:abstractNumId w:val="21"/>
  </w:num>
  <w:num w:numId="10" w16cid:durableId="2007589080">
    <w:abstractNumId w:val="16"/>
  </w:num>
  <w:num w:numId="11" w16cid:durableId="1981690294">
    <w:abstractNumId w:val="12"/>
  </w:num>
  <w:num w:numId="12" w16cid:durableId="1263418034">
    <w:abstractNumId w:val="15"/>
  </w:num>
  <w:num w:numId="13" w16cid:durableId="2142384998">
    <w:abstractNumId w:val="3"/>
  </w:num>
  <w:num w:numId="14" w16cid:durableId="286739219">
    <w:abstractNumId w:val="14"/>
  </w:num>
  <w:num w:numId="15" w16cid:durableId="1681391974">
    <w:abstractNumId w:val="0"/>
  </w:num>
  <w:num w:numId="16" w16cid:durableId="1118138477">
    <w:abstractNumId w:val="7"/>
  </w:num>
  <w:num w:numId="17" w16cid:durableId="1555775051">
    <w:abstractNumId w:val="6"/>
  </w:num>
  <w:num w:numId="18" w16cid:durableId="69085117">
    <w:abstractNumId w:val="19"/>
  </w:num>
  <w:num w:numId="19" w16cid:durableId="1052265504">
    <w:abstractNumId w:val="10"/>
  </w:num>
  <w:num w:numId="20" w16cid:durableId="664749073">
    <w:abstractNumId w:val="5"/>
  </w:num>
  <w:num w:numId="21" w16cid:durableId="266694312">
    <w:abstractNumId w:val="17"/>
  </w:num>
  <w:num w:numId="22" w16cid:durableId="1205556273">
    <w:abstractNumId w:val="1"/>
  </w:num>
  <w:num w:numId="23" w16cid:durableId="118845013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oNotTrackFormatting/>
  <w:defaultTabStop w:val="360"/>
  <w:drawingGridHorizontalSpacing w:val="110"/>
  <w:drawingGridVerticalSpacing w:val="299"/>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CF"/>
    <w:rsid w:val="00000FE9"/>
    <w:rsid w:val="00001358"/>
    <w:rsid w:val="00003A2C"/>
    <w:rsid w:val="00003CA3"/>
    <w:rsid w:val="00005932"/>
    <w:rsid w:val="00006481"/>
    <w:rsid w:val="00006B3A"/>
    <w:rsid w:val="00006B51"/>
    <w:rsid w:val="00011838"/>
    <w:rsid w:val="000136F3"/>
    <w:rsid w:val="00016E17"/>
    <w:rsid w:val="00016E29"/>
    <w:rsid w:val="00020584"/>
    <w:rsid w:val="000210C1"/>
    <w:rsid w:val="0002185C"/>
    <w:rsid w:val="0002216E"/>
    <w:rsid w:val="0002333D"/>
    <w:rsid w:val="00024D96"/>
    <w:rsid w:val="000269ED"/>
    <w:rsid w:val="000279C5"/>
    <w:rsid w:val="000316BD"/>
    <w:rsid w:val="000344E5"/>
    <w:rsid w:val="00036ECE"/>
    <w:rsid w:val="00040E00"/>
    <w:rsid w:val="00042D5A"/>
    <w:rsid w:val="00044497"/>
    <w:rsid w:val="00046728"/>
    <w:rsid w:val="00052530"/>
    <w:rsid w:val="000525E0"/>
    <w:rsid w:val="00053BD3"/>
    <w:rsid w:val="00053EEF"/>
    <w:rsid w:val="000543DC"/>
    <w:rsid w:val="0005500B"/>
    <w:rsid w:val="00055022"/>
    <w:rsid w:val="0005750B"/>
    <w:rsid w:val="0006045E"/>
    <w:rsid w:val="000623C6"/>
    <w:rsid w:val="00064A55"/>
    <w:rsid w:val="0006587B"/>
    <w:rsid w:val="00070322"/>
    <w:rsid w:val="000713DF"/>
    <w:rsid w:val="00074103"/>
    <w:rsid w:val="0007783C"/>
    <w:rsid w:val="0007789E"/>
    <w:rsid w:val="0008244A"/>
    <w:rsid w:val="00082D01"/>
    <w:rsid w:val="0008447D"/>
    <w:rsid w:val="00085DCA"/>
    <w:rsid w:val="00087856"/>
    <w:rsid w:val="00087CEE"/>
    <w:rsid w:val="000902AA"/>
    <w:rsid w:val="00091A28"/>
    <w:rsid w:val="0009396F"/>
    <w:rsid w:val="00093C5B"/>
    <w:rsid w:val="000950AD"/>
    <w:rsid w:val="00095D40"/>
    <w:rsid w:val="000A00A2"/>
    <w:rsid w:val="000A0E15"/>
    <w:rsid w:val="000A175F"/>
    <w:rsid w:val="000A1C6D"/>
    <w:rsid w:val="000A61EF"/>
    <w:rsid w:val="000A7D69"/>
    <w:rsid w:val="000B33D1"/>
    <w:rsid w:val="000B49FE"/>
    <w:rsid w:val="000B526B"/>
    <w:rsid w:val="000B7643"/>
    <w:rsid w:val="000C0A39"/>
    <w:rsid w:val="000C2597"/>
    <w:rsid w:val="000C3040"/>
    <w:rsid w:val="000C484C"/>
    <w:rsid w:val="000C67ED"/>
    <w:rsid w:val="000C7A9F"/>
    <w:rsid w:val="000D0179"/>
    <w:rsid w:val="000D1122"/>
    <w:rsid w:val="000D53F1"/>
    <w:rsid w:val="000D5777"/>
    <w:rsid w:val="000D6FEB"/>
    <w:rsid w:val="000E0178"/>
    <w:rsid w:val="000E322C"/>
    <w:rsid w:val="000E3646"/>
    <w:rsid w:val="000E3B79"/>
    <w:rsid w:val="000E3D2C"/>
    <w:rsid w:val="000E59F1"/>
    <w:rsid w:val="000E6B75"/>
    <w:rsid w:val="000F26B2"/>
    <w:rsid w:val="000F2E8A"/>
    <w:rsid w:val="000F39E5"/>
    <w:rsid w:val="000F42FC"/>
    <w:rsid w:val="000F47B7"/>
    <w:rsid w:val="000F53F4"/>
    <w:rsid w:val="00101B68"/>
    <w:rsid w:val="001034D3"/>
    <w:rsid w:val="001034D7"/>
    <w:rsid w:val="00104F2A"/>
    <w:rsid w:val="00105708"/>
    <w:rsid w:val="00107A04"/>
    <w:rsid w:val="0011170B"/>
    <w:rsid w:val="00111CB5"/>
    <w:rsid w:val="001178CA"/>
    <w:rsid w:val="001218EF"/>
    <w:rsid w:val="00121C4A"/>
    <w:rsid w:val="00123C46"/>
    <w:rsid w:val="001242E8"/>
    <w:rsid w:val="0012654A"/>
    <w:rsid w:val="00127986"/>
    <w:rsid w:val="001307A5"/>
    <w:rsid w:val="00135451"/>
    <w:rsid w:val="00137474"/>
    <w:rsid w:val="001467ED"/>
    <w:rsid w:val="00151DA0"/>
    <w:rsid w:val="00152153"/>
    <w:rsid w:val="00157E04"/>
    <w:rsid w:val="00160657"/>
    <w:rsid w:val="00160B87"/>
    <w:rsid w:val="001617D2"/>
    <w:rsid w:val="00162E94"/>
    <w:rsid w:val="001677DC"/>
    <w:rsid w:val="001700B5"/>
    <w:rsid w:val="00170CF9"/>
    <w:rsid w:val="00172119"/>
    <w:rsid w:val="001722BF"/>
    <w:rsid w:val="001746D2"/>
    <w:rsid w:val="00175F01"/>
    <w:rsid w:val="0017620D"/>
    <w:rsid w:val="00177375"/>
    <w:rsid w:val="00177861"/>
    <w:rsid w:val="00181BDA"/>
    <w:rsid w:val="001845BD"/>
    <w:rsid w:val="00184771"/>
    <w:rsid w:val="00195CD3"/>
    <w:rsid w:val="001960DE"/>
    <w:rsid w:val="001A04CE"/>
    <w:rsid w:val="001A0E0A"/>
    <w:rsid w:val="001A12C0"/>
    <w:rsid w:val="001A23B5"/>
    <w:rsid w:val="001A3848"/>
    <w:rsid w:val="001A403F"/>
    <w:rsid w:val="001A4633"/>
    <w:rsid w:val="001A5B9A"/>
    <w:rsid w:val="001A789A"/>
    <w:rsid w:val="001B0C68"/>
    <w:rsid w:val="001B2AED"/>
    <w:rsid w:val="001B4509"/>
    <w:rsid w:val="001C036E"/>
    <w:rsid w:val="001C0891"/>
    <w:rsid w:val="001C10AF"/>
    <w:rsid w:val="001C18B8"/>
    <w:rsid w:val="001C4CE6"/>
    <w:rsid w:val="001D0620"/>
    <w:rsid w:val="001D1584"/>
    <w:rsid w:val="001D4FDD"/>
    <w:rsid w:val="001D69EB"/>
    <w:rsid w:val="001E2C63"/>
    <w:rsid w:val="001E2CF1"/>
    <w:rsid w:val="001E2EC1"/>
    <w:rsid w:val="001E2EFC"/>
    <w:rsid w:val="001E688C"/>
    <w:rsid w:val="001F06F6"/>
    <w:rsid w:val="001F49BF"/>
    <w:rsid w:val="001F4BAA"/>
    <w:rsid w:val="001F7AEF"/>
    <w:rsid w:val="00200E58"/>
    <w:rsid w:val="00203D5C"/>
    <w:rsid w:val="002064D3"/>
    <w:rsid w:val="00206BBC"/>
    <w:rsid w:val="00207F4C"/>
    <w:rsid w:val="002103F4"/>
    <w:rsid w:val="002106BF"/>
    <w:rsid w:val="0021299D"/>
    <w:rsid w:val="002129E3"/>
    <w:rsid w:val="0021652C"/>
    <w:rsid w:val="00216B09"/>
    <w:rsid w:val="00216F27"/>
    <w:rsid w:val="002176B8"/>
    <w:rsid w:val="00217DEE"/>
    <w:rsid w:val="00220515"/>
    <w:rsid w:val="00220867"/>
    <w:rsid w:val="00220A76"/>
    <w:rsid w:val="002216AD"/>
    <w:rsid w:val="00221D99"/>
    <w:rsid w:val="00222854"/>
    <w:rsid w:val="00223968"/>
    <w:rsid w:val="00223A9F"/>
    <w:rsid w:val="002251AA"/>
    <w:rsid w:val="0022646A"/>
    <w:rsid w:val="0022674D"/>
    <w:rsid w:val="00227977"/>
    <w:rsid w:val="00230D33"/>
    <w:rsid w:val="00233311"/>
    <w:rsid w:val="0023449A"/>
    <w:rsid w:val="00235CB8"/>
    <w:rsid w:val="00235F88"/>
    <w:rsid w:val="00236B01"/>
    <w:rsid w:val="00241545"/>
    <w:rsid w:val="00241772"/>
    <w:rsid w:val="00244882"/>
    <w:rsid w:val="00251399"/>
    <w:rsid w:val="00251F31"/>
    <w:rsid w:val="0025208E"/>
    <w:rsid w:val="00254462"/>
    <w:rsid w:val="00255975"/>
    <w:rsid w:val="0025758F"/>
    <w:rsid w:val="0026243E"/>
    <w:rsid w:val="0026367F"/>
    <w:rsid w:val="00263D08"/>
    <w:rsid w:val="00263E31"/>
    <w:rsid w:val="00265CA5"/>
    <w:rsid w:val="002702F7"/>
    <w:rsid w:val="002734B4"/>
    <w:rsid w:val="00273EAA"/>
    <w:rsid w:val="00273FC1"/>
    <w:rsid w:val="00275398"/>
    <w:rsid w:val="00275F63"/>
    <w:rsid w:val="00276702"/>
    <w:rsid w:val="0028328D"/>
    <w:rsid w:val="002838F5"/>
    <w:rsid w:val="00285BB6"/>
    <w:rsid w:val="00287183"/>
    <w:rsid w:val="00287C26"/>
    <w:rsid w:val="002909CD"/>
    <w:rsid w:val="00291DFD"/>
    <w:rsid w:val="0029491C"/>
    <w:rsid w:val="00295A2B"/>
    <w:rsid w:val="00295C47"/>
    <w:rsid w:val="00295DB4"/>
    <w:rsid w:val="0029614F"/>
    <w:rsid w:val="00296F1B"/>
    <w:rsid w:val="00297B36"/>
    <w:rsid w:val="002A0830"/>
    <w:rsid w:val="002A4078"/>
    <w:rsid w:val="002A54A4"/>
    <w:rsid w:val="002A5CE0"/>
    <w:rsid w:val="002A73A8"/>
    <w:rsid w:val="002A7402"/>
    <w:rsid w:val="002B2F3C"/>
    <w:rsid w:val="002B5EC4"/>
    <w:rsid w:val="002B6A5B"/>
    <w:rsid w:val="002B6B66"/>
    <w:rsid w:val="002C32AB"/>
    <w:rsid w:val="002C41F9"/>
    <w:rsid w:val="002C4495"/>
    <w:rsid w:val="002C5711"/>
    <w:rsid w:val="002C5AC8"/>
    <w:rsid w:val="002C6C06"/>
    <w:rsid w:val="002C76AB"/>
    <w:rsid w:val="002D1E91"/>
    <w:rsid w:val="002D2F19"/>
    <w:rsid w:val="002D33CD"/>
    <w:rsid w:val="002D4536"/>
    <w:rsid w:val="002D609D"/>
    <w:rsid w:val="002D6268"/>
    <w:rsid w:val="002E235A"/>
    <w:rsid w:val="002E310E"/>
    <w:rsid w:val="002E34D3"/>
    <w:rsid w:val="002E439A"/>
    <w:rsid w:val="002E65B6"/>
    <w:rsid w:val="002F106C"/>
    <w:rsid w:val="002F2C61"/>
    <w:rsid w:val="002F38F6"/>
    <w:rsid w:val="002F48C8"/>
    <w:rsid w:val="002F55CE"/>
    <w:rsid w:val="002F6E62"/>
    <w:rsid w:val="002F76F5"/>
    <w:rsid w:val="00300006"/>
    <w:rsid w:val="00302A2C"/>
    <w:rsid w:val="00302C6A"/>
    <w:rsid w:val="00302D88"/>
    <w:rsid w:val="00306984"/>
    <w:rsid w:val="00310C8D"/>
    <w:rsid w:val="0031273B"/>
    <w:rsid w:val="00314A8A"/>
    <w:rsid w:val="00320DF6"/>
    <w:rsid w:val="00324EC2"/>
    <w:rsid w:val="00325FBC"/>
    <w:rsid w:val="00326438"/>
    <w:rsid w:val="00326E5D"/>
    <w:rsid w:val="00327546"/>
    <w:rsid w:val="003279F2"/>
    <w:rsid w:val="00331A40"/>
    <w:rsid w:val="0033439F"/>
    <w:rsid w:val="00337B57"/>
    <w:rsid w:val="00342BA9"/>
    <w:rsid w:val="003432B2"/>
    <w:rsid w:val="003455BC"/>
    <w:rsid w:val="003456D5"/>
    <w:rsid w:val="00346F17"/>
    <w:rsid w:val="00347081"/>
    <w:rsid w:val="003478A0"/>
    <w:rsid w:val="0035287D"/>
    <w:rsid w:val="00354503"/>
    <w:rsid w:val="003610EC"/>
    <w:rsid w:val="003613F5"/>
    <w:rsid w:val="003623F0"/>
    <w:rsid w:val="00363B0C"/>
    <w:rsid w:val="0036721B"/>
    <w:rsid w:val="003676F5"/>
    <w:rsid w:val="00370164"/>
    <w:rsid w:val="003708BF"/>
    <w:rsid w:val="00370DAE"/>
    <w:rsid w:val="003711CD"/>
    <w:rsid w:val="0037781D"/>
    <w:rsid w:val="00380DB1"/>
    <w:rsid w:val="00380DB3"/>
    <w:rsid w:val="00381CB8"/>
    <w:rsid w:val="00383B62"/>
    <w:rsid w:val="00383BFC"/>
    <w:rsid w:val="00384611"/>
    <w:rsid w:val="00384CA0"/>
    <w:rsid w:val="00384FEF"/>
    <w:rsid w:val="00386F09"/>
    <w:rsid w:val="003870BA"/>
    <w:rsid w:val="00387516"/>
    <w:rsid w:val="003875E4"/>
    <w:rsid w:val="003903DA"/>
    <w:rsid w:val="00391B84"/>
    <w:rsid w:val="00391F82"/>
    <w:rsid w:val="00395A89"/>
    <w:rsid w:val="00397F70"/>
    <w:rsid w:val="003A0028"/>
    <w:rsid w:val="003A17F4"/>
    <w:rsid w:val="003A250A"/>
    <w:rsid w:val="003A2FA8"/>
    <w:rsid w:val="003A3403"/>
    <w:rsid w:val="003A3E78"/>
    <w:rsid w:val="003A5D3A"/>
    <w:rsid w:val="003B02D2"/>
    <w:rsid w:val="003B4770"/>
    <w:rsid w:val="003B6D44"/>
    <w:rsid w:val="003B7D8F"/>
    <w:rsid w:val="003C20BF"/>
    <w:rsid w:val="003C3A85"/>
    <w:rsid w:val="003C3DC4"/>
    <w:rsid w:val="003C712F"/>
    <w:rsid w:val="003D0D3A"/>
    <w:rsid w:val="003D1410"/>
    <w:rsid w:val="003D3131"/>
    <w:rsid w:val="003D5616"/>
    <w:rsid w:val="003D5D09"/>
    <w:rsid w:val="003D7534"/>
    <w:rsid w:val="003E1894"/>
    <w:rsid w:val="003E3004"/>
    <w:rsid w:val="003E42C4"/>
    <w:rsid w:val="003E4AF4"/>
    <w:rsid w:val="003E666B"/>
    <w:rsid w:val="003F36BE"/>
    <w:rsid w:val="003F3E19"/>
    <w:rsid w:val="003F42FD"/>
    <w:rsid w:val="003F6154"/>
    <w:rsid w:val="003F6E89"/>
    <w:rsid w:val="00400683"/>
    <w:rsid w:val="00400DE8"/>
    <w:rsid w:val="00403697"/>
    <w:rsid w:val="00403F96"/>
    <w:rsid w:val="004130A4"/>
    <w:rsid w:val="004179F2"/>
    <w:rsid w:val="004205E1"/>
    <w:rsid w:val="00421937"/>
    <w:rsid w:val="00423092"/>
    <w:rsid w:val="00423486"/>
    <w:rsid w:val="00423BF0"/>
    <w:rsid w:val="004253E8"/>
    <w:rsid w:val="00426B73"/>
    <w:rsid w:val="00427EA9"/>
    <w:rsid w:val="00431693"/>
    <w:rsid w:val="004319BC"/>
    <w:rsid w:val="00431ABE"/>
    <w:rsid w:val="00431C7C"/>
    <w:rsid w:val="004350B0"/>
    <w:rsid w:val="00435859"/>
    <w:rsid w:val="00436608"/>
    <w:rsid w:val="00436CE5"/>
    <w:rsid w:val="00440C1E"/>
    <w:rsid w:val="00440E96"/>
    <w:rsid w:val="00441DD8"/>
    <w:rsid w:val="0044434F"/>
    <w:rsid w:val="00444376"/>
    <w:rsid w:val="00451CCE"/>
    <w:rsid w:val="00452767"/>
    <w:rsid w:val="0045437A"/>
    <w:rsid w:val="00461737"/>
    <w:rsid w:val="004627AE"/>
    <w:rsid w:val="00464E84"/>
    <w:rsid w:val="0046701A"/>
    <w:rsid w:val="00467274"/>
    <w:rsid w:val="00470AB4"/>
    <w:rsid w:val="00470D4B"/>
    <w:rsid w:val="00470E38"/>
    <w:rsid w:val="00472572"/>
    <w:rsid w:val="00472E16"/>
    <w:rsid w:val="0047345E"/>
    <w:rsid w:val="004734DF"/>
    <w:rsid w:val="004736EB"/>
    <w:rsid w:val="0047466C"/>
    <w:rsid w:val="00474B5A"/>
    <w:rsid w:val="00477670"/>
    <w:rsid w:val="00477CCE"/>
    <w:rsid w:val="00482BB4"/>
    <w:rsid w:val="00486037"/>
    <w:rsid w:val="00486943"/>
    <w:rsid w:val="0049036C"/>
    <w:rsid w:val="0049064E"/>
    <w:rsid w:val="00495B91"/>
    <w:rsid w:val="00497BAA"/>
    <w:rsid w:val="00497D09"/>
    <w:rsid w:val="004A47E2"/>
    <w:rsid w:val="004A5408"/>
    <w:rsid w:val="004A54F1"/>
    <w:rsid w:val="004A6D4D"/>
    <w:rsid w:val="004A7B8D"/>
    <w:rsid w:val="004B4AB1"/>
    <w:rsid w:val="004B630F"/>
    <w:rsid w:val="004C18DF"/>
    <w:rsid w:val="004C29E5"/>
    <w:rsid w:val="004C2B46"/>
    <w:rsid w:val="004C3413"/>
    <w:rsid w:val="004C5E23"/>
    <w:rsid w:val="004D0C0F"/>
    <w:rsid w:val="004D283D"/>
    <w:rsid w:val="004D2D9A"/>
    <w:rsid w:val="004D3F46"/>
    <w:rsid w:val="004D4133"/>
    <w:rsid w:val="004D4C6D"/>
    <w:rsid w:val="004E0069"/>
    <w:rsid w:val="004E01A4"/>
    <w:rsid w:val="004E1896"/>
    <w:rsid w:val="004E22DD"/>
    <w:rsid w:val="004E2617"/>
    <w:rsid w:val="004E3FFF"/>
    <w:rsid w:val="004E506F"/>
    <w:rsid w:val="004E555A"/>
    <w:rsid w:val="004E5B08"/>
    <w:rsid w:val="004E722F"/>
    <w:rsid w:val="004F1FB4"/>
    <w:rsid w:val="004F2550"/>
    <w:rsid w:val="004F3250"/>
    <w:rsid w:val="004F3A0F"/>
    <w:rsid w:val="004F6742"/>
    <w:rsid w:val="004F709B"/>
    <w:rsid w:val="00500B5A"/>
    <w:rsid w:val="0050217A"/>
    <w:rsid w:val="005026B4"/>
    <w:rsid w:val="00502E9F"/>
    <w:rsid w:val="00503049"/>
    <w:rsid w:val="00507336"/>
    <w:rsid w:val="00507535"/>
    <w:rsid w:val="00516991"/>
    <w:rsid w:val="00516A95"/>
    <w:rsid w:val="00522A16"/>
    <w:rsid w:val="00522AD7"/>
    <w:rsid w:val="0052327F"/>
    <w:rsid w:val="0052640E"/>
    <w:rsid w:val="00527366"/>
    <w:rsid w:val="00530B3E"/>
    <w:rsid w:val="00530F72"/>
    <w:rsid w:val="00534B03"/>
    <w:rsid w:val="00534C33"/>
    <w:rsid w:val="00536D47"/>
    <w:rsid w:val="00536DB4"/>
    <w:rsid w:val="00537BA8"/>
    <w:rsid w:val="0054025D"/>
    <w:rsid w:val="00544F19"/>
    <w:rsid w:val="0055123E"/>
    <w:rsid w:val="00551B24"/>
    <w:rsid w:val="00555E0E"/>
    <w:rsid w:val="00563383"/>
    <w:rsid w:val="005650C7"/>
    <w:rsid w:val="00565924"/>
    <w:rsid w:val="005722A4"/>
    <w:rsid w:val="005732E8"/>
    <w:rsid w:val="00574240"/>
    <w:rsid w:val="00574572"/>
    <w:rsid w:val="00581C65"/>
    <w:rsid w:val="00581E37"/>
    <w:rsid w:val="005829EC"/>
    <w:rsid w:val="00585CA4"/>
    <w:rsid w:val="005906D5"/>
    <w:rsid w:val="00593AFC"/>
    <w:rsid w:val="00593E20"/>
    <w:rsid w:val="00594F92"/>
    <w:rsid w:val="005956BA"/>
    <w:rsid w:val="00597948"/>
    <w:rsid w:val="005A2ABC"/>
    <w:rsid w:val="005A4DBB"/>
    <w:rsid w:val="005A6304"/>
    <w:rsid w:val="005A6B49"/>
    <w:rsid w:val="005A6BC7"/>
    <w:rsid w:val="005B127F"/>
    <w:rsid w:val="005B137C"/>
    <w:rsid w:val="005B1AC5"/>
    <w:rsid w:val="005B471A"/>
    <w:rsid w:val="005B4FED"/>
    <w:rsid w:val="005B6A25"/>
    <w:rsid w:val="005B6ACF"/>
    <w:rsid w:val="005B78AC"/>
    <w:rsid w:val="005C4647"/>
    <w:rsid w:val="005C7C1F"/>
    <w:rsid w:val="005D051A"/>
    <w:rsid w:val="005D0FF2"/>
    <w:rsid w:val="005D1063"/>
    <w:rsid w:val="005D11EF"/>
    <w:rsid w:val="005D162C"/>
    <w:rsid w:val="005D1979"/>
    <w:rsid w:val="005D44D2"/>
    <w:rsid w:val="005D508A"/>
    <w:rsid w:val="005E0CF2"/>
    <w:rsid w:val="005E2AEA"/>
    <w:rsid w:val="005E2CC2"/>
    <w:rsid w:val="005E6334"/>
    <w:rsid w:val="005E68DF"/>
    <w:rsid w:val="005E6B70"/>
    <w:rsid w:val="005F239C"/>
    <w:rsid w:val="005F5D79"/>
    <w:rsid w:val="00601239"/>
    <w:rsid w:val="006035AF"/>
    <w:rsid w:val="00607376"/>
    <w:rsid w:val="006103E6"/>
    <w:rsid w:val="00610E35"/>
    <w:rsid w:val="00611973"/>
    <w:rsid w:val="006122D8"/>
    <w:rsid w:val="0061247A"/>
    <w:rsid w:val="00612C52"/>
    <w:rsid w:val="00615000"/>
    <w:rsid w:val="006157E6"/>
    <w:rsid w:val="00615938"/>
    <w:rsid w:val="0062027C"/>
    <w:rsid w:val="00620AE6"/>
    <w:rsid w:val="00620FF4"/>
    <w:rsid w:val="00621863"/>
    <w:rsid w:val="006236E7"/>
    <w:rsid w:val="00626051"/>
    <w:rsid w:val="0063014E"/>
    <w:rsid w:val="0063074A"/>
    <w:rsid w:val="00631B9F"/>
    <w:rsid w:val="00633775"/>
    <w:rsid w:val="00635E36"/>
    <w:rsid w:val="00636BFC"/>
    <w:rsid w:val="00636FA9"/>
    <w:rsid w:val="00643123"/>
    <w:rsid w:val="006477D9"/>
    <w:rsid w:val="00647889"/>
    <w:rsid w:val="0065112D"/>
    <w:rsid w:val="00651FA9"/>
    <w:rsid w:val="00653E2F"/>
    <w:rsid w:val="00654890"/>
    <w:rsid w:val="0066134E"/>
    <w:rsid w:val="00664A81"/>
    <w:rsid w:val="0066667F"/>
    <w:rsid w:val="006679A9"/>
    <w:rsid w:val="00670E0D"/>
    <w:rsid w:val="00674194"/>
    <w:rsid w:val="0067468F"/>
    <w:rsid w:val="00674B1F"/>
    <w:rsid w:val="006814BB"/>
    <w:rsid w:val="006840EB"/>
    <w:rsid w:val="006852E5"/>
    <w:rsid w:val="0069204D"/>
    <w:rsid w:val="0069342C"/>
    <w:rsid w:val="006951B9"/>
    <w:rsid w:val="00695912"/>
    <w:rsid w:val="00696796"/>
    <w:rsid w:val="00697292"/>
    <w:rsid w:val="006A0712"/>
    <w:rsid w:val="006A4502"/>
    <w:rsid w:val="006A541C"/>
    <w:rsid w:val="006A5B3B"/>
    <w:rsid w:val="006A7F1A"/>
    <w:rsid w:val="006B1969"/>
    <w:rsid w:val="006B1DA6"/>
    <w:rsid w:val="006B377B"/>
    <w:rsid w:val="006B4F42"/>
    <w:rsid w:val="006B55DC"/>
    <w:rsid w:val="006C1FC4"/>
    <w:rsid w:val="006C388B"/>
    <w:rsid w:val="006C5EFF"/>
    <w:rsid w:val="006C6103"/>
    <w:rsid w:val="006C7A4C"/>
    <w:rsid w:val="006D0CE1"/>
    <w:rsid w:val="006D406B"/>
    <w:rsid w:val="006D6E50"/>
    <w:rsid w:val="006E29B7"/>
    <w:rsid w:val="006E2AD2"/>
    <w:rsid w:val="006E2B32"/>
    <w:rsid w:val="006E57C4"/>
    <w:rsid w:val="006F299B"/>
    <w:rsid w:val="006F2B34"/>
    <w:rsid w:val="006F3F2D"/>
    <w:rsid w:val="007057ED"/>
    <w:rsid w:val="0070672F"/>
    <w:rsid w:val="00707708"/>
    <w:rsid w:val="007105A6"/>
    <w:rsid w:val="00715417"/>
    <w:rsid w:val="0071542F"/>
    <w:rsid w:val="00720397"/>
    <w:rsid w:val="007216E3"/>
    <w:rsid w:val="00722A2E"/>
    <w:rsid w:val="007233CB"/>
    <w:rsid w:val="0072431D"/>
    <w:rsid w:val="0072468B"/>
    <w:rsid w:val="00724F52"/>
    <w:rsid w:val="00726DD4"/>
    <w:rsid w:val="007304A8"/>
    <w:rsid w:val="00730F56"/>
    <w:rsid w:val="00733C58"/>
    <w:rsid w:val="0073677C"/>
    <w:rsid w:val="00742B19"/>
    <w:rsid w:val="00744E2C"/>
    <w:rsid w:val="00752119"/>
    <w:rsid w:val="00754408"/>
    <w:rsid w:val="007560B0"/>
    <w:rsid w:val="007561E7"/>
    <w:rsid w:val="00757EE9"/>
    <w:rsid w:val="0076035F"/>
    <w:rsid w:val="0076084B"/>
    <w:rsid w:val="00762DD6"/>
    <w:rsid w:val="007631C7"/>
    <w:rsid w:val="00763CCC"/>
    <w:rsid w:val="00764280"/>
    <w:rsid w:val="007666D1"/>
    <w:rsid w:val="00766C1F"/>
    <w:rsid w:val="007676F3"/>
    <w:rsid w:val="00773CEC"/>
    <w:rsid w:val="007751E3"/>
    <w:rsid w:val="00776C72"/>
    <w:rsid w:val="00777AE5"/>
    <w:rsid w:val="007807DC"/>
    <w:rsid w:val="00782103"/>
    <w:rsid w:val="0078258F"/>
    <w:rsid w:val="007846BC"/>
    <w:rsid w:val="00790B25"/>
    <w:rsid w:val="00790C7A"/>
    <w:rsid w:val="00792131"/>
    <w:rsid w:val="00794B6E"/>
    <w:rsid w:val="00795CC0"/>
    <w:rsid w:val="007969A4"/>
    <w:rsid w:val="007A0114"/>
    <w:rsid w:val="007A5484"/>
    <w:rsid w:val="007B0B02"/>
    <w:rsid w:val="007B1321"/>
    <w:rsid w:val="007B1904"/>
    <w:rsid w:val="007B5553"/>
    <w:rsid w:val="007B5E91"/>
    <w:rsid w:val="007B73DC"/>
    <w:rsid w:val="007C37CC"/>
    <w:rsid w:val="007D02FF"/>
    <w:rsid w:val="007D4297"/>
    <w:rsid w:val="007D6370"/>
    <w:rsid w:val="007D7AC6"/>
    <w:rsid w:val="007E092F"/>
    <w:rsid w:val="007E4943"/>
    <w:rsid w:val="007E5112"/>
    <w:rsid w:val="007E5EC0"/>
    <w:rsid w:val="007F2108"/>
    <w:rsid w:val="007F3520"/>
    <w:rsid w:val="007F3528"/>
    <w:rsid w:val="007F3750"/>
    <w:rsid w:val="007F4D36"/>
    <w:rsid w:val="007F7C06"/>
    <w:rsid w:val="0080098A"/>
    <w:rsid w:val="00801761"/>
    <w:rsid w:val="008111EB"/>
    <w:rsid w:val="008126F8"/>
    <w:rsid w:val="008130C9"/>
    <w:rsid w:val="00813D02"/>
    <w:rsid w:val="00814833"/>
    <w:rsid w:val="00814CA8"/>
    <w:rsid w:val="00815C8F"/>
    <w:rsid w:val="0081715E"/>
    <w:rsid w:val="0082033D"/>
    <w:rsid w:val="008222AD"/>
    <w:rsid w:val="00823509"/>
    <w:rsid w:val="00823D04"/>
    <w:rsid w:val="00824B88"/>
    <w:rsid w:val="00824B92"/>
    <w:rsid w:val="00826631"/>
    <w:rsid w:val="0083104D"/>
    <w:rsid w:val="00833B4F"/>
    <w:rsid w:val="008349AE"/>
    <w:rsid w:val="00834E0B"/>
    <w:rsid w:val="00836C5D"/>
    <w:rsid w:val="00842C2C"/>
    <w:rsid w:val="0084427B"/>
    <w:rsid w:val="008455B0"/>
    <w:rsid w:val="00846D77"/>
    <w:rsid w:val="00847E3D"/>
    <w:rsid w:val="00851487"/>
    <w:rsid w:val="0085179D"/>
    <w:rsid w:val="00852480"/>
    <w:rsid w:val="00853F4B"/>
    <w:rsid w:val="00855A96"/>
    <w:rsid w:val="00856632"/>
    <w:rsid w:val="008577CA"/>
    <w:rsid w:val="0086106C"/>
    <w:rsid w:val="008615B4"/>
    <w:rsid w:val="00867308"/>
    <w:rsid w:val="0087138F"/>
    <w:rsid w:val="008735F5"/>
    <w:rsid w:val="00876EBB"/>
    <w:rsid w:val="008813F0"/>
    <w:rsid w:val="0089099B"/>
    <w:rsid w:val="00891F62"/>
    <w:rsid w:val="0089403A"/>
    <w:rsid w:val="0089463F"/>
    <w:rsid w:val="008A6A3B"/>
    <w:rsid w:val="008B0543"/>
    <w:rsid w:val="008B7629"/>
    <w:rsid w:val="008B7F61"/>
    <w:rsid w:val="008C0888"/>
    <w:rsid w:val="008C3505"/>
    <w:rsid w:val="008D01F3"/>
    <w:rsid w:val="008D1C7A"/>
    <w:rsid w:val="008D22F8"/>
    <w:rsid w:val="008D30EA"/>
    <w:rsid w:val="008D3E33"/>
    <w:rsid w:val="008D4649"/>
    <w:rsid w:val="008D48A5"/>
    <w:rsid w:val="008D55C8"/>
    <w:rsid w:val="008D611E"/>
    <w:rsid w:val="008E1143"/>
    <w:rsid w:val="008E20DE"/>
    <w:rsid w:val="008E2A56"/>
    <w:rsid w:val="008E5000"/>
    <w:rsid w:val="008F1770"/>
    <w:rsid w:val="008F2FB5"/>
    <w:rsid w:val="009013C5"/>
    <w:rsid w:val="00901BD5"/>
    <w:rsid w:val="0090336B"/>
    <w:rsid w:val="00903AA5"/>
    <w:rsid w:val="00904991"/>
    <w:rsid w:val="009061A4"/>
    <w:rsid w:val="00911BD5"/>
    <w:rsid w:val="00911EF0"/>
    <w:rsid w:val="00912E02"/>
    <w:rsid w:val="00923623"/>
    <w:rsid w:val="009245A1"/>
    <w:rsid w:val="009315EE"/>
    <w:rsid w:val="00932E88"/>
    <w:rsid w:val="0093440F"/>
    <w:rsid w:val="00936717"/>
    <w:rsid w:val="0094071A"/>
    <w:rsid w:val="00942024"/>
    <w:rsid w:val="00942E75"/>
    <w:rsid w:val="00944550"/>
    <w:rsid w:val="00947410"/>
    <w:rsid w:val="0095004C"/>
    <w:rsid w:val="00950085"/>
    <w:rsid w:val="00950A23"/>
    <w:rsid w:val="009531CA"/>
    <w:rsid w:val="009550AD"/>
    <w:rsid w:val="009565D4"/>
    <w:rsid w:val="00956943"/>
    <w:rsid w:val="009578F2"/>
    <w:rsid w:val="00961E10"/>
    <w:rsid w:val="009636CF"/>
    <w:rsid w:val="00964F6A"/>
    <w:rsid w:val="00964F81"/>
    <w:rsid w:val="00967590"/>
    <w:rsid w:val="00967D7C"/>
    <w:rsid w:val="0097214E"/>
    <w:rsid w:val="00972AFF"/>
    <w:rsid w:val="0097331A"/>
    <w:rsid w:val="0097600C"/>
    <w:rsid w:val="00977D73"/>
    <w:rsid w:val="00977E63"/>
    <w:rsid w:val="009814B6"/>
    <w:rsid w:val="009859E2"/>
    <w:rsid w:val="00985F4F"/>
    <w:rsid w:val="00990DA4"/>
    <w:rsid w:val="00991C7D"/>
    <w:rsid w:val="0099262A"/>
    <w:rsid w:val="0099739B"/>
    <w:rsid w:val="009A025A"/>
    <w:rsid w:val="009A05F3"/>
    <w:rsid w:val="009A1FD6"/>
    <w:rsid w:val="009A3099"/>
    <w:rsid w:val="009A507B"/>
    <w:rsid w:val="009B104E"/>
    <w:rsid w:val="009B4413"/>
    <w:rsid w:val="009B56DA"/>
    <w:rsid w:val="009B6198"/>
    <w:rsid w:val="009C1CAF"/>
    <w:rsid w:val="009C223E"/>
    <w:rsid w:val="009C4071"/>
    <w:rsid w:val="009C42CD"/>
    <w:rsid w:val="009C5B59"/>
    <w:rsid w:val="009C5D46"/>
    <w:rsid w:val="009D1168"/>
    <w:rsid w:val="009D13BB"/>
    <w:rsid w:val="009D50EB"/>
    <w:rsid w:val="009D6139"/>
    <w:rsid w:val="009D61F4"/>
    <w:rsid w:val="009D762A"/>
    <w:rsid w:val="009E1FB9"/>
    <w:rsid w:val="009E20D0"/>
    <w:rsid w:val="009E32F5"/>
    <w:rsid w:val="009E34AC"/>
    <w:rsid w:val="009E4C83"/>
    <w:rsid w:val="009E5A33"/>
    <w:rsid w:val="009E6279"/>
    <w:rsid w:val="009F1F1A"/>
    <w:rsid w:val="009F2649"/>
    <w:rsid w:val="009F3E6A"/>
    <w:rsid w:val="009F4A67"/>
    <w:rsid w:val="009F704C"/>
    <w:rsid w:val="009F7A37"/>
    <w:rsid w:val="00A00CA8"/>
    <w:rsid w:val="00A01FE0"/>
    <w:rsid w:val="00A0215D"/>
    <w:rsid w:val="00A06666"/>
    <w:rsid w:val="00A079EF"/>
    <w:rsid w:val="00A105E0"/>
    <w:rsid w:val="00A10898"/>
    <w:rsid w:val="00A14CAC"/>
    <w:rsid w:val="00A178FC"/>
    <w:rsid w:val="00A23061"/>
    <w:rsid w:val="00A24FCA"/>
    <w:rsid w:val="00A27534"/>
    <w:rsid w:val="00A3018B"/>
    <w:rsid w:val="00A3128D"/>
    <w:rsid w:val="00A324EA"/>
    <w:rsid w:val="00A33A46"/>
    <w:rsid w:val="00A33CF4"/>
    <w:rsid w:val="00A3471F"/>
    <w:rsid w:val="00A35408"/>
    <w:rsid w:val="00A41510"/>
    <w:rsid w:val="00A45A40"/>
    <w:rsid w:val="00A45B43"/>
    <w:rsid w:val="00A4734E"/>
    <w:rsid w:val="00A4794A"/>
    <w:rsid w:val="00A5046B"/>
    <w:rsid w:val="00A5124D"/>
    <w:rsid w:val="00A52527"/>
    <w:rsid w:val="00A533DE"/>
    <w:rsid w:val="00A53D74"/>
    <w:rsid w:val="00A53E2B"/>
    <w:rsid w:val="00A53EB9"/>
    <w:rsid w:val="00A5597E"/>
    <w:rsid w:val="00A62683"/>
    <w:rsid w:val="00A67C7A"/>
    <w:rsid w:val="00A7078B"/>
    <w:rsid w:val="00A815E3"/>
    <w:rsid w:val="00A817CE"/>
    <w:rsid w:val="00A91E89"/>
    <w:rsid w:val="00A928FA"/>
    <w:rsid w:val="00A950B5"/>
    <w:rsid w:val="00AA08ED"/>
    <w:rsid w:val="00AA6D62"/>
    <w:rsid w:val="00AA7B0B"/>
    <w:rsid w:val="00AB3167"/>
    <w:rsid w:val="00AB32CF"/>
    <w:rsid w:val="00AB4548"/>
    <w:rsid w:val="00AB4BAB"/>
    <w:rsid w:val="00AB5B05"/>
    <w:rsid w:val="00AB6564"/>
    <w:rsid w:val="00AB7637"/>
    <w:rsid w:val="00AB7A6D"/>
    <w:rsid w:val="00AC07A4"/>
    <w:rsid w:val="00AC0C31"/>
    <w:rsid w:val="00AC52A5"/>
    <w:rsid w:val="00AC59EB"/>
    <w:rsid w:val="00AC5A36"/>
    <w:rsid w:val="00AC5EC9"/>
    <w:rsid w:val="00AC627E"/>
    <w:rsid w:val="00AC76EF"/>
    <w:rsid w:val="00AD2235"/>
    <w:rsid w:val="00AD25FB"/>
    <w:rsid w:val="00AD2A2A"/>
    <w:rsid w:val="00AD3095"/>
    <w:rsid w:val="00AD5ABA"/>
    <w:rsid w:val="00AD5C47"/>
    <w:rsid w:val="00AD6564"/>
    <w:rsid w:val="00AE093E"/>
    <w:rsid w:val="00AE0A04"/>
    <w:rsid w:val="00AE131D"/>
    <w:rsid w:val="00AE2F45"/>
    <w:rsid w:val="00AE748D"/>
    <w:rsid w:val="00AE7982"/>
    <w:rsid w:val="00AF3757"/>
    <w:rsid w:val="00AF4267"/>
    <w:rsid w:val="00AF46DD"/>
    <w:rsid w:val="00AF5F6E"/>
    <w:rsid w:val="00B01553"/>
    <w:rsid w:val="00B02599"/>
    <w:rsid w:val="00B03A98"/>
    <w:rsid w:val="00B058CF"/>
    <w:rsid w:val="00B058EE"/>
    <w:rsid w:val="00B05E82"/>
    <w:rsid w:val="00B116D9"/>
    <w:rsid w:val="00B11D0F"/>
    <w:rsid w:val="00B14060"/>
    <w:rsid w:val="00B1671A"/>
    <w:rsid w:val="00B16B3C"/>
    <w:rsid w:val="00B24BAF"/>
    <w:rsid w:val="00B24DEE"/>
    <w:rsid w:val="00B255B7"/>
    <w:rsid w:val="00B25EE3"/>
    <w:rsid w:val="00B269D4"/>
    <w:rsid w:val="00B26E47"/>
    <w:rsid w:val="00B3357C"/>
    <w:rsid w:val="00B3390A"/>
    <w:rsid w:val="00B34B48"/>
    <w:rsid w:val="00B36809"/>
    <w:rsid w:val="00B418F5"/>
    <w:rsid w:val="00B434D4"/>
    <w:rsid w:val="00B45829"/>
    <w:rsid w:val="00B50C91"/>
    <w:rsid w:val="00B52AC8"/>
    <w:rsid w:val="00B53ADE"/>
    <w:rsid w:val="00B545BD"/>
    <w:rsid w:val="00B54B11"/>
    <w:rsid w:val="00B55F2F"/>
    <w:rsid w:val="00B574B1"/>
    <w:rsid w:val="00B61677"/>
    <w:rsid w:val="00B61C4A"/>
    <w:rsid w:val="00B61EC9"/>
    <w:rsid w:val="00B62090"/>
    <w:rsid w:val="00B6232C"/>
    <w:rsid w:val="00B632EE"/>
    <w:rsid w:val="00B63601"/>
    <w:rsid w:val="00B65417"/>
    <w:rsid w:val="00B679AD"/>
    <w:rsid w:val="00B703D5"/>
    <w:rsid w:val="00B7123F"/>
    <w:rsid w:val="00B723D2"/>
    <w:rsid w:val="00B74CFA"/>
    <w:rsid w:val="00B7523C"/>
    <w:rsid w:val="00B76A61"/>
    <w:rsid w:val="00B7744A"/>
    <w:rsid w:val="00B80CB9"/>
    <w:rsid w:val="00B8240F"/>
    <w:rsid w:val="00B82D4D"/>
    <w:rsid w:val="00B83CB3"/>
    <w:rsid w:val="00B86346"/>
    <w:rsid w:val="00B87EE6"/>
    <w:rsid w:val="00B9049F"/>
    <w:rsid w:val="00B91EE7"/>
    <w:rsid w:val="00B9260A"/>
    <w:rsid w:val="00B9307B"/>
    <w:rsid w:val="00B93694"/>
    <w:rsid w:val="00B93FF4"/>
    <w:rsid w:val="00B96ABD"/>
    <w:rsid w:val="00BA3407"/>
    <w:rsid w:val="00BA4485"/>
    <w:rsid w:val="00BA5729"/>
    <w:rsid w:val="00BA5983"/>
    <w:rsid w:val="00BA690F"/>
    <w:rsid w:val="00BA6A4A"/>
    <w:rsid w:val="00BA6E4C"/>
    <w:rsid w:val="00BA73C6"/>
    <w:rsid w:val="00BA7BA0"/>
    <w:rsid w:val="00BA7BE4"/>
    <w:rsid w:val="00BB1B8D"/>
    <w:rsid w:val="00BB2E46"/>
    <w:rsid w:val="00BB40CF"/>
    <w:rsid w:val="00BB5141"/>
    <w:rsid w:val="00BB58B5"/>
    <w:rsid w:val="00BB5C58"/>
    <w:rsid w:val="00BC0229"/>
    <w:rsid w:val="00BC0C3E"/>
    <w:rsid w:val="00BC1CD5"/>
    <w:rsid w:val="00BC56BD"/>
    <w:rsid w:val="00BC6B41"/>
    <w:rsid w:val="00BD2D17"/>
    <w:rsid w:val="00BD42E5"/>
    <w:rsid w:val="00BE02A5"/>
    <w:rsid w:val="00BE2D0F"/>
    <w:rsid w:val="00BE4EAB"/>
    <w:rsid w:val="00BE711C"/>
    <w:rsid w:val="00BF1237"/>
    <w:rsid w:val="00BF18DC"/>
    <w:rsid w:val="00BF403A"/>
    <w:rsid w:val="00BF6F64"/>
    <w:rsid w:val="00C027FF"/>
    <w:rsid w:val="00C03D52"/>
    <w:rsid w:val="00C040C6"/>
    <w:rsid w:val="00C04B4F"/>
    <w:rsid w:val="00C04D4C"/>
    <w:rsid w:val="00C06FC6"/>
    <w:rsid w:val="00C07942"/>
    <w:rsid w:val="00C13DE2"/>
    <w:rsid w:val="00C14408"/>
    <w:rsid w:val="00C14776"/>
    <w:rsid w:val="00C1538D"/>
    <w:rsid w:val="00C17F58"/>
    <w:rsid w:val="00C20904"/>
    <w:rsid w:val="00C20BE7"/>
    <w:rsid w:val="00C224C5"/>
    <w:rsid w:val="00C258E4"/>
    <w:rsid w:val="00C307E7"/>
    <w:rsid w:val="00C32CBC"/>
    <w:rsid w:val="00C34A92"/>
    <w:rsid w:val="00C35829"/>
    <w:rsid w:val="00C370A7"/>
    <w:rsid w:val="00C43356"/>
    <w:rsid w:val="00C45953"/>
    <w:rsid w:val="00C47960"/>
    <w:rsid w:val="00C520A3"/>
    <w:rsid w:val="00C57E90"/>
    <w:rsid w:val="00C62114"/>
    <w:rsid w:val="00C623DC"/>
    <w:rsid w:val="00C62F1C"/>
    <w:rsid w:val="00C6380F"/>
    <w:rsid w:val="00C65634"/>
    <w:rsid w:val="00C6575D"/>
    <w:rsid w:val="00C65A80"/>
    <w:rsid w:val="00C70D96"/>
    <w:rsid w:val="00C736AD"/>
    <w:rsid w:val="00C744A3"/>
    <w:rsid w:val="00C754B8"/>
    <w:rsid w:val="00C81DB5"/>
    <w:rsid w:val="00C837F5"/>
    <w:rsid w:val="00C85F93"/>
    <w:rsid w:val="00C8728A"/>
    <w:rsid w:val="00C873D6"/>
    <w:rsid w:val="00C900FF"/>
    <w:rsid w:val="00C91663"/>
    <w:rsid w:val="00C92A1B"/>
    <w:rsid w:val="00C94154"/>
    <w:rsid w:val="00C94BDE"/>
    <w:rsid w:val="00C95FF9"/>
    <w:rsid w:val="00C977A5"/>
    <w:rsid w:val="00CA0681"/>
    <w:rsid w:val="00CA1697"/>
    <w:rsid w:val="00CA2E0C"/>
    <w:rsid w:val="00CA345E"/>
    <w:rsid w:val="00CA7FB3"/>
    <w:rsid w:val="00CB21DC"/>
    <w:rsid w:val="00CB24F4"/>
    <w:rsid w:val="00CB3FC8"/>
    <w:rsid w:val="00CB442A"/>
    <w:rsid w:val="00CB66A6"/>
    <w:rsid w:val="00CB67F6"/>
    <w:rsid w:val="00CB6C1C"/>
    <w:rsid w:val="00CC06A0"/>
    <w:rsid w:val="00CC12B2"/>
    <w:rsid w:val="00CC63C0"/>
    <w:rsid w:val="00CD0E4F"/>
    <w:rsid w:val="00CD4956"/>
    <w:rsid w:val="00CD4B2E"/>
    <w:rsid w:val="00CD4DE4"/>
    <w:rsid w:val="00CD5478"/>
    <w:rsid w:val="00CD6527"/>
    <w:rsid w:val="00CD6665"/>
    <w:rsid w:val="00CD6B3F"/>
    <w:rsid w:val="00CF3E63"/>
    <w:rsid w:val="00CF561E"/>
    <w:rsid w:val="00CF5BDB"/>
    <w:rsid w:val="00CF7625"/>
    <w:rsid w:val="00D0262D"/>
    <w:rsid w:val="00D0273C"/>
    <w:rsid w:val="00D1078B"/>
    <w:rsid w:val="00D10AAD"/>
    <w:rsid w:val="00D11A10"/>
    <w:rsid w:val="00D12C3F"/>
    <w:rsid w:val="00D143BA"/>
    <w:rsid w:val="00D1528B"/>
    <w:rsid w:val="00D20DD2"/>
    <w:rsid w:val="00D214BA"/>
    <w:rsid w:val="00D21F62"/>
    <w:rsid w:val="00D24A91"/>
    <w:rsid w:val="00D34EEE"/>
    <w:rsid w:val="00D36E67"/>
    <w:rsid w:val="00D37BAF"/>
    <w:rsid w:val="00D40A64"/>
    <w:rsid w:val="00D44121"/>
    <w:rsid w:val="00D442D9"/>
    <w:rsid w:val="00D4487B"/>
    <w:rsid w:val="00D46C86"/>
    <w:rsid w:val="00D51337"/>
    <w:rsid w:val="00D51B1E"/>
    <w:rsid w:val="00D51BE3"/>
    <w:rsid w:val="00D52184"/>
    <w:rsid w:val="00D52C45"/>
    <w:rsid w:val="00D534E2"/>
    <w:rsid w:val="00D53515"/>
    <w:rsid w:val="00D54E6F"/>
    <w:rsid w:val="00D55B09"/>
    <w:rsid w:val="00D71743"/>
    <w:rsid w:val="00D71B21"/>
    <w:rsid w:val="00D73095"/>
    <w:rsid w:val="00D8054B"/>
    <w:rsid w:val="00D808EA"/>
    <w:rsid w:val="00D836D2"/>
    <w:rsid w:val="00D86713"/>
    <w:rsid w:val="00D9060A"/>
    <w:rsid w:val="00D918A7"/>
    <w:rsid w:val="00D91C3B"/>
    <w:rsid w:val="00D925F7"/>
    <w:rsid w:val="00D960FF"/>
    <w:rsid w:val="00D96202"/>
    <w:rsid w:val="00D96598"/>
    <w:rsid w:val="00D96AC6"/>
    <w:rsid w:val="00D979EA"/>
    <w:rsid w:val="00DA014B"/>
    <w:rsid w:val="00DA02B9"/>
    <w:rsid w:val="00DA42EA"/>
    <w:rsid w:val="00DA61E6"/>
    <w:rsid w:val="00DA7FEA"/>
    <w:rsid w:val="00DB269B"/>
    <w:rsid w:val="00DB2E3E"/>
    <w:rsid w:val="00DB3815"/>
    <w:rsid w:val="00DB399E"/>
    <w:rsid w:val="00DB734A"/>
    <w:rsid w:val="00DC02B5"/>
    <w:rsid w:val="00DC2510"/>
    <w:rsid w:val="00DC6213"/>
    <w:rsid w:val="00DC6377"/>
    <w:rsid w:val="00DD27D1"/>
    <w:rsid w:val="00DD2EDE"/>
    <w:rsid w:val="00DD3987"/>
    <w:rsid w:val="00DD4409"/>
    <w:rsid w:val="00DD5176"/>
    <w:rsid w:val="00DE143B"/>
    <w:rsid w:val="00DE221A"/>
    <w:rsid w:val="00DE2334"/>
    <w:rsid w:val="00DE2755"/>
    <w:rsid w:val="00DE5C1E"/>
    <w:rsid w:val="00DE5DF1"/>
    <w:rsid w:val="00DF599C"/>
    <w:rsid w:val="00DF689B"/>
    <w:rsid w:val="00DF68F0"/>
    <w:rsid w:val="00DF6CDE"/>
    <w:rsid w:val="00DF7242"/>
    <w:rsid w:val="00E0113D"/>
    <w:rsid w:val="00E015EB"/>
    <w:rsid w:val="00E03038"/>
    <w:rsid w:val="00E039CB"/>
    <w:rsid w:val="00E065C4"/>
    <w:rsid w:val="00E06D1B"/>
    <w:rsid w:val="00E07F01"/>
    <w:rsid w:val="00E1243B"/>
    <w:rsid w:val="00E1423B"/>
    <w:rsid w:val="00E14CEE"/>
    <w:rsid w:val="00E15A93"/>
    <w:rsid w:val="00E16148"/>
    <w:rsid w:val="00E17F9D"/>
    <w:rsid w:val="00E20083"/>
    <w:rsid w:val="00E20AF1"/>
    <w:rsid w:val="00E25DFC"/>
    <w:rsid w:val="00E30F9F"/>
    <w:rsid w:val="00E316A8"/>
    <w:rsid w:val="00E317E1"/>
    <w:rsid w:val="00E33231"/>
    <w:rsid w:val="00E339B3"/>
    <w:rsid w:val="00E410D6"/>
    <w:rsid w:val="00E435B5"/>
    <w:rsid w:val="00E443F4"/>
    <w:rsid w:val="00E46C8C"/>
    <w:rsid w:val="00E52E12"/>
    <w:rsid w:val="00E569C9"/>
    <w:rsid w:val="00E60473"/>
    <w:rsid w:val="00E6186E"/>
    <w:rsid w:val="00E64A15"/>
    <w:rsid w:val="00E70701"/>
    <w:rsid w:val="00E72F03"/>
    <w:rsid w:val="00E73AC8"/>
    <w:rsid w:val="00E73F45"/>
    <w:rsid w:val="00E7420B"/>
    <w:rsid w:val="00E7429A"/>
    <w:rsid w:val="00E75D89"/>
    <w:rsid w:val="00E770A4"/>
    <w:rsid w:val="00E81A71"/>
    <w:rsid w:val="00E84434"/>
    <w:rsid w:val="00E910C0"/>
    <w:rsid w:val="00E9324B"/>
    <w:rsid w:val="00E9511F"/>
    <w:rsid w:val="00E954B3"/>
    <w:rsid w:val="00E96823"/>
    <w:rsid w:val="00EA0512"/>
    <w:rsid w:val="00EA21E0"/>
    <w:rsid w:val="00EB1D8B"/>
    <w:rsid w:val="00EB30F5"/>
    <w:rsid w:val="00EB4A14"/>
    <w:rsid w:val="00EB5299"/>
    <w:rsid w:val="00EB5C8B"/>
    <w:rsid w:val="00EB5F40"/>
    <w:rsid w:val="00EB7EB8"/>
    <w:rsid w:val="00EC1259"/>
    <w:rsid w:val="00EC29D5"/>
    <w:rsid w:val="00EC3CC1"/>
    <w:rsid w:val="00EC3D78"/>
    <w:rsid w:val="00EC47CA"/>
    <w:rsid w:val="00EC5F47"/>
    <w:rsid w:val="00EC6153"/>
    <w:rsid w:val="00ED0430"/>
    <w:rsid w:val="00ED07D0"/>
    <w:rsid w:val="00ED263C"/>
    <w:rsid w:val="00ED297D"/>
    <w:rsid w:val="00ED2A92"/>
    <w:rsid w:val="00ED2B55"/>
    <w:rsid w:val="00ED3BFF"/>
    <w:rsid w:val="00ED503D"/>
    <w:rsid w:val="00ED6872"/>
    <w:rsid w:val="00EE0109"/>
    <w:rsid w:val="00EE022D"/>
    <w:rsid w:val="00EE11FD"/>
    <w:rsid w:val="00EE1D07"/>
    <w:rsid w:val="00EE2537"/>
    <w:rsid w:val="00EE2DA2"/>
    <w:rsid w:val="00EE4B98"/>
    <w:rsid w:val="00EF5607"/>
    <w:rsid w:val="00EF6A51"/>
    <w:rsid w:val="00F00FB6"/>
    <w:rsid w:val="00F02DA1"/>
    <w:rsid w:val="00F030AA"/>
    <w:rsid w:val="00F050EB"/>
    <w:rsid w:val="00F12CFA"/>
    <w:rsid w:val="00F13235"/>
    <w:rsid w:val="00F145E8"/>
    <w:rsid w:val="00F1494E"/>
    <w:rsid w:val="00F152A4"/>
    <w:rsid w:val="00F21C9D"/>
    <w:rsid w:val="00F23798"/>
    <w:rsid w:val="00F24675"/>
    <w:rsid w:val="00F25C44"/>
    <w:rsid w:val="00F260AC"/>
    <w:rsid w:val="00F26DFB"/>
    <w:rsid w:val="00F27043"/>
    <w:rsid w:val="00F313DA"/>
    <w:rsid w:val="00F324D5"/>
    <w:rsid w:val="00F32718"/>
    <w:rsid w:val="00F327B4"/>
    <w:rsid w:val="00F32C54"/>
    <w:rsid w:val="00F32E6C"/>
    <w:rsid w:val="00F32E6E"/>
    <w:rsid w:val="00F32FD1"/>
    <w:rsid w:val="00F41461"/>
    <w:rsid w:val="00F42092"/>
    <w:rsid w:val="00F4263A"/>
    <w:rsid w:val="00F42AAE"/>
    <w:rsid w:val="00F42B60"/>
    <w:rsid w:val="00F453E6"/>
    <w:rsid w:val="00F47E96"/>
    <w:rsid w:val="00F50A3A"/>
    <w:rsid w:val="00F53A4C"/>
    <w:rsid w:val="00F53EFF"/>
    <w:rsid w:val="00F5526E"/>
    <w:rsid w:val="00F568A5"/>
    <w:rsid w:val="00F569E1"/>
    <w:rsid w:val="00F570A3"/>
    <w:rsid w:val="00F62411"/>
    <w:rsid w:val="00F62A1E"/>
    <w:rsid w:val="00F64DB9"/>
    <w:rsid w:val="00F65513"/>
    <w:rsid w:val="00F7138F"/>
    <w:rsid w:val="00F74136"/>
    <w:rsid w:val="00F82350"/>
    <w:rsid w:val="00F825C3"/>
    <w:rsid w:val="00F85399"/>
    <w:rsid w:val="00F91907"/>
    <w:rsid w:val="00F9248F"/>
    <w:rsid w:val="00F93183"/>
    <w:rsid w:val="00F96D00"/>
    <w:rsid w:val="00FA035F"/>
    <w:rsid w:val="00FA0E0C"/>
    <w:rsid w:val="00FA2276"/>
    <w:rsid w:val="00FA40D7"/>
    <w:rsid w:val="00FA512D"/>
    <w:rsid w:val="00FA686C"/>
    <w:rsid w:val="00FA6932"/>
    <w:rsid w:val="00FA6CEA"/>
    <w:rsid w:val="00FB1945"/>
    <w:rsid w:val="00FB3972"/>
    <w:rsid w:val="00FB7079"/>
    <w:rsid w:val="00FB70DE"/>
    <w:rsid w:val="00FC0446"/>
    <w:rsid w:val="00FC0EBA"/>
    <w:rsid w:val="00FC0EDD"/>
    <w:rsid w:val="00FC2BD1"/>
    <w:rsid w:val="00FC335E"/>
    <w:rsid w:val="00FC6C01"/>
    <w:rsid w:val="00FC6D87"/>
    <w:rsid w:val="00FC7B3B"/>
    <w:rsid w:val="00FD17C2"/>
    <w:rsid w:val="00FD3B50"/>
    <w:rsid w:val="00FD634F"/>
    <w:rsid w:val="00FE0A7C"/>
    <w:rsid w:val="00FE2611"/>
    <w:rsid w:val="00FF0DFC"/>
    <w:rsid w:val="00FF2067"/>
    <w:rsid w:val="00FF2AB0"/>
    <w:rsid w:val="00FF3FFA"/>
    <w:rsid w:val="00FF4B27"/>
    <w:rsid w:val="00FF5339"/>
    <w:rsid w:val="00FF7656"/>
    <w:rsid w:val="0CBB741C"/>
    <w:rsid w:val="0DE58C7F"/>
    <w:rsid w:val="1AF95594"/>
    <w:rsid w:val="5C29EF9C"/>
    <w:rsid w:val="64E26B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84F429"/>
  <w15:docId w15:val="{3E6B4975-5537-4C74-B7ED-8B1853CC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aliases w:val="Primary Bullet List"/>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hAnsi="Calibri" w:eastAsiaTheme="minorHAnsi" w:cstheme="minorBidi"/>
      <w:szCs w:val="21"/>
    </w:rPr>
  </w:style>
  <w:style w:type="character" w:customStyle="1" w:styleId="PlainTextChar">
    <w:name w:val="Plain Text Char"/>
    <w:basedOn w:val="DefaultParagraphFont"/>
    <w:link w:val="PlainText"/>
    <w:uiPriority w:val="99"/>
    <w:rsid w:val="005B6ACF"/>
    <w:rPr>
      <w:rFonts w:ascii="Calibri" w:hAnsi="Calibri" w:eastAsiaTheme="minorHAns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hAnsi="Calibri" w:eastAsiaTheme="minorHAns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aliases w:val="Primary Bullet List Char"/>
    <w:link w:val="ListParagraph"/>
    <w:uiPriority w:val="34"/>
    <w:locked/>
    <w:rsid w:val="00C95FF9"/>
    <w:rPr>
      <w:rFonts w:asciiTheme="minorHAnsi" w:eastAsiaTheme="minorHAnsi" w:hAnsiTheme="minorHAnsi" w:cstheme="minorBidi"/>
      <w:sz w:val="22"/>
      <w:szCs w:val="22"/>
    </w:rPr>
  </w:style>
  <w:style w:type="character" w:styleId="Mention">
    <w:name w:val="Mention"/>
    <w:basedOn w:val="DefaultParagraphFont"/>
    <w:uiPriority w:val="99"/>
    <w:unhideWhenUsed/>
    <w:rsid w:val="00A5597E"/>
    <w:rPr>
      <w:color w:val="2B579A"/>
      <w:shd w:val="clear" w:color="auto" w:fill="E1DFDD"/>
    </w:rPr>
  </w:style>
  <w:style w:type="table" w:customStyle="1" w:styleId="ListTable31">
    <w:name w:val="List Table 31"/>
    <w:basedOn w:val="TableNormal"/>
    <w:uiPriority w:val="48"/>
    <w:rsid w:val="00BC6B4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B7C9D3"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Bullets">
    <w:name w:val="Table Bullets"/>
    <w:basedOn w:val="TableText"/>
    <w:qFormat/>
    <w:rsid w:val="00423486"/>
    <w:pPr>
      <w:numPr>
        <w:numId w:val="23"/>
      </w:numPr>
      <w:spacing w:before="20" w:after="20" w:line="240" w:lineRule="auto"/>
    </w:pPr>
    <w:rPr>
      <w:rFonts w:ascii="Arial Narrow" w:hAnsi="Arial Narrow" w:cs="Times New Roman"/>
      <w:bCs w:val="0"/>
      <w:color w:val="auto"/>
      <w:sz w:val="22"/>
    </w:rPr>
  </w:style>
  <w:style w:type="paragraph" w:customStyle="1" w:styleId="TableColumnHeader">
    <w:name w:val="Table Column Header"/>
    <w:basedOn w:val="Normal"/>
    <w:qFormat/>
    <w:rsid w:val="00423486"/>
    <w:pPr>
      <w:spacing w:before="20" w:after="20" w:line="240" w:lineRule="auto"/>
      <w:jc w:val="center"/>
    </w:pPr>
    <w:rPr>
      <w:rFonts w:ascii="Arial Narrow" w:hAnsi="Arial Narrow"/>
      <w:b/>
      <w:color w:val="B7C9D3"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yperlink" Target="https://www.bls.gov/oes/current/oes119141.htm" TargetMode="External" /><Relationship Id="rId18" Type="http://schemas.openxmlformats.org/officeDocument/2006/relationships/hyperlink" Target="https://www.bls.gov/news.release/pdf/ecec.pdf" TargetMode="Externa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lates\abttemplates\Abt%20Standards\Abt%20Report%207-15-2011.dotm" TargetMode="Externa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615E8-B04B-450F-968A-EAEE483E3774}">
  <ds:schemaRefs>
    <ds:schemaRef ds:uri="http://schemas.openxmlformats.org/officeDocument/2006/bibliography"/>
  </ds:schemaRefs>
</ds:datastoreItem>
</file>

<file path=customXml/itemProps2.xml><?xml version="1.0" encoding="utf-8"?>
<ds:datastoreItem xmlns:ds="http://schemas.openxmlformats.org/officeDocument/2006/customXml" ds:itemID="{284E06CF-074B-44C7-832F-AAEE075BED6A}">
  <ds:schemaRefs>
    <ds:schemaRef ds:uri="http://schemas.microsoft.com/sharepoint/v3/contenttype/forms"/>
  </ds:schemaRefs>
</ds:datastoreItem>
</file>

<file path=customXml/itemProps3.xml><?xml version="1.0" encoding="utf-8"?>
<ds:datastoreItem xmlns:ds="http://schemas.openxmlformats.org/officeDocument/2006/customXml" ds:itemID="{42981A89-3876-4565-994D-929E086F44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960289-3552-41B8-A904-4BC9E38BB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13</TotalTime>
  <Pages>18</Pages>
  <Words>6459</Words>
  <Characters>38697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Guido, Anna P</cp:lastModifiedBy>
  <cp:revision>2</cp:revision>
  <cp:lastPrinted>2016-07-13T19:33:00Z</cp:lastPrinted>
  <dcterms:created xsi:type="dcterms:W3CDTF">2022-12-14T18:14:00Z</dcterms:created>
  <dcterms:modified xsi:type="dcterms:W3CDTF">2022-12-14T18:14:00Z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0x01010093B74B517C4DE04889071AB728FBCCFD</vt:lpwstr>
  </property>
  <property fmtid="{D5CDD505-2E9C-101B-9397-08002B2CF9AE}" pid="3" name="MTWinEqns">
    <vt:bool>true</vt:bool>
  </property>
</Properties>
</file>