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49BF" w:rsidP="001F49BF" w14:paraId="10123BC8" w14:textId="2086C54E">
      <w:pPr>
        <w:pStyle w:val="CoverTextRed16pt"/>
        <w:rPr>
          <w:noProof/>
        </w:rPr>
      </w:pPr>
      <w:r>
        <w:rPr>
          <w:noProof/>
        </w:rPr>
        <w:t>Supporting</w:t>
      </w:r>
      <w:r w:rsidR="00A11B69">
        <w:rPr>
          <w:noProof/>
        </w:rPr>
        <w:t xml:space="preserve"> </w:t>
      </w:r>
      <w:r>
        <w:rPr>
          <w:noProof/>
        </w:rPr>
        <w:t>Statement for OMB Clearance Request</w:t>
      </w:r>
    </w:p>
    <w:p w:rsidR="00127FBE" w:rsidP="001F49BF" w14:paraId="10123BC9" w14:textId="77777777">
      <w:pPr>
        <w:pStyle w:val="CoverTextRed16pt"/>
        <w:rPr>
          <w:noProof/>
        </w:rPr>
      </w:pPr>
      <w:r>
        <w:rPr>
          <w:noProof/>
        </w:rPr>
        <w:t>Part B</w:t>
      </w:r>
    </w:p>
    <w:p w:rsidR="00FD3B50" w:rsidP="001F49BF" w14:paraId="10123BCA" w14:textId="77777777">
      <w:pPr>
        <w:pStyle w:val="CoverTextRed16pt"/>
        <w:rPr>
          <w:noProof/>
        </w:rPr>
      </w:pPr>
    </w:p>
    <w:p w:rsidR="001F49BF" w:rsidP="001F49BF" w14:paraId="10123BCB" w14:textId="77777777">
      <w:pPr>
        <w:pStyle w:val="CoverTextRed16pt"/>
        <w:rPr>
          <w:noProof/>
        </w:rPr>
      </w:pPr>
    </w:p>
    <w:p w:rsidR="001E2CF1" w:rsidP="001F49BF" w14:paraId="10123BCC" w14:textId="2EC6967A">
      <w:pPr>
        <w:pStyle w:val="CoverTextRed16pt"/>
        <w:rPr>
          <w:noProof/>
        </w:rPr>
      </w:pPr>
      <w:r>
        <w:rPr>
          <w:noProof/>
        </w:rPr>
        <w:t xml:space="preserve">Moving to Work, Landlord Incentives Cohort </w:t>
      </w:r>
      <w:r w:rsidR="00F02B92">
        <w:rPr>
          <w:noProof/>
        </w:rPr>
        <w:t>Evaluation</w:t>
      </w:r>
    </w:p>
    <w:p w:rsidR="009565D4" w:rsidP="009565D4" w14:paraId="10123BCD" w14:textId="77777777">
      <w:pPr>
        <w:pStyle w:val="CoverText-Address"/>
        <w:rPr>
          <w:noProof/>
        </w:rPr>
      </w:pPr>
    </w:p>
    <w:p w:rsidR="009565D4" w:rsidP="009565D4" w14:paraId="10123BCE" w14:textId="77777777">
      <w:pPr>
        <w:pStyle w:val="CoverText-Address"/>
        <w:rPr>
          <w:noProof/>
        </w:rPr>
      </w:pPr>
    </w:p>
    <w:p w:rsidR="009565D4" w:rsidP="009565D4" w14:paraId="10123BCF" w14:textId="77777777">
      <w:pPr>
        <w:pStyle w:val="CoverText-Address"/>
        <w:rPr>
          <w:noProof/>
        </w:rPr>
      </w:pPr>
    </w:p>
    <w:p w:rsidR="001E2CF1" w:rsidP="00744E2C" w14:paraId="10123BD0" w14:textId="77777777">
      <w:pPr>
        <w:pStyle w:val="CoverText-Address"/>
      </w:pPr>
    </w:p>
    <w:p w:rsidR="00AB3167" w:rsidP="00523474" w14:paraId="10123BD2" w14:textId="40A4A377">
      <w:pPr>
        <w:pStyle w:val="CoverTextGreyBold"/>
        <w:rPr>
          <w:rFonts w:asciiTheme="minorBidi" w:hAnsiTheme="minorBidi" w:cstheme="minorBidi"/>
          <w:b w:val="0"/>
        </w:rPr>
      </w:pPr>
      <w:r w:rsidRPr="00B76A61">
        <w:t>Contract Number:</w:t>
      </w:r>
      <w:r>
        <w:t xml:space="preserve">  </w:t>
      </w:r>
      <w:r w:rsidRPr="00594F92" w:rsidR="00523474">
        <w:rPr>
          <w:rFonts w:asciiTheme="minorBidi" w:hAnsiTheme="minorBidi" w:cstheme="minorBidi"/>
          <w:b w:val="0"/>
        </w:rPr>
        <w:t>GS00F252CA</w:t>
      </w:r>
    </w:p>
    <w:p w:rsidR="009565D4" w:rsidP="00EC5F4C" w14:paraId="10123BD4" w14:textId="77777777">
      <w:pPr>
        <w:pStyle w:val="CoverText-Address"/>
        <w:ind w:left="0"/>
        <w:jc w:val="left"/>
      </w:pPr>
    </w:p>
    <w:p w:rsidR="009565D4" w:rsidRPr="001E2CF1" w:rsidP="00744E2C" w14:paraId="10123BD5" w14:textId="0A6B47A6">
      <w:pPr>
        <w:pStyle w:val="CoverText-Address"/>
      </w:pPr>
      <w:r>
        <w:t>O</w:t>
      </w:r>
      <w:r w:rsidR="00EC5F4C">
        <w:t>ctober 3</w:t>
      </w:r>
      <w:r w:rsidR="4251BA16">
        <w:t>, 2022</w:t>
      </w:r>
    </w:p>
    <w:p w:rsidR="001E2CF1" w:rsidRPr="001E2CF1" w:rsidP="001E2CF1" w14:paraId="10123BD6" w14:textId="77777777">
      <w:pPr>
        <w:tabs>
          <w:tab w:val="left" w:pos="720"/>
          <w:tab w:val="left" w:pos="1080"/>
          <w:tab w:val="left" w:pos="1440"/>
          <w:tab w:val="left" w:pos="1800"/>
          <w:tab w:val="left" w:pos="6660"/>
        </w:tabs>
        <w:spacing w:after="0"/>
        <w:ind w:left="6490" w:right="-540"/>
        <w:jc w:val="right"/>
        <w:rPr>
          <w:rFonts w:ascii="Arial" w:hAnsi="Arial"/>
          <w:szCs w:val="24"/>
        </w:rPr>
      </w:pPr>
    </w:p>
    <w:p w:rsidR="009565D4" w:rsidP="009565D4" w14:paraId="10123BD7" w14:textId="77777777">
      <w:pPr>
        <w:pStyle w:val="CoverText11pt"/>
      </w:pPr>
      <w:r w:rsidRPr="001E2CF1">
        <w:t>Prepared for:</w:t>
      </w:r>
    </w:p>
    <w:p w:rsidR="007D02FF" w:rsidP="001F49BF" w14:paraId="10123BD8" w14:textId="73130D8E">
      <w:pPr>
        <w:pStyle w:val="CoverText-Address"/>
        <w:ind w:left="5760"/>
        <w:rPr>
          <w:b/>
          <w:color w:val="DA291C"/>
        </w:rPr>
      </w:pPr>
      <w:r>
        <w:rPr>
          <w:b/>
          <w:color w:val="DA291C"/>
        </w:rPr>
        <w:t>Elizabeth Rudd</w:t>
      </w:r>
    </w:p>
    <w:p w:rsidR="00223968" w:rsidRPr="009565D4" w:rsidP="001F49BF" w14:paraId="10123BD9" w14:textId="4B3C6B32">
      <w:pPr>
        <w:pStyle w:val="CoverText-Address"/>
        <w:ind w:left="5760"/>
        <w:rPr>
          <w:b/>
          <w:color w:val="DA291C"/>
        </w:rPr>
      </w:pPr>
      <w:r>
        <w:rPr>
          <w:b/>
          <w:color w:val="DA291C"/>
        </w:rPr>
        <w:t>Paul Joice</w:t>
      </w:r>
    </w:p>
    <w:p w:rsidR="001F49BF" w:rsidP="001F49BF" w14:paraId="10123BDA" w14:textId="1A8BE74E">
      <w:pPr>
        <w:pStyle w:val="CoverText-Address"/>
        <w:ind w:left="5760"/>
      </w:pPr>
      <w:r>
        <w:t>Office of Policy Development and Research</w:t>
      </w:r>
    </w:p>
    <w:p w:rsidR="001E2CF1" w:rsidP="001F49BF" w14:paraId="10123BDB" w14:textId="33CA3343">
      <w:pPr>
        <w:pStyle w:val="CoverText-Address"/>
        <w:ind w:left="5760"/>
      </w:pPr>
      <w:r>
        <w:t xml:space="preserve">U.S. Department of </w:t>
      </w:r>
      <w:r w:rsidR="00603F40">
        <w:t>Housing and Urban Development</w:t>
      </w:r>
    </w:p>
    <w:p w:rsidR="009565D4" w:rsidP="009565D4" w14:paraId="10123BDC" w14:textId="77777777">
      <w:pPr>
        <w:pStyle w:val="CoverText-Address"/>
      </w:pPr>
    </w:p>
    <w:p w:rsidR="009565D4" w:rsidRPr="001E2CF1" w:rsidP="009565D4" w14:paraId="10123BDD" w14:textId="77777777">
      <w:pPr>
        <w:pStyle w:val="CoverText-Address"/>
      </w:pPr>
    </w:p>
    <w:p w:rsidR="001E2CF1" w:rsidRPr="001E2CF1" w:rsidP="00744E2C" w14:paraId="10123BDE" w14:textId="77777777">
      <w:pPr>
        <w:pStyle w:val="CoverText-Address"/>
      </w:pPr>
    </w:p>
    <w:p w:rsidR="001E2CF1" w:rsidRPr="001E2CF1" w:rsidP="00354503" w14:paraId="10123BDF" w14:textId="77777777">
      <w:pPr>
        <w:pStyle w:val="CoverText11pt"/>
      </w:pPr>
      <w:r w:rsidRPr="001E2CF1">
        <w:t>Submitted by:</w:t>
      </w:r>
    </w:p>
    <w:p w:rsidR="001E2CF1" w:rsidP="00354503" w14:paraId="10123BE0" w14:textId="77777777">
      <w:pPr>
        <w:pStyle w:val="CoverText-Address"/>
        <w:rPr>
          <w:b/>
          <w:color w:val="DA291C"/>
        </w:rPr>
      </w:pPr>
      <w:r w:rsidRPr="00C04D4C">
        <w:rPr>
          <w:b/>
          <w:color w:val="DA291C"/>
        </w:rPr>
        <w:t>Abt</w:t>
      </w:r>
      <w:r w:rsidRPr="00C04D4C">
        <w:rPr>
          <w:b/>
          <w:color w:val="DA291C"/>
        </w:rPr>
        <w:t xml:space="preserve"> </w:t>
      </w:r>
      <w:r w:rsidRPr="004625B6">
        <w:rPr>
          <w:b/>
          <w:color w:val="DA291C"/>
        </w:rPr>
        <w:t>Associates</w:t>
      </w:r>
      <w:r w:rsidRPr="00C04D4C">
        <w:rPr>
          <w:b/>
          <w:color w:val="DA291C"/>
        </w:rPr>
        <w:t xml:space="preserve"> Inc</w:t>
      </w:r>
      <w:r w:rsidRPr="00354503">
        <w:rPr>
          <w:b/>
          <w:color w:val="DA291C"/>
        </w:rPr>
        <w:t>.</w:t>
      </w:r>
    </w:p>
    <w:p w:rsidR="00D90FA9" w:rsidP="00D90FA9" w14:paraId="4FBE1B66" w14:textId="7CD2B0CC">
      <w:pPr>
        <w:pStyle w:val="CoverText-Address"/>
        <w:ind w:left="5760"/>
      </w:pPr>
      <w:r>
        <w:t>6130 Executive Boulevard</w:t>
      </w:r>
    </w:p>
    <w:p w:rsidR="00D90FA9" w:rsidP="00D90FA9" w14:paraId="505978C6" w14:textId="3858C415">
      <w:pPr>
        <w:pStyle w:val="CoverText-Address"/>
        <w:ind w:left="5760"/>
      </w:pPr>
      <w:r>
        <w:t>Rockville, MD 20852</w:t>
      </w:r>
    </w:p>
    <w:p w:rsidR="00D90FA9" w:rsidP="00D90FA9" w14:paraId="4F965224" w14:textId="77777777">
      <w:pPr>
        <w:pStyle w:val="CoverText-Address"/>
        <w:ind w:left="5760"/>
      </w:pPr>
    </w:p>
    <w:p w:rsidR="00D90FA9" w:rsidRPr="00C04D4C" w:rsidP="00D90FA9" w14:paraId="4A729E1B" w14:textId="4E06E4CB">
      <w:pPr>
        <w:pStyle w:val="CoverText-Address"/>
        <w:ind w:left="5760"/>
        <w:rPr>
          <w:b/>
          <w:bCs/>
          <w:color w:val="DA291C"/>
        </w:rPr>
      </w:pPr>
      <w:r w:rsidRPr="00C04D4C">
        <w:rPr>
          <w:b/>
          <w:bCs/>
          <w:color w:val="DA291C"/>
        </w:rPr>
        <w:t>University of Hawai’i</w:t>
      </w:r>
    </w:p>
    <w:p w:rsidR="00D90FA9" w:rsidP="00D90FA9" w14:paraId="5BA5835C" w14:textId="1465375F">
      <w:pPr>
        <w:pStyle w:val="CoverText-Address"/>
        <w:ind w:left="5760"/>
      </w:pPr>
      <w:r>
        <w:t xml:space="preserve">2424 </w:t>
      </w:r>
      <w:r>
        <w:t>Maile</w:t>
      </w:r>
      <w:r>
        <w:t xml:space="preserve"> Way</w:t>
      </w:r>
    </w:p>
    <w:p w:rsidR="00D90FA9" w:rsidP="00D90FA9" w14:paraId="3C9F3A05" w14:textId="05A23FE1">
      <w:pPr>
        <w:pStyle w:val="CoverText-Address"/>
        <w:ind w:left="5760"/>
      </w:pPr>
      <w:r>
        <w:t>Honolulu, HI 9</w:t>
      </w:r>
      <w:r w:rsidR="00C04D4C">
        <w:t>6822</w:t>
      </w:r>
    </w:p>
    <w:p w:rsidR="00AB3167" w:rsidRPr="00354503" w:rsidP="00354503" w14:paraId="10123BE1" w14:textId="77777777">
      <w:pPr>
        <w:pStyle w:val="CoverText-Address"/>
        <w:rPr>
          <w:b/>
          <w:color w:val="DA291C"/>
        </w:rPr>
      </w:pPr>
    </w:p>
    <w:p w:rsidR="001E2CF1" w:rsidRPr="001E2CF1" w:rsidP="00354503" w14:paraId="10123BE2" w14:textId="77777777">
      <w:pPr>
        <w:pStyle w:val="CoverText-Address"/>
      </w:pPr>
    </w:p>
    <w:p w:rsidR="00157E04" w:rsidP="00D979EA" w14:paraId="10123BE3" w14:textId="77777777">
      <w:pPr>
        <w:sectPr w:rsidSect="007969A4">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800" w:header="720" w:footer="720" w:gutter="0"/>
          <w:pgNumType w:fmt="lowerRoman" w:start="1"/>
          <w:cols w:space="720"/>
          <w:docGrid w:linePitch="299"/>
        </w:sectPr>
      </w:pPr>
    </w:p>
    <w:p w:rsidR="00752119" w:rsidRPr="00A178FC" w:rsidP="00D979EA" w14:paraId="10123BE4" w14:textId="77777777">
      <w:pPr>
        <w:pStyle w:val="TOCHeader"/>
      </w:pPr>
      <w:r w:rsidRPr="00A178FC">
        <w:t>Table of Contents</w:t>
      </w:r>
    </w:p>
    <w:p w:rsidR="00137898" w14:paraId="253B8A57" w14:textId="3A9FD7CA">
      <w:pPr>
        <w:pStyle w:val="TOC1"/>
        <w:rPr>
          <w:rFonts w:asciiTheme="minorHAnsi" w:eastAsiaTheme="minorEastAsia" w:hAnsiTheme="minorHAnsi" w:cstheme="minorBidi"/>
          <w:b w:val="0"/>
          <w:noProof/>
          <w:szCs w:val="22"/>
        </w:rPr>
      </w:pPr>
      <w:r>
        <w:rPr>
          <w:b w:val="0"/>
        </w:rPr>
        <w:fldChar w:fldCharType="begin"/>
      </w:r>
      <w:r>
        <w:rPr>
          <w:b w:val="0"/>
        </w:rPr>
        <w:instrText xml:space="preserve"> TOC \o "1-2" \h \z \u </w:instrText>
      </w:r>
      <w:r>
        <w:rPr>
          <w:b w:val="0"/>
        </w:rPr>
        <w:fldChar w:fldCharType="separate"/>
      </w:r>
      <w:hyperlink w:anchor="_Toc115355430" w:history="1">
        <w:r w:rsidRPr="00613577">
          <w:rPr>
            <w:rStyle w:val="Hyperlink"/>
            <w:noProof/>
          </w:rPr>
          <w:t>Part B: Collection of Information Involving Statistical Methods</w:t>
        </w:r>
        <w:r>
          <w:rPr>
            <w:noProof/>
            <w:webHidden/>
          </w:rPr>
          <w:tab/>
        </w:r>
        <w:r>
          <w:rPr>
            <w:noProof/>
            <w:webHidden/>
          </w:rPr>
          <w:fldChar w:fldCharType="begin"/>
        </w:r>
        <w:r>
          <w:rPr>
            <w:noProof/>
            <w:webHidden/>
          </w:rPr>
          <w:instrText xml:space="preserve"> PAGEREF _Toc115355430 \h </w:instrText>
        </w:r>
        <w:r>
          <w:rPr>
            <w:noProof/>
            <w:webHidden/>
          </w:rPr>
          <w:fldChar w:fldCharType="separate"/>
        </w:r>
        <w:r>
          <w:rPr>
            <w:noProof/>
            <w:webHidden/>
          </w:rPr>
          <w:t>1</w:t>
        </w:r>
        <w:r>
          <w:rPr>
            <w:noProof/>
            <w:webHidden/>
          </w:rPr>
          <w:fldChar w:fldCharType="end"/>
        </w:r>
      </w:hyperlink>
    </w:p>
    <w:p w:rsidR="00137898" w14:paraId="7836E4B3" w14:textId="4346B24A">
      <w:pPr>
        <w:pStyle w:val="TOC2"/>
        <w:rPr>
          <w:rFonts w:asciiTheme="minorHAnsi" w:eastAsiaTheme="minorEastAsia" w:hAnsiTheme="minorHAnsi" w:cstheme="minorBidi"/>
          <w:szCs w:val="22"/>
        </w:rPr>
      </w:pPr>
      <w:hyperlink w:anchor="_Toc115355431" w:history="1">
        <w:r w:rsidRPr="00613577">
          <w:rPr>
            <w:rStyle w:val="Hyperlink"/>
          </w:rPr>
          <w:t>B.1: Respondent Universe and Sampling Methods</w:t>
        </w:r>
        <w:r>
          <w:rPr>
            <w:webHidden/>
          </w:rPr>
          <w:tab/>
        </w:r>
        <w:r>
          <w:rPr>
            <w:webHidden/>
          </w:rPr>
          <w:fldChar w:fldCharType="begin"/>
        </w:r>
        <w:r>
          <w:rPr>
            <w:webHidden/>
          </w:rPr>
          <w:instrText xml:space="preserve"> PAGEREF _Toc115355431 \h </w:instrText>
        </w:r>
        <w:r>
          <w:rPr>
            <w:webHidden/>
          </w:rPr>
          <w:fldChar w:fldCharType="separate"/>
        </w:r>
        <w:r>
          <w:rPr>
            <w:webHidden/>
          </w:rPr>
          <w:t>1</w:t>
        </w:r>
        <w:r>
          <w:rPr>
            <w:webHidden/>
          </w:rPr>
          <w:fldChar w:fldCharType="end"/>
        </w:r>
      </w:hyperlink>
    </w:p>
    <w:p w:rsidR="00137898" w14:paraId="6CF09099" w14:textId="3B1E7BD3">
      <w:pPr>
        <w:pStyle w:val="TOC2"/>
        <w:rPr>
          <w:rFonts w:asciiTheme="minorHAnsi" w:eastAsiaTheme="minorEastAsia" w:hAnsiTheme="minorHAnsi" w:cstheme="minorBidi"/>
          <w:szCs w:val="22"/>
        </w:rPr>
      </w:pPr>
      <w:hyperlink w:anchor="_Toc115355432" w:history="1">
        <w:r w:rsidRPr="00613577">
          <w:rPr>
            <w:rStyle w:val="Hyperlink"/>
          </w:rPr>
          <w:t>B.2: Procedures for Collection of Information</w:t>
        </w:r>
        <w:r>
          <w:rPr>
            <w:webHidden/>
          </w:rPr>
          <w:tab/>
        </w:r>
        <w:r>
          <w:rPr>
            <w:webHidden/>
          </w:rPr>
          <w:fldChar w:fldCharType="begin"/>
        </w:r>
        <w:r>
          <w:rPr>
            <w:webHidden/>
          </w:rPr>
          <w:instrText xml:space="preserve"> PAGEREF _Toc115355432 \h </w:instrText>
        </w:r>
        <w:r>
          <w:rPr>
            <w:webHidden/>
          </w:rPr>
          <w:fldChar w:fldCharType="separate"/>
        </w:r>
        <w:r>
          <w:rPr>
            <w:webHidden/>
          </w:rPr>
          <w:t>5</w:t>
        </w:r>
        <w:r>
          <w:rPr>
            <w:webHidden/>
          </w:rPr>
          <w:fldChar w:fldCharType="end"/>
        </w:r>
      </w:hyperlink>
    </w:p>
    <w:p w:rsidR="00137898" w14:paraId="63E83B3C" w14:textId="6B3118B0">
      <w:pPr>
        <w:pStyle w:val="TOC2"/>
        <w:rPr>
          <w:rFonts w:asciiTheme="minorHAnsi" w:eastAsiaTheme="minorEastAsia" w:hAnsiTheme="minorHAnsi" w:cstheme="minorBidi"/>
          <w:szCs w:val="22"/>
        </w:rPr>
      </w:pPr>
      <w:hyperlink w:anchor="_Toc115355433" w:history="1">
        <w:r w:rsidRPr="00613577">
          <w:rPr>
            <w:rStyle w:val="Hyperlink"/>
          </w:rPr>
          <w:t>B.3: Methods to Maximize Response Rates and Deal with Non-response</w:t>
        </w:r>
        <w:r>
          <w:rPr>
            <w:webHidden/>
          </w:rPr>
          <w:tab/>
        </w:r>
        <w:r>
          <w:rPr>
            <w:webHidden/>
          </w:rPr>
          <w:fldChar w:fldCharType="begin"/>
        </w:r>
        <w:r>
          <w:rPr>
            <w:webHidden/>
          </w:rPr>
          <w:instrText xml:space="preserve"> PAGEREF _Toc115355433 \h </w:instrText>
        </w:r>
        <w:r>
          <w:rPr>
            <w:webHidden/>
          </w:rPr>
          <w:fldChar w:fldCharType="separate"/>
        </w:r>
        <w:r>
          <w:rPr>
            <w:webHidden/>
          </w:rPr>
          <w:t>9</w:t>
        </w:r>
        <w:r>
          <w:rPr>
            <w:webHidden/>
          </w:rPr>
          <w:fldChar w:fldCharType="end"/>
        </w:r>
      </w:hyperlink>
    </w:p>
    <w:p w:rsidR="00137898" w14:paraId="5F355E29" w14:textId="163071D5">
      <w:pPr>
        <w:pStyle w:val="TOC2"/>
        <w:rPr>
          <w:rFonts w:asciiTheme="minorHAnsi" w:eastAsiaTheme="minorEastAsia" w:hAnsiTheme="minorHAnsi" w:cstheme="minorBidi"/>
          <w:szCs w:val="22"/>
        </w:rPr>
      </w:pPr>
      <w:hyperlink w:anchor="_Toc115355434" w:history="1">
        <w:r w:rsidRPr="00613577">
          <w:rPr>
            <w:rStyle w:val="Hyperlink"/>
          </w:rPr>
          <w:t>B.4: Tests of Procedures</w:t>
        </w:r>
        <w:r>
          <w:rPr>
            <w:webHidden/>
          </w:rPr>
          <w:tab/>
        </w:r>
        <w:r>
          <w:rPr>
            <w:webHidden/>
          </w:rPr>
          <w:fldChar w:fldCharType="begin"/>
        </w:r>
        <w:r>
          <w:rPr>
            <w:webHidden/>
          </w:rPr>
          <w:instrText xml:space="preserve"> PAGEREF _Toc115355434 \h </w:instrText>
        </w:r>
        <w:r>
          <w:rPr>
            <w:webHidden/>
          </w:rPr>
          <w:fldChar w:fldCharType="separate"/>
        </w:r>
        <w:r>
          <w:rPr>
            <w:webHidden/>
          </w:rPr>
          <w:t>11</w:t>
        </w:r>
        <w:r>
          <w:rPr>
            <w:webHidden/>
          </w:rPr>
          <w:fldChar w:fldCharType="end"/>
        </w:r>
      </w:hyperlink>
    </w:p>
    <w:p w:rsidR="00137898" w14:paraId="1D6A4448" w14:textId="1F74EA59">
      <w:pPr>
        <w:pStyle w:val="TOC2"/>
        <w:rPr>
          <w:rFonts w:asciiTheme="minorHAnsi" w:eastAsiaTheme="minorEastAsia" w:hAnsiTheme="minorHAnsi" w:cstheme="minorBidi"/>
          <w:szCs w:val="22"/>
        </w:rPr>
      </w:pPr>
      <w:hyperlink w:anchor="_Toc115355435" w:history="1">
        <w:r w:rsidRPr="00613577">
          <w:rPr>
            <w:rStyle w:val="Hyperlink"/>
          </w:rPr>
          <w:t>B.5: Individuals Consulted on Statistical Aspects of the Design</w:t>
        </w:r>
        <w:r>
          <w:rPr>
            <w:webHidden/>
          </w:rPr>
          <w:tab/>
        </w:r>
        <w:r>
          <w:rPr>
            <w:webHidden/>
          </w:rPr>
          <w:fldChar w:fldCharType="begin"/>
        </w:r>
        <w:r>
          <w:rPr>
            <w:webHidden/>
          </w:rPr>
          <w:instrText xml:space="preserve"> PAGEREF _Toc115355435 \h </w:instrText>
        </w:r>
        <w:r>
          <w:rPr>
            <w:webHidden/>
          </w:rPr>
          <w:fldChar w:fldCharType="separate"/>
        </w:r>
        <w:r>
          <w:rPr>
            <w:webHidden/>
          </w:rPr>
          <w:t>11</w:t>
        </w:r>
        <w:r>
          <w:rPr>
            <w:webHidden/>
          </w:rPr>
          <w:fldChar w:fldCharType="end"/>
        </w:r>
      </w:hyperlink>
    </w:p>
    <w:p w:rsidR="001467ED" w:rsidP="001467ED" w14:paraId="10123BEC" w14:textId="10CA3B87">
      <w:pPr>
        <w:tabs>
          <w:tab w:val="center" w:pos="4680"/>
        </w:tabs>
      </w:pPr>
      <w:r>
        <w:rPr>
          <w:b/>
        </w:rPr>
        <w:fldChar w:fldCharType="end"/>
      </w:r>
    </w:p>
    <w:p w:rsidR="00400DE8" w:rsidRPr="00127FBE" w:rsidP="00127FBE" w14:paraId="10123BED" w14:textId="77777777">
      <w:pPr>
        <w:spacing w:after="0" w:line="240" w:lineRule="auto"/>
      </w:pPr>
      <w:r>
        <w:br w:type="page"/>
      </w:r>
    </w:p>
    <w:p w:rsidR="006B1DA6" w:rsidP="00D979EA" w14:paraId="10123BEE" w14:textId="77777777">
      <w:pPr>
        <w:pStyle w:val="BodyText"/>
        <w:sectPr w:rsidSect="00236B01">
          <w:headerReference w:type="default" r:id="rId15"/>
          <w:footerReference w:type="default" r:id="rId16"/>
          <w:pgSz w:w="12240" w:h="15840" w:code="1"/>
          <w:pgMar w:top="1440" w:right="1440" w:bottom="1440" w:left="1440" w:header="1080" w:footer="720" w:gutter="0"/>
          <w:pgNumType w:fmt="lowerRoman" w:start="1"/>
          <w:cols w:space="720"/>
          <w:docGrid w:linePitch="299"/>
        </w:sectPr>
      </w:pPr>
    </w:p>
    <w:p w:rsidR="00F9248F" w:rsidP="00F9248F" w14:paraId="10123BEF" w14:textId="77777777">
      <w:pPr>
        <w:pStyle w:val="Heading1"/>
        <w:numPr>
          <w:ilvl w:val="0"/>
          <w:numId w:val="0"/>
        </w:numPr>
      </w:pPr>
      <w:bookmarkStart w:id="0" w:name="_Toc115355430"/>
      <w:r>
        <w:t xml:space="preserve">Part B: </w:t>
      </w:r>
      <w:r w:rsidR="00C1538D">
        <w:t xml:space="preserve">Collection of Information Involving </w:t>
      </w:r>
      <w:r>
        <w:t>Statistical Methods</w:t>
      </w:r>
      <w:bookmarkEnd w:id="0"/>
    </w:p>
    <w:p w:rsidR="00E339B3" w:rsidP="001D0620" w14:paraId="10123BF0" w14:textId="2B2D7FA9">
      <w:pPr>
        <w:pStyle w:val="BodyText"/>
      </w:pPr>
      <w:r>
        <w:t xml:space="preserve">Part B of the Supporting Statement for the </w:t>
      </w:r>
      <w:r w:rsidR="4D9BD3BA">
        <w:t>Moving to Work, Landlord Incentives</w:t>
      </w:r>
      <w:r>
        <w:t xml:space="preserve"> Evaluation – sponsored by the </w:t>
      </w:r>
      <w:r w:rsidR="4D9BD3BA">
        <w:t xml:space="preserve">Office of </w:t>
      </w:r>
      <w:r w:rsidR="2BA56B5E">
        <w:t>Policy Development and Research at the U.S. Department of Housing and Urban Development (HUD)</w:t>
      </w:r>
      <w:r>
        <w:t xml:space="preserve"> – considers the issues pertaining to Collection of Information Employing Statistical Methods.</w:t>
      </w:r>
      <w:r w:rsidR="78AB6BA2">
        <w:t xml:space="preserve"> </w:t>
      </w:r>
      <w:r w:rsidR="7105E836">
        <w:t>HUD</w:t>
      </w:r>
      <w:r w:rsidR="24EDF460">
        <w:t xml:space="preserve"> has contracted with </w:t>
      </w:r>
      <w:r>
        <w:t>Abt</w:t>
      </w:r>
      <w:r>
        <w:t xml:space="preserve"> Associates Inc. </w:t>
      </w:r>
      <w:r w:rsidR="24EDF460">
        <w:t>and</w:t>
      </w:r>
      <w:r>
        <w:t xml:space="preserve"> </w:t>
      </w:r>
      <w:r w:rsidR="7105E836">
        <w:t>its subcontractors</w:t>
      </w:r>
      <w:r w:rsidR="24EDF460">
        <w:t xml:space="preserve"> to conduct the evaluation</w:t>
      </w:r>
      <w:r>
        <w:t>.  The evaluation team will conduct 1) an impact study</w:t>
      </w:r>
      <w:r w:rsidR="612A3495">
        <w:t>, 2) a process study, and 3) a cost study.</w:t>
      </w:r>
    </w:p>
    <w:p w:rsidR="007011B8" w:rsidP="001D0620" w14:paraId="0B8732DD" w14:textId="794845A7">
      <w:pPr>
        <w:pStyle w:val="BodyText"/>
      </w:pPr>
      <w:r>
        <w:t>The Landlord Incentives Evaluation will collect descriptive information on the programs and policies implemented by 2</w:t>
      </w:r>
      <w:r w:rsidR="4CECF401">
        <w:t>8</w:t>
      </w:r>
      <w:r>
        <w:t xml:space="preserve"> PHAs selected to join the Landlord Incentives Cohort (“treatment PHAs”). To rigorously evaluate the impact of the landlord incentives, the study will also compare the outcomes achieved by the treatment PHAs to those achieved by a group of </w:t>
      </w:r>
      <w:r w:rsidR="4CECF401">
        <w:t>112</w:t>
      </w:r>
      <w:r>
        <w:t xml:space="preserve"> similar PHAs </w:t>
      </w:r>
      <w:r w:rsidR="001E0336">
        <w:t>that</w:t>
      </w:r>
      <w:r>
        <w:t xml:space="preserve"> do not have MTW designation (“comparison PHAs”).</w:t>
      </w:r>
      <w:r w:rsidR="4CECF401">
        <w:t xml:space="preserve"> However, for multiple data collection activities, the </w:t>
      </w:r>
      <w:r w:rsidR="2C8C723F">
        <w:t xml:space="preserve">study will only investigate the </w:t>
      </w:r>
      <w:r w:rsidR="009211C7">
        <w:t xml:space="preserve">22 </w:t>
      </w:r>
      <w:r w:rsidR="2C8C723F">
        <w:t xml:space="preserve">comparison PHAs chosen for further in-depth </w:t>
      </w:r>
      <w:r w:rsidR="1C298FEA">
        <w:t xml:space="preserve">analysis due to their </w:t>
      </w:r>
      <w:r w:rsidR="0ED2C3A4">
        <w:t>similarities</w:t>
      </w:r>
      <w:r w:rsidR="1C298FEA">
        <w:t xml:space="preserve"> to their matched treatment PHA. These</w:t>
      </w:r>
      <w:r w:rsidR="0ED2C3A4">
        <w:t xml:space="preserve"> 2</w:t>
      </w:r>
      <w:r w:rsidR="009211C7">
        <w:t>2</w:t>
      </w:r>
      <w:r w:rsidR="0ED2C3A4">
        <w:t xml:space="preserve"> PHAs are referred to as the “in-depth comparison PHAs</w:t>
      </w:r>
      <w:r w:rsidR="1990A9AD">
        <w:t>.</w:t>
      </w:r>
      <w:r w:rsidR="0ED2C3A4">
        <w:t>”</w:t>
      </w:r>
      <w:r w:rsidR="000A4377">
        <w:t xml:space="preserve"> See section B.2.1 for detailed information on how we will select these 22 </w:t>
      </w:r>
      <w:r w:rsidR="003F636B">
        <w:t xml:space="preserve">in-depth comparison </w:t>
      </w:r>
      <w:r w:rsidR="000A4377">
        <w:t>PHAs.</w:t>
      </w:r>
    </w:p>
    <w:p w:rsidR="00A7334A" w:rsidP="002730C5" w14:paraId="0E9E8F56" w14:textId="232C6885">
      <w:pPr>
        <w:pStyle w:val="BodyText"/>
      </w:pPr>
      <w:r>
        <w:t xml:space="preserve">The </w:t>
      </w:r>
      <w:r w:rsidR="00DF7599">
        <w:t xml:space="preserve">evaluation </w:t>
      </w:r>
      <w:r w:rsidR="006F756B">
        <w:t>relies on</w:t>
      </w:r>
      <w:r w:rsidR="00DF7599">
        <w:t xml:space="preserve"> multiple data </w:t>
      </w:r>
      <w:r w:rsidR="004D0ECE">
        <w:t>source</w:t>
      </w:r>
      <w:r w:rsidR="0046174B">
        <w:t>s, both secondary</w:t>
      </w:r>
      <w:r w:rsidRPr="006F756B" w:rsidR="006F756B">
        <w:t xml:space="preserve"> data (that is, already existing data) and primary data (that is, new data we will collect as part of this evaluation).</w:t>
      </w:r>
      <w:r w:rsidR="006F756B">
        <w:t xml:space="preserve"> </w:t>
      </w:r>
      <w:r w:rsidR="00E5270C">
        <w:t>The secondary data used in the evaluation is primarily HUD administrative data</w:t>
      </w:r>
      <w:r w:rsidR="00820AF3">
        <w:t xml:space="preserve">—notably </w:t>
      </w:r>
      <w:r w:rsidRPr="002730C5" w:rsidR="002730C5">
        <w:t>HUD’s Housing Inventory Portal (HIP) database</w:t>
      </w:r>
      <w:r w:rsidR="002730C5">
        <w:t xml:space="preserve"> and the MTW Supplement—as well as </w:t>
      </w:r>
      <w:r w:rsidRPr="008C2603" w:rsidR="008C2603">
        <w:t>the American Community Survey (ACS</w:t>
      </w:r>
      <w:r w:rsidR="001E056A">
        <w:t>)</w:t>
      </w:r>
      <w:r w:rsidR="00240178">
        <w:t xml:space="preserve"> data</w:t>
      </w:r>
      <w:r w:rsidRPr="008C2603" w:rsidR="008C2603">
        <w:t>.</w:t>
      </w:r>
    </w:p>
    <w:p w:rsidR="00E339B3" w:rsidP="001D0620" w14:paraId="10123BF2" w14:textId="71B16969">
      <w:pPr>
        <w:pStyle w:val="BodyText"/>
      </w:pPr>
      <w:r w:rsidRPr="004F1FB4">
        <w:t xml:space="preserve">This submission seeks clearance for </w:t>
      </w:r>
      <w:r w:rsidR="0093610B">
        <w:t>these</w:t>
      </w:r>
      <w:r w:rsidR="00F86FAE">
        <w:t xml:space="preserve"> </w:t>
      </w:r>
      <w:r w:rsidR="0093610B">
        <w:rPr>
          <w:i/>
          <w:iCs/>
        </w:rPr>
        <w:t xml:space="preserve">primary </w:t>
      </w:r>
      <w:r w:rsidRPr="004F1FB4">
        <w:t xml:space="preserve">data collection </w:t>
      </w:r>
      <w:r w:rsidR="00F86FAE">
        <w:t>activities</w:t>
      </w:r>
      <w:r>
        <w:t>:</w:t>
      </w:r>
    </w:p>
    <w:p w:rsidR="004A4F87" w:rsidP="008E78B2" w14:paraId="155BF343" w14:textId="44076F50">
      <w:pPr>
        <w:pStyle w:val="ListParagraph"/>
        <w:numPr>
          <w:ilvl w:val="0"/>
          <w:numId w:val="9"/>
        </w:numPr>
        <w:spacing w:after="120" w:line="240" w:lineRule="auto"/>
        <w:jc w:val="both"/>
        <w:rPr>
          <w:rFonts w:asciiTheme="majorBidi" w:hAnsiTheme="majorBidi" w:cstheme="majorBidi"/>
        </w:rPr>
      </w:pPr>
      <w:bookmarkStart w:id="1" w:name="_Toc322083615"/>
      <w:r w:rsidRPr="00EA21E0">
        <w:rPr>
          <w:rFonts w:asciiTheme="majorBidi" w:hAnsiTheme="majorBidi" w:cstheme="majorBidi"/>
        </w:rPr>
        <w:t xml:space="preserve">Online surveys to treatment and comparison </w:t>
      </w:r>
      <w:r w:rsidRPr="00EA21E0">
        <w:rPr>
          <w:rFonts w:asciiTheme="majorBidi" w:hAnsiTheme="majorBidi" w:cstheme="majorBidi"/>
        </w:rPr>
        <w:t>PHAs</w:t>
      </w:r>
      <w:r>
        <w:rPr>
          <w:rFonts w:asciiTheme="majorBidi" w:hAnsiTheme="majorBidi" w:cstheme="majorBidi"/>
        </w:rPr>
        <w:t>;</w:t>
      </w:r>
    </w:p>
    <w:p w:rsidR="00E31C06" w:rsidRPr="00EA21E0" w:rsidP="008E78B2" w14:paraId="65002CBB" w14:textId="739DC9C9">
      <w:pPr>
        <w:pStyle w:val="ListParagraph"/>
        <w:numPr>
          <w:ilvl w:val="0"/>
          <w:numId w:val="9"/>
        </w:numPr>
        <w:spacing w:after="120" w:line="240" w:lineRule="auto"/>
        <w:jc w:val="both"/>
        <w:rPr>
          <w:rFonts w:asciiTheme="majorBidi" w:hAnsiTheme="majorBidi" w:cstheme="majorBidi"/>
        </w:rPr>
      </w:pPr>
      <w:r>
        <w:rPr>
          <w:rFonts w:asciiTheme="majorBidi" w:hAnsiTheme="majorBidi" w:cstheme="majorBidi"/>
        </w:rPr>
        <w:t>Semi-structured i</w:t>
      </w:r>
      <w:r w:rsidRPr="00EA21E0">
        <w:rPr>
          <w:rFonts w:asciiTheme="majorBidi" w:hAnsiTheme="majorBidi" w:cstheme="majorBidi"/>
        </w:rPr>
        <w:t>nterview</w:t>
      </w:r>
      <w:r>
        <w:rPr>
          <w:rFonts w:asciiTheme="majorBidi" w:hAnsiTheme="majorBidi" w:cstheme="majorBidi"/>
        </w:rPr>
        <w:t xml:space="preserve"> guides for site visit and telephone interviews</w:t>
      </w:r>
      <w:r w:rsidRPr="00EA21E0">
        <w:rPr>
          <w:rFonts w:asciiTheme="majorBidi" w:hAnsiTheme="majorBidi" w:cstheme="majorBidi"/>
        </w:rPr>
        <w:t xml:space="preserve"> with staff from treatment and a subset of comparison PHAs; </w:t>
      </w:r>
      <w:r w:rsidR="004A4F87">
        <w:rPr>
          <w:rFonts w:asciiTheme="majorBidi" w:hAnsiTheme="majorBidi" w:cstheme="majorBidi"/>
        </w:rPr>
        <w:t>and</w:t>
      </w:r>
    </w:p>
    <w:p w:rsidR="00E31C06" w:rsidRPr="00B1671A" w:rsidP="005D7778" w14:paraId="4EC429AF" w14:textId="0AA3FA68">
      <w:pPr>
        <w:pStyle w:val="ListParagraph"/>
        <w:numPr>
          <w:ilvl w:val="0"/>
          <w:numId w:val="9"/>
        </w:numPr>
        <w:spacing w:after="240" w:line="240" w:lineRule="auto"/>
        <w:jc w:val="both"/>
      </w:pPr>
      <w:r w:rsidRPr="00CAEA7B">
        <w:rPr>
          <w:rFonts w:asciiTheme="majorBidi" w:hAnsiTheme="majorBidi" w:cstheme="majorBidi"/>
        </w:rPr>
        <w:t>Semi-structure</w:t>
      </w:r>
      <w:r w:rsidR="00710334">
        <w:rPr>
          <w:rFonts w:asciiTheme="majorBidi" w:hAnsiTheme="majorBidi" w:cstheme="majorBidi"/>
        </w:rPr>
        <w:t>d</w:t>
      </w:r>
      <w:r w:rsidRPr="00CAEA7B">
        <w:rPr>
          <w:rFonts w:asciiTheme="majorBidi" w:hAnsiTheme="majorBidi" w:cstheme="majorBidi"/>
        </w:rPr>
        <w:t xml:space="preserve"> interview guides for site visits with landlords within </w:t>
      </w:r>
      <w:r w:rsidRPr="00CAEA7B" w:rsidR="7128C9E9">
        <w:rPr>
          <w:rFonts w:asciiTheme="majorBidi" w:hAnsiTheme="majorBidi" w:cstheme="majorBidi"/>
        </w:rPr>
        <w:t xml:space="preserve">a subset of </w:t>
      </w:r>
      <w:r w:rsidRPr="00CAEA7B">
        <w:rPr>
          <w:rFonts w:asciiTheme="majorBidi" w:hAnsiTheme="majorBidi" w:cstheme="majorBidi"/>
        </w:rPr>
        <w:t xml:space="preserve">treatment and comparison PHA </w:t>
      </w:r>
      <w:r w:rsidRPr="00CAEA7B" w:rsidR="000A4377">
        <w:rPr>
          <w:rFonts w:asciiTheme="majorBidi" w:hAnsiTheme="majorBidi" w:cstheme="majorBidi"/>
        </w:rPr>
        <w:t>service area</w:t>
      </w:r>
      <w:r w:rsidRPr="00CAEA7B">
        <w:rPr>
          <w:rFonts w:asciiTheme="majorBidi" w:hAnsiTheme="majorBidi" w:cstheme="majorBidi"/>
        </w:rPr>
        <w:t>s.</w:t>
      </w:r>
    </w:p>
    <w:p w:rsidR="00E339B3" w:rsidRPr="004F1FB4" w:rsidP="00E339B3" w14:paraId="10123BF7" w14:textId="77777777">
      <w:pPr>
        <w:pStyle w:val="Heading2"/>
      </w:pPr>
      <w:bookmarkStart w:id="2" w:name="_Toc115355431"/>
      <w:r>
        <w:t>B.1</w:t>
      </w:r>
      <w:r w:rsidR="001D0620">
        <w:t>:</w:t>
      </w:r>
      <w:r>
        <w:t xml:space="preserve"> </w:t>
      </w:r>
      <w:r w:rsidRPr="004F1FB4">
        <w:t>Respondent Universe and Sampl</w:t>
      </w:r>
      <w:bookmarkEnd w:id="1"/>
      <w:r>
        <w:t>ing Methods</w:t>
      </w:r>
      <w:bookmarkEnd w:id="2"/>
      <w:r w:rsidRPr="004F1FB4">
        <w:t xml:space="preserve"> </w:t>
      </w:r>
    </w:p>
    <w:p w:rsidR="009D1DC9" w:rsidRPr="003849CC" w:rsidP="009D1DC9" w14:paraId="6FBB61EB" w14:textId="0D1B0299">
      <w:pPr>
        <w:pStyle w:val="BodyText"/>
      </w:pPr>
      <w:r w:rsidRPr="003849CC">
        <w:t>We will collect data from the entire population of treatment group PHAs (</w:t>
      </w:r>
      <w:r w:rsidRPr="003849CC">
        <w:rPr>
          <w:i/>
          <w:iCs/>
        </w:rPr>
        <w:t>n</w:t>
      </w:r>
      <w:r w:rsidRPr="003849CC">
        <w:t>=2</w:t>
      </w:r>
      <w:r w:rsidR="009D3702">
        <w:t>8</w:t>
      </w:r>
      <w:r w:rsidRPr="003849CC">
        <w:t xml:space="preserve">). </w:t>
      </w:r>
      <w:r w:rsidRPr="003849CC">
        <w:t>All of</w:t>
      </w:r>
      <w:r w:rsidRPr="003849CC">
        <w:t xml:space="preserve"> the Landlord Incentive Cohort (treatment) PHAs have agreed to data collection as a condition of their participation in MTW.</w:t>
      </w:r>
    </w:p>
    <w:p w:rsidR="007C0E12" w:rsidP="00FD6EF4" w14:paraId="2B22AF31" w14:textId="26395323">
      <w:pPr>
        <w:pStyle w:val="BodyText"/>
      </w:pPr>
      <w:r w:rsidRPr="003849CC">
        <w:t>For the comparison group, the web survey</w:t>
      </w:r>
      <w:r w:rsidR="006C6551">
        <w:t xml:space="preserve"> (discussed more below)</w:t>
      </w:r>
      <w:r w:rsidRPr="003849CC">
        <w:t xml:space="preserve"> will target all </w:t>
      </w:r>
      <w:r w:rsidRPr="003849CC">
        <w:t>11</w:t>
      </w:r>
      <w:r w:rsidR="001D38DB">
        <w:t>2</w:t>
      </w:r>
      <w:r w:rsidRPr="003849CC">
        <w:t xml:space="preserve"> comparison</w:t>
      </w:r>
      <w:r w:rsidRPr="003849CC">
        <w:t xml:space="preserve"> group PHAs, but the in-depth site visits and interviews in year 5 will occur at only 2</w:t>
      </w:r>
      <w:r w:rsidR="00ED6B83">
        <w:t>2</w:t>
      </w:r>
      <w:r w:rsidRPr="003849CC">
        <w:t xml:space="preserve"> </w:t>
      </w:r>
      <w:r w:rsidR="00B11923">
        <w:t>comparison</w:t>
      </w:r>
      <w:r w:rsidRPr="003849CC">
        <w:t xml:space="preserve"> PHAs, which we have characterized as the “in-depth comparison PHAs.”</w:t>
      </w:r>
      <w:r w:rsidR="002B6E77">
        <w:t xml:space="preserve"> </w:t>
      </w:r>
      <w:r w:rsidRPr="003849CC">
        <w:t xml:space="preserve">Because </w:t>
      </w:r>
      <w:r w:rsidRPr="003849CC">
        <w:t>Hawai</w:t>
      </w:r>
      <w:r>
        <w:t>‘</w:t>
      </w:r>
      <w:r w:rsidRPr="003849CC">
        <w:t>i is the only large PHA</w:t>
      </w:r>
      <w:r>
        <w:t xml:space="preserve"> </w:t>
      </w:r>
      <w:r w:rsidRPr="003849CC">
        <w:t>in the treatment group, we will include its closest comparison PHA in the site visits. This leaves another 2</w:t>
      </w:r>
      <w:r w:rsidR="00457F8E">
        <w:t>1</w:t>
      </w:r>
      <w:r w:rsidRPr="003849CC">
        <w:t xml:space="preserve"> comparison PHAs to be selected</w:t>
      </w:r>
      <w:r>
        <w:t xml:space="preserve"> for the in-depth comparison sample</w:t>
      </w:r>
      <w:r w:rsidRPr="003849CC">
        <w:t xml:space="preserve">. </w:t>
      </w:r>
      <w:r w:rsidR="000A4377">
        <w:t xml:space="preserve">See section B.2.1 for detailed information on how we will select these </w:t>
      </w:r>
      <w:r w:rsidR="003F636B">
        <w:t>remaining 21 in-depth comparison</w:t>
      </w:r>
      <w:r w:rsidR="000A4377">
        <w:t xml:space="preserve"> PHAs.</w:t>
      </w:r>
    </w:p>
    <w:p w:rsidR="00E339B3" w:rsidP="001D0620" w14:paraId="10123BF8" w14:textId="15AD921B">
      <w:pPr>
        <w:pStyle w:val="Heading3"/>
      </w:pPr>
      <w:r>
        <w:t>PHA</w:t>
      </w:r>
      <w:r w:rsidR="00E83E26">
        <w:t xml:space="preserve"> Web Survey</w:t>
      </w:r>
      <w:r w:rsidR="00D86180">
        <w:t>s</w:t>
      </w:r>
    </w:p>
    <w:p w:rsidR="00397332" w:rsidRPr="007F65CF" w:rsidP="00397332" w14:paraId="1F42001E" w14:textId="5E48A2E1">
      <w:pPr>
        <w:pStyle w:val="BodyText"/>
      </w:pPr>
      <w:r w:rsidRPr="007F65CF">
        <w:t>All 2</w:t>
      </w:r>
      <w:r w:rsidR="00DB3E3E">
        <w:t>8</w:t>
      </w:r>
      <w:r w:rsidRPr="007F65CF">
        <w:t xml:space="preserve"> treatment PHAs and </w:t>
      </w:r>
      <w:r>
        <w:t xml:space="preserve">all </w:t>
      </w:r>
      <w:r w:rsidRPr="007F65CF">
        <w:t>11</w:t>
      </w:r>
      <w:r w:rsidR="00DB3E3E">
        <w:t>2</w:t>
      </w:r>
      <w:r w:rsidRPr="007F65CF">
        <w:t xml:space="preserve"> comparison PHAs will receive a baseline web survey in </w:t>
      </w:r>
      <w:r>
        <w:t>y</w:t>
      </w:r>
      <w:r w:rsidRPr="007F65CF">
        <w:t xml:space="preserve">ear 2 and a follow-up survey in </w:t>
      </w:r>
      <w:r>
        <w:t>y</w:t>
      </w:r>
      <w:r w:rsidRPr="007F65CF">
        <w:t>ear 5.</w:t>
      </w:r>
      <w:r w:rsidR="003E79AA">
        <w:t xml:space="preserve"> </w:t>
      </w:r>
      <w:r w:rsidRPr="00E77201" w:rsidR="003E79AA">
        <w:t>The surveys will gather detailed information on incentives and program outcomes that would not otherwise be available from secondary data sources.</w:t>
      </w:r>
      <w:r w:rsidR="003E79AA">
        <w:t xml:space="preserve"> </w:t>
      </w:r>
      <w:r w:rsidRPr="007F65CF" w:rsidR="003E79AA">
        <w:t xml:space="preserve">The web survey will provide valuable descriptive information for the process study and will also provide important context for the impact study. </w:t>
      </w:r>
      <w:r w:rsidR="003E79AA">
        <w:t>It</w:t>
      </w:r>
      <w:r w:rsidRPr="007F65CF" w:rsidR="003E79AA">
        <w:t xml:space="preserve"> also </w:t>
      </w:r>
      <w:r w:rsidR="003E79AA">
        <w:t xml:space="preserve">will </w:t>
      </w:r>
      <w:r w:rsidRPr="007F65CF" w:rsidR="003E79AA">
        <w:t xml:space="preserve">help the study team prepare for site visits. </w:t>
      </w:r>
      <w:r w:rsidR="003E79AA">
        <w:t xml:space="preserve">We will incorporate survey </w:t>
      </w:r>
      <w:r w:rsidRPr="00146B67" w:rsidR="003E79AA">
        <w:t>responses</w:t>
      </w:r>
      <w:r w:rsidRPr="007F65CF" w:rsidR="003E79AA">
        <w:t xml:space="preserve"> into the summaries of PHA characteristics </w:t>
      </w:r>
      <w:r w:rsidR="003E79AA">
        <w:t xml:space="preserve">to </w:t>
      </w:r>
      <w:r w:rsidRPr="007F65CF" w:rsidR="003E79AA">
        <w:t>be developed for site visitors prior to the visits.</w:t>
      </w:r>
    </w:p>
    <w:p w:rsidR="00397332" w:rsidP="00397332" w14:paraId="371AEEA5" w14:textId="156D4D14">
      <w:pPr>
        <w:pStyle w:val="BodyText"/>
      </w:pPr>
      <w:r w:rsidRPr="007F65CF">
        <w:t>Among treatment PHAs, we aim to achieve a response rate of 100 percent; we will continue to follow up by phone or email until all 2</w:t>
      </w:r>
      <w:r w:rsidR="00710FAD">
        <w:t>8</w:t>
      </w:r>
      <w:r w:rsidRPr="007F65CF">
        <w:t xml:space="preserve"> treatment PHAs have provided complete responses. Among comparison PHAs, we aim to achieve a response rate of at least 60 percent</w:t>
      </w:r>
      <w:r>
        <w:t>,</w:t>
      </w:r>
      <w:r w:rsidRPr="007F65CF">
        <w:t xml:space="preserve"> including complete responses from all 2</w:t>
      </w:r>
      <w:r w:rsidR="00E507AB">
        <w:t>2</w:t>
      </w:r>
      <w:r w:rsidRPr="007F65CF">
        <w:t xml:space="preserve"> in-depth comparison PHAs. We will continue to follow up by phone and email </w:t>
      </w:r>
      <w:r>
        <w:t>toward that goal</w:t>
      </w:r>
      <w:r w:rsidRPr="007F65CF">
        <w:t>.</w:t>
      </w:r>
    </w:p>
    <w:p w:rsidR="000314E4" w:rsidRPr="00A30B71" w:rsidP="000314E4" w14:paraId="147EF4B3" w14:textId="01E8E9BD">
      <w:pPr>
        <w:pStyle w:val="Caption"/>
      </w:pPr>
      <w:r>
        <w:t>Exhibit 1</w:t>
      </w:r>
      <w:r w:rsidRPr="00A30B71">
        <w:t xml:space="preserve">: </w:t>
      </w:r>
      <w:r>
        <w:t>Sample Sizes and Response Rates</w:t>
      </w:r>
      <w:r w:rsidR="00F06D77">
        <w:t xml:space="preserve"> by PHA Grouping</w:t>
      </w:r>
    </w:p>
    <w:tbl>
      <w:tblPr>
        <w:tblStyle w:val="TableGrid"/>
        <w:tblW w:w="5000" w:type="pct"/>
        <w:tblLook w:val="04A0"/>
      </w:tblPr>
      <w:tblGrid>
        <w:gridCol w:w="2399"/>
        <w:gridCol w:w="2431"/>
        <w:gridCol w:w="2575"/>
        <w:gridCol w:w="1945"/>
      </w:tblGrid>
      <w:tr w14:paraId="76A2F9F4" w14:textId="77777777" w:rsidTr="0064390E">
        <w:tblPrEx>
          <w:tblW w:w="5000" w:type="pct"/>
          <w:tblLook w:val="04A0"/>
        </w:tblPrEx>
        <w:tc>
          <w:tcPr>
            <w:tcW w:w="1283" w:type="pct"/>
            <w:shd w:val="clear" w:color="auto" w:fill="DA291C" w:themeFill="accent1"/>
          </w:tcPr>
          <w:p w:rsidR="000314E4" w:rsidRPr="0064390E" w14:paraId="657E37B0" w14:textId="77777777">
            <w:pPr>
              <w:pStyle w:val="ExhibitColumnHeader"/>
              <w:rPr>
                <w:color w:val="FFFFFF"/>
              </w:rPr>
            </w:pPr>
          </w:p>
        </w:tc>
        <w:tc>
          <w:tcPr>
            <w:tcW w:w="1300" w:type="pct"/>
            <w:shd w:val="clear" w:color="auto" w:fill="DA291C" w:themeFill="accent1"/>
          </w:tcPr>
          <w:p w:rsidR="000314E4" w:rsidRPr="0064390E" w14:paraId="362B51C6" w14:textId="77777777">
            <w:pPr>
              <w:pStyle w:val="ExhibitColumnHeader"/>
              <w:rPr>
                <w:color w:val="FFFFFF"/>
              </w:rPr>
            </w:pPr>
            <w:r w:rsidRPr="0064390E">
              <w:rPr>
                <w:color w:val="FFFFFF"/>
              </w:rPr>
              <w:t>In Study</w:t>
            </w:r>
          </w:p>
        </w:tc>
        <w:tc>
          <w:tcPr>
            <w:tcW w:w="1377" w:type="pct"/>
            <w:shd w:val="clear" w:color="auto" w:fill="DA291C" w:themeFill="accent1"/>
          </w:tcPr>
          <w:p w:rsidR="000314E4" w:rsidRPr="0064390E" w14:paraId="36ECF5EB" w14:textId="5EBBB592">
            <w:pPr>
              <w:pStyle w:val="ExhibitColumnHeader"/>
              <w:rPr>
                <w:color w:val="FFFFFF"/>
              </w:rPr>
            </w:pPr>
            <w:r w:rsidRPr="0064390E">
              <w:rPr>
                <w:color w:val="FFFFFF"/>
              </w:rPr>
              <w:t>Completed</w:t>
            </w:r>
          </w:p>
        </w:tc>
        <w:tc>
          <w:tcPr>
            <w:tcW w:w="1040" w:type="pct"/>
            <w:shd w:val="clear" w:color="auto" w:fill="DA291C" w:themeFill="accent1"/>
          </w:tcPr>
          <w:p w:rsidR="000314E4" w:rsidRPr="0064390E" w14:paraId="3BA2FBCF" w14:textId="147E3DBE">
            <w:pPr>
              <w:pStyle w:val="ExhibitColumnHeader"/>
              <w:rPr>
                <w:color w:val="FFFFFF"/>
              </w:rPr>
            </w:pPr>
            <w:r w:rsidRPr="0064390E">
              <w:rPr>
                <w:color w:val="FFFFFF"/>
              </w:rPr>
              <w:t>Response Rate</w:t>
            </w:r>
          </w:p>
        </w:tc>
      </w:tr>
      <w:tr w14:paraId="40F5E1BE" w14:textId="77777777" w:rsidTr="0064390E">
        <w:tblPrEx>
          <w:tblW w:w="5000" w:type="pct"/>
          <w:tblLook w:val="04A0"/>
        </w:tblPrEx>
        <w:tc>
          <w:tcPr>
            <w:tcW w:w="1283" w:type="pct"/>
            <w:shd w:val="clear" w:color="auto" w:fill="auto"/>
          </w:tcPr>
          <w:p w:rsidR="000314E4" w:rsidRPr="001054C6" w14:paraId="655C09F6" w14:textId="6D1CFB76">
            <w:pPr>
              <w:pStyle w:val="ExhibitText"/>
            </w:pPr>
            <w:r w:rsidRPr="001054C6">
              <w:t>Treatment</w:t>
            </w:r>
            <w:r w:rsidR="00C31017">
              <w:t xml:space="preserve"> PHAs</w:t>
            </w:r>
          </w:p>
        </w:tc>
        <w:tc>
          <w:tcPr>
            <w:tcW w:w="1300" w:type="pct"/>
            <w:shd w:val="clear" w:color="auto" w:fill="auto"/>
          </w:tcPr>
          <w:p w:rsidR="000314E4" w:rsidRPr="001054C6" w14:paraId="16F71A2E" w14:textId="19A26E21">
            <w:pPr>
              <w:pStyle w:val="ExhibitText"/>
              <w:jc w:val="center"/>
            </w:pPr>
            <w:r>
              <w:t>2</w:t>
            </w:r>
            <w:r w:rsidR="00795AD8">
              <w:t>8</w:t>
            </w:r>
          </w:p>
        </w:tc>
        <w:tc>
          <w:tcPr>
            <w:tcW w:w="1377" w:type="pct"/>
            <w:shd w:val="clear" w:color="auto" w:fill="auto"/>
          </w:tcPr>
          <w:p w:rsidR="000314E4" w:rsidRPr="001054C6" w14:paraId="20B41B33" w14:textId="2C457B98">
            <w:pPr>
              <w:pStyle w:val="ExhibitText"/>
              <w:jc w:val="center"/>
            </w:pPr>
            <w:r>
              <w:t>2</w:t>
            </w:r>
            <w:r w:rsidR="00795AD8">
              <w:t>8</w:t>
            </w:r>
          </w:p>
        </w:tc>
        <w:tc>
          <w:tcPr>
            <w:tcW w:w="1040" w:type="pct"/>
            <w:shd w:val="clear" w:color="auto" w:fill="auto"/>
          </w:tcPr>
          <w:p w:rsidR="000314E4" w:rsidRPr="001054C6" w14:paraId="388427C1" w14:textId="77777777">
            <w:pPr>
              <w:pStyle w:val="ExhibitText"/>
              <w:jc w:val="center"/>
            </w:pPr>
            <w:r w:rsidRPr="001054C6">
              <w:t>100%</w:t>
            </w:r>
          </w:p>
        </w:tc>
      </w:tr>
      <w:tr w14:paraId="6EC03FE3" w14:textId="77777777" w:rsidTr="0064390E">
        <w:tblPrEx>
          <w:tblW w:w="5000" w:type="pct"/>
          <w:tblLook w:val="04A0"/>
        </w:tblPrEx>
        <w:tc>
          <w:tcPr>
            <w:tcW w:w="1283" w:type="pct"/>
            <w:shd w:val="clear" w:color="auto" w:fill="auto"/>
          </w:tcPr>
          <w:p w:rsidR="000314E4" w:rsidRPr="001054C6" w14:paraId="33E20C91" w14:textId="11B5CC71">
            <w:pPr>
              <w:pStyle w:val="ExhibitText"/>
            </w:pPr>
            <w:r w:rsidRPr="001054C6">
              <w:t>Co</w:t>
            </w:r>
            <w:r w:rsidR="00F30B86">
              <w:t>mparison</w:t>
            </w:r>
            <w:r w:rsidR="00C31017">
              <w:t xml:space="preserve"> PHAs</w:t>
            </w:r>
            <w:r>
              <w:t xml:space="preserve"> </w:t>
            </w:r>
            <w:r w:rsidR="00335785">
              <w:t>(all)</w:t>
            </w:r>
          </w:p>
        </w:tc>
        <w:tc>
          <w:tcPr>
            <w:tcW w:w="1300" w:type="pct"/>
            <w:shd w:val="clear" w:color="auto" w:fill="auto"/>
          </w:tcPr>
          <w:p w:rsidR="000314E4" w:rsidRPr="001054C6" w14:paraId="0208E8A7" w14:textId="72C1647E">
            <w:pPr>
              <w:pStyle w:val="ExhibitText"/>
              <w:jc w:val="center"/>
            </w:pPr>
            <w:r w:rsidRPr="001054C6">
              <w:t>1</w:t>
            </w:r>
            <w:r w:rsidR="00212BF9">
              <w:t>1</w:t>
            </w:r>
            <w:r w:rsidR="00CC1EFB">
              <w:t>2</w:t>
            </w:r>
          </w:p>
        </w:tc>
        <w:tc>
          <w:tcPr>
            <w:tcW w:w="1377" w:type="pct"/>
            <w:shd w:val="clear" w:color="auto" w:fill="auto"/>
          </w:tcPr>
          <w:p w:rsidR="000314E4" w:rsidRPr="001054C6" w14:paraId="2AD1F735" w14:textId="10529E3A">
            <w:pPr>
              <w:pStyle w:val="ExhibitText"/>
              <w:jc w:val="center"/>
            </w:pPr>
            <w:r>
              <w:t>67</w:t>
            </w:r>
          </w:p>
        </w:tc>
        <w:tc>
          <w:tcPr>
            <w:tcW w:w="1040" w:type="pct"/>
            <w:shd w:val="clear" w:color="auto" w:fill="auto"/>
          </w:tcPr>
          <w:p w:rsidR="000314E4" w:rsidRPr="001054C6" w14:paraId="540569FF" w14:textId="4C8CD6D5">
            <w:pPr>
              <w:pStyle w:val="ExhibitText"/>
              <w:jc w:val="center"/>
            </w:pPr>
            <w:r>
              <w:t>~</w:t>
            </w:r>
            <w:r w:rsidR="006853CF">
              <w:t>6</w:t>
            </w:r>
            <w:r w:rsidRPr="001054C6">
              <w:t>0%</w:t>
            </w:r>
          </w:p>
        </w:tc>
      </w:tr>
      <w:tr w14:paraId="611DDFFD" w14:textId="77777777" w:rsidTr="00335785">
        <w:tblPrEx>
          <w:tblW w:w="5000" w:type="pct"/>
          <w:tblLook w:val="04A0"/>
        </w:tblPrEx>
        <w:tc>
          <w:tcPr>
            <w:tcW w:w="1283" w:type="pct"/>
            <w:shd w:val="clear" w:color="auto" w:fill="auto"/>
          </w:tcPr>
          <w:p w:rsidR="00335785" w:rsidRPr="001054C6" w14:paraId="0117ECF8" w14:textId="658A6231">
            <w:pPr>
              <w:pStyle w:val="ExhibitText"/>
            </w:pPr>
            <w:r>
              <w:t>In-depth Comparison</w:t>
            </w:r>
            <w:r w:rsidR="00C31017">
              <w:t xml:space="preserve"> PHAs</w:t>
            </w:r>
            <w:r w:rsidR="00EB404F">
              <w:t xml:space="preserve"> (</w:t>
            </w:r>
            <w:r w:rsidR="006863A5">
              <w:t xml:space="preserve">this </w:t>
            </w:r>
            <w:r w:rsidR="00DD2212">
              <w:t>is a</w:t>
            </w:r>
            <w:r w:rsidR="00EB404F">
              <w:t xml:space="preserve"> subset of all Comparison PHAs)</w:t>
            </w:r>
          </w:p>
        </w:tc>
        <w:tc>
          <w:tcPr>
            <w:tcW w:w="1300" w:type="pct"/>
            <w:shd w:val="clear" w:color="auto" w:fill="auto"/>
          </w:tcPr>
          <w:p w:rsidR="00335785" w:rsidRPr="001054C6" w14:paraId="0DEAA87C" w14:textId="3EBF297E">
            <w:pPr>
              <w:pStyle w:val="ExhibitText"/>
              <w:jc w:val="center"/>
            </w:pPr>
            <w:r>
              <w:t>2</w:t>
            </w:r>
            <w:r w:rsidR="00E507AB">
              <w:t>2</w:t>
            </w:r>
          </w:p>
        </w:tc>
        <w:tc>
          <w:tcPr>
            <w:tcW w:w="1377" w:type="pct"/>
            <w:shd w:val="clear" w:color="auto" w:fill="auto"/>
          </w:tcPr>
          <w:p w:rsidR="00335785" w:rsidRPr="001054C6" w14:paraId="7E4E4DF9" w14:textId="03863F1C">
            <w:pPr>
              <w:pStyle w:val="ExhibitText"/>
              <w:jc w:val="center"/>
            </w:pPr>
            <w:r>
              <w:t>2</w:t>
            </w:r>
            <w:r w:rsidR="00770FAC">
              <w:t>2</w:t>
            </w:r>
          </w:p>
        </w:tc>
        <w:tc>
          <w:tcPr>
            <w:tcW w:w="1040" w:type="pct"/>
            <w:shd w:val="clear" w:color="auto" w:fill="auto"/>
          </w:tcPr>
          <w:p w:rsidR="00335785" w14:paraId="1D124641" w14:textId="5B2BA3DF">
            <w:pPr>
              <w:pStyle w:val="ExhibitText"/>
              <w:jc w:val="center"/>
            </w:pPr>
            <w:r>
              <w:t>100%</w:t>
            </w:r>
          </w:p>
        </w:tc>
      </w:tr>
      <w:tr w14:paraId="3251B326" w14:textId="77777777" w:rsidTr="0064390E">
        <w:tblPrEx>
          <w:tblW w:w="5000" w:type="pct"/>
          <w:tblLook w:val="04A0"/>
        </w:tblPrEx>
        <w:tc>
          <w:tcPr>
            <w:tcW w:w="1283" w:type="pct"/>
            <w:shd w:val="clear" w:color="auto" w:fill="auto"/>
          </w:tcPr>
          <w:p w:rsidR="000314E4" w:rsidRPr="006641E7" w14:paraId="605FE904" w14:textId="77777777">
            <w:pPr>
              <w:pStyle w:val="ExhibitText"/>
              <w:rPr>
                <w:b/>
              </w:rPr>
            </w:pPr>
            <w:r w:rsidRPr="006641E7">
              <w:rPr>
                <w:b/>
              </w:rPr>
              <w:t>Total</w:t>
            </w:r>
          </w:p>
        </w:tc>
        <w:tc>
          <w:tcPr>
            <w:tcW w:w="1300" w:type="pct"/>
            <w:shd w:val="clear" w:color="auto" w:fill="auto"/>
          </w:tcPr>
          <w:p w:rsidR="000314E4" w:rsidRPr="006641E7" w14:paraId="5A7B1A8A" w14:textId="532D884F">
            <w:pPr>
              <w:pStyle w:val="ExhibitText"/>
              <w:jc w:val="center"/>
              <w:rPr>
                <w:b/>
              </w:rPr>
            </w:pPr>
            <w:r>
              <w:rPr>
                <w:b/>
              </w:rPr>
              <w:t>14</w:t>
            </w:r>
            <w:r w:rsidR="00770FAC">
              <w:rPr>
                <w:b/>
              </w:rPr>
              <w:t>0</w:t>
            </w:r>
          </w:p>
        </w:tc>
        <w:tc>
          <w:tcPr>
            <w:tcW w:w="1377" w:type="pct"/>
            <w:shd w:val="clear" w:color="auto" w:fill="auto"/>
          </w:tcPr>
          <w:p w:rsidR="000314E4" w:rsidRPr="006641E7" w14:paraId="3FB6030A" w14:textId="1B4099CF">
            <w:pPr>
              <w:pStyle w:val="ExhibitText"/>
              <w:jc w:val="center"/>
              <w:rPr>
                <w:b/>
              </w:rPr>
            </w:pPr>
            <w:r>
              <w:rPr>
                <w:b/>
              </w:rPr>
              <w:t>9</w:t>
            </w:r>
            <w:r w:rsidR="002C0245">
              <w:rPr>
                <w:b/>
              </w:rPr>
              <w:t>5</w:t>
            </w:r>
          </w:p>
        </w:tc>
        <w:tc>
          <w:tcPr>
            <w:tcW w:w="1040" w:type="pct"/>
            <w:shd w:val="clear" w:color="auto" w:fill="auto"/>
          </w:tcPr>
          <w:p w:rsidR="000314E4" w:rsidRPr="006641E7" w14:paraId="449F677B" w14:textId="6AA38A82">
            <w:pPr>
              <w:pStyle w:val="ExhibitText"/>
              <w:jc w:val="center"/>
              <w:rPr>
                <w:b/>
              </w:rPr>
            </w:pPr>
            <w:r>
              <w:rPr>
                <w:b/>
              </w:rPr>
              <w:t>68</w:t>
            </w:r>
            <w:r w:rsidRPr="006641E7">
              <w:rPr>
                <w:b/>
              </w:rPr>
              <w:t>%</w:t>
            </w:r>
          </w:p>
        </w:tc>
      </w:tr>
    </w:tbl>
    <w:p w:rsidR="003A0C94" w:rsidP="00B02C0C" w14:paraId="4EF77247" w14:textId="77777777">
      <w:pPr>
        <w:pStyle w:val="Heading3"/>
      </w:pPr>
    </w:p>
    <w:p w:rsidR="00B02C0C" w:rsidP="00B02C0C" w14:paraId="6BD99316" w14:textId="38D5B848">
      <w:pPr>
        <w:pStyle w:val="Heading3"/>
      </w:pPr>
      <w:r>
        <w:t>Interviews with PHAs</w:t>
      </w:r>
    </w:p>
    <w:p w:rsidR="006E55DE" w:rsidRPr="006E55DE" w:rsidP="006E55DE" w14:paraId="32FEBFF4" w14:textId="7B552FCE">
      <w:pPr>
        <w:pStyle w:val="BodyText"/>
      </w:pPr>
      <w:r>
        <w:t>Site visits for in-person interviews will take place at all 2</w:t>
      </w:r>
      <w:r w:rsidR="4CBDA188">
        <w:t>8</w:t>
      </w:r>
      <w:r>
        <w:t xml:space="preserve"> treatment PHAs in year 2 and again in year 5. Site visits will take place at </w:t>
      </w:r>
      <w:r w:rsidR="00271307">
        <w:t xml:space="preserve">the </w:t>
      </w:r>
      <w:r>
        <w:t>2</w:t>
      </w:r>
      <w:r w:rsidR="1CEA0940">
        <w:t>2</w:t>
      </w:r>
      <w:r>
        <w:t xml:space="preserve"> in-depth comparison PHAs in year 5. </w:t>
      </w:r>
      <w:r w:rsidR="00BA5A35">
        <w:t>In year 3, interviews will be conducted by phone with the 28 treatment PHAs only.</w:t>
      </w:r>
    </w:p>
    <w:p w:rsidR="00E339B3" w:rsidRPr="00A30B71" w:rsidP="00301239" w14:paraId="10123BFA" w14:textId="5F5BAEBB">
      <w:pPr>
        <w:pStyle w:val="Caption"/>
      </w:pPr>
      <w:r>
        <w:t>Exhibit</w:t>
      </w:r>
      <w:r w:rsidR="00F06D77">
        <w:t xml:space="preserve"> 2</w:t>
      </w:r>
      <w:r w:rsidRPr="00A30B71">
        <w:t xml:space="preserve">: </w:t>
      </w:r>
      <w:r>
        <w:t xml:space="preserve">Response Rates </w:t>
      </w:r>
      <w:r w:rsidR="00BA5A35">
        <w:t>for</w:t>
      </w:r>
      <w:r w:rsidR="003F636B">
        <w:t xml:space="preserve"> PHA</w:t>
      </w:r>
      <w:r w:rsidR="00BA5A35">
        <w:t xml:space="preserve"> In-Person (Site Visit) Interviews</w:t>
      </w:r>
    </w:p>
    <w:tbl>
      <w:tblPr>
        <w:tblStyle w:val="TableGrid"/>
        <w:tblW w:w="5000" w:type="pct"/>
        <w:tblLook w:val="04A0"/>
      </w:tblPr>
      <w:tblGrid>
        <w:gridCol w:w="1986"/>
        <w:gridCol w:w="2012"/>
        <w:gridCol w:w="2132"/>
        <w:gridCol w:w="1610"/>
        <w:gridCol w:w="1610"/>
      </w:tblGrid>
      <w:tr w14:paraId="10123BFF" w14:textId="77777777" w:rsidTr="0064390E">
        <w:tblPrEx>
          <w:tblW w:w="5000" w:type="pct"/>
          <w:tblLook w:val="04A0"/>
        </w:tblPrEx>
        <w:tc>
          <w:tcPr>
            <w:tcW w:w="1062" w:type="pct"/>
            <w:shd w:val="clear" w:color="auto" w:fill="DA291C" w:themeFill="accent1"/>
          </w:tcPr>
          <w:p w:rsidR="00113AB3" w:rsidRPr="0064390E" w:rsidP="001D0620" w14:paraId="10123BFB" w14:textId="77777777">
            <w:pPr>
              <w:pStyle w:val="ExhibitColumnHeader"/>
              <w:rPr>
                <w:color w:val="FFFFFF"/>
              </w:rPr>
            </w:pPr>
          </w:p>
        </w:tc>
        <w:tc>
          <w:tcPr>
            <w:tcW w:w="1076" w:type="pct"/>
            <w:shd w:val="clear" w:color="auto" w:fill="DA291C" w:themeFill="accent1"/>
          </w:tcPr>
          <w:p w:rsidR="00113AB3" w:rsidRPr="0064390E" w:rsidP="001D0620" w14:paraId="10123BFC" w14:textId="77777777">
            <w:pPr>
              <w:pStyle w:val="ExhibitColumnHeader"/>
              <w:rPr>
                <w:color w:val="FFFFFF"/>
              </w:rPr>
            </w:pPr>
            <w:r w:rsidRPr="0064390E">
              <w:rPr>
                <w:color w:val="FFFFFF"/>
              </w:rPr>
              <w:t>In Study</w:t>
            </w:r>
          </w:p>
        </w:tc>
        <w:tc>
          <w:tcPr>
            <w:tcW w:w="1140" w:type="pct"/>
            <w:shd w:val="clear" w:color="auto" w:fill="DA291C" w:themeFill="accent1"/>
          </w:tcPr>
          <w:p w:rsidR="00113AB3" w:rsidRPr="0064390E" w:rsidP="001D0620" w14:paraId="10123BFD" w14:textId="300599B4">
            <w:pPr>
              <w:pStyle w:val="ExhibitColumnHeader"/>
              <w:rPr>
                <w:color w:val="FFFFFF"/>
              </w:rPr>
            </w:pPr>
            <w:r w:rsidRPr="0064390E">
              <w:rPr>
                <w:color w:val="FFFFFF"/>
              </w:rPr>
              <w:t>Participates in PHA Site Visit</w:t>
            </w:r>
            <w:r w:rsidRPr="0064390E" w:rsidR="00125CDF">
              <w:rPr>
                <w:color w:val="FFFFFF"/>
              </w:rPr>
              <w:t xml:space="preserve"> Year 2</w:t>
            </w:r>
          </w:p>
        </w:tc>
        <w:tc>
          <w:tcPr>
            <w:tcW w:w="861" w:type="pct"/>
            <w:shd w:val="clear" w:color="auto" w:fill="DA291C" w:themeFill="accent1"/>
          </w:tcPr>
          <w:p w:rsidR="00113AB3" w:rsidRPr="0064390E" w:rsidP="001D0620" w14:paraId="2B3E82E5" w14:textId="32F4A675">
            <w:pPr>
              <w:pStyle w:val="ExhibitColumnHeader"/>
              <w:rPr>
                <w:color w:val="FFFFFF"/>
              </w:rPr>
            </w:pPr>
            <w:r w:rsidRPr="0064390E">
              <w:rPr>
                <w:color w:val="FFFFFF"/>
              </w:rPr>
              <w:t xml:space="preserve">Participates in PHA Site Visit Year </w:t>
            </w:r>
            <w:r w:rsidR="00B03AE6">
              <w:rPr>
                <w:color w:val="FFFFFF"/>
              </w:rPr>
              <w:t>5</w:t>
            </w:r>
          </w:p>
        </w:tc>
        <w:tc>
          <w:tcPr>
            <w:tcW w:w="861" w:type="pct"/>
            <w:shd w:val="clear" w:color="auto" w:fill="DA291C" w:themeFill="accent1"/>
          </w:tcPr>
          <w:p w:rsidR="00113AB3" w:rsidRPr="0064390E" w:rsidP="001D0620" w14:paraId="10123BFE" w14:textId="4FB0AC56">
            <w:pPr>
              <w:pStyle w:val="ExhibitColumnHeader"/>
              <w:rPr>
                <w:color w:val="FFFFFF"/>
              </w:rPr>
            </w:pPr>
            <w:r w:rsidRPr="0064390E">
              <w:rPr>
                <w:color w:val="FFFFFF"/>
              </w:rPr>
              <w:t>Response Rate</w:t>
            </w:r>
            <w:r w:rsidRPr="0064390E" w:rsidR="00125CDF">
              <w:rPr>
                <w:color w:val="FFFFFF"/>
              </w:rPr>
              <w:t xml:space="preserve"> for Both Years</w:t>
            </w:r>
          </w:p>
        </w:tc>
      </w:tr>
      <w:tr w14:paraId="10123C04" w14:textId="77777777" w:rsidTr="0064390E">
        <w:tblPrEx>
          <w:tblW w:w="5000" w:type="pct"/>
          <w:tblLook w:val="04A0"/>
        </w:tblPrEx>
        <w:tc>
          <w:tcPr>
            <w:tcW w:w="1062" w:type="pct"/>
            <w:shd w:val="clear" w:color="auto" w:fill="auto"/>
          </w:tcPr>
          <w:p w:rsidR="00113AB3" w:rsidRPr="001054C6" w:rsidP="001D0620" w14:paraId="10123C00" w14:textId="50997C5E">
            <w:pPr>
              <w:pStyle w:val="ExhibitText"/>
            </w:pPr>
            <w:r w:rsidRPr="001054C6">
              <w:t>Treatment</w:t>
            </w:r>
            <w:r>
              <w:t xml:space="preserve"> PHAs</w:t>
            </w:r>
          </w:p>
        </w:tc>
        <w:tc>
          <w:tcPr>
            <w:tcW w:w="1076" w:type="pct"/>
            <w:shd w:val="clear" w:color="auto" w:fill="auto"/>
          </w:tcPr>
          <w:p w:rsidR="00113AB3" w:rsidRPr="001054C6" w:rsidP="0072431D" w14:paraId="10123C01" w14:textId="1B09C2BC">
            <w:pPr>
              <w:pStyle w:val="ExhibitText"/>
              <w:jc w:val="center"/>
            </w:pPr>
            <w:r>
              <w:t>28</w:t>
            </w:r>
          </w:p>
        </w:tc>
        <w:tc>
          <w:tcPr>
            <w:tcW w:w="1140" w:type="pct"/>
            <w:shd w:val="clear" w:color="auto" w:fill="auto"/>
          </w:tcPr>
          <w:p w:rsidR="00113AB3" w:rsidRPr="001054C6" w:rsidP="0072431D" w14:paraId="10123C02" w14:textId="087377FB">
            <w:pPr>
              <w:pStyle w:val="ExhibitText"/>
              <w:jc w:val="center"/>
            </w:pPr>
            <w:r>
              <w:t>28</w:t>
            </w:r>
          </w:p>
        </w:tc>
        <w:tc>
          <w:tcPr>
            <w:tcW w:w="861" w:type="pct"/>
            <w:shd w:val="clear" w:color="auto" w:fill="auto"/>
          </w:tcPr>
          <w:p w:rsidR="00113AB3" w:rsidRPr="001054C6" w:rsidP="001D0620" w14:paraId="70E7D91A" w14:textId="51008F0B">
            <w:pPr>
              <w:pStyle w:val="ExhibitText"/>
              <w:jc w:val="center"/>
            </w:pPr>
            <w:r>
              <w:t>28</w:t>
            </w:r>
          </w:p>
        </w:tc>
        <w:tc>
          <w:tcPr>
            <w:tcW w:w="861" w:type="pct"/>
            <w:shd w:val="clear" w:color="auto" w:fill="auto"/>
          </w:tcPr>
          <w:p w:rsidR="00113AB3" w:rsidRPr="001054C6" w:rsidP="001D0620" w14:paraId="10123C03" w14:textId="630FD193">
            <w:pPr>
              <w:pStyle w:val="ExhibitText"/>
              <w:jc w:val="center"/>
            </w:pPr>
            <w:r w:rsidRPr="001054C6">
              <w:t>100%</w:t>
            </w:r>
          </w:p>
        </w:tc>
      </w:tr>
      <w:tr w14:paraId="10123C09" w14:textId="77777777" w:rsidTr="0064390E">
        <w:tblPrEx>
          <w:tblW w:w="5000" w:type="pct"/>
          <w:tblLook w:val="04A0"/>
        </w:tblPrEx>
        <w:tc>
          <w:tcPr>
            <w:tcW w:w="1062" w:type="pct"/>
            <w:shd w:val="clear" w:color="auto" w:fill="auto"/>
          </w:tcPr>
          <w:p w:rsidR="00113AB3" w:rsidRPr="001054C6" w:rsidP="001D0620" w14:paraId="10123C05" w14:textId="7B69799C">
            <w:pPr>
              <w:pStyle w:val="ExhibitText"/>
            </w:pPr>
            <w:r>
              <w:t>In-depth c</w:t>
            </w:r>
            <w:r w:rsidRPr="001054C6">
              <w:t>o</w:t>
            </w:r>
            <w:r>
              <w:t>mparison PHAs</w:t>
            </w:r>
          </w:p>
        </w:tc>
        <w:tc>
          <w:tcPr>
            <w:tcW w:w="1076" w:type="pct"/>
            <w:shd w:val="clear" w:color="auto" w:fill="auto"/>
          </w:tcPr>
          <w:p w:rsidR="00113AB3" w:rsidRPr="001054C6" w:rsidP="0072431D" w14:paraId="10123C06" w14:textId="43482090">
            <w:pPr>
              <w:pStyle w:val="ExhibitText"/>
              <w:jc w:val="center"/>
            </w:pPr>
            <w:r>
              <w:t>2</w:t>
            </w:r>
            <w:r w:rsidR="00007142">
              <w:t>2</w:t>
            </w:r>
          </w:p>
        </w:tc>
        <w:tc>
          <w:tcPr>
            <w:tcW w:w="1140" w:type="pct"/>
            <w:shd w:val="clear" w:color="auto" w:fill="auto"/>
          </w:tcPr>
          <w:p w:rsidR="00113AB3" w:rsidRPr="001054C6" w:rsidP="0072431D" w14:paraId="10123C07" w14:textId="38E81AB1">
            <w:pPr>
              <w:pStyle w:val="ExhibitText"/>
              <w:jc w:val="center"/>
            </w:pPr>
            <w:r>
              <w:t>-</w:t>
            </w:r>
          </w:p>
        </w:tc>
        <w:tc>
          <w:tcPr>
            <w:tcW w:w="861" w:type="pct"/>
            <w:shd w:val="clear" w:color="auto" w:fill="auto"/>
          </w:tcPr>
          <w:p w:rsidR="00113AB3" w:rsidRPr="001054C6" w:rsidP="001D0620" w14:paraId="77AF07B5" w14:textId="615DCCE4">
            <w:pPr>
              <w:pStyle w:val="ExhibitText"/>
              <w:jc w:val="center"/>
            </w:pPr>
            <w:r>
              <w:t>2</w:t>
            </w:r>
            <w:r w:rsidR="00007142">
              <w:t>2</w:t>
            </w:r>
          </w:p>
        </w:tc>
        <w:tc>
          <w:tcPr>
            <w:tcW w:w="861" w:type="pct"/>
            <w:shd w:val="clear" w:color="auto" w:fill="auto"/>
          </w:tcPr>
          <w:p w:rsidR="00113AB3" w:rsidRPr="001054C6" w:rsidP="001D0620" w14:paraId="10123C08" w14:textId="672B0015">
            <w:pPr>
              <w:pStyle w:val="ExhibitText"/>
              <w:jc w:val="center"/>
            </w:pPr>
            <w:r w:rsidRPr="001054C6">
              <w:t>100%</w:t>
            </w:r>
          </w:p>
        </w:tc>
      </w:tr>
      <w:tr w14:paraId="10123C0E" w14:textId="77777777" w:rsidTr="0064390E">
        <w:tblPrEx>
          <w:tblW w:w="5000" w:type="pct"/>
          <w:tblLook w:val="04A0"/>
        </w:tblPrEx>
        <w:tc>
          <w:tcPr>
            <w:tcW w:w="1062" w:type="pct"/>
            <w:shd w:val="clear" w:color="auto" w:fill="auto"/>
          </w:tcPr>
          <w:p w:rsidR="00113AB3" w:rsidRPr="006641E7" w:rsidP="001D0620" w14:paraId="10123C0A" w14:textId="77777777">
            <w:pPr>
              <w:pStyle w:val="ExhibitText"/>
              <w:rPr>
                <w:b/>
              </w:rPr>
            </w:pPr>
            <w:r w:rsidRPr="006641E7">
              <w:rPr>
                <w:b/>
              </w:rPr>
              <w:t>Total</w:t>
            </w:r>
          </w:p>
        </w:tc>
        <w:tc>
          <w:tcPr>
            <w:tcW w:w="1076" w:type="pct"/>
            <w:shd w:val="clear" w:color="auto" w:fill="auto"/>
          </w:tcPr>
          <w:p w:rsidR="00113AB3" w:rsidRPr="006641E7" w:rsidP="0072431D" w14:paraId="10123C0B" w14:textId="7F83D455">
            <w:pPr>
              <w:pStyle w:val="ExhibitText"/>
              <w:jc w:val="center"/>
              <w:rPr>
                <w:b/>
              </w:rPr>
            </w:pPr>
            <w:r>
              <w:rPr>
                <w:b/>
              </w:rPr>
              <w:t>50</w:t>
            </w:r>
          </w:p>
        </w:tc>
        <w:tc>
          <w:tcPr>
            <w:tcW w:w="1140" w:type="pct"/>
            <w:shd w:val="clear" w:color="auto" w:fill="auto"/>
          </w:tcPr>
          <w:p w:rsidR="00113AB3" w:rsidRPr="006641E7" w:rsidP="0072431D" w14:paraId="10123C0C" w14:textId="156474B9">
            <w:pPr>
              <w:pStyle w:val="ExhibitText"/>
              <w:jc w:val="center"/>
              <w:rPr>
                <w:b/>
              </w:rPr>
            </w:pPr>
            <w:r>
              <w:rPr>
                <w:b/>
              </w:rPr>
              <w:t>28</w:t>
            </w:r>
          </w:p>
        </w:tc>
        <w:tc>
          <w:tcPr>
            <w:tcW w:w="861" w:type="pct"/>
            <w:shd w:val="clear" w:color="auto" w:fill="auto"/>
          </w:tcPr>
          <w:p w:rsidR="00113AB3" w:rsidRPr="006641E7" w:rsidP="001D0620" w14:paraId="0318B243" w14:textId="27EA0E7A">
            <w:pPr>
              <w:pStyle w:val="ExhibitText"/>
              <w:jc w:val="center"/>
              <w:rPr>
                <w:b/>
              </w:rPr>
            </w:pPr>
            <w:r>
              <w:rPr>
                <w:b/>
              </w:rPr>
              <w:t>50</w:t>
            </w:r>
          </w:p>
        </w:tc>
        <w:tc>
          <w:tcPr>
            <w:tcW w:w="861" w:type="pct"/>
            <w:shd w:val="clear" w:color="auto" w:fill="auto"/>
          </w:tcPr>
          <w:p w:rsidR="00113AB3" w:rsidRPr="006641E7" w:rsidP="001D0620" w14:paraId="10123C0D" w14:textId="7EE06F3F">
            <w:pPr>
              <w:pStyle w:val="ExhibitText"/>
              <w:jc w:val="center"/>
              <w:rPr>
                <w:b/>
              </w:rPr>
            </w:pPr>
            <w:r w:rsidRPr="006641E7">
              <w:rPr>
                <w:b/>
              </w:rPr>
              <w:t>100%</w:t>
            </w:r>
          </w:p>
        </w:tc>
      </w:tr>
    </w:tbl>
    <w:p w:rsidR="003A0C94" w:rsidP="003A0C94" w14:paraId="6FB22649" w14:textId="77777777">
      <w:pPr>
        <w:pStyle w:val="Heading3"/>
      </w:pPr>
    </w:p>
    <w:p w:rsidR="003A0C94" w:rsidRPr="00A30B71" w:rsidP="003A0C94" w14:paraId="1161FDBE" w14:textId="39F504C1">
      <w:pPr>
        <w:pStyle w:val="Caption"/>
      </w:pPr>
      <w:r>
        <w:t>Exhibit</w:t>
      </w:r>
      <w:r w:rsidR="0064390E">
        <w:t xml:space="preserve"> 3</w:t>
      </w:r>
      <w:r w:rsidRPr="00A30B71">
        <w:t xml:space="preserve">: </w:t>
      </w:r>
      <w:r>
        <w:t xml:space="preserve">Response Rates </w:t>
      </w:r>
      <w:r w:rsidR="00BA5A35">
        <w:t>for PHA Phone Interviews</w:t>
      </w:r>
    </w:p>
    <w:tbl>
      <w:tblPr>
        <w:tblStyle w:val="TableGrid"/>
        <w:tblW w:w="5000" w:type="pct"/>
        <w:tblLook w:val="04A0"/>
      </w:tblPr>
      <w:tblGrid>
        <w:gridCol w:w="2399"/>
        <w:gridCol w:w="2431"/>
        <w:gridCol w:w="2575"/>
        <w:gridCol w:w="1945"/>
      </w:tblGrid>
      <w:tr w14:paraId="0461C6D5" w14:textId="77777777" w:rsidTr="0064390E">
        <w:tblPrEx>
          <w:tblW w:w="5000" w:type="pct"/>
          <w:tblLook w:val="04A0"/>
        </w:tblPrEx>
        <w:tc>
          <w:tcPr>
            <w:tcW w:w="1283" w:type="pct"/>
            <w:shd w:val="clear" w:color="auto" w:fill="DA291C" w:themeFill="accent1"/>
          </w:tcPr>
          <w:p w:rsidR="003A0C94" w:rsidRPr="0064390E" w14:paraId="775023A8" w14:textId="77777777">
            <w:pPr>
              <w:pStyle w:val="ExhibitColumnHeader"/>
              <w:rPr>
                <w:color w:val="FFFFFF"/>
              </w:rPr>
            </w:pPr>
          </w:p>
        </w:tc>
        <w:tc>
          <w:tcPr>
            <w:tcW w:w="1300" w:type="pct"/>
            <w:shd w:val="clear" w:color="auto" w:fill="DA291C" w:themeFill="accent1"/>
          </w:tcPr>
          <w:p w:rsidR="003A0C94" w:rsidRPr="0064390E" w14:paraId="5874E8BA" w14:textId="77777777">
            <w:pPr>
              <w:pStyle w:val="ExhibitColumnHeader"/>
              <w:rPr>
                <w:color w:val="FFFFFF"/>
              </w:rPr>
            </w:pPr>
            <w:r w:rsidRPr="0064390E">
              <w:rPr>
                <w:color w:val="FFFFFF"/>
              </w:rPr>
              <w:t>In Study</w:t>
            </w:r>
          </w:p>
        </w:tc>
        <w:tc>
          <w:tcPr>
            <w:tcW w:w="1377" w:type="pct"/>
            <w:shd w:val="clear" w:color="auto" w:fill="DA291C" w:themeFill="accent1"/>
          </w:tcPr>
          <w:p w:rsidR="003A0C94" w:rsidRPr="0064390E" w14:paraId="18111BC9" w14:textId="77777777">
            <w:pPr>
              <w:pStyle w:val="ExhibitColumnHeader"/>
              <w:rPr>
                <w:color w:val="FFFFFF"/>
              </w:rPr>
            </w:pPr>
            <w:r w:rsidRPr="0064390E">
              <w:rPr>
                <w:color w:val="FFFFFF"/>
              </w:rPr>
              <w:t>Participates in PHA Site Visit</w:t>
            </w:r>
          </w:p>
        </w:tc>
        <w:tc>
          <w:tcPr>
            <w:tcW w:w="1040" w:type="pct"/>
            <w:shd w:val="clear" w:color="auto" w:fill="DA291C" w:themeFill="accent1"/>
          </w:tcPr>
          <w:p w:rsidR="003A0C94" w:rsidRPr="0064390E" w14:paraId="6363BD4B" w14:textId="77777777">
            <w:pPr>
              <w:pStyle w:val="ExhibitColumnHeader"/>
              <w:rPr>
                <w:color w:val="FFFFFF"/>
              </w:rPr>
            </w:pPr>
            <w:r w:rsidRPr="0064390E">
              <w:rPr>
                <w:color w:val="FFFFFF"/>
              </w:rPr>
              <w:t>Response Rate</w:t>
            </w:r>
          </w:p>
        </w:tc>
      </w:tr>
      <w:tr w14:paraId="4DD836B1" w14:textId="77777777" w:rsidTr="0064390E">
        <w:tblPrEx>
          <w:tblW w:w="5000" w:type="pct"/>
          <w:tblLook w:val="04A0"/>
        </w:tblPrEx>
        <w:tc>
          <w:tcPr>
            <w:tcW w:w="1283" w:type="pct"/>
            <w:shd w:val="clear" w:color="auto" w:fill="auto"/>
          </w:tcPr>
          <w:p w:rsidR="003A0C94" w:rsidRPr="001054C6" w14:paraId="36159207" w14:textId="77777777">
            <w:pPr>
              <w:pStyle w:val="ExhibitText"/>
            </w:pPr>
            <w:r w:rsidRPr="001054C6">
              <w:t>Treatment</w:t>
            </w:r>
            <w:r>
              <w:t xml:space="preserve"> PHAs</w:t>
            </w:r>
          </w:p>
        </w:tc>
        <w:tc>
          <w:tcPr>
            <w:tcW w:w="1300" w:type="pct"/>
            <w:shd w:val="clear" w:color="auto" w:fill="auto"/>
          </w:tcPr>
          <w:p w:rsidR="003A0C94" w:rsidRPr="001054C6" w14:paraId="748FD64E" w14:textId="77777777">
            <w:pPr>
              <w:pStyle w:val="ExhibitText"/>
              <w:jc w:val="center"/>
            </w:pPr>
            <w:r>
              <w:t>28</w:t>
            </w:r>
          </w:p>
        </w:tc>
        <w:tc>
          <w:tcPr>
            <w:tcW w:w="1377" w:type="pct"/>
            <w:shd w:val="clear" w:color="auto" w:fill="auto"/>
          </w:tcPr>
          <w:p w:rsidR="003A0C94" w:rsidRPr="001054C6" w14:paraId="4D1D5E47" w14:textId="77777777">
            <w:pPr>
              <w:pStyle w:val="ExhibitText"/>
              <w:jc w:val="center"/>
            </w:pPr>
            <w:r>
              <w:t>28</w:t>
            </w:r>
          </w:p>
        </w:tc>
        <w:tc>
          <w:tcPr>
            <w:tcW w:w="1040" w:type="pct"/>
            <w:shd w:val="clear" w:color="auto" w:fill="auto"/>
          </w:tcPr>
          <w:p w:rsidR="003A0C94" w:rsidRPr="001054C6" w14:paraId="7AB6B204" w14:textId="77777777">
            <w:pPr>
              <w:pStyle w:val="ExhibitText"/>
              <w:jc w:val="center"/>
            </w:pPr>
            <w:r w:rsidRPr="001054C6">
              <w:t>100%</w:t>
            </w:r>
          </w:p>
        </w:tc>
      </w:tr>
      <w:tr w14:paraId="6125433D" w14:textId="77777777" w:rsidTr="0064390E">
        <w:tblPrEx>
          <w:tblW w:w="5000" w:type="pct"/>
          <w:tblLook w:val="04A0"/>
        </w:tblPrEx>
        <w:tc>
          <w:tcPr>
            <w:tcW w:w="1283" w:type="pct"/>
            <w:shd w:val="clear" w:color="auto" w:fill="auto"/>
          </w:tcPr>
          <w:p w:rsidR="003A0C94" w:rsidRPr="006641E7" w14:paraId="7AB70C39" w14:textId="77777777">
            <w:pPr>
              <w:pStyle w:val="ExhibitText"/>
              <w:rPr>
                <w:b/>
              </w:rPr>
            </w:pPr>
            <w:r w:rsidRPr="006641E7">
              <w:rPr>
                <w:b/>
              </w:rPr>
              <w:t>Total</w:t>
            </w:r>
          </w:p>
        </w:tc>
        <w:tc>
          <w:tcPr>
            <w:tcW w:w="1300" w:type="pct"/>
            <w:shd w:val="clear" w:color="auto" w:fill="auto"/>
          </w:tcPr>
          <w:p w:rsidR="003A0C94" w:rsidRPr="006641E7" w14:paraId="5B5CE46F" w14:textId="77777777">
            <w:pPr>
              <w:pStyle w:val="ExhibitText"/>
              <w:jc w:val="center"/>
              <w:rPr>
                <w:b/>
              </w:rPr>
            </w:pPr>
            <w:r>
              <w:rPr>
                <w:b/>
              </w:rPr>
              <w:t>28</w:t>
            </w:r>
          </w:p>
        </w:tc>
        <w:tc>
          <w:tcPr>
            <w:tcW w:w="1377" w:type="pct"/>
            <w:shd w:val="clear" w:color="auto" w:fill="auto"/>
          </w:tcPr>
          <w:p w:rsidR="003A0C94" w:rsidRPr="006641E7" w14:paraId="15B46EBD" w14:textId="77777777">
            <w:pPr>
              <w:pStyle w:val="ExhibitText"/>
              <w:jc w:val="center"/>
              <w:rPr>
                <w:b/>
              </w:rPr>
            </w:pPr>
            <w:r>
              <w:rPr>
                <w:b/>
              </w:rPr>
              <w:t>28</w:t>
            </w:r>
          </w:p>
        </w:tc>
        <w:tc>
          <w:tcPr>
            <w:tcW w:w="1040" w:type="pct"/>
            <w:shd w:val="clear" w:color="auto" w:fill="auto"/>
          </w:tcPr>
          <w:p w:rsidR="003A0C94" w:rsidRPr="006641E7" w14:paraId="4608F82A" w14:textId="77777777">
            <w:pPr>
              <w:pStyle w:val="ExhibitText"/>
              <w:jc w:val="center"/>
              <w:rPr>
                <w:b/>
              </w:rPr>
            </w:pPr>
            <w:r w:rsidRPr="006641E7">
              <w:rPr>
                <w:b/>
              </w:rPr>
              <w:t>100%</w:t>
            </w:r>
          </w:p>
        </w:tc>
      </w:tr>
    </w:tbl>
    <w:p w:rsidR="003A0C94" w:rsidP="003A0C94" w14:paraId="7F8A1770" w14:textId="77777777">
      <w:pPr>
        <w:pStyle w:val="BodyText"/>
      </w:pPr>
    </w:p>
    <w:p w:rsidR="00BA5A35" w:rsidRPr="003A0C94" w:rsidP="003A0C94" w14:paraId="6A518D97" w14:textId="314B8122">
      <w:pPr>
        <w:pStyle w:val="BodyText"/>
      </w:pPr>
      <w:r w:rsidRPr="007F65CF">
        <w:t>Interviewees will include PHA and HCV program leadership such as the executive director or director of the HCV program; client-facing staff such as caseworkers and housing navigators; the inspection manager or lead inspector; and staff responsible for landlord outreach and recruitment such as a landlord liaison. We may also include PHA partners and other stakeholders such as local realtors who work with voucher households or organizations that provide housing navigation services to them. In our initial communications with PHA sites, we will confirm which staff and stakeholders will be most appropriate to interview.</w:t>
      </w:r>
    </w:p>
    <w:p w:rsidR="009C10B9" w:rsidRPr="00932E88" w:rsidP="009C10B9" w14:paraId="0E801686" w14:textId="05E7E9BC">
      <w:pPr>
        <w:pStyle w:val="Heading3"/>
      </w:pPr>
      <w:r>
        <w:t>Interviews with Landlords</w:t>
      </w:r>
    </w:p>
    <w:p w:rsidR="00555FA8" w:rsidRPr="00555FA8" w:rsidP="00555FA8" w14:paraId="2CF7D1CB" w14:textId="1E888242">
      <w:pPr>
        <w:pStyle w:val="BodyText"/>
        <w:rPr>
          <w:rFonts w:asciiTheme="minorBidi" w:hAnsiTheme="minorBidi" w:cstheme="minorBidi"/>
          <w:b/>
          <w:bCs/>
          <w:i/>
          <w:iCs/>
          <w:sz w:val="20"/>
          <w:szCs w:val="18"/>
        </w:rPr>
      </w:pPr>
      <w:r>
        <w:rPr>
          <w:rFonts w:asciiTheme="minorBidi" w:hAnsiTheme="minorBidi" w:cstheme="minorBidi"/>
          <w:b/>
          <w:bCs/>
          <w:i/>
          <w:iCs/>
          <w:sz w:val="20"/>
          <w:szCs w:val="18"/>
        </w:rPr>
        <w:t>Selecting PHAs for the Landlord sample</w:t>
      </w:r>
    </w:p>
    <w:p w:rsidR="00CE7F6E" w:rsidRPr="00CE7F6E" w:rsidP="23D5E2BA" w14:paraId="162E81E3" w14:textId="74977CE2">
      <w:pPr>
        <w:pStyle w:val="Caption"/>
        <w:rPr>
          <w:rFonts w:ascii="Times New Roman" w:hAnsi="Times New Roman"/>
          <w:b w:val="0"/>
          <w:bCs w:val="0"/>
          <w:sz w:val="22"/>
          <w:szCs w:val="22"/>
        </w:rPr>
      </w:pPr>
      <w:r w:rsidRPr="00CAEA7B">
        <w:rPr>
          <w:rFonts w:ascii="Times New Roman" w:hAnsi="Times New Roman"/>
          <w:b w:val="0"/>
          <w:bCs w:val="0"/>
          <w:sz w:val="22"/>
          <w:szCs w:val="22"/>
        </w:rPr>
        <w:t xml:space="preserve">The 20 PHA </w:t>
      </w:r>
      <w:r w:rsidRPr="00CAEA7B" w:rsidR="000A4377">
        <w:rPr>
          <w:rFonts w:ascii="Times New Roman" w:hAnsi="Times New Roman"/>
          <w:b w:val="0"/>
          <w:bCs w:val="0"/>
          <w:sz w:val="22"/>
          <w:szCs w:val="22"/>
        </w:rPr>
        <w:t>service area</w:t>
      </w:r>
      <w:r w:rsidRPr="00CAEA7B">
        <w:rPr>
          <w:rFonts w:ascii="Times New Roman" w:hAnsi="Times New Roman"/>
          <w:b w:val="0"/>
          <w:bCs w:val="0"/>
          <w:sz w:val="22"/>
          <w:szCs w:val="22"/>
        </w:rPr>
        <w:t xml:space="preserve">s where we will interview landlords are a subset of the total treatment group and the associated </w:t>
      </w:r>
      <w:r w:rsidRPr="00CAEA7B" w:rsidR="7B0F5145">
        <w:rPr>
          <w:rFonts w:ascii="Times New Roman" w:hAnsi="Times New Roman"/>
          <w:b w:val="0"/>
          <w:bCs w:val="0"/>
          <w:sz w:val="22"/>
          <w:szCs w:val="22"/>
        </w:rPr>
        <w:t xml:space="preserve">in-depth </w:t>
      </w:r>
      <w:r w:rsidRPr="00CAEA7B">
        <w:rPr>
          <w:rFonts w:ascii="Times New Roman" w:hAnsi="Times New Roman"/>
          <w:b w:val="0"/>
          <w:bCs w:val="0"/>
          <w:sz w:val="22"/>
          <w:szCs w:val="22"/>
        </w:rPr>
        <w:t>comparison group PHAs</w:t>
      </w:r>
      <w:r w:rsidRPr="00CAEA7B" w:rsidR="3EB930FB">
        <w:rPr>
          <w:rFonts w:ascii="Times New Roman" w:hAnsi="Times New Roman"/>
          <w:b w:val="0"/>
          <w:bCs w:val="0"/>
          <w:sz w:val="22"/>
          <w:szCs w:val="22"/>
        </w:rPr>
        <w:t>,</w:t>
      </w:r>
      <w:r w:rsidRPr="00CAEA7B">
        <w:rPr>
          <w:rFonts w:ascii="Times New Roman" w:hAnsi="Times New Roman"/>
          <w:b w:val="0"/>
          <w:bCs w:val="0"/>
          <w:sz w:val="22"/>
          <w:szCs w:val="22"/>
        </w:rPr>
        <w:t xml:space="preserve"> where our site visits will occur. </w:t>
      </w:r>
      <w:r w:rsidRPr="00CAEA7B" w:rsidR="0E5304EB">
        <w:rPr>
          <w:rFonts w:ascii="Times New Roman" w:hAnsi="Times New Roman"/>
          <w:b w:val="0"/>
          <w:bCs w:val="0"/>
          <w:sz w:val="22"/>
          <w:szCs w:val="22"/>
        </w:rPr>
        <w:t xml:space="preserve">We will split these 20 PHA jurisdictions between </w:t>
      </w:r>
      <w:r w:rsidRPr="00CAEA7B" w:rsidR="3B269764">
        <w:rPr>
          <w:rFonts w:ascii="Times New Roman" w:hAnsi="Times New Roman"/>
          <w:b w:val="0"/>
          <w:bCs w:val="0"/>
          <w:sz w:val="22"/>
          <w:szCs w:val="22"/>
        </w:rPr>
        <w:t>two qualitative analysis technique: semi-structured thematic interviews (TIA) and</w:t>
      </w:r>
      <w:r w:rsidRPr="00CAEA7B" w:rsidR="7F3DC3DC">
        <w:rPr>
          <w:rFonts w:ascii="Times New Roman" w:hAnsi="Times New Roman"/>
          <w:b w:val="0"/>
          <w:bCs w:val="0"/>
          <w:sz w:val="22"/>
          <w:szCs w:val="22"/>
        </w:rPr>
        <w:t xml:space="preserve"> a structured Qualitative Impact Assessment Protocol (QUIP), described in detail below</w:t>
      </w:r>
      <w:r w:rsidRPr="00CAEA7B" w:rsidR="0E5304EB">
        <w:rPr>
          <w:rFonts w:ascii="Times New Roman" w:hAnsi="Times New Roman"/>
          <w:b w:val="0"/>
          <w:bCs w:val="0"/>
          <w:sz w:val="22"/>
          <w:szCs w:val="22"/>
        </w:rPr>
        <w:t xml:space="preserve">. </w:t>
      </w:r>
      <w:r w:rsidRPr="00CAEA7B">
        <w:rPr>
          <w:rFonts w:ascii="Times New Roman" w:hAnsi="Times New Roman"/>
          <w:b w:val="0"/>
          <w:bCs w:val="0"/>
          <w:sz w:val="22"/>
          <w:szCs w:val="22"/>
        </w:rPr>
        <w:t xml:space="preserve">We will split these 20 PHA </w:t>
      </w:r>
      <w:r w:rsidRPr="00CAEA7B" w:rsidR="000A4377">
        <w:rPr>
          <w:rFonts w:ascii="Times New Roman" w:hAnsi="Times New Roman"/>
          <w:b w:val="0"/>
          <w:bCs w:val="0"/>
          <w:sz w:val="22"/>
          <w:szCs w:val="22"/>
        </w:rPr>
        <w:t>service area</w:t>
      </w:r>
      <w:r w:rsidRPr="00CAEA7B">
        <w:rPr>
          <w:rFonts w:ascii="Times New Roman" w:hAnsi="Times New Roman"/>
          <w:b w:val="0"/>
          <w:bCs w:val="0"/>
          <w:sz w:val="22"/>
          <w:szCs w:val="22"/>
        </w:rPr>
        <w:t xml:space="preserve">s between the TIA and </w:t>
      </w:r>
      <w:r w:rsidRPr="00CAEA7B">
        <w:rPr>
          <w:rFonts w:ascii="Times New Roman" w:hAnsi="Times New Roman"/>
          <w:b w:val="0"/>
          <w:bCs w:val="0"/>
          <w:sz w:val="22"/>
          <w:szCs w:val="22"/>
        </w:rPr>
        <w:t>QuIP</w:t>
      </w:r>
      <w:r w:rsidRPr="00CAEA7B">
        <w:rPr>
          <w:rFonts w:ascii="Times New Roman" w:hAnsi="Times New Roman"/>
          <w:b w:val="0"/>
          <w:bCs w:val="0"/>
          <w:sz w:val="22"/>
          <w:szCs w:val="22"/>
        </w:rPr>
        <w:t xml:space="preserve"> approaches. We will interview using the TIA </w:t>
      </w:r>
      <w:r w:rsidR="00A63300">
        <w:rPr>
          <w:rFonts w:ascii="Times New Roman" w:hAnsi="Times New Roman"/>
          <w:b w:val="0"/>
          <w:bCs w:val="0"/>
          <w:sz w:val="22"/>
          <w:szCs w:val="22"/>
        </w:rPr>
        <w:t xml:space="preserve">with landlords </w:t>
      </w:r>
      <w:r w:rsidRPr="00CAEA7B">
        <w:rPr>
          <w:rFonts w:ascii="Times New Roman" w:hAnsi="Times New Roman"/>
          <w:b w:val="0"/>
          <w:bCs w:val="0"/>
          <w:sz w:val="22"/>
          <w:szCs w:val="22"/>
        </w:rPr>
        <w:t xml:space="preserve">at 7 treatment group and 7 comparison group PHA </w:t>
      </w:r>
      <w:r w:rsidRPr="00CAEA7B" w:rsidR="000A4377">
        <w:rPr>
          <w:rFonts w:ascii="Times New Roman" w:hAnsi="Times New Roman"/>
          <w:b w:val="0"/>
          <w:bCs w:val="0"/>
          <w:sz w:val="22"/>
          <w:szCs w:val="22"/>
        </w:rPr>
        <w:t>service area</w:t>
      </w:r>
      <w:r w:rsidRPr="00CAEA7B">
        <w:rPr>
          <w:rFonts w:ascii="Times New Roman" w:hAnsi="Times New Roman"/>
          <w:b w:val="0"/>
          <w:bCs w:val="0"/>
          <w:sz w:val="22"/>
          <w:szCs w:val="22"/>
        </w:rPr>
        <w:t xml:space="preserve">s. We use the </w:t>
      </w:r>
      <w:r w:rsidRPr="00CAEA7B">
        <w:rPr>
          <w:rFonts w:ascii="Times New Roman" w:hAnsi="Times New Roman"/>
          <w:b w:val="0"/>
          <w:bCs w:val="0"/>
          <w:sz w:val="22"/>
          <w:szCs w:val="22"/>
        </w:rPr>
        <w:t>QuIP</w:t>
      </w:r>
      <w:r w:rsidRPr="00CAEA7B">
        <w:rPr>
          <w:rFonts w:ascii="Times New Roman" w:hAnsi="Times New Roman"/>
          <w:b w:val="0"/>
          <w:bCs w:val="0"/>
          <w:sz w:val="22"/>
          <w:szCs w:val="22"/>
        </w:rPr>
        <w:t xml:space="preserve"> </w:t>
      </w:r>
      <w:r w:rsidR="00A63300">
        <w:rPr>
          <w:rFonts w:ascii="Times New Roman" w:hAnsi="Times New Roman"/>
          <w:b w:val="0"/>
          <w:bCs w:val="0"/>
          <w:sz w:val="22"/>
          <w:szCs w:val="22"/>
        </w:rPr>
        <w:t xml:space="preserve">with landlords </w:t>
      </w:r>
      <w:r w:rsidRPr="00CAEA7B">
        <w:rPr>
          <w:rFonts w:ascii="Times New Roman" w:hAnsi="Times New Roman"/>
          <w:b w:val="0"/>
          <w:bCs w:val="0"/>
          <w:sz w:val="22"/>
          <w:szCs w:val="22"/>
        </w:rPr>
        <w:t xml:space="preserve">at 6 treatment group PHA </w:t>
      </w:r>
      <w:r w:rsidRPr="00CAEA7B" w:rsidR="000A4377">
        <w:rPr>
          <w:rFonts w:ascii="Times New Roman" w:hAnsi="Times New Roman"/>
          <w:b w:val="0"/>
          <w:bCs w:val="0"/>
          <w:sz w:val="22"/>
          <w:szCs w:val="22"/>
        </w:rPr>
        <w:t>service area</w:t>
      </w:r>
      <w:r w:rsidRPr="00CAEA7B">
        <w:rPr>
          <w:rFonts w:ascii="Times New Roman" w:hAnsi="Times New Roman"/>
          <w:b w:val="0"/>
          <w:bCs w:val="0"/>
          <w:sz w:val="22"/>
          <w:szCs w:val="22"/>
        </w:rPr>
        <w:t xml:space="preserve">s. </w:t>
      </w:r>
    </w:p>
    <w:p w:rsidR="00CE7F6E" w:rsidP="23D5E2BA" w14:paraId="733ADD5A" w14:textId="78C705D7">
      <w:pPr>
        <w:pStyle w:val="Caption"/>
        <w:rPr>
          <w:rFonts w:ascii="Times New Roman" w:hAnsi="Times New Roman"/>
          <w:b w:val="0"/>
          <w:bCs w:val="0"/>
          <w:sz w:val="22"/>
          <w:szCs w:val="22"/>
        </w:rPr>
      </w:pPr>
      <w:r w:rsidRPr="23D5E2BA">
        <w:rPr>
          <w:rFonts w:ascii="Times New Roman" w:hAnsi="Times New Roman"/>
          <w:b w:val="0"/>
          <w:bCs w:val="0"/>
          <w:sz w:val="22"/>
          <w:szCs w:val="22"/>
        </w:rPr>
        <w:t xml:space="preserve">We will select the treatment group PHA </w:t>
      </w:r>
      <w:r w:rsidR="000A4377">
        <w:rPr>
          <w:rFonts w:ascii="Times New Roman" w:hAnsi="Times New Roman"/>
          <w:b w:val="0"/>
          <w:bCs w:val="0"/>
          <w:sz w:val="22"/>
          <w:szCs w:val="22"/>
        </w:rPr>
        <w:t>service area</w:t>
      </w:r>
      <w:r w:rsidRPr="23D5E2BA">
        <w:rPr>
          <w:rFonts w:ascii="Times New Roman" w:hAnsi="Times New Roman"/>
          <w:b w:val="0"/>
          <w:bCs w:val="0"/>
          <w:sz w:val="22"/>
          <w:szCs w:val="22"/>
        </w:rPr>
        <w:t xml:space="preserve">s (7 TIA, 6 </w:t>
      </w:r>
      <w:r w:rsidRPr="23D5E2BA">
        <w:rPr>
          <w:rFonts w:ascii="Times New Roman" w:hAnsi="Times New Roman"/>
          <w:b w:val="0"/>
          <w:bCs w:val="0"/>
          <w:sz w:val="22"/>
          <w:szCs w:val="22"/>
        </w:rPr>
        <w:t>QuIP</w:t>
      </w:r>
      <w:r w:rsidRPr="23D5E2BA">
        <w:rPr>
          <w:rFonts w:ascii="Times New Roman" w:hAnsi="Times New Roman"/>
          <w:b w:val="0"/>
          <w:bCs w:val="0"/>
          <w:sz w:val="22"/>
          <w:szCs w:val="22"/>
        </w:rPr>
        <w:t>) from among the evaluation’s 2</w:t>
      </w:r>
      <w:r w:rsidRPr="23D5E2BA" w:rsidR="29636387">
        <w:rPr>
          <w:rFonts w:ascii="Times New Roman" w:hAnsi="Times New Roman"/>
          <w:b w:val="0"/>
          <w:bCs w:val="0"/>
          <w:sz w:val="22"/>
          <w:szCs w:val="22"/>
        </w:rPr>
        <w:t>8</w:t>
      </w:r>
      <w:r w:rsidRPr="23D5E2BA">
        <w:rPr>
          <w:rFonts w:ascii="Times New Roman" w:hAnsi="Times New Roman"/>
          <w:b w:val="0"/>
          <w:bCs w:val="0"/>
          <w:sz w:val="22"/>
          <w:szCs w:val="22"/>
        </w:rPr>
        <w:t xml:space="preserve"> treatment PHAs. We will select comparison group PHA </w:t>
      </w:r>
      <w:r w:rsidR="000A4377">
        <w:rPr>
          <w:rFonts w:ascii="Times New Roman" w:hAnsi="Times New Roman"/>
          <w:b w:val="0"/>
          <w:bCs w:val="0"/>
          <w:sz w:val="22"/>
          <w:szCs w:val="22"/>
        </w:rPr>
        <w:t>service area</w:t>
      </w:r>
      <w:r w:rsidRPr="23D5E2BA">
        <w:rPr>
          <w:rFonts w:ascii="Times New Roman" w:hAnsi="Times New Roman"/>
          <w:b w:val="0"/>
          <w:bCs w:val="0"/>
          <w:sz w:val="22"/>
          <w:szCs w:val="22"/>
        </w:rPr>
        <w:t>s (7 TIA) from among 2</w:t>
      </w:r>
      <w:r w:rsidRPr="23D5E2BA" w:rsidR="5780F245">
        <w:rPr>
          <w:rFonts w:ascii="Times New Roman" w:hAnsi="Times New Roman"/>
          <w:b w:val="0"/>
          <w:bCs w:val="0"/>
          <w:sz w:val="22"/>
          <w:szCs w:val="22"/>
        </w:rPr>
        <w:t>2</w:t>
      </w:r>
      <w:r w:rsidRPr="23D5E2BA">
        <w:rPr>
          <w:rFonts w:ascii="Times New Roman" w:hAnsi="Times New Roman"/>
          <w:b w:val="0"/>
          <w:bCs w:val="0"/>
          <w:sz w:val="22"/>
          <w:szCs w:val="22"/>
        </w:rPr>
        <w:t xml:space="preserve"> PHAs where we are conducting site visits. In selecting PHAs for the TIA and </w:t>
      </w:r>
      <w:r w:rsidRPr="23D5E2BA">
        <w:rPr>
          <w:rFonts w:ascii="Times New Roman" w:hAnsi="Times New Roman"/>
          <w:b w:val="0"/>
          <w:bCs w:val="0"/>
          <w:sz w:val="22"/>
          <w:szCs w:val="22"/>
        </w:rPr>
        <w:t>QuIP</w:t>
      </w:r>
      <w:r w:rsidRPr="23D5E2BA">
        <w:rPr>
          <w:rFonts w:ascii="Times New Roman" w:hAnsi="Times New Roman"/>
          <w:b w:val="0"/>
          <w:bCs w:val="0"/>
          <w:sz w:val="22"/>
          <w:szCs w:val="22"/>
        </w:rPr>
        <w:t xml:space="preserve"> landlord interviews we </w:t>
      </w:r>
      <w:r w:rsidR="00B3010A">
        <w:rPr>
          <w:rFonts w:ascii="Times New Roman" w:hAnsi="Times New Roman"/>
          <w:b w:val="0"/>
          <w:bCs w:val="0"/>
          <w:sz w:val="22"/>
          <w:szCs w:val="22"/>
        </w:rPr>
        <w:t>will aim</w:t>
      </w:r>
      <w:r w:rsidRPr="23D5E2BA">
        <w:rPr>
          <w:rFonts w:ascii="Times New Roman" w:hAnsi="Times New Roman"/>
          <w:b w:val="0"/>
          <w:bCs w:val="0"/>
          <w:sz w:val="22"/>
          <w:szCs w:val="22"/>
        </w:rPr>
        <w:t xml:space="preserve"> to maximize heterogeneity of the PHA </w:t>
      </w:r>
      <w:r w:rsidR="000A4377">
        <w:rPr>
          <w:rFonts w:ascii="Times New Roman" w:hAnsi="Times New Roman"/>
          <w:b w:val="0"/>
          <w:bCs w:val="0"/>
          <w:sz w:val="22"/>
          <w:szCs w:val="22"/>
        </w:rPr>
        <w:t>service area</w:t>
      </w:r>
      <w:r w:rsidRPr="23D5E2BA">
        <w:rPr>
          <w:rFonts w:ascii="Times New Roman" w:hAnsi="Times New Roman"/>
          <w:b w:val="0"/>
          <w:bCs w:val="0"/>
          <w:sz w:val="22"/>
          <w:szCs w:val="22"/>
        </w:rPr>
        <w:t xml:space="preserve"> contexts while maintaining largely comparable treatment and comparison groups (</w:t>
      </w:r>
      <w:r w:rsidR="00906007">
        <w:rPr>
          <w:rFonts w:ascii="Times New Roman" w:hAnsi="Times New Roman"/>
          <w:b w:val="0"/>
          <w:bCs w:val="0"/>
          <w:sz w:val="22"/>
          <w:szCs w:val="22"/>
        </w:rPr>
        <w:t>E</w:t>
      </w:r>
      <w:r w:rsidRPr="23D5E2BA">
        <w:rPr>
          <w:rFonts w:ascii="Times New Roman" w:hAnsi="Times New Roman"/>
          <w:b w:val="0"/>
          <w:bCs w:val="0"/>
          <w:sz w:val="22"/>
          <w:szCs w:val="22"/>
        </w:rPr>
        <w:t>xhibit</w:t>
      </w:r>
      <w:r w:rsidRPr="23D5E2BA" w:rsidR="429E100B">
        <w:rPr>
          <w:rFonts w:ascii="Times New Roman" w:hAnsi="Times New Roman"/>
          <w:b w:val="0"/>
          <w:bCs w:val="0"/>
          <w:sz w:val="22"/>
          <w:szCs w:val="22"/>
        </w:rPr>
        <w:t xml:space="preserve"> </w:t>
      </w:r>
      <w:r w:rsidR="00906007">
        <w:rPr>
          <w:rFonts w:ascii="Times New Roman" w:hAnsi="Times New Roman"/>
          <w:b w:val="0"/>
          <w:bCs w:val="0"/>
          <w:sz w:val="22"/>
          <w:szCs w:val="22"/>
        </w:rPr>
        <w:t>4</w:t>
      </w:r>
      <w:r w:rsidRPr="23D5E2BA">
        <w:rPr>
          <w:rFonts w:ascii="Times New Roman" w:hAnsi="Times New Roman"/>
          <w:b w:val="0"/>
          <w:bCs w:val="0"/>
          <w:sz w:val="22"/>
          <w:szCs w:val="22"/>
        </w:rPr>
        <w:t xml:space="preserve">). </w:t>
      </w:r>
    </w:p>
    <w:p w:rsidR="005D7C75" w:rsidRPr="00617FF3" w:rsidP="00CE7F6E" w14:paraId="7B5B7849" w14:textId="4E3CC60A">
      <w:pPr>
        <w:pStyle w:val="Caption"/>
      </w:pPr>
      <w:r w:rsidRPr="00617FF3">
        <w:t>Exhibit</w:t>
      </w:r>
      <w:r w:rsidR="0064390E">
        <w:t xml:space="preserve"> </w:t>
      </w:r>
      <w:r w:rsidR="001935FC">
        <w:t>4</w:t>
      </w:r>
      <w:r w:rsidRPr="00617FF3">
        <w:t>: PHA Sampling Strategy for Landlord Interviews</w:t>
      </w:r>
    </w:p>
    <w:tbl>
      <w:tblPr>
        <w:tblStyle w:val="TableGrid"/>
        <w:tblW w:w="0" w:type="auto"/>
        <w:tblLook w:val="04A0"/>
      </w:tblPr>
      <w:tblGrid>
        <w:gridCol w:w="1869"/>
        <w:gridCol w:w="1843"/>
        <w:gridCol w:w="1843"/>
        <w:gridCol w:w="1843"/>
        <w:gridCol w:w="1844"/>
      </w:tblGrid>
      <w:tr w14:paraId="4D9F64B3" w14:textId="77777777" w:rsidTr="0064390E">
        <w:tblPrEx>
          <w:tblW w:w="0" w:type="auto"/>
          <w:tblLook w:val="04A0"/>
        </w:tblPrEx>
        <w:trPr>
          <w:tblHeader/>
        </w:trPr>
        <w:tc>
          <w:tcPr>
            <w:tcW w:w="1869" w:type="dxa"/>
            <w:vMerge w:val="restart"/>
            <w:shd w:val="clear" w:color="auto" w:fill="DA291C" w:themeFill="accent1"/>
            <w:vAlign w:val="bottom"/>
          </w:tcPr>
          <w:p w:rsidR="005D7C75" w:rsidRPr="00617FF3" w14:paraId="7F22813A" w14:textId="77777777">
            <w:pPr>
              <w:keepNext/>
              <w:keepLines/>
              <w:spacing w:before="20" w:after="20" w:line="240" w:lineRule="auto"/>
              <w:rPr>
                <w:rFonts w:ascii="Arial Narrow" w:hAnsi="Arial Narrow"/>
                <w:b/>
                <w:color w:val="FFFFFF"/>
                <w:sz w:val="20"/>
              </w:rPr>
            </w:pPr>
            <w:r w:rsidRPr="00617FF3">
              <w:rPr>
                <w:rFonts w:ascii="Arial Narrow" w:hAnsi="Arial Narrow"/>
                <w:b/>
                <w:color w:val="FFFFFF"/>
                <w:sz w:val="20"/>
              </w:rPr>
              <w:t>Size of PHA</w:t>
            </w:r>
          </w:p>
        </w:tc>
        <w:tc>
          <w:tcPr>
            <w:tcW w:w="3686" w:type="dxa"/>
            <w:gridSpan w:val="2"/>
            <w:shd w:val="clear" w:color="auto" w:fill="DA291C" w:themeFill="accent1"/>
            <w:vAlign w:val="bottom"/>
          </w:tcPr>
          <w:p w:rsidR="005D7C75" w:rsidRPr="00617FF3" w14:paraId="69C47FE2" w14:textId="77777777">
            <w:pPr>
              <w:keepNext/>
              <w:keepLines/>
              <w:spacing w:before="20" w:after="20" w:line="240" w:lineRule="auto"/>
              <w:jc w:val="center"/>
              <w:rPr>
                <w:rFonts w:ascii="Arial Narrow" w:hAnsi="Arial Narrow"/>
                <w:b/>
                <w:color w:val="FFFFFF"/>
                <w:sz w:val="20"/>
              </w:rPr>
            </w:pPr>
            <w:r w:rsidRPr="00617FF3">
              <w:rPr>
                <w:rFonts w:ascii="Arial Narrow" w:hAnsi="Arial Narrow"/>
                <w:b/>
                <w:color w:val="FFFFFF"/>
                <w:sz w:val="20"/>
              </w:rPr>
              <w:t>TIA Interviews</w:t>
            </w:r>
          </w:p>
        </w:tc>
        <w:tc>
          <w:tcPr>
            <w:tcW w:w="3687" w:type="dxa"/>
            <w:gridSpan w:val="2"/>
            <w:shd w:val="clear" w:color="auto" w:fill="DA291C" w:themeFill="accent1"/>
            <w:vAlign w:val="bottom"/>
          </w:tcPr>
          <w:p w:rsidR="005D7C75" w:rsidRPr="00617FF3" w14:paraId="326AFE02" w14:textId="77777777">
            <w:pPr>
              <w:keepNext/>
              <w:keepLines/>
              <w:spacing w:before="20" w:after="20" w:line="240" w:lineRule="auto"/>
              <w:jc w:val="center"/>
              <w:rPr>
                <w:rFonts w:ascii="Arial Narrow" w:hAnsi="Arial Narrow"/>
                <w:b/>
                <w:color w:val="FFFFFF"/>
                <w:sz w:val="20"/>
              </w:rPr>
            </w:pPr>
            <w:r w:rsidRPr="00617FF3">
              <w:rPr>
                <w:rFonts w:ascii="Arial Narrow" w:hAnsi="Arial Narrow"/>
                <w:b/>
                <w:color w:val="FFFFFF"/>
                <w:sz w:val="20"/>
              </w:rPr>
              <w:t>QuIP</w:t>
            </w:r>
            <w:r w:rsidRPr="00617FF3">
              <w:rPr>
                <w:rFonts w:ascii="Arial Narrow" w:hAnsi="Arial Narrow"/>
                <w:b/>
                <w:color w:val="FFFFFF"/>
                <w:sz w:val="20"/>
              </w:rPr>
              <w:t xml:space="preserve"> Interviews</w:t>
            </w:r>
          </w:p>
        </w:tc>
      </w:tr>
      <w:tr w14:paraId="406CA230" w14:textId="77777777" w:rsidTr="0064390E">
        <w:tblPrEx>
          <w:tblW w:w="0" w:type="auto"/>
          <w:tblLook w:val="04A0"/>
        </w:tblPrEx>
        <w:trPr>
          <w:tblHeader/>
        </w:trPr>
        <w:tc>
          <w:tcPr>
            <w:tcW w:w="1869" w:type="dxa"/>
            <w:vMerge/>
            <w:vAlign w:val="bottom"/>
          </w:tcPr>
          <w:p w:rsidR="005D7C75" w:rsidRPr="00617FF3" w14:paraId="76E6F5EC" w14:textId="77777777">
            <w:pPr>
              <w:keepNext/>
              <w:keepLines/>
              <w:spacing w:before="20" w:after="20" w:line="240" w:lineRule="auto"/>
              <w:jc w:val="center"/>
              <w:rPr>
                <w:rFonts w:ascii="Arial Narrow" w:hAnsi="Arial Narrow"/>
                <w:b/>
                <w:color w:val="FFFFFF"/>
                <w:sz w:val="20"/>
              </w:rPr>
            </w:pPr>
          </w:p>
        </w:tc>
        <w:tc>
          <w:tcPr>
            <w:tcW w:w="1843" w:type="dxa"/>
            <w:shd w:val="clear" w:color="auto" w:fill="F8D3D0" w:themeFill="accent1" w:themeFillTint="33"/>
            <w:vAlign w:val="bottom"/>
          </w:tcPr>
          <w:p w:rsidR="005D7C75" w:rsidRPr="00617FF3" w14:paraId="15756934" w14:textId="77777777">
            <w:pPr>
              <w:keepNext/>
              <w:keepLines/>
              <w:spacing w:before="20" w:after="20" w:line="240" w:lineRule="auto"/>
              <w:jc w:val="center"/>
              <w:rPr>
                <w:rFonts w:ascii="Arial Narrow" w:hAnsi="Arial Narrow"/>
                <w:b/>
                <w:sz w:val="20"/>
              </w:rPr>
            </w:pPr>
            <w:r w:rsidRPr="00617FF3">
              <w:rPr>
                <w:rFonts w:ascii="Arial Narrow" w:hAnsi="Arial Narrow"/>
                <w:b/>
                <w:sz w:val="20"/>
              </w:rPr>
              <w:t>Treatment</w:t>
            </w:r>
          </w:p>
        </w:tc>
        <w:tc>
          <w:tcPr>
            <w:tcW w:w="1843" w:type="dxa"/>
            <w:shd w:val="clear" w:color="auto" w:fill="F8D3D0" w:themeFill="accent1" w:themeFillTint="33"/>
            <w:vAlign w:val="bottom"/>
          </w:tcPr>
          <w:p w:rsidR="005D7C75" w:rsidRPr="00617FF3" w14:paraId="5451BD24" w14:textId="77777777">
            <w:pPr>
              <w:keepNext/>
              <w:keepLines/>
              <w:spacing w:before="20" w:after="20" w:line="240" w:lineRule="auto"/>
              <w:jc w:val="center"/>
              <w:rPr>
                <w:rFonts w:ascii="Arial Narrow" w:hAnsi="Arial Narrow"/>
                <w:b/>
                <w:sz w:val="20"/>
              </w:rPr>
            </w:pPr>
            <w:r w:rsidRPr="00617FF3">
              <w:rPr>
                <w:rFonts w:ascii="Arial Narrow" w:hAnsi="Arial Narrow"/>
                <w:b/>
                <w:sz w:val="20"/>
              </w:rPr>
              <w:t>Comparison</w:t>
            </w:r>
          </w:p>
        </w:tc>
        <w:tc>
          <w:tcPr>
            <w:tcW w:w="1843" w:type="dxa"/>
            <w:shd w:val="clear" w:color="auto" w:fill="F8D3D0" w:themeFill="accent1" w:themeFillTint="33"/>
            <w:vAlign w:val="bottom"/>
          </w:tcPr>
          <w:p w:rsidR="005D7C75" w:rsidRPr="00617FF3" w14:paraId="5ED1F255" w14:textId="77777777">
            <w:pPr>
              <w:keepNext/>
              <w:keepLines/>
              <w:spacing w:before="20" w:after="20" w:line="240" w:lineRule="auto"/>
              <w:jc w:val="center"/>
              <w:rPr>
                <w:rFonts w:ascii="Arial Narrow" w:hAnsi="Arial Narrow"/>
                <w:b/>
                <w:sz w:val="20"/>
              </w:rPr>
            </w:pPr>
            <w:r w:rsidRPr="00617FF3">
              <w:rPr>
                <w:rFonts w:ascii="Arial Narrow" w:hAnsi="Arial Narrow"/>
                <w:b/>
                <w:sz w:val="20"/>
              </w:rPr>
              <w:t>Treatment</w:t>
            </w:r>
          </w:p>
        </w:tc>
        <w:tc>
          <w:tcPr>
            <w:tcW w:w="1844" w:type="dxa"/>
            <w:shd w:val="clear" w:color="auto" w:fill="F8D3D0" w:themeFill="accent1" w:themeFillTint="33"/>
            <w:vAlign w:val="bottom"/>
          </w:tcPr>
          <w:p w:rsidR="005D7C75" w:rsidRPr="00617FF3" w14:paraId="374A8211" w14:textId="77777777">
            <w:pPr>
              <w:keepNext/>
              <w:keepLines/>
              <w:spacing w:before="20" w:after="20" w:line="240" w:lineRule="auto"/>
              <w:jc w:val="center"/>
              <w:rPr>
                <w:rFonts w:ascii="Arial Narrow" w:hAnsi="Arial Narrow"/>
                <w:b/>
                <w:sz w:val="20"/>
              </w:rPr>
            </w:pPr>
            <w:r w:rsidRPr="00617FF3">
              <w:rPr>
                <w:rFonts w:ascii="Arial Narrow" w:hAnsi="Arial Narrow"/>
                <w:b/>
                <w:sz w:val="20"/>
              </w:rPr>
              <w:t>Comparison</w:t>
            </w:r>
          </w:p>
        </w:tc>
      </w:tr>
      <w:tr w14:paraId="7BDFAD1D" w14:textId="77777777" w:rsidTr="23D5E2BA">
        <w:tblPrEx>
          <w:tblW w:w="0" w:type="auto"/>
          <w:tblLook w:val="04A0"/>
        </w:tblPrEx>
        <w:tc>
          <w:tcPr>
            <w:tcW w:w="1869" w:type="dxa"/>
          </w:tcPr>
          <w:p w:rsidR="005D7C75" w:rsidRPr="00617FF3" w14:paraId="2296E760" w14:textId="77777777">
            <w:pPr>
              <w:pStyle w:val="ExhibitText"/>
            </w:pPr>
            <w:r w:rsidRPr="00617FF3">
              <w:t>Large</w:t>
            </w:r>
          </w:p>
        </w:tc>
        <w:tc>
          <w:tcPr>
            <w:tcW w:w="1843" w:type="dxa"/>
          </w:tcPr>
          <w:p w:rsidR="005D7C75" w:rsidRPr="00D04A6A" w14:paraId="123722D9" w14:textId="51ABC180">
            <w:pPr>
              <w:pStyle w:val="ExhibitText"/>
              <w:jc w:val="center"/>
            </w:pPr>
            <w:r>
              <w:t xml:space="preserve">1 </w:t>
            </w:r>
            <w:r w:rsidR="58D38DBF">
              <w:t>(</w:t>
            </w:r>
            <w:r w:rsidR="58D38DBF">
              <w:t>Hawai‘</w:t>
            </w:r>
            <w:r w:rsidR="58D38DBF">
              <w:t>i)</w:t>
            </w:r>
          </w:p>
        </w:tc>
        <w:tc>
          <w:tcPr>
            <w:tcW w:w="1843" w:type="dxa"/>
          </w:tcPr>
          <w:p w:rsidR="005D7C75" w:rsidRPr="00617FF3" w14:paraId="6840918E" w14:textId="77777777">
            <w:pPr>
              <w:pStyle w:val="ExhibitText"/>
              <w:jc w:val="center"/>
            </w:pPr>
            <w:r w:rsidRPr="00617FF3">
              <w:t>1</w:t>
            </w:r>
          </w:p>
        </w:tc>
        <w:tc>
          <w:tcPr>
            <w:tcW w:w="1843" w:type="dxa"/>
          </w:tcPr>
          <w:p w:rsidR="005D7C75" w:rsidRPr="00617FF3" w14:paraId="101CF3AB" w14:textId="77777777">
            <w:pPr>
              <w:pStyle w:val="ExhibitText"/>
              <w:jc w:val="center"/>
            </w:pPr>
            <w:r w:rsidRPr="00617FF3">
              <w:t>0</w:t>
            </w:r>
          </w:p>
        </w:tc>
        <w:tc>
          <w:tcPr>
            <w:tcW w:w="1844" w:type="dxa"/>
          </w:tcPr>
          <w:p w:rsidR="005D7C75" w:rsidRPr="00617FF3" w14:paraId="41BC9CFF" w14:textId="77777777">
            <w:pPr>
              <w:pStyle w:val="ExhibitText"/>
              <w:jc w:val="center"/>
            </w:pPr>
            <w:r w:rsidRPr="00617FF3">
              <w:t>0</w:t>
            </w:r>
          </w:p>
        </w:tc>
      </w:tr>
      <w:tr w14:paraId="283767BD" w14:textId="77777777" w:rsidTr="0064390E">
        <w:tblPrEx>
          <w:tblW w:w="0" w:type="auto"/>
          <w:tblLook w:val="04A0"/>
        </w:tblPrEx>
        <w:tc>
          <w:tcPr>
            <w:tcW w:w="1869" w:type="dxa"/>
            <w:shd w:val="clear" w:color="auto" w:fill="auto"/>
          </w:tcPr>
          <w:p w:rsidR="005D7C75" w:rsidRPr="00617FF3" w14:paraId="4F012081" w14:textId="77777777">
            <w:pPr>
              <w:pStyle w:val="ExhibitText"/>
            </w:pPr>
            <w:r w:rsidRPr="00617FF3">
              <w:t>Medium</w:t>
            </w:r>
          </w:p>
        </w:tc>
        <w:tc>
          <w:tcPr>
            <w:tcW w:w="1843" w:type="dxa"/>
            <w:shd w:val="clear" w:color="auto" w:fill="auto"/>
          </w:tcPr>
          <w:p w:rsidR="005D7C75" w:rsidRPr="00617FF3" w14:paraId="7948CF26" w14:textId="77777777">
            <w:pPr>
              <w:pStyle w:val="ExhibitText"/>
              <w:jc w:val="center"/>
            </w:pPr>
            <w:r w:rsidRPr="00617FF3">
              <w:t>3</w:t>
            </w:r>
          </w:p>
        </w:tc>
        <w:tc>
          <w:tcPr>
            <w:tcW w:w="1843" w:type="dxa"/>
            <w:shd w:val="clear" w:color="auto" w:fill="auto"/>
          </w:tcPr>
          <w:p w:rsidR="005D7C75" w:rsidRPr="00617FF3" w14:paraId="793FE049" w14:textId="77777777">
            <w:pPr>
              <w:pStyle w:val="ExhibitText"/>
              <w:jc w:val="center"/>
            </w:pPr>
            <w:r w:rsidRPr="00617FF3">
              <w:t>3</w:t>
            </w:r>
          </w:p>
        </w:tc>
        <w:tc>
          <w:tcPr>
            <w:tcW w:w="1843" w:type="dxa"/>
            <w:shd w:val="clear" w:color="auto" w:fill="auto"/>
          </w:tcPr>
          <w:p w:rsidR="005D7C75" w:rsidRPr="00617FF3" w14:paraId="228C378C" w14:textId="77777777">
            <w:pPr>
              <w:pStyle w:val="ExhibitText"/>
              <w:jc w:val="center"/>
            </w:pPr>
            <w:r w:rsidRPr="00617FF3">
              <w:t>3</w:t>
            </w:r>
          </w:p>
        </w:tc>
        <w:tc>
          <w:tcPr>
            <w:tcW w:w="1844" w:type="dxa"/>
            <w:shd w:val="clear" w:color="auto" w:fill="auto"/>
          </w:tcPr>
          <w:p w:rsidR="005D7C75" w:rsidRPr="00617FF3" w14:paraId="783BC667" w14:textId="77777777">
            <w:pPr>
              <w:pStyle w:val="ExhibitText"/>
              <w:jc w:val="center"/>
            </w:pPr>
            <w:r w:rsidRPr="00617FF3">
              <w:t>0</w:t>
            </w:r>
          </w:p>
        </w:tc>
      </w:tr>
      <w:tr w14:paraId="6C3DD7D7" w14:textId="77777777" w:rsidTr="0064390E">
        <w:tblPrEx>
          <w:tblW w:w="0" w:type="auto"/>
          <w:tblLook w:val="04A0"/>
        </w:tblPrEx>
        <w:tc>
          <w:tcPr>
            <w:tcW w:w="1869" w:type="dxa"/>
            <w:shd w:val="clear" w:color="auto" w:fill="auto"/>
          </w:tcPr>
          <w:p w:rsidR="005D7C75" w:rsidRPr="00617FF3" w14:paraId="70937D1F" w14:textId="77777777">
            <w:pPr>
              <w:pStyle w:val="ExhibitText"/>
            </w:pPr>
            <w:r w:rsidRPr="00617FF3">
              <w:t>Small</w:t>
            </w:r>
          </w:p>
        </w:tc>
        <w:tc>
          <w:tcPr>
            <w:tcW w:w="1843" w:type="dxa"/>
            <w:shd w:val="clear" w:color="auto" w:fill="auto"/>
          </w:tcPr>
          <w:p w:rsidR="005D7C75" w:rsidRPr="00617FF3" w14:paraId="653408B1" w14:textId="77777777">
            <w:pPr>
              <w:pStyle w:val="ExhibitText"/>
              <w:jc w:val="center"/>
            </w:pPr>
            <w:r w:rsidRPr="00617FF3">
              <w:t>3</w:t>
            </w:r>
          </w:p>
        </w:tc>
        <w:tc>
          <w:tcPr>
            <w:tcW w:w="1843" w:type="dxa"/>
            <w:shd w:val="clear" w:color="auto" w:fill="auto"/>
          </w:tcPr>
          <w:p w:rsidR="005D7C75" w:rsidRPr="00617FF3" w14:paraId="183E6703" w14:textId="77777777">
            <w:pPr>
              <w:pStyle w:val="ExhibitText"/>
              <w:jc w:val="center"/>
            </w:pPr>
            <w:r w:rsidRPr="00617FF3">
              <w:t>3</w:t>
            </w:r>
          </w:p>
        </w:tc>
        <w:tc>
          <w:tcPr>
            <w:tcW w:w="1843" w:type="dxa"/>
            <w:shd w:val="clear" w:color="auto" w:fill="auto"/>
          </w:tcPr>
          <w:p w:rsidR="005D7C75" w:rsidRPr="00617FF3" w14:paraId="2D02A978" w14:textId="77777777">
            <w:pPr>
              <w:pStyle w:val="ExhibitText"/>
              <w:jc w:val="center"/>
            </w:pPr>
            <w:r w:rsidRPr="00617FF3">
              <w:t>3</w:t>
            </w:r>
          </w:p>
        </w:tc>
        <w:tc>
          <w:tcPr>
            <w:tcW w:w="1844" w:type="dxa"/>
            <w:shd w:val="clear" w:color="auto" w:fill="auto"/>
          </w:tcPr>
          <w:p w:rsidR="005D7C75" w:rsidRPr="00617FF3" w14:paraId="5A2C3017" w14:textId="77777777">
            <w:pPr>
              <w:pStyle w:val="ExhibitText"/>
              <w:jc w:val="center"/>
            </w:pPr>
            <w:r w:rsidRPr="00617FF3">
              <w:t>0</w:t>
            </w:r>
          </w:p>
        </w:tc>
      </w:tr>
      <w:tr w14:paraId="7446D97D" w14:textId="77777777" w:rsidTr="0064390E">
        <w:tblPrEx>
          <w:tblW w:w="0" w:type="auto"/>
          <w:tblLook w:val="04A0"/>
        </w:tblPrEx>
        <w:tc>
          <w:tcPr>
            <w:tcW w:w="1869" w:type="dxa"/>
            <w:shd w:val="clear" w:color="auto" w:fill="auto"/>
          </w:tcPr>
          <w:p w:rsidR="005D7C75" w:rsidRPr="00617FF3" w14:paraId="1B8E4C1E" w14:textId="77777777">
            <w:pPr>
              <w:pStyle w:val="ExhibitText"/>
              <w:jc w:val="right"/>
              <w:rPr>
                <w:b/>
                <w:bCs w:val="0"/>
              </w:rPr>
            </w:pPr>
            <w:r w:rsidRPr="00617FF3">
              <w:rPr>
                <w:b/>
                <w:bCs w:val="0"/>
              </w:rPr>
              <w:t>Total</w:t>
            </w:r>
          </w:p>
        </w:tc>
        <w:tc>
          <w:tcPr>
            <w:tcW w:w="1843" w:type="dxa"/>
            <w:shd w:val="clear" w:color="auto" w:fill="auto"/>
          </w:tcPr>
          <w:p w:rsidR="005D7C75" w:rsidRPr="00617FF3" w14:paraId="3D0ADBDD" w14:textId="77777777">
            <w:pPr>
              <w:pStyle w:val="ExhibitText"/>
              <w:jc w:val="center"/>
              <w:rPr>
                <w:b/>
                <w:bCs w:val="0"/>
              </w:rPr>
            </w:pPr>
            <w:r w:rsidRPr="00617FF3">
              <w:rPr>
                <w:b/>
                <w:bCs w:val="0"/>
              </w:rPr>
              <w:t>7</w:t>
            </w:r>
          </w:p>
        </w:tc>
        <w:tc>
          <w:tcPr>
            <w:tcW w:w="1843" w:type="dxa"/>
            <w:shd w:val="clear" w:color="auto" w:fill="auto"/>
          </w:tcPr>
          <w:p w:rsidR="005D7C75" w:rsidRPr="00617FF3" w14:paraId="64A17344" w14:textId="77777777">
            <w:pPr>
              <w:pStyle w:val="ExhibitText"/>
              <w:jc w:val="center"/>
              <w:rPr>
                <w:b/>
                <w:bCs w:val="0"/>
              </w:rPr>
            </w:pPr>
            <w:r w:rsidRPr="00617FF3">
              <w:rPr>
                <w:b/>
                <w:bCs w:val="0"/>
              </w:rPr>
              <w:t>7</w:t>
            </w:r>
          </w:p>
        </w:tc>
        <w:tc>
          <w:tcPr>
            <w:tcW w:w="1843" w:type="dxa"/>
            <w:shd w:val="clear" w:color="auto" w:fill="auto"/>
          </w:tcPr>
          <w:p w:rsidR="005D7C75" w:rsidRPr="00617FF3" w14:paraId="20CFEA92" w14:textId="77777777">
            <w:pPr>
              <w:pStyle w:val="ExhibitText"/>
              <w:jc w:val="center"/>
              <w:rPr>
                <w:b/>
                <w:bCs w:val="0"/>
              </w:rPr>
            </w:pPr>
            <w:r w:rsidRPr="00617FF3">
              <w:rPr>
                <w:b/>
                <w:bCs w:val="0"/>
              </w:rPr>
              <w:t>6</w:t>
            </w:r>
          </w:p>
        </w:tc>
        <w:tc>
          <w:tcPr>
            <w:tcW w:w="1844" w:type="dxa"/>
            <w:shd w:val="clear" w:color="auto" w:fill="auto"/>
          </w:tcPr>
          <w:p w:rsidR="005D7C75" w:rsidRPr="00617FF3" w14:paraId="6366A7F9" w14:textId="77777777">
            <w:pPr>
              <w:pStyle w:val="ExhibitText"/>
              <w:jc w:val="center"/>
              <w:rPr>
                <w:b/>
                <w:bCs w:val="0"/>
              </w:rPr>
            </w:pPr>
            <w:r w:rsidRPr="00617FF3">
              <w:rPr>
                <w:b/>
                <w:bCs w:val="0"/>
              </w:rPr>
              <w:t>0</w:t>
            </w:r>
          </w:p>
        </w:tc>
      </w:tr>
    </w:tbl>
    <w:p w:rsidR="005057B3" w:rsidP="005057B3" w14:paraId="7D991E33" w14:textId="38850B51">
      <w:pPr>
        <w:spacing w:before="60" w:after="240" w:line="240" w:lineRule="auto"/>
        <w:contextualSpacing/>
        <w:rPr>
          <w:rFonts w:ascii="Arial Narrow" w:eastAsia="Calibri" w:hAnsi="Arial Narrow" w:cs="Arial"/>
          <w:iCs/>
          <w:sz w:val="20"/>
        </w:rPr>
      </w:pPr>
      <w:r w:rsidRPr="00617FF3">
        <w:rPr>
          <w:rFonts w:ascii="Arial Narrow" w:eastAsia="Calibri" w:hAnsi="Arial Narrow" w:cs="Arial"/>
          <w:i/>
          <w:sz w:val="20"/>
        </w:rPr>
        <w:t xml:space="preserve">Note: </w:t>
      </w:r>
      <w:r w:rsidRPr="00617FF3">
        <w:rPr>
          <w:rFonts w:ascii="Arial Narrow" w:eastAsia="Calibri" w:hAnsi="Arial Narrow" w:cs="Arial"/>
          <w:iCs/>
          <w:sz w:val="20"/>
        </w:rPr>
        <w:t>Size is based on number of voucher units.</w:t>
      </w:r>
    </w:p>
    <w:p w:rsidR="005057B3" w:rsidP="005057B3" w14:paraId="18CD48F3" w14:textId="75F9DC50">
      <w:pPr>
        <w:pStyle w:val="BodyText"/>
        <w:rPr>
          <w:szCs w:val="24"/>
        </w:rPr>
      </w:pPr>
      <w:r w:rsidRPr="007F65CF">
        <w:t xml:space="preserve">We plan to </w:t>
      </w:r>
      <w:r w:rsidRPr="007F65CF">
        <w:t>stratify</w:t>
      </w:r>
      <w:r w:rsidRPr="007F65CF">
        <w:t xml:space="preserve"> and sample based on PHA size </w:t>
      </w:r>
      <w:r w:rsidRPr="007F65CF">
        <w:rPr>
          <w:rFonts w:asciiTheme="majorBidi" w:hAnsiTheme="majorBidi" w:cstheme="majorBidi"/>
          <w:szCs w:val="24"/>
        </w:rPr>
        <w:t>(</w:t>
      </w:r>
      <w:r>
        <w:rPr>
          <w:szCs w:val="24"/>
        </w:rPr>
        <w:t>dividing our sample into two equal sized groups based on units so that the selection groups for medium and small are equal</w:t>
      </w:r>
      <w:r w:rsidRPr="007F65CF">
        <w:rPr>
          <w:rFonts w:asciiTheme="majorBidi" w:hAnsiTheme="majorBidi" w:cstheme="majorBidi"/>
          <w:szCs w:val="24"/>
        </w:rPr>
        <w:t>)</w:t>
      </w:r>
      <w:r>
        <w:rPr>
          <w:rFonts w:asciiTheme="majorBidi" w:hAnsiTheme="majorBidi" w:cstheme="majorBidi"/>
          <w:szCs w:val="24"/>
        </w:rPr>
        <w:t xml:space="preserve"> </w:t>
      </w:r>
      <w:r w:rsidRPr="007F65CF">
        <w:t>and then ensure that we have the greatest possible heterogeneity across the sample in (1) incentives offered by the PHAs and (2) market context</w:t>
      </w:r>
      <w:r>
        <w:t xml:space="preserve"> (market tightness and </w:t>
      </w:r>
      <w:r w:rsidRPr="000F5338">
        <w:t>census region</w:t>
      </w:r>
      <w:r>
        <w:t>)</w:t>
      </w:r>
      <w:r w:rsidRPr="007F65CF">
        <w:t>.</w:t>
      </w:r>
      <w:r w:rsidRPr="00CD0154">
        <w:rPr>
          <w:szCs w:val="24"/>
        </w:rPr>
        <w:t xml:space="preserve"> </w:t>
      </w:r>
      <w:r w:rsidRPr="007F65CF">
        <w:rPr>
          <w:szCs w:val="24"/>
        </w:rPr>
        <w:t xml:space="preserve">For both the TIA and </w:t>
      </w:r>
      <w:r w:rsidRPr="007F65CF">
        <w:rPr>
          <w:szCs w:val="24"/>
        </w:rPr>
        <w:t>QuIP</w:t>
      </w:r>
      <w:r w:rsidRPr="007F65CF">
        <w:rPr>
          <w:szCs w:val="24"/>
        </w:rPr>
        <w:t xml:space="preserve"> landlord </w:t>
      </w:r>
      <w:r>
        <w:rPr>
          <w:szCs w:val="24"/>
        </w:rPr>
        <w:t>interviews</w:t>
      </w:r>
      <w:r w:rsidRPr="007F65CF">
        <w:rPr>
          <w:szCs w:val="24"/>
        </w:rPr>
        <w:t xml:space="preserve">, ensuring substantively different landlord incentives means that final site selection will occur after the initial round of PHA interviews and the </w:t>
      </w:r>
      <w:r>
        <w:rPr>
          <w:szCs w:val="24"/>
        </w:rPr>
        <w:t>y</w:t>
      </w:r>
      <w:r w:rsidRPr="007F65CF">
        <w:rPr>
          <w:szCs w:val="24"/>
        </w:rPr>
        <w:t>ear 3 phone interviews, when we expect to have clarity regarding each PHA’s concrete plans.</w:t>
      </w:r>
    </w:p>
    <w:p w:rsidR="00555FA8" w:rsidRPr="00C959E6" w:rsidP="00C959E6" w14:paraId="1FC7D4A4" w14:textId="0CD5ED39">
      <w:pPr>
        <w:pStyle w:val="BodyText"/>
        <w:rPr>
          <w:u w:val="single"/>
        </w:rPr>
      </w:pPr>
      <w:r w:rsidRPr="00CAEA7B">
        <w:rPr>
          <w:u w:val="single"/>
        </w:rPr>
        <w:t xml:space="preserve">TIA </w:t>
      </w:r>
      <w:r w:rsidRPr="00CAEA7B" w:rsidR="478B4CCB">
        <w:rPr>
          <w:u w:val="single"/>
        </w:rPr>
        <w:t xml:space="preserve">PHA </w:t>
      </w:r>
      <w:r w:rsidRPr="00CAEA7B">
        <w:rPr>
          <w:u w:val="single"/>
        </w:rPr>
        <w:t>Sample</w:t>
      </w:r>
    </w:p>
    <w:p w:rsidR="00555FA8" w:rsidRPr="007F65CF" w:rsidP="00555FA8" w14:paraId="50354C8D" w14:textId="70549828">
      <w:pPr>
        <w:pStyle w:val="BodyText"/>
      </w:pPr>
      <w:r>
        <w:t>We will select the Hawai</w:t>
      </w:r>
      <w:r w:rsidR="53E59CE3">
        <w:t>’</w:t>
      </w:r>
      <w:r>
        <w:t xml:space="preserve">i PHA’s service area and its closest matched comparison PHA </w:t>
      </w:r>
      <w:r>
        <w:t>in order to</w:t>
      </w:r>
      <w:r>
        <w:t xml:space="preserve"> understand the experiences of landlords working with a large PHA. We will select PHA service areas for three medium PHAs and their closest matched comparison PHAs, and three small PHAs and their closest matched comparison PHAs. Within the medium and small PHAs, we will purposively select the three sites to ensure heterogeneity as follows:</w:t>
      </w:r>
    </w:p>
    <w:p w:rsidR="00555FA8" w:rsidRPr="00555FA8" w:rsidP="008E78B2" w14:paraId="27C6A72C" w14:textId="77777777">
      <w:pPr>
        <w:pStyle w:val="ListParagraph"/>
        <w:numPr>
          <w:ilvl w:val="0"/>
          <w:numId w:val="9"/>
        </w:numPr>
        <w:spacing w:after="120" w:line="240" w:lineRule="auto"/>
        <w:jc w:val="both"/>
        <w:rPr>
          <w:rFonts w:asciiTheme="majorBidi" w:hAnsiTheme="majorBidi" w:cstheme="majorBidi"/>
        </w:rPr>
      </w:pPr>
      <w:r w:rsidRPr="00555FA8">
        <w:rPr>
          <w:rFonts w:asciiTheme="majorBidi" w:hAnsiTheme="majorBidi" w:cstheme="majorBidi"/>
        </w:rPr>
        <w:t>At least one in a tight rental market and one in a loose market.</w:t>
      </w:r>
    </w:p>
    <w:p w:rsidR="00555FA8" w:rsidRPr="00555FA8" w:rsidP="008E78B2" w14:paraId="0B0816AF" w14:textId="77777777">
      <w:pPr>
        <w:pStyle w:val="ListParagraph"/>
        <w:numPr>
          <w:ilvl w:val="0"/>
          <w:numId w:val="9"/>
        </w:numPr>
        <w:spacing w:after="120" w:line="240" w:lineRule="auto"/>
        <w:jc w:val="both"/>
        <w:rPr>
          <w:rFonts w:asciiTheme="majorBidi" w:hAnsiTheme="majorBidi" w:cstheme="majorBidi"/>
        </w:rPr>
      </w:pPr>
      <w:r w:rsidRPr="00555FA8">
        <w:rPr>
          <w:rFonts w:asciiTheme="majorBidi" w:hAnsiTheme="majorBidi" w:cstheme="majorBidi"/>
        </w:rPr>
        <w:t>Different census regions.</w:t>
      </w:r>
    </w:p>
    <w:p w:rsidR="00555FA8" w:rsidRPr="00555FA8" w:rsidP="005D7778" w14:paraId="505AE6EE" w14:textId="77777777">
      <w:pPr>
        <w:pStyle w:val="ListParagraph"/>
        <w:numPr>
          <w:ilvl w:val="0"/>
          <w:numId w:val="9"/>
        </w:numPr>
        <w:spacing w:after="240" w:line="240" w:lineRule="auto"/>
        <w:jc w:val="both"/>
        <w:rPr>
          <w:rFonts w:asciiTheme="majorBidi" w:hAnsiTheme="majorBidi" w:cstheme="majorBidi"/>
        </w:rPr>
      </w:pPr>
      <w:r w:rsidRPr="00555FA8">
        <w:rPr>
          <w:rFonts w:asciiTheme="majorBidi" w:hAnsiTheme="majorBidi" w:cstheme="majorBidi"/>
        </w:rPr>
        <w:t>Substantively different landlord incentives.</w:t>
      </w:r>
    </w:p>
    <w:p w:rsidR="00555FA8" w:rsidRPr="0064390E" w:rsidP="0064390E" w14:paraId="4A5A0A82" w14:textId="0FC41D34">
      <w:pPr>
        <w:pStyle w:val="BodyText"/>
        <w:rPr>
          <w:u w:val="single"/>
        </w:rPr>
      </w:pPr>
      <w:r w:rsidRPr="00CAEA7B">
        <w:rPr>
          <w:u w:val="single"/>
        </w:rPr>
        <w:t>QuIP</w:t>
      </w:r>
      <w:r w:rsidRPr="00CAEA7B">
        <w:rPr>
          <w:u w:val="single"/>
        </w:rPr>
        <w:t xml:space="preserve"> </w:t>
      </w:r>
      <w:r w:rsidRPr="00CAEA7B" w:rsidR="1ACE7E7B">
        <w:rPr>
          <w:u w:val="single"/>
        </w:rPr>
        <w:t>PHA</w:t>
      </w:r>
      <w:r w:rsidRPr="00CAEA7B">
        <w:rPr>
          <w:u w:val="single"/>
        </w:rPr>
        <w:t xml:space="preserve"> Sample</w:t>
      </w:r>
    </w:p>
    <w:p w:rsidR="00555FA8" w:rsidRPr="007F65CF" w:rsidP="00555FA8" w14:paraId="7B51F317" w14:textId="77777777">
      <w:pPr>
        <w:pStyle w:val="BodyText"/>
        <w:rPr>
          <w:szCs w:val="24"/>
        </w:rPr>
      </w:pPr>
      <w:r w:rsidRPr="007F65CF">
        <w:rPr>
          <w:szCs w:val="24"/>
        </w:rPr>
        <w:t xml:space="preserve">We will select </w:t>
      </w:r>
      <w:r>
        <w:rPr>
          <w:szCs w:val="24"/>
        </w:rPr>
        <w:t>six</w:t>
      </w:r>
      <w:r w:rsidRPr="007F65CF">
        <w:rPr>
          <w:szCs w:val="24"/>
        </w:rPr>
        <w:t xml:space="preserve"> treatment PHA </w:t>
      </w:r>
      <w:r>
        <w:rPr>
          <w:szCs w:val="24"/>
        </w:rPr>
        <w:t>service area</w:t>
      </w:r>
      <w:r w:rsidRPr="007F65CF">
        <w:rPr>
          <w:szCs w:val="24"/>
        </w:rPr>
        <w:t>s—</w:t>
      </w:r>
      <w:r>
        <w:rPr>
          <w:szCs w:val="24"/>
        </w:rPr>
        <w:t>three</w:t>
      </w:r>
      <w:r w:rsidRPr="007F65CF">
        <w:rPr>
          <w:szCs w:val="24"/>
        </w:rPr>
        <w:t xml:space="preserve"> medium and </w:t>
      </w:r>
      <w:r>
        <w:rPr>
          <w:szCs w:val="24"/>
        </w:rPr>
        <w:t>three</w:t>
      </w:r>
      <w:r w:rsidRPr="007F65CF">
        <w:rPr>
          <w:szCs w:val="24"/>
        </w:rPr>
        <w:t xml:space="preserve"> small—that provide the greatest heterogeneity in market context and </w:t>
      </w:r>
      <w:r>
        <w:rPr>
          <w:szCs w:val="24"/>
        </w:rPr>
        <w:t xml:space="preserve">that </w:t>
      </w:r>
      <w:r w:rsidRPr="007F65CF">
        <w:rPr>
          <w:szCs w:val="24"/>
        </w:rPr>
        <w:t>represent a range of different landlord incentives</w:t>
      </w:r>
      <w:r>
        <w:rPr>
          <w:szCs w:val="24"/>
        </w:rPr>
        <w:t xml:space="preserve"> using the same criteria as in the selection of PHAs for the TIA sample</w:t>
      </w:r>
      <w:r w:rsidRPr="007F65CF">
        <w:rPr>
          <w:szCs w:val="24"/>
        </w:rPr>
        <w:t xml:space="preserve">. </w:t>
      </w:r>
    </w:p>
    <w:p w:rsidR="00555FA8" w:rsidRPr="00555FA8" w:rsidP="00555FA8" w14:paraId="0D85EE10" w14:textId="552567B6">
      <w:pPr>
        <w:pStyle w:val="BodyText"/>
        <w:rPr>
          <w:rFonts w:asciiTheme="minorBidi" w:hAnsiTheme="minorBidi" w:cstheme="minorBidi"/>
          <w:b/>
          <w:bCs/>
          <w:i/>
          <w:iCs/>
          <w:sz w:val="20"/>
          <w:szCs w:val="18"/>
        </w:rPr>
      </w:pPr>
      <w:r w:rsidRPr="00555FA8">
        <w:rPr>
          <w:rFonts w:asciiTheme="minorBidi" w:hAnsiTheme="minorBidi" w:cstheme="minorBidi"/>
          <w:b/>
          <w:bCs/>
          <w:i/>
          <w:iCs/>
          <w:sz w:val="20"/>
          <w:szCs w:val="18"/>
        </w:rPr>
        <w:t>Sampling Landlords for In-Depth Interviews</w:t>
      </w:r>
    </w:p>
    <w:p w:rsidR="00555FA8" w:rsidP="00555FA8" w14:paraId="668BF8F0" w14:textId="445B2D5A">
      <w:pPr>
        <w:pStyle w:val="BodyText"/>
      </w:pPr>
      <w:r w:rsidRPr="00CAEA7B">
        <w:t>Once we have selected the PHA service areas, we will sample landlords within each drawing from a combination of PHA landlord lists, Craigslist</w:t>
      </w:r>
      <w:r>
        <w:rPr>
          <w:vertAlign w:val="superscript"/>
        </w:rPr>
        <w:footnoteReference w:id="3"/>
      </w:r>
      <w:r w:rsidRPr="00CAEA7B">
        <w:rPr>
          <w:vertAlign w:val="superscript"/>
        </w:rPr>
        <w:t xml:space="preserve"> </w:t>
      </w:r>
      <w:r w:rsidRPr="00CAEA7B">
        <w:t xml:space="preserve">and other websites most frequently used by landlords to list available rental units in the PHA service area. We will aim to complete 20 landlord interviews from each PHA selected for either the TIA or the </w:t>
      </w:r>
      <w:r w:rsidRPr="00CAEA7B">
        <w:t>QuIP</w:t>
      </w:r>
      <w:r w:rsidRPr="00CAEA7B">
        <w:t xml:space="preserve"> sample</w:t>
      </w:r>
      <w:r w:rsidRPr="23D5E2BA" w:rsidR="437AAC7C">
        <w:rPr>
          <w:szCs w:val="22"/>
        </w:rPr>
        <w:t xml:space="preserve">, </w:t>
      </w:r>
      <w:r w:rsidRPr="00CAEA7B" w:rsidR="000A4377">
        <w:rPr>
          <w:b/>
          <w:bCs/>
        </w:rPr>
        <w:t>totaling</w:t>
      </w:r>
      <w:r w:rsidRPr="00CAEA7B" w:rsidR="437AAC7C">
        <w:t xml:space="preserve"> </w:t>
      </w:r>
      <w:r w:rsidRPr="00CAEA7B" w:rsidR="437AAC7C">
        <w:rPr>
          <w:b/>
          <w:bCs/>
        </w:rPr>
        <w:t>400 interviews</w:t>
      </w:r>
      <w:r w:rsidRPr="00CAEA7B">
        <w:t xml:space="preserve">. In treatment group PHAs, we want to make sure that we conduct interviews with different types of landlords: landlords that rented to voucher holders prior to the MTW landlord incentives; landlords that started renting to voucher holders since the MTW landlord incentives; and landlords that have not yet rented to voucher holders. In comparison group PHAs in the TIA sample, we want to conduct interviews with a mix of landlords that have and have not rented to voucher holders. Exhibits </w:t>
      </w:r>
      <w:r w:rsidR="001679E7">
        <w:t>5</w:t>
      </w:r>
      <w:r w:rsidRPr="00CAEA7B">
        <w:t xml:space="preserve"> and </w:t>
      </w:r>
      <w:r w:rsidR="001679E7">
        <w:t>6</w:t>
      </w:r>
      <w:r w:rsidRPr="00CAEA7B">
        <w:t xml:space="preserve"> provide detail on the sampling frame, including both recruitment pool and expected interviews completed, for landlord interviews. </w:t>
      </w:r>
    </w:p>
    <w:p w:rsidR="00555FA8" w:rsidP="00555FA8" w14:paraId="22D9EAD4" w14:textId="77777777">
      <w:pPr>
        <w:pStyle w:val="BodyText"/>
      </w:pPr>
      <w:r w:rsidRPr="00FA0EDC">
        <w:t xml:space="preserve">Landlords are varied in size, </w:t>
      </w:r>
      <w:r w:rsidRPr="00FA0EDC">
        <w:t>experience</w:t>
      </w:r>
      <w:r w:rsidRPr="00FA0EDC">
        <w:t xml:space="preserve"> and organizational structure. In most markets we expect to see a range of different types of landlords from small “mom and pop” landlords who own one rental building of no more than one to five units, to large national ownership companies who contract out with property management companies. This variety in landlord type will influence whom we talk to. For smaller landlords we anticipate few staff and will be able to easily identify the individual who manages renting out the unit. In cases where a property is professionally managed by multiple people, we will target the staff member with the greatest decision-making authority. In most cases this will be the Property Manager, although the Assistant Property Manager will be interviewed in cases where the alternative is non-response. Staff who exclusively work in tenant placement, marketing, administration, or maintenance will not be interviewed.</w:t>
      </w:r>
      <w:r>
        <w:rPr>
          <w:vertAlign w:val="superscript"/>
        </w:rPr>
        <w:footnoteReference w:id="4"/>
      </w:r>
    </w:p>
    <w:p w:rsidR="00FA0EDC" w:rsidRPr="00FA0EDC" w:rsidP="00555FA8" w14:paraId="1D12801D" w14:textId="5D6E0684">
      <w:pPr>
        <w:pStyle w:val="BodyText"/>
        <w:rPr>
          <w:b/>
          <w:bCs/>
        </w:rPr>
      </w:pPr>
      <w:r w:rsidRPr="00FA0EDC">
        <w:t>Landlords will likely vary in responsiveness to our recruitment phone calls and emails depending on whether the PHA has an existing relationship with them or not. Given the level of effort budgeted for recruitment, we expect overall to see 25 percent of landlords contacted to respond to our recruitment efforts and complete an interview (</w:t>
      </w:r>
      <w:r w:rsidR="00906007">
        <w:t>E</w:t>
      </w:r>
      <w:r w:rsidRPr="00FA0EDC">
        <w:t>xhibit</w:t>
      </w:r>
      <w:r w:rsidR="00906007">
        <w:t xml:space="preserve"> 5-6</w:t>
      </w:r>
      <w:r w:rsidRPr="00FA0EDC">
        <w:t xml:space="preserve">). </w:t>
      </w:r>
    </w:p>
    <w:p w:rsidR="00FA0EDC" w:rsidRPr="00C959E6" w:rsidP="00C959E6" w14:paraId="69C99BBE" w14:textId="6A790737">
      <w:pPr>
        <w:pStyle w:val="Caption"/>
      </w:pPr>
      <w:bookmarkStart w:id="3" w:name="_Toc106869127"/>
      <w:r w:rsidRPr="00C959E6">
        <w:t xml:space="preserve">Exhibit </w:t>
      </w:r>
      <w:r w:rsidRPr="00C959E6" w:rsidR="00C959E6">
        <w:t>5</w:t>
      </w:r>
      <w:r w:rsidRPr="00C959E6">
        <w:t>: Sampling Frame for Interviews with Various Types of Landlords in Treatment PHAs</w:t>
      </w:r>
      <w:bookmarkEnd w:id="3"/>
    </w:p>
    <w:tbl>
      <w:tblPr>
        <w:tblStyle w:val="TableGrid"/>
        <w:tblW w:w="8797" w:type="dxa"/>
        <w:tblLayout w:type="fixed"/>
        <w:tblCellMar>
          <w:left w:w="43" w:type="dxa"/>
          <w:right w:w="43" w:type="dxa"/>
        </w:tblCellMar>
        <w:tblLook w:val="04A0"/>
      </w:tblPr>
      <w:tblGrid>
        <w:gridCol w:w="1885"/>
        <w:gridCol w:w="1152"/>
        <w:gridCol w:w="1152"/>
        <w:gridCol w:w="1152"/>
        <w:gridCol w:w="1152"/>
        <w:gridCol w:w="1152"/>
        <w:gridCol w:w="1152"/>
      </w:tblGrid>
      <w:tr w14:paraId="4F085D82" w14:textId="77777777" w:rsidTr="00FD100B">
        <w:tblPrEx>
          <w:tblW w:w="8797" w:type="dxa"/>
          <w:tblLayout w:type="fixed"/>
          <w:tblCellMar>
            <w:left w:w="43" w:type="dxa"/>
            <w:right w:w="43" w:type="dxa"/>
          </w:tblCellMar>
          <w:tblLook w:val="04A0"/>
        </w:tblPrEx>
        <w:trPr>
          <w:tblHeader/>
        </w:trPr>
        <w:tc>
          <w:tcPr>
            <w:tcW w:w="1885" w:type="dxa"/>
            <w:vMerge w:val="restart"/>
            <w:shd w:val="clear" w:color="auto" w:fill="DA291C" w:themeFill="accent1"/>
            <w:vAlign w:val="bottom"/>
          </w:tcPr>
          <w:p w:rsidR="00FA0EDC" w:rsidRPr="00FA0EDC" w:rsidP="00AD227D" w14:paraId="7668C59A" w14:textId="77777777">
            <w:pPr>
              <w:keepNext/>
              <w:keepLines/>
              <w:spacing w:before="20" w:after="20" w:line="240" w:lineRule="auto"/>
              <w:rPr>
                <w:rFonts w:ascii="Arial Narrow" w:hAnsi="Arial Narrow"/>
                <w:b/>
                <w:color w:val="FFFFFF"/>
                <w:sz w:val="20"/>
              </w:rPr>
            </w:pPr>
            <w:r w:rsidRPr="00FA0EDC">
              <w:rPr>
                <w:rFonts w:ascii="Arial Narrow" w:hAnsi="Arial Narrow"/>
                <w:b/>
                <w:color w:val="FFFFFF"/>
                <w:sz w:val="20"/>
              </w:rPr>
              <w:t>Type of Landlord</w:t>
            </w:r>
          </w:p>
        </w:tc>
        <w:tc>
          <w:tcPr>
            <w:tcW w:w="3456" w:type="dxa"/>
            <w:gridSpan w:val="3"/>
            <w:shd w:val="clear" w:color="auto" w:fill="DA291C" w:themeFill="accent1"/>
          </w:tcPr>
          <w:p w:rsidR="00FA0EDC" w:rsidRPr="00FA0EDC" w:rsidP="00FD100B" w14:paraId="2C718F45" w14:textId="77777777">
            <w:pPr>
              <w:keepNext/>
              <w:keepLines/>
              <w:spacing w:before="20" w:after="20" w:line="240" w:lineRule="auto"/>
              <w:jc w:val="center"/>
              <w:rPr>
                <w:rFonts w:ascii="Arial Narrow" w:hAnsi="Arial Narrow"/>
                <w:b/>
                <w:color w:val="FFFFFF"/>
                <w:sz w:val="20"/>
              </w:rPr>
            </w:pPr>
            <w:r w:rsidRPr="00FA0EDC">
              <w:rPr>
                <w:rFonts w:ascii="Arial Narrow" w:hAnsi="Arial Narrow"/>
                <w:b/>
                <w:color w:val="FFFFFF"/>
                <w:sz w:val="20"/>
              </w:rPr>
              <w:t>TIA Interviews per PHA (</w:t>
            </w:r>
            <w:r w:rsidRPr="00FA0EDC">
              <w:rPr>
                <w:rFonts w:ascii="Arial Narrow" w:hAnsi="Arial Narrow"/>
                <w:b/>
                <w:i/>
                <w:iCs/>
                <w:color w:val="FFFFFF"/>
                <w:sz w:val="20"/>
              </w:rPr>
              <w:t>n</w:t>
            </w:r>
            <w:r w:rsidRPr="00FA0EDC">
              <w:rPr>
                <w:rFonts w:ascii="Arial Narrow" w:hAnsi="Arial Narrow"/>
                <w:b/>
                <w:color w:val="FFFFFF"/>
                <w:sz w:val="20"/>
              </w:rPr>
              <w:t>=20)</w:t>
            </w:r>
          </w:p>
        </w:tc>
        <w:tc>
          <w:tcPr>
            <w:tcW w:w="3456" w:type="dxa"/>
            <w:gridSpan w:val="3"/>
            <w:shd w:val="clear" w:color="auto" w:fill="DA291C" w:themeFill="accent1"/>
          </w:tcPr>
          <w:p w:rsidR="00FA0EDC" w:rsidRPr="00FA0EDC" w:rsidP="00FD100B" w14:paraId="1B921A51" w14:textId="77777777">
            <w:pPr>
              <w:keepNext/>
              <w:keepLines/>
              <w:spacing w:before="20" w:after="20" w:line="240" w:lineRule="auto"/>
              <w:jc w:val="center"/>
              <w:rPr>
                <w:rFonts w:ascii="Arial Narrow" w:hAnsi="Arial Narrow"/>
                <w:b/>
                <w:color w:val="FFFFFF"/>
                <w:sz w:val="20"/>
              </w:rPr>
            </w:pPr>
            <w:r w:rsidRPr="00FA0EDC">
              <w:rPr>
                <w:rFonts w:ascii="Arial Narrow" w:hAnsi="Arial Narrow"/>
                <w:b/>
                <w:color w:val="FFFFFF"/>
                <w:sz w:val="20"/>
              </w:rPr>
              <w:t>QuIP</w:t>
            </w:r>
            <w:r w:rsidRPr="00FA0EDC">
              <w:rPr>
                <w:rFonts w:ascii="Arial Narrow" w:hAnsi="Arial Narrow"/>
                <w:b/>
                <w:color w:val="FFFFFF"/>
                <w:sz w:val="20"/>
              </w:rPr>
              <w:t xml:space="preserve"> Interviews per PHA (</w:t>
            </w:r>
            <w:r w:rsidRPr="00FA0EDC">
              <w:rPr>
                <w:rFonts w:ascii="Arial Narrow" w:hAnsi="Arial Narrow"/>
                <w:b/>
                <w:i/>
                <w:iCs/>
                <w:color w:val="FFFFFF"/>
                <w:sz w:val="20"/>
              </w:rPr>
              <w:t>n</w:t>
            </w:r>
            <w:r w:rsidRPr="00FA0EDC">
              <w:rPr>
                <w:rFonts w:ascii="Arial Narrow" w:hAnsi="Arial Narrow"/>
                <w:b/>
                <w:color w:val="FFFFFF"/>
                <w:sz w:val="20"/>
              </w:rPr>
              <w:t>=20)</w:t>
            </w:r>
          </w:p>
        </w:tc>
      </w:tr>
      <w:tr w14:paraId="4A2B4148" w14:textId="77777777" w:rsidTr="00FD100B">
        <w:tblPrEx>
          <w:tblW w:w="8797" w:type="dxa"/>
          <w:tblLayout w:type="fixed"/>
          <w:tblCellMar>
            <w:left w:w="43" w:type="dxa"/>
            <w:right w:w="43" w:type="dxa"/>
          </w:tblCellMar>
          <w:tblLook w:val="04A0"/>
        </w:tblPrEx>
        <w:trPr>
          <w:tblHeader/>
        </w:trPr>
        <w:tc>
          <w:tcPr>
            <w:tcW w:w="1885" w:type="dxa"/>
            <w:vMerge/>
            <w:shd w:val="clear" w:color="auto" w:fill="2F7D93"/>
          </w:tcPr>
          <w:p w:rsidR="00C959E6" w:rsidRPr="00FA0EDC" w:rsidP="008E78B2" w14:paraId="0EF81407" w14:textId="77777777">
            <w:pPr>
              <w:keepNext/>
              <w:keepLines/>
              <w:numPr>
                <w:ilvl w:val="0"/>
                <w:numId w:val="1"/>
              </w:numPr>
              <w:tabs>
                <w:tab w:val="clear" w:pos="720"/>
              </w:tabs>
              <w:spacing w:before="20" w:after="20" w:line="240" w:lineRule="auto"/>
              <w:ind w:left="0" w:firstLine="0"/>
              <w:jc w:val="center"/>
              <w:rPr>
                <w:rFonts w:ascii="Arial Narrow" w:hAnsi="Arial Narrow"/>
                <w:b/>
                <w:color w:val="FFFFFF"/>
                <w:sz w:val="20"/>
              </w:rPr>
            </w:pPr>
          </w:p>
        </w:tc>
        <w:tc>
          <w:tcPr>
            <w:tcW w:w="1152" w:type="dxa"/>
            <w:shd w:val="clear" w:color="auto" w:fill="F8D3D0" w:themeFill="accent1" w:themeFillTint="33"/>
          </w:tcPr>
          <w:p w:rsidR="00C959E6" w:rsidRPr="00FA0EDC" w:rsidP="00FA0EDC" w14:paraId="5E25152D" w14:textId="77777777">
            <w:pPr>
              <w:keepNext/>
              <w:keepLines/>
              <w:spacing w:before="20" w:after="20" w:line="240" w:lineRule="auto"/>
              <w:jc w:val="center"/>
              <w:rPr>
                <w:rFonts w:ascii="Arial Narrow" w:hAnsi="Arial Narrow"/>
                <w:b/>
                <w:sz w:val="20"/>
              </w:rPr>
            </w:pPr>
            <w:r w:rsidRPr="00FA0EDC">
              <w:rPr>
                <w:rFonts w:ascii="Arial Narrow" w:hAnsi="Arial Narrow"/>
                <w:b/>
                <w:sz w:val="20"/>
              </w:rPr>
              <w:t>Recruitment</w:t>
            </w:r>
          </w:p>
        </w:tc>
        <w:tc>
          <w:tcPr>
            <w:tcW w:w="1152" w:type="dxa"/>
            <w:shd w:val="clear" w:color="auto" w:fill="F8D3D0" w:themeFill="accent1" w:themeFillTint="33"/>
          </w:tcPr>
          <w:p w:rsidR="00C959E6" w:rsidRPr="00C959E6" w:rsidP="00C959E6" w14:paraId="161C4254" w14:textId="32948296">
            <w:pPr>
              <w:keepNext/>
              <w:keepLines/>
              <w:spacing w:before="20" w:after="20" w:line="240" w:lineRule="auto"/>
              <w:jc w:val="center"/>
              <w:rPr>
                <w:rFonts w:ascii="Arial Narrow" w:hAnsi="Arial Narrow"/>
                <w:b/>
                <w:sz w:val="20"/>
              </w:rPr>
            </w:pPr>
            <w:r w:rsidRPr="00FA0EDC">
              <w:rPr>
                <w:rFonts w:ascii="Arial Narrow" w:hAnsi="Arial Narrow"/>
                <w:b/>
                <w:sz w:val="20"/>
              </w:rPr>
              <w:t>Interviews</w:t>
            </w:r>
          </w:p>
        </w:tc>
        <w:tc>
          <w:tcPr>
            <w:tcW w:w="1152" w:type="dxa"/>
            <w:shd w:val="clear" w:color="auto" w:fill="F8D3D0" w:themeFill="accent1" w:themeFillTint="33"/>
          </w:tcPr>
          <w:p w:rsidR="00C959E6" w:rsidRPr="00FA0EDC" w:rsidP="00C959E6" w14:paraId="4FAA47DF" w14:textId="65D8AC7A">
            <w:pPr>
              <w:keepNext/>
              <w:keepLines/>
              <w:spacing w:before="20" w:after="20" w:line="240" w:lineRule="auto"/>
              <w:jc w:val="center"/>
              <w:rPr>
                <w:rFonts w:ascii="Arial Narrow" w:hAnsi="Arial Narrow"/>
                <w:b/>
                <w:sz w:val="20"/>
              </w:rPr>
            </w:pPr>
            <w:r w:rsidRPr="00C959E6">
              <w:rPr>
                <w:rFonts w:ascii="Arial Narrow" w:hAnsi="Arial Narrow"/>
                <w:b/>
                <w:sz w:val="20"/>
              </w:rPr>
              <w:t>Response Rate</w:t>
            </w:r>
          </w:p>
        </w:tc>
        <w:tc>
          <w:tcPr>
            <w:tcW w:w="1152" w:type="dxa"/>
            <w:shd w:val="clear" w:color="auto" w:fill="F8D3D0" w:themeFill="accent1" w:themeFillTint="33"/>
          </w:tcPr>
          <w:p w:rsidR="00C959E6" w:rsidRPr="00FA0EDC" w:rsidP="00FA0EDC" w14:paraId="52941EC3" w14:textId="77777777">
            <w:pPr>
              <w:keepNext/>
              <w:keepLines/>
              <w:spacing w:before="20" w:after="20" w:line="240" w:lineRule="auto"/>
              <w:jc w:val="center"/>
              <w:rPr>
                <w:rFonts w:ascii="Arial Narrow" w:hAnsi="Arial Narrow"/>
                <w:b/>
                <w:sz w:val="20"/>
              </w:rPr>
            </w:pPr>
            <w:r w:rsidRPr="00FA0EDC">
              <w:rPr>
                <w:rFonts w:ascii="Arial Narrow" w:hAnsi="Arial Narrow"/>
                <w:b/>
                <w:sz w:val="20"/>
              </w:rPr>
              <w:t>Recruitment</w:t>
            </w:r>
          </w:p>
        </w:tc>
        <w:tc>
          <w:tcPr>
            <w:tcW w:w="1152" w:type="dxa"/>
            <w:shd w:val="clear" w:color="auto" w:fill="F8D3D0" w:themeFill="accent1" w:themeFillTint="33"/>
          </w:tcPr>
          <w:p w:rsidR="00C959E6" w:rsidRPr="00C959E6" w:rsidP="00C959E6" w14:paraId="656AAE08" w14:textId="69C694C6">
            <w:pPr>
              <w:keepNext/>
              <w:keepLines/>
              <w:spacing w:before="20" w:after="20" w:line="240" w:lineRule="auto"/>
              <w:jc w:val="center"/>
              <w:rPr>
                <w:rFonts w:ascii="Arial Narrow" w:hAnsi="Arial Narrow"/>
                <w:b/>
                <w:sz w:val="20"/>
              </w:rPr>
            </w:pPr>
            <w:r w:rsidRPr="00FA0EDC">
              <w:rPr>
                <w:rFonts w:ascii="Arial Narrow" w:hAnsi="Arial Narrow"/>
                <w:b/>
                <w:sz w:val="20"/>
              </w:rPr>
              <w:t>Interviews</w:t>
            </w:r>
          </w:p>
        </w:tc>
        <w:tc>
          <w:tcPr>
            <w:tcW w:w="1152" w:type="dxa"/>
            <w:shd w:val="clear" w:color="auto" w:fill="F8D3D0" w:themeFill="accent1" w:themeFillTint="33"/>
          </w:tcPr>
          <w:p w:rsidR="00C959E6" w:rsidRPr="00FA0EDC" w:rsidP="00FA0EDC" w14:paraId="176CF622" w14:textId="5380196D">
            <w:pPr>
              <w:spacing w:before="20" w:after="20" w:line="240" w:lineRule="auto"/>
              <w:jc w:val="center"/>
              <w:rPr>
                <w:rFonts w:ascii="Arial Narrow" w:hAnsi="Arial Narrow"/>
                <w:b/>
                <w:sz w:val="20"/>
              </w:rPr>
            </w:pPr>
            <w:r w:rsidRPr="00C959E6">
              <w:rPr>
                <w:rFonts w:ascii="Arial Narrow" w:hAnsi="Arial Narrow"/>
                <w:b/>
                <w:sz w:val="20"/>
              </w:rPr>
              <w:t>Response Rate</w:t>
            </w:r>
          </w:p>
        </w:tc>
      </w:tr>
      <w:tr w14:paraId="2A27AE71" w14:textId="77777777" w:rsidTr="00FD100B">
        <w:tblPrEx>
          <w:tblW w:w="8797" w:type="dxa"/>
          <w:tblLayout w:type="fixed"/>
          <w:tblCellMar>
            <w:left w:w="43" w:type="dxa"/>
            <w:right w:w="43" w:type="dxa"/>
          </w:tblCellMar>
          <w:tblLook w:val="04A0"/>
        </w:tblPrEx>
        <w:tc>
          <w:tcPr>
            <w:tcW w:w="1885" w:type="dxa"/>
          </w:tcPr>
          <w:p w:rsidR="00C959E6" w:rsidRPr="00FA0EDC" w:rsidP="00FA0EDC" w14:paraId="78743335" w14:textId="77777777">
            <w:pPr>
              <w:spacing w:before="20" w:after="20" w:line="240" w:lineRule="auto"/>
              <w:rPr>
                <w:rFonts w:ascii="Arial Narrow" w:hAnsi="Arial Narrow"/>
                <w:sz w:val="20"/>
              </w:rPr>
            </w:pPr>
            <w:r w:rsidRPr="00FA0EDC">
              <w:rPr>
                <w:rFonts w:ascii="Arial Narrow" w:hAnsi="Arial Narrow"/>
                <w:sz w:val="20"/>
              </w:rPr>
              <w:t>Pre-MTW landlord incentives HCV landlord</w:t>
            </w:r>
          </w:p>
        </w:tc>
        <w:tc>
          <w:tcPr>
            <w:tcW w:w="1152" w:type="dxa"/>
          </w:tcPr>
          <w:p w:rsidR="00C959E6" w:rsidRPr="00FA0EDC" w:rsidP="00FA0EDC" w14:paraId="1CDD601B" w14:textId="77777777">
            <w:pPr>
              <w:spacing w:before="20" w:after="20" w:line="240" w:lineRule="auto"/>
              <w:jc w:val="center"/>
              <w:rPr>
                <w:rFonts w:ascii="Arial Narrow" w:hAnsi="Arial Narrow"/>
                <w:sz w:val="20"/>
              </w:rPr>
            </w:pPr>
            <w:r w:rsidRPr="00FA0EDC">
              <w:rPr>
                <w:rFonts w:ascii="Arial Narrow" w:hAnsi="Arial Narrow"/>
                <w:sz w:val="20"/>
              </w:rPr>
              <w:t>24</w:t>
            </w:r>
          </w:p>
        </w:tc>
        <w:tc>
          <w:tcPr>
            <w:tcW w:w="1152" w:type="dxa"/>
            <w:shd w:val="clear" w:color="auto" w:fill="auto"/>
          </w:tcPr>
          <w:p w:rsidR="00C959E6" w:rsidRPr="00FA0EDC" w:rsidP="00FA0EDC" w14:paraId="0E7327BD" w14:textId="04174DB8">
            <w:pPr>
              <w:spacing w:before="20" w:after="20" w:line="240" w:lineRule="auto"/>
              <w:jc w:val="center"/>
              <w:rPr>
                <w:rFonts w:ascii="Arial Narrow" w:hAnsi="Arial Narrow"/>
                <w:sz w:val="20"/>
              </w:rPr>
            </w:pPr>
            <w:r>
              <w:rPr>
                <w:rFonts w:ascii="Arial Narrow" w:hAnsi="Arial Narrow"/>
                <w:sz w:val="20"/>
              </w:rPr>
              <w:t>6</w:t>
            </w:r>
          </w:p>
        </w:tc>
        <w:tc>
          <w:tcPr>
            <w:tcW w:w="1152" w:type="dxa"/>
            <w:shd w:val="clear" w:color="auto" w:fill="auto"/>
          </w:tcPr>
          <w:p w:rsidR="00C959E6" w:rsidRPr="00FA0EDC" w:rsidP="00FA0EDC" w14:paraId="73BCBC5B" w14:textId="1519A762">
            <w:pPr>
              <w:spacing w:before="20" w:after="20" w:line="240" w:lineRule="auto"/>
              <w:jc w:val="center"/>
              <w:rPr>
                <w:rFonts w:ascii="Arial Narrow" w:hAnsi="Arial Narrow"/>
                <w:sz w:val="20"/>
              </w:rPr>
            </w:pPr>
            <w:r>
              <w:rPr>
                <w:rFonts w:ascii="Arial Narrow" w:hAnsi="Arial Narrow"/>
                <w:sz w:val="20"/>
              </w:rPr>
              <w:t>25%</w:t>
            </w:r>
          </w:p>
        </w:tc>
        <w:tc>
          <w:tcPr>
            <w:tcW w:w="1152" w:type="dxa"/>
            <w:shd w:val="clear" w:color="auto" w:fill="auto"/>
          </w:tcPr>
          <w:p w:rsidR="00C959E6" w:rsidRPr="00FA0EDC" w:rsidP="00FA0EDC" w14:paraId="2A92D304" w14:textId="77777777">
            <w:pPr>
              <w:spacing w:before="20" w:after="20" w:line="240" w:lineRule="auto"/>
              <w:jc w:val="center"/>
              <w:rPr>
                <w:rFonts w:ascii="Arial Narrow" w:hAnsi="Arial Narrow"/>
                <w:sz w:val="20"/>
              </w:rPr>
            </w:pPr>
            <w:r w:rsidRPr="00FA0EDC">
              <w:rPr>
                <w:rFonts w:ascii="Arial Narrow" w:hAnsi="Arial Narrow" w:cs="Arial"/>
                <w:sz w:val="20"/>
              </w:rPr>
              <w:t>24</w:t>
            </w:r>
          </w:p>
        </w:tc>
        <w:tc>
          <w:tcPr>
            <w:tcW w:w="1152" w:type="dxa"/>
            <w:shd w:val="clear" w:color="auto" w:fill="auto"/>
          </w:tcPr>
          <w:p w:rsidR="00C959E6" w:rsidRPr="00FA0EDC" w:rsidP="00FA0EDC" w14:paraId="3CFCA0CE" w14:textId="088B8DD8">
            <w:pPr>
              <w:spacing w:before="20" w:after="20" w:line="240" w:lineRule="auto"/>
              <w:jc w:val="center"/>
              <w:rPr>
                <w:rFonts w:ascii="Arial Narrow" w:hAnsi="Arial Narrow"/>
                <w:sz w:val="20"/>
              </w:rPr>
            </w:pPr>
            <w:r>
              <w:rPr>
                <w:rFonts w:ascii="Arial Narrow" w:hAnsi="Arial Narrow"/>
                <w:sz w:val="20"/>
              </w:rPr>
              <w:t>6</w:t>
            </w:r>
          </w:p>
        </w:tc>
        <w:tc>
          <w:tcPr>
            <w:tcW w:w="1152" w:type="dxa"/>
            <w:shd w:val="clear" w:color="auto" w:fill="auto"/>
          </w:tcPr>
          <w:p w:rsidR="00C959E6" w:rsidRPr="00FA0EDC" w:rsidP="00FA0EDC" w14:paraId="5DB5FFEA" w14:textId="2679A4A8">
            <w:pPr>
              <w:spacing w:before="20" w:after="20" w:line="240" w:lineRule="auto"/>
              <w:jc w:val="center"/>
              <w:rPr>
                <w:rFonts w:ascii="Arial Narrow" w:hAnsi="Arial Narrow"/>
                <w:sz w:val="20"/>
              </w:rPr>
            </w:pPr>
            <w:r>
              <w:rPr>
                <w:rFonts w:ascii="Arial Narrow" w:hAnsi="Arial Narrow"/>
                <w:sz w:val="20"/>
              </w:rPr>
              <w:t>25%</w:t>
            </w:r>
          </w:p>
        </w:tc>
      </w:tr>
      <w:tr w14:paraId="2EEFB5A1" w14:textId="77777777" w:rsidTr="00FD100B">
        <w:tblPrEx>
          <w:tblW w:w="8797" w:type="dxa"/>
          <w:tblLayout w:type="fixed"/>
          <w:tblCellMar>
            <w:left w:w="43" w:type="dxa"/>
            <w:right w:w="43" w:type="dxa"/>
          </w:tblCellMar>
          <w:tblLook w:val="04A0"/>
        </w:tblPrEx>
        <w:tc>
          <w:tcPr>
            <w:tcW w:w="1885" w:type="dxa"/>
          </w:tcPr>
          <w:p w:rsidR="00C959E6" w:rsidRPr="00FA0EDC" w:rsidP="00FA0EDC" w14:paraId="4F5BF73F" w14:textId="77777777">
            <w:pPr>
              <w:spacing w:before="20" w:after="20" w:line="240" w:lineRule="auto"/>
              <w:rPr>
                <w:rFonts w:ascii="Arial Narrow" w:hAnsi="Arial Narrow"/>
                <w:sz w:val="20"/>
              </w:rPr>
            </w:pPr>
            <w:r w:rsidRPr="00FA0EDC">
              <w:rPr>
                <w:rFonts w:ascii="Arial Narrow" w:hAnsi="Arial Narrow"/>
                <w:sz w:val="20"/>
              </w:rPr>
              <w:t>New HCV landlord</w:t>
            </w:r>
          </w:p>
        </w:tc>
        <w:tc>
          <w:tcPr>
            <w:tcW w:w="1152" w:type="dxa"/>
          </w:tcPr>
          <w:p w:rsidR="00C959E6" w:rsidRPr="00FA0EDC" w:rsidP="00FA0EDC" w14:paraId="16290FB2" w14:textId="77777777">
            <w:pPr>
              <w:spacing w:before="20" w:after="20" w:line="240" w:lineRule="auto"/>
              <w:jc w:val="center"/>
              <w:rPr>
                <w:rFonts w:ascii="Arial Narrow" w:hAnsi="Arial Narrow"/>
                <w:sz w:val="20"/>
              </w:rPr>
            </w:pPr>
            <w:r w:rsidRPr="00FA0EDC">
              <w:rPr>
                <w:rFonts w:ascii="Arial Narrow" w:hAnsi="Arial Narrow"/>
                <w:sz w:val="20"/>
              </w:rPr>
              <w:t>28</w:t>
            </w:r>
          </w:p>
        </w:tc>
        <w:tc>
          <w:tcPr>
            <w:tcW w:w="1152" w:type="dxa"/>
            <w:shd w:val="clear" w:color="auto" w:fill="auto"/>
          </w:tcPr>
          <w:p w:rsidR="00C959E6" w:rsidRPr="00FA0EDC" w:rsidP="00FA0EDC" w14:paraId="5139068D" w14:textId="0D0D350F">
            <w:pPr>
              <w:spacing w:before="20" w:after="20" w:line="240" w:lineRule="auto"/>
              <w:jc w:val="center"/>
              <w:rPr>
                <w:rFonts w:ascii="Arial Narrow" w:hAnsi="Arial Narrow"/>
                <w:sz w:val="20"/>
              </w:rPr>
            </w:pPr>
            <w:r>
              <w:rPr>
                <w:rFonts w:ascii="Arial Narrow" w:hAnsi="Arial Narrow"/>
                <w:sz w:val="20"/>
              </w:rPr>
              <w:t>7</w:t>
            </w:r>
          </w:p>
        </w:tc>
        <w:tc>
          <w:tcPr>
            <w:tcW w:w="1152" w:type="dxa"/>
            <w:shd w:val="clear" w:color="auto" w:fill="auto"/>
          </w:tcPr>
          <w:p w:rsidR="00C959E6" w:rsidRPr="00FA0EDC" w:rsidP="00FA0EDC" w14:paraId="404BD10B" w14:textId="21C776EA">
            <w:pPr>
              <w:spacing w:before="20" w:after="20" w:line="240" w:lineRule="auto"/>
              <w:jc w:val="center"/>
              <w:rPr>
                <w:rFonts w:ascii="Arial Narrow" w:hAnsi="Arial Narrow"/>
                <w:sz w:val="20"/>
              </w:rPr>
            </w:pPr>
            <w:r>
              <w:rPr>
                <w:rFonts w:ascii="Arial Narrow" w:hAnsi="Arial Narrow"/>
                <w:sz w:val="20"/>
              </w:rPr>
              <w:t>25%</w:t>
            </w:r>
          </w:p>
        </w:tc>
        <w:tc>
          <w:tcPr>
            <w:tcW w:w="1152" w:type="dxa"/>
            <w:shd w:val="clear" w:color="auto" w:fill="auto"/>
          </w:tcPr>
          <w:p w:rsidR="00C959E6" w:rsidRPr="00FA0EDC" w:rsidP="00FA0EDC" w14:paraId="379F615F" w14:textId="77777777">
            <w:pPr>
              <w:spacing w:before="20" w:after="20" w:line="240" w:lineRule="auto"/>
              <w:jc w:val="center"/>
              <w:rPr>
                <w:rFonts w:ascii="Arial Narrow" w:hAnsi="Arial Narrow" w:cs="Arial"/>
                <w:sz w:val="20"/>
              </w:rPr>
            </w:pPr>
            <w:r w:rsidRPr="00FA0EDC">
              <w:rPr>
                <w:rFonts w:ascii="Arial Narrow" w:hAnsi="Arial Narrow" w:cs="Arial"/>
                <w:sz w:val="20"/>
              </w:rPr>
              <w:t>28</w:t>
            </w:r>
          </w:p>
        </w:tc>
        <w:tc>
          <w:tcPr>
            <w:tcW w:w="1152" w:type="dxa"/>
            <w:shd w:val="clear" w:color="auto" w:fill="auto"/>
          </w:tcPr>
          <w:p w:rsidR="00C959E6" w:rsidRPr="00FA0EDC" w:rsidP="00FA0EDC" w14:paraId="44803837" w14:textId="6CCD4A58">
            <w:pPr>
              <w:spacing w:before="20" w:after="20" w:line="240" w:lineRule="auto"/>
              <w:jc w:val="center"/>
              <w:rPr>
                <w:rFonts w:ascii="Arial Narrow" w:hAnsi="Arial Narrow"/>
                <w:sz w:val="20"/>
              </w:rPr>
            </w:pPr>
            <w:r>
              <w:rPr>
                <w:rFonts w:ascii="Arial Narrow" w:hAnsi="Arial Narrow"/>
                <w:sz w:val="20"/>
              </w:rPr>
              <w:t>7</w:t>
            </w:r>
          </w:p>
        </w:tc>
        <w:tc>
          <w:tcPr>
            <w:tcW w:w="1152" w:type="dxa"/>
            <w:shd w:val="clear" w:color="auto" w:fill="auto"/>
          </w:tcPr>
          <w:p w:rsidR="00C959E6" w:rsidRPr="00FA0EDC" w:rsidP="00FA0EDC" w14:paraId="78675333" w14:textId="2A2F0587">
            <w:pPr>
              <w:spacing w:before="20" w:after="20" w:line="240" w:lineRule="auto"/>
              <w:jc w:val="center"/>
              <w:rPr>
                <w:rFonts w:ascii="Arial Narrow" w:hAnsi="Arial Narrow"/>
                <w:sz w:val="20"/>
              </w:rPr>
            </w:pPr>
            <w:r>
              <w:rPr>
                <w:rFonts w:ascii="Arial Narrow" w:hAnsi="Arial Narrow"/>
                <w:sz w:val="20"/>
              </w:rPr>
              <w:t>25%</w:t>
            </w:r>
          </w:p>
        </w:tc>
      </w:tr>
      <w:tr w14:paraId="1E036FF2" w14:textId="77777777" w:rsidTr="00FD100B">
        <w:tblPrEx>
          <w:tblW w:w="8797" w:type="dxa"/>
          <w:tblLayout w:type="fixed"/>
          <w:tblCellMar>
            <w:left w:w="43" w:type="dxa"/>
            <w:right w:w="43" w:type="dxa"/>
          </w:tblCellMar>
          <w:tblLook w:val="04A0"/>
        </w:tblPrEx>
        <w:tc>
          <w:tcPr>
            <w:tcW w:w="1885" w:type="dxa"/>
          </w:tcPr>
          <w:p w:rsidR="00C959E6" w:rsidRPr="00FA0EDC" w:rsidP="00FA0EDC" w14:paraId="3D179CC2" w14:textId="77777777">
            <w:pPr>
              <w:spacing w:before="20" w:after="20" w:line="240" w:lineRule="auto"/>
              <w:rPr>
                <w:rFonts w:ascii="Arial Narrow" w:hAnsi="Arial Narrow"/>
                <w:sz w:val="20"/>
              </w:rPr>
            </w:pPr>
            <w:r w:rsidRPr="00FA0EDC">
              <w:rPr>
                <w:rFonts w:ascii="Arial Narrow" w:hAnsi="Arial Narrow"/>
                <w:sz w:val="20"/>
              </w:rPr>
              <w:t>Non-HCV landlord</w:t>
            </w:r>
          </w:p>
        </w:tc>
        <w:tc>
          <w:tcPr>
            <w:tcW w:w="1152" w:type="dxa"/>
          </w:tcPr>
          <w:p w:rsidR="00C959E6" w:rsidRPr="00FA0EDC" w:rsidP="00FA0EDC" w14:paraId="4DE58BF4" w14:textId="77777777">
            <w:pPr>
              <w:spacing w:before="20" w:after="20" w:line="240" w:lineRule="auto"/>
              <w:jc w:val="center"/>
              <w:rPr>
                <w:rFonts w:ascii="Arial Narrow" w:hAnsi="Arial Narrow"/>
                <w:sz w:val="20"/>
              </w:rPr>
            </w:pPr>
            <w:r w:rsidRPr="00FA0EDC">
              <w:rPr>
                <w:rFonts w:ascii="Arial Narrow" w:hAnsi="Arial Narrow"/>
                <w:sz w:val="20"/>
              </w:rPr>
              <w:t>28</w:t>
            </w:r>
          </w:p>
        </w:tc>
        <w:tc>
          <w:tcPr>
            <w:tcW w:w="1152" w:type="dxa"/>
            <w:shd w:val="clear" w:color="auto" w:fill="auto"/>
          </w:tcPr>
          <w:p w:rsidR="00C959E6" w:rsidRPr="00FA0EDC" w:rsidP="00FA0EDC" w14:paraId="242B5802" w14:textId="4EB9302E">
            <w:pPr>
              <w:spacing w:before="20" w:after="20" w:line="240" w:lineRule="auto"/>
              <w:jc w:val="center"/>
              <w:rPr>
                <w:rFonts w:ascii="Arial Narrow" w:hAnsi="Arial Narrow"/>
                <w:sz w:val="20"/>
              </w:rPr>
            </w:pPr>
            <w:r>
              <w:rPr>
                <w:rFonts w:ascii="Arial Narrow" w:hAnsi="Arial Narrow"/>
                <w:sz w:val="20"/>
              </w:rPr>
              <w:t>7</w:t>
            </w:r>
          </w:p>
        </w:tc>
        <w:tc>
          <w:tcPr>
            <w:tcW w:w="1152" w:type="dxa"/>
            <w:shd w:val="clear" w:color="auto" w:fill="auto"/>
          </w:tcPr>
          <w:p w:rsidR="00C959E6" w:rsidRPr="00FA0EDC" w:rsidP="00FA0EDC" w14:paraId="7A36E26F" w14:textId="64B85B33">
            <w:pPr>
              <w:spacing w:before="20" w:after="20" w:line="240" w:lineRule="auto"/>
              <w:jc w:val="center"/>
              <w:rPr>
                <w:rFonts w:ascii="Arial Narrow" w:hAnsi="Arial Narrow"/>
                <w:sz w:val="20"/>
              </w:rPr>
            </w:pPr>
            <w:r>
              <w:rPr>
                <w:rFonts w:ascii="Arial Narrow" w:hAnsi="Arial Narrow"/>
                <w:sz w:val="20"/>
              </w:rPr>
              <w:t>25%</w:t>
            </w:r>
          </w:p>
        </w:tc>
        <w:tc>
          <w:tcPr>
            <w:tcW w:w="1152" w:type="dxa"/>
            <w:shd w:val="clear" w:color="auto" w:fill="auto"/>
          </w:tcPr>
          <w:p w:rsidR="00C959E6" w:rsidRPr="00FA0EDC" w:rsidP="00FA0EDC" w14:paraId="2699B184" w14:textId="77777777">
            <w:pPr>
              <w:spacing w:before="20" w:after="20" w:line="240" w:lineRule="auto"/>
              <w:jc w:val="center"/>
              <w:rPr>
                <w:rFonts w:ascii="Arial Narrow" w:hAnsi="Arial Narrow" w:cs="Arial"/>
                <w:sz w:val="20"/>
              </w:rPr>
            </w:pPr>
            <w:r w:rsidRPr="00FA0EDC">
              <w:rPr>
                <w:rFonts w:ascii="Arial Narrow" w:hAnsi="Arial Narrow" w:cs="Arial"/>
                <w:sz w:val="20"/>
              </w:rPr>
              <w:t>28</w:t>
            </w:r>
          </w:p>
        </w:tc>
        <w:tc>
          <w:tcPr>
            <w:tcW w:w="1152" w:type="dxa"/>
            <w:shd w:val="clear" w:color="auto" w:fill="auto"/>
          </w:tcPr>
          <w:p w:rsidR="00C959E6" w:rsidRPr="00FA0EDC" w:rsidP="00FA0EDC" w14:paraId="2D6B5DE3" w14:textId="1AA9F8A0">
            <w:pPr>
              <w:spacing w:before="20" w:after="20" w:line="240" w:lineRule="auto"/>
              <w:jc w:val="center"/>
              <w:rPr>
                <w:rFonts w:ascii="Arial Narrow" w:hAnsi="Arial Narrow"/>
                <w:sz w:val="20"/>
              </w:rPr>
            </w:pPr>
            <w:r>
              <w:rPr>
                <w:rFonts w:ascii="Arial Narrow" w:hAnsi="Arial Narrow"/>
                <w:sz w:val="20"/>
              </w:rPr>
              <w:t>7</w:t>
            </w:r>
          </w:p>
        </w:tc>
        <w:tc>
          <w:tcPr>
            <w:tcW w:w="1152" w:type="dxa"/>
            <w:shd w:val="clear" w:color="auto" w:fill="auto"/>
          </w:tcPr>
          <w:p w:rsidR="00C959E6" w:rsidRPr="00FA0EDC" w:rsidP="00FA0EDC" w14:paraId="713BCBB9" w14:textId="3C4DA37E">
            <w:pPr>
              <w:spacing w:before="20" w:after="20" w:line="240" w:lineRule="auto"/>
              <w:jc w:val="center"/>
              <w:rPr>
                <w:rFonts w:ascii="Arial Narrow" w:hAnsi="Arial Narrow"/>
                <w:sz w:val="20"/>
              </w:rPr>
            </w:pPr>
            <w:r>
              <w:rPr>
                <w:rFonts w:ascii="Arial Narrow" w:hAnsi="Arial Narrow"/>
                <w:sz w:val="20"/>
              </w:rPr>
              <w:t>25%</w:t>
            </w:r>
          </w:p>
        </w:tc>
      </w:tr>
      <w:tr w14:paraId="632FCEDB" w14:textId="77777777" w:rsidTr="00FD100B">
        <w:tblPrEx>
          <w:tblW w:w="8797" w:type="dxa"/>
          <w:tblLayout w:type="fixed"/>
          <w:tblCellMar>
            <w:left w:w="43" w:type="dxa"/>
            <w:right w:w="43" w:type="dxa"/>
          </w:tblCellMar>
          <w:tblLook w:val="04A0"/>
        </w:tblPrEx>
        <w:tc>
          <w:tcPr>
            <w:tcW w:w="1885" w:type="dxa"/>
          </w:tcPr>
          <w:p w:rsidR="00C959E6" w:rsidRPr="00FA0EDC" w:rsidP="00FA0EDC" w14:paraId="04EA5495" w14:textId="77777777">
            <w:pPr>
              <w:spacing w:before="20" w:after="20" w:line="240" w:lineRule="auto"/>
              <w:jc w:val="right"/>
              <w:rPr>
                <w:rFonts w:ascii="Arial Narrow" w:hAnsi="Arial Narrow"/>
                <w:b/>
                <w:bCs/>
                <w:sz w:val="20"/>
              </w:rPr>
            </w:pPr>
            <w:r w:rsidRPr="00FA0EDC">
              <w:rPr>
                <w:rFonts w:ascii="Arial Narrow" w:hAnsi="Arial Narrow"/>
                <w:b/>
                <w:bCs/>
                <w:sz w:val="20"/>
              </w:rPr>
              <w:t>Total</w:t>
            </w:r>
          </w:p>
        </w:tc>
        <w:tc>
          <w:tcPr>
            <w:tcW w:w="1152" w:type="dxa"/>
          </w:tcPr>
          <w:p w:rsidR="00C959E6" w:rsidRPr="00FA0EDC" w:rsidP="00FA0EDC" w14:paraId="2CBB9E6A" w14:textId="77777777">
            <w:pPr>
              <w:spacing w:before="20" w:after="20" w:line="240" w:lineRule="auto"/>
              <w:jc w:val="center"/>
              <w:rPr>
                <w:rFonts w:ascii="Arial Narrow" w:hAnsi="Arial Narrow"/>
                <w:b/>
                <w:bCs/>
                <w:sz w:val="20"/>
              </w:rPr>
            </w:pPr>
            <w:r w:rsidRPr="00FA0EDC">
              <w:rPr>
                <w:rFonts w:ascii="Arial Narrow" w:hAnsi="Arial Narrow"/>
                <w:b/>
                <w:bCs/>
                <w:sz w:val="20"/>
              </w:rPr>
              <w:t>80</w:t>
            </w:r>
          </w:p>
        </w:tc>
        <w:tc>
          <w:tcPr>
            <w:tcW w:w="1152" w:type="dxa"/>
            <w:shd w:val="clear" w:color="auto" w:fill="auto"/>
          </w:tcPr>
          <w:p w:rsidR="00C959E6" w:rsidRPr="00FA0EDC" w:rsidP="00FA0EDC" w14:paraId="20A18E0D" w14:textId="35A69C6C">
            <w:pPr>
              <w:spacing w:before="20" w:after="20" w:line="240" w:lineRule="auto"/>
              <w:jc w:val="center"/>
              <w:rPr>
                <w:rFonts w:ascii="Arial Narrow" w:hAnsi="Arial Narrow"/>
                <w:b/>
                <w:bCs/>
                <w:sz w:val="20"/>
              </w:rPr>
            </w:pPr>
            <w:r>
              <w:rPr>
                <w:rFonts w:ascii="Arial Narrow" w:hAnsi="Arial Narrow"/>
                <w:b/>
                <w:bCs/>
                <w:sz w:val="20"/>
              </w:rPr>
              <w:t>20</w:t>
            </w:r>
          </w:p>
        </w:tc>
        <w:tc>
          <w:tcPr>
            <w:tcW w:w="1152" w:type="dxa"/>
            <w:shd w:val="clear" w:color="auto" w:fill="auto"/>
          </w:tcPr>
          <w:p w:rsidR="00C959E6" w:rsidRPr="00FA0EDC" w:rsidP="00FA0EDC" w14:paraId="34B90A85" w14:textId="69BAA37D">
            <w:pPr>
              <w:spacing w:before="20" w:after="20" w:line="240" w:lineRule="auto"/>
              <w:jc w:val="center"/>
              <w:rPr>
                <w:rFonts w:ascii="Arial Narrow" w:hAnsi="Arial Narrow"/>
                <w:b/>
                <w:bCs/>
                <w:sz w:val="20"/>
              </w:rPr>
            </w:pPr>
            <w:r>
              <w:rPr>
                <w:rFonts w:ascii="Arial Narrow" w:hAnsi="Arial Narrow"/>
                <w:sz w:val="20"/>
              </w:rPr>
              <w:t>25%</w:t>
            </w:r>
          </w:p>
        </w:tc>
        <w:tc>
          <w:tcPr>
            <w:tcW w:w="1152" w:type="dxa"/>
            <w:shd w:val="clear" w:color="auto" w:fill="auto"/>
          </w:tcPr>
          <w:p w:rsidR="00C959E6" w:rsidRPr="00FA0EDC" w:rsidP="00FA0EDC" w14:paraId="39D56B21" w14:textId="77777777">
            <w:pPr>
              <w:spacing w:before="20" w:after="20" w:line="240" w:lineRule="auto"/>
              <w:jc w:val="center"/>
              <w:rPr>
                <w:rFonts w:ascii="Arial Narrow" w:hAnsi="Arial Narrow" w:cs="Arial"/>
                <w:b/>
                <w:bCs/>
                <w:sz w:val="20"/>
              </w:rPr>
            </w:pPr>
            <w:r w:rsidRPr="00FA0EDC">
              <w:rPr>
                <w:rFonts w:ascii="Arial Narrow" w:hAnsi="Arial Narrow" w:cs="Arial"/>
                <w:b/>
                <w:bCs/>
                <w:sz w:val="20"/>
              </w:rPr>
              <w:t>80</w:t>
            </w:r>
          </w:p>
        </w:tc>
        <w:tc>
          <w:tcPr>
            <w:tcW w:w="1152" w:type="dxa"/>
            <w:shd w:val="clear" w:color="auto" w:fill="auto"/>
          </w:tcPr>
          <w:p w:rsidR="00C959E6" w:rsidRPr="00FA0EDC" w:rsidP="00FA0EDC" w14:paraId="0C120A58" w14:textId="5BD60072">
            <w:pPr>
              <w:spacing w:before="20" w:after="20" w:line="240" w:lineRule="auto"/>
              <w:jc w:val="center"/>
              <w:rPr>
                <w:rFonts w:ascii="Arial Narrow" w:hAnsi="Arial Narrow"/>
                <w:b/>
                <w:bCs/>
                <w:sz w:val="20"/>
              </w:rPr>
            </w:pPr>
            <w:r>
              <w:rPr>
                <w:rFonts w:ascii="Arial Narrow" w:hAnsi="Arial Narrow"/>
                <w:b/>
                <w:bCs/>
                <w:sz w:val="20"/>
              </w:rPr>
              <w:t>20</w:t>
            </w:r>
          </w:p>
        </w:tc>
        <w:tc>
          <w:tcPr>
            <w:tcW w:w="1152" w:type="dxa"/>
            <w:shd w:val="clear" w:color="auto" w:fill="auto"/>
          </w:tcPr>
          <w:p w:rsidR="00C959E6" w:rsidRPr="00FA0EDC" w:rsidP="00FA0EDC" w14:paraId="4B7BB085" w14:textId="11FC1BE3">
            <w:pPr>
              <w:spacing w:before="20" w:after="20" w:line="240" w:lineRule="auto"/>
              <w:jc w:val="center"/>
              <w:rPr>
                <w:rFonts w:ascii="Arial Narrow" w:hAnsi="Arial Narrow"/>
                <w:b/>
                <w:bCs/>
                <w:sz w:val="20"/>
              </w:rPr>
            </w:pPr>
            <w:r>
              <w:rPr>
                <w:rFonts w:ascii="Arial Narrow" w:hAnsi="Arial Narrow"/>
                <w:sz w:val="20"/>
              </w:rPr>
              <w:t>25%</w:t>
            </w:r>
          </w:p>
        </w:tc>
      </w:tr>
    </w:tbl>
    <w:p w:rsidR="00FA0EDC" w:rsidRPr="00FA0EDC" w:rsidP="00FA0EDC" w14:paraId="3C1FA105" w14:textId="77777777">
      <w:pPr>
        <w:spacing w:after="0" w:line="240" w:lineRule="auto"/>
        <w:rPr>
          <w:sz w:val="24"/>
          <w:lang w:val="en"/>
        </w:rPr>
      </w:pPr>
    </w:p>
    <w:p w:rsidR="00FA0EDC" w:rsidRPr="00C959E6" w:rsidP="00C959E6" w14:paraId="24710127" w14:textId="42747ADB">
      <w:pPr>
        <w:pStyle w:val="Caption"/>
      </w:pPr>
      <w:bookmarkStart w:id="4" w:name="_Toc106869128"/>
      <w:r w:rsidRPr="00C959E6">
        <w:t xml:space="preserve">Exhibit </w:t>
      </w:r>
      <w:r w:rsidR="00C959E6">
        <w:t>6</w:t>
      </w:r>
      <w:r w:rsidRPr="00C959E6">
        <w:t>: Sampling Frame for TIA Interviews with Various Types of Landlords in Comparison PHAs</w:t>
      </w:r>
      <w:bookmarkEnd w:id="4"/>
    </w:p>
    <w:tbl>
      <w:tblPr>
        <w:tblStyle w:val="TableGrid"/>
        <w:tblW w:w="8812" w:type="dxa"/>
        <w:tblLook w:val="04A0"/>
      </w:tblPr>
      <w:tblGrid>
        <w:gridCol w:w="1858"/>
        <w:gridCol w:w="2318"/>
        <w:gridCol w:w="2318"/>
        <w:gridCol w:w="2318"/>
      </w:tblGrid>
      <w:tr w14:paraId="400002B0" w14:textId="77777777" w:rsidTr="00CAEA7B">
        <w:tblPrEx>
          <w:tblW w:w="8812" w:type="dxa"/>
          <w:tblLook w:val="04A0"/>
        </w:tblPrEx>
        <w:trPr>
          <w:tblHeader/>
        </w:trPr>
        <w:tc>
          <w:tcPr>
            <w:tcW w:w="1858" w:type="dxa"/>
            <w:vMerge w:val="restart"/>
            <w:shd w:val="clear" w:color="auto" w:fill="DA291C" w:themeFill="accent1"/>
            <w:vAlign w:val="bottom"/>
          </w:tcPr>
          <w:p w:rsidR="00FA0EDC" w:rsidRPr="00FA0EDC" w:rsidP="00AD227D" w14:paraId="1E4601D2" w14:textId="77777777">
            <w:pPr>
              <w:keepNext/>
              <w:keepLines/>
              <w:spacing w:before="20" w:after="20" w:line="240" w:lineRule="auto"/>
              <w:rPr>
                <w:rFonts w:ascii="Arial Narrow" w:hAnsi="Arial Narrow"/>
                <w:b/>
                <w:color w:val="FFFFFF"/>
                <w:sz w:val="20"/>
              </w:rPr>
            </w:pPr>
            <w:r w:rsidRPr="00FA0EDC">
              <w:rPr>
                <w:rFonts w:ascii="Arial Narrow" w:hAnsi="Arial Narrow"/>
                <w:b/>
                <w:color w:val="FFFFFF"/>
                <w:sz w:val="20"/>
              </w:rPr>
              <w:t>Type of Landlord</w:t>
            </w:r>
          </w:p>
        </w:tc>
        <w:tc>
          <w:tcPr>
            <w:tcW w:w="6954" w:type="dxa"/>
            <w:gridSpan w:val="3"/>
            <w:shd w:val="clear" w:color="auto" w:fill="DA291C" w:themeFill="accent1"/>
          </w:tcPr>
          <w:p w:rsidR="00FA0EDC" w:rsidRPr="00FA0EDC" w:rsidP="00FD100B" w14:paraId="7EC0A828" w14:textId="77777777">
            <w:pPr>
              <w:keepNext/>
              <w:keepLines/>
              <w:spacing w:before="20" w:after="20" w:line="240" w:lineRule="auto"/>
              <w:rPr>
                <w:rFonts w:ascii="Arial Narrow" w:hAnsi="Arial Narrow"/>
                <w:b/>
                <w:color w:val="FFFFFF"/>
                <w:sz w:val="20"/>
              </w:rPr>
            </w:pPr>
            <w:r w:rsidRPr="00FA0EDC">
              <w:rPr>
                <w:rFonts w:ascii="Arial Narrow" w:hAnsi="Arial Narrow"/>
                <w:b/>
                <w:color w:val="FFFFFF"/>
                <w:sz w:val="20"/>
              </w:rPr>
              <w:t>TIA Interviews per PHA (</w:t>
            </w:r>
            <w:r w:rsidRPr="00FA0EDC">
              <w:rPr>
                <w:rFonts w:ascii="Arial Narrow" w:hAnsi="Arial Narrow"/>
                <w:b/>
                <w:i/>
                <w:iCs/>
                <w:color w:val="FFFFFF"/>
                <w:sz w:val="20"/>
              </w:rPr>
              <w:t>n</w:t>
            </w:r>
            <w:r w:rsidRPr="00FA0EDC">
              <w:rPr>
                <w:rFonts w:ascii="Arial Narrow" w:hAnsi="Arial Narrow"/>
                <w:b/>
                <w:color w:val="FFFFFF"/>
                <w:sz w:val="20"/>
              </w:rPr>
              <w:t>=20)</w:t>
            </w:r>
          </w:p>
        </w:tc>
      </w:tr>
      <w:tr w14:paraId="55EE5475" w14:textId="77777777" w:rsidTr="00CAEA7B">
        <w:tblPrEx>
          <w:tblW w:w="8812" w:type="dxa"/>
          <w:tblLook w:val="04A0"/>
        </w:tblPrEx>
        <w:trPr>
          <w:tblHeader/>
        </w:trPr>
        <w:tc>
          <w:tcPr>
            <w:tcW w:w="1858" w:type="dxa"/>
            <w:vMerge/>
          </w:tcPr>
          <w:p w:rsidR="00FD100B" w:rsidRPr="00FA0EDC" w:rsidP="008E78B2" w14:paraId="5B73F307" w14:textId="77777777">
            <w:pPr>
              <w:keepNext/>
              <w:keepLines/>
              <w:numPr>
                <w:ilvl w:val="0"/>
                <w:numId w:val="1"/>
              </w:numPr>
              <w:tabs>
                <w:tab w:val="clear" w:pos="720"/>
              </w:tabs>
              <w:spacing w:before="20" w:after="20" w:line="240" w:lineRule="auto"/>
              <w:ind w:left="0" w:firstLine="0"/>
              <w:jc w:val="center"/>
              <w:rPr>
                <w:rFonts w:ascii="Arial Narrow" w:hAnsi="Arial Narrow"/>
                <w:b/>
                <w:color w:val="FFFFFF"/>
                <w:sz w:val="20"/>
              </w:rPr>
            </w:pPr>
          </w:p>
        </w:tc>
        <w:tc>
          <w:tcPr>
            <w:tcW w:w="2318" w:type="dxa"/>
            <w:shd w:val="clear" w:color="auto" w:fill="F8D3D0" w:themeFill="accent1" w:themeFillTint="33"/>
          </w:tcPr>
          <w:p w:rsidR="00FD100B" w:rsidRPr="00FA0EDC" w:rsidP="00FA0EDC" w14:paraId="0A3F2C43" w14:textId="77777777">
            <w:pPr>
              <w:keepNext/>
              <w:keepLines/>
              <w:spacing w:before="20" w:after="20" w:line="240" w:lineRule="auto"/>
              <w:jc w:val="center"/>
              <w:rPr>
                <w:rFonts w:ascii="Arial Narrow" w:hAnsi="Arial Narrow"/>
                <w:b/>
                <w:sz w:val="20"/>
              </w:rPr>
            </w:pPr>
            <w:r w:rsidRPr="00FA0EDC">
              <w:rPr>
                <w:rFonts w:ascii="Arial Narrow" w:hAnsi="Arial Narrow"/>
                <w:b/>
                <w:sz w:val="20"/>
              </w:rPr>
              <w:t>Recruitment</w:t>
            </w:r>
          </w:p>
        </w:tc>
        <w:tc>
          <w:tcPr>
            <w:tcW w:w="2318" w:type="dxa"/>
            <w:shd w:val="clear" w:color="auto" w:fill="F8D3D0" w:themeFill="accent1" w:themeFillTint="33"/>
          </w:tcPr>
          <w:p w:rsidR="00FD100B" w:rsidRPr="005E4C4E" w:rsidP="005E4C4E" w14:paraId="6C6ABEE7" w14:textId="2770EC3A">
            <w:pPr>
              <w:keepNext/>
              <w:keepLines/>
              <w:spacing w:before="20" w:after="20" w:line="240" w:lineRule="auto"/>
              <w:jc w:val="center"/>
              <w:rPr>
                <w:rFonts w:ascii="Arial Narrow" w:hAnsi="Arial Narrow"/>
                <w:b/>
                <w:sz w:val="20"/>
              </w:rPr>
            </w:pPr>
            <w:r w:rsidRPr="00FA0EDC">
              <w:rPr>
                <w:rFonts w:ascii="Arial Narrow" w:hAnsi="Arial Narrow"/>
                <w:b/>
                <w:sz w:val="20"/>
              </w:rPr>
              <w:t>Interviews</w:t>
            </w:r>
          </w:p>
        </w:tc>
        <w:tc>
          <w:tcPr>
            <w:tcW w:w="2318" w:type="dxa"/>
            <w:shd w:val="clear" w:color="auto" w:fill="F8D3D0" w:themeFill="accent1" w:themeFillTint="33"/>
          </w:tcPr>
          <w:p w:rsidR="00FD100B" w:rsidRPr="00FA0EDC" w:rsidP="00FA0EDC" w14:paraId="3491BC37" w14:textId="6D6D27CA">
            <w:pPr>
              <w:spacing w:before="20" w:after="20" w:line="240" w:lineRule="auto"/>
              <w:jc w:val="center"/>
              <w:rPr>
                <w:rFonts w:ascii="Arial Narrow" w:hAnsi="Arial Narrow"/>
                <w:b/>
                <w:sz w:val="20"/>
              </w:rPr>
            </w:pPr>
            <w:r w:rsidRPr="005E4C4E">
              <w:rPr>
                <w:rFonts w:ascii="Arial Narrow" w:hAnsi="Arial Narrow"/>
                <w:b/>
                <w:bCs/>
                <w:sz w:val="20"/>
              </w:rPr>
              <w:t>Response Rate</w:t>
            </w:r>
          </w:p>
        </w:tc>
      </w:tr>
      <w:tr w14:paraId="7690D47F" w14:textId="77777777" w:rsidTr="00CAEA7B">
        <w:tblPrEx>
          <w:tblW w:w="8812" w:type="dxa"/>
          <w:tblLook w:val="04A0"/>
        </w:tblPrEx>
        <w:trPr>
          <w:trHeight w:val="58"/>
        </w:trPr>
        <w:tc>
          <w:tcPr>
            <w:tcW w:w="1858" w:type="dxa"/>
          </w:tcPr>
          <w:p w:rsidR="00FD100B" w:rsidRPr="00FA0EDC" w:rsidP="00FA0EDC" w14:paraId="332AFB79" w14:textId="77777777">
            <w:pPr>
              <w:spacing w:before="20" w:after="20" w:line="240" w:lineRule="auto"/>
              <w:rPr>
                <w:rFonts w:ascii="Arial Narrow" w:hAnsi="Arial Narrow"/>
                <w:sz w:val="20"/>
              </w:rPr>
            </w:pPr>
            <w:r w:rsidRPr="00FA0EDC">
              <w:rPr>
                <w:rFonts w:ascii="Arial Narrow" w:hAnsi="Arial Narrow"/>
                <w:sz w:val="20"/>
              </w:rPr>
              <w:t>HCV landlord</w:t>
            </w:r>
          </w:p>
        </w:tc>
        <w:tc>
          <w:tcPr>
            <w:tcW w:w="2318" w:type="dxa"/>
          </w:tcPr>
          <w:p w:rsidR="00FD100B" w:rsidRPr="00FA0EDC" w:rsidP="00FA0EDC" w14:paraId="12FE2B2C" w14:textId="77777777">
            <w:pPr>
              <w:spacing w:before="20" w:after="20" w:line="240" w:lineRule="auto"/>
              <w:jc w:val="center"/>
              <w:rPr>
                <w:rFonts w:ascii="Arial Narrow" w:hAnsi="Arial Narrow"/>
                <w:sz w:val="20"/>
                <w:szCs w:val="24"/>
              </w:rPr>
            </w:pPr>
            <w:r w:rsidRPr="00FA0EDC">
              <w:rPr>
                <w:rFonts w:ascii="Arial Narrow" w:hAnsi="Arial Narrow"/>
                <w:sz w:val="20"/>
              </w:rPr>
              <w:t>40</w:t>
            </w:r>
          </w:p>
        </w:tc>
        <w:tc>
          <w:tcPr>
            <w:tcW w:w="2318" w:type="dxa"/>
            <w:shd w:val="clear" w:color="auto" w:fill="auto"/>
          </w:tcPr>
          <w:p w:rsidR="00FD100B" w:rsidRPr="00FA0EDC" w:rsidP="00FA0EDC" w14:paraId="44ABA8C5" w14:textId="09B2A061">
            <w:pPr>
              <w:spacing w:before="20" w:after="20" w:line="240" w:lineRule="auto"/>
              <w:jc w:val="center"/>
              <w:rPr>
                <w:rFonts w:ascii="Arial Narrow" w:hAnsi="Arial Narrow"/>
                <w:sz w:val="20"/>
              </w:rPr>
            </w:pPr>
            <w:r>
              <w:rPr>
                <w:rFonts w:ascii="Arial Narrow" w:hAnsi="Arial Narrow"/>
                <w:sz w:val="20"/>
              </w:rPr>
              <w:t>10</w:t>
            </w:r>
          </w:p>
        </w:tc>
        <w:tc>
          <w:tcPr>
            <w:tcW w:w="2318" w:type="dxa"/>
            <w:shd w:val="clear" w:color="auto" w:fill="auto"/>
          </w:tcPr>
          <w:p w:rsidR="00FD100B" w:rsidRPr="00FA0EDC" w:rsidP="00FA0EDC" w14:paraId="3BCB0523" w14:textId="147C2BD0">
            <w:pPr>
              <w:spacing w:before="20" w:after="20" w:line="240" w:lineRule="auto"/>
              <w:jc w:val="center"/>
              <w:rPr>
                <w:rFonts w:ascii="Arial Narrow" w:hAnsi="Arial Narrow"/>
                <w:sz w:val="20"/>
              </w:rPr>
            </w:pPr>
            <w:r>
              <w:rPr>
                <w:rFonts w:ascii="Arial Narrow" w:hAnsi="Arial Narrow"/>
                <w:sz w:val="20"/>
              </w:rPr>
              <w:t>25%</w:t>
            </w:r>
          </w:p>
        </w:tc>
      </w:tr>
      <w:tr w14:paraId="2B1520D5" w14:textId="77777777" w:rsidTr="00CAEA7B">
        <w:tblPrEx>
          <w:tblW w:w="8812" w:type="dxa"/>
          <w:tblLook w:val="04A0"/>
        </w:tblPrEx>
        <w:tc>
          <w:tcPr>
            <w:tcW w:w="1858" w:type="dxa"/>
          </w:tcPr>
          <w:p w:rsidR="00FD100B" w:rsidRPr="00FA0EDC" w:rsidP="00FA0EDC" w14:paraId="2D35029A" w14:textId="77777777">
            <w:pPr>
              <w:spacing w:before="20" w:after="20" w:line="240" w:lineRule="auto"/>
              <w:rPr>
                <w:rFonts w:ascii="Arial Narrow" w:hAnsi="Arial Narrow"/>
                <w:sz w:val="20"/>
              </w:rPr>
            </w:pPr>
            <w:r w:rsidRPr="00FA0EDC">
              <w:rPr>
                <w:rFonts w:ascii="Arial Narrow" w:hAnsi="Arial Narrow"/>
                <w:sz w:val="20"/>
              </w:rPr>
              <w:t>Non-HCV landlord</w:t>
            </w:r>
          </w:p>
        </w:tc>
        <w:tc>
          <w:tcPr>
            <w:tcW w:w="2318" w:type="dxa"/>
          </w:tcPr>
          <w:p w:rsidR="00FD100B" w:rsidRPr="00FA0EDC" w:rsidP="00FA0EDC" w14:paraId="65B1882A" w14:textId="77777777">
            <w:pPr>
              <w:spacing w:before="20" w:after="20" w:line="240" w:lineRule="auto"/>
              <w:jc w:val="center"/>
              <w:rPr>
                <w:rFonts w:ascii="Arial Narrow" w:hAnsi="Arial Narrow"/>
                <w:sz w:val="20"/>
                <w:szCs w:val="24"/>
              </w:rPr>
            </w:pPr>
            <w:r w:rsidRPr="00FA0EDC">
              <w:rPr>
                <w:rFonts w:ascii="Arial Narrow" w:hAnsi="Arial Narrow"/>
                <w:sz w:val="20"/>
              </w:rPr>
              <w:t>40</w:t>
            </w:r>
          </w:p>
        </w:tc>
        <w:tc>
          <w:tcPr>
            <w:tcW w:w="2318" w:type="dxa"/>
            <w:shd w:val="clear" w:color="auto" w:fill="auto"/>
          </w:tcPr>
          <w:p w:rsidR="00FD100B" w:rsidRPr="00FA0EDC" w:rsidP="00FA0EDC" w14:paraId="433D73D7" w14:textId="547C77D2">
            <w:pPr>
              <w:spacing w:before="20" w:after="20" w:line="240" w:lineRule="auto"/>
              <w:jc w:val="center"/>
              <w:rPr>
                <w:rFonts w:ascii="Arial Narrow" w:hAnsi="Arial Narrow"/>
                <w:sz w:val="20"/>
              </w:rPr>
            </w:pPr>
            <w:r>
              <w:rPr>
                <w:rFonts w:ascii="Arial Narrow" w:hAnsi="Arial Narrow"/>
                <w:sz w:val="20"/>
              </w:rPr>
              <w:t>10</w:t>
            </w:r>
          </w:p>
        </w:tc>
        <w:tc>
          <w:tcPr>
            <w:tcW w:w="2318" w:type="dxa"/>
            <w:shd w:val="clear" w:color="auto" w:fill="auto"/>
          </w:tcPr>
          <w:p w:rsidR="00FD100B" w:rsidRPr="00FA0EDC" w:rsidP="00FA0EDC" w14:paraId="66C19244" w14:textId="4D200571">
            <w:pPr>
              <w:spacing w:before="20" w:after="20" w:line="240" w:lineRule="auto"/>
              <w:jc w:val="center"/>
              <w:rPr>
                <w:rFonts w:ascii="Arial Narrow" w:hAnsi="Arial Narrow"/>
                <w:sz w:val="20"/>
              </w:rPr>
            </w:pPr>
            <w:r>
              <w:rPr>
                <w:rFonts w:ascii="Arial Narrow" w:hAnsi="Arial Narrow"/>
                <w:sz w:val="20"/>
              </w:rPr>
              <w:t>25%</w:t>
            </w:r>
          </w:p>
        </w:tc>
      </w:tr>
      <w:tr w14:paraId="65B7F9B1" w14:textId="77777777" w:rsidTr="00CAEA7B">
        <w:tblPrEx>
          <w:tblW w:w="8812" w:type="dxa"/>
          <w:tblLook w:val="04A0"/>
        </w:tblPrEx>
        <w:tc>
          <w:tcPr>
            <w:tcW w:w="1858" w:type="dxa"/>
          </w:tcPr>
          <w:p w:rsidR="00FD100B" w:rsidRPr="00FA0EDC" w:rsidP="00FA0EDC" w14:paraId="649954F5" w14:textId="77777777">
            <w:pPr>
              <w:spacing w:before="20" w:after="20" w:line="240" w:lineRule="auto"/>
              <w:jc w:val="right"/>
              <w:rPr>
                <w:rFonts w:ascii="Arial Narrow" w:hAnsi="Arial Narrow"/>
                <w:b/>
                <w:bCs/>
                <w:sz w:val="20"/>
              </w:rPr>
            </w:pPr>
            <w:r w:rsidRPr="00FA0EDC">
              <w:rPr>
                <w:rFonts w:ascii="Arial Narrow" w:hAnsi="Arial Narrow"/>
                <w:b/>
                <w:bCs/>
                <w:sz w:val="20"/>
              </w:rPr>
              <w:t>Total</w:t>
            </w:r>
          </w:p>
        </w:tc>
        <w:tc>
          <w:tcPr>
            <w:tcW w:w="2318" w:type="dxa"/>
          </w:tcPr>
          <w:p w:rsidR="00FD100B" w:rsidRPr="00FA0EDC" w:rsidP="00FA0EDC" w14:paraId="695D2314" w14:textId="77777777">
            <w:pPr>
              <w:spacing w:before="20" w:after="20" w:line="240" w:lineRule="auto"/>
              <w:jc w:val="center"/>
              <w:rPr>
                <w:rFonts w:ascii="Arial Narrow" w:hAnsi="Arial Narrow"/>
                <w:b/>
                <w:bCs/>
                <w:sz w:val="20"/>
              </w:rPr>
            </w:pPr>
            <w:r w:rsidRPr="00FA0EDC">
              <w:rPr>
                <w:rFonts w:ascii="Arial Narrow" w:hAnsi="Arial Narrow"/>
                <w:b/>
                <w:bCs/>
                <w:sz w:val="20"/>
              </w:rPr>
              <w:t>80</w:t>
            </w:r>
          </w:p>
        </w:tc>
        <w:tc>
          <w:tcPr>
            <w:tcW w:w="2318" w:type="dxa"/>
            <w:shd w:val="clear" w:color="auto" w:fill="auto"/>
          </w:tcPr>
          <w:p w:rsidR="00FD100B" w:rsidRPr="00FA0EDC" w:rsidP="00FA0EDC" w14:paraId="66FA38C8" w14:textId="0F9E8BAA">
            <w:pPr>
              <w:spacing w:before="20" w:after="20" w:line="240" w:lineRule="auto"/>
              <w:jc w:val="center"/>
              <w:rPr>
                <w:rFonts w:ascii="Arial Narrow" w:hAnsi="Arial Narrow"/>
                <w:b/>
                <w:bCs/>
                <w:sz w:val="20"/>
              </w:rPr>
            </w:pPr>
            <w:r>
              <w:rPr>
                <w:rFonts w:ascii="Arial Narrow" w:hAnsi="Arial Narrow"/>
                <w:b/>
                <w:bCs/>
                <w:sz w:val="20"/>
              </w:rPr>
              <w:t>20</w:t>
            </w:r>
          </w:p>
        </w:tc>
        <w:tc>
          <w:tcPr>
            <w:tcW w:w="2318" w:type="dxa"/>
            <w:shd w:val="clear" w:color="auto" w:fill="auto"/>
          </w:tcPr>
          <w:p w:rsidR="00FD100B" w:rsidRPr="00FA0EDC" w:rsidP="00FA0EDC" w14:paraId="35179B92" w14:textId="5B63624E">
            <w:pPr>
              <w:spacing w:before="20" w:after="20" w:line="240" w:lineRule="auto"/>
              <w:jc w:val="center"/>
              <w:rPr>
                <w:rFonts w:ascii="Arial Narrow" w:hAnsi="Arial Narrow"/>
                <w:b/>
                <w:bCs/>
                <w:sz w:val="20"/>
              </w:rPr>
            </w:pPr>
            <w:r>
              <w:rPr>
                <w:rFonts w:ascii="Arial Narrow" w:hAnsi="Arial Narrow"/>
                <w:b/>
                <w:bCs/>
                <w:sz w:val="20"/>
              </w:rPr>
              <w:t>25%</w:t>
            </w:r>
          </w:p>
        </w:tc>
      </w:tr>
    </w:tbl>
    <w:p w:rsidR="00CAEA7B" w:rsidP="00CAEA7B" w14:paraId="36391CB7" w14:textId="5103E22B">
      <w:pPr>
        <w:pStyle w:val="BodyText"/>
        <w:spacing w:after="80"/>
      </w:pPr>
    </w:p>
    <w:p w:rsidR="00822616" w:rsidRPr="001F76ED" w:rsidP="001F76ED" w14:paraId="0379D0F6" w14:textId="47EC2CF6">
      <w:pPr>
        <w:pStyle w:val="BodyText"/>
      </w:pPr>
      <w:r>
        <w:t xml:space="preserve">In addition to sampling based on landlord relationship to the HCV program, we will also examine the geographical distribution of properties where relevant. </w:t>
      </w:r>
      <w:r w:rsidR="15E5646B">
        <w:t>W</w:t>
      </w:r>
      <w:r>
        <w:t xml:space="preserve">e will look at the baseline geographical distribution of voucher properties or any program goals of increasing landlord participation in under-represented neighborhoods within the voucher program. We will also examine the proportions of landlords of different types and sizes—corporate large landlords or small individual owners—within a PHA service area </w:t>
      </w:r>
      <w:r>
        <w:t>in order to</w:t>
      </w:r>
      <w:r>
        <w:t xml:space="preserve"> ensure a range of landlord sizes. </w:t>
      </w:r>
      <w:r w:rsidR="235CEF97">
        <w:t xml:space="preserve">Random sampling within </w:t>
      </w:r>
      <w:r w:rsidR="6172233B">
        <w:t>these secondary</w:t>
      </w:r>
      <w:r w:rsidR="2B9193C7">
        <w:t xml:space="preserve"> </w:t>
      </w:r>
      <w:r>
        <w:t xml:space="preserve">categories will be to ensure that, as best we can, we </w:t>
      </w:r>
      <w:r w:rsidR="00DC0B68">
        <w:t>have a r</w:t>
      </w:r>
      <w:r w:rsidR="00967C03">
        <w:t xml:space="preserve">epresentative sample of </w:t>
      </w:r>
      <w:r>
        <w:t>landlord</w:t>
      </w:r>
      <w:r w:rsidR="00967C03">
        <w:t>s</w:t>
      </w:r>
      <w:r>
        <w:t xml:space="preserve"> in our interviews.</w:t>
      </w:r>
    </w:p>
    <w:p w:rsidR="00E339B3" w:rsidRPr="004F1FB4" w:rsidP="00E339B3" w14:paraId="10123C17" w14:textId="77777777">
      <w:pPr>
        <w:pStyle w:val="Heading2"/>
      </w:pPr>
      <w:bookmarkStart w:id="5" w:name="_Toc322083616"/>
      <w:bookmarkStart w:id="6" w:name="_Toc115355432"/>
      <w:r w:rsidRPr="004F1FB4">
        <w:t>B.2</w:t>
      </w:r>
      <w:r w:rsidR="001D0620">
        <w:t>:</w:t>
      </w:r>
      <w:r>
        <w:t xml:space="preserve"> </w:t>
      </w:r>
      <w:r w:rsidRPr="004F1FB4">
        <w:t>Procedures for Collection of Information</w:t>
      </w:r>
      <w:bookmarkEnd w:id="5"/>
      <w:bookmarkEnd w:id="6"/>
    </w:p>
    <w:p w:rsidR="00E339B3" w:rsidP="00236B01" w14:paraId="10123C18" w14:textId="77777777">
      <w:pPr>
        <w:pStyle w:val="Heading3"/>
      </w:pPr>
      <w:r>
        <w:t>B.2.1</w:t>
      </w:r>
      <w:r w:rsidR="001D0620">
        <w:t>:</w:t>
      </w:r>
      <w:r>
        <w:t xml:space="preserve"> </w:t>
      </w:r>
      <w:r w:rsidRPr="004F1FB4">
        <w:t>Sample Design</w:t>
      </w:r>
    </w:p>
    <w:p w:rsidR="00B854B4" w:rsidRPr="003849CC" w:rsidP="00B854B4" w14:paraId="6C24AC8D" w14:textId="77777777">
      <w:pPr>
        <w:pStyle w:val="BodyText"/>
      </w:pPr>
      <w:r w:rsidRPr="003849CC">
        <w:t>We will collect data from the entire population of treatment group PHAs (</w:t>
      </w:r>
      <w:r w:rsidRPr="003849CC">
        <w:rPr>
          <w:i/>
          <w:iCs/>
        </w:rPr>
        <w:t>n</w:t>
      </w:r>
      <w:r w:rsidRPr="003849CC">
        <w:t>=2</w:t>
      </w:r>
      <w:r>
        <w:t>8</w:t>
      </w:r>
      <w:r w:rsidRPr="003849CC">
        <w:t xml:space="preserve">). </w:t>
      </w:r>
      <w:r w:rsidRPr="003849CC">
        <w:t>All of</w:t>
      </w:r>
      <w:r w:rsidRPr="003849CC">
        <w:t xml:space="preserve"> the Landlord Incentive Cohort (treatment) PHAs have agreed to data collection as a condition of their participation in MTW.</w:t>
      </w:r>
    </w:p>
    <w:p w:rsidR="00B854B4" w:rsidP="00B854B4" w14:paraId="55FC897E" w14:textId="3D6299D6">
      <w:pPr>
        <w:pStyle w:val="BodyText"/>
      </w:pPr>
      <w:r>
        <w:t>T</w:t>
      </w:r>
      <w:r w:rsidRPr="003849CC">
        <w:t>he comparison group</w:t>
      </w:r>
      <w:r w:rsidR="00A106FD">
        <w:t xml:space="preserve"> will be made of</w:t>
      </w:r>
      <w:r w:rsidRPr="003849CC">
        <w:t xml:space="preserve"> 11</w:t>
      </w:r>
      <w:r>
        <w:t>2</w:t>
      </w:r>
      <w:r w:rsidRPr="003849CC">
        <w:t xml:space="preserve"> comparison PHAs, but the in-depth site visits and interviews in year 5 will occur at only 2</w:t>
      </w:r>
      <w:r>
        <w:t>2</w:t>
      </w:r>
      <w:r w:rsidRPr="003849CC">
        <w:t xml:space="preserve"> </w:t>
      </w:r>
      <w:r>
        <w:t>comparison</w:t>
      </w:r>
      <w:r w:rsidRPr="003849CC">
        <w:t xml:space="preserve"> PHAs, which we have characterized as the “in-depth comparison PHAs.”</w:t>
      </w:r>
      <w:r>
        <w:t xml:space="preserve"> </w:t>
      </w:r>
      <w:r w:rsidRPr="003849CC">
        <w:t xml:space="preserve">Because </w:t>
      </w:r>
      <w:r w:rsidRPr="003849CC">
        <w:t>Hawai</w:t>
      </w:r>
      <w:r>
        <w:t>‘</w:t>
      </w:r>
      <w:r w:rsidRPr="003849CC">
        <w:t>i is the only large PHA</w:t>
      </w:r>
      <w:r>
        <w:t xml:space="preserve"> </w:t>
      </w:r>
      <w:r w:rsidRPr="003849CC">
        <w:t>in the treatment group, we will include its closest comparison PHA in the site visits. This leaves another 2</w:t>
      </w:r>
      <w:r>
        <w:t>1</w:t>
      </w:r>
      <w:r w:rsidRPr="003849CC">
        <w:t xml:space="preserve"> comparison PHAs to be selected</w:t>
      </w:r>
      <w:r>
        <w:t xml:space="preserve"> for the in-depth comparison sample</w:t>
      </w:r>
      <w:r w:rsidRPr="003849CC">
        <w:t xml:space="preserve">. </w:t>
      </w:r>
    </w:p>
    <w:p w:rsidR="00B854B4" w:rsidP="00B854B4" w14:paraId="543392BF" w14:textId="4A8F73C0">
      <w:pPr>
        <w:pStyle w:val="BodyText"/>
      </w:pPr>
      <w:r>
        <w:t>We used an iterative process to s</w:t>
      </w:r>
      <w:r w:rsidRPr="007F65CF">
        <w:t xml:space="preserve">elect </w:t>
      </w:r>
      <w:r>
        <w:t xml:space="preserve">four </w:t>
      </w:r>
      <w:r w:rsidRPr="007F65CF">
        <w:t>comparison PHAs</w:t>
      </w:r>
      <w:r>
        <w:t xml:space="preserve"> </w:t>
      </w:r>
      <w:r w:rsidR="00283D8D">
        <w:t xml:space="preserve">out of </w:t>
      </w:r>
      <w:r w:rsidR="00283D8D">
        <w:t>all of</w:t>
      </w:r>
      <w:r w:rsidR="00283D8D">
        <w:t xml:space="preserve"> the PHAs in the US </w:t>
      </w:r>
      <w:r>
        <w:t xml:space="preserve">for each </w:t>
      </w:r>
      <w:r w:rsidR="00240ED2">
        <w:t xml:space="preserve">of the 28 </w:t>
      </w:r>
      <w:r>
        <w:t>treatment</w:t>
      </w:r>
      <w:r w:rsidR="00240ED2">
        <w:t xml:space="preserve"> </w:t>
      </w:r>
      <w:r>
        <w:t>PHA</w:t>
      </w:r>
      <w:r w:rsidR="00240ED2">
        <w:t>s</w:t>
      </w:r>
      <w:r>
        <w:t>, totaling 112 comparisons.</w:t>
      </w:r>
    </w:p>
    <w:p w:rsidR="00B854B4" w:rsidRPr="007F65CF" w:rsidP="00B854B4" w14:paraId="59917969" w14:textId="77777777">
      <w:pPr>
        <w:pStyle w:val="Bullets"/>
        <w:numPr>
          <w:ilvl w:val="0"/>
          <w:numId w:val="0"/>
        </w:numPr>
      </w:pPr>
      <w:r>
        <w:rPr>
          <w:b/>
          <w:bCs/>
        </w:rPr>
        <w:t xml:space="preserve">Step 1. </w:t>
      </w:r>
      <w:r>
        <w:t>To maximize internal validity of the impact study,</w:t>
      </w:r>
      <w:r w:rsidRPr="007F65CF">
        <w:t xml:space="preserve"> </w:t>
      </w:r>
      <w:r w:rsidRPr="007F65CF">
        <w:t>we first identif</w:t>
      </w:r>
      <w:r>
        <w:t>ied</w:t>
      </w:r>
      <w:r w:rsidRPr="007F65CF">
        <w:t xml:space="preserve"> the PHAs that meet the same eligibility characteristics as </w:t>
      </w:r>
      <w:r>
        <w:t xml:space="preserve">the </w:t>
      </w:r>
      <w:r w:rsidRPr="007F65CF">
        <w:t>treatment PHAs did. To be eligible to apply for the MTW designation in the Landlord Incentive Cohort, a PHA had to—</w:t>
      </w:r>
    </w:p>
    <w:p w:rsidR="00B854B4" w:rsidRPr="00500E02" w:rsidP="008E78B2" w14:paraId="3CEB8AAF" w14:textId="77777777">
      <w:pPr>
        <w:pStyle w:val="ListParagraph"/>
        <w:numPr>
          <w:ilvl w:val="0"/>
          <w:numId w:val="9"/>
        </w:numPr>
        <w:spacing w:after="120" w:line="240" w:lineRule="auto"/>
        <w:jc w:val="both"/>
        <w:rPr>
          <w:rFonts w:asciiTheme="majorBidi" w:hAnsiTheme="majorBidi" w:cstheme="majorBidi"/>
        </w:rPr>
      </w:pPr>
      <w:r w:rsidRPr="00500E02">
        <w:rPr>
          <w:rFonts w:asciiTheme="majorBidi" w:hAnsiTheme="majorBidi" w:cstheme="majorBidi"/>
        </w:rPr>
        <w:t>Have no more than 27,000 combined public housing and HCV units.</w:t>
      </w:r>
    </w:p>
    <w:p w:rsidR="00B854B4" w:rsidRPr="00500E02" w:rsidP="008E78B2" w14:paraId="333437BD" w14:textId="77777777">
      <w:pPr>
        <w:pStyle w:val="ListParagraph"/>
        <w:numPr>
          <w:ilvl w:val="0"/>
          <w:numId w:val="9"/>
        </w:numPr>
        <w:spacing w:after="120" w:line="240" w:lineRule="auto"/>
        <w:jc w:val="both"/>
        <w:rPr>
          <w:rFonts w:asciiTheme="majorBidi" w:hAnsiTheme="majorBidi" w:cstheme="majorBidi"/>
        </w:rPr>
      </w:pPr>
      <w:r w:rsidRPr="00500E02">
        <w:rPr>
          <w:rFonts w:asciiTheme="majorBidi" w:hAnsiTheme="majorBidi" w:cstheme="majorBidi"/>
        </w:rPr>
        <w:t>Have an HCV program.</w:t>
      </w:r>
    </w:p>
    <w:p w:rsidR="00B854B4" w:rsidRPr="00500E02" w:rsidP="008E78B2" w14:paraId="754B112B" w14:textId="77777777">
      <w:pPr>
        <w:pStyle w:val="ListParagraph"/>
        <w:numPr>
          <w:ilvl w:val="0"/>
          <w:numId w:val="9"/>
        </w:numPr>
        <w:spacing w:after="120" w:line="240" w:lineRule="auto"/>
        <w:jc w:val="both"/>
        <w:rPr>
          <w:rFonts w:asciiTheme="majorBidi" w:hAnsiTheme="majorBidi" w:cstheme="majorBidi"/>
        </w:rPr>
      </w:pPr>
      <w:r w:rsidRPr="00500E02">
        <w:rPr>
          <w:rFonts w:asciiTheme="majorBidi" w:hAnsiTheme="majorBidi" w:cstheme="majorBidi"/>
        </w:rPr>
        <w:t>Be a high performer.</w:t>
      </w:r>
    </w:p>
    <w:p w:rsidR="00B854B4" w:rsidRPr="00500E02" w:rsidP="008E78B2" w14:paraId="5BDE91B6" w14:textId="77777777">
      <w:pPr>
        <w:pStyle w:val="ListParagraph"/>
        <w:numPr>
          <w:ilvl w:val="0"/>
          <w:numId w:val="9"/>
        </w:numPr>
        <w:spacing w:after="120" w:line="240" w:lineRule="auto"/>
        <w:jc w:val="both"/>
        <w:rPr>
          <w:rFonts w:asciiTheme="majorBidi" w:hAnsiTheme="majorBidi" w:cstheme="majorBidi"/>
        </w:rPr>
      </w:pPr>
      <w:r w:rsidRPr="00500E02">
        <w:rPr>
          <w:rFonts w:asciiTheme="majorBidi" w:hAnsiTheme="majorBidi" w:cstheme="majorBidi"/>
        </w:rPr>
        <w:t>Not be troubled, not be participating in HUD’s Community Choice Demonstration,</w:t>
      </w:r>
      <w:r>
        <w:rPr>
          <w:rFonts w:asciiTheme="majorBidi" w:hAnsiTheme="majorBidi" w:cstheme="majorBidi"/>
        </w:rPr>
        <w:footnoteReference w:id="5"/>
      </w:r>
      <w:r w:rsidRPr="00500E02">
        <w:rPr>
          <w:rFonts w:asciiTheme="majorBidi" w:hAnsiTheme="majorBidi" w:cstheme="majorBidi"/>
        </w:rPr>
        <w:t xml:space="preserve"> and not already a participant in any of the other three MTW expansion cohorts.</w:t>
      </w:r>
    </w:p>
    <w:p w:rsidR="00B854B4" w:rsidRPr="00500E02" w:rsidP="008E78B2" w14:paraId="0488CCF6" w14:textId="77777777">
      <w:pPr>
        <w:pStyle w:val="ListParagraph"/>
        <w:numPr>
          <w:ilvl w:val="0"/>
          <w:numId w:val="9"/>
        </w:numPr>
        <w:spacing w:after="120" w:line="240" w:lineRule="auto"/>
        <w:jc w:val="both"/>
        <w:rPr>
          <w:rFonts w:asciiTheme="majorBidi" w:hAnsiTheme="majorBidi" w:cstheme="majorBidi"/>
        </w:rPr>
      </w:pPr>
      <w:r w:rsidRPr="00500E02">
        <w:rPr>
          <w:rFonts w:asciiTheme="majorBidi" w:hAnsiTheme="majorBidi" w:cstheme="majorBidi"/>
        </w:rPr>
        <w:t>Comply with requirements to submit data to HUD, including a reporting rate in HIP of at least 90 percent of households.</w:t>
      </w:r>
    </w:p>
    <w:p w:rsidR="00B854B4" w:rsidRPr="007F65CF" w:rsidP="00B854B4" w14:paraId="0F2BA4AE" w14:textId="77777777">
      <w:pPr>
        <w:pStyle w:val="BodyText"/>
        <w:rPr>
          <w:szCs w:val="24"/>
        </w:rPr>
      </w:pPr>
      <w:r w:rsidRPr="007F65CF">
        <w:rPr>
          <w:szCs w:val="24"/>
        </w:rPr>
        <w:t>We added a sixth requirement, that comparison PHAs must—</w:t>
      </w:r>
    </w:p>
    <w:p w:rsidR="00B854B4" w:rsidRPr="00500E02" w:rsidP="008E78B2" w14:paraId="18595A3D" w14:textId="77777777">
      <w:pPr>
        <w:pStyle w:val="ListParagraph"/>
        <w:numPr>
          <w:ilvl w:val="0"/>
          <w:numId w:val="9"/>
        </w:numPr>
        <w:spacing w:after="120" w:line="240" w:lineRule="auto"/>
        <w:jc w:val="both"/>
        <w:rPr>
          <w:rFonts w:asciiTheme="majorBidi" w:hAnsiTheme="majorBidi" w:cstheme="majorBidi"/>
        </w:rPr>
      </w:pPr>
      <w:r w:rsidRPr="00500E02">
        <w:rPr>
          <w:rFonts w:asciiTheme="majorBidi" w:hAnsiTheme="majorBidi" w:cstheme="majorBidi"/>
        </w:rPr>
        <w:t>Have sufficient and interpretable data on issuances to allow an estimate of voucher success rate in 2018, 2019, or both.</w:t>
      </w:r>
      <w:r>
        <w:rPr>
          <w:rFonts w:asciiTheme="majorBidi" w:hAnsiTheme="majorBidi" w:cstheme="majorBidi"/>
          <w:vertAlign w:val="superscript"/>
        </w:rPr>
        <w:footnoteReference w:id="6"/>
      </w:r>
      <w:r w:rsidRPr="00500E02">
        <w:rPr>
          <w:rFonts w:asciiTheme="majorBidi" w:hAnsiTheme="majorBidi" w:cstheme="majorBidi"/>
        </w:rPr>
        <w:t xml:space="preserve"> </w:t>
      </w:r>
    </w:p>
    <w:p w:rsidR="00B854B4" w:rsidP="00B854B4" w14:paraId="36E7A463" w14:textId="77777777">
      <w:pPr>
        <w:pStyle w:val="BodyText"/>
      </w:pPr>
      <w:r w:rsidRPr="007F65CF">
        <w:t xml:space="preserve">These </w:t>
      </w:r>
      <w:r>
        <w:t>five</w:t>
      </w:r>
      <w:r w:rsidRPr="007F65CF">
        <w:t xml:space="preserve"> cohort eligibility criteria and the added data availability criterion produced a set of </w:t>
      </w:r>
      <w:r>
        <w:t>953</w:t>
      </w:r>
      <w:r w:rsidRPr="007F65CF">
        <w:t xml:space="preserve"> possible comparison PHAs from among the </w:t>
      </w:r>
      <w:r>
        <w:t>2,163</w:t>
      </w:r>
      <w:r w:rsidRPr="007F65CF">
        <w:t xml:space="preserve"> PHAs in HUD’s 2020 Picture of Subsidized Households datase</w:t>
      </w:r>
      <w:r>
        <w:t>t that</w:t>
      </w:r>
      <w:r w:rsidRPr="007F65CF">
        <w:t xml:space="preserve"> have voucher programs.</w:t>
      </w:r>
      <w:r>
        <w:rPr>
          <w:rStyle w:val="FootnoteReference"/>
        </w:rPr>
        <w:footnoteReference w:id="7"/>
      </w:r>
      <w:r w:rsidRPr="007F65CF">
        <w:t xml:space="preserve"> </w:t>
      </w:r>
    </w:p>
    <w:p w:rsidR="00B854B4" w:rsidP="00B854B4" w14:paraId="6F9A35B7" w14:textId="77777777">
      <w:pPr>
        <w:pStyle w:val="BodyText"/>
        <w:rPr>
          <w:szCs w:val="24"/>
        </w:rPr>
      </w:pPr>
      <w:r>
        <w:rPr>
          <w:b/>
          <w:bCs/>
          <w:szCs w:val="24"/>
        </w:rPr>
        <w:t xml:space="preserve">Step 2. </w:t>
      </w:r>
      <w:r>
        <w:rPr>
          <w:szCs w:val="24"/>
        </w:rPr>
        <w:t xml:space="preserve">Of all possible pairs of treatment-comparison PHAs, we ranked pairs by their match quality. First, we aimed to match the treatment-comparison PHA pairs on three characteristics that enhance the face validity of the treatment-comparison contrast: </w:t>
      </w:r>
    </w:p>
    <w:p w:rsidR="00B854B4" w:rsidRPr="00500E02" w:rsidP="008E78B2" w14:paraId="0A0B9FD3" w14:textId="77777777">
      <w:pPr>
        <w:pStyle w:val="ListParagraph"/>
        <w:numPr>
          <w:ilvl w:val="0"/>
          <w:numId w:val="9"/>
        </w:numPr>
        <w:spacing w:after="120" w:line="240" w:lineRule="auto"/>
        <w:jc w:val="both"/>
        <w:rPr>
          <w:rFonts w:asciiTheme="majorBidi" w:hAnsiTheme="majorBidi" w:cstheme="majorBidi"/>
        </w:rPr>
      </w:pPr>
      <w:r w:rsidRPr="00500E02">
        <w:rPr>
          <w:rFonts w:asciiTheme="majorBidi" w:hAnsiTheme="majorBidi" w:cstheme="majorBidi"/>
        </w:rPr>
        <w:t>Same geographic region as the treatment PHA;</w:t>
      </w:r>
      <w:r>
        <w:rPr>
          <w:rFonts w:asciiTheme="majorBidi" w:hAnsiTheme="majorBidi" w:cstheme="majorBidi"/>
          <w:vertAlign w:val="superscript"/>
        </w:rPr>
        <w:footnoteReference w:id="8"/>
      </w:r>
      <w:r w:rsidRPr="00500E02">
        <w:rPr>
          <w:rFonts w:asciiTheme="majorBidi" w:hAnsiTheme="majorBidi" w:cstheme="majorBidi"/>
        </w:rPr>
        <w:t xml:space="preserve"> </w:t>
      </w:r>
    </w:p>
    <w:p w:rsidR="00B854B4" w:rsidRPr="00500E02" w:rsidP="008E78B2" w14:paraId="7AFF1C51" w14:textId="77777777">
      <w:pPr>
        <w:pStyle w:val="ListParagraph"/>
        <w:numPr>
          <w:ilvl w:val="0"/>
          <w:numId w:val="9"/>
        </w:numPr>
        <w:spacing w:after="120" w:line="240" w:lineRule="auto"/>
        <w:jc w:val="both"/>
        <w:rPr>
          <w:rFonts w:asciiTheme="majorBidi" w:hAnsiTheme="majorBidi" w:cstheme="majorBidi"/>
        </w:rPr>
      </w:pPr>
      <w:r w:rsidRPr="00500E02">
        <w:rPr>
          <w:rFonts w:asciiTheme="majorBidi" w:hAnsiTheme="majorBidi" w:cstheme="majorBidi"/>
        </w:rPr>
        <w:t xml:space="preserve">Similar laws governing discrimination based on source of income (from Poverty &amp; Race Research Action Council information) </w:t>
      </w:r>
    </w:p>
    <w:p w:rsidR="00B854B4" w:rsidRPr="00500E02" w:rsidP="008E78B2" w14:paraId="27EE583F" w14:textId="77777777">
      <w:pPr>
        <w:pStyle w:val="ListParagraph"/>
        <w:numPr>
          <w:ilvl w:val="0"/>
          <w:numId w:val="9"/>
        </w:numPr>
        <w:spacing w:after="120" w:line="240" w:lineRule="auto"/>
        <w:jc w:val="both"/>
        <w:rPr>
          <w:rFonts w:asciiTheme="majorBidi" w:hAnsiTheme="majorBidi" w:cstheme="majorBidi"/>
        </w:rPr>
      </w:pPr>
      <w:r w:rsidRPr="00500E02">
        <w:rPr>
          <w:rFonts w:asciiTheme="majorBidi" w:hAnsiTheme="majorBidi" w:cstheme="majorBidi"/>
        </w:rPr>
        <w:t>Total number of voucher and public housing units between 0.5 and 2 times the number of voucher and public housing units of the treatment PHA.</w:t>
      </w:r>
    </w:p>
    <w:p w:rsidR="00B854B4" w:rsidRPr="00880DE2" w:rsidP="00B854B4" w14:paraId="7DBC366F" w14:textId="77777777">
      <w:pPr>
        <w:pStyle w:val="BodyText"/>
        <w:rPr>
          <w:szCs w:val="24"/>
        </w:rPr>
      </w:pPr>
      <w:r>
        <w:rPr>
          <w:szCs w:val="24"/>
        </w:rPr>
        <w:t>Imposing these three criteria alone provided many more possible treatment-comparison pairs than required. Therefore, we next selected from within the refined set of treatment-comparison pairs to PHA pairs that match as closely as possible on the key characteristics explained in the text box.</w:t>
      </w:r>
      <w:r>
        <w:rPr>
          <w:rStyle w:val="FootnoteReference"/>
          <w:szCs w:val="24"/>
        </w:rPr>
        <w:footnoteReference w:id="9"/>
      </w:r>
      <w:r>
        <w:rPr>
          <w:szCs w:val="24"/>
        </w:rPr>
        <w:t xml:space="preserve"> Using the principals of rigorous evaluation, we selected these characteristics to improve internal validity because they (1) control for selection bias, (2) control for baseline values of outcome measures, and (3) control for characteristics hypothesized to strongly influence outcomes. </w:t>
      </w:r>
    </w:p>
    <w:p w:rsidR="00B854B4" w:rsidP="00B854B4" w14:paraId="38814074" w14:textId="77777777">
      <w:pPr>
        <w:pStyle w:val="BodyText"/>
        <w:rPr>
          <w:szCs w:val="24"/>
        </w:rPr>
      </w:pPr>
      <w:r>
        <w:rPr>
          <w:szCs w:val="24"/>
        </w:rPr>
        <w:t xml:space="preserve">Instead of treating all key characteristics as equally important, we used coarsened exact matching (CEM) to examine their influence, even if limited, on PHAs’ decision to apply to participate in the Landlord Incentives Demonstration. This step further enhances the internal validity of the treatment-comparison contrast. </w:t>
      </w:r>
      <w:r w:rsidRPr="007F65CF">
        <w:rPr>
          <w:szCs w:val="24"/>
        </w:rPr>
        <w:t>CEM is a proven method that yields high-quality matches with respect to selected covariates and often succeeds where other methods, such as propensity score and nearest neighbor, do not (</w:t>
      </w:r>
      <w:r w:rsidRPr="007F65CF">
        <w:rPr>
          <w:szCs w:val="24"/>
        </w:rPr>
        <w:t>Iacus</w:t>
      </w:r>
      <w:r w:rsidRPr="007F65CF">
        <w:rPr>
          <w:szCs w:val="24"/>
        </w:rPr>
        <w:t xml:space="preserve"> et al., 2012). To match potential comparison PHAs to the treatment PHAs, CEM considers a list of characteristics (provided by the researcher) and then finds the optimal “coarsening” for each baseline variable in the model (and combinations of those variables). For example, CEM might “coarsen” </w:t>
      </w:r>
      <w:r>
        <w:rPr>
          <w:szCs w:val="24"/>
        </w:rPr>
        <w:t>the baseline success rate</w:t>
      </w:r>
      <w:r w:rsidRPr="007F65CF">
        <w:rPr>
          <w:szCs w:val="24"/>
        </w:rPr>
        <w:t xml:space="preserve"> by identifying the cut-offs for a </w:t>
      </w:r>
      <w:r>
        <w:rPr>
          <w:szCs w:val="24"/>
        </w:rPr>
        <w:t>low</w:t>
      </w:r>
      <w:r w:rsidRPr="007F65CF">
        <w:rPr>
          <w:szCs w:val="24"/>
        </w:rPr>
        <w:t xml:space="preserve">, medium, and </w:t>
      </w:r>
      <w:r>
        <w:rPr>
          <w:szCs w:val="24"/>
        </w:rPr>
        <w:t>high</w:t>
      </w:r>
      <w:r w:rsidRPr="007F65CF">
        <w:rPr>
          <w:szCs w:val="24"/>
        </w:rPr>
        <w:t xml:space="preserve"> voucher </w:t>
      </w:r>
      <w:r>
        <w:rPr>
          <w:szCs w:val="24"/>
        </w:rPr>
        <w:t>success rate</w:t>
      </w:r>
      <w:r w:rsidRPr="007F65CF">
        <w:rPr>
          <w:szCs w:val="24"/>
        </w:rPr>
        <w:t xml:space="preserve"> category. CEM optimizes the cut-offs so that </w:t>
      </w:r>
      <w:r>
        <w:rPr>
          <w:szCs w:val="24"/>
        </w:rPr>
        <w:t>they are maximally informative about the decision to apply to participate in the Landlord Incentives Demonstration</w:t>
      </w:r>
      <w:r w:rsidRPr="007F65CF">
        <w:rPr>
          <w:szCs w:val="24"/>
        </w:rPr>
        <w:t xml:space="preserve">. </w:t>
      </w:r>
    </w:p>
    <w:p w:rsidR="00B854B4" w:rsidP="00B854B4" w14:paraId="51926CFE" w14:textId="77777777">
      <w:pPr>
        <w:pStyle w:val="BodyText"/>
      </w:pPr>
      <w:r>
        <w:t xml:space="preserve">Using the CEM model, we still found more than four possible comparison PHAs for each treatment PHA. Therefore, we imposed additional tie-resolution criteria to improve the similarity of treatment and comparison groups. For this tie-resolution criteria, we use a distance metric that includes </w:t>
      </w:r>
      <w:r>
        <w:t>all of</w:t>
      </w:r>
      <w:r>
        <w:t xml:space="preserve"> the key characteristics. The distance metric gives equal weight to all six key characteristics. </w:t>
      </w:r>
    </w:p>
    <w:p w:rsidR="00B854B4" w:rsidP="00B854B4" w14:paraId="796C37B8" w14:textId="77777777">
      <w:pPr>
        <w:pStyle w:val="BodyText"/>
      </w:pPr>
      <w:r>
        <w:rPr>
          <w:b/>
          <w:bCs/>
        </w:rPr>
        <w:t xml:space="preserve">Step 3: </w:t>
      </w:r>
      <w:r>
        <w:t xml:space="preserve">We selected the top four comparison matches for each treatment PHA, based on (1) the number of strict criteria on which the comparison and treatment PHA matched (a whole number between 0 and 3) (2) the number of key characteristics on which the comparison and treatment PHA matched within CEM category (a whole number between 0 and 6), (3) a continuous distance measure of the comparison and treatment PHAs’ key characteristics. </w:t>
      </w:r>
    </w:p>
    <w:p w:rsidR="00B854B4" w:rsidRPr="007F65CF" w:rsidP="00B854B4" w14:paraId="47A279D1" w14:textId="10E3DEAD">
      <w:pPr>
        <w:pStyle w:val="BodyText"/>
      </w:pPr>
      <w:r w:rsidRPr="00CAEA7B">
        <w:rPr>
          <w:b/>
          <w:bCs/>
        </w:rPr>
        <w:t xml:space="preserve">Step 4: </w:t>
      </w:r>
      <w:r>
        <w:t>Of the 11</w:t>
      </w:r>
      <w:r w:rsidR="735ECE0B">
        <w:t>2</w:t>
      </w:r>
      <w:r>
        <w:t xml:space="preserve"> comparison PHAs selected in Step 3, 98 were unique. That is, 18 comparison PHAs were one of the four best matches to more than one treatment PHA. To avoid duplicates, we assigned the duplicate comparison PHA to the treatment PHA that most needed it (that is, for the treatment PHA with fewer good-quality matches), forcing the other treatment PHAs with the same comparison PHA to select the next-best comparison PHA</w:t>
      </w:r>
      <w:r w:rsidR="13263B19">
        <w:t xml:space="preserve">. </w:t>
      </w:r>
      <w:r w:rsidRPr="00CAEA7B" w:rsidR="13263B19">
        <w:rPr>
          <w:b/>
          <w:bCs/>
        </w:rPr>
        <w:t xml:space="preserve">These 112 comparison PHAs will be </w:t>
      </w:r>
      <w:r w:rsidRPr="00CAEA7B" w:rsidR="0F269AB6">
        <w:rPr>
          <w:b/>
          <w:bCs/>
        </w:rPr>
        <w:t>reached out to for the PHA web surveys.</w:t>
      </w:r>
      <w:r w:rsidR="0F269AB6">
        <w:t xml:space="preserve"> </w:t>
      </w:r>
    </w:p>
    <w:p w:rsidR="00B854B4" w:rsidRPr="00821C90" w:rsidP="00B854B4" w14:paraId="3F281706" w14:textId="5720E42C">
      <w:pPr>
        <w:pStyle w:val="BodyText"/>
      </w:pPr>
      <w:r>
        <w:t>The balance test finds only two statistically significant differences in the baseline characteristics—average months families spend on the waitlist (32 for comparison PHAs, 25 for treatment PHAs- a difference of 28 percent of a standard deviation in months on the waitlist) and homeowner vacancy rate (1.36 percent for comparison PHAs, 1.12 percent for treatment PHAs- a difference of 34 percent of a standard deviation in vacancy rates).</w:t>
      </w:r>
    </w:p>
    <w:p w:rsidR="00B854B4" w:rsidP="00B854B4" w14:paraId="000821B1" w14:textId="2B660871">
      <w:pPr>
        <w:pStyle w:val="BodyText"/>
      </w:pPr>
      <w:r>
        <w:t xml:space="preserve">The </w:t>
      </w:r>
      <w:r w:rsidRPr="00CAEA7B">
        <w:rPr>
          <w:b/>
          <w:bCs/>
        </w:rPr>
        <w:t>final step</w:t>
      </w:r>
      <w:r>
        <w:t xml:space="preserve"> </w:t>
      </w:r>
      <w:r w:rsidR="65B07E1D">
        <w:t xml:space="preserve">to determine the </w:t>
      </w:r>
      <w:r w:rsidR="460A7394">
        <w:t xml:space="preserve">21 in-depth comparison PHAs </w:t>
      </w:r>
      <w:r w:rsidR="7DE90510">
        <w:t>(</w:t>
      </w:r>
      <w:r w:rsidR="41583B6F">
        <w:t xml:space="preserve">not including </w:t>
      </w:r>
      <w:r w:rsidR="6CA327CA">
        <w:t>Hawai'i's</w:t>
      </w:r>
      <w:r w:rsidR="41583B6F">
        <w:t xml:space="preserve"> comparison PHA) </w:t>
      </w:r>
      <w:r w:rsidR="4BDAFDF8">
        <w:t xml:space="preserve">from the 112 </w:t>
      </w:r>
      <w:r w:rsidR="3E37C9D7">
        <w:t xml:space="preserve">comparison PHAs </w:t>
      </w:r>
      <w:r>
        <w:t>will be</w:t>
      </w:r>
      <w:r w:rsidR="430B47AF">
        <w:t xml:space="preserve"> </w:t>
      </w:r>
      <w:r w:rsidR="2A2C9BFD">
        <w:t>to</w:t>
      </w:r>
      <w:r w:rsidR="7A04E6F9">
        <w:t xml:space="preserve"> use voucher success rate data availability</w:t>
      </w:r>
      <w:r w:rsidR="1F1DE5F0">
        <w:t xml:space="preserve"> </w:t>
      </w:r>
      <w:r w:rsidR="2344607C">
        <w:t xml:space="preserve">to </w:t>
      </w:r>
      <w:r w:rsidR="1F1DE5F0">
        <w:t xml:space="preserve">narrow down the best </w:t>
      </w:r>
      <w:r w:rsidR="2E7DA52E">
        <w:t xml:space="preserve">treatment-comparison PHA </w:t>
      </w:r>
      <w:r w:rsidR="1F1DE5F0">
        <w:t>matches</w:t>
      </w:r>
      <w:r w:rsidR="59F0A7BD">
        <w:t>,</w:t>
      </w:r>
      <w:r w:rsidR="3ED5504B">
        <w:t xml:space="preserve"> then select</w:t>
      </w:r>
      <w:r w:rsidR="1B4AC6E9">
        <w:t>ing</w:t>
      </w:r>
      <w:r w:rsidR="3ED5504B">
        <w:t xml:space="preserve"> the </w:t>
      </w:r>
      <w:r w:rsidR="5D7DD3EA">
        <w:t xml:space="preserve">final 21 </w:t>
      </w:r>
      <w:r w:rsidR="0368C29F">
        <w:t xml:space="preserve">comparison PHAs </w:t>
      </w:r>
      <w:r w:rsidR="21E70A85">
        <w:t xml:space="preserve">to reflect a group </w:t>
      </w:r>
      <w:r w:rsidR="2A245B32">
        <w:t>that maintains</w:t>
      </w:r>
      <w:r w:rsidR="74673937">
        <w:t xml:space="preserve"> diversity in PHA voucher program size, source of income laws, rental market tightness, and census</w:t>
      </w:r>
      <w:r w:rsidR="2F436031">
        <w:t xml:space="preserve"> region</w:t>
      </w:r>
      <w:r w:rsidR="6CB9E1C8">
        <w:t>.</w:t>
      </w:r>
      <w:r w:rsidR="7A04E6F9">
        <w:t xml:space="preserve"> If one of our 22 selected in-depth comparison PHAs</w:t>
      </w:r>
      <w:r w:rsidR="3D03BF96">
        <w:t xml:space="preserve"> (including </w:t>
      </w:r>
      <w:r w:rsidR="21204DCD">
        <w:t>Hawai'i's</w:t>
      </w:r>
      <w:r w:rsidR="3D03BF96">
        <w:t xml:space="preserve"> comparison PHA)</w:t>
      </w:r>
      <w:r w:rsidR="7A04E6F9">
        <w:t xml:space="preserve"> does not agree to a site visit, we will replace it with the corresponding</w:t>
      </w:r>
      <w:r w:rsidR="2528EDA7">
        <w:t xml:space="preserve"> treatment</w:t>
      </w:r>
      <w:r w:rsidR="7A04E6F9">
        <w:t xml:space="preserve"> PHA’s next best match.</w:t>
      </w:r>
    </w:p>
    <w:p w:rsidR="00E339B3" w:rsidRPr="00426B73" w:rsidP="00494746" w14:paraId="10123C23" w14:textId="594609E6">
      <w:pPr>
        <w:pStyle w:val="Heading5"/>
      </w:pPr>
      <w:r w:rsidRPr="00426B73">
        <w:t>Statistical methodology for stratification and sample selection</w:t>
      </w:r>
    </w:p>
    <w:p w:rsidR="008024B0" w:rsidRPr="00500E02" w:rsidP="00500E02" w14:paraId="6DA49B5D" w14:textId="77777777">
      <w:pPr>
        <w:pStyle w:val="BodyText"/>
        <w:rPr>
          <w:rFonts w:asciiTheme="minorBidi" w:hAnsiTheme="minorBidi" w:cstheme="minorBidi"/>
          <w:b/>
          <w:bCs/>
          <w:i/>
          <w:iCs/>
          <w:sz w:val="20"/>
          <w:szCs w:val="18"/>
        </w:rPr>
      </w:pPr>
      <w:r w:rsidRPr="00500E02">
        <w:rPr>
          <w:rFonts w:asciiTheme="minorBidi" w:hAnsiTheme="minorBidi" w:cstheme="minorBidi"/>
          <w:b/>
          <w:bCs/>
          <w:i/>
          <w:iCs/>
          <w:sz w:val="20"/>
          <w:szCs w:val="18"/>
        </w:rPr>
        <w:t>PHA Web Survey and Interviews</w:t>
      </w:r>
    </w:p>
    <w:p w:rsidR="008024B0" w:rsidRPr="00BE2CE6" w:rsidP="00C8172A" w14:paraId="5EE91D91" w14:textId="77777777">
      <w:pPr>
        <w:pStyle w:val="BodyText"/>
      </w:pPr>
      <w:r>
        <w:t>This submission does not require a statistical methodology plan, as the sampling of PHA participants is purposive. The study team will work with each PHA’s Executive Director to identify the most relevant staff to answer the study’s research questions. The respondents are limited in number and are not intended to constitute a representative sample of all staff in the study PHAs. In addition, we will not seek to draw statistical inferences from the study data covered in this submission.</w:t>
      </w:r>
    </w:p>
    <w:p w:rsidR="008024B0" w:rsidRPr="0089593E" w:rsidP="00C8172A" w14:paraId="29460ADD" w14:textId="5983FE08">
      <w:pPr>
        <w:pStyle w:val="BodyText"/>
      </w:pPr>
      <w:r>
        <w:t>Most respondents will only be involved in annual data collection. Some PHA staff may be involved in a limited amount of ad-hoc data collection from the research team in the form of short telephone calls or email exchanges, but these are not formal reporting mechanisms, will not follow a standardized script, and will not be burdensome.</w:t>
      </w:r>
    </w:p>
    <w:p w:rsidR="0089593E" w:rsidRPr="00500E02" w:rsidP="00500E02" w14:paraId="3476501C" w14:textId="2C8B762E">
      <w:pPr>
        <w:pStyle w:val="BodyText"/>
        <w:rPr>
          <w:rFonts w:asciiTheme="minorBidi" w:hAnsiTheme="minorBidi" w:cstheme="minorBidi"/>
          <w:b/>
          <w:bCs/>
          <w:i/>
          <w:iCs/>
          <w:sz w:val="20"/>
          <w:szCs w:val="18"/>
        </w:rPr>
      </w:pPr>
      <w:r w:rsidRPr="00500E02">
        <w:rPr>
          <w:rFonts w:asciiTheme="minorBidi" w:hAnsiTheme="minorBidi" w:cstheme="minorBidi"/>
          <w:b/>
          <w:bCs/>
          <w:i/>
          <w:iCs/>
          <w:sz w:val="20"/>
          <w:szCs w:val="18"/>
        </w:rPr>
        <w:t>Landlord Interviews</w:t>
      </w:r>
    </w:p>
    <w:p w:rsidR="0089593E" w:rsidRPr="00C8172A" w:rsidP="001F76ED" w14:paraId="43C9FC94" w14:textId="37EA83C6">
      <w:pPr>
        <w:pStyle w:val="BodyText"/>
      </w:pPr>
      <w:r>
        <w:t>T</w:t>
      </w:r>
      <w:r w:rsidRPr="00BE2CE6">
        <w:t xml:space="preserve">he sampling of </w:t>
      </w:r>
      <w:r>
        <w:t xml:space="preserve">PHAs </w:t>
      </w:r>
      <w:r w:rsidR="00E36F6E">
        <w:t xml:space="preserve">service areas </w:t>
      </w:r>
      <w:r w:rsidR="00CA122C">
        <w:t>for the landlord sample</w:t>
      </w:r>
      <w:r>
        <w:t xml:space="preserve"> </w:t>
      </w:r>
      <w:r w:rsidR="00D51311">
        <w:t>is purpos</w:t>
      </w:r>
      <w:r w:rsidR="00D6203E">
        <w:t>ive</w:t>
      </w:r>
      <w:r w:rsidR="00D51311">
        <w:t xml:space="preserve"> and requires no statistical methodology plan</w:t>
      </w:r>
      <w:r w:rsidRPr="00BE2CE6">
        <w:t xml:space="preserve">. </w:t>
      </w:r>
      <w:r w:rsidR="00947202">
        <w:t xml:space="preserve">We </w:t>
      </w:r>
      <w:r w:rsidR="00106475">
        <w:t xml:space="preserve">will </w:t>
      </w:r>
      <w:r w:rsidRPr="00C174D9" w:rsidR="00C174D9">
        <w:t xml:space="preserve">randomly select the </w:t>
      </w:r>
      <w:r w:rsidR="00040C3B">
        <w:t>samp</w:t>
      </w:r>
      <w:r w:rsidR="00C74EC2">
        <w:t>le</w:t>
      </w:r>
      <w:r w:rsidR="00C33CA5">
        <w:t xml:space="preserve"> </w:t>
      </w:r>
      <w:r w:rsidRPr="00C174D9" w:rsidR="00C174D9">
        <w:t xml:space="preserve">of landlords within these service areas stratified </w:t>
      </w:r>
      <w:r w:rsidR="00C33CA5">
        <w:t>based on landlord relationship to the HCV program</w:t>
      </w:r>
      <w:r w:rsidRPr="00C174D9" w:rsidR="00C174D9">
        <w:t xml:space="preserve"> (in the program or no),</w:t>
      </w:r>
      <w:r w:rsidR="00A47458">
        <w:t xml:space="preserve"> type and size of landlords (corporate </w:t>
      </w:r>
      <w:r w:rsidR="00774644">
        <w:t xml:space="preserve">large landlords </w:t>
      </w:r>
      <w:r w:rsidR="00EA21D5">
        <w:t>or small individual owners),</w:t>
      </w:r>
      <w:r w:rsidR="00306132">
        <w:t xml:space="preserve"> a</w:t>
      </w:r>
      <w:r w:rsidR="00B926CF">
        <w:t>n</w:t>
      </w:r>
      <w:r w:rsidR="00306132">
        <w:t>d geographical</w:t>
      </w:r>
      <w:r w:rsidR="00C33CA5">
        <w:t xml:space="preserve"> distribution of properties to ensure that, as best we can, we </w:t>
      </w:r>
      <w:r w:rsidRPr="00C174D9" w:rsidR="00C174D9">
        <w:t>have a representative sample of landlords</w:t>
      </w:r>
      <w:r w:rsidR="00C33CA5">
        <w:t xml:space="preserve"> in our interviews.</w:t>
      </w:r>
    </w:p>
    <w:p w:rsidR="00E339B3" w:rsidRPr="002619D3" w:rsidP="00236B01" w14:paraId="10123C25" w14:textId="4C6BBF76">
      <w:pPr>
        <w:pStyle w:val="Heading3"/>
      </w:pPr>
      <w:r w:rsidRPr="002619D3">
        <w:t>B.2.2</w:t>
      </w:r>
      <w:r w:rsidR="001D0620">
        <w:t>:</w:t>
      </w:r>
      <w:r w:rsidRPr="002619D3">
        <w:t xml:space="preserve"> Estimation Procedures</w:t>
      </w:r>
    </w:p>
    <w:p w:rsidR="00B86D66" w:rsidRPr="00500E02" w:rsidP="00500E02" w14:paraId="0A784965" w14:textId="77777777">
      <w:pPr>
        <w:pStyle w:val="BodyText"/>
        <w:rPr>
          <w:rFonts w:asciiTheme="minorBidi" w:hAnsiTheme="minorBidi" w:cstheme="minorBidi"/>
          <w:b/>
          <w:bCs/>
          <w:i/>
          <w:iCs/>
          <w:sz w:val="20"/>
          <w:szCs w:val="18"/>
        </w:rPr>
      </w:pPr>
      <w:r w:rsidRPr="00500E02">
        <w:rPr>
          <w:rFonts w:asciiTheme="minorBidi" w:hAnsiTheme="minorBidi" w:cstheme="minorBidi"/>
          <w:b/>
          <w:bCs/>
          <w:i/>
          <w:iCs/>
          <w:sz w:val="20"/>
          <w:szCs w:val="18"/>
        </w:rPr>
        <w:t>Primary Data Collection Activities (Web Survey, PHA interviews, and Landlord Interviews)</w:t>
      </w:r>
    </w:p>
    <w:p w:rsidR="00B86D66" w:rsidP="00B86D66" w14:paraId="43A44BBB" w14:textId="763F1104">
      <w:pPr>
        <w:pStyle w:val="BodyText"/>
      </w:pPr>
      <w:r w:rsidRPr="00574240">
        <w:t xml:space="preserve">The site visits </w:t>
      </w:r>
      <w:r>
        <w:t xml:space="preserve">and interviews </w:t>
      </w:r>
      <w:r w:rsidRPr="00574240">
        <w:t>are designed to provide in-depth qualitative informatio</w:t>
      </w:r>
      <w:r>
        <w:t>n</w:t>
      </w:r>
      <w:r w:rsidRPr="00574240">
        <w:t>; no estimation procedures will be used. The data analysis will be descriptive.</w:t>
      </w:r>
    </w:p>
    <w:p w:rsidR="00E339B3" w:rsidRPr="004F1FB4" w:rsidP="00236B01" w14:paraId="10123C9C" w14:textId="77777777">
      <w:pPr>
        <w:pStyle w:val="Heading3"/>
      </w:pPr>
      <w:r>
        <w:t>B.2.3</w:t>
      </w:r>
      <w:r w:rsidR="001D0620">
        <w:t>:</w:t>
      </w:r>
      <w:r>
        <w:t xml:space="preserve"> </w:t>
      </w:r>
      <w:r w:rsidRPr="004F1FB4">
        <w:t>Who Will Collect the Information and How It Will Be Done</w:t>
      </w:r>
    </w:p>
    <w:p w:rsidR="00E339B3" w:rsidRPr="00500E02" w:rsidP="00500E02" w14:paraId="10123C9D" w14:textId="65C2782B">
      <w:pPr>
        <w:pStyle w:val="BodyText"/>
        <w:rPr>
          <w:rFonts w:asciiTheme="minorBidi" w:hAnsiTheme="minorBidi" w:cstheme="minorBidi"/>
          <w:b/>
          <w:bCs/>
          <w:i/>
          <w:iCs/>
          <w:sz w:val="20"/>
          <w:szCs w:val="18"/>
        </w:rPr>
      </w:pPr>
      <w:r w:rsidRPr="00500E02">
        <w:rPr>
          <w:rFonts w:asciiTheme="minorBidi" w:hAnsiTheme="minorBidi" w:cstheme="minorBidi"/>
          <w:b/>
          <w:bCs/>
          <w:i/>
          <w:iCs/>
          <w:sz w:val="20"/>
          <w:szCs w:val="18"/>
        </w:rPr>
        <w:t>PHA Web Surveys</w:t>
      </w:r>
    </w:p>
    <w:p w:rsidR="009D2C66" w:rsidP="00500E02" w14:paraId="14F47A8A" w14:textId="26A3F379">
      <w:pPr>
        <w:pStyle w:val="BodyText"/>
      </w:pPr>
      <w:r>
        <w:t>All 2</w:t>
      </w:r>
      <w:r w:rsidR="0062791F">
        <w:t>8</w:t>
      </w:r>
      <w:r>
        <w:t xml:space="preserve"> treatment PHAs and all 11</w:t>
      </w:r>
      <w:r w:rsidR="0062791F">
        <w:t>2</w:t>
      </w:r>
      <w:r>
        <w:t xml:space="preserve"> comparison PHAs will receive a baseline web survey in year 2 and a follow-up survey in year 5.</w:t>
      </w:r>
      <w:r w:rsidR="00500E02">
        <w:t xml:space="preserve"> </w:t>
      </w:r>
      <w:r>
        <w:t xml:space="preserve">We will send the link to the survey to director of the HCV </w:t>
      </w:r>
      <w:r w:rsidR="00D80718">
        <w:t>program,</w:t>
      </w:r>
      <w:r>
        <w:t xml:space="preserve"> and we will ask them to identify the appropriate person or people to complete the survey. We will program surveys using Confirmit, using a mix of open-ended and close-ended items. Surveys will take approximately 30 minutes to complete. </w:t>
      </w:r>
    </w:p>
    <w:p w:rsidR="00304B6F" w:rsidRPr="00304B6F" w:rsidP="00304B6F" w14:paraId="574C2B4F" w14:textId="08207218">
      <w:pPr>
        <w:pStyle w:val="BodyText"/>
        <w:rPr>
          <w:rFonts w:asciiTheme="minorBidi" w:hAnsiTheme="minorBidi" w:cstheme="minorBidi"/>
          <w:b/>
          <w:bCs/>
          <w:i/>
          <w:iCs/>
          <w:sz w:val="20"/>
          <w:szCs w:val="18"/>
        </w:rPr>
      </w:pPr>
      <w:r>
        <w:rPr>
          <w:rFonts w:asciiTheme="minorBidi" w:hAnsiTheme="minorBidi" w:cstheme="minorBidi"/>
          <w:b/>
          <w:bCs/>
          <w:i/>
          <w:iCs/>
          <w:sz w:val="20"/>
          <w:szCs w:val="18"/>
        </w:rPr>
        <w:t>PHA Phone Interviews</w:t>
      </w:r>
    </w:p>
    <w:p w:rsidR="001A4183" w:rsidP="00CF257F" w14:paraId="14F49972" w14:textId="1AB25582">
      <w:pPr>
        <w:pStyle w:val="BodyText"/>
      </w:pPr>
      <w:r>
        <w:t>W</w:t>
      </w:r>
      <w:r w:rsidRPr="007F65CF">
        <w:t xml:space="preserve">e will conduct phone interviews with all treatment PHAs in </w:t>
      </w:r>
      <w:r>
        <w:t>y</w:t>
      </w:r>
      <w:r w:rsidRPr="007F65CF">
        <w:t xml:space="preserve">ear 3. As with site visits, we will use </w:t>
      </w:r>
      <w:r>
        <w:t>existing</w:t>
      </w:r>
      <w:r w:rsidRPr="007F65CF">
        <w:t xml:space="preserve"> data to compile a summary of key PHA characteristics prior to the interviews. We will schedule up to </w:t>
      </w:r>
      <w:r>
        <w:t>three</w:t>
      </w:r>
      <w:r w:rsidRPr="007F65CF">
        <w:t xml:space="preserve"> interviews at each PHA. Each interview will be attended by </w:t>
      </w:r>
      <w:r>
        <w:t>two</w:t>
      </w:r>
      <w:r w:rsidRPr="007F65CF">
        <w:t xml:space="preserve"> members of the study team, a lead interviewer and a notetaker, ideally the same people who participated in site visits at the PHA in </w:t>
      </w:r>
      <w:r>
        <w:t>y</w:t>
      </w:r>
      <w:r w:rsidRPr="007F65CF">
        <w:t>ear 2. Interviews will last approximately 30 minutes and will be recorded and transcribed with participants’ permission.</w:t>
      </w:r>
      <w:r w:rsidRPr="00CF257F">
        <w:t xml:space="preserve"> </w:t>
      </w:r>
      <w:r>
        <w:t xml:space="preserve">If participants are unwilling to be recorded, </w:t>
      </w:r>
      <w:r>
        <w:t>Abt</w:t>
      </w:r>
      <w:r>
        <w:t xml:space="preserve"> staff will take detailed notes.</w:t>
      </w:r>
    </w:p>
    <w:p w:rsidR="00F9546A" w:rsidRPr="00500E02" w:rsidP="00500E02" w14:paraId="4EDCDA96" w14:textId="71FD13FC">
      <w:pPr>
        <w:pStyle w:val="BodyText"/>
        <w:rPr>
          <w:rFonts w:asciiTheme="minorBidi" w:hAnsiTheme="minorBidi" w:cstheme="minorBidi"/>
          <w:b/>
          <w:bCs/>
          <w:i/>
          <w:iCs/>
          <w:sz w:val="20"/>
          <w:szCs w:val="18"/>
        </w:rPr>
      </w:pPr>
      <w:r w:rsidRPr="00500E02">
        <w:rPr>
          <w:rFonts w:asciiTheme="minorBidi" w:hAnsiTheme="minorBidi" w:cstheme="minorBidi"/>
          <w:b/>
          <w:bCs/>
          <w:i/>
          <w:iCs/>
          <w:sz w:val="20"/>
          <w:szCs w:val="18"/>
        </w:rPr>
        <w:t xml:space="preserve">In-Person </w:t>
      </w:r>
      <w:r w:rsidRPr="00500E02">
        <w:rPr>
          <w:rFonts w:asciiTheme="minorBidi" w:hAnsiTheme="minorBidi" w:cstheme="minorBidi"/>
          <w:b/>
          <w:bCs/>
          <w:i/>
          <w:iCs/>
          <w:sz w:val="20"/>
          <w:szCs w:val="18"/>
        </w:rPr>
        <w:t>Interviews with PHAs</w:t>
      </w:r>
    </w:p>
    <w:p w:rsidR="00AB73FA" w:rsidP="00AB73FA" w14:paraId="65E365E2" w14:textId="77777777">
      <w:pPr>
        <w:pStyle w:val="BodyText"/>
      </w:pPr>
      <w:r w:rsidRPr="0005062E">
        <w:t xml:space="preserve">Two members of the study team will attend interviews, a lead interviewer and a notetaker. Each interview will take 30-60 minutes depending on the topic. With participants’ permission, interviews will be recorded and transcribed. </w:t>
      </w:r>
    </w:p>
    <w:p w:rsidR="00F9546A" w:rsidRPr="005A2ABC" w:rsidP="0005062E" w14:paraId="289CEB2F" w14:textId="349226B3">
      <w:pPr>
        <w:pStyle w:val="Heading4"/>
      </w:pPr>
      <w:r>
        <w:t>Interviews with Landlords</w:t>
      </w:r>
    </w:p>
    <w:p w:rsidR="004057EE" w:rsidRPr="004057EE" w:rsidP="004057EE" w14:paraId="169A596F" w14:textId="77777777">
      <w:pPr>
        <w:pStyle w:val="Heading3"/>
        <w:rPr>
          <w:rFonts w:ascii="Times New Roman" w:hAnsi="Times New Roman"/>
          <w:b w:val="0"/>
          <w:color w:val="auto"/>
          <w:sz w:val="22"/>
        </w:rPr>
      </w:pPr>
      <w:r w:rsidRPr="004057EE">
        <w:rPr>
          <w:rFonts w:ascii="Times New Roman" w:hAnsi="Times New Roman"/>
          <w:b w:val="0"/>
          <w:color w:val="auto"/>
          <w:sz w:val="22"/>
        </w:rPr>
        <w:t xml:space="preserve">A single interviewer will conduct each interview, which will last 1-2 hours. In-person interviews will take place at a public location (for example, coffee shop, library, park) convenient to the respondent. For the TIA interviews, we will ask PHAs to make space in their offices available for interviews, although we anticipate that many landlords will prefer that we meet them elsewhere. We will conduct remote interviews using video conference technology such as Zoom, Webex, or Microsoft Teams. All in-person and remote interviews will be recorded. At the end of the interview (either in person or by email after remote interviews), we will present landlords with a $50 gift card in appreciation for their participation. Should a landlord not wish to be recorded, we will write detailed notes during the interview. </w:t>
      </w:r>
    </w:p>
    <w:p w:rsidR="004057EE" w:rsidP="004057EE" w14:paraId="0C5BC513" w14:textId="77777777">
      <w:pPr>
        <w:pStyle w:val="Heading3"/>
        <w:rPr>
          <w:rFonts w:ascii="Times New Roman" w:hAnsi="Times New Roman"/>
          <w:b w:val="0"/>
          <w:color w:val="auto"/>
          <w:sz w:val="22"/>
        </w:rPr>
      </w:pPr>
      <w:r w:rsidRPr="004057EE">
        <w:rPr>
          <w:rFonts w:ascii="Times New Roman" w:hAnsi="Times New Roman"/>
          <w:b w:val="0"/>
          <w:color w:val="auto"/>
          <w:sz w:val="22"/>
        </w:rPr>
        <w:t>Following each interview, the interviewer will record a voice or written memo (10-15 minutes) describing the respondent and, for in-person interviews, the setting of the interview. The memo will describe insights that may not have been recorded and will summarize key points of the interview to facilitate analysis.</w:t>
      </w:r>
    </w:p>
    <w:p w:rsidR="00E339B3" w:rsidP="004057EE" w14:paraId="10123CA9" w14:textId="5BF47B7F">
      <w:pPr>
        <w:pStyle w:val="Heading3"/>
      </w:pPr>
      <w:r w:rsidRPr="004F1FB4">
        <w:t>B.2.</w:t>
      </w:r>
      <w:r>
        <w:t>4</w:t>
      </w:r>
      <w:r w:rsidR="001D0620">
        <w:t xml:space="preserve">: </w:t>
      </w:r>
      <w:r w:rsidRPr="004F1FB4">
        <w:t>Procedures with Special Populations</w:t>
      </w:r>
    </w:p>
    <w:p w:rsidR="00D373C7" w:rsidRPr="00D373C7" w:rsidP="00D373C7" w14:paraId="4D329013" w14:textId="164783C2">
      <w:pPr>
        <w:pStyle w:val="BodyText"/>
      </w:pPr>
      <w:r>
        <w:t xml:space="preserve">We do not believe we will be communicating </w:t>
      </w:r>
      <w:r w:rsidR="04407994">
        <w:t>with people</w:t>
      </w:r>
      <w:r>
        <w:t xml:space="preserve"> from special populations. </w:t>
      </w:r>
    </w:p>
    <w:p w:rsidR="00E339B3" w:rsidP="00236B01" w14:paraId="10123CAD" w14:textId="594C5552">
      <w:pPr>
        <w:pStyle w:val="Heading3"/>
      </w:pPr>
      <w:r>
        <w:t>B.2.5</w:t>
      </w:r>
      <w:r w:rsidR="1F2DC1D1">
        <w:t>:</w:t>
      </w:r>
      <w:r>
        <w:t xml:space="preserve"> Use of Periodic Data Collection Cycles to Reduce Burden</w:t>
      </w:r>
    </w:p>
    <w:p w:rsidR="00D243AC" w:rsidRPr="00D243AC" w:rsidP="00D243AC" w14:paraId="60721303" w14:textId="240B191B">
      <w:pPr>
        <w:pStyle w:val="BodyText"/>
      </w:pPr>
      <w:r>
        <w:t xml:space="preserve">We have minimized burden on treatment PHAs by having telephone interviews in year 3 and just </w:t>
      </w:r>
      <w:r w:rsidR="00AD668A">
        <w:t>two</w:t>
      </w:r>
      <w:r>
        <w:t xml:space="preserve"> site visits, one at baseline </w:t>
      </w:r>
      <w:r w:rsidR="29BF75A4">
        <w:t xml:space="preserve">(year 2) </w:t>
      </w:r>
      <w:r>
        <w:t>and one after multiple years of implementation</w:t>
      </w:r>
      <w:r w:rsidR="29BF75A4">
        <w:t xml:space="preserve"> (year 5)</w:t>
      </w:r>
      <w:r>
        <w:t xml:space="preserve">. </w:t>
      </w:r>
    </w:p>
    <w:p w:rsidR="00E339B3" w:rsidP="00F223FD" w14:paraId="10123CB0" w14:textId="17F91F19">
      <w:pPr>
        <w:pStyle w:val="Heading2"/>
      </w:pPr>
      <w:bookmarkStart w:id="7" w:name="_Toc322083617"/>
      <w:bookmarkStart w:id="8" w:name="_Toc115355433"/>
      <w:r w:rsidRPr="004F1FB4">
        <w:t>B.3</w:t>
      </w:r>
      <w:r w:rsidR="00D1528B">
        <w:t xml:space="preserve">: </w:t>
      </w:r>
      <w:r w:rsidRPr="004F1FB4">
        <w:t>Methods to Maximize Response Rates</w:t>
      </w:r>
      <w:bookmarkEnd w:id="7"/>
      <w:r>
        <w:t xml:space="preserve"> and Deal with Non-response</w:t>
      </w:r>
      <w:bookmarkEnd w:id="8"/>
    </w:p>
    <w:p w:rsidR="007404EE" w:rsidP="007404EE" w14:paraId="7993DBED" w14:textId="2A2E7B20">
      <w:pPr>
        <w:pStyle w:val="Heading4"/>
      </w:pPr>
      <w:bookmarkStart w:id="9" w:name="_Toc322083618"/>
      <w:r>
        <w:t>PHA Web Surveys and Interviews</w:t>
      </w:r>
    </w:p>
    <w:p w:rsidR="007404EE" w:rsidRPr="00A43C55" w:rsidP="007404EE" w14:paraId="519F6D18" w14:textId="6438A838">
      <w:pPr>
        <w:pStyle w:val="BodyText"/>
      </w:pPr>
      <w:r w:rsidRPr="00A43C55">
        <w:t xml:space="preserve">Before starting recruitment, we will contact the directors of each HUD Regional Office to notify them of the study and request their support. For treatment PHAs, we will coordinate with HUD to ensure that PHA leadership and staff understand the timeline and expectations for PHA data collection from the outset. </w:t>
      </w:r>
    </w:p>
    <w:p w:rsidR="007404EE" w:rsidRPr="00A43C55" w:rsidP="007404EE" w14:paraId="6C291FC9" w14:textId="77777777">
      <w:pPr>
        <w:pStyle w:val="BodyText"/>
      </w:pPr>
      <w:r w:rsidRPr="00A43C55">
        <w:t>For the 11</w:t>
      </w:r>
      <w:r>
        <w:t>2</w:t>
      </w:r>
      <w:r w:rsidRPr="00A43C55">
        <w:t xml:space="preserve"> comparison PHAs, we will ask HUD to send a letter from the Assistant Secretary for Public and Indian Housing a few weeks before the web survey will be fielded in year 2. The letter should explain the MTW landlord incentive evaluation, notify the PHA that it has been selected as part of the comparison group, and request the PHA’s cooperation in the web survey. For the 2</w:t>
      </w:r>
      <w:r>
        <w:t>2</w:t>
      </w:r>
      <w:r w:rsidRPr="00A43C55">
        <w:t xml:space="preserve"> in-depth comparison PHAs, the letter should also ask them to agree to a site visit and explain its timing. In year 5, we will ask the Assistant Secretary to send another letter to all 11</w:t>
      </w:r>
      <w:r>
        <w:t>2</w:t>
      </w:r>
      <w:r w:rsidRPr="00A43C55">
        <w:t xml:space="preserve"> comparison PHAs about the second web survey, and a follow-up letter with more specifics about the commitment to the site visit to the 2</w:t>
      </w:r>
      <w:r>
        <w:t>2</w:t>
      </w:r>
      <w:r w:rsidRPr="00A43C55">
        <w:t xml:space="preserve"> in-depth comparison PHAs. </w:t>
      </w:r>
    </w:p>
    <w:p w:rsidR="007404EE" w:rsidP="00F213A3" w14:paraId="519EBC02" w14:textId="00788083">
      <w:pPr>
        <w:pStyle w:val="BodyText"/>
      </w:pPr>
      <w:r w:rsidRPr="00A43C55">
        <w:t>To prepare for our site visits, we will reach out to the directors of both treatment and comparison PHAs, asking them to identify the appropriate key contact at the PHA. We will email that person to coordinate site visit logistics and schedule.</w:t>
      </w:r>
    </w:p>
    <w:p w:rsidR="00F213A3" w:rsidP="00F213A3" w14:paraId="01F9E8BC" w14:textId="23AD0728">
      <w:pPr>
        <w:pStyle w:val="Heading4"/>
      </w:pPr>
      <w:r>
        <w:t>Landlord Interviews</w:t>
      </w:r>
    </w:p>
    <w:p w:rsidR="009978C5" w:rsidRPr="00F25A6F" w:rsidP="00F25A6F" w14:paraId="780FE0D3" w14:textId="7AC9264B">
      <w:pPr>
        <w:pStyle w:val="BodyText"/>
        <w:rPr>
          <w:u w:val="single"/>
        </w:rPr>
      </w:pPr>
      <w:r w:rsidRPr="00500E02">
        <w:rPr>
          <w:u w:val="single"/>
        </w:rPr>
        <w:t xml:space="preserve">Treatment </w:t>
      </w:r>
      <w:r w:rsidR="00F25A6F">
        <w:rPr>
          <w:u w:val="single"/>
        </w:rPr>
        <w:t xml:space="preserve">PHA </w:t>
      </w:r>
      <w:r w:rsidRPr="00500E02">
        <w:rPr>
          <w:u w:val="single"/>
        </w:rPr>
        <w:t>Landlord Recruitment</w:t>
      </w:r>
    </w:p>
    <w:p w:rsidR="009978C5" w:rsidRPr="007F65CF" w:rsidP="009978C5" w14:paraId="1430F245" w14:textId="77777777">
      <w:pPr>
        <w:pStyle w:val="BodyText"/>
      </w:pPr>
      <w:r w:rsidRPr="007F65CF">
        <w:t xml:space="preserve">We will recruit landlords differently according to their relationship to the HCV program. We will identify the HCV-participating landlords in treatment PHAs using PHA records such as </w:t>
      </w:r>
      <w:r>
        <w:t xml:space="preserve">HUD Form </w:t>
      </w:r>
      <w:r w:rsidRPr="007F65CF">
        <w:t>50058 or the addresses to which the PHA</w:t>
      </w:r>
      <w:r>
        <w:t>s</w:t>
      </w:r>
      <w:r w:rsidRPr="007F65CF">
        <w:t xml:space="preserve"> send the rent subsidy checks. We may also collect landlord contact information from websites such as</w:t>
      </w:r>
      <w:r w:rsidRPr="00582EA8">
        <w:t xml:space="preserve"> </w:t>
      </w:r>
      <w:hyperlink r:id="rId17">
        <w:r w:rsidRPr="545BA3DB">
          <w:rPr>
            <w:rStyle w:val="Hyperlink"/>
          </w:rPr>
          <w:t>www.affordablehousing.com</w:t>
        </w:r>
      </w:hyperlink>
      <w:r>
        <w:t>,</w:t>
      </w:r>
      <w:r w:rsidRPr="007F65CF">
        <w:t xml:space="preserve"> a website </w:t>
      </w:r>
      <w:r>
        <w:t xml:space="preserve">on which </w:t>
      </w:r>
      <w:r w:rsidRPr="007F65CF">
        <w:t>PHAs will often request HCV landlords list their units. We will identify non-</w:t>
      </w:r>
      <w:r>
        <w:t>HCV</w:t>
      </w:r>
      <w:r w:rsidRPr="007F65CF">
        <w:t xml:space="preserve"> landlords in treatment PHAs from Craigslist</w:t>
      </w:r>
      <w:r>
        <w:t xml:space="preserve"> and other apartment listing sites</w:t>
      </w:r>
      <w:r w:rsidRPr="007F65CF">
        <w:t xml:space="preserve">. We will screen to ensure we include only listings that contain valid contact information and have rents between 50 and </w:t>
      </w:r>
      <w:r>
        <w:t xml:space="preserve">the larger of </w:t>
      </w:r>
      <w:r w:rsidRPr="007F65CF">
        <w:t>1</w:t>
      </w:r>
      <w:r>
        <w:t>20</w:t>
      </w:r>
      <w:r w:rsidRPr="007F65CF">
        <w:t xml:space="preserve"> percent of the FMR</w:t>
      </w:r>
      <w:r>
        <w:t xml:space="preserve"> or 110 percent of SAFMR</w:t>
      </w:r>
      <w:r w:rsidRPr="007F65CF">
        <w:t xml:space="preserve">. </w:t>
      </w:r>
      <w:r>
        <w:t xml:space="preserve">We will screen listings in two ways. First, we will screen to assess </w:t>
      </w:r>
      <w:r>
        <w:t>whether or not</w:t>
      </w:r>
      <w:r>
        <w:t xml:space="preserve"> they mention Section 8 or HCV being welcomed by the landlord. </w:t>
      </w:r>
      <w:r w:rsidRPr="545BA3DB">
        <w:t>Second, for the TIA study</w:t>
      </w:r>
      <w:r>
        <w:t xml:space="preserve"> we will ask a landlord during the recruitment conversation whether they accept Section 8 or HCV. We are interested in landlords who are currently renting to and welcome HCV, as well as landlords who are not currently participating in the program. We will not be able to assess whether a landlord would not accept HCV unless they reveal this in the interview, since we are not conducting correspondence testing prior to recruiting for the landlord interviews.</w:t>
      </w:r>
    </w:p>
    <w:p w:rsidR="009978C5" w:rsidRPr="007F65CF" w:rsidP="009978C5" w14:paraId="34CAFF08" w14:textId="77777777">
      <w:pPr>
        <w:pStyle w:val="BodyText"/>
        <w:rPr>
          <w:szCs w:val="24"/>
        </w:rPr>
      </w:pPr>
      <w:r w:rsidRPr="007F65CF">
        <w:rPr>
          <w:szCs w:val="24"/>
        </w:rPr>
        <w:t xml:space="preserve">We will conduct recruitment in the </w:t>
      </w:r>
      <w:r>
        <w:rPr>
          <w:szCs w:val="24"/>
        </w:rPr>
        <w:t>service area</w:t>
      </w:r>
      <w:r w:rsidRPr="007F65CF">
        <w:rPr>
          <w:szCs w:val="24"/>
        </w:rPr>
        <w:t xml:space="preserve">s of treatment group PHAs slightly differently according to whether we are doing the TIA </w:t>
      </w:r>
      <w:r>
        <w:rPr>
          <w:szCs w:val="24"/>
        </w:rPr>
        <w:t>interviews</w:t>
      </w:r>
      <w:r w:rsidRPr="007F65CF">
        <w:rPr>
          <w:szCs w:val="24"/>
        </w:rPr>
        <w:t xml:space="preserve"> or the </w:t>
      </w:r>
      <w:r w:rsidRPr="007F65CF">
        <w:rPr>
          <w:szCs w:val="24"/>
        </w:rPr>
        <w:t>QuIP</w:t>
      </w:r>
      <w:r w:rsidRPr="007F65CF">
        <w:rPr>
          <w:szCs w:val="24"/>
        </w:rPr>
        <w:t xml:space="preserve"> </w:t>
      </w:r>
      <w:r>
        <w:rPr>
          <w:szCs w:val="24"/>
        </w:rPr>
        <w:t>interviews</w:t>
      </w:r>
      <w:r w:rsidRPr="007F65CF">
        <w:rPr>
          <w:szCs w:val="24"/>
        </w:rPr>
        <w:t xml:space="preserve">. Exhibit </w:t>
      </w:r>
      <w:r>
        <w:rPr>
          <w:szCs w:val="24"/>
        </w:rPr>
        <w:t>XX</w:t>
      </w:r>
      <w:r w:rsidRPr="007F65CF">
        <w:rPr>
          <w:szCs w:val="24"/>
        </w:rPr>
        <w:t xml:space="preserve"> provides details about the kinds of outreach and recruitment we will conduct in treatment group PHAs.</w:t>
      </w:r>
    </w:p>
    <w:p w:rsidR="009978C5" w:rsidRPr="007F65CF" w:rsidP="009978C5" w14:paraId="6AA6B80F" w14:textId="059C23B0">
      <w:pPr>
        <w:pStyle w:val="Caption"/>
      </w:pPr>
      <w:r w:rsidRPr="007F65CF">
        <w:t xml:space="preserve">Exhibit </w:t>
      </w:r>
      <w:r w:rsidR="00906007">
        <w:t>7</w:t>
      </w:r>
      <w:r w:rsidRPr="007F65CF">
        <w:t xml:space="preserve">: Details of Recruitment Materials for TIA and </w:t>
      </w:r>
      <w:r w:rsidRPr="007F65CF">
        <w:t>QuIP</w:t>
      </w:r>
      <w:r w:rsidRPr="007F65CF">
        <w:t xml:space="preserve"> Landlord Data Collection</w:t>
      </w:r>
      <w:r>
        <w:t>, Treatment Group PHAs Only</w:t>
      </w:r>
    </w:p>
    <w:tbl>
      <w:tblPr>
        <w:tblStyle w:val="TableGrid"/>
        <w:tblW w:w="9317" w:type="dxa"/>
        <w:tblLayout w:type="fixed"/>
        <w:tblCellMar>
          <w:left w:w="43" w:type="dxa"/>
          <w:right w:w="43" w:type="dxa"/>
        </w:tblCellMar>
        <w:tblLook w:val="04A0"/>
      </w:tblPr>
      <w:tblGrid>
        <w:gridCol w:w="1975"/>
        <w:gridCol w:w="3671"/>
        <w:gridCol w:w="3671"/>
      </w:tblGrid>
      <w:tr w14:paraId="623D0497" w14:textId="77777777">
        <w:tblPrEx>
          <w:tblW w:w="9317" w:type="dxa"/>
          <w:tblLayout w:type="fixed"/>
          <w:tblCellMar>
            <w:left w:w="43" w:type="dxa"/>
            <w:right w:w="43" w:type="dxa"/>
          </w:tblCellMar>
          <w:tblLook w:val="04A0"/>
        </w:tblPrEx>
        <w:trPr>
          <w:tblHeader/>
        </w:trPr>
        <w:tc>
          <w:tcPr>
            <w:tcW w:w="1975" w:type="dxa"/>
            <w:shd w:val="clear" w:color="auto" w:fill="DA291C" w:themeFill="accent1"/>
            <w:vAlign w:val="bottom"/>
          </w:tcPr>
          <w:p w:rsidR="009978C5" w:rsidRPr="00512327" w14:paraId="18F015B5" w14:textId="77777777">
            <w:pPr>
              <w:pStyle w:val="TableColumnHeaderLeft"/>
            </w:pPr>
          </w:p>
        </w:tc>
        <w:tc>
          <w:tcPr>
            <w:tcW w:w="3671" w:type="dxa"/>
            <w:shd w:val="clear" w:color="auto" w:fill="DA291C" w:themeFill="accent1"/>
            <w:vAlign w:val="bottom"/>
          </w:tcPr>
          <w:p w:rsidR="009978C5" w:rsidRPr="00787290" w14:paraId="4D7D76B4" w14:textId="77777777">
            <w:pPr>
              <w:pStyle w:val="TableColumnHeader"/>
              <w:rPr>
                <w:color w:val="FFFFFF"/>
              </w:rPr>
            </w:pPr>
            <w:r w:rsidRPr="00787290">
              <w:rPr>
                <w:color w:val="FFFFFF"/>
              </w:rPr>
              <w:t>TIA Interview Landlords</w:t>
            </w:r>
          </w:p>
        </w:tc>
        <w:tc>
          <w:tcPr>
            <w:tcW w:w="3671" w:type="dxa"/>
            <w:shd w:val="clear" w:color="auto" w:fill="DA291C" w:themeFill="accent1"/>
            <w:vAlign w:val="bottom"/>
          </w:tcPr>
          <w:p w:rsidR="009978C5" w:rsidRPr="00787290" w14:paraId="613FA8D6" w14:textId="77777777">
            <w:pPr>
              <w:pStyle w:val="TableColumnHeader"/>
              <w:rPr>
                <w:color w:val="FFFFFF"/>
              </w:rPr>
            </w:pPr>
            <w:r w:rsidRPr="00787290">
              <w:rPr>
                <w:color w:val="FFFFFF"/>
              </w:rPr>
              <w:t>QuIP</w:t>
            </w:r>
            <w:r w:rsidRPr="00787290">
              <w:rPr>
                <w:color w:val="FFFFFF"/>
              </w:rPr>
              <w:t xml:space="preserve"> Interview Landlords</w:t>
            </w:r>
          </w:p>
        </w:tc>
      </w:tr>
      <w:tr w14:paraId="6FD7171A" w14:textId="77777777">
        <w:tblPrEx>
          <w:tblW w:w="9317" w:type="dxa"/>
          <w:tblLayout w:type="fixed"/>
          <w:tblCellMar>
            <w:left w:w="43" w:type="dxa"/>
            <w:right w:w="43" w:type="dxa"/>
          </w:tblCellMar>
          <w:tblLook w:val="04A0"/>
        </w:tblPrEx>
        <w:tc>
          <w:tcPr>
            <w:tcW w:w="1975" w:type="dxa"/>
          </w:tcPr>
          <w:p w:rsidR="009978C5" w:rsidRPr="009A0F6F" w14:paraId="59E5EF71" w14:textId="77777777">
            <w:pPr>
              <w:pStyle w:val="TableTextBold"/>
            </w:pPr>
            <w:r w:rsidRPr="009A0F6F">
              <w:t>PHA outreach to HCV landlords</w:t>
            </w:r>
          </w:p>
        </w:tc>
        <w:tc>
          <w:tcPr>
            <w:tcW w:w="3671" w:type="dxa"/>
          </w:tcPr>
          <w:p w:rsidR="009978C5" w:rsidRPr="009A0F6F" w14:paraId="651FB30A" w14:textId="77777777">
            <w:pPr>
              <w:pStyle w:val="TableText"/>
              <w:rPr>
                <w:rFonts w:ascii="Arial Narrow" w:hAnsi="Arial Narrow"/>
              </w:rPr>
            </w:pPr>
            <w:r w:rsidRPr="009A0F6F">
              <w:rPr>
                <w:rFonts w:ascii="Arial Narrow" w:hAnsi="Arial Narrow"/>
              </w:rPr>
              <w:t>We will ask PHAs to send an outreach letter to all sampled HCV landlords to alert them to the interviews and encourage participation</w:t>
            </w:r>
          </w:p>
        </w:tc>
        <w:tc>
          <w:tcPr>
            <w:tcW w:w="3671" w:type="dxa"/>
          </w:tcPr>
          <w:p w:rsidR="009978C5" w:rsidRPr="009A0F6F" w14:paraId="0C24838B" w14:textId="77777777">
            <w:pPr>
              <w:pStyle w:val="TableText"/>
              <w:rPr>
                <w:rFonts w:ascii="Arial Narrow" w:hAnsi="Arial Narrow"/>
              </w:rPr>
            </w:pPr>
            <w:r w:rsidRPr="009A0F6F">
              <w:rPr>
                <w:rFonts w:ascii="Arial Narrow" w:hAnsi="Arial Narrow"/>
              </w:rPr>
              <w:t>None; to minimize awareness of interviews being part of research</w:t>
            </w:r>
          </w:p>
        </w:tc>
      </w:tr>
      <w:tr w14:paraId="6658DB21" w14:textId="77777777">
        <w:tblPrEx>
          <w:tblW w:w="9317" w:type="dxa"/>
          <w:tblLayout w:type="fixed"/>
          <w:tblCellMar>
            <w:left w:w="43" w:type="dxa"/>
            <w:right w:w="43" w:type="dxa"/>
          </w:tblCellMar>
          <w:tblLook w:val="04A0"/>
        </w:tblPrEx>
        <w:tc>
          <w:tcPr>
            <w:tcW w:w="1975" w:type="dxa"/>
          </w:tcPr>
          <w:p w:rsidR="009978C5" w:rsidRPr="009A0F6F" w14:paraId="299E35B6" w14:textId="77777777">
            <w:pPr>
              <w:pStyle w:val="TableTextBold"/>
            </w:pPr>
            <w:r w:rsidRPr="009A0F6F">
              <w:t>Abt</w:t>
            </w:r>
            <w:r w:rsidRPr="009A0F6F">
              <w:t xml:space="preserve"> study team letter</w:t>
            </w:r>
          </w:p>
        </w:tc>
        <w:tc>
          <w:tcPr>
            <w:tcW w:w="3671" w:type="dxa"/>
          </w:tcPr>
          <w:p w:rsidR="009978C5" w:rsidRPr="009A0F6F" w14:paraId="357F44EF" w14:textId="77777777">
            <w:pPr>
              <w:pStyle w:val="TableText"/>
              <w:rPr>
                <w:rFonts w:ascii="Arial Narrow" w:hAnsi="Arial Narrow"/>
              </w:rPr>
            </w:pPr>
            <w:r w:rsidRPr="009A0F6F">
              <w:rPr>
                <w:rFonts w:ascii="Arial Narrow" w:hAnsi="Arial Narrow"/>
              </w:rPr>
              <w:t>We will send a letter to the selected sample of HCV and non-HCV landlords directly</w:t>
            </w:r>
          </w:p>
        </w:tc>
        <w:tc>
          <w:tcPr>
            <w:tcW w:w="3671" w:type="dxa"/>
          </w:tcPr>
          <w:p w:rsidR="009978C5" w:rsidRPr="009A0F6F" w14:paraId="6E84590B" w14:textId="77777777">
            <w:pPr>
              <w:pStyle w:val="TableText"/>
              <w:rPr>
                <w:rFonts w:ascii="Arial Narrow" w:hAnsi="Arial Narrow"/>
              </w:rPr>
            </w:pPr>
            <w:r w:rsidRPr="009A0F6F">
              <w:rPr>
                <w:rFonts w:ascii="Arial Narrow" w:hAnsi="Arial Narrow"/>
              </w:rPr>
              <w:t>We will send a letter to the selected sample of HCV and non-HCV landlords directly</w:t>
            </w:r>
          </w:p>
        </w:tc>
      </w:tr>
      <w:tr w14:paraId="3254E66D" w14:textId="77777777">
        <w:tblPrEx>
          <w:tblW w:w="9317" w:type="dxa"/>
          <w:tblLayout w:type="fixed"/>
          <w:tblCellMar>
            <w:left w:w="43" w:type="dxa"/>
            <w:right w:w="43" w:type="dxa"/>
          </w:tblCellMar>
          <w:tblLook w:val="04A0"/>
        </w:tblPrEx>
        <w:tc>
          <w:tcPr>
            <w:tcW w:w="1975" w:type="dxa"/>
          </w:tcPr>
          <w:p w:rsidR="009978C5" w:rsidRPr="009A0F6F" w14:paraId="79DB5C9F" w14:textId="77777777">
            <w:pPr>
              <w:pStyle w:val="TableTextBold"/>
            </w:pPr>
            <w:r w:rsidRPr="009A0F6F">
              <w:t>Abt</w:t>
            </w:r>
            <w:r w:rsidRPr="009A0F6F">
              <w:t xml:space="preserve"> study team phone calls/emails</w:t>
            </w:r>
          </w:p>
        </w:tc>
        <w:tc>
          <w:tcPr>
            <w:tcW w:w="3671" w:type="dxa"/>
          </w:tcPr>
          <w:p w:rsidR="009978C5" w:rsidRPr="009A0F6F" w14:paraId="6F7D4595" w14:textId="77777777">
            <w:pPr>
              <w:pStyle w:val="TableText"/>
              <w:rPr>
                <w:rFonts w:ascii="Arial Narrow" w:hAnsi="Arial Narrow"/>
              </w:rPr>
            </w:pPr>
            <w:r w:rsidRPr="009A0F6F">
              <w:rPr>
                <w:rFonts w:ascii="Arial Narrow" w:hAnsi="Arial Narrow"/>
              </w:rPr>
              <w:t>We will make up to 3 phone call and email follow-ups after the initial letter. When we do not have sufficient response, we will make an additional 3 phone calls, text messages, or emails</w:t>
            </w:r>
          </w:p>
        </w:tc>
        <w:tc>
          <w:tcPr>
            <w:tcW w:w="3671" w:type="dxa"/>
          </w:tcPr>
          <w:p w:rsidR="009978C5" w:rsidRPr="009A0F6F" w14:paraId="33E34EDB" w14:textId="77777777">
            <w:pPr>
              <w:pStyle w:val="TableText"/>
              <w:rPr>
                <w:rFonts w:ascii="Arial Narrow" w:hAnsi="Arial Narrow"/>
              </w:rPr>
            </w:pPr>
            <w:r w:rsidRPr="009A0F6F">
              <w:rPr>
                <w:rFonts w:ascii="Arial Narrow" w:hAnsi="Arial Narrow"/>
              </w:rPr>
              <w:t>We will make up to 3 phone call and email follow-ups after the initial letter. When we do not have sufficient response, we will make an additional 3 phone calls, text messages, or emails</w:t>
            </w:r>
          </w:p>
        </w:tc>
      </w:tr>
    </w:tbl>
    <w:p w:rsidR="009978C5" w:rsidRPr="007F65CF" w:rsidP="009978C5" w14:paraId="7E18A648" w14:textId="77777777">
      <w:pPr>
        <w:pStyle w:val="BodyTextNoSpaceAfter"/>
      </w:pPr>
    </w:p>
    <w:p w:rsidR="009978C5" w:rsidRPr="00500E02" w:rsidP="00500E02" w14:paraId="12B00B53" w14:textId="38907246">
      <w:pPr>
        <w:pStyle w:val="BodyText"/>
        <w:rPr>
          <w:u w:val="single"/>
        </w:rPr>
      </w:pPr>
      <w:r w:rsidRPr="00500E02">
        <w:rPr>
          <w:u w:val="single"/>
        </w:rPr>
        <w:t xml:space="preserve">Comparison </w:t>
      </w:r>
      <w:r w:rsidR="00F25A6F">
        <w:rPr>
          <w:u w:val="single"/>
        </w:rPr>
        <w:t xml:space="preserve">PHA </w:t>
      </w:r>
      <w:r w:rsidRPr="00500E02">
        <w:rPr>
          <w:u w:val="single"/>
        </w:rPr>
        <w:t>Landlord Recruitment</w:t>
      </w:r>
    </w:p>
    <w:p w:rsidR="009978C5" w:rsidP="009978C5" w14:paraId="06AF29AD" w14:textId="77777777">
      <w:pPr>
        <w:pStyle w:val="BodyText"/>
      </w:pPr>
      <w:r w:rsidRPr="007F65CF">
        <w:t xml:space="preserve">In the </w:t>
      </w:r>
      <w:r>
        <w:t>service area</w:t>
      </w:r>
      <w:r w:rsidRPr="007F65CF">
        <w:t xml:space="preserve">s of the comparison group PHAs, we will recruit landlords only for the TIA </w:t>
      </w:r>
      <w:r>
        <w:t>interviews</w:t>
      </w:r>
      <w:r w:rsidRPr="007F65CF">
        <w:t xml:space="preserve">. </w:t>
      </w:r>
      <w:r>
        <w:t>(</w:t>
      </w:r>
      <w:r w:rsidRPr="007F65CF">
        <w:t xml:space="preserve">The </w:t>
      </w:r>
      <w:r w:rsidRPr="007F65CF">
        <w:t>QuIP</w:t>
      </w:r>
      <w:r w:rsidRPr="007F65CF">
        <w:t xml:space="preserve"> data collection is designed to find how effective the </w:t>
      </w:r>
      <w:r>
        <w:t xml:space="preserve">MTW </w:t>
      </w:r>
      <w:r w:rsidRPr="007F65CF">
        <w:t>incentives are</w:t>
      </w:r>
      <w:r>
        <w:t>,</w:t>
      </w:r>
      <w:r w:rsidRPr="007F65CF">
        <w:t xml:space="preserve"> and thus is not relevant to the comparison PHAs.</w:t>
      </w:r>
      <w:r>
        <w:t>)</w:t>
      </w:r>
      <w:r w:rsidRPr="007F65CF">
        <w:t xml:space="preserve"> The </w:t>
      </w:r>
      <w:r>
        <w:t xml:space="preserve">comparison landlord </w:t>
      </w:r>
      <w:r w:rsidRPr="007F65CF">
        <w:t>sample will be selected from (</w:t>
      </w:r>
      <w:r>
        <w:t>1</w:t>
      </w:r>
      <w:r w:rsidRPr="007F65CF">
        <w:t xml:space="preserve">) landlords actively </w:t>
      </w:r>
      <w:r>
        <w:t>leasing</w:t>
      </w:r>
      <w:r w:rsidRPr="007F65CF">
        <w:t xml:space="preserve"> to voucher tenants and (</w:t>
      </w:r>
      <w:r>
        <w:t>2</w:t>
      </w:r>
      <w:r w:rsidRPr="007F65CF">
        <w:t xml:space="preserve">) those who either do not mention voucher status or state that they do not accept vouchers. </w:t>
      </w:r>
    </w:p>
    <w:p w:rsidR="009978C5" w:rsidP="009978C5" w14:paraId="08DE8002" w14:textId="5588CFF1">
      <w:pPr>
        <w:pStyle w:val="BodyText"/>
        <w:rPr>
          <w:rFonts w:asciiTheme="majorBidi" w:hAnsiTheme="majorBidi" w:cstheme="majorBidi"/>
          <w:b/>
          <w:i/>
          <w:iCs/>
        </w:rPr>
      </w:pPr>
      <w:r w:rsidRPr="007F65CF">
        <w:t>As in the treatment PHA</w:t>
      </w:r>
      <w:r>
        <w:t xml:space="preserve"> service area</w:t>
      </w:r>
      <w:r w:rsidRPr="007F65CF">
        <w:t xml:space="preserve">s, the </w:t>
      </w:r>
      <w:r>
        <w:t xml:space="preserve">HCV participating </w:t>
      </w:r>
      <w:r w:rsidRPr="007F65CF">
        <w:t>landlord sample will come from information supplied by the PHA, and non-HCV landlords will come from Craigslist</w:t>
      </w:r>
      <w:r>
        <w:t xml:space="preserve"> and other local real estate listing sources</w:t>
      </w:r>
      <w:r w:rsidRPr="007F65CF">
        <w:t>. Ideally</w:t>
      </w:r>
      <w:r>
        <w:t>,</w:t>
      </w:r>
      <w:r w:rsidRPr="007F65CF">
        <w:t xml:space="preserve"> recruitment will follow the same process as in the treatment sites. </w:t>
      </w:r>
      <w:r w:rsidRPr="007F65CF">
        <w:rPr>
          <w:szCs w:val="24"/>
        </w:rPr>
        <w:t xml:space="preserve">Exhibit </w:t>
      </w:r>
      <w:r w:rsidR="001F42B2">
        <w:rPr>
          <w:szCs w:val="24"/>
        </w:rPr>
        <w:t>8</w:t>
      </w:r>
      <w:r w:rsidRPr="007F65CF">
        <w:rPr>
          <w:szCs w:val="24"/>
        </w:rPr>
        <w:t xml:space="preserve"> provides details about the kinds of outreach and recruitment we will conduct </w:t>
      </w:r>
      <w:r w:rsidRPr="007F65CF">
        <w:rPr>
          <w:szCs w:val="24"/>
        </w:rPr>
        <w:t xml:space="preserve">in </w:t>
      </w:r>
      <w:r>
        <w:rPr>
          <w:szCs w:val="24"/>
        </w:rPr>
        <w:t>comparison</w:t>
      </w:r>
      <w:r w:rsidRPr="007F65CF">
        <w:rPr>
          <w:szCs w:val="24"/>
        </w:rPr>
        <w:t xml:space="preserve"> group PHAs.</w:t>
      </w:r>
      <w:r>
        <w:rPr>
          <w:szCs w:val="24"/>
        </w:rPr>
        <w:t xml:space="preserve"> </w:t>
      </w:r>
      <w:r w:rsidRPr="007F65CF">
        <w:t xml:space="preserve">Should any comparison PHAs not consent to assist in recruitment, </w:t>
      </w:r>
      <w:r>
        <w:t xml:space="preserve">we will recruit </w:t>
      </w:r>
      <w:r w:rsidRPr="007F65CF">
        <w:t>HCV landlords from public sources such as</w:t>
      </w:r>
      <w:r>
        <w:t xml:space="preserve"> </w:t>
      </w:r>
      <w:hyperlink r:id="rId17" w:history="1">
        <w:r w:rsidRPr="00582EA8">
          <w:rPr>
            <w:rStyle w:val="Hyperlink"/>
          </w:rPr>
          <w:t>www.affordablehousing.com</w:t>
        </w:r>
      </w:hyperlink>
      <w:r w:rsidRPr="007F65CF">
        <w:t xml:space="preserve"> or from Craigslist</w:t>
      </w:r>
      <w:r>
        <w:t>,</w:t>
      </w:r>
      <w:r w:rsidRPr="007F65CF">
        <w:t xml:space="preserve"> including both advertisements explicitly soliciting voucher holders and those that make no mention of vouchers.</w:t>
      </w:r>
    </w:p>
    <w:p w:rsidR="009978C5" w:rsidRPr="007F65CF" w:rsidP="009978C5" w14:paraId="5AE17C01" w14:textId="36857F9A">
      <w:pPr>
        <w:pStyle w:val="Caption"/>
      </w:pPr>
      <w:r w:rsidRPr="00265E4C">
        <w:t xml:space="preserve">Exhibit </w:t>
      </w:r>
      <w:r w:rsidR="00906007">
        <w:t>8</w:t>
      </w:r>
      <w:r w:rsidRPr="007F65CF">
        <w:t>: Details of Recruitment Materials for TIA Landlord Data Collection</w:t>
      </w:r>
      <w:r>
        <w:t>, Comparison Group PHAs Only</w:t>
      </w:r>
    </w:p>
    <w:tbl>
      <w:tblPr>
        <w:tblStyle w:val="TableGrid"/>
        <w:tblW w:w="9317" w:type="dxa"/>
        <w:tblLayout w:type="fixed"/>
        <w:tblLook w:val="04A0"/>
      </w:tblPr>
      <w:tblGrid>
        <w:gridCol w:w="2965"/>
        <w:gridCol w:w="6352"/>
      </w:tblGrid>
      <w:tr w14:paraId="2AE7D143" w14:textId="77777777">
        <w:tblPrEx>
          <w:tblW w:w="9317" w:type="dxa"/>
          <w:tblLayout w:type="fixed"/>
          <w:tblLook w:val="04A0"/>
        </w:tblPrEx>
        <w:trPr>
          <w:tblHeader/>
        </w:trPr>
        <w:tc>
          <w:tcPr>
            <w:tcW w:w="2965" w:type="dxa"/>
            <w:shd w:val="clear" w:color="auto" w:fill="DA291C" w:themeFill="accent1"/>
            <w:vAlign w:val="bottom"/>
          </w:tcPr>
          <w:p w:rsidR="009978C5" w:rsidRPr="00512327" w14:paraId="175F23CF" w14:textId="77777777">
            <w:pPr>
              <w:pStyle w:val="TableColumnHeaderLeft"/>
            </w:pPr>
          </w:p>
        </w:tc>
        <w:tc>
          <w:tcPr>
            <w:tcW w:w="6352" w:type="dxa"/>
            <w:shd w:val="clear" w:color="auto" w:fill="DA291C" w:themeFill="accent1"/>
            <w:vAlign w:val="bottom"/>
          </w:tcPr>
          <w:p w:rsidR="009978C5" w:rsidRPr="00512327" w14:paraId="37ED6FD3" w14:textId="77777777">
            <w:pPr>
              <w:pStyle w:val="TableColumnHeader"/>
            </w:pPr>
            <w:r w:rsidRPr="003E73C2">
              <w:rPr>
                <w:color w:val="FFFFFF"/>
              </w:rPr>
              <w:t>TIA Interview Landlords</w:t>
            </w:r>
          </w:p>
        </w:tc>
      </w:tr>
      <w:tr w14:paraId="627CC4AC" w14:textId="77777777">
        <w:tblPrEx>
          <w:tblW w:w="9317" w:type="dxa"/>
          <w:tblLayout w:type="fixed"/>
          <w:tblLook w:val="04A0"/>
        </w:tblPrEx>
        <w:tc>
          <w:tcPr>
            <w:tcW w:w="2965" w:type="dxa"/>
          </w:tcPr>
          <w:p w:rsidR="009978C5" w:rsidRPr="009A0F6F" w14:paraId="1A53C87D" w14:textId="77777777">
            <w:pPr>
              <w:pStyle w:val="TableTextBold"/>
            </w:pPr>
            <w:r w:rsidRPr="009A0F6F">
              <w:t>PHA outreach to HCV landlords</w:t>
            </w:r>
          </w:p>
        </w:tc>
        <w:tc>
          <w:tcPr>
            <w:tcW w:w="6352" w:type="dxa"/>
          </w:tcPr>
          <w:p w:rsidR="009978C5" w:rsidRPr="009A0F6F" w14:paraId="1B3F3263" w14:textId="77777777">
            <w:pPr>
              <w:pStyle w:val="TableText"/>
              <w:rPr>
                <w:rFonts w:ascii="Arial Narrow" w:hAnsi="Arial Narrow"/>
              </w:rPr>
            </w:pPr>
            <w:r w:rsidRPr="009A0F6F">
              <w:rPr>
                <w:rFonts w:ascii="Arial Narrow" w:hAnsi="Arial Narrow"/>
              </w:rPr>
              <w:t>We will ask PHAs to send an outreach letter to all sampled HCV landlords to alert them to the interviews and encourage participation</w:t>
            </w:r>
          </w:p>
        </w:tc>
      </w:tr>
      <w:tr w14:paraId="57801371" w14:textId="77777777">
        <w:tblPrEx>
          <w:tblW w:w="9317" w:type="dxa"/>
          <w:tblLayout w:type="fixed"/>
          <w:tblLook w:val="04A0"/>
        </w:tblPrEx>
        <w:tc>
          <w:tcPr>
            <w:tcW w:w="2965" w:type="dxa"/>
          </w:tcPr>
          <w:p w:rsidR="009978C5" w:rsidRPr="009A0F6F" w14:paraId="6791E9FA" w14:textId="77777777">
            <w:pPr>
              <w:pStyle w:val="TableTextBold"/>
            </w:pPr>
            <w:r w:rsidRPr="009A0F6F">
              <w:t>Abt</w:t>
            </w:r>
            <w:r w:rsidRPr="009A0F6F">
              <w:t xml:space="preserve"> study team letter</w:t>
            </w:r>
          </w:p>
        </w:tc>
        <w:tc>
          <w:tcPr>
            <w:tcW w:w="6352" w:type="dxa"/>
          </w:tcPr>
          <w:p w:rsidR="009978C5" w:rsidRPr="009A0F6F" w14:paraId="63CA0072" w14:textId="77777777">
            <w:pPr>
              <w:pStyle w:val="TableText"/>
              <w:rPr>
                <w:rFonts w:ascii="Arial Narrow" w:hAnsi="Arial Narrow"/>
              </w:rPr>
            </w:pPr>
            <w:r w:rsidRPr="009A0F6F">
              <w:rPr>
                <w:rFonts w:ascii="Arial Narrow" w:hAnsi="Arial Narrow"/>
              </w:rPr>
              <w:t>We will send a letter to the selected sample of HCV and non-HCV landlords directly</w:t>
            </w:r>
          </w:p>
        </w:tc>
      </w:tr>
      <w:tr w14:paraId="762601CE" w14:textId="77777777">
        <w:tblPrEx>
          <w:tblW w:w="9317" w:type="dxa"/>
          <w:tblLayout w:type="fixed"/>
          <w:tblLook w:val="04A0"/>
        </w:tblPrEx>
        <w:tc>
          <w:tcPr>
            <w:tcW w:w="2965" w:type="dxa"/>
          </w:tcPr>
          <w:p w:rsidR="009978C5" w:rsidRPr="009A0F6F" w14:paraId="6776C3D2" w14:textId="77777777">
            <w:pPr>
              <w:pStyle w:val="TableTextBold"/>
            </w:pPr>
            <w:r w:rsidRPr="009A0F6F">
              <w:t>Abt</w:t>
            </w:r>
            <w:r w:rsidRPr="009A0F6F">
              <w:t xml:space="preserve"> study team phone calls/emails</w:t>
            </w:r>
          </w:p>
        </w:tc>
        <w:tc>
          <w:tcPr>
            <w:tcW w:w="6352" w:type="dxa"/>
          </w:tcPr>
          <w:p w:rsidR="009978C5" w:rsidRPr="009A0F6F" w14:paraId="52432D19" w14:textId="77777777">
            <w:pPr>
              <w:pStyle w:val="TableText"/>
              <w:rPr>
                <w:rFonts w:ascii="Arial Narrow" w:hAnsi="Arial Narrow"/>
              </w:rPr>
            </w:pPr>
            <w:r w:rsidRPr="009A0F6F">
              <w:rPr>
                <w:rFonts w:ascii="Arial Narrow" w:hAnsi="Arial Narrow"/>
              </w:rPr>
              <w:t>We will make up to 3 phone call and email follow-ups after the initial letter. When we do not have sufficient response, we will make an additional 3 phone calls, text messages, or emails</w:t>
            </w:r>
          </w:p>
        </w:tc>
      </w:tr>
    </w:tbl>
    <w:p w:rsidR="009978C5" w:rsidP="009978C5" w14:paraId="2B2020FE" w14:textId="77777777">
      <w:pPr>
        <w:pStyle w:val="Caption"/>
      </w:pPr>
    </w:p>
    <w:p w:rsidR="00E339B3" w:rsidRPr="004F1FB4" w:rsidP="00E339B3" w14:paraId="10123CB7" w14:textId="3092720C">
      <w:pPr>
        <w:pStyle w:val="Heading2"/>
      </w:pPr>
      <w:bookmarkStart w:id="10" w:name="_Toc115355434"/>
      <w:r w:rsidRPr="004F1FB4">
        <w:t>B.4</w:t>
      </w:r>
      <w:r w:rsidR="001D0620">
        <w:t xml:space="preserve">: </w:t>
      </w:r>
      <w:r w:rsidRPr="004F1FB4">
        <w:t>Tests of Procedures</w:t>
      </w:r>
      <w:bookmarkEnd w:id="9"/>
      <w:bookmarkEnd w:id="10"/>
    </w:p>
    <w:p w:rsidR="006C2072" w:rsidP="00E339B3" w14:paraId="63D635FE" w14:textId="20420005">
      <w:pPr>
        <w:pStyle w:val="BodyText"/>
      </w:pPr>
      <w:r w:rsidRPr="006C2072">
        <w:t>Early drafts of the interview protocols have been reviewed by HUD personnel</w:t>
      </w:r>
      <w:r w:rsidR="00490DAC">
        <w:t>,</w:t>
      </w:r>
      <w:r w:rsidRPr="006C2072">
        <w:t xml:space="preserve"> </w:t>
      </w:r>
      <w:r w:rsidRPr="006C2072">
        <w:t>Abt</w:t>
      </w:r>
      <w:r w:rsidRPr="006C2072">
        <w:t xml:space="preserve"> Associates staff</w:t>
      </w:r>
      <w:r w:rsidR="00490DAC">
        <w:t>, and our Resident Expert Panel</w:t>
      </w:r>
      <w:r>
        <w:t xml:space="preserve"> </w:t>
      </w:r>
      <w:r w:rsidRPr="006C2072">
        <w:t>in order to</w:t>
      </w:r>
      <w:r w:rsidRPr="006C2072">
        <w:t xml:space="preserve"> ensure that the instruments are clear, flow well, and are as concise as possible.</w:t>
      </w:r>
    </w:p>
    <w:p w:rsidR="00E339B3" w:rsidRPr="004F1FB4" w:rsidP="00E339B3" w14:paraId="10123CB9" w14:textId="77777777">
      <w:pPr>
        <w:pStyle w:val="Heading2"/>
      </w:pPr>
      <w:bookmarkStart w:id="11" w:name="_Toc322083619"/>
      <w:bookmarkStart w:id="12" w:name="_Toc115355435"/>
      <w:r w:rsidRPr="004F1FB4">
        <w:t>B.5</w:t>
      </w:r>
      <w:r w:rsidR="001D0620">
        <w:t xml:space="preserve">: </w:t>
      </w:r>
      <w:r w:rsidRPr="004F1FB4">
        <w:t>Individuals Consulted on Statistical Aspects of the Design</w:t>
      </w:r>
      <w:bookmarkEnd w:id="11"/>
      <w:bookmarkEnd w:id="12"/>
    </w:p>
    <w:p w:rsidR="00E339B3" w:rsidRPr="00AB73FA" w:rsidP="00E339B3" w14:paraId="10123CBA" w14:textId="78644B0D">
      <w:pPr>
        <w:pStyle w:val="BodyText"/>
        <w:keepNext/>
        <w:rPr>
          <w:i/>
          <w:iCs/>
          <w:color w:val="000000" w:themeColor="text1"/>
        </w:rPr>
      </w:pPr>
      <w:r w:rsidRPr="003F6E89">
        <w:rPr>
          <w:color w:val="000000" w:themeColor="text1"/>
        </w:rPr>
        <w:t>The individuals listed in Exhibit</w:t>
      </w:r>
      <w:r w:rsidRPr="0065022A">
        <w:rPr>
          <w:color w:val="000000" w:themeColor="text1"/>
        </w:rPr>
        <w:t xml:space="preserve"> </w:t>
      </w:r>
      <w:r w:rsidR="00E36F6E">
        <w:rPr>
          <w:color w:val="000000" w:themeColor="text1"/>
        </w:rPr>
        <w:t>9</w:t>
      </w:r>
      <w:r w:rsidRPr="0065022A">
        <w:rPr>
          <w:color w:val="000000" w:themeColor="text1"/>
        </w:rPr>
        <w:t xml:space="preserve"> below </w:t>
      </w:r>
      <w:r w:rsidRPr="003F6E89">
        <w:rPr>
          <w:color w:val="000000" w:themeColor="text1"/>
        </w:rPr>
        <w:t>made a contribution</w:t>
      </w:r>
      <w:r w:rsidRPr="003F6E89">
        <w:rPr>
          <w:color w:val="000000" w:themeColor="text1"/>
        </w:rPr>
        <w:t xml:space="preserve"> to the design of the evaluation.</w:t>
      </w:r>
      <w:r w:rsidR="00F80435">
        <w:rPr>
          <w:color w:val="000000" w:themeColor="text1"/>
        </w:rPr>
        <w:t xml:space="preserve"> </w:t>
      </w:r>
      <w:r>
        <w:rPr>
          <w:color w:val="000000" w:themeColor="text1"/>
        </w:rPr>
        <w:t xml:space="preserve">Baseline data collection will be administered by </w:t>
      </w:r>
      <w:r w:rsidR="001D38DB">
        <w:rPr>
          <w:color w:val="000000" w:themeColor="text1"/>
        </w:rPr>
        <w:t>MT</w:t>
      </w:r>
      <w:r w:rsidR="006172E4">
        <w:rPr>
          <w:color w:val="000000" w:themeColor="text1"/>
        </w:rPr>
        <w:t>W</w:t>
      </w:r>
      <w:r w:rsidR="00AB73FA">
        <w:rPr>
          <w:color w:val="000000" w:themeColor="text1"/>
        </w:rPr>
        <w:t>4 staff</w:t>
      </w:r>
      <w:r>
        <w:rPr>
          <w:color w:val="000000" w:themeColor="text1"/>
        </w:rPr>
        <w:t xml:space="preserve">, under the direction of </w:t>
      </w:r>
      <w:r>
        <w:rPr>
          <w:color w:val="000000" w:themeColor="text1"/>
        </w:rPr>
        <w:t>Abt</w:t>
      </w:r>
      <w:r>
        <w:rPr>
          <w:color w:val="000000" w:themeColor="text1"/>
        </w:rPr>
        <w:t xml:space="preserve"> Associates (and overseen by </w:t>
      </w:r>
      <w:r w:rsidR="001D38DB">
        <w:rPr>
          <w:color w:val="000000" w:themeColor="text1"/>
        </w:rPr>
        <w:t xml:space="preserve">Meryl Finkel </w:t>
      </w:r>
      <w:r>
        <w:rPr>
          <w:color w:val="000000" w:themeColor="text1"/>
        </w:rPr>
        <w:t xml:space="preserve">as Project Director). </w:t>
      </w:r>
    </w:p>
    <w:p w:rsidR="00E339B3" w:rsidRPr="003F6E89" w:rsidP="001D0620" w14:paraId="10123CBB" w14:textId="3ABB0780">
      <w:pPr>
        <w:pStyle w:val="Caption"/>
      </w:pPr>
      <w:r>
        <w:t xml:space="preserve">Exhibit </w:t>
      </w:r>
      <w:r w:rsidR="001F42B2">
        <w:t>9</w:t>
      </w:r>
      <w:r>
        <w:t>: Individuals Consulted</w:t>
      </w:r>
    </w:p>
    <w:tbl>
      <w:tblPr>
        <w:tblStyle w:val="TableGrid"/>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43" w:type="dxa"/>
          <w:right w:w="43" w:type="dxa"/>
        </w:tblCellMar>
        <w:tblLook w:val="04A0"/>
      </w:tblPr>
      <w:tblGrid>
        <w:gridCol w:w="2832"/>
        <w:gridCol w:w="2648"/>
        <w:gridCol w:w="3870"/>
      </w:tblGrid>
      <w:tr w14:paraId="10123CBF" w14:textId="77777777" w:rsidTr="0064390E">
        <w:tblPrEx>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43" w:type="dxa"/>
            <w:right w:w="43" w:type="dxa"/>
          </w:tblCellMar>
          <w:tblLook w:val="04A0"/>
        </w:tblPrEx>
        <w:trPr>
          <w:cantSplit/>
          <w:tblHeader/>
        </w:trPr>
        <w:tc>
          <w:tcPr>
            <w:tcW w:w="2766" w:type="dxa"/>
            <w:shd w:val="clear" w:color="auto" w:fill="DA291C" w:themeFill="accent1"/>
          </w:tcPr>
          <w:p w:rsidR="00E339B3" w:rsidRPr="0064390E" w:rsidP="001D0620" w14:paraId="10123CBC" w14:textId="77777777">
            <w:pPr>
              <w:pStyle w:val="ExhibitColumnHeader"/>
              <w:rPr>
                <w:color w:val="FFFFFF"/>
              </w:rPr>
            </w:pPr>
            <w:r w:rsidRPr="0064390E">
              <w:rPr>
                <w:color w:val="FFFFFF"/>
              </w:rPr>
              <w:t>Name</w:t>
            </w:r>
          </w:p>
        </w:tc>
        <w:tc>
          <w:tcPr>
            <w:tcW w:w="2587" w:type="dxa"/>
            <w:shd w:val="clear" w:color="auto" w:fill="DA291C" w:themeFill="accent1"/>
          </w:tcPr>
          <w:p w:rsidR="00E339B3" w:rsidRPr="0064390E" w:rsidP="001D0620" w14:paraId="10123CBD" w14:textId="77777777">
            <w:pPr>
              <w:pStyle w:val="ExhibitColumnHeader"/>
              <w:rPr>
                <w:color w:val="FFFFFF"/>
              </w:rPr>
            </w:pPr>
            <w:r w:rsidRPr="0064390E">
              <w:rPr>
                <w:color w:val="FFFFFF"/>
              </w:rPr>
              <w:t>Telephone Number</w:t>
            </w:r>
          </w:p>
        </w:tc>
        <w:tc>
          <w:tcPr>
            <w:tcW w:w="3780" w:type="dxa"/>
            <w:shd w:val="clear" w:color="auto" w:fill="DA291C" w:themeFill="accent1"/>
          </w:tcPr>
          <w:p w:rsidR="00E339B3" w:rsidRPr="0064390E" w:rsidP="001D0620" w14:paraId="10123CBE" w14:textId="77777777">
            <w:pPr>
              <w:pStyle w:val="ExhibitColumnHeader"/>
              <w:rPr>
                <w:color w:val="FFFFFF"/>
              </w:rPr>
            </w:pPr>
            <w:r w:rsidRPr="0064390E">
              <w:rPr>
                <w:color w:val="FFFFFF"/>
              </w:rPr>
              <w:t>Role in Study</w:t>
            </w:r>
          </w:p>
        </w:tc>
      </w:tr>
      <w:tr w14:paraId="10123CC3" w14:textId="77777777" w:rsidTr="00FD100B">
        <w:tblPrEx>
          <w:tblW w:w="5000" w:type="pct"/>
          <w:tblLayout w:type="fixed"/>
          <w:tblCellMar>
            <w:left w:w="43" w:type="dxa"/>
            <w:right w:w="43" w:type="dxa"/>
          </w:tblCellMar>
          <w:tblLook w:val="04A0"/>
        </w:tblPrEx>
        <w:trPr>
          <w:cantSplit/>
        </w:trPr>
        <w:tc>
          <w:tcPr>
            <w:tcW w:w="2766" w:type="dxa"/>
          </w:tcPr>
          <w:p w:rsidR="00E339B3" w:rsidRPr="003E66C9" w:rsidP="0013313B" w14:paraId="10123CC0" w14:textId="187CBCDA">
            <w:pPr>
              <w:pStyle w:val="ExhibitText"/>
            </w:pPr>
            <w:r w:rsidRPr="001F7C54">
              <w:t xml:space="preserve">Dr. Philip M. E. </w:t>
            </w:r>
            <w:r w:rsidRPr="001F7C54">
              <w:t>Garboden</w:t>
            </w:r>
          </w:p>
        </w:tc>
        <w:tc>
          <w:tcPr>
            <w:tcW w:w="2587" w:type="dxa"/>
          </w:tcPr>
          <w:p w:rsidR="00E339B3" w:rsidRPr="003E66C9" w:rsidP="00832087" w14:paraId="10123CC1" w14:textId="5C7A606B">
            <w:pPr>
              <w:pStyle w:val="ExhibitText"/>
            </w:pPr>
            <w:r w:rsidRPr="000B5081">
              <w:t>808-956-7800</w:t>
            </w:r>
          </w:p>
        </w:tc>
        <w:tc>
          <w:tcPr>
            <w:tcW w:w="3780" w:type="dxa"/>
            <w:vAlign w:val="center"/>
          </w:tcPr>
          <w:p w:rsidR="00E339B3" w:rsidRPr="003E66C9" w:rsidP="00077E61" w14:paraId="10123CC2" w14:textId="65A6E60E">
            <w:pPr>
              <w:pStyle w:val="ExhibitText"/>
            </w:pPr>
            <w:r w:rsidRPr="00077E61">
              <w:t>co-</w:t>
            </w:r>
            <w:r w:rsidR="0016784E">
              <w:t>Qualitative Data</w:t>
            </w:r>
            <w:r w:rsidRPr="00077E61">
              <w:t xml:space="preserve"> Lead</w:t>
            </w:r>
          </w:p>
        </w:tc>
      </w:tr>
      <w:tr w14:paraId="10123CC7" w14:textId="77777777" w:rsidTr="001D0620">
        <w:tblPrEx>
          <w:tblW w:w="5000" w:type="pct"/>
          <w:tblLayout w:type="fixed"/>
          <w:tblCellMar>
            <w:left w:w="43" w:type="dxa"/>
            <w:right w:w="43" w:type="dxa"/>
          </w:tblCellMar>
          <w:tblLook w:val="04A0"/>
        </w:tblPrEx>
        <w:trPr>
          <w:cantSplit/>
        </w:trPr>
        <w:tc>
          <w:tcPr>
            <w:tcW w:w="2766" w:type="dxa"/>
          </w:tcPr>
          <w:p w:rsidR="00E339B3" w:rsidRPr="003E66C9" w:rsidP="001D0620" w14:paraId="10123CC4" w14:textId="7736B9B0">
            <w:pPr>
              <w:pStyle w:val="ExhibitText"/>
            </w:pPr>
            <w:r>
              <w:t>Hannah Thomas</w:t>
            </w:r>
          </w:p>
        </w:tc>
        <w:tc>
          <w:tcPr>
            <w:tcW w:w="2587" w:type="dxa"/>
          </w:tcPr>
          <w:p w:rsidR="00E339B3" w:rsidRPr="003E66C9" w:rsidP="001D0620" w14:paraId="10123CC5" w14:textId="736CD663">
            <w:pPr>
              <w:pStyle w:val="ExhibitText"/>
            </w:pPr>
            <w:r w:rsidRPr="00F06D77">
              <w:t>617</w:t>
            </w:r>
            <w:r w:rsidR="000B5081">
              <w:t>-</w:t>
            </w:r>
            <w:r w:rsidRPr="00F06D77">
              <w:t>520-2632</w:t>
            </w:r>
          </w:p>
        </w:tc>
        <w:tc>
          <w:tcPr>
            <w:tcW w:w="3780" w:type="dxa"/>
          </w:tcPr>
          <w:p w:rsidR="00E339B3" w:rsidRPr="003E66C9" w:rsidP="001D0620" w14:paraId="10123CC6" w14:textId="3FB35BD6">
            <w:pPr>
              <w:pStyle w:val="ExhibitText"/>
            </w:pPr>
            <w:r w:rsidRPr="00F06D77">
              <w:t>Director of Qualitative Analysis</w:t>
            </w:r>
          </w:p>
        </w:tc>
      </w:tr>
      <w:tr w14:paraId="10123CCB" w14:textId="77777777" w:rsidTr="001D0620">
        <w:tblPrEx>
          <w:tblW w:w="5000" w:type="pct"/>
          <w:tblLayout w:type="fixed"/>
          <w:tblCellMar>
            <w:left w:w="43" w:type="dxa"/>
            <w:right w:w="43" w:type="dxa"/>
          </w:tblCellMar>
          <w:tblLook w:val="04A0"/>
        </w:tblPrEx>
        <w:trPr>
          <w:cantSplit/>
        </w:trPr>
        <w:tc>
          <w:tcPr>
            <w:tcW w:w="2766" w:type="dxa"/>
          </w:tcPr>
          <w:p w:rsidR="00E339B3" w:rsidRPr="003E66C9" w:rsidP="001D0620" w14:paraId="10123CC8" w14:textId="4CC34101">
            <w:pPr>
              <w:pStyle w:val="ExhibitText"/>
            </w:pPr>
          </w:p>
        </w:tc>
        <w:tc>
          <w:tcPr>
            <w:tcW w:w="2587" w:type="dxa"/>
          </w:tcPr>
          <w:p w:rsidR="00E339B3" w:rsidRPr="003E66C9" w:rsidP="001D0620" w14:paraId="10123CC9" w14:textId="28C9475B">
            <w:pPr>
              <w:pStyle w:val="ExhibitText"/>
            </w:pPr>
          </w:p>
        </w:tc>
        <w:tc>
          <w:tcPr>
            <w:tcW w:w="3780" w:type="dxa"/>
          </w:tcPr>
          <w:p w:rsidR="00E339B3" w:rsidRPr="003E66C9" w:rsidP="001D0620" w14:paraId="10123CCA" w14:textId="6C58E154">
            <w:pPr>
              <w:pStyle w:val="ExhibitText"/>
            </w:pPr>
          </w:p>
        </w:tc>
      </w:tr>
    </w:tbl>
    <w:p w:rsidR="00E339B3" w:rsidRPr="007C63A3" w:rsidP="001D0620" w14:paraId="10123CCC" w14:textId="77777777">
      <w:pPr>
        <w:pStyle w:val="BodyTextSS"/>
      </w:pPr>
    </w:p>
    <w:p w:rsidR="00E339B3" w:rsidRPr="007C63A3" w:rsidP="001D0620" w14:paraId="10123CCD" w14:textId="77777777">
      <w:pPr>
        <w:pStyle w:val="BodyText"/>
      </w:pPr>
      <w:r w:rsidRPr="007C63A3">
        <w:t>Inquiries regarding the study’s planned analysis should be directed to:</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5760"/>
        <w:gridCol w:w="1980"/>
      </w:tblGrid>
      <w:tr w14:paraId="10123CD1" w14:textId="77777777" w:rsidTr="001D0620">
        <w:tblPrEx>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728" w:type="dxa"/>
          </w:tcPr>
          <w:p w:rsidR="00E339B3" w:rsidRPr="005F6A5F" w:rsidP="001D0620" w14:paraId="10123CCE" w14:textId="5E519665">
            <w:pPr>
              <w:pStyle w:val="BodyText"/>
              <w:rPr>
                <w:i/>
                <w:iCs/>
              </w:rPr>
            </w:pPr>
            <w:r w:rsidRPr="005F6A5F">
              <w:rPr>
                <w:i/>
                <w:iCs/>
              </w:rPr>
              <w:t>Meryl Finkel</w:t>
            </w:r>
          </w:p>
        </w:tc>
        <w:tc>
          <w:tcPr>
            <w:tcW w:w="5760" w:type="dxa"/>
          </w:tcPr>
          <w:p w:rsidR="00E339B3" w:rsidRPr="005F6A5F" w:rsidP="001D0620" w14:paraId="10123CCF" w14:textId="558A2D87">
            <w:pPr>
              <w:pStyle w:val="BodyText"/>
              <w:rPr>
                <w:i/>
                <w:iCs/>
              </w:rPr>
            </w:pPr>
            <w:r w:rsidRPr="005F6A5F">
              <w:rPr>
                <w:i/>
                <w:iCs/>
              </w:rPr>
              <w:t>Abt</w:t>
            </w:r>
            <w:r w:rsidRPr="005F6A5F">
              <w:rPr>
                <w:i/>
                <w:iCs/>
              </w:rPr>
              <w:t xml:space="preserve"> Associates</w:t>
            </w:r>
            <w:r w:rsidR="000A4377">
              <w:rPr>
                <w:i/>
                <w:iCs/>
              </w:rPr>
              <w:t>,</w:t>
            </w:r>
            <w:r w:rsidRPr="005F6A5F">
              <w:rPr>
                <w:i/>
                <w:iCs/>
              </w:rPr>
              <w:t xml:space="preserve"> </w:t>
            </w:r>
            <w:r w:rsidRPr="005F6A5F" w:rsidR="006172E4">
              <w:rPr>
                <w:i/>
                <w:iCs/>
              </w:rPr>
              <w:t>Project Director</w:t>
            </w:r>
          </w:p>
        </w:tc>
        <w:tc>
          <w:tcPr>
            <w:tcW w:w="1980" w:type="dxa"/>
          </w:tcPr>
          <w:p w:rsidR="00E339B3" w:rsidRPr="005F6A5F" w:rsidP="001D0620" w14:paraId="10123CD0" w14:textId="787534C8">
            <w:pPr>
              <w:pStyle w:val="BodyText"/>
              <w:rPr>
                <w:i/>
                <w:iCs/>
              </w:rPr>
            </w:pPr>
            <w:r w:rsidRPr="005F6A5F">
              <w:rPr>
                <w:i/>
                <w:iCs/>
              </w:rPr>
              <w:t>617-349-2380</w:t>
            </w:r>
          </w:p>
        </w:tc>
      </w:tr>
      <w:tr w14:paraId="10123CD5" w14:textId="77777777" w:rsidTr="001D0620">
        <w:tblPrEx>
          <w:tblW w:w="9468" w:type="dxa"/>
          <w:tblLook w:val="04A0"/>
        </w:tblPrEx>
        <w:tc>
          <w:tcPr>
            <w:tcW w:w="1728" w:type="dxa"/>
          </w:tcPr>
          <w:p w:rsidR="00E339B3" w:rsidRPr="005F6A5F" w:rsidP="001D0620" w14:paraId="10123CD2" w14:textId="7757434B">
            <w:pPr>
              <w:pStyle w:val="BodyText"/>
              <w:rPr>
                <w:i/>
                <w:iCs/>
              </w:rPr>
            </w:pPr>
            <w:r w:rsidRPr="005F6A5F">
              <w:rPr>
                <w:i/>
                <w:iCs/>
              </w:rPr>
              <w:t>Elizabeth Rudd</w:t>
            </w:r>
          </w:p>
        </w:tc>
        <w:tc>
          <w:tcPr>
            <w:tcW w:w="5760" w:type="dxa"/>
          </w:tcPr>
          <w:p w:rsidR="00E339B3" w:rsidRPr="005F6A5F" w:rsidP="001D0620" w14:paraId="10123CD3" w14:textId="31016CFC">
            <w:pPr>
              <w:pStyle w:val="BodyText"/>
              <w:rPr>
                <w:i/>
                <w:iCs/>
              </w:rPr>
            </w:pPr>
            <w:r w:rsidRPr="005F6A5F">
              <w:rPr>
                <w:i/>
                <w:iCs/>
              </w:rPr>
              <w:t>HUD</w:t>
            </w:r>
            <w:r w:rsidR="000A4377">
              <w:rPr>
                <w:i/>
                <w:iCs/>
              </w:rPr>
              <w:t>,</w:t>
            </w:r>
            <w:r w:rsidRPr="005F6A5F" w:rsidR="002227ED">
              <w:t xml:space="preserve"> </w:t>
            </w:r>
            <w:r w:rsidRPr="005F6A5F" w:rsidR="002227ED">
              <w:rPr>
                <w:i/>
                <w:iCs/>
              </w:rPr>
              <w:t>Contracting Officer</w:t>
            </w:r>
            <w:r w:rsidR="000A4377">
              <w:rPr>
                <w:i/>
                <w:iCs/>
              </w:rPr>
              <w:t>’</w:t>
            </w:r>
            <w:r w:rsidRPr="005F6A5F" w:rsidR="002227ED">
              <w:rPr>
                <w:i/>
                <w:iCs/>
              </w:rPr>
              <w:t>s Representative</w:t>
            </w:r>
          </w:p>
        </w:tc>
        <w:tc>
          <w:tcPr>
            <w:tcW w:w="1980" w:type="dxa"/>
          </w:tcPr>
          <w:p w:rsidR="00E339B3" w:rsidRPr="005F6A5F" w:rsidP="001D0620" w14:paraId="10123CD4" w14:textId="432ECF63">
            <w:pPr>
              <w:pStyle w:val="BodyText"/>
              <w:rPr>
                <w:i/>
                <w:iCs/>
              </w:rPr>
            </w:pPr>
            <w:r w:rsidRPr="005F6A5F">
              <w:rPr>
                <w:i/>
                <w:iCs/>
              </w:rPr>
              <w:t>202-402-7607</w:t>
            </w:r>
          </w:p>
        </w:tc>
      </w:tr>
    </w:tbl>
    <w:p w:rsidR="00036ECE" w:rsidRPr="00177375" w:rsidP="00127FBE" w14:paraId="10123CDA" w14:textId="77777777">
      <w:pPr>
        <w:pStyle w:val="BodyText"/>
        <w:spacing w:after="0"/>
        <w:rPr>
          <w:szCs w:val="22"/>
        </w:rPr>
      </w:pPr>
    </w:p>
    <w:sectPr w:rsidSect="00236B01">
      <w:footerReference w:type="default" r:id="rId18"/>
      <w:pgSz w:w="12240" w:h="15840" w:code="1"/>
      <w:pgMar w:top="1440" w:right="1440" w:bottom="1440" w:left="1440" w:header="108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22BD" w14:paraId="7CDA424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CCE" w:rsidP="00744E2C" w14:paraId="10123CE0"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22BD" w14:paraId="31E1B07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CCE" w:rsidRPr="0066134E" w:rsidP="00AB6564" w14:paraId="10123CE2" w14:textId="77777777">
    <w:pPr>
      <w:pStyle w:val="Footer"/>
      <w:tabs>
        <w:tab w:val="clear" w:pos="9000"/>
        <w:tab w:val="right" w:pos="9360"/>
      </w:tabs>
    </w:pPr>
    <w:r w:rsidRPr="00736328">
      <w:rPr>
        <w:color w:val="DA291C"/>
        <w:lang w:val="fr-FR"/>
      </w:rPr>
      <w:t>Abt Associates Inc.</w:t>
    </w:r>
    <w:r w:rsidRPr="00736328">
      <w:rPr>
        <w:lang w:val="fr-FR"/>
      </w:rPr>
      <w:tab/>
    </w:r>
    <w:r w:rsidRPr="00736328">
      <w:rPr>
        <w:rStyle w:val="PageNumber"/>
        <w:b/>
        <w:lang w:val="fr-FR"/>
      </w:rPr>
      <w:tab/>
      <w:t>Contents</w:t>
    </w:r>
    <w:r>
      <w:rPr>
        <w:rStyle w:val="PageNumber"/>
        <w:b/>
      </w:rPr>
      <w:t> </w:t>
    </w:r>
    <w:r w:rsidRPr="00736328">
      <w:rPr>
        <w:rStyle w:val="PageNumber"/>
        <w:rFonts w:cs="Arial"/>
        <w:b/>
        <w:lang w:val="fr-FR"/>
      </w:rPr>
      <w:t>▌</w:t>
    </w:r>
    <w:r w:rsidRPr="00736328">
      <w:rPr>
        <w:rStyle w:val="PageNumber"/>
        <w:b/>
        <w:lang w:val="fr-FR"/>
      </w:rPr>
      <w:t>pg</w:t>
    </w:r>
    <w:r w:rsidRPr="00736328">
      <w:rPr>
        <w:rStyle w:val="PageNumber"/>
        <w:b/>
        <w:lang w:val="fr-FR"/>
      </w:rPr>
      <w:t xml:space="preserve">. </w:t>
    </w:r>
    <w:r w:rsidRPr="002064D3">
      <w:rPr>
        <w:rStyle w:val="PageNumber"/>
        <w:b/>
        <w:color w:val="DA291C"/>
      </w:rPr>
      <w:fldChar w:fldCharType="begin"/>
    </w:r>
    <w:r w:rsidRPr="00736328">
      <w:rPr>
        <w:rStyle w:val="PageNumber"/>
        <w:b/>
        <w:color w:val="DA291C"/>
        <w:lang w:val="fr-FR"/>
      </w:rPr>
      <w:instrText xml:space="preserve"> PAGE   \* MERGEFORMAT </w:instrText>
    </w:r>
    <w:r w:rsidRPr="002064D3">
      <w:rPr>
        <w:rStyle w:val="PageNumber"/>
        <w:b/>
        <w:color w:val="DA291C"/>
      </w:rPr>
      <w:fldChar w:fldCharType="separate"/>
    </w:r>
    <w:r w:rsidR="00470CFB">
      <w:rPr>
        <w:rStyle w:val="PageNumber"/>
        <w:b/>
        <w:noProof/>
        <w:color w:val="DA291C"/>
      </w:rPr>
      <w:t>i</w:t>
    </w:r>
    <w:r w:rsidRPr="002064D3">
      <w:rPr>
        <w:rStyle w:val="PageNumber"/>
        <w:b/>
        <w:noProof/>
        <w:color w:val="DA291C"/>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CCE" w:rsidRPr="0066134E" w:rsidP="001D0620" w14:paraId="10123CE3" w14:textId="77777777">
    <w:pPr>
      <w:pStyle w:val="Footer"/>
      <w:tabs>
        <w:tab w:val="clear" w:pos="4507"/>
        <w:tab w:val="clear" w:pos="9000"/>
        <w:tab w:val="right" w:pos="9360"/>
      </w:tabs>
    </w:pPr>
    <w:r w:rsidRPr="00967D7C">
      <w:rPr>
        <w:color w:val="DA291C"/>
      </w:rPr>
      <w:t>Abt</w:t>
    </w:r>
    <w:r w:rsidRPr="00967D7C">
      <w:rPr>
        <w:color w:val="DA291C"/>
      </w:rPr>
      <w:t xml:space="preserve"> Associates Inc.</w:t>
    </w:r>
    <w:r w:rsidRPr="0066134E">
      <w:rPr>
        <w:rStyle w:val="PageNumber"/>
        <w:b/>
      </w:rPr>
      <w:tab/>
    </w:r>
    <w:r w:rsidRPr="003F6E89">
      <w:rPr>
        <w:rStyle w:val="PageNumber"/>
        <w:b/>
      </w:rPr>
      <w:t xml:space="preserve">Supporting Statement for OMB Clearance Request </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FC643B">
      <w:rPr>
        <w:rStyle w:val="PageNumber"/>
        <w:b/>
        <w:noProof/>
        <w:color w:val="DA291C"/>
      </w:rPr>
      <w:t>2</w:t>
    </w:r>
    <w:r w:rsidRPr="002064D3">
      <w:rPr>
        <w:rStyle w:val="PageNumber"/>
        <w:b/>
        <w:noProof/>
        <w:color w:val="DA291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C3B14" w:rsidP="00D979EA" w14:paraId="24284331" w14:textId="77777777">
      <w:r>
        <w:separator/>
      </w:r>
    </w:p>
  </w:footnote>
  <w:footnote w:type="continuationSeparator" w:id="1">
    <w:p w:rsidR="00EC3B14" w:rsidP="00D979EA" w14:paraId="086DA8EE" w14:textId="77777777">
      <w:r>
        <w:continuationSeparator/>
      </w:r>
    </w:p>
  </w:footnote>
  <w:footnote w:type="continuationNotice" w:id="2">
    <w:p w:rsidR="00EC3B14" w14:paraId="148EFB6A" w14:textId="77777777">
      <w:pPr>
        <w:spacing w:after="0" w:line="240" w:lineRule="auto"/>
      </w:pPr>
    </w:p>
  </w:footnote>
  <w:footnote w:id="3">
    <w:p w:rsidR="00FA0EDC" w:rsidP="000F5338" w14:paraId="4B151327" w14:textId="0695E541">
      <w:pPr>
        <w:pStyle w:val="FootnoteText"/>
      </w:pPr>
      <w:r>
        <w:rPr>
          <w:rStyle w:val="FootnoteReference"/>
        </w:rPr>
        <w:footnoteRef/>
      </w:r>
      <w:r>
        <w:t xml:space="preserve"> </w:t>
      </w:r>
      <w:r w:rsidR="00D30211">
        <w:tab/>
      </w:r>
      <w:r>
        <w:t>While Craigslist is not fully representative of the rental market across all cities, it is used consistently by landlords</w:t>
      </w:r>
      <w:r w:rsidR="003A0C94">
        <w:t xml:space="preserve"> a</w:t>
      </w:r>
      <w:r>
        <w:t>cross most markets. As a result it will offer the research team the best option for building a consistent recruitment approach for non-HCV landlords across the sampled PHA service areas. If we find that craigslist is under-utilized in a site, we will pursue alternative websites guided by conversations with PHA staff.</w:t>
      </w:r>
    </w:p>
  </w:footnote>
  <w:footnote w:id="4">
    <w:p w:rsidR="00FA0EDC" w:rsidP="000F5338" w14:paraId="64782EAF" w14:textId="77661907">
      <w:pPr>
        <w:pStyle w:val="FootnoteText"/>
      </w:pPr>
      <w:r w:rsidRPr="00CC644A">
        <w:rPr>
          <w:vertAlign w:val="superscript"/>
        </w:rPr>
        <w:footnoteRef/>
      </w:r>
      <w:r>
        <w:t xml:space="preserve"> </w:t>
      </w:r>
      <w:r w:rsidR="00D30211">
        <w:tab/>
      </w:r>
      <w:r w:rsidRPr="3E3225E2">
        <w:t>Although it would be ideal to complement these data with ownership interviews, such triangulation is not practical</w:t>
      </w:r>
      <w:r w:rsidR="00822616">
        <w:t xml:space="preserve"> </w:t>
      </w:r>
      <w:r w:rsidRPr="3E3225E2">
        <w:t>given site visit scheduling.</w:t>
      </w:r>
    </w:p>
  </w:footnote>
  <w:footnote w:id="5">
    <w:p w:rsidR="00B854B4" w:rsidRPr="0033676C" w:rsidP="00B854B4" w14:paraId="52189A61" w14:textId="77777777">
      <w:pPr>
        <w:pStyle w:val="FootnoteText"/>
      </w:pPr>
      <w:r>
        <w:rPr>
          <w:rStyle w:val="FootnoteReference"/>
        </w:rPr>
        <w:footnoteRef/>
      </w:r>
      <w:r>
        <w:t xml:space="preserve"> </w:t>
      </w:r>
      <w:r w:rsidRPr="00BC4566">
        <w:tab/>
        <w:t xml:space="preserve">HUD is operating the </w:t>
      </w:r>
      <w:r>
        <w:t>Community Choice Demonstration</w:t>
      </w:r>
      <w:r w:rsidRPr="00BC4566">
        <w:t xml:space="preserve"> to learn whether and to what extent mobility-related services facilitate families with children </w:t>
      </w:r>
      <w:r>
        <w:t xml:space="preserve">in </w:t>
      </w:r>
      <w:r w:rsidRPr="00BC4566">
        <w:t>mov</w:t>
      </w:r>
      <w:r>
        <w:t>ing</w:t>
      </w:r>
      <w:r w:rsidRPr="00BC4566">
        <w:t xml:space="preserve"> to and </w:t>
      </w:r>
      <w:r>
        <w:t xml:space="preserve">remaining </w:t>
      </w:r>
      <w:r w:rsidRPr="0033676C">
        <w:t xml:space="preserve">in opportunity areas. The Demonstration is being implemented by </w:t>
      </w:r>
      <w:r>
        <w:t>nine</w:t>
      </w:r>
      <w:r w:rsidRPr="0033676C">
        <w:t xml:space="preserve"> sites, consisting of 13 PHAs.</w:t>
      </w:r>
    </w:p>
  </w:footnote>
  <w:footnote w:id="6">
    <w:p w:rsidR="00B854B4" w:rsidP="00D30211" w14:paraId="14E76929" w14:textId="77777777">
      <w:pPr>
        <w:pStyle w:val="FootnoteText"/>
      </w:pPr>
      <w:r>
        <w:rPr>
          <w:rStyle w:val="FootnoteReference"/>
        </w:rPr>
        <w:footnoteRef/>
      </w:r>
      <w:r>
        <w:t xml:space="preserve"> </w:t>
      </w:r>
      <w:r w:rsidR="00D30211">
        <w:tab/>
      </w:r>
      <w:r>
        <w:t xml:space="preserve">Rates were </w:t>
      </w:r>
      <w:r w:rsidRPr="004437F2">
        <w:t xml:space="preserve">computed by New York University’s Furman Center using </w:t>
      </w:r>
      <w:r>
        <w:t>HIP</w:t>
      </w:r>
      <w:r w:rsidRPr="004437F2">
        <w:t xml:space="preserve"> data from HUD</w:t>
      </w:r>
      <w:r>
        <w:t>. Some PHAs lack</w:t>
      </w:r>
      <w:r w:rsidR="00F25A6F">
        <w:t xml:space="preserve"> </w:t>
      </w:r>
      <w:r>
        <w:t xml:space="preserve">interpretable data because of unexpected discrepancies or omissions in their submitted HIP data. </w:t>
      </w:r>
    </w:p>
  </w:footnote>
  <w:footnote w:id="7">
    <w:p w:rsidR="00B854B4" w:rsidP="00D30211" w14:paraId="0CBA0F48" w14:textId="77777777">
      <w:pPr>
        <w:pStyle w:val="FootnoteText"/>
      </w:pPr>
      <w:r>
        <w:rPr>
          <w:rStyle w:val="FootnoteReference"/>
        </w:rPr>
        <w:footnoteRef/>
      </w:r>
      <w:r>
        <w:t xml:space="preserve"> </w:t>
      </w:r>
      <w:r w:rsidR="00D30211">
        <w:tab/>
      </w:r>
      <w:r>
        <w:t>This is the number of PHAs in HUD’s 2020 Picture of Subsidized Households dataset.</w:t>
      </w:r>
    </w:p>
  </w:footnote>
  <w:footnote w:id="8">
    <w:p w:rsidR="00B854B4" w:rsidP="00D30211" w14:paraId="58E8F846" w14:textId="77777777">
      <w:pPr>
        <w:pStyle w:val="FootnoteText"/>
      </w:pPr>
      <w:r>
        <w:rPr>
          <w:rStyle w:val="FootnoteReference"/>
        </w:rPr>
        <w:footnoteRef/>
      </w:r>
      <w:r>
        <w:t xml:space="preserve"> </w:t>
      </w:r>
      <w:r w:rsidR="00D30211">
        <w:tab/>
      </w:r>
      <w:r>
        <w:t xml:space="preserve">We used the same five regions as in HUD’s selection notice for the first cohort of the MTW Expansion: Northeast, Southeast, Midwest, Southwest, and West. For the states in each region, see </w:t>
      </w:r>
      <w:r w:rsidRPr="00477866">
        <w:t>PIH Notice 2018-17</w:t>
      </w:r>
      <w:r>
        <w:t xml:space="preserve">, </w:t>
      </w:r>
      <w:r w:rsidRPr="00477866">
        <w:t>available at</w:t>
      </w:r>
      <w:r w:rsidRPr="00192889">
        <w:rPr>
          <w:rFonts w:ascii="Arial Narrow" w:hAnsi="Arial Narrow" w:cs="Arial"/>
        </w:rPr>
        <w:t xml:space="preserve"> </w:t>
      </w:r>
      <w:r w:rsidRPr="00F4481C">
        <w:rPr>
          <w:rStyle w:val="Hyperlink"/>
        </w:rPr>
        <w:t>https://www.hud.gov/sites/dfiles/PIH/documents/PIH-2018-17MTWDemonstrationProgram.pdf</w:t>
      </w:r>
    </w:p>
  </w:footnote>
  <w:footnote w:id="9">
    <w:p w:rsidR="00B854B4" w:rsidP="00D30211" w14:paraId="7C897B54" w14:textId="77777777">
      <w:pPr>
        <w:pStyle w:val="FootnoteText"/>
      </w:pPr>
      <w:r>
        <w:rPr>
          <w:rStyle w:val="FootnoteReference"/>
        </w:rPr>
        <w:footnoteRef/>
      </w:r>
      <w:r>
        <w:t xml:space="preserve"> </w:t>
      </w:r>
      <w:r w:rsidR="00D30211">
        <w:tab/>
      </w:r>
      <w:r>
        <w:t>The key characteristics were selected from among 90 possible characteristics. We examined (a) 31 characteristics about the housing market including vacancy rates, median rent, percent of households with own children, rent as a percent of income, and various categories/universes for these variables (all renters, all homeowners, both), (b) 56 variables from the Picture of Subsidized Households about the voucher program, (c) and three baseline measures of outcome variables including success rate, HUD expenditure, and median search duration.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22BD" w14:paraId="4F7702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CCE" w:rsidRPr="0005750B" w:rsidP="0005750B" w14:paraId="10123CDF"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22BD" w14:paraId="4254057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CCE" w:rsidRPr="0099739B" w:rsidP="0099739B" w14:paraId="10123CE1"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E7132"/>
    <w:multiLevelType w:val="hybridMultilevel"/>
    <w:tmpl w:val="64B4CEDE"/>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SymbolMT" w:eastAsia="Times New Roman" w:hAnsi="SymbolMT" w:cs="SymbolMT"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A20CC1"/>
    <w:multiLevelType w:val="hybridMultilevel"/>
    <w:tmpl w:val="F62447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B93B25"/>
    <w:multiLevelType w:val="hybridMultilevel"/>
    <w:tmpl w:val="871CC25E"/>
    <w:lvl w:ilvl="0">
      <w:start w:val="1"/>
      <w:numFmt w:val="bullet"/>
      <w:lvlText w:val=""/>
      <w:lvlJc w:val="left"/>
      <w:pPr>
        <w:tabs>
          <w:tab w:val="num" w:pos="360"/>
        </w:tabs>
        <w:ind w:left="360" w:hanging="360"/>
      </w:pPr>
      <w:rPr>
        <w:rFonts w:ascii="Symbol" w:hAnsi="Symbol" w:hint="default"/>
        <w:color w:val="000080"/>
        <w:sz w:val="22"/>
      </w:rPr>
    </w:lvl>
    <w:lvl w:ilvl="1">
      <w:start w:val="1"/>
      <w:numFmt w:val="bullet"/>
      <w:lvlText w:val="o"/>
      <w:lvlJc w:val="left"/>
      <w:pPr>
        <w:tabs>
          <w:tab w:val="num" w:pos="720"/>
        </w:tabs>
        <w:ind w:left="720" w:hanging="360"/>
      </w:pPr>
      <w:rPr>
        <w:rFonts w:ascii="Courier New" w:hAnsi="Courier New" w:cs="Arial"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Arial"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Arial"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3">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4">
    <w:nsid w:val="125A4105"/>
    <w:multiLevelType w:val="hybridMultilevel"/>
    <w:tmpl w:val="5AF839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4B5395"/>
    <w:multiLevelType w:val="hybridMultilevel"/>
    <w:tmpl w:val="A1E6A6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269516D"/>
    <w:multiLevelType w:val="hybridMultilevel"/>
    <w:tmpl w:val="1CC892F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7">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8">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9">
    <w:nsid w:val="255D1975"/>
    <w:multiLevelType w:val="multilevel"/>
    <w:tmpl w:val="A1E8CE00"/>
    <w:lvl w:ilvl="0">
      <w:start w:val="1"/>
      <w:numFmt w:val="decimal"/>
      <w:lvlText w:val="%1."/>
      <w:lvlJc w:val="left"/>
      <w:pPr>
        <w:ind w:left="1080" w:hanging="720"/>
      </w:pPr>
      <w:rPr>
        <w:b/>
        <w:bCs w:val="0"/>
        <w:i w:val="0"/>
        <w:iCs w:val="0"/>
        <w:caps w:val="0"/>
        <w:smallCaps w:val="0"/>
        <w:strike w:val="0"/>
        <w:dstrike w:val="0"/>
        <w:noProof w:val="0"/>
        <w:vanish w:val="0"/>
        <w:color w:val="F0F4F6" w:themeColor="background1" w:themeTint="33"/>
        <w:spacing w:val="0"/>
        <w:kern w:val="0"/>
        <w:position w:val="0"/>
        <w:u w:val="none"/>
        <w:effect w:val="none"/>
        <w:vertAlign w:val="baseline"/>
        <w:specVanish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ascii="Arial" w:hAnsi="Arial" w:cs="Arial"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291661BD"/>
    <w:multiLevelType w:val="hybridMultilevel"/>
    <w:tmpl w:val="79DA211E"/>
    <w:lvl w:ilvl="0">
      <w:start w:val="1"/>
      <w:numFmt w:val="bullet"/>
      <w:lvlText w:val="•"/>
      <w:lvlJc w:val="left"/>
      <w:rPr>
        <w:rFonts w:ascii="Times New Roman" w:hAnsi="Times New Roman" w:cs="Times New Roman" w:hint="default"/>
        <w:color w:val="DA291C"/>
        <w:sz w:val="24"/>
        <w:szCs w:val="24"/>
      </w:rPr>
    </w:lvl>
    <w:lvl w:ilvl="1">
      <w:start w:val="1"/>
      <w:numFmt w:val="bullet"/>
      <w:lvlText w:val="o"/>
      <w:lvlJc w:val="left"/>
      <w:pPr>
        <w:ind w:left="4500" w:hanging="360"/>
      </w:pPr>
      <w:rPr>
        <w:rFonts w:ascii="Courier New" w:hAnsi="Courier New" w:cs="Courier New" w:hint="default"/>
      </w:rPr>
    </w:lvl>
    <w:lvl w:ilvl="2">
      <w:start w:val="1"/>
      <w:numFmt w:val="bullet"/>
      <w:lvlText w:val=""/>
      <w:lvlJc w:val="left"/>
      <w:pPr>
        <w:ind w:left="5220" w:hanging="360"/>
      </w:pPr>
      <w:rPr>
        <w:rFonts w:ascii="Wingdings" w:hAnsi="Wingdings" w:hint="default"/>
      </w:rPr>
    </w:lvl>
    <w:lvl w:ilvl="3">
      <w:start w:val="1"/>
      <w:numFmt w:val="bullet"/>
      <w:lvlText w:val=""/>
      <w:lvlJc w:val="left"/>
      <w:pPr>
        <w:ind w:left="5940" w:hanging="360"/>
      </w:pPr>
      <w:rPr>
        <w:rFonts w:ascii="Symbol" w:hAnsi="Symbol" w:hint="default"/>
      </w:rPr>
    </w:lvl>
    <w:lvl w:ilvl="4" w:tentative="1">
      <w:start w:val="1"/>
      <w:numFmt w:val="bullet"/>
      <w:lvlText w:val="o"/>
      <w:lvlJc w:val="left"/>
      <w:pPr>
        <w:ind w:left="6660" w:hanging="360"/>
      </w:pPr>
      <w:rPr>
        <w:rFonts w:ascii="Courier New" w:hAnsi="Courier New" w:cs="Courier New" w:hint="default"/>
      </w:rPr>
    </w:lvl>
    <w:lvl w:ilvl="5" w:tentative="1">
      <w:start w:val="1"/>
      <w:numFmt w:val="bullet"/>
      <w:lvlText w:val=""/>
      <w:lvlJc w:val="left"/>
      <w:pPr>
        <w:ind w:left="7380" w:hanging="360"/>
      </w:pPr>
      <w:rPr>
        <w:rFonts w:ascii="Wingdings" w:hAnsi="Wingdings" w:hint="default"/>
      </w:rPr>
    </w:lvl>
    <w:lvl w:ilvl="6" w:tentative="1">
      <w:start w:val="1"/>
      <w:numFmt w:val="bullet"/>
      <w:lvlText w:val=""/>
      <w:lvlJc w:val="left"/>
      <w:pPr>
        <w:ind w:left="8100" w:hanging="360"/>
      </w:pPr>
      <w:rPr>
        <w:rFonts w:ascii="Symbol" w:hAnsi="Symbol" w:hint="default"/>
      </w:rPr>
    </w:lvl>
    <w:lvl w:ilvl="7" w:tentative="1">
      <w:start w:val="1"/>
      <w:numFmt w:val="bullet"/>
      <w:lvlText w:val="o"/>
      <w:lvlJc w:val="left"/>
      <w:pPr>
        <w:ind w:left="8820" w:hanging="360"/>
      </w:pPr>
      <w:rPr>
        <w:rFonts w:ascii="Courier New" w:hAnsi="Courier New" w:cs="Courier New" w:hint="default"/>
      </w:rPr>
    </w:lvl>
    <w:lvl w:ilvl="8" w:tentative="1">
      <w:start w:val="1"/>
      <w:numFmt w:val="bullet"/>
      <w:lvlText w:val=""/>
      <w:lvlJc w:val="left"/>
      <w:pPr>
        <w:ind w:left="9540" w:hanging="360"/>
      </w:pPr>
      <w:rPr>
        <w:rFonts w:ascii="Wingdings" w:hAnsi="Wingdings" w:hint="default"/>
      </w:rPr>
    </w:lvl>
  </w:abstractNum>
  <w:abstractNum w:abstractNumId="11">
    <w:nsid w:val="327853FD"/>
    <w:multiLevelType w:val="hybridMultilevel"/>
    <w:tmpl w:val="C922C1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2B4618C"/>
    <w:multiLevelType w:val="hybridMultilevel"/>
    <w:tmpl w:val="E5A6AF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6581197"/>
    <w:multiLevelType w:val="hybridMultilevel"/>
    <w:tmpl w:val="6ECC0B2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7B6781F"/>
    <w:multiLevelType w:val="hybridMultilevel"/>
    <w:tmpl w:val="034CE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313533"/>
    <w:multiLevelType w:val="hybridMultilevel"/>
    <w:tmpl w:val="6A1E78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3EAD33C4"/>
    <w:multiLevelType w:val="multilevel"/>
    <w:tmpl w:val="049056E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17">
    <w:nsid w:val="41A04F5C"/>
    <w:multiLevelType w:val="hybridMultilevel"/>
    <w:tmpl w:val="920E9AF6"/>
    <w:lvl w:ilvl="0">
      <w:start w:val="1"/>
      <w:numFmt w:val="bullet"/>
      <w:pStyle w:val="ListBulleted"/>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4BF2303"/>
    <w:multiLevelType w:val="hybridMultilevel"/>
    <w:tmpl w:val="C07E5C0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9">
    <w:nsid w:val="494F1318"/>
    <w:multiLevelType w:val="hybridMultilevel"/>
    <w:tmpl w:val="8B1A0358"/>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516A0677"/>
    <w:multiLevelType w:val="hybridMultilevel"/>
    <w:tmpl w:val="CBB0B6EE"/>
    <w:lvl w:ilvl="0">
      <w:start w:val="1"/>
      <w:numFmt w:val="bullet"/>
      <w:lvlText w:val=""/>
      <w:lvlJc w:val="left"/>
      <w:pPr>
        <w:ind w:left="720" w:hanging="360"/>
      </w:pPr>
      <w:rPr>
        <w:rFonts w:ascii="Symbol" w:hAnsi="Symbol" w:hint="default"/>
        <w:color w:val="DA291C"/>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4A203EC"/>
    <w:multiLevelType w:val="hybridMultilevel"/>
    <w:tmpl w:val="BC4A0612"/>
    <w:lvl w:ilvl="0">
      <w:start w:val="1"/>
      <w:numFmt w:val="bullet"/>
      <w:lvlText w:val="•"/>
      <w:lvlJc w:val="left"/>
      <w:rPr>
        <w:rFonts w:ascii="Times New Roman" w:hAnsi="Times New Roman" w:cs="Times New Roman" w:hint="default"/>
        <w:color w:val="DA291C"/>
        <w:sz w:val="22"/>
      </w:rPr>
    </w:lvl>
    <w:lvl w:ilvl="1">
      <w:start w:val="1"/>
      <w:numFmt w:val="bullet"/>
      <w:lvlText w:val="o"/>
      <w:lvlJc w:val="left"/>
      <w:pPr>
        <w:ind w:left="4410" w:hanging="360"/>
      </w:pPr>
      <w:rPr>
        <w:rFonts w:ascii="Courier New" w:hAnsi="Courier New" w:cs="Courier New" w:hint="default"/>
      </w:rPr>
    </w:lvl>
    <w:lvl w:ilvl="2">
      <w:start w:val="1"/>
      <w:numFmt w:val="bullet"/>
      <w:lvlText w:val=""/>
      <w:lvlJc w:val="left"/>
      <w:pPr>
        <w:ind w:left="5130" w:hanging="360"/>
      </w:pPr>
      <w:rPr>
        <w:rFonts w:ascii="Wingdings" w:hAnsi="Wingdings" w:hint="default"/>
      </w:rPr>
    </w:lvl>
    <w:lvl w:ilvl="3">
      <w:start w:val="1"/>
      <w:numFmt w:val="bullet"/>
      <w:lvlText w:val=""/>
      <w:lvlJc w:val="left"/>
      <w:pPr>
        <w:ind w:left="5850" w:hanging="360"/>
      </w:pPr>
      <w:rPr>
        <w:rFonts w:ascii="Symbol" w:hAnsi="Symbol" w:hint="default"/>
      </w:rPr>
    </w:lvl>
    <w:lvl w:ilvl="4" w:tentative="1">
      <w:start w:val="1"/>
      <w:numFmt w:val="bullet"/>
      <w:lvlText w:val="o"/>
      <w:lvlJc w:val="left"/>
      <w:pPr>
        <w:ind w:left="6570" w:hanging="360"/>
      </w:pPr>
      <w:rPr>
        <w:rFonts w:ascii="Courier New" w:hAnsi="Courier New" w:cs="Courier New" w:hint="default"/>
      </w:rPr>
    </w:lvl>
    <w:lvl w:ilvl="5" w:tentative="1">
      <w:start w:val="1"/>
      <w:numFmt w:val="bullet"/>
      <w:lvlText w:val=""/>
      <w:lvlJc w:val="left"/>
      <w:pPr>
        <w:ind w:left="7290" w:hanging="360"/>
      </w:pPr>
      <w:rPr>
        <w:rFonts w:ascii="Wingdings" w:hAnsi="Wingdings" w:hint="default"/>
      </w:rPr>
    </w:lvl>
    <w:lvl w:ilvl="6" w:tentative="1">
      <w:start w:val="1"/>
      <w:numFmt w:val="bullet"/>
      <w:lvlText w:val=""/>
      <w:lvlJc w:val="left"/>
      <w:pPr>
        <w:ind w:left="8010" w:hanging="360"/>
      </w:pPr>
      <w:rPr>
        <w:rFonts w:ascii="Symbol" w:hAnsi="Symbol" w:hint="default"/>
      </w:rPr>
    </w:lvl>
    <w:lvl w:ilvl="7" w:tentative="1">
      <w:start w:val="1"/>
      <w:numFmt w:val="bullet"/>
      <w:lvlText w:val="o"/>
      <w:lvlJc w:val="left"/>
      <w:pPr>
        <w:ind w:left="8730" w:hanging="360"/>
      </w:pPr>
      <w:rPr>
        <w:rFonts w:ascii="Courier New" w:hAnsi="Courier New" w:cs="Courier New" w:hint="default"/>
      </w:rPr>
    </w:lvl>
    <w:lvl w:ilvl="8" w:tentative="1">
      <w:start w:val="1"/>
      <w:numFmt w:val="bullet"/>
      <w:lvlText w:val=""/>
      <w:lvlJc w:val="left"/>
      <w:pPr>
        <w:ind w:left="9450" w:hanging="360"/>
      </w:pPr>
      <w:rPr>
        <w:rFonts w:ascii="Wingdings" w:hAnsi="Wingdings" w:hint="default"/>
      </w:rPr>
    </w:lvl>
  </w:abstractNum>
  <w:abstractNum w:abstractNumId="22">
    <w:nsid w:val="554755BC"/>
    <w:multiLevelType w:val="hybridMultilevel"/>
    <w:tmpl w:val="BB346A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FF63D57"/>
    <w:multiLevelType w:val="hybridMultilevel"/>
    <w:tmpl w:val="3B8CEA92"/>
    <w:lvl w:ilvl="0">
      <w:start w:val="0"/>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24">
    <w:nsid w:val="616F2ED7"/>
    <w:multiLevelType w:val="hybridMultilevel"/>
    <w:tmpl w:val="B27E0FE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68AA040E"/>
    <w:multiLevelType w:val="hybridMultilevel"/>
    <w:tmpl w:val="A6745EC0"/>
    <w:lvl w:ilvl="0">
      <w:start w:val="1"/>
      <w:numFmt w:val="bullet"/>
      <w:lvlText w:val=""/>
      <w:lvlJc w:val="left"/>
      <w:pPr>
        <w:tabs>
          <w:tab w:val="num" w:pos="720"/>
        </w:tabs>
        <w:ind w:left="720" w:hanging="360"/>
      </w:pPr>
      <w:rPr>
        <w:rFonts w:ascii="Symbol" w:hAnsi="Symbol" w:hint="default"/>
        <w:color w:val="DA291C" w:themeColor="accent1"/>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E1F60A1"/>
    <w:multiLevelType w:val="hybridMultilevel"/>
    <w:tmpl w:val="1FA2F43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710516D6"/>
    <w:multiLevelType w:val="hybridMultilevel"/>
    <w:tmpl w:val="8154E406"/>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29">
    <w:nsid w:val="763D660E"/>
    <w:multiLevelType w:val="hybridMultilevel"/>
    <w:tmpl w:val="049E99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1652B8"/>
    <w:multiLevelType w:val="multilevel"/>
    <w:tmpl w:val="428EB332"/>
    <w:lvl w:ilvl="0">
      <w:start w:val="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32">
    <w:nsid w:val="7FCF753D"/>
    <w:multiLevelType w:val="hybridMultilevel"/>
    <w:tmpl w:val="A1E6A41C"/>
    <w:lvl w:ilvl="0">
      <w:start w:val="1"/>
      <w:numFmt w:val="bullet"/>
      <w:pStyle w:val="Bullet2"/>
      <w:lvlText w:val=""/>
      <w:lvlJc w:val="left"/>
      <w:pPr>
        <w:tabs>
          <w:tab w:val="num" w:pos="720"/>
        </w:tabs>
        <w:ind w:left="720" w:hanging="360"/>
      </w:pPr>
      <w:rPr>
        <w:rFonts w:ascii="Symbol" w:hAnsi="Symbol" w:hint="default"/>
        <w:color w:val="0000AC"/>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2646822">
    <w:abstractNumId w:val="28"/>
  </w:num>
  <w:num w:numId="2" w16cid:durableId="1646659758">
    <w:abstractNumId w:val="31"/>
  </w:num>
  <w:num w:numId="3" w16cid:durableId="1458990489">
    <w:abstractNumId w:val="16"/>
  </w:num>
  <w:num w:numId="4" w16cid:durableId="1861116041">
    <w:abstractNumId w:val="32"/>
  </w:num>
  <w:num w:numId="5" w16cid:durableId="1493326702">
    <w:abstractNumId w:val="8"/>
    <w:lvlOverride w:ilvl="0">
      <w:startOverride w:val="1"/>
    </w:lvlOverride>
  </w:num>
  <w:num w:numId="6" w16cid:durableId="262341337">
    <w:abstractNumId w:val="17"/>
  </w:num>
  <w:num w:numId="7" w16cid:durableId="2001039143">
    <w:abstractNumId w:val="7"/>
  </w:num>
  <w:num w:numId="8" w16cid:durableId="1796481271">
    <w:abstractNumId w:val="3"/>
  </w:num>
  <w:num w:numId="9" w16cid:durableId="1421105085">
    <w:abstractNumId w:val="20"/>
  </w:num>
  <w:num w:numId="10" w16cid:durableId="405035514">
    <w:abstractNumId w:val="8"/>
  </w:num>
  <w:num w:numId="11" w16cid:durableId="44985489">
    <w:abstractNumId w:val="24"/>
  </w:num>
  <w:num w:numId="12" w16cid:durableId="1059012860">
    <w:abstractNumId w:val="13"/>
  </w:num>
  <w:num w:numId="13" w16cid:durableId="1447384183">
    <w:abstractNumId w:val="2"/>
  </w:num>
  <w:num w:numId="14" w16cid:durableId="586765291">
    <w:abstractNumId w:val="19"/>
  </w:num>
  <w:num w:numId="15" w16cid:durableId="544411687">
    <w:abstractNumId w:val="27"/>
  </w:num>
  <w:num w:numId="16" w16cid:durableId="1564833554">
    <w:abstractNumId w:val="23"/>
  </w:num>
  <w:num w:numId="17" w16cid:durableId="1191602213">
    <w:abstractNumId w:val="6"/>
  </w:num>
  <w:num w:numId="18" w16cid:durableId="285048598">
    <w:abstractNumId w:val="22"/>
  </w:num>
  <w:num w:numId="19" w16cid:durableId="862137481">
    <w:abstractNumId w:val="0"/>
  </w:num>
  <w:num w:numId="20" w16cid:durableId="961422196">
    <w:abstractNumId w:val="18"/>
  </w:num>
  <w:num w:numId="21" w16cid:durableId="1462456102">
    <w:abstractNumId w:val="9"/>
  </w:num>
  <w:num w:numId="22" w16cid:durableId="737437264">
    <w:abstractNumId w:val="1"/>
  </w:num>
  <w:num w:numId="23" w16cid:durableId="1433546009">
    <w:abstractNumId w:val="15"/>
  </w:num>
  <w:num w:numId="24" w16cid:durableId="1410882505">
    <w:abstractNumId w:val="11"/>
  </w:num>
  <w:num w:numId="25" w16cid:durableId="1978141994">
    <w:abstractNumId w:val="29"/>
  </w:num>
  <w:num w:numId="26" w16cid:durableId="844856215">
    <w:abstractNumId w:val="4"/>
  </w:num>
  <w:num w:numId="27" w16cid:durableId="471873651">
    <w:abstractNumId w:val="14"/>
  </w:num>
  <w:num w:numId="28" w16cid:durableId="1186361909">
    <w:abstractNumId w:val="5"/>
  </w:num>
  <w:num w:numId="29" w16cid:durableId="915866086">
    <w:abstractNumId w:val="25"/>
  </w:num>
  <w:num w:numId="30" w16cid:durableId="2023122400">
    <w:abstractNumId w:val="30"/>
  </w:num>
  <w:num w:numId="31" w16cid:durableId="19805705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1981233">
    <w:abstractNumId w:val="12"/>
  </w:num>
  <w:num w:numId="33" w16cid:durableId="1400516880">
    <w:abstractNumId w:val="26"/>
  </w:num>
  <w:num w:numId="34" w16cid:durableId="1854876525">
    <w:abstractNumId w:val="10"/>
  </w:num>
  <w:num w:numId="35" w16cid:durableId="686173467">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oNotTrackFormatting/>
  <w:defaultTabStop w:val="360"/>
  <w:drawingGridHorizontalSpacing w:val="110"/>
  <w:drawingGridVerticalSpacing w:val="299"/>
  <w:displayHorizontalDrawingGridEvery w:val="0"/>
  <w:displayVerticalDrawingGridEvery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ACF"/>
    <w:rsid w:val="00000FE9"/>
    <w:rsid w:val="00001DB3"/>
    <w:rsid w:val="00003A2C"/>
    <w:rsid w:val="00005932"/>
    <w:rsid w:val="00006167"/>
    <w:rsid w:val="00006B3A"/>
    <w:rsid w:val="00006B51"/>
    <w:rsid w:val="00007142"/>
    <w:rsid w:val="00011838"/>
    <w:rsid w:val="000136F3"/>
    <w:rsid w:val="00016E17"/>
    <w:rsid w:val="00016E29"/>
    <w:rsid w:val="00020584"/>
    <w:rsid w:val="0002185C"/>
    <w:rsid w:val="0002216E"/>
    <w:rsid w:val="00022FD9"/>
    <w:rsid w:val="00024081"/>
    <w:rsid w:val="000269ED"/>
    <w:rsid w:val="0003077A"/>
    <w:rsid w:val="000314E4"/>
    <w:rsid w:val="000316BD"/>
    <w:rsid w:val="000344E5"/>
    <w:rsid w:val="00036ECE"/>
    <w:rsid w:val="00040C3B"/>
    <w:rsid w:val="00040E00"/>
    <w:rsid w:val="0004437C"/>
    <w:rsid w:val="00044ECE"/>
    <w:rsid w:val="00045A5A"/>
    <w:rsid w:val="00046728"/>
    <w:rsid w:val="0005062E"/>
    <w:rsid w:val="000510E3"/>
    <w:rsid w:val="000525E0"/>
    <w:rsid w:val="00053EEF"/>
    <w:rsid w:val="000543DC"/>
    <w:rsid w:val="0005500B"/>
    <w:rsid w:val="00055022"/>
    <w:rsid w:val="0005750B"/>
    <w:rsid w:val="00057A84"/>
    <w:rsid w:val="00060051"/>
    <w:rsid w:val="0006045E"/>
    <w:rsid w:val="000623C6"/>
    <w:rsid w:val="00064A55"/>
    <w:rsid w:val="0006587B"/>
    <w:rsid w:val="00070322"/>
    <w:rsid w:val="00070E3B"/>
    <w:rsid w:val="00070EB7"/>
    <w:rsid w:val="000713DF"/>
    <w:rsid w:val="00071697"/>
    <w:rsid w:val="0007783C"/>
    <w:rsid w:val="000778EC"/>
    <w:rsid w:val="00077E61"/>
    <w:rsid w:val="0008244A"/>
    <w:rsid w:val="00082D01"/>
    <w:rsid w:val="00083449"/>
    <w:rsid w:val="0008447D"/>
    <w:rsid w:val="000846CB"/>
    <w:rsid w:val="00087856"/>
    <w:rsid w:val="000902AA"/>
    <w:rsid w:val="00091A28"/>
    <w:rsid w:val="0009396F"/>
    <w:rsid w:val="00093C5B"/>
    <w:rsid w:val="000950AD"/>
    <w:rsid w:val="00095D40"/>
    <w:rsid w:val="000A00A2"/>
    <w:rsid w:val="000A175F"/>
    <w:rsid w:val="000A1C6D"/>
    <w:rsid w:val="000A4377"/>
    <w:rsid w:val="000A4833"/>
    <w:rsid w:val="000A56DF"/>
    <w:rsid w:val="000A58F6"/>
    <w:rsid w:val="000A61EF"/>
    <w:rsid w:val="000A7BD9"/>
    <w:rsid w:val="000A7D69"/>
    <w:rsid w:val="000B2DCA"/>
    <w:rsid w:val="000B33D1"/>
    <w:rsid w:val="000B49FE"/>
    <w:rsid w:val="000B5081"/>
    <w:rsid w:val="000C0A39"/>
    <w:rsid w:val="000C2597"/>
    <w:rsid w:val="000C3040"/>
    <w:rsid w:val="000C484C"/>
    <w:rsid w:val="000C4BCB"/>
    <w:rsid w:val="000C7A9F"/>
    <w:rsid w:val="000D0179"/>
    <w:rsid w:val="000D1122"/>
    <w:rsid w:val="000D53F1"/>
    <w:rsid w:val="000D5777"/>
    <w:rsid w:val="000D6FEB"/>
    <w:rsid w:val="000E0178"/>
    <w:rsid w:val="000E1CFE"/>
    <w:rsid w:val="000E322C"/>
    <w:rsid w:val="000E3B79"/>
    <w:rsid w:val="000E56D6"/>
    <w:rsid w:val="000E6B75"/>
    <w:rsid w:val="000E77D0"/>
    <w:rsid w:val="000F2A39"/>
    <w:rsid w:val="000F2E8A"/>
    <w:rsid w:val="000F39E5"/>
    <w:rsid w:val="000F47B7"/>
    <w:rsid w:val="000F5338"/>
    <w:rsid w:val="000F53F4"/>
    <w:rsid w:val="00100B95"/>
    <w:rsid w:val="001034D7"/>
    <w:rsid w:val="00103C8A"/>
    <w:rsid w:val="00104F2A"/>
    <w:rsid w:val="001054C6"/>
    <w:rsid w:val="00106475"/>
    <w:rsid w:val="00107A04"/>
    <w:rsid w:val="0011170B"/>
    <w:rsid w:val="00111CB5"/>
    <w:rsid w:val="00113AB3"/>
    <w:rsid w:val="0011452B"/>
    <w:rsid w:val="00114817"/>
    <w:rsid w:val="00115B12"/>
    <w:rsid w:val="00115C4B"/>
    <w:rsid w:val="001178CA"/>
    <w:rsid w:val="00120B24"/>
    <w:rsid w:val="001218EF"/>
    <w:rsid w:val="00121C4A"/>
    <w:rsid w:val="001242E8"/>
    <w:rsid w:val="00125CDF"/>
    <w:rsid w:val="0012654A"/>
    <w:rsid w:val="00127428"/>
    <w:rsid w:val="0012751C"/>
    <w:rsid w:val="00127986"/>
    <w:rsid w:val="00127FBE"/>
    <w:rsid w:val="001305CD"/>
    <w:rsid w:val="001307A5"/>
    <w:rsid w:val="0013313B"/>
    <w:rsid w:val="00134CED"/>
    <w:rsid w:val="00135451"/>
    <w:rsid w:val="0013629A"/>
    <w:rsid w:val="00137474"/>
    <w:rsid w:val="00137898"/>
    <w:rsid w:val="00142090"/>
    <w:rsid w:val="00146513"/>
    <w:rsid w:val="001467ED"/>
    <w:rsid w:val="00146B67"/>
    <w:rsid w:val="00147DB7"/>
    <w:rsid w:val="0014B098"/>
    <w:rsid w:val="00152153"/>
    <w:rsid w:val="00157E04"/>
    <w:rsid w:val="00160657"/>
    <w:rsid w:val="00160B87"/>
    <w:rsid w:val="001677DC"/>
    <w:rsid w:val="0016784E"/>
    <w:rsid w:val="001679E7"/>
    <w:rsid w:val="00170CF9"/>
    <w:rsid w:val="00172119"/>
    <w:rsid w:val="001722BF"/>
    <w:rsid w:val="00172FD6"/>
    <w:rsid w:val="001746D2"/>
    <w:rsid w:val="00175F01"/>
    <w:rsid w:val="00177375"/>
    <w:rsid w:val="00177861"/>
    <w:rsid w:val="00181BDA"/>
    <w:rsid w:val="001845BD"/>
    <w:rsid w:val="00192889"/>
    <w:rsid w:val="001935FC"/>
    <w:rsid w:val="001941D0"/>
    <w:rsid w:val="00195CD3"/>
    <w:rsid w:val="00195D03"/>
    <w:rsid w:val="001960DE"/>
    <w:rsid w:val="001A04CE"/>
    <w:rsid w:val="001A0E0A"/>
    <w:rsid w:val="001A12C0"/>
    <w:rsid w:val="001A23B5"/>
    <w:rsid w:val="001A3848"/>
    <w:rsid w:val="001A403F"/>
    <w:rsid w:val="001A4183"/>
    <w:rsid w:val="001A4633"/>
    <w:rsid w:val="001A5B9A"/>
    <w:rsid w:val="001B0C68"/>
    <w:rsid w:val="001B162F"/>
    <w:rsid w:val="001B4509"/>
    <w:rsid w:val="001C036E"/>
    <w:rsid w:val="001C0891"/>
    <w:rsid w:val="001C10AF"/>
    <w:rsid w:val="001C18B8"/>
    <w:rsid w:val="001C1AFA"/>
    <w:rsid w:val="001C4CE6"/>
    <w:rsid w:val="001D0620"/>
    <w:rsid w:val="001D2268"/>
    <w:rsid w:val="001D38DB"/>
    <w:rsid w:val="001D4FDD"/>
    <w:rsid w:val="001D5AEA"/>
    <w:rsid w:val="001D69EB"/>
    <w:rsid w:val="001E0336"/>
    <w:rsid w:val="001E056A"/>
    <w:rsid w:val="001E2C63"/>
    <w:rsid w:val="001E2CF1"/>
    <w:rsid w:val="001E2EFC"/>
    <w:rsid w:val="001F1F40"/>
    <w:rsid w:val="001F378F"/>
    <w:rsid w:val="001F42B2"/>
    <w:rsid w:val="001F49BF"/>
    <w:rsid w:val="001F53E7"/>
    <w:rsid w:val="001F76ED"/>
    <w:rsid w:val="001F7AEF"/>
    <w:rsid w:val="001F7C54"/>
    <w:rsid w:val="00200E58"/>
    <w:rsid w:val="002016D8"/>
    <w:rsid w:val="002063DA"/>
    <w:rsid w:val="00206497"/>
    <w:rsid w:val="002064D3"/>
    <w:rsid w:val="002103F4"/>
    <w:rsid w:val="002106BF"/>
    <w:rsid w:val="002120A4"/>
    <w:rsid w:val="0021299D"/>
    <w:rsid w:val="00212BF9"/>
    <w:rsid w:val="00216B09"/>
    <w:rsid w:val="002176B8"/>
    <w:rsid w:val="00217DEE"/>
    <w:rsid w:val="00220867"/>
    <w:rsid w:val="00220A76"/>
    <w:rsid w:val="002216AD"/>
    <w:rsid w:val="00221D99"/>
    <w:rsid w:val="002227ED"/>
    <w:rsid w:val="00222854"/>
    <w:rsid w:val="00223968"/>
    <w:rsid w:val="00223A9F"/>
    <w:rsid w:val="002251AA"/>
    <w:rsid w:val="0022674D"/>
    <w:rsid w:val="0022727A"/>
    <w:rsid w:val="00227977"/>
    <w:rsid w:val="00230D33"/>
    <w:rsid w:val="002313CB"/>
    <w:rsid w:val="00233749"/>
    <w:rsid w:val="00233E42"/>
    <w:rsid w:val="0023449A"/>
    <w:rsid w:val="00235CB8"/>
    <w:rsid w:val="00235F88"/>
    <w:rsid w:val="00236B01"/>
    <w:rsid w:val="00240178"/>
    <w:rsid w:val="00240ED2"/>
    <w:rsid w:val="00241545"/>
    <w:rsid w:val="00241772"/>
    <w:rsid w:val="00243871"/>
    <w:rsid w:val="00251399"/>
    <w:rsid w:val="00251F31"/>
    <w:rsid w:val="0025208E"/>
    <w:rsid w:val="00252397"/>
    <w:rsid w:val="00254462"/>
    <w:rsid w:val="00255975"/>
    <w:rsid w:val="00255A82"/>
    <w:rsid w:val="00256CA5"/>
    <w:rsid w:val="002605FC"/>
    <w:rsid w:val="002619D3"/>
    <w:rsid w:val="00262E2F"/>
    <w:rsid w:val="0026367F"/>
    <w:rsid w:val="00263E31"/>
    <w:rsid w:val="00265CA5"/>
    <w:rsid w:val="00265E4C"/>
    <w:rsid w:val="00265F66"/>
    <w:rsid w:val="002702F7"/>
    <w:rsid w:val="00270AAB"/>
    <w:rsid w:val="00271307"/>
    <w:rsid w:val="002730C5"/>
    <w:rsid w:val="002734B4"/>
    <w:rsid w:val="00273EAA"/>
    <w:rsid w:val="00273FC1"/>
    <w:rsid w:val="00275398"/>
    <w:rsid w:val="00275F63"/>
    <w:rsid w:val="00276702"/>
    <w:rsid w:val="0028328D"/>
    <w:rsid w:val="002838F5"/>
    <w:rsid w:val="00283D8D"/>
    <w:rsid w:val="002851AA"/>
    <w:rsid w:val="00285BB6"/>
    <w:rsid w:val="00287183"/>
    <w:rsid w:val="00287C26"/>
    <w:rsid w:val="002909CD"/>
    <w:rsid w:val="002944BB"/>
    <w:rsid w:val="0029491C"/>
    <w:rsid w:val="00295A2B"/>
    <w:rsid w:val="00295C47"/>
    <w:rsid w:val="00295DB4"/>
    <w:rsid w:val="0029614F"/>
    <w:rsid w:val="00296F1B"/>
    <w:rsid w:val="0029796B"/>
    <w:rsid w:val="002A4078"/>
    <w:rsid w:val="002A5CE0"/>
    <w:rsid w:val="002A7402"/>
    <w:rsid w:val="002B2F3C"/>
    <w:rsid w:val="002B3964"/>
    <w:rsid w:val="002B481D"/>
    <w:rsid w:val="002B5EC4"/>
    <w:rsid w:val="002B6A5B"/>
    <w:rsid w:val="002B6B66"/>
    <w:rsid w:val="002B6E77"/>
    <w:rsid w:val="002C0245"/>
    <w:rsid w:val="002C12C4"/>
    <w:rsid w:val="002C2BC1"/>
    <w:rsid w:val="002C32AB"/>
    <w:rsid w:val="002C41F9"/>
    <w:rsid w:val="002C4495"/>
    <w:rsid w:val="002C5711"/>
    <w:rsid w:val="002C5AC8"/>
    <w:rsid w:val="002C655F"/>
    <w:rsid w:val="002C6C06"/>
    <w:rsid w:val="002C76AB"/>
    <w:rsid w:val="002D33CD"/>
    <w:rsid w:val="002D4536"/>
    <w:rsid w:val="002D6268"/>
    <w:rsid w:val="002D6784"/>
    <w:rsid w:val="002E235A"/>
    <w:rsid w:val="002E310E"/>
    <w:rsid w:val="002E34D3"/>
    <w:rsid w:val="002E439A"/>
    <w:rsid w:val="002E65B6"/>
    <w:rsid w:val="002F106C"/>
    <w:rsid w:val="002F2C61"/>
    <w:rsid w:val="002F38F6"/>
    <w:rsid w:val="002F48C8"/>
    <w:rsid w:val="002F55CE"/>
    <w:rsid w:val="002F6A22"/>
    <w:rsid w:val="002F6E62"/>
    <w:rsid w:val="002F76F5"/>
    <w:rsid w:val="00300006"/>
    <w:rsid w:val="00301239"/>
    <w:rsid w:val="0030215B"/>
    <w:rsid w:val="00302A2C"/>
    <w:rsid w:val="00302C6A"/>
    <w:rsid w:val="00304B6F"/>
    <w:rsid w:val="00306132"/>
    <w:rsid w:val="003109EB"/>
    <w:rsid w:val="00310C8D"/>
    <w:rsid w:val="003110F8"/>
    <w:rsid w:val="0031273B"/>
    <w:rsid w:val="00312E5A"/>
    <w:rsid w:val="00314142"/>
    <w:rsid w:val="00314460"/>
    <w:rsid w:val="00314A8A"/>
    <w:rsid w:val="00316B4D"/>
    <w:rsid w:val="00320DF6"/>
    <w:rsid w:val="00321662"/>
    <w:rsid w:val="00321813"/>
    <w:rsid w:val="00322F1F"/>
    <w:rsid w:val="0032400C"/>
    <w:rsid w:val="00324EC2"/>
    <w:rsid w:val="003279F2"/>
    <w:rsid w:val="00331A40"/>
    <w:rsid w:val="00331C6C"/>
    <w:rsid w:val="003325C6"/>
    <w:rsid w:val="0033439F"/>
    <w:rsid w:val="00335785"/>
    <w:rsid w:val="0033676C"/>
    <w:rsid w:val="0034009F"/>
    <w:rsid w:val="00342BA9"/>
    <w:rsid w:val="003432B2"/>
    <w:rsid w:val="003455BC"/>
    <w:rsid w:val="003456D5"/>
    <w:rsid w:val="0034596C"/>
    <w:rsid w:val="00346F17"/>
    <w:rsid w:val="003478A0"/>
    <w:rsid w:val="0035287D"/>
    <w:rsid w:val="00352CAF"/>
    <w:rsid w:val="003533AB"/>
    <w:rsid w:val="00354503"/>
    <w:rsid w:val="003610EC"/>
    <w:rsid w:val="003623F0"/>
    <w:rsid w:val="00363B0C"/>
    <w:rsid w:val="003676F5"/>
    <w:rsid w:val="00370164"/>
    <w:rsid w:val="003708BF"/>
    <w:rsid w:val="003711CD"/>
    <w:rsid w:val="00372083"/>
    <w:rsid w:val="00377C52"/>
    <w:rsid w:val="00380DB1"/>
    <w:rsid w:val="00381CB8"/>
    <w:rsid w:val="00382DCA"/>
    <w:rsid w:val="00383B62"/>
    <w:rsid w:val="00383BFC"/>
    <w:rsid w:val="00384611"/>
    <w:rsid w:val="003849CC"/>
    <w:rsid w:val="00384CA0"/>
    <w:rsid w:val="00386D01"/>
    <w:rsid w:val="00386F09"/>
    <w:rsid w:val="003870BA"/>
    <w:rsid w:val="00387D78"/>
    <w:rsid w:val="00391B84"/>
    <w:rsid w:val="00391F82"/>
    <w:rsid w:val="00392A8A"/>
    <w:rsid w:val="0039429C"/>
    <w:rsid w:val="00395A89"/>
    <w:rsid w:val="00397332"/>
    <w:rsid w:val="00397F70"/>
    <w:rsid w:val="003A0028"/>
    <w:rsid w:val="003A0C94"/>
    <w:rsid w:val="003A11AB"/>
    <w:rsid w:val="003A17F4"/>
    <w:rsid w:val="003A250A"/>
    <w:rsid w:val="003A2FA8"/>
    <w:rsid w:val="003A3403"/>
    <w:rsid w:val="003A3E78"/>
    <w:rsid w:val="003A5D3A"/>
    <w:rsid w:val="003A64E6"/>
    <w:rsid w:val="003B01D7"/>
    <w:rsid w:val="003B02D2"/>
    <w:rsid w:val="003B4770"/>
    <w:rsid w:val="003B6D44"/>
    <w:rsid w:val="003B7D8F"/>
    <w:rsid w:val="003C20BF"/>
    <w:rsid w:val="003C3A85"/>
    <w:rsid w:val="003C3DC4"/>
    <w:rsid w:val="003C5E27"/>
    <w:rsid w:val="003C6203"/>
    <w:rsid w:val="003C712F"/>
    <w:rsid w:val="003D3131"/>
    <w:rsid w:val="003D4D7E"/>
    <w:rsid w:val="003D5616"/>
    <w:rsid w:val="003D5D09"/>
    <w:rsid w:val="003D7534"/>
    <w:rsid w:val="003E1894"/>
    <w:rsid w:val="003E3004"/>
    <w:rsid w:val="003E3C76"/>
    <w:rsid w:val="003E42C4"/>
    <w:rsid w:val="003E5A1A"/>
    <w:rsid w:val="003E666B"/>
    <w:rsid w:val="003E66C9"/>
    <w:rsid w:val="003E6FF0"/>
    <w:rsid w:val="003E73C2"/>
    <w:rsid w:val="003E79AA"/>
    <w:rsid w:val="003F279C"/>
    <w:rsid w:val="003F36C0"/>
    <w:rsid w:val="003F3E19"/>
    <w:rsid w:val="003F42FD"/>
    <w:rsid w:val="003F6154"/>
    <w:rsid w:val="003F636B"/>
    <w:rsid w:val="003F6E89"/>
    <w:rsid w:val="00400683"/>
    <w:rsid w:val="00400DE8"/>
    <w:rsid w:val="00403F96"/>
    <w:rsid w:val="004057EE"/>
    <w:rsid w:val="00406332"/>
    <w:rsid w:val="00413261"/>
    <w:rsid w:val="004139AC"/>
    <w:rsid w:val="004167B1"/>
    <w:rsid w:val="004179F2"/>
    <w:rsid w:val="00423092"/>
    <w:rsid w:val="00423BF0"/>
    <w:rsid w:val="004253E8"/>
    <w:rsid w:val="00426B73"/>
    <w:rsid w:val="00427EA9"/>
    <w:rsid w:val="00431455"/>
    <w:rsid w:val="00431693"/>
    <w:rsid w:val="004319BC"/>
    <w:rsid w:val="00431ABE"/>
    <w:rsid w:val="00434CFC"/>
    <w:rsid w:val="004350B0"/>
    <w:rsid w:val="00436608"/>
    <w:rsid w:val="00436CE5"/>
    <w:rsid w:val="00440C1E"/>
    <w:rsid w:val="00440E96"/>
    <w:rsid w:val="004437F2"/>
    <w:rsid w:val="00451CCE"/>
    <w:rsid w:val="00453F9D"/>
    <w:rsid w:val="0045437A"/>
    <w:rsid w:val="00457F8E"/>
    <w:rsid w:val="00460037"/>
    <w:rsid w:val="004604BC"/>
    <w:rsid w:val="0046174B"/>
    <w:rsid w:val="004625B6"/>
    <w:rsid w:val="004627AE"/>
    <w:rsid w:val="00464FAF"/>
    <w:rsid w:val="00467274"/>
    <w:rsid w:val="0046F399"/>
    <w:rsid w:val="00470AB4"/>
    <w:rsid w:val="00470CFB"/>
    <w:rsid w:val="00470D4B"/>
    <w:rsid w:val="00472572"/>
    <w:rsid w:val="00472E16"/>
    <w:rsid w:val="004734DF"/>
    <w:rsid w:val="004736EB"/>
    <w:rsid w:val="0047466C"/>
    <w:rsid w:val="00474B5A"/>
    <w:rsid w:val="00475003"/>
    <w:rsid w:val="00476F60"/>
    <w:rsid w:val="00477670"/>
    <w:rsid w:val="00477866"/>
    <w:rsid w:val="00477CCE"/>
    <w:rsid w:val="00482BB4"/>
    <w:rsid w:val="00484951"/>
    <w:rsid w:val="00486037"/>
    <w:rsid w:val="00486943"/>
    <w:rsid w:val="0049064E"/>
    <w:rsid w:val="00490DAC"/>
    <w:rsid w:val="00494746"/>
    <w:rsid w:val="00495B91"/>
    <w:rsid w:val="00497BAA"/>
    <w:rsid w:val="004A4F87"/>
    <w:rsid w:val="004A5408"/>
    <w:rsid w:val="004A54F1"/>
    <w:rsid w:val="004A6D4D"/>
    <w:rsid w:val="004A7B8D"/>
    <w:rsid w:val="004B01CB"/>
    <w:rsid w:val="004B1272"/>
    <w:rsid w:val="004B4AB1"/>
    <w:rsid w:val="004B630F"/>
    <w:rsid w:val="004C1094"/>
    <w:rsid w:val="004C18DF"/>
    <w:rsid w:val="004C29E5"/>
    <w:rsid w:val="004C2B46"/>
    <w:rsid w:val="004C3413"/>
    <w:rsid w:val="004C5E23"/>
    <w:rsid w:val="004D0ECE"/>
    <w:rsid w:val="004D2D9A"/>
    <w:rsid w:val="004D3060"/>
    <w:rsid w:val="004D4133"/>
    <w:rsid w:val="004D4C6D"/>
    <w:rsid w:val="004D766E"/>
    <w:rsid w:val="004E0069"/>
    <w:rsid w:val="004E01A4"/>
    <w:rsid w:val="004E028C"/>
    <w:rsid w:val="004E2617"/>
    <w:rsid w:val="004E3FFF"/>
    <w:rsid w:val="004E506F"/>
    <w:rsid w:val="004E555A"/>
    <w:rsid w:val="004E5B08"/>
    <w:rsid w:val="004F1ADF"/>
    <w:rsid w:val="004F1FB4"/>
    <w:rsid w:val="004F2550"/>
    <w:rsid w:val="004F3A0F"/>
    <w:rsid w:val="004F3A54"/>
    <w:rsid w:val="004F50B5"/>
    <w:rsid w:val="004F5B75"/>
    <w:rsid w:val="004F6742"/>
    <w:rsid w:val="004F7065"/>
    <w:rsid w:val="004F709B"/>
    <w:rsid w:val="00500B5A"/>
    <w:rsid w:val="00500E02"/>
    <w:rsid w:val="0050112F"/>
    <w:rsid w:val="005026B4"/>
    <w:rsid w:val="00502E9F"/>
    <w:rsid w:val="00503049"/>
    <w:rsid w:val="005057B3"/>
    <w:rsid w:val="00507535"/>
    <w:rsid w:val="00507C08"/>
    <w:rsid w:val="00512327"/>
    <w:rsid w:val="0051630B"/>
    <w:rsid w:val="00516991"/>
    <w:rsid w:val="00516A95"/>
    <w:rsid w:val="00522A16"/>
    <w:rsid w:val="00522A70"/>
    <w:rsid w:val="00523474"/>
    <w:rsid w:val="0052423D"/>
    <w:rsid w:val="0052579E"/>
    <w:rsid w:val="00526056"/>
    <w:rsid w:val="0052640E"/>
    <w:rsid w:val="00527366"/>
    <w:rsid w:val="00527744"/>
    <w:rsid w:val="00530B3E"/>
    <w:rsid w:val="00530F72"/>
    <w:rsid w:val="00534B03"/>
    <w:rsid w:val="00534C33"/>
    <w:rsid w:val="00536D47"/>
    <w:rsid w:val="00536DB4"/>
    <w:rsid w:val="0054025D"/>
    <w:rsid w:val="00544F19"/>
    <w:rsid w:val="0055123E"/>
    <w:rsid w:val="00551B24"/>
    <w:rsid w:val="00555539"/>
    <w:rsid w:val="00555E0E"/>
    <w:rsid w:val="00555FA8"/>
    <w:rsid w:val="0055768B"/>
    <w:rsid w:val="00563383"/>
    <w:rsid w:val="005647C8"/>
    <w:rsid w:val="005650C7"/>
    <w:rsid w:val="00574240"/>
    <w:rsid w:val="00574572"/>
    <w:rsid w:val="00576518"/>
    <w:rsid w:val="0058020E"/>
    <w:rsid w:val="00581C65"/>
    <w:rsid w:val="00581E37"/>
    <w:rsid w:val="00582EA8"/>
    <w:rsid w:val="0058326F"/>
    <w:rsid w:val="005847ED"/>
    <w:rsid w:val="00585CA4"/>
    <w:rsid w:val="005906D5"/>
    <w:rsid w:val="005907FD"/>
    <w:rsid w:val="00593AFC"/>
    <w:rsid w:val="00593E20"/>
    <w:rsid w:val="00594F92"/>
    <w:rsid w:val="00597948"/>
    <w:rsid w:val="005A2ABC"/>
    <w:rsid w:val="005A48BB"/>
    <w:rsid w:val="005A4A15"/>
    <w:rsid w:val="005B127F"/>
    <w:rsid w:val="005B1AC5"/>
    <w:rsid w:val="005B3345"/>
    <w:rsid w:val="005B390B"/>
    <w:rsid w:val="005B6A25"/>
    <w:rsid w:val="005B6ACF"/>
    <w:rsid w:val="005C1C10"/>
    <w:rsid w:val="005C4647"/>
    <w:rsid w:val="005C7C1F"/>
    <w:rsid w:val="005D0FF2"/>
    <w:rsid w:val="005D11EF"/>
    <w:rsid w:val="005D162C"/>
    <w:rsid w:val="005D1979"/>
    <w:rsid w:val="005D2088"/>
    <w:rsid w:val="005D27F2"/>
    <w:rsid w:val="005D2EBD"/>
    <w:rsid w:val="005D44D2"/>
    <w:rsid w:val="005D508A"/>
    <w:rsid w:val="005D7778"/>
    <w:rsid w:val="005D7C75"/>
    <w:rsid w:val="005E0CF2"/>
    <w:rsid w:val="005E2AEA"/>
    <w:rsid w:val="005E2CC2"/>
    <w:rsid w:val="005E4C4E"/>
    <w:rsid w:val="005E6334"/>
    <w:rsid w:val="005E6B70"/>
    <w:rsid w:val="005E6BE4"/>
    <w:rsid w:val="005F27F8"/>
    <w:rsid w:val="005F5D79"/>
    <w:rsid w:val="005F6A5F"/>
    <w:rsid w:val="00601239"/>
    <w:rsid w:val="006035AF"/>
    <w:rsid w:val="00603F40"/>
    <w:rsid w:val="00604E8C"/>
    <w:rsid w:val="006057C0"/>
    <w:rsid w:val="00607376"/>
    <w:rsid w:val="006103E6"/>
    <w:rsid w:val="00611973"/>
    <w:rsid w:val="006122D8"/>
    <w:rsid w:val="0061247A"/>
    <w:rsid w:val="00612C52"/>
    <w:rsid w:val="00613577"/>
    <w:rsid w:val="006157E6"/>
    <w:rsid w:val="00615938"/>
    <w:rsid w:val="006172E4"/>
    <w:rsid w:val="00617FF3"/>
    <w:rsid w:val="00620AE6"/>
    <w:rsid w:val="00620FF4"/>
    <w:rsid w:val="00621863"/>
    <w:rsid w:val="006228FF"/>
    <w:rsid w:val="00626051"/>
    <w:rsid w:val="0062791F"/>
    <w:rsid w:val="0063014E"/>
    <w:rsid w:val="00633775"/>
    <w:rsid w:val="00635369"/>
    <w:rsid w:val="00635E36"/>
    <w:rsid w:val="00636BFC"/>
    <w:rsid w:val="00636FA9"/>
    <w:rsid w:val="00637E72"/>
    <w:rsid w:val="00643845"/>
    <w:rsid w:val="0064390E"/>
    <w:rsid w:val="006477D9"/>
    <w:rsid w:val="00647889"/>
    <w:rsid w:val="0065022A"/>
    <w:rsid w:val="0065112D"/>
    <w:rsid w:val="00651FA9"/>
    <w:rsid w:val="00653E2F"/>
    <w:rsid w:val="00654F81"/>
    <w:rsid w:val="006555C0"/>
    <w:rsid w:val="00657B5E"/>
    <w:rsid w:val="0066134E"/>
    <w:rsid w:val="006641E7"/>
    <w:rsid w:val="00665244"/>
    <w:rsid w:val="00666257"/>
    <w:rsid w:val="00666597"/>
    <w:rsid w:val="0066667F"/>
    <w:rsid w:val="006679A9"/>
    <w:rsid w:val="0067028C"/>
    <w:rsid w:val="00670E0D"/>
    <w:rsid w:val="00671F45"/>
    <w:rsid w:val="00674194"/>
    <w:rsid w:val="00674658"/>
    <w:rsid w:val="00674B1F"/>
    <w:rsid w:val="006755E3"/>
    <w:rsid w:val="006814BB"/>
    <w:rsid w:val="006831E2"/>
    <w:rsid w:val="006840EB"/>
    <w:rsid w:val="006853CF"/>
    <w:rsid w:val="00685B78"/>
    <w:rsid w:val="006863A5"/>
    <w:rsid w:val="0069204D"/>
    <w:rsid w:val="0069342C"/>
    <w:rsid w:val="006951B9"/>
    <w:rsid w:val="00695912"/>
    <w:rsid w:val="00696796"/>
    <w:rsid w:val="00697292"/>
    <w:rsid w:val="006A0712"/>
    <w:rsid w:val="006A4502"/>
    <w:rsid w:val="006A541C"/>
    <w:rsid w:val="006A56B3"/>
    <w:rsid w:val="006A5B3B"/>
    <w:rsid w:val="006A6F16"/>
    <w:rsid w:val="006A7F52"/>
    <w:rsid w:val="006B1969"/>
    <w:rsid w:val="006B1DA6"/>
    <w:rsid w:val="006B377B"/>
    <w:rsid w:val="006B4F42"/>
    <w:rsid w:val="006B55DC"/>
    <w:rsid w:val="006B573C"/>
    <w:rsid w:val="006B757D"/>
    <w:rsid w:val="006C068A"/>
    <w:rsid w:val="006C2072"/>
    <w:rsid w:val="006C3570"/>
    <w:rsid w:val="006C6103"/>
    <w:rsid w:val="006C6551"/>
    <w:rsid w:val="006C7A4C"/>
    <w:rsid w:val="006D0427"/>
    <w:rsid w:val="006D0CE1"/>
    <w:rsid w:val="006D406B"/>
    <w:rsid w:val="006D57F3"/>
    <w:rsid w:val="006D6E50"/>
    <w:rsid w:val="006D7CE1"/>
    <w:rsid w:val="006D7F1F"/>
    <w:rsid w:val="006E18B4"/>
    <w:rsid w:val="006E2188"/>
    <w:rsid w:val="006E29B7"/>
    <w:rsid w:val="006E2AD2"/>
    <w:rsid w:val="006E2B32"/>
    <w:rsid w:val="006E55DE"/>
    <w:rsid w:val="006E57C4"/>
    <w:rsid w:val="006F012C"/>
    <w:rsid w:val="006F299B"/>
    <w:rsid w:val="006F2B34"/>
    <w:rsid w:val="006F7492"/>
    <w:rsid w:val="006F756B"/>
    <w:rsid w:val="007011B8"/>
    <w:rsid w:val="00701240"/>
    <w:rsid w:val="007057ED"/>
    <w:rsid w:val="0070672F"/>
    <w:rsid w:val="00707708"/>
    <w:rsid w:val="00707A3A"/>
    <w:rsid w:val="00710334"/>
    <w:rsid w:val="007105A6"/>
    <w:rsid w:val="00710FAD"/>
    <w:rsid w:val="00711200"/>
    <w:rsid w:val="00715417"/>
    <w:rsid w:val="0071542F"/>
    <w:rsid w:val="00715A23"/>
    <w:rsid w:val="007216E3"/>
    <w:rsid w:val="00722A2E"/>
    <w:rsid w:val="0072431D"/>
    <w:rsid w:val="007245DD"/>
    <w:rsid w:val="0072468B"/>
    <w:rsid w:val="00724F52"/>
    <w:rsid w:val="00726DD4"/>
    <w:rsid w:val="007304A8"/>
    <w:rsid w:val="00730F56"/>
    <w:rsid w:val="00731370"/>
    <w:rsid w:val="00731891"/>
    <w:rsid w:val="00733C58"/>
    <w:rsid w:val="00736328"/>
    <w:rsid w:val="0073677C"/>
    <w:rsid w:val="007404EE"/>
    <w:rsid w:val="0074108C"/>
    <w:rsid w:val="00742DFF"/>
    <w:rsid w:val="00744E2C"/>
    <w:rsid w:val="00744E4A"/>
    <w:rsid w:val="00744F24"/>
    <w:rsid w:val="00752119"/>
    <w:rsid w:val="00754408"/>
    <w:rsid w:val="007560B0"/>
    <w:rsid w:val="00757EE9"/>
    <w:rsid w:val="0076084B"/>
    <w:rsid w:val="00762DD6"/>
    <w:rsid w:val="007631C7"/>
    <w:rsid w:val="00763CCC"/>
    <w:rsid w:val="00764280"/>
    <w:rsid w:val="0076629E"/>
    <w:rsid w:val="007666D1"/>
    <w:rsid w:val="0076703B"/>
    <w:rsid w:val="00770FAC"/>
    <w:rsid w:val="00774644"/>
    <w:rsid w:val="007751E3"/>
    <w:rsid w:val="00776C72"/>
    <w:rsid w:val="00776F79"/>
    <w:rsid w:val="007807DC"/>
    <w:rsid w:val="00782103"/>
    <w:rsid w:val="0078258F"/>
    <w:rsid w:val="00782FB2"/>
    <w:rsid w:val="007846BC"/>
    <w:rsid w:val="00787290"/>
    <w:rsid w:val="0079053B"/>
    <w:rsid w:val="00790B25"/>
    <w:rsid w:val="00790C7A"/>
    <w:rsid w:val="007919F8"/>
    <w:rsid w:val="00792131"/>
    <w:rsid w:val="00792801"/>
    <w:rsid w:val="00794B6E"/>
    <w:rsid w:val="00795AD8"/>
    <w:rsid w:val="00795CC0"/>
    <w:rsid w:val="007969A4"/>
    <w:rsid w:val="007A0114"/>
    <w:rsid w:val="007A2610"/>
    <w:rsid w:val="007A5484"/>
    <w:rsid w:val="007B1321"/>
    <w:rsid w:val="007B1730"/>
    <w:rsid w:val="007B1904"/>
    <w:rsid w:val="007B5543"/>
    <w:rsid w:val="007B5553"/>
    <w:rsid w:val="007B5E91"/>
    <w:rsid w:val="007B665F"/>
    <w:rsid w:val="007C0E12"/>
    <w:rsid w:val="007C1D5B"/>
    <w:rsid w:val="007C37CC"/>
    <w:rsid w:val="007C63A3"/>
    <w:rsid w:val="007D02FF"/>
    <w:rsid w:val="007D6370"/>
    <w:rsid w:val="007D7AC6"/>
    <w:rsid w:val="007E092F"/>
    <w:rsid w:val="007E2D8B"/>
    <w:rsid w:val="007E4943"/>
    <w:rsid w:val="007E5112"/>
    <w:rsid w:val="007E5EC0"/>
    <w:rsid w:val="007F2108"/>
    <w:rsid w:val="007F3520"/>
    <w:rsid w:val="007F3528"/>
    <w:rsid w:val="007F4D36"/>
    <w:rsid w:val="007F56FB"/>
    <w:rsid w:val="007F65CF"/>
    <w:rsid w:val="007F7C06"/>
    <w:rsid w:val="007F7DAD"/>
    <w:rsid w:val="0080098A"/>
    <w:rsid w:val="00801761"/>
    <w:rsid w:val="008024B0"/>
    <w:rsid w:val="0080332E"/>
    <w:rsid w:val="00806FE6"/>
    <w:rsid w:val="008104FE"/>
    <w:rsid w:val="008111EB"/>
    <w:rsid w:val="008126F8"/>
    <w:rsid w:val="008130C9"/>
    <w:rsid w:val="00813D02"/>
    <w:rsid w:val="00814833"/>
    <w:rsid w:val="00815C8F"/>
    <w:rsid w:val="00816786"/>
    <w:rsid w:val="0081715E"/>
    <w:rsid w:val="0081721F"/>
    <w:rsid w:val="0082033D"/>
    <w:rsid w:val="00820AF3"/>
    <w:rsid w:val="00821C90"/>
    <w:rsid w:val="008222AD"/>
    <w:rsid w:val="00822616"/>
    <w:rsid w:val="00823D04"/>
    <w:rsid w:val="00824B88"/>
    <w:rsid w:val="00824B92"/>
    <w:rsid w:val="00826631"/>
    <w:rsid w:val="00830F65"/>
    <w:rsid w:val="0083104D"/>
    <w:rsid w:val="00832087"/>
    <w:rsid w:val="008349AE"/>
    <w:rsid w:val="00834E0B"/>
    <w:rsid w:val="00834FAA"/>
    <w:rsid w:val="00836C5D"/>
    <w:rsid w:val="00837489"/>
    <w:rsid w:val="00837564"/>
    <w:rsid w:val="00842C2C"/>
    <w:rsid w:val="0084427B"/>
    <w:rsid w:val="00846D77"/>
    <w:rsid w:val="00847E3D"/>
    <w:rsid w:val="0085179D"/>
    <w:rsid w:val="00852480"/>
    <w:rsid w:val="00856632"/>
    <w:rsid w:val="0085732C"/>
    <w:rsid w:val="008607AC"/>
    <w:rsid w:val="0086106C"/>
    <w:rsid w:val="008615B4"/>
    <w:rsid w:val="00867308"/>
    <w:rsid w:val="00870387"/>
    <w:rsid w:val="00871905"/>
    <w:rsid w:val="008735F5"/>
    <w:rsid w:val="008749FD"/>
    <w:rsid w:val="00880DE2"/>
    <w:rsid w:val="008813F0"/>
    <w:rsid w:val="00882F84"/>
    <w:rsid w:val="008833AD"/>
    <w:rsid w:val="00887F9E"/>
    <w:rsid w:val="0089099B"/>
    <w:rsid w:val="00891F62"/>
    <w:rsid w:val="00893D12"/>
    <w:rsid w:val="0089593E"/>
    <w:rsid w:val="0089620F"/>
    <w:rsid w:val="00897A29"/>
    <w:rsid w:val="008A0276"/>
    <w:rsid w:val="008A6580"/>
    <w:rsid w:val="008A6909"/>
    <w:rsid w:val="008A6A3B"/>
    <w:rsid w:val="008B0543"/>
    <w:rsid w:val="008B1BE1"/>
    <w:rsid w:val="008B34E0"/>
    <w:rsid w:val="008B7629"/>
    <w:rsid w:val="008B7EC2"/>
    <w:rsid w:val="008B7F61"/>
    <w:rsid w:val="008C06EB"/>
    <w:rsid w:val="008C0888"/>
    <w:rsid w:val="008C2603"/>
    <w:rsid w:val="008C3124"/>
    <w:rsid w:val="008C3505"/>
    <w:rsid w:val="008C7DDB"/>
    <w:rsid w:val="008D01F3"/>
    <w:rsid w:val="008D0A67"/>
    <w:rsid w:val="008D1C7A"/>
    <w:rsid w:val="008D30EA"/>
    <w:rsid w:val="008D4649"/>
    <w:rsid w:val="008D5294"/>
    <w:rsid w:val="008D55C8"/>
    <w:rsid w:val="008D611E"/>
    <w:rsid w:val="008E0357"/>
    <w:rsid w:val="008E20DE"/>
    <w:rsid w:val="008E2A56"/>
    <w:rsid w:val="008E4D42"/>
    <w:rsid w:val="008E78B2"/>
    <w:rsid w:val="008F1770"/>
    <w:rsid w:val="008F2FB5"/>
    <w:rsid w:val="009013C5"/>
    <w:rsid w:val="00901BD5"/>
    <w:rsid w:val="0090253F"/>
    <w:rsid w:val="00903AA5"/>
    <w:rsid w:val="00904991"/>
    <w:rsid w:val="00906007"/>
    <w:rsid w:val="009061A4"/>
    <w:rsid w:val="00911BD5"/>
    <w:rsid w:val="00912E02"/>
    <w:rsid w:val="009211C7"/>
    <w:rsid w:val="009226DA"/>
    <w:rsid w:val="00923623"/>
    <w:rsid w:val="009245A1"/>
    <w:rsid w:val="009315EE"/>
    <w:rsid w:val="00932E88"/>
    <w:rsid w:val="0093440F"/>
    <w:rsid w:val="00935310"/>
    <w:rsid w:val="00935CD3"/>
    <w:rsid w:val="0093610B"/>
    <w:rsid w:val="009367A4"/>
    <w:rsid w:val="0094170F"/>
    <w:rsid w:val="00942024"/>
    <w:rsid w:val="00944550"/>
    <w:rsid w:val="00945A78"/>
    <w:rsid w:val="00947202"/>
    <w:rsid w:val="0095004C"/>
    <w:rsid w:val="00950085"/>
    <w:rsid w:val="00950A23"/>
    <w:rsid w:val="009531CA"/>
    <w:rsid w:val="009550AD"/>
    <w:rsid w:val="009565D4"/>
    <w:rsid w:val="009576B3"/>
    <w:rsid w:val="00961E10"/>
    <w:rsid w:val="009636CF"/>
    <w:rsid w:val="00964F6A"/>
    <w:rsid w:val="00964F81"/>
    <w:rsid w:val="0096766C"/>
    <w:rsid w:val="00967C03"/>
    <w:rsid w:val="00967D7C"/>
    <w:rsid w:val="0097214E"/>
    <w:rsid w:val="00972AFF"/>
    <w:rsid w:val="0097331A"/>
    <w:rsid w:val="00973F19"/>
    <w:rsid w:val="0097600C"/>
    <w:rsid w:val="00977D73"/>
    <w:rsid w:val="00977E63"/>
    <w:rsid w:val="009814B6"/>
    <w:rsid w:val="00984E9F"/>
    <w:rsid w:val="00985F4F"/>
    <w:rsid w:val="00987470"/>
    <w:rsid w:val="00990DA4"/>
    <w:rsid w:val="0099262A"/>
    <w:rsid w:val="00995957"/>
    <w:rsid w:val="00995E11"/>
    <w:rsid w:val="0099739B"/>
    <w:rsid w:val="009978C5"/>
    <w:rsid w:val="009A025A"/>
    <w:rsid w:val="009A05F3"/>
    <w:rsid w:val="009A0F6F"/>
    <w:rsid w:val="009A1FD6"/>
    <w:rsid w:val="009A51C3"/>
    <w:rsid w:val="009A6536"/>
    <w:rsid w:val="009A6F16"/>
    <w:rsid w:val="009B0885"/>
    <w:rsid w:val="009B104E"/>
    <w:rsid w:val="009B1AA1"/>
    <w:rsid w:val="009B56DA"/>
    <w:rsid w:val="009C0852"/>
    <w:rsid w:val="009C10B9"/>
    <w:rsid w:val="009C1CAF"/>
    <w:rsid w:val="009C223E"/>
    <w:rsid w:val="009C4071"/>
    <w:rsid w:val="009C42CD"/>
    <w:rsid w:val="009C5D46"/>
    <w:rsid w:val="009C7C4B"/>
    <w:rsid w:val="009D026D"/>
    <w:rsid w:val="009D1168"/>
    <w:rsid w:val="009D13BB"/>
    <w:rsid w:val="009D1DC9"/>
    <w:rsid w:val="009D2C66"/>
    <w:rsid w:val="009D362F"/>
    <w:rsid w:val="009D3702"/>
    <w:rsid w:val="009D50EB"/>
    <w:rsid w:val="009D6139"/>
    <w:rsid w:val="009D61F4"/>
    <w:rsid w:val="009D762A"/>
    <w:rsid w:val="009E32F5"/>
    <w:rsid w:val="009E34AC"/>
    <w:rsid w:val="009E4C83"/>
    <w:rsid w:val="009E5A33"/>
    <w:rsid w:val="009E6279"/>
    <w:rsid w:val="009F1F1A"/>
    <w:rsid w:val="009F2649"/>
    <w:rsid w:val="009F4A67"/>
    <w:rsid w:val="009F5F8F"/>
    <w:rsid w:val="009F704C"/>
    <w:rsid w:val="00A00F73"/>
    <w:rsid w:val="00A01FE0"/>
    <w:rsid w:val="00A0215D"/>
    <w:rsid w:val="00A0378B"/>
    <w:rsid w:val="00A06666"/>
    <w:rsid w:val="00A067B3"/>
    <w:rsid w:val="00A079EF"/>
    <w:rsid w:val="00A105E0"/>
    <w:rsid w:val="00A106FD"/>
    <w:rsid w:val="00A10898"/>
    <w:rsid w:val="00A11B69"/>
    <w:rsid w:val="00A13621"/>
    <w:rsid w:val="00A14CAC"/>
    <w:rsid w:val="00A1692E"/>
    <w:rsid w:val="00A178FC"/>
    <w:rsid w:val="00A23061"/>
    <w:rsid w:val="00A24FCA"/>
    <w:rsid w:val="00A27534"/>
    <w:rsid w:val="00A3018B"/>
    <w:rsid w:val="00A30B71"/>
    <w:rsid w:val="00A3128D"/>
    <w:rsid w:val="00A31DB0"/>
    <w:rsid w:val="00A324EA"/>
    <w:rsid w:val="00A337EB"/>
    <w:rsid w:val="00A33A46"/>
    <w:rsid w:val="00A3471F"/>
    <w:rsid w:val="00A35408"/>
    <w:rsid w:val="00A41510"/>
    <w:rsid w:val="00A43C55"/>
    <w:rsid w:val="00A459D2"/>
    <w:rsid w:val="00A45A40"/>
    <w:rsid w:val="00A45B43"/>
    <w:rsid w:val="00A464EC"/>
    <w:rsid w:val="00A47458"/>
    <w:rsid w:val="00A4794A"/>
    <w:rsid w:val="00A5124D"/>
    <w:rsid w:val="00A52527"/>
    <w:rsid w:val="00A533DE"/>
    <w:rsid w:val="00A53D74"/>
    <w:rsid w:val="00A53E2B"/>
    <w:rsid w:val="00A53EB9"/>
    <w:rsid w:val="00A55257"/>
    <w:rsid w:val="00A6183C"/>
    <w:rsid w:val="00A63300"/>
    <w:rsid w:val="00A63CB7"/>
    <w:rsid w:val="00A6456C"/>
    <w:rsid w:val="00A7334A"/>
    <w:rsid w:val="00A80AEB"/>
    <w:rsid w:val="00A817CE"/>
    <w:rsid w:val="00A8587C"/>
    <w:rsid w:val="00A871B2"/>
    <w:rsid w:val="00A9050C"/>
    <w:rsid w:val="00A928FA"/>
    <w:rsid w:val="00A950B5"/>
    <w:rsid w:val="00AA08ED"/>
    <w:rsid w:val="00AA1FD0"/>
    <w:rsid w:val="00AA6D62"/>
    <w:rsid w:val="00AA7B0B"/>
    <w:rsid w:val="00AB3167"/>
    <w:rsid w:val="00AB32CF"/>
    <w:rsid w:val="00AB44BD"/>
    <w:rsid w:val="00AB4548"/>
    <w:rsid w:val="00AB4BAB"/>
    <w:rsid w:val="00AB5B05"/>
    <w:rsid w:val="00AB6564"/>
    <w:rsid w:val="00AB73FA"/>
    <w:rsid w:val="00AB7637"/>
    <w:rsid w:val="00AB7A6D"/>
    <w:rsid w:val="00AB7C03"/>
    <w:rsid w:val="00AC07A4"/>
    <w:rsid w:val="00AC0C31"/>
    <w:rsid w:val="00AC4EC2"/>
    <w:rsid w:val="00AC52A5"/>
    <w:rsid w:val="00AC59EB"/>
    <w:rsid w:val="00AC5EC9"/>
    <w:rsid w:val="00AC627E"/>
    <w:rsid w:val="00AC76EF"/>
    <w:rsid w:val="00AC7C87"/>
    <w:rsid w:val="00AD2235"/>
    <w:rsid w:val="00AD227D"/>
    <w:rsid w:val="00AD25FB"/>
    <w:rsid w:val="00AD2A2A"/>
    <w:rsid w:val="00AD4640"/>
    <w:rsid w:val="00AD5C47"/>
    <w:rsid w:val="00AD6564"/>
    <w:rsid w:val="00AD668A"/>
    <w:rsid w:val="00AE0010"/>
    <w:rsid w:val="00AE093E"/>
    <w:rsid w:val="00AE0A04"/>
    <w:rsid w:val="00AE131D"/>
    <w:rsid w:val="00AE14AA"/>
    <w:rsid w:val="00AE748D"/>
    <w:rsid w:val="00AF0B61"/>
    <w:rsid w:val="00AF17A7"/>
    <w:rsid w:val="00AF46DD"/>
    <w:rsid w:val="00AF531E"/>
    <w:rsid w:val="00B01553"/>
    <w:rsid w:val="00B02599"/>
    <w:rsid w:val="00B02C0C"/>
    <w:rsid w:val="00B03AE6"/>
    <w:rsid w:val="00B058CF"/>
    <w:rsid w:val="00B058EE"/>
    <w:rsid w:val="00B05E82"/>
    <w:rsid w:val="00B07A6E"/>
    <w:rsid w:val="00B116D9"/>
    <w:rsid w:val="00B118AE"/>
    <w:rsid w:val="00B11923"/>
    <w:rsid w:val="00B11D0F"/>
    <w:rsid w:val="00B13150"/>
    <w:rsid w:val="00B14060"/>
    <w:rsid w:val="00B144A7"/>
    <w:rsid w:val="00B14A3A"/>
    <w:rsid w:val="00B1671A"/>
    <w:rsid w:val="00B167B8"/>
    <w:rsid w:val="00B16B3C"/>
    <w:rsid w:val="00B23A98"/>
    <w:rsid w:val="00B24BAF"/>
    <w:rsid w:val="00B255B7"/>
    <w:rsid w:val="00B25EE3"/>
    <w:rsid w:val="00B269D4"/>
    <w:rsid w:val="00B26E47"/>
    <w:rsid w:val="00B3010A"/>
    <w:rsid w:val="00B3357C"/>
    <w:rsid w:val="00B343C8"/>
    <w:rsid w:val="00B36809"/>
    <w:rsid w:val="00B37D06"/>
    <w:rsid w:val="00B418F5"/>
    <w:rsid w:val="00B45829"/>
    <w:rsid w:val="00B53ADE"/>
    <w:rsid w:val="00B545BD"/>
    <w:rsid w:val="00B54B11"/>
    <w:rsid w:val="00B55F2F"/>
    <w:rsid w:val="00B5624C"/>
    <w:rsid w:val="00B574B1"/>
    <w:rsid w:val="00B61677"/>
    <w:rsid w:val="00B61C4A"/>
    <w:rsid w:val="00B61EC9"/>
    <w:rsid w:val="00B62090"/>
    <w:rsid w:val="00B6232C"/>
    <w:rsid w:val="00B632EE"/>
    <w:rsid w:val="00B63D8A"/>
    <w:rsid w:val="00B679AD"/>
    <w:rsid w:val="00B7123F"/>
    <w:rsid w:val="00B71443"/>
    <w:rsid w:val="00B74CFA"/>
    <w:rsid w:val="00B7523C"/>
    <w:rsid w:val="00B75721"/>
    <w:rsid w:val="00B76A61"/>
    <w:rsid w:val="00B7744A"/>
    <w:rsid w:val="00B80CB9"/>
    <w:rsid w:val="00B810F6"/>
    <w:rsid w:val="00B81901"/>
    <w:rsid w:val="00B8240F"/>
    <w:rsid w:val="00B82D4D"/>
    <w:rsid w:val="00B83CB3"/>
    <w:rsid w:val="00B854B4"/>
    <w:rsid w:val="00B86D66"/>
    <w:rsid w:val="00B87EE6"/>
    <w:rsid w:val="00B9049F"/>
    <w:rsid w:val="00B9239A"/>
    <w:rsid w:val="00B9260A"/>
    <w:rsid w:val="00B926CF"/>
    <w:rsid w:val="00B9307B"/>
    <w:rsid w:val="00B93694"/>
    <w:rsid w:val="00B93FF4"/>
    <w:rsid w:val="00B96ABD"/>
    <w:rsid w:val="00BA007A"/>
    <w:rsid w:val="00BA3085"/>
    <w:rsid w:val="00BA3407"/>
    <w:rsid w:val="00BA4485"/>
    <w:rsid w:val="00BA5729"/>
    <w:rsid w:val="00BA5983"/>
    <w:rsid w:val="00BA5A35"/>
    <w:rsid w:val="00BA6277"/>
    <w:rsid w:val="00BA690F"/>
    <w:rsid w:val="00BA73C6"/>
    <w:rsid w:val="00BA7BA0"/>
    <w:rsid w:val="00BB40CF"/>
    <w:rsid w:val="00BB5141"/>
    <w:rsid w:val="00BB58B5"/>
    <w:rsid w:val="00BB5EF1"/>
    <w:rsid w:val="00BC0229"/>
    <w:rsid w:val="00BC0C3E"/>
    <w:rsid w:val="00BC1872"/>
    <w:rsid w:val="00BC1CD5"/>
    <w:rsid w:val="00BC4566"/>
    <w:rsid w:val="00BC56BD"/>
    <w:rsid w:val="00BC5E62"/>
    <w:rsid w:val="00BC5EAD"/>
    <w:rsid w:val="00BD42E5"/>
    <w:rsid w:val="00BE02A5"/>
    <w:rsid w:val="00BE2CE6"/>
    <w:rsid w:val="00BE2D0F"/>
    <w:rsid w:val="00BE4EAB"/>
    <w:rsid w:val="00BE6433"/>
    <w:rsid w:val="00BE711C"/>
    <w:rsid w:val="00BF1237"/>
    <w:rsid w:val="00BF18DC"/>
    <w:rsid w:val="00BF3647"/>
    <w:rsid w:val="00BF3913"/>
    <w:rsid w:val="00BF403A"/>
    <w:rsid w:val="00BF6F64"/>
    <w:rsid w:val="00BF7741"/>
    <w:rsid w:val="00C027FF"/>
    <w:rsid w:val="00C03CB6"/>
    <w:rsid w:val="00C03D52"/>
    <w:rsid w:val="00C04B4F"/>
    <w:rsid w:val="00C04D4C"/>
    <w:rsid w:val="00C122BD"/>
    <w:rsid w:val="00C13CE9"/>
    <w:rsid w:val="00C13DE2"/>
    <w:rsid w:val="00C14408"/>
    <w:rsid w:val="00C14776"/>
    <w:rsid w:val="00C1538D"/>
    <w:rsid w:val="00C174D9"/>
    <w:rsid w:val="00C17F58"/>
    <w:rsid w:val="00C202D6"/>
    <w:rsid w:val="00C20904"/>
    <w:rsid w:val="00C20BE7"/>
    <w:rsid w:val="00C21699"/>
    <w:rsid w:val="00C224C5"/>
    <w:rsid w:val="00C258E4"/>
    <w:rsid w:val="00C307E7"/>
    <w:rsid w:val="00C3082A"/>
    <w:rsid w:val="00C31017"/>
    <w:rsid w:val="00C32CBC"/>
    <w:rsid w:val="00C33CA5"/>
    <w:rsid w:val="00C34A92"/>
    <w:rsid w:val="00C35829"/>
    <w:rsid w:val="00C35A5C"/>
    <w:rsid w:val="00C35BA5"/>
    <w:rsid w:val="00C370A7"/>
    <w:rsid w:val="00C43356"/>
    <w:rsid w:val="00C45953"/>
    <w:rsid w:val="00C47960"/>
    <w:rsid w:val="00C520A3"/>
    <w:rsid w:val="00C5361D"/>
    <w:rsid w:val="00C57E90"/>
    <w:rsid w:val="00C62114"/>
    <w:rsid w:val="00C62F1C"/>
    <w:rsid w:val="00C6380F"/>
    <w:rsid w:val="00C64973"/>
    <w:rsid w:val="00C65634"/>
    <w:rsid w:val="00C6575D"/>
    <w:rsid w:val="00C65A80"/>
    <w:rsid w:val="00C736AD"/>
    <w:rsid w:val="00C73C8D"/>
    <w:rsid w:val="00C744A3"/>
    <w:rsid w:val="00C74EC2"/>
    <w:rsid w:val="00C754B8"/>
    <w:rsid w:val="00C7645E"/>
    <w:rsid w:val="00C8172A"/>
    <w:rsid w:val="00C81DB5"/>
    <w:rsid w:val="00C837F5"/>
    <w:rsid w:val="00C850AE"/>
    <w:rsid w:val="00C85F93"/>
    <w:rsid w:val="00C900FF"/>
    <w:rsid w:val="00C9012F"/>
    <w:rsid w:val="00C94154"/>
    <w:rsid w:val="00C959E6"/>
    <w:rsid w:val="00C977A5"/>
    <w:rsid w:val="00CA0681"/>
    <w:rsid w:val="00CA122C"/>
    <w:rsid w:val="00CA2E0C"/>
    <w:rsid w:val="00CA7FB3"/>
    <w:rsid w:val="00CAEA7B"/>
    <w:rsid w:val="00CB2433"/>
    <w:rsid w:val="00CB24F4"/>
    <w:rsid w:val="00CB3FC8"/>
    <w:rsid w:val="00CB442A"/>
    <w:rsid w:val="00CB66A6"/>
    <w:rsid w:val="00CB67F6"/>
    <w:rsid w:val="00CB6C1C"/>
    <w:rsid w:val="00CC1EFB"/>
    <w:rsid w:val="00CC63C0"/>
    <w:rsid w:val="00CD0154"/>
    <w:rsid w:val="00CD2133"/>
    <w:rsid w:val="00CD4B2E"/>
    <w:rsid w:val="00CD4DE4"/>
    <w:rsid w:val="00CD5478"/>
    <w:rsid w:val="00CD6527"/>
    <w:rsid w:val="00CD6665"/>
    <w:rsid w:val="00CD6B3F"/>
    <w:rsid w:val="00CE3AEA"/>
    <w:rsid w:val="00CE4F8F"/>
    <w:rsid w:val="00CE6D8E"/>
    <w:rsid w:val="00CE7F6E"/>
    <w:rsid w:val="00CF21AB"/>
    <w:rsid w:val="00CF257F"/>
    <w:rsid w:val="00CF3C36"/>
    <w:rsid w:val="00CF3E63"/>
    <w:rsid w:val="00CF561E"/>
    <w:rsid w:val="00D0273C"/>
    <w:rsid w:val="00D03D31"/>
    <w:rsid w:val="00D04A6A"/>
    <w:rsid w:val="00D1078B"/>
    <w:rsid w:val="00D10AAD"/>
    <w:rsid w:val="00D13380"/>
    <w:rsid w:val="00D143BA"/>
    <w:rsid w:val="00D1528B"/>
    <w:rsid w:val="00D20DD2"/>
    <w:rsid w:val="00D214BA"/>
    <w:rsid w:val="00D243AC"/>
    <w:rsid w:val="00D24A91"/>
    <w:rsid w:val="00D30211"/>
    <w:rsid w:val="00D34EEE"/>
    <w:rsid w:val="00D36E67"/>
    <w:rsid w:val="00D373C7"/>
    <w:rsid w:val="00D37447"/>
    <w:rsid w:val="00D37BAF"/>
    <w:rsid w:val="00D40A64"/>
    <w:rsid w:val="00D442D9"/>
    <w:rsid w:val="00D46C86"/>
    <w:rsid w:val="00D471D0"/>
    <w:rsid w:val="00D51115"/>
    <w:rsid w:val="00D51311"/>
    <w:rsid w:val="00D51337"/>
    <w:rsid w:val="00D51B1E"/>
    <w:rsid w:val="00D52184"/>
    <w:rsid w:val="00D53515"/>
    <w:rsid w:val="00D547D4"/>
    <w:rsid w:val="00D54E6F"/>
    <w:rsid w:val="00D552BA"/>
    <w:rsid w:val="00D55B09"/>
    <w:rsid w:val="00D61745"/>
    <w:rsid w:val="00D6203E"/>
    <w:rsid w:val="00D62436"/>
    <w:rsid w:val="00D71743"/>
    <w:rsid w:val="00D71CC1"/>
    <w:rsid w:val="00D71F52"/>
    <w:rsid w:val="00D73095"/>
    <w:rsid w:val="00D77B8D"/>
    <w:rsid w:val="00D80386"/>
    <w:rsid w:val="00D80718"/>
    <w:rsid w:val="00D808EA"/>
    <w:rsid w:val="00D836D2"/>
    <w:rsid w:val="00D86180"/>
    <w:rsid w:val="00D86713"/>
    <w:rsid w:val="00D90FA9"/>
    <w:rsid w:val="00D918A7"/>
    <w:rsid w:val="00D91C3B"/>
    <w:rsid w:val="00D91F1F"/>
    <w:rsid w:val="00D925F7"/>
    <w:rsid w:val="00D936CA"/>
    <w:rsid w:val="00D960FF"/>
    <w:rsid w:val="00D96202"/>
    <w:rsid w:val="00D96598"/>
    <w:rsid w:val="00D96AC6"/>
    <w:rsid w:val="00D979EA"/>
    <w:rsid w:val="00DA014B"/>
    <w:rsid w:val="00DA02B9"/>
    <w:rsid w:val="00DA42EA"/>
    <w:rsid w:val="00DA61E6"/>
    <w:rsid w:val="00DA7FEA"/>
    <w:rsid w:val="00DB16E9"/>
    <w:rsid w:val="00DB269B"/>
    <w:rsid w:val="00DB2E3E"/>
    <w:rsid w:val="00DB357F"/>
    <w:rsid w:val="00DB3E3E"/>
    <w:rsid w:val="00DC02B5"/>
    <w:rsid w:val="00DC0B68"/>
    <w:rsid w:val="00DC6213"/>
    <w:rsid w:val="00DC6377"/>
    <w:rsid w:val="00DD2212"/>
    <w:rsid w:val="00DD27D1"/>
    <w:rsid w:val="00DD2EDE"/>
    <w:rsid w:val="00DD4409"/>
    <w:rsid w:val="00DD5176"/>
    <w:rsid w:val="00DE143B"/>
    <w:rsid w:val="00DE221A"/>
    <w:rsid w:val="00DE2334"/>
    <w:rsid w:val="00DE2755"/>
    <w:rsid w:val="00DE5C1E"/>
    <w:rsid w:val="00DE6ABE"/>
    <w:rsid w:val="00DF2457"/>
    <w:rsid w:val="00DF599C"/>
    <w:rsid w:val="00DF64ED"/>
    <w:rsid w:val="00DF689B"/>
    <w:rsid w:val="00DF68F0"/>
    <w:rsid w:val="00DF6CDE"/>
    <w:rsid w:val="00DF7599"/>
    <w:rsid w:val="00E0113D"/>
    <w:rsid w:val="00E0203E"/>
    <w:rsid w:val="00E02A12"/>
    <w:rsid w:val="00E03038"/>
    <w:rsid w:val="00E039CB"/>
    <w:rsid w:val="00E04420"/>
    <w:rsid w:val="00E065C4"/>
    <w:rsid w:val="00E06D1B"/>
    <w:rsid w:val="00E07F01"/>
    <w:rsid w:val="00E1243B"/>
    <w:rsid w:val="00E1423B"/>
    <w:rsid w:val="00E14CEE"/>
    <w:rsid w:val="00E15A93"/>
    <w:rsid w:val="00E16148"/>
    <w:rsid w:val="00E20AF1"/>
    <w:rsid w:val="00E22DD1"/>
    <w:rsid w:val="00E25DFC"/>
    <w:rsid w:val="00E30F9F"/>
    <w:rsid w:val="00E316A8"/>
    <w:rsid w:val="00E317E1"/>
    <w:rsid w:val="00E31C06"/>
    <w:rsid w:val="00E33231"/>
    <w:rsid w:val="00E339B3"/>
    <w:rsid w:val="00E36D72"/>
    <w:rsid w:val="00E36F6E"/>
    <w:rsid w:val="00E435B5"/>
    <w:rsid w:val="00E443F4"/>
    <w:rsid w:val="00E507AB"/>
    <w:rsid w:val="00E5270C"/>
    <w:rsid w:val="00E52CDA"/>
    <w:rsid w:val="00E569C9"/>
    <w:rsid w:val="00E6186E"/>
    <w:rsid w:val="00E64A15"/>
    <w:rsid w:val="00E70701"/>
    <w:rsid w:val="00E72F03"/>
    <w:rsid w:val="00E735B2"/>
    <w:rsid w:val="00E73AC8"/>
    <w:rsid w:val="00E73F45"/>
    <w:rsid w:val="00E7420B"/>
    <w:rsid w:val="00E7429A"/>
    <w:rsid w:val="00E75D89"/>
    <w:rsid w:val="00E764E4"/>
    <w:rsid w:val="00E770A4"/>
    <w:rsid w:val="00E77201"/>
    <w:rsid w:val="00E83E26"/>
    <w:rsid w:val="00E84434"/>
    <w:rsid w:val="00E910C0"/>
    <w:rsid w:val="00E9324B"/>
    <w:rsid w:val="00E9511F"/>
    <w:rsid w:val="00E966E8"/>
    <w:rsid w:val="00E96823"/>
    <w:rsid w:val="00E97C8B"/>
    <w:rsid w:val="00EA0512"/>
    <w:rsid w:val="00EA11DC"/>
    <w:rsid w:val="00EA21D5"/>
    <w:rsid w:val="00EA21E0"/>
    <w:rsid w:val="00EA53DD"/>
    <w:rsid w:val="00EB1D8B"/>
    <w:rsid w:val="00EB30F5"/>
    <w:rsid w:val="00EB404F"/>
    <w:rsid w:val="00EB4A14"/>
    <w:rsid w:val="00EB4E88"/>
    <w:rsid w:val="00EB5299"/>
    <w:rsid w:val="00EB5C8B"/>
    <w:rsid w:val="00EB5F40"/>
    <w:rsid w:val="00EB5F79"/>
    <w:rsid w:val="00EB6042"/>
    <w:rsid w:val="00EB6668"/>
    <w:rsid w:val="00EC1259"/>
    <w:rsid w:val="00EC29D5"/>
    <w:rsid w:val="00EC2BBA"/>
    <w:rsid w:val="00EC3B14"/>
    <w:rsid w:val="00EC3CC1"/>
    <w:rsid w:val="00EC3D78"/>
    <w:rsid w:val="00EC47CA"/>
    <w:rsid w:val="00EC5F47"/>
    <w:rsid w:val="00EC5F4C"/>
    <w:rsid w:val="00EC6153"/>
    <w:rsid w:val="00ED0E6A"/>
    <w:rsid w:val="00ED263C"/>
    <w:rsid w:val="00ED2A92"/>
    <w:rsid w:val="00ED2B55"/>
    <w:rsid w:val="00ED3BFF"/>
    <w:rsid w:val="00ED503D"/>
    <w:rsid w:val="00ED6872"/>
    <w:rsid w:val="00ED6B83"/>
    <w:rsid w:val="00EE0109"/>
    <w:rsid w:val="00EE11FD"/>
    <w:rsid w:val="00EE1712"/>
    <w:rsid w:val="00EE1D07"/>
    <w:rsid w:val="00EE2DA2"/>
    <w:rsid w:val="00EE3B7F"/>
    <w:rsid w:val="00EE4B98"/>
    <w:rsid w:val="00EF261E"/>
    <w:rsid w:val="00EF5607"/>
    <w:rsid w:val="00EF5EC0"/>
    <w:rsid w:val="00EF7C8D"/>
    <w:rsid w:val="00F02B92"/>
    <w:rsid w:val="00F02DA1"/>
    <w:rsid w:val="00F030AA"/>
    <w:rsid w:val="00F050EB"/>
    <w:rsid w:val="00F06835"/>
    <w:rsid w:val="00F06D77"/>
    <w:rsid w:val="00F12CFA"/>
    <w:rsid w:val="00F13235"/>
    <w:rsid w:val="00F145E8"/>
    <w:rsid w:val="00F1494E"/>
    <w:rsid w:val="00F152A4"/>
    <w:rsid w:val="00F213A3"/>
    <w:rsid w:val="00F223FD"/>
    <w:rsid w:val="00F23798"/>
    <w:rsid w:val="00F243E3"/>
    <w:rsid w:val="00F24675"/>
    <w:rsid w:val="00F25A6F"/>
    <w:rsid w:val="00F25C44"/>
    <w:rsid w:val="00F260AC"/>
    <w:rsid w:val="00F26DFB"/>
    <w:rsid w:val="00F27043"/>
    <w:rsid w:val="00F27511"/>
    <w:rsid w:val="00F30B86"/>
    <w:rsid w:val="00F313DA"/>
    <w:rsid w:val="00F327B4"/>
    <w:rsid w:val="00F32C54"/>
    <w:rsid w:val="00F32E6E"/>
    <w:rsid w:val="00F35E8A"/>
    <w:rsid w:val="00F41461"/>
    <w:rsid w:val="00F4263A"/>
    <w:rsid w:val="00F42B60"/>
    <w:rsid w:val="00F4481C"/>
    <w:rsid w:val="00F44E25"/>
    <w:rsid w:val="00F453E6"/>
    <w:rsid w:val="00F455EA"/>
    <w:rsid w:val="00F47E96"/>
    <w:rsid w:val="00F50A3A"/>
    <w:rsid w:val="00F53A4C"/>
    <w:rsid w:val="00F5526E"/>
    <w:rsid w:val="00F568A5"/>
    <w:rsid w:val="00F569E1"/>
    <w:rsid w:val="00F570A3"/>
    <w:rsid w:val="00F62411"/>
    <w:rsid w:val="00F62A1E"/>
    <w:rsid w:val="00F64DB9"/>
    <w:rsid w:val="00F65513"/>
    <w:rsid w:val="00F7138F"/>
    <w:rsid w:val="00F74136"/>
    <w:rsid w:val="00F778DE"/>
    <w:rsid w:val="00F80435"/>
    <w:rsid w:val="00F82350"/>
    <w:rsid w:val="00F825C3"/>
    <w:rsid w:val="00F85399"/>
    <w:rsid w:val="00F86FAE"/>
    <w:rsid w:val="00F91D8C"/>
    <w:rsid w:val="00F9248F"/>
    <w:rsid w:val="00F93183"/>
    <w:rsid w:val="00F9546A"/>
    <w:rsid w:val="00F96D00"/>
    <w:rsid w:val="00FA035F"/>
    <w:rsid w:val="00FA0E0C"/>
    <w:rsid w:val="00FA0EDC"/>
    <w:rsid w:val="00FA2276"/>
    <w:rsid w:val="00FA437E"/>
    <w:rsid w:val="00FA512D"/>
    <w:rsid w:val="00FA686C"/>
    <w:rsid w:val="00FA6932"/>
    <w:rsid w:val="00FA6CEA"/>
    <w:rsid w:val="00FB1945"/>
    <w:rsid w:val="00FB3972"/>
    <w:rsid w:val="00FB70DE"/>
    <w:rsid w:val="00FB7887"/>
    <w:rsid w:val="00FB7C85"/>
    <w:rsid w:val="00FC0EBA"/>
    <w:rsid w:val="00FC0EDD"/>
    <w:rsid w:val="00FC2AED"/>
    <w:rsid w:val="00FC2BD1"/>
    <w:rsid w:val="00FC335E"/>
    <w:rsid w:val="00FC643B"/>
    <w:rsid w:val="00FC6C76"/>
    <w:rsid w:val="00FC6D87"/>
    <w:rsid w:val="00FC7B3B"/>
    <w:rsid w:val="00FD100B"/>
    <w:rsid w:val="00FD17C2"/>
    <w:rsid w:val="00FD3239"/>
    <w:rsid w:val="00FD3B50"/>
    <w:rsid w:val="00FD634F"/>
    <w:rsid w:val="00FD6EF4"/>
    <w:rsid w:val="00FE0A7C"/>
    <w:rsid w:val="00FE1BEC"/>
    <w:rsid w:val="00FE2611"/>
    <w:rsid w:val="00FE2727"/>
    <w:rsid w:val="00FE499A"/>
    <w:rsid w:val="00FF0DFC"/>
    <w:rsid w:val="00FF2067"/>
    <w:rsid w:val="00FF2AB0"/>
    <w:rsid w:val="00FF3515"/>
    <w:rsid w:val="00FF3FFA"/>
    <w:rsid w:val="00FF4B27"/>
    <w:rsid w:val="00FF5339"/>
    <w:rsid w:val="00FF5ABB"/>
    <w:rsid w:val="00FF6E17"/>
    <w:rsid w:val="00FF7656"/>
    <w:rsid w:val="0111FA78"/>
    <w:rsid w:val="025B61CC"/>
    <w:rsid w:val="0368C29F"/>
    <w:rsid w:val="04407994"/>
    <w:rsid w:val="05B3DE5F"/>
    <w:rsid w:val="05CCC8B4"/>
    <w:rsid w:val="063649B4"/>
    <w:rsid w:val="06F484CC"/>
    <w:rsid w:val="07D95B26"/>
    <w:rsid w:val="08EAE7A9"/>
    <w:rsid w:val="0B0982AB"/>
    <w:rsid w:val="0B8331D1"/>
    <w:rsid w:val="0C0D1FAF"/>
    <w:rsid w:val="0C8DAE96"/>
    <w:rsid w:val="0E5304EB"/>
    <w:rsid w:val="0ED2C3A4"/>
    <w:rsid w:val="0F269AB6"/>
    <w:rsid w:val="1077CAA3"/>
    <w:rsid w:val="11E0B9D2"/>
    <w:rsid w:val="13263B19"/>
    <w:rsid w:val="15A4BF5C"/>
    <w:rsid w:val="15E5646B"/>
    <w:rsid w:val="176C9B6E"/>
    <w:rsid w:val="1990A9AD"/>
    <w:rsid w:val="19B5841F"/>
    <w:rsid w:val="1ACE7E7B"/>
    <w:rsid w:val="1B06440B"/>
    <w:rsid w:val="1B4AC6E9"/>
    <w:rsid w:val="1BFFE97D"/>
    <w:rsid w:val="1C298FEA"/>
    <w:rsid w:val="1C6BDD66"/>
    <w:rsid w:val="1CA6EC9A"/>
    <w:rsid w:val="1CEA0940"/>
    <w:rsid w:val="1CEC9801"/>
    <w:rsid w:val="1DCBC492"/>
    <w:rsid w:val="1F1DE5F0"/>
    <w:rsid w:val="1F2DC1D1"/>
    <w:rsid w:val="1FDEF42F"/>
    <w:rsid w:val="20679183"/>
    <w:rsid w:val="20DCB7F2"/>
    <w:rsid w:val="21204DCD"/>
    <w:rsid w:val="21E70A85"/>
    <w:rsid w:val="21F45552"/>
    <w:rsid w:val="22CD9628"/>
    <w:rsid w:val="2344607C"/>
    <w:rsid w:val="235CEF97"/>
    <w:rsid w:val="23D5E2BA"/>
    <w:rsid w:val="24C6EE5D"/>
    <w:rsid w:val="24CBD3ED"/>
    <w:rsid w:val="24EDF460"/>
    <w:rsid w:val="2528EDA7"/>
    <w:rsid w:val="252E32C1"/>
    <w:rsid w:val="2620DF90"/>
    <w:rsid w:val="29636387"/>
    <w:rsid w:val="29BF75A4"/>
    <w:rsid w:val="2A245B32"/>
    <w:rsid w:val="2A2C9BFD"/>
    <w:rsid w:val="2A73B121"/>
    <w:rsid w:val="2B3818B2"/>
    <w:rsid w:val="2B9193C7"/>
    <w:rsid w:val="2BA56B5E"/>
    <w:rsid w:val="2BAE7D46"/>
    <w:rsid w:val="2C3CFDB0"/>
    <w:rsid w:val="2C8C723F"/>
    <w:rsid w:val="2D075D27"/>
    <w:rsid w:val="2D88542A"/>
    <w:rsid w:val="2D9B7576"/>
    <w:rsid w:val="2E5B98B2"/>
    <w:rsid w:val="2E7DA52E"/>
    <w:rsid w:val="2F436031"/>
    <w:rsid w:val="2FD9C95B"/>
    <w:rsid w:val="30C2F4F3"/>
    <w:rsid w:val="30C90FC8"/>
    <w:rsid w:val="312D630C"/>
    <w:rsid w:val="321E4B0B"/>
    <w:rsid w:val="3649B9F7"/>
    <w:rsid w:val="36792640"/>
    <w:rsid w:val="3AB12AF6"/>
    <w:rsid w:val="3ACDB6EF"/>
    <w:rsid w:val="3B20A782"/>
    <w:rsid w:val="3B269764"/>
    <w:rsid w:val="3B4D3C4E"/>
    <w:rsid w:val="3B6BD45D"/>
    <w:rsid w:val="3CE284F9"/>
    <w:rsid w:val="3D03BF96"/>
    <w:rsid w:val="3D5C62D2"/>
    <w:rsid w:val="3DC8B2EF"/>
    <w:rsid w:val="3E3225E2"/>
    <w:rsid w:val="3E37C9D7"/>
    <w:rsid w:val="3E99545D"/>
    <w:rsid w:val="3EB930FB"/>
    <w:rsid w:val="3ED5504B"/>
    <w:rsid w:val="405058BD"/>
    <w:rsid w:val="41583B6F"/>
    <w:rsid w:val="4251BA16"/>
    <w:rsid w:val="429E100B"/>
    <w:rsid w:val="430B47AF"/>
    <w:rsid w:val="437AAC7C"/>
    <w:rsid w:val="44221166"/>
    <w:rsid w:val="44C88A2C"/>
    <w:rsid w:val="44EFC0C4"/>
    <w:rsid w:val="459C62E2"/>
    <w:rsid w:val="460A7394"/>
    <w:rsid w:val="46C27B2B"/>
    <w:rsid w:val="4756629C"/>
    <w:rsid w:val="478B4CCB"/>
    <w:rsid w:val="47AD0440"/>
    <w:rsid w:val="488048C8"/>
    <w:rsid w:val="49EDD3AD"/>
    <w:rsid w:val="4BD6A880"/>
    <w:rsid w:val="4BDAFDF8"/>
    <w:rsid w:val="4CBDA188"/>
    <w:rsid w:val="4CECF401"/>
    <w:rsid w:val="4D5B74A0"/>
    <w:rsid w:val="4D9BD3BA"/>
    <w:rsid w:val="4E8AC631"/>
    <w:rsid w:val="4EC041FE"/>
    <w:rsid w:val="4F7A4273"/>
    <w:rsid w:val="5029731E"/>
    <w:rsid w:val="5368044C"/>
    <w:rsid w:val="5387859D"/>
    <w:rsid w:val="5393341C"/>
    <w:rsid w:val="53E59CE3"/>
    <w:rsid w:val="545BA3DB"/>
    <w:rsid w:val="5753F609"/>
    <w:rsid w:val="5780F245"/>
    <w:rsid w:val="57F6B151"/>
    <w:rsid w:val="58D38DBF"/>
    <w:rsid w:val="5912BEC1"/>
    <w:rsid w:val="59F0A7BD"/>
    <w:rsid w:val="5CC29A90"/>
    <w:rsid w:val="5D07917F"/>
    <w:rsid w:val="5D1A921F"/>
    <w:rsid w:val="5D7DD3EA"/>
    <w:rsid w:val="5DB6C22A"/>
    <w:rsid w:val="5E0340FD"/>
    <w:rsid w:val="5E06DBC4"/>
    <w:rsid w:val="5E8A06B2"/>
    <w:rsid w:val="5EBE81DC"/>
    <w:rsid w:val="5F1B7C74"/>
    <w:rsid w:val="60DEA2C8"/>
    <w:rsid w:val="611B4DCB"/>
    <w:rsid w:val="612A3495"/>
    <w:rsid w:val="613B08C0"/>
    <w:rsid w:val="6172233B"/>
    <w:rsid w:val="630C781B"/>
    <w:rsid w:val="63A0A53A"/>
    <w:rsid w:val="63A26EC4"/>
    <w:rsid w:val="650A5137"/>
    <w:rsid w:val="65B07E1D"/>
    <w:rsid w:val="665707D8"/>
    <w:rsid w:val="66EC8649"/>
    <w:rsid w:val="6725F6E1"/>
    <w:rsid w:val="67FC6392"/>
    <w:rsid w:val="6971C236"/>
    <w:rsid w:val="69914387"/>
    <w:rsid w:val="6AFF1A47"/>
    <w:rsid w:val="6BD5A29C"/>
    <w:rsid w:val="6BD719F0"/>
    <w:rsid w:val="6C7E2100"/>
    <w:rsid w:val="6CA327CA"/>
    <w:rsid w:val="6CB9E1C8"/>
    <w:rsid w:val="6F17341D"/>
    <w:rsid w:val="709E0B01"/>
    <w:rsid w:val="70EAC6E1"/>
    <w:rsid w:val="7105E836"/>
    <w:rsid w:val="7128C9E9"/>
    <w:rsid w:val="7156F18B"/>
    <w:rsid w:val="71C13392"/>
    <w:rsid w:val="72CC587A"/>
    <w:rsid w:val="735ECE0B"/>
    <w:rsid w:val="74673937"/>
    <w:rsid w:val="747022F9"/>
    <w:rsid w:val="74FFC4C0"/>
    <w:rsid w:val="751C0C13"/>
    <w:rsid w:val="75E60ADF"/>
    <w:rsid w:val="76BA1A53"/>
    <w:rsid w:val="76CE3B15"/>
    <w:rsid w:val="78AB6BA2"/>
    <w:rsid w:val="7A04E6F9"/>
    <w:rsid w:val="7B0F5145"/>
    <w:rsid w:val="7B3F8AEA"/>
    <w:rsid w:val="7B716385"/>
    <w:rsid w:val="7B860392"/>
    <w:rsid w:val="7CC2E022"/>
    <w:rsid w:val="7DE90510"/>
    <w:rsid w:val="7E13E94A"/>
    <w:rsid w:val="7E7FD0A2"/>
    <w:rsid w:val="7EEA0A5E"/>
    <w:rsid w:val="7F3DC3DC"/>
    <w:rsid w:val="7F7B8020"/>
    <w:rsid w:val="7F948CA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0123BC8"/>
  <w15:docId w15:val="{E106EE47-9B41-4E59-BEE8-8D172D8E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7202"/>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31"/>
      </w:numPr>
      <w:pBdr>
        <w:top w:val="single" w:sz="6" w:space="3" w:color="DA291C"/>
        <w:bottom w:val="single" w:sz="6" w:space="3" w:color="DA291C"/>
      </w:pBdr>
      <w:shd w:val="clear" w:color="auto" w:fill="DA291C"/>
      <w:tabs>
        <w:tab w:val="clear" w:pos="432"/>
        <w:tab w:val="num" w:pos="720"/>
      </w:tabs>
      <w:outlineLvl w:val="0"/>
    </w:pPr>
    <w:rPr>
      <w:rFonts w:ascii="Arial" w:hAnsi="Arial"/>
      <w:b/>
      <w:color w:val="FFFFFF"/>
      <w:kern w:val="28"/>
      <w:sz w:val="28"/>
    </w:rPr>
  </w:style>
  <w:style w:type="paragraph" w:styleId="Heading2">
    <w:name w:val="heading 2"/>
    <w:basedOn w:val="Normal"/>
    <w:next w:val="BodyText"/>
    <w:link w:val="Heading2Char"/>
    <w:qFormat/>
    <w:rsid w:val="00D51337"/>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236B01"/>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1D0620"/>
    <w:pPr>
      <w:keepNext/>
      <w:numPr>
        <w:ilvl w:val="3"/>
        <w:numId w:val="31"/>
      </w:numPr>
      <w:spacing w:before="60" w:after="60"/>
      <w:outlineLvl w:val="3"/>
    </w:pPr>
    <w:rPr>
      <w:rFonts w:ascii="Arial" w:hAnsi="Arial"/>
      <w:b/>
      <w:i/>
      <w:sz w:val="20"/>
    </w:rPr>
  </w:style>
  <w:style w:type="paragraph" w:styleId="Heading5">
    <w:name w:val="heading 5"/>
    <w:basedOn w:val="Normal"/>
    <w:next w:val="BodyText"/>
    <w:qFormat/>
    <w:rsid w:val="001034D7"/>
    <w:pPr>
      <w:keepNext/>
      <w:keepLines/>
      <w:numPr>
        <w:ilvl w:val="4"/>
        <w:numId w:val="31"/>
      </w:numPr>
      <w:spacing w:before="60" w:after="120"/>
      <w:outlineLvl w:val="4"/>
    </w:pPr>
    <w:rPr>
      <w:b/>
      <w:i/>
      <w:color w:val="DA291C"/>
    </w:rPr>
  </w:style>
  <w:style w:type="paragraph" w:styleId="Heading6">
    <w:name w:val="heading 6"/>
    <w:basedOn w:val="Normal"/>
    <w:next w:val="Normal"/>
    <w:qFormat/>
    <w:rsid w:val="00495B91"/>
    <w:pPr>
      <w:numPr>
        <w:ilvl w:val="5"/>
        <w:numId w:val="31"/>
      </w:numPr>
      <w:spacing w:before="60" w:after="60"/>
      <w:outlineLvl w:val="5"/>
    </w:pPr>
    <w:rPr>
      <w:b/>
      <w:bCs/>
      <w:szCs w:val="22"/>
    </w:rPr>
  </w:style>
  <w:style w:type="paragraph" w:styleId="Heading7">
    <w:name w:val="heading 7"/>
    <w:basedOn w:val="Normal"/>
    <w:next w:val="Normal"/>
    <w:qFormat/>
    <w:rsid w:val="003A3403"/>
    <w:pPr>
      <w:numPr>
        <w:ilvl w:val="6"/>
        <w:numId w:val="31"/>
      </w:numPr>
      <w:spacing w:before="240" w:after="60"/>
      <w:outlineLvl w:val="6"/>
    </w:pPr>
    <w:rPr>
      <w:sz w:val="24"/>
      <w:szCs w:val="24"/>
    </w:rPr>
  </w:style>
  <w:style w:type="paragraph" w:styleId="Heading8">
    <w:name w:val="heading 8"/>
    <w:basedOn w:val="Normal"/>
    <w:next w:val="Normal"/>
    <w:qFormat/>
    <w:rsid w:val="003A3403"/>
    <w:pPr>
      <w:numPr>
        <w:ilvl w:val="7"/>
        <w:numId w:val="31"/>
      </w:numPr>
      <w:spacing w:before="240" w:after="60"/>
      <w:outlineLvl w:val="7"/>
    </w:pPr>
    <w:rPr>
      <w:i/>
      <w:iCs/>
      <w:sz w:val="24"/>
      <w:szCs w:val="24"/>
    </w:rPr>
  </w:style>
  <w:style w:type="paragraph" w:styleId="Heading9">
    <w:name w:val="heading 9"/>
    <w:basedOn w:val="Normal"/>
    <w:next w:val="Normal"/>
    <w:qFormat/>
    <w:rsid w:val="003A3403"/>
    <w:pPr>
      <w:numPr>
        <w:ilvl w:val="8"/>
        <w:numId w:val="3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346F17"/>
    <w:pPr>
      <w:spacing w:before="20" w:after="20" w:line="240" w:lineRule="auto"/>
      <w:jc w:val="center"/>
    </w:pPr>
    <w:rPr>
      <w:rFonts w:ascii="Arial" w:hAnsi="Arial" w:cs="Arial"/>
      <w:b/>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2"/>
      </w:numPr>
      <w:spacing w:after="120"/>
    </w:pPr>
  </w:style>
  <w:style w:type="paragraph" w:customStyle="1" w:styleId="RefNumbers">
    <w:name w:val="Ref Numbers"/>
    <w:basedOn w:val="BodyText"/>
    <w:pPr>
      <w:numPr>
        <w:numId w:val="1"/>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36B01"/>
    <w:pPr>
      <w:tabs>
        <w:tab w:val="right" w:leader="dot" w:pos="9360"/>
      </w:tabs>
      <w:spacing w:before="240"/>
    </w:pPr>
    <w:rPr>
      <w:b/>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236B01"/>
    <w:pPr>
      <w:tabs>
        <w:tab w:val="right" w:leader="dot" w:pos="9360"/>
      </w:tabs>
      <w:spacing w:after="40"/>
      <w:ind w:left="576"/>
    </w:pPr>
    <w:rPr>
      <w:noProof/>
    </w:r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aliases w:val="*Footnote Reference"/>
    <w:basedOn w:val="DefaultParagraphFont"/>
    <w:uiPriority w:val="99"/>
    <w:qFormat/>
    <w:rsid w:val="007B1904"/>
    <w:rPr>
      <w:vertAlign w:val="superscript"/>
    </w:rPr>
  </w:style>
  <w:style w:type="paragraph" w:customStyle="1" w:styleId="Exhibit">
    <w:name w:val="Exhibit"/>
    <w:basedOn w:val="Normal"/>
    <w:rsid w:val="00346F17"/>
    <w:pPr>
      <w:spacing w:after="60"/>
    </w:pPr>
    <w:rPr>
      <w:rFonts w:ascii="Arial" w:hAnsi="Arial"/>
      <w:b/>
      <w:sz w:val="20"/>
    </w:rPr>
  </w:style>
  <w:style w:type="paragraph" w:styleId="FootnoteText">
    <w:name w:val="footnote text"/>
    <w:aliases w:val="F1"/>
    <w:basedOn w:val="Normal"/>
    <w:link w:val="FootnoteTextChar"/>
    <w:uiPriority w:val="99"/>
    <w:qFormat/>
    <w:rsid w:val="001D0620"/>
    <w:pPr>
      <w:spacing w:after="120" w:line="240" w:lineRule="auto"/>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0"/>
      </w:numPr>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3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link w:val="CaptionChar"/>
    <w:qFormat/>
    <w:rsid w:val="00236B01"/>
    <w:pPr>
      <w:keepNext/>
      <w:keepLines/>
      <w:widowControl w:val="0"/>
      <w:tabs>
        <w:tab w:val="left" w:pos="1440"/>
      </w:tabs>
      <w:spacing w:after="120"/>
    </w:pPr>
    <w:rPr>
      <w:rFonts w:ascii="Arial" w:hAnsi="Arial"/>
      <w:b/>
      <w:bCs/>
      <w:sz w:val="20"/>
    </w:rPr>
  </w:style>
  <w:style w:type="paragraph" w:customStyle="1" w:styleId="FooterLandscape">
    <w:name w:val="Footer Landscape"/>
    <w:basedOn w:val="Footer"/>
    <w:rsid w:val="00EE1D07"/>
    <w:pPr>
      <w:tabs>
        <w:tab w:val="clear" w:pos="4507"/>
        <w:tab w:val="center" w:pos="6480"/>
        <w:tab w:val="clear" w:pos="900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4"/>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uiPriority w:val="99"/>
    <w:rsid w:val="001D0620"/>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236B01"/>
    <w:pPr>
      <w:spacing w:before="60" w:after="0"/>
    </w:pPr>
    <w:rPr>
      <w:rFonts w:ascii="Arial Narrow" w:hAnsi="Arial Narrow" w:cs="Arial"/>
      <w:sz w:val="18"/>
    </w:rPr>
  </w:style>
  <w:style w:type="paragraph" w:customStyle="1" w:styleId="ExhibitText">
    <w:name w:val="Exhibit Text"/>
    <w:basedOn w:val="TableText"/>
    <w:qFormat/>
    <w:rsid w:val="00236B01"/>
    <w:rPr>
      <w:rFonts w:ascii="Arial Narrow" w:hAnsi="Arial Narrow"/>
      <w:sz w:val="18"/>
    </w:rPr>
  </w:style>
  <w:style w:type="paragraph" w:customStyle="1" w:styleId="ExhibitColumnHeader">
    <w:name w:val="Exhibit Column Header"/>
    <w:basedOn w:val="ExhibitRowHeader"/>
    <w:qFormat/>
    <w:rsid w:val="00236B01"/>
    <w:pPr>
      <w:spacing w:before="40" w:after="40"/>
    </w:pPr>
    <w:rPr>
      <w:rFonts w:ascii="Arial Narrow" w:hAnsi="Arial Narrow"/>
      <w:color w:val="000000" w:themeColor="text1"/>
      <w:sz w:val="18"/>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CommentTextChar">
    <w:name w:val="Comment Text Char"/>
    <w:basedOn w:val="DefaultParagraphFont"/>
    <w:link w:val="CommentText"/>
    <w:uiPriority w:val="99"/>
    <w:rsid w:val="005B6ACF"/>
  </w:style>
  <w:style w:type="character" w:customStyle="1" w:styleId="BalloonTextChar">
    <w:name w:val="Balloon Text Char"/>
    <w:basedOn w:val="DefaultParagraphFont"/>
    <w:link w:val="BalloonText"/>
    <w:uiPriority w:val="99"/>
    <w:semiHidden/>
    <w:rsid w:val="005B6ACF"/>
    <w:rPr>
      <w:rFonts w:ascii="Tahoma" w:hAnsi="Tahoma" w:cs="Tahoma"/>
      <w:sz w:val="16"/>
      <w:szCs w:val="16"/>
    </w:rPr>
  </w:style>
  <w:style w:type="character" w:customStyle="1" w:styleId="Heading1Char">
    <w:name w:val="Heading 1 Char"/>
    <w:basedOn w:val="DefaultParagraphFont"/>
    <w:link w:val="Heading1"/>
    <w:rsid w:val="005B6ACF"/>
    <w:rPr>
      <w:rFonts w:ascii="Arial" w:hAnsi="Arial"/>
      <w:b/>
      <w:color w:val="FFFFFF"/>
      <w:kern w:val="28"/>
      <w:sz w:val="28"/>
      <w:shd w:val="clear" w:color="auto" w:fill="DA291C"/>
    </w:rPr>
  </w:style>
  <w:style w:type="character" w:customStyle="1" w:styleId="CommentSubjectChar">
    <w:name w:val="Comment Subject Char"/>
    <w:basedOn w:val="CommentTextChar"/>
    <w:link w:val="CommentSubject"/>
    <w:uiPriority w:val="99"/>
    <w:semiHidden/>
    <w:rsid w:val="005B6ACF"/>
    <w:rPr>
      <w:b/>
      <w:bCs/>
    </w:rPr>
  </w:style>
  <w:style w:type="character" w:customStyle="1" w:styleId="Heading3Char">
    <w:name w:val="Heading 3 Char"/>
    <w:basedOn w:val="DefaultParagraphFont"/>
    <w:link w:val="Heading3"/>
    <w:rsid w:val="00236B01"/>
    <w:rPr>
      <w:rFonts w:ascii="Arial" w:hAnsi="Arial"/>
      <w:b/>
      <w:color w:val="DA291C"/>
    </w:rPr>
  </w:style>
  <w:style w:type="paragraph" w:styleId="NoSpacing">
    <w:name w:val="No Spacing"/>
    <w:uiPriority w:val="1"/>
    <w:qFormat/>
    <w:rsid w:val="005B6ACF"/>
    <w:rPr>
      <w:sz w:val="22"/>
    </w:rPr>
  </w:style>
  <w:style w:type="paragraph" w:styleId="ListParagraph">
    <w:name w:val="List Paragraph"/>
    <w:aliases w:val="Primary Bullet List"/>
    <w:basedOn w:val="Normal"/>
    <w:link w:val="ListParagraphChar"/>
    <w:uiPriority w:val="34"/>
    <w:qFormat/>
    <w:rsid w:val="005B6ACF"/>
    <w:pPr>
      <w:spacing w:after="200" w:line="276" w:lineRule="auto"/>
      <w:ind w:left="720"/>
      <w:contextualSpacing/>
    </w:pPr>
    <w:rPr>
      <w:rFonts w:asciiTheme="minorHAnsi" w:eastAsiaTheme="minorHAnsi" w:hAnsiTheme="minorHAnsi" w:cstheme="minorBidi"/>
      <w:szCs w:val="22"/>
    </w:rPr>
  </w:style>
  <w:style w:type="paragraph" w:styleId="PlainText">
    <w:name w:val="Plain Text"/>
    <w:basedOn w:val="Normal"/>
    <w:link w:val="PlainTextChar"/>
    <w:uiPriority w:val="99"/>
    <w:unhideWhenUsed/>
    <w:rsid w:val="005B6ACF"/>
    <w:pPr>
      <w:spacing w:after="0" w:line="240" w:lineRule="auto"/>
    </w:pPr>
    <w:rPr>
      <w:rFonts w:ascii="Calibri" w:hAnsi="Calibri" w:eastAsiaTheme="minorHAnsi" w:cstheme="minorBidi"/>
      <w:szCs w:val="21"/>
    </w:rPr>
  </w:style>
  <w:style w:type="character" w:customStyle="1" w:styleId="PlainTextChar">
    <w:name w:val="Plain Text Char"/>
    <w:basedOn w:val="DefaultParagraphFont"/>
    <w:link w:val="PlainText"/>
    <w:uiPriority w:val="99"/>
    <w:rsid w:val="005B6ACF"/>
    <w:rPr>
      <w:rFonts w:ascii="Calibri" w:hAnsi="Calibri" w:eastAsiaTheme="minorHAnsi" w:cstheme="minorBidi"/>
      <w:sz w:val="22"/>
      <w:szCs w:val="21"/>
    </w:rPr>
  </w:style>
  <w:style w:type="character" w:customStyle="1" w:styleId="HeaderChar">
    <w:name w:val="Header Char"/>
    <w:basedOn w:val="DefaultParagraphFont"/>
    <w:link w:val="Header"/>
    <w:uiPriority w:val="99"/>
    <w:rsid w:val="005B6ACF"/>
    <w:rPr>
      <w:rFonts w:ascii="Arial" w:hAnsi="Arial"/>
      <w:b/>
      <w:color w:val="595959" w:themeColor="text1" w:themeTint="A6"/>
      <w:sz w:val="18"/>
    </w:rPr>
  </w:style>
  <w:style w:type="character" w:customStyle="1" w:styleId="FootnoteTextChar1">
    <w:name w:val="Footnote Text Char1"/>
    <w:basedOn w:val="DefaultParagraphFont"/>
    <w:rsid w:val="005B6ACF"/>
    <w:rPr>
      <w:sz w:val="20"/>
      <w:szCs w:val="20"/>
    </w:rPr>
  </w:style>
  <w:style w:type="paragraph" w:customStyle="1" w:styleId="AbtHeadC">
    <w:name w:val="AbtHead C"/>
    <w:basedOn w:val="Normal"/>
    <w:next w:val="BodyText"/>
    <w:rsid w:val="005B6ACF"/>
    <w:pPr>
      <w:keepNext/>
      <w:keepLines/>
      <w:tabs>
        <w:tab w:val="left" w:pos="720"/>
        <w:tab w:val="left" w:pos="1080"/>
        <w:tab w:val="left" w:pos="1440"/>
        <w:tab w:val="left" w:pos="1800"/>
      </w:tabs>
      <w:spacing w:after="240"/>
      <w:outlineLvl w:val="2"/>
    </w:pPr>
    <w:rPr>
      <w:rFonts w:ascii="Arial" w:hAnsi="Arial"/>
      <w:b/>
      <w:sz w:val="20"/>
    </w:rPr>
  </w:style>
  <w:style w:type="paragraph" w:customStyle="1" w:styleId="Table">
    <w:name w:val="Table"/>
    <w:basedOn w:val="Normal"/>
    <w:rsid w:val="005B6ACF"/>
    <w:pPr>
      <w:tabs>
        <w:tab w:val="left" w:pos="720"/>
        <w:tab w:val="left" w:pos="1080"/>
        <w:tab w:val="left" w:pos="1440"/>
        <w:tab w:val="left" w:pos="1800"/>
      </w:tabs>
      <w:spacing w:after="0"/>
    </w:pPr>
    <w:rPr>
      <w:rFonts w:ascii="Arial" w:hAnsi="Arial"/>
      <w:sz w:val="20"/>
    </w:rPr>
  </w:style>
  <w:style w:type="paragraph" w:customStyle="1" w:styleId="AbtHeadB">
    <w:name w:val="AbtHead B"/>
    <w:basedOn w:val="BodyText"/>
    <w:next w:val="BodyText"/>
    <w:rsid w:val="005B6ACF"/>
    <w:pPr>
      <w:keepNext/>
      <w:keepLines/>
      <w:spacing w:after="120"/>
      <w:outlineLvl w:val="1"/>
    </w:pPr>
    <w:rPr>
      <w:rFonts w:ascii="Arial Bold" w:hAnsi="Arial Bold"/>
      <w:b/>
      <w:color w:val="000080"/>
      <w:sz w:val="24"/>
    </w:rPr>
  </w:style>
  <w:style w:type="paragraph" w:styleId="BodyText3">
    <w:name w:val="Body Text 3"/>
    <w:basedOn w:val="Normal"/>
    <w:link w:val="BodyText3Char"/>
    <w:uiPriority w:val="99"/>
    <w:unhideWhenUsed/>
    <w:rsid w:val="005B6ACF"/>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5B6ACF"/>
    <w:rPr>
      <w:rFonts w:asciiTheme="minorHAnsi" w:eastAsiaTheme="minorHAnsi" w:hAnsiTheme="minorHAnsi" w:cstheme="minorBidi"/>
      <w:sz w:val="16"/>
      <w:szCs w:val="16"/>
    </w:rPr>
  </w:style>
  <w:style w:type="character" w:customStyle="1" w:styleId="Heading2Char">
    <w:name w:val="Heading 2 Char"/>
    <w:basedOn w:val="DefaultParagraphFont"/>
    <w:link w:val="Heading2"/>
    <w:rsid w:val="00D51337"/>
    <w:rPr>
      <w:rFonts w:ascii="Arial" w:hAnsi="Arial" w:cs="Arial"/>
      <w:b/>
      <w:bCs/>
      <w:iCs/>
      <w:color w:val="000000" w:themeColor="text1"/>
      <w:sz w:val="24"/>
      <w:szCs w:val="28"/>
      <w:shd w:val="clear" w:color="auto" w:fill="D0D3D4"/>
    </w:rPr>
  </w:style>
  <w:style w:type="paragraph" w:styleId="Title">
    <w:name w:val="Title"/>
    <w:basedOn w:val="Normal"/>
    <w:link w:val="TitleChar"/>
    <w:qFormat/>
    <w:rsid w:val="005B6ACF"/>
    <w:pPr>
      <w:spacing w:after="0" w:line="240" w:lineRule="auto"/>
      <w:jc w:val="center"/>
    </w:pPr>
    <w:rPr>
      <w:b/>
      <w:bCs/>
      <w:sz w:val="24"/>
      <w:lang w:val="x-none" w:eastAsia="x-none"/>
    </w:rPr>
  </w:style>
  <w:style w:type="character" w:customStyle="1" w:styleId="TitleChar">
    <w:name w:val="Title Char"/>
    <w:basedOn w:val="DefaultParagraphFont"/>
    <w:link w:val="Title"/>
    <w:rsid w:val="005B6ACF"/>
    <w:rPr>
      <w:b/>
      <w:bCs/>
      <w:sz w:val="24"/>
      <w:lang w:val="x-none" w:eastAsia="x-none"/>
    </w:rPr>
  </w:style>
  <w:style w:type="paragraph" w:customStyle="1" w:styleId="Default">
    <w:name w:val="Default"/>
    <w:rsid w:val="005B6ACF"/>
    <w:pPr>
      <w:autoSpaceDE w:val="0"/>
      <w:autoSpaceDN w:val="0"/>
      <w:adjustRightInd w:val="0"/>
    </w:pPr>
    <w:rPr>
      <w:rFonts w:ascii="Calibri" w:hAnsi="Calibri" w:eastAsiaTheme="minorHAnsi" w:cs="Calibri"/>
      <w:color w:val="000000"/>
      <w:sz w:val="24"/>
      <w:szCs w:val="24"/>
    </w:rPr>
  </w:style>
  <w:style w:type="paragraph" w:styleId="NormalWeb">
    <w:name w:val="Normal (Web)"/>
    <w:basedOn w:val="Normal"/>
    <w:unhideWhenUsed/>
    <w:rsid w:val="00C20BE7"/>
    <w:pPr>
      <w:spacing w:before="100" w:beforeAutospacing="1" w:after="100" w:afterAutospacing="1" w:line="240" w:lineRule="auto"/>
    </w:pPr>
    <w:rPr>
      <w:sz w:val="24"/>
      <w:szCs w:val="24"/>
    </w:rPr>
  </w:style>
  <w:style w:type="character" w:customStyle="1" w:styleId="Heading4Char">
    <w:name w:val="Heading 4 Char"/>
    <w:basedOn w:val="DefaultParagraphFont"/>
    <w:link w:val="Heading4"/>
    <w:rsid w:val="001D0620"/>
    <w:rPr>
      <w:rFonts w:ascii="Arial" w:hAnsi="Arial"/>
      <w:b/>
      <w:i/>
    </w:rPr>
  </w:style>
  <w:style w:type="paragraph" w:customStyle="1" w:styleId="ListBulleted">
    <w:name w:val="ListBulleted"/>
    <w:qFormat/>
    <w:rsid w:val="00FA2276"/>
    <w:pPr>
      <w:numPr>
        <w:numId w:val="6"/>
      </w:numPr>
      <w:spacing w:before="120" w:after="120"/>
      <w:contextualSpacing/>
    </w:pPr>
    <w:rPr>
      <w:sz w:val="26"/>
    </w:rPr>
  </w:style>
  <w:style w:type="paragraph" w:customStyle="1" w:styleId="body">
    <w:name w:val="body"/>
    <w:basedOn w:val="BodyText"/>
    <w:rsid w:val="00FA2276"/>
    <w:pPr>
      <w:spacing w:after="240"/>
    </w:pPr>
    <w:rPr>
      <w:rFonts w:asciiTheme="minorHAnsi" w:eastAsiaTheme="minorHAnsi" w:hAnsiTheme="minorHAnsi" w:cstheme="minorBidi"/>
      <w:szCs w:val="22"/>
    </w:rPr>
  </w:style>
  <w:style w:type="table" w:customStyle="1" w:styleId="TableGrid1">
    <w:name w:val="Table Grid1"/>
    <w:basedOn w:val="TableNormal"/>
    <w:next w:val="TableGrid"/>
    <w:uiPriority w:val="59"/>
    <w:rsid w:val="00FA22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Style">
    <w:name w:val="Task Style"/>
    <w:basedOn w:val="Heading3"/>
    <w:next w:val="BodyText"/>
    <w:link w:val="TaskStyleChar"/>
    <w:qFormat/>
    <w:rsid w:val="00111CB5"/>
    <w:pPr>
      <w:pBdr>
        <w:bottom w:val="single" w:sz="12" w:space="1" w:color="898D8D" w:themeColor="accent2"/>
      </w:pBdr>
      <w:spacing w:before="0" w:after="60" w:line="240" w:lineRule="auto"/>
    </w:pPr>
    <w:rPr>
      <w:rFonts w:cs="Arial"/>
      <w:color w:val="DA291C" w:themeColor="accent1"/>
      <w:sz w:val="24"/>
    </w:rPr>
  </w:style>
  <w:style w:type="character" w:customStyle="1" w:styleId="TaskStyleChar">
    <w:name w:val="Task Style Char"/>
    <w:basedOn w:val="Heading4Char"/>
    <w:link w:val="TaskStyle"/>
    <w:rsid w:val="00111CB5"/>
    <w:rPr>
      <w:rFonts w:ascii="Arial" w:hAnsi="Arial" w:cs="Arial"/>
      <w:b/>
      <w:i/>
      <w:color w:val="DA291C" w:themeColor="accent1"/>
      <w:sz w:val="24"/>
    </w:rPr>
  </w:style>
  <w:style w:type="paragraph" w:styleId="Revision">
    <w:name w:val="Revision"/>
    <w:hidden/>
    <w:uiPriority w:val="99"/>
    <w:semiHidden/>
    <w:rsid w:val="00B545BD"/>
    <w:rPr>
      <w:sz w:val="22"/>
    </w:rPr>
  </w:style>
  <w:style w:type="character" w:styleId="FollowedHyperlink">
    <w:name w:val="FollowedHyperlink"/>
    <w:basedOn w:val="DefaultParagraphFont"/>
    <w:rsid w:val="00BC56BD"/>
    <w:rPr>
      <w:color w:val="0070C0" w:themeColor="followedHyperlink"/>
      <w:u w:val="single"/>
    </w:rPr>
  </w:style>
  <w:style w:type="paragraph" w:customStyle="1" w:styleId="BodyTextSS">
    <w:name w:val="Body Text SS"/>
    <w:basedOn w:val="BodyText"/>
    <w:qFormat/>
    <w:rsid w:val="00236B01"/>
    <w:pPr>
      <w:spacing w:after="0"/>
    </w:pPr>
  </w:style>
  <w:style w:type="paragraph" w:customStyle="1" w:styleId="ExhibitsourceLast">
    <w:name w:val="Exhibit source Last"/>
    <w:basedOn w:val="ExhibitSource"/>
    <w:qFormat/>
    <w:rsid w:val="00236B01"/>
    <w:pPr>
      <w:spacing w:after="240"/>
    </w:pPr>
    <w:rPr>
      <w:szCs w:val="18"/>
    </w:rPr>
  </w:style>
  <w:style w:type="paragraph" w:customStyle="1" w:styleId="NormalSS">
    <w:name w:val="NormalSS"/>
    <w:basedOn w:val="Normal"/>
    <w:link w:val="NormalSSChar"/>
    <w:rsid w:val="00984E9F"/>
    <w:pPr>
      <w:tabs>
        <w:tab w:val="left" w:pos="432"/>
      </w:tabs>
      <w:spacing w:after="240" w:line="240" w:lineRule="auto"/>
      <w:ind w:firstLine="432"/>
      <w:jc w:val="both"/>
    </w:pPr>
    <w:rPr>
      <w:rFonts w:ascii="Garamond" w:hAnsi="Garamond"/>
      <w:sz w:val="24"/>
      <w:szCs w:val="24"/>
    </w:rPr>
  </w:style>
  <w:style w:type="paragraph" w:customStyle="1" w:styleId="MarkforTableHeading">
    <w:name w:val="Mark for Table Heading"/>
    <w:basedOn w:val="Normal"/>
    <w:next w:val="Normal"/>
    <w:rsid w:val="00984E9F"/>
    <w:pPr>
      <w:keepNext/>
      <w:tabs>
        <w:tab w:val="left" w:pos="432"/>
      </w:tabs>
      <w:spacing w:after="60" w:line="240" w:lineRule="auto"/>
      <w:jc w:val="both"/>
    </w:pPr>
    <w:rPr>
      <w:rFonts w:ascii="Lucida Sans" w:hAnsi="Lucida Sans"/>
      <w:b/>
      <w:sz w:val="18"/>
      <w:szCs w:val="24"/>
    </w:rPr>
  </w:style>
  <w:style w:type="paragraph" w:customStyle="1" w:styleId="TableHeaderCenter">
    <w:name w:val="Table Header Center"/>
    <w:basedOn w:val="NormalSS"/>
    <w:rsid w:val="00984E9F"/>
    <w:pPr>
      <w:spacing w:before="120" w:after="60"/>
      <w:ind w:firstLine="0"/>
      <w:jc w:val="center"/>
    </w:pPr>
    <w:rPr>
      <w:rFonts w:ascii="Lucida Sans" w:hAnsi="Lucida Sans"/>
      <w:sz w:val="18"/>
    </w:rPr>
  </w:style>
  <w:style w:type="paragraph" w:customStyle="1" w:styleId="TableHeaderLeft">
    <w:name w:val="Table Header Left"/>
    <w:basedOn w:val="NormalSS"/>
    <w:rsid w:val="00984E9F"/>
    <w:pPr>
      <w:spacing w:before="120" w:after="60"/>
      <w:ind w:firstLine="0"/>
      <w:jc w:val="left"/>
    </w:pPr>
    <w:rPr>
      <w:rFonts w:ascii="Lucida Sans" w:hAnsi="Lucida Sans"/>
      <w:sz w:val="18"/>
    </w:rPr>
  </w:style>
  <w:style w:type="paragraph" w:customStyle="1" w:styleId="TableSourceCaption">
    <w:name w:val="Table Source_Caption"/>
    <w:basedOn w:val="NormalSS"/>
    <w:uiPriority w:val="99"/>
    <w:rsid w:val="00984E9F"/>
    <w:pPr>
      <w:tabs>
        <w:tab w:val="clear" w:pos="432"/>
      </w:tabs>
      <w:spacing w:after="120"/>
      <w:ind w:left="1080" w:hanging="1080"/>
    </w:pPr>
    <w:rPr>
      <w:rFonts w:ascii="Lucida Sans" w:hAnsi="Lucida Sans"/>
      <w:sz w:val="18"/>
    </w:rPr>
  </w:style>
  <w:style w:type="paragraph" w:customStyle="1" w:styleId="BulletBlue">
    <w:name w:val="Bullet_Blue"/>
    <w:basedOn w:val="Normal"/>
    <w:rsid w:val="00984E9F"/>
    <w:pPr>
      <w:numPr>
        <w:numId w:val="7"/>
      </w:numPr>
      <w:tabs>
        <w:tab w:val="left" w:pos="360"/>
      </w:tabs>
      <w:spacing w:after="120" w:line="240" w:lineRule="auto"/>
      <w:ind w:right="360"/>
      <w:jc w:val="both"/>
    </w:pPr>
    <w:rPr>
      <w:rFonts w:ascii="Garamond" w:hAnsi="Garamond"/>
      <w:sz w:val="24"/>
      <w:szCs w:val="24"/>
    </w:rPr>
  </w:style>
  <w:style w:type="paragraph" w:customStyle="1" w:styleId="BulletBlueLastSS">
    <w:name w:val="Bullet_Blue (Last SS)"/>
    <w:basedOn w:val="Normal"/>
    <w:next w:val="NormalSS"/>
    <w:rsid w:val="00984E9F"/>
    <w:pPr>
      <w:numPr>
        <w:numId w:val="8"/>
      </w:numPr>
      <w:tabs>
        <w:tab w:val="left" w:pos="360"/>
      </w:tabs>
      <w:spacing w:after="240" w:line="240" w:lineRule="auto"/>
      <w:ind w:right="360"/>
      <w:jc w:val="both"/>
    </w:pPr>
    <w:rPr>
      <w:rFonts w:ascii="Garamond" w:hAnsi="Garamond"/>
      <w:sz w:val="24"/>
      <w:szCs w:val="24"/>
    </w:rPr>
  </w:style>
  <w:style w:type="character" w:customStyle="1" w:styleId="NormalSSChar">
    <w:name w:val="NormalSS Char"/>
    <w:basedOn w:val="DefaultParagraphFont"/>
    <w:link w:val="NormalSS"/>
    <w:locked/>
    <w:rsid w:val="00984E9F"/>
    <w:rPr>
      <w:rFonts w:ascii="Garamond" w:hAnsi="Garamond"/>
      <w:sz w:val="24"/>
      <w:szCs w:val="24"/>
    </w:rPr>
  </w:style>
  <w:style w:type="table" w:customStyle="1" w:styleId="AbtFinal">
    <w:name w:val="Abt Final"/>
    <w:basedOn w:val="TableNormal"/>
    <w:uiPriority w:val="99"/>
    <w:rsid w:val="00B71443"/>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SymbolMT" w:hAnsi="SymbolMT"/>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cPr>
    </w:tblStylePr>
    <w:tblStylePr w:type="band1Horz">
      <w:rPr>
        <w:rFonts w:ascii="SymbolMT" w:hAnsi="SymbolMT"/>
        <w:sz w:val="18"/>
      </w:rPr>
      <w:tblPr/>
      <w:tcPr>
        <w:tcBorders>
          <w:top w:val="single" w:sz="8" w:space="0" w:color="000000"/>
          <w:left w:val="single" w:sz="8" w:space="0" w:color="000000"/>
          <w:bottom w:val="single" w:sz="8" w:space="0" w:color="000000"/>
          <w:right w:val="single" w:sz="8" w:space="0" w:color="000000"/>
          <w:insideH w:val="nil"/>
          <w:insideV w:val="single" w:sz="8" w:space="0" w:color="000000"/>
          <w:tl2br w:val="nil"/>
          <w:tr2bl w:val="nil"/>
        </w:tcBorders>
        <w:shd w:val="clear" w:color="auto" w:fill="E7E8E8"/>
      </w:tcPr>
    </w:tblStylePr>
    <w:tblStylePr w:type="band2Horz">
      <w:rPr>
        <w:rFonts w:ascii="SymbolMT" w:hAnsi="SymbolMT"/>
        <w:sz w:val="18"/>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l2br w:val="nil"/>
          <w:tr2bl w:val="nil"/>
        </w:tcBorders>
      </w:tcPr>
    </w:tblStylePr>
  </w:style>
  <w:style w:type="character" w:customStyle="1" w:styleId="ListParagraphChar">
    <w:name w:val="List Paragraph Char"/>
    <w:aliases w:val="Primary Bullet List Char"/>
    <w:link w:val="ListParagraph"/>
    <w:uiPriority w:val="34"/>
    <w:locked/>
    <w:rsid w:val="008D0A67"/>
    <w:rPr>
      <w:rFonts w:asciiTheme="minorHAnsi" w:eastAsiaTheme="minorHAnsi" w:hAnsiTheme="minorHAnsi" w:cstheme="minorBidi"/>
      <w:sz w:val="22"/>
      <w:szCs w:val="22"/>
    </w:rPr>
  </w:style>
  <w:style w:type="character" w:styleId="Mention">
    <w:name w:val="Mention"/>
    <w:basedOn w:val="DefaultParagraphFont"/>
    <w:uiPriority w:val="99"/>
    <w:unhideWhenUsed/>
    <w:rsid w:val="00CF257F"/>
    <w:rPr>
      <w:color w:val="2B579A"/>
      <w:shd w:val="clear" w:color="auto" w:fill="E1DFDD"/>
    </w:rPr>
  </w:style>
  <w:style w:type="paragraph" w:customStyle="1" w:styleId="TableColumnHeader">
    <w:name w:val="Table Column Header"/>
    <w:basedOn w:val="Normal"/>
    <w:qFormat/>
    <w:rsid w:val="00331C6C"/>
    <w:pPr>
      <w:keepNext/>
      <w:keepLines/>
      <w:spacing w:before="20" w:after="20" w:line="240" w:lineRule="auto"/>
      <w:jc w:val="center"/>
    </w:pPr>
    <w:rPr>
      <w:rFonts w:ascii="Arial Narrow" w:hAnsi="Arial Narrow"/>
      <w:b/>
      <w:color w:val="B7C9D3" w:themeColor="background1"/>
      <w:sz w:val="20"/>
    </w:rPr>
  </w:style>
  <w:style w:type="character" w:customStyle="1" w:styleId="CaptionChar">
    <w:name w:val="Caption Char"/>
    <w:basedOn w:val="DefaultParagraphFont"/>
    <w:link w:val="Caption"/>
    <w:locked/>
    <w:rsid w:val="00331C6C"/>
    <w:rPr>
      <w:rFonts w:ascii="Arial" w:hAnsi="Arial"/>
      <w:b/>
      <w:bCs/>
    </w:rPr>
  </w:style>
  <w:style w:type="paragraph" w:customStyle="1" w:styleId="BodyTextNoSpaceAfter">
    <w:name w:val="Body Text No Space After"/>
    <w:basedOn w:val="BodyText"/>
    <w:qFormat/>
    <w:rsid w:val="00331C6C"/>
    <w:pPr>
      <w:spacing w:after="0" w:line="240" w:lineRule="auto"/>
    </w:pPr>
    <w:rPr>
      <w:sz w:val="24"/>
      <w:lang w:val="en"/>
    </w:rPr>
  </w:style>
  <w:style w:type="paragraph" w:customStyle="1" w:styleId="TableColumnHeaderLeft">
    <w:name w:val="Table Column Header Left"/>
    <w:basedOn w:val="TableColumnHeader"/>
    <w:qFormat/>
    <w:rsid w:val="00331C6C"/>
    <w:pPr>
      <w:jc w:val="left"/>
    </w:pPr>
  </w:style>
  <w:style w:type="paragraph" w:customStyle="1" w:styleId="TableTextBold">
    <w:name w:val="Table Text Bold"/>
    <w:basedOn w:val="TableText"/>
    <w:qFormat/>
    <w:rsid w:val="00331C6C"/>
    <w:pPr>
      <w:spacing w:before="20" w:after="20" w:line="240" w:lineRule="auto"/>
    </w:pPr>
    <w:rPr>
      <w:rFonts w:ascii="Arial Narrow" w:hAnsi="Arial Narrow" w:cs="Times New Roman"/>
      <w:b/>
      <w:color w:val="auto"/>
    </w:rPr>
  </w:style>
  <w:style w:type="character" w:customStyle="1" w:styleId="BulletsChar">
    <w:name w:val="Bullets Char"/>
    <w:link w:val="Bullets"/>
    <w:locked/>
    <w:rsid w:val="000A7BD9"/>
    <w:rPr>
      <w:sz w:val="22"/>
    </w:rPr>
  </w:style>
  <w:style w:type="paragraph" w:customStyle="1" w:styleId="References">
    <w:name w:val="References"/>
    <w:basedOn w:val="BodyText"/>
    <w:qFormat/>
    <w:rsid w:val="00314460"/>
    <w:pPr>
      <w:keepLines/>
      <w:spacing w:line="240" w:lineRule="auto"/>
      <w:ind w:left="360" w:hanging="36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hyperlink" Target="http://www.affordablehousing.com" TargetMode="External" /><Relationship Id="rId18" Type="http://schemas.openxmlformats.org/officeDocument/2006/relationships/footer" Target="footer5.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windows\templates\abttemplates\Abt%20Standards\Abt%20Report%207-15-2011.dotm" TargetMode="External" /></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B74B517C4DE04889071AB728FBCCFD" ma:contentTypeVersion="6" ma:contentTypeDescription="Create a new document." ma:contentTypeScope="" ma:versionID="9b20bcc2832d3d0f5f130cdb28f99347">
  <xsd:schema xmlns:xsd="http://www.w3.org/2001/XMLSchema" xmlns:xs="http://www.w3.org/2001/XMLSchema" xmlns:p="http://schemas.microsoft.com/office/2006/metadata/properties" xmlns:ns2="8fe5286d-1254-45ec-9fb8-bdae67fc9a19" xmlns:ns3="53f05d2a-2816-4e3e-9f74-953efe1832e7" targetNamespace="http://schemas.microsoft.com/office/2006/metadata/properties" ma:root="true" ma:fieldsID="71fe76cb7af204d7f3e7ba59e0f4b05c" ns2:_="" ns3:_="">
    <xsd:import namespace="8fe5286d-1254-45ec-9fb8-bdae67fc9a19"/>
    <xsd:import namespace="53f05d2a-2816-4e3e-9f74-953efe1832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5286d-1254-45ec-9fb8-bdae67fc9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f05d2a-2816-4e3e-9f74-953efe1832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15938-49BD-4A58-98DB-881CE8E9533E}">
  <ds:schemaRefs>
    <ds:schemaRef ds:uri="http://schemas.openxmlformats.org/officeDocument/2006/bibliography"/>
  </ds:schemaRefs>
</ds:datastoreItem>
</file>

<file path=customXml/itemProps2.xml><?xml version="1.0" encoding="utf-8"?>
<ds:datastoreItem xmlns:ds="http://schemas.openxmlformats.org/officeDocument/2006/customXml" ds:itemID="{6BF77AFC-0779-42AA-8F3F-EB810BA7F453}">
  <ds:schemaRefs>
    <ds:schemaRef ds:uri="http://schemas.microsoft.com/sharepoint/v3/contenttype/forms"/>
  </ds:schemaRefs>
</ds:datastoreItem>
</file>

<file path=customXml/itemProps3.xml><?xml version="1.0" encoding="utf-8"?>
<ds:datastoreItem xmlns:ds="http://schemas.openxmlformats.org/officeDocument/2006/customXml" ds:itemID="{B04F5DE2-465E-41FB-B5DD-49DC3B060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5286d-1254-45ec-9fb8-bdae67fc9a19"/>
    <ds:schemaRef ds:uri="53f05d2a-2816-4e3e-9f74-953efe183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732D3B-44D0-4F48-BAA3-2528FC72F6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Abt Report 7-15-2011.dotm</Template>
  <TotalTime>43</TotalTime>
  <Pages>13</Pages>
  <Words>4963</Words>
  <Characters>26659</Characters>
  <Application>Microsoft Office Word</Application>
  <DocSecurity>0</DocSecurity>
  <Lines>222</Lines>
  <Paragraphs>63</Paragraphs>
  <ScaleCrop>false</ScaleCrop>
  <Company>Abt Associates Inc.</Company>
  <LinksUpToDate>false</LinksUpToDate>
  <CharactersWithSpaces>31559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Katheleen Linton</dc:creator>
  <cp:keywords>Single-Sided body Templates</cp:keywords>
  <cp:lastModifiedBy>Guido, Anna P</cp:lastModifiedBy>
  <cp:revision>2</cp:revision>
  <cp:lastPrinted>2016-07-14T04:33:00Z</cp:lastPrinted>
  <dcterms:created xsi:type="dcterms:W3CDTF">2022-11-17T17:44:00Z</dcterms:created>
  <dcterms:modified xsi:type="dcterms:W3CDTF">2022-11-17T17:44:00Z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0x01010093B74B517C4DE04889071AB728FBCCFD</vt:lpwstr>
  </property>
  <property fmtid="{D5CDD505-2E9C-101B-9397-08002B2CF9AE}" pid="3" name="MTWinEqns">
    <vt:bool>true</vt:bool>
  </property>
</Properties>
</file>