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25C5" w:rsidRPr="004D68E3" w14:paraId="1E2F352E" w14:textId="298E41F1">
      <w:pPr>
        <w:tabs>
          <w:tab w:val="left" w:pos="240"/>
        </w:tabs>
        <w:ind w:left="240"/>
        <w:rPr>
          <w:sz w:val="24"/>
          <w:szCs w:val="24"/>
        </w:rPr>
      </w:pPr>
    </w:p>
    <w:p w:rsidR="00A325C5" w:rsidRPr="004D68E3" w14:paraId="58623B6B" w14:textId="6B8D9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4D68E3">
        <w:rPr>
          <w:b/>
          <w:sz w:val="24"/>
          <w:szCs w:val="24"/>
        </w:rPr>
        <w:t>Supporting Statement for Paperwork Reduction Act Submissions</w:t>
      </w:r>
    </w:p>
    <w:p w:rsidR="004E578B" w:rsidRPr="004D68E3" w14:paraId="070F9DC9" w14:textId="1CDB5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4D68E3">
        <w:rPr>
          <w:b/>
          <w:sz w:val="24"/>
          <w:szCs w:val="24"/>
        </w:rPr>
        <w:t>2577-0161</w:t>
      </w:r>
    </w:p>
    <w:p w:rsidR="00160464" w:rsidRPr="004D68E3" w14:paraId="0A14EDFC" w14:textId="796E9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4D68E3">
        <w:rPr>
          <w:b/>
          <w:sz w:val="24"/>
          <w:szCs w:val="24"/>
        </w:rPr>
        <w:t>Public Housing, Contracting with Resident-Owned Businesses</w:t>
      </w:r>
    </w:p>
    <w:p w:rsidR="00A325C5" w:rsidRPr="004D68E3" w14:paraId="62486C0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E87390" w14:paraId="4DCE876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2"/>
          <w:szCs w:val="22"/>
        </w:rPr>
      </w:pPr>
    </w:p>
    <w:p w:rsidR="00A325C5" w:rsidRPr="00B906B8" w14:paraId="64FE077D" w14:textId="379AEEF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B906B8">
        <w:rPr>
          <w:b/>
          <w:sz w:val="22"/>
          <w:szCs w:val="22"/>
        </w:rPr>
        <w:t>A</w:t>
      </w:r>
      <w:r w:rsidRPr="00B906B8" w:rsidR="00872D38">
        <w:rPr>
          <w:b/>
          <w:sz w:val="22"/>
          <w:szCs w:val="22"/>
        </w:rPr>
        <w:t>. Justification</w:t>
      </w:r>
    </w:p>
    <w:p w:rsidR="00A325C5" w:rsidRPr="00A861B1" w14:paraId="410165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p>
    <w:p w:rsidR="00A325C5" w:rsidRPr="00B906B8" w14:paraId="3A02D1ED" w14:textId="77777777">
      <w:pPr>
        <w:keepLines/>
        <w:tabs>
          <w:tab w:val="left" w:pos="360"/>
        </w:tabs>
        <w:spacing w:after="80"/>
        <w:ind w:left="360" w:hanging="360"/>
        <w:rPr>
          <w:color w:val="000000"/>
          <w:sz w:val="22"/>
          <w:szCs w:val="22"/>
        </w:rPr>
      </w:pPr>
      <w:r w:rsidRPr="00A861B1">
        <w:rPr>
          <w:color w:val="000000"/>
          <w:sz w:val="22"/>
          <w:szCs w:val="22"/>
        </w:rPr>
        <w:t>1.</w:t>
      </w:r>
      <w:r w:rsidRPr="00B906B8">
        <w:rPr>
          <w:b/>
          <w:bCs/>
          <w:color w:val="000000"/>
          <w:sz w:val="22"/>
          <w:szCs w:val="22"/>
        </w:rPr>
        <w:tab/>
      </w:r>
      <w:r w:rsidRPr="00B906B8" w:rsidR="00070EFE">
        <w:rPr>
          <w:b/>
          <w:bCs/>
          <w:color w:val="000000"/>
          <w:sz w:val="22"/>
          <w:szCs w:val="22"/>
        </w:rPr>
        <w:t>W</w:t>
      </w:r>
      <w:r w:rsidRPr="00B906B8">
        <w:rPr>
          <w:b/>
          <w:bCs/>
          <w:color w:val="000000"/>
          <w:sz w:val="22"/>
          <w:szCs w:val="22"/>
        </w:rPr>
        <w:t>hy is this information necessary?  Identify any legal or administrative requirements that necessitate the collection.  Attach a copy of the appropriate section of each statute and regulation mandating/authorizing the collection of information.</w:t>
      </w:r>
    </w:p>
    <w:p w:rsidR="00ED07AB" w:rsidRPr="00B906B8" w:rsidP="026A15CE" w14:paraId="3F11575E" w14:textId="4549A462">
      <w:pPr>
        <w:keepLines/>
        <w:tabs>
          <w:tab w:val="left" w:pos="360"/>
        </w:tabs>
        <w:spacing w:after="80"/>
        <w:ind w:left="360"/>
        <w:rPr>
          <w:color w:val="000000"/>
          <w:sz w:val="22"/>
          <w:szCs w:val="22"/>
        </w:rPr>
      </w:pPr>
      <w:r w:rsidRPr="00B906B8">
        <w:rPr>
          <w:rStyle w:val="normaltextrun"/>
          <w:color w:val="000000"/>
          <w:sz w:val="22"/>
          <w:szCs w:val="22"/>
          <w:shd w:val="clear" w:color="auto" w:fill="FFFFFF"/>
        </w:rPr>
        <w:t>PHAs that enter contracts with resident-owned businesses prior to December 26, 2014</w:t>
      </w:r>
      <w:r w:rsidRPr="00B906B8" w:rsidR="00C65594">
        <w:rPr>
          <w:rStyle w:val="normaltextrun"/>
          <w:color w:val="000000"/>
          <w:sz w:val="22"/>
          <w:szCs w:val="22"/>
          <w:shd w:val="clear" w:color="auto" w:fill="FFFFFF"/>
        </w:rPr>
        <w:t>,</w:t>
      </w:r>
      <w:r w:rsidRPr="00B906B8">
        <w:rPr>
          <w:rStyle w:val="normaltextrun"/>
          <w:color w:val="000000"/>
          <w:sz w:val="22"/>
          <w:szCs w:val="22"/>
          <w:shd w:val="clear" w:color="auto" w:fill="FFFFFF"/>
        </w:rPr>
        <w:t xml:space="preserve"> must comply with the requirements/procedures set forth in, 24 CFR §85.36(h), 24 CFR §85.36(i).  Contracts with resident-owned businesses entered after December 26, 2014</w:t>
      </w:r>
      <w:r w:rsidRPr="00B906B8" w:rsidR="00C65594">
        <w:rPr>
          <w:rStyle w:val="normaltextrun"/>
          <w:color w:val="000000"/>
          <w:sz w:val="22"/>
          <w:szCs w:val="22"/>
          <w:shd w:val="clear" w:color="auto" w:fill="FFFFFF"/>
        </w:rPr>
        <w:t>,</w:t>
      </w:r>
      <w:r w:rsidRPr="00B906B8">
        <w:rPr>
          <w:rStyle w:val="normaltextrun"/>
          <w:color w:val="000000"/>
          <w:sz w:val="22"/>
          <w:szCs w:val="22"/>
          <w:shd w:val="clear" w:color="auto" w:fill="FFFFFF"/>
        </w:rPr>
        <w:t xml:space="preserve"> must comply with 24 CFR part 963; 2 CFR §200.325, 2 CFR §200.326 and other such contract terms that may be applicable to the procurement under the Department’s regulations. </w:t>
      </w:r>
      <w:r w:rsidRPr="00B906B8">
        <w:rPr>
          <w:rStyle w:val="eop"/>
          <w:color w:val="000000"/>
          <w:sz w:val="22"/>
          <w:szCs w:val="22"/>
          <w:shd w:val="clear" w:color="auto" w:fill="FFFFFF"/>
        </w:rPr>
        <w:t> </w:t>
      </w:r>
    </w:p>
    <w:p w:rsidR="00A325C5" w:rsidRPr="00A861B1" w14:paraId="4B99056E" w14:textId="77777777">
      <w:pPr>
        <w:tabs>
          <w:tab w:val="left" w:pos="360"/>
        </w:tabs>
        <w:rPr>
          <w:color w:val="000000"/>
          <w:sz w:val="22"/>
          <w:szCs w:val="22"/>
        </w:rPr>
      </w:pPr>
    </w:p>
    <w:p w:rsidR="00A325C5" w:rsidRPr="00B906B8" w14:paraId="52CB993C" w14:textId="77777777">
      <w:pPr>
        <w:keepLines/>
        <w:tabs>
          <w:tab w:val="left" w:pos="360"/>
        </w:tabs>
        <w:spacing w:after="80"/>
        <w:ind w:left="360" w:hanging="360"/>
        <w:rPr>
          <w:b/>
          <w:bCs/>
          <w:color w:val="000000"/>
          <w:sz w:val="22"/>
          <w:szCs w:val="22"/>
        </w:rPr>
      </w:pPr>
      <w:r w:rsidRPr="00A861B1">
        <w:rPr>
          <w:color w:val="000000"/>
          <w:sz w:val="22"/>
          <w:szCs w:val="22"/>
        </w:rPr>
        <w:t>2.</w:t>
      </w:r>
      <w:r w:rsidRPr="00B906B8">
        <w:rPr>
          <w:b/>
          <w:bCs/>
          <w:color w:val="000000"/>
          <w:sz w:val="22"/>
          <w:szCs w:val="22"/>
        </w:rPr>
        <w:tab/>
      </w:r>
      <w:r w:rsidRPr="00B906B8" w:rsidR="00070EFE">
        <w:rPr>
          <w:b/>
          <w:bCs/>
          <w:color w:val="000000"/>
          <w:sz w:val="22"/>
          <w:szCs w:val="22"/>
        </w:rPr>
        <w:t>H</w:t>
      </w:r>
      <w:r w:rsidRPr="00B906B8">
        <w:rPr>
          <w:b/>
          <w:bCs/>
          <w:color w:val="000000"/>
          <w:sz w:val="22"/>
          <w:szCs w:val="22"/>
        </w:rPr>
        <w:t xml:space="preserve">ow is the information collected and how is the information to be used?  </w:t>
      </w:r>
    </w:p>
    <w:p w:rsidR="003A24E8" w:rsidRPr="00B906B8" w:rsidP="003A24E8" w14:paraId="755D9BA3" w14:textId="77777777">
      <w:pPr>
        <w:ind w:left="360"/>
        <w:rPr>
          <w:sz w:val="22"/>
          <w:szCs w:val="22"/>
        </w:rPr>
      </w:pPr>
      <w:r w:rsidRPr="00B906B8">
        <w:rPr>
          <w:sz w:val="22"/>
          <w:szCs w:val="22"/>
        </w:rPr>
        <w:t>Within the scope of this information collection, PHAs must collect the following information to determine if the entity is an eligible resident-owned business: </w:t>
      </w:r>
    </w:p>
    <w:p w:rsidR="003A24E8" w:rsidRPr="00B906B8" w:rsidP="003A24E8" w14:paraId="4D17554C" w14:textId="77777777">
      <w:pPr>
        <w:ind w:left="360"/>
        <w:rPr>
          <w:sz w:val="22"/>
          <w:szCs w:val="22"/>
        </w:rPr>
      </w:pPr>
      <w:r w:rsidRPr="00B906B8">
        <w:rPr>
          <w:sz w:val="22"/>
          <w:szCs w:val="22"/>
        </w:rPr>
        <w:t>  </w:t>
      </w:r>
    </w:p>
    <w:p w:rsidR="003A24E8" w:rsidRPr="00B906B8" w:rsidP="003A24E8" w14:paraId="52B516A2" w14:textId="77777777">
      <w:pPr>
        <w:numPr>
          <w:ilvl w:val="0"/>
          <w:numId w:val="18"/>
        </w:numPr>
        <w:rPr>
          <w:sz w:val="22"/>
          <w:szCs w:val="22"/>
        </w:rPr>
      </w:pPr>
      <w:r w:rsidRPr="00B906B8">
        <w:rPr>
          <w:sz w:val="22"/>
          <w:szCs w:val="22"/>
        </w:rPr>
        <w:t>Certified copies of any State, county, or municipal licenses that may be required of the business to engage in the type of business activity for which it was formed.  Where applicable, the PHA must obtain a certified copy of its corporate charter or other organizational document that verifies that the business was properly formed in accordance with State law; </w:t>
      </w:r>
    </w:p>
    <w:p w:rsidR="003A24E8" w:rsidRPr="00B906B8" w:rsidP="003A24E8" w14:paraId="1299C43A" w14:textId="77777777">
      <w:pPr>
        <w:ind w:left="1080"/>
        <w:rPr>
          <w:sz w:val="22"/>
          <w:szCs w:val="22"/>
        </w:rPr>
      </w:pPr>
    </w:p>
    <w:p w:rsidR="003A24E8" w:rsidRPr="00B906B8" w:rsidP="003A24E8" w14:paraId="0F2AF48C" w14:textId="2BAFC74E">
      <w:pPr>
        <w:numPr>
          <w:ilvl w:val="0"/>
          <w:numId w:val="18"/>
        </w:numPr>
        <w:rPr>
          <w:sz w:val="22"/>
          <w:szCs w:val="22"/>
        </w:rPr>
      </w:pPr>
      <w:r w:rsidRPr="00B906B8">
        <w:rPr>
          <w:sz w:val="22"/>
          <w:szCs w:val="22"/>
        </w:rPr>
        <w:t xml:space="preserve">Certification that shows the business is owned by residents, disclosure documents that indicate all owners of the business and each owner’s percentage of the business along with sufficient evidence sufficient that demonstrates to the satisfaction of the PHA that the business </w:t>
      </w:r>
      <w:r w:rsidRPr="00B906B8" w:rsidR="001048B6">
        <w:rPr>
          <w:sz w:val="22"/>
          <w:szCs w:val="22"/>
        </w:rPr>
        <w:t>could</w:t>
      </w:r>
      <w:r w:rsidRPr="00B906B8">
        <w:rPr>
          <w:sz w:val="22"/>
          <w:szCs w:val="22"/>
        </w:rPr>
        <w:t xml:space="preserve"> perform successfully under the terms and conditions of the proposed contract;   </w:t>
      </w:r>
    </w:p>
    <w:p w:rsidR="003A24E8" w:rsidRPr="00B906B8" w:rsidP="003A24E8" w14:paraId="4DDBEF00" w14:textId="77777777">
      <w:pPr>
        <w:pStyle w:val="ListParagraph"/>
        <w:rPr>
          <w:sz w:val="22"/>
          <w:szCs w:val="22"/>
        </w:rPr>
      </w:pPr>
    </w:p>
    <w:p w:rsidR="003A24E8" w:rsidRPr="00B906B8" w:rsidP="003A24E8" w14:paraId="643CCF64" w14:textId="77777777">
      <w:pPr>
        <w:numPr>
          <w:ilvl w:val="0"/>
          <w:numId w:val="18"/>
        </w:numPr>
        <w:rPr>
          <w:sz w:val="22"/>
          <w:szCs w:val="22"/>
        </w:rPr>
      </w:pPr>
      <w:r w:rsidRPr="00B906B8">
        <w:rPr>
          <w:sz w:val="22"/>
          <w:szCs w:val="22"/>
        </w:rPr>
        <w:t>Certification as to the number of contracts awarded, and the dollar amount of each contract award received, under the alternative procurement process; and       </w:t>
      </w:r>
    </w:p>
    <w:p w:rsidR="003A24E8" w:rsidRPr="00B906B8" w:rsidP="003A24E8" w14:paraId="3461D779" w14:textId="77777777">
      <w:pPr>
        <w:pStyle w:val="ListParagraph"/>
        <w:rPr>
          <w:sz w:val="22"/>
          <w:szCs w:val="22"/>
        </w:rPr>
      </w:pPr>
    </w:p>
    <w:p w:rsidR="003A24E8" w:rsidRPr="00B906B8" w:rsidP="003A24E8" w14:paraId="5BF003E9" w14:textId="77777777">
      <w:pPr>
        <w:numPr>
          <w:ilvl w:val="0"/>
          <w:numId w:val="18"/>
        </w:numPr>
        <w:rPr>
          <w:sz w:val="22"/>
          <w:szCs w:val="22"/>
        </w:rPr>
      </w:pPr>
      <w:r w:rsidRPr="00B906B8">
        <w:rPr>
          <w:sz w:val="22"/>
          <w:szCs w:val="22"/>
        </w:rPr>
        <w:t>Contract award documents, proof of bonding documents, independent cost estimates and comparable price analyses.</w:t>
      </w:r>
    </w:p>
    <w:p w:rsidR="00981103" w:rsidRPr="00B906B8" w14:paraId="3CF2D8B6" w14:textId="77777777">
      <w:pPr>
        <w:keepLines/>
        <w:tabs>
          <w:tab w:val="left" w:pos="360"/>
        </w:tabs>
        <w:spacing w:after="80"/>
        <w:ind w:left="360" w:hanging="360"/>
        <w:rPr>
          <w:b/>
          <w:bCs/>
          <w:color w:val="000000"/>
          <w:sz w:val="22"/>
          <w:szCs w:val="22"/>
        </w:rPr>
      </w:pPr>
    </w:p>
    <w:p w:rsidR="00A325C5" w:rsidRPr="00B906B8" w14:paraId="0D93365E" w14:textId="04F471F7">
      <w:pPr>
        <w:keepLines/>
        <w:tabs>
          <w:tab w:val="left" w:pos="360"/>
        </w:tabs>
        <w:spacing w:after="80"/>
        <w:ind w:left="360" w:hanging="360"/>
        <w:rPr>
          <w:color w:val="000000"/>
          <w:sz w:val="22"/>
          <w:szCs w:val="22"/>
        </w:rPr>
      </w:pPr>
      <w:r w:rsidRPr="00B906B8">
        <w:rPr>
          <w:color w:val="000000"/>
          <w:sz w:val="22"/>
          <w:szCs w:val="22"/>
        </w:rPr>
        <w:t>3.</w:t>
      </w:r>
      <w:r w:rsidRPr="00B906B8">
        <w:rPr>
          <w:color w:val="000000"/>
          <w:sz w:val="22"/>
          <w:szCs w:val="22"/>
        </w:rPr>
        <w:tab/>
      </w:r>
      <w:r w:rsidRPr="00B906B8">
        <w:rPr>
          <w:b/>
          <w:bCs/>
          <w:color w:val="000000"/>
          <w:sz w:val="22"/>
          <w:szCs w:val="22"/>
        </w:rPr>
        <w:t xml:space="preserve">Describe whether, and to what extent, the collection of information is automated (item 13b1 of OMB form 83-i).  If it’s not automated, explain why not.  Also describe any other efforts to reduce </w:t>
      </w:r>
      <w:r w:rsidRPr="00B906B8" w:rsidR="001048B6">
        <w:rPr>
          <w:b/>
          <w:bCs/>
          <w:color w:val="000000"/>
          <w:sz w:val="22"/>
          <w:szCs w:val="22"/>
        </w:rPr>
        <w:t>the burden</w:t>
      </w:r>
      <w:r w:rsidRPr="00B906B8">
        <w:rPr>
          <w:b/>
          <w:bCs/>
          <w:color w:val="000000"/>
          <w:sz w:val="22"/>
          <w:szCs w:val="22"/>
        </w:rPr>
        <w:t>.</w:t>
      </w:r>
    </w:p>
    <w:p w:rsidR="003A24E8" w:rsidRPr="00B906B8" w:rsidP="003A24E8" w14:paraId="62259037" w14:textId="77777777">
      <w:pPr>
        <w:ind w:left="360"/>
        <w:rPr>
          <w:sz w:val="22"/>
          <w:szCs w:val="22"/>
        </w:rPr>
      </w:pPr>
      <w:r w:rsidRPr="00B906B8">
        <w:rPr>
          <w:sz w:val="22"/>
          <w:szCs w:val="22"/>
        </w:rPr>
        <w:t>This collection of information does not currently involve use of automated, electronic or other technological collection techniques. </w:t>
      </w:r>
    </w:p>
    <w:p w:rsidR="003A24E8" w:rsidRPr="00B906B8" w:rsidP="003A24E8" w14:paraId="25E1FD54" w14:textId="77777777">
      <w:pPr>
        <w:pStyle w:val="paragraph"/>
        <w:spacing w:before="0" w:beforeAutospacing="0" w:after="0" w:afterAutospacing="0"/>
        <w:ind w:left="720"/>
        <w:textAlignment w:val="baseline"/>
        <w:rPr>
          <w:sz w:val="22"/>
          <w:szCs w:val="22"/>
        </w:rPr>
      </w:pPr>
      <w:r w:rsidRPr="00B906B8">
        <w:rPr>
          <w:rStyle w:val="normaltextrun"/>
          <w:sz w:val="22"/>
          <w:szCs w:val="22"/>
        </w:rPr>
        <w:t>   </w:t>
      </w:r>
      <w:r w:rsidRPr="00B906B8">
        <w:rPr>
          <w:rStyle w:val="eop"/>
          <w:sz w:val="22"/>
          <w:szCs w:val="22"/>
        </w:rPr>
        <w:t> </w:t>
      </w:r>
    </w:p>
    <w:p w:rsidR="00A325C5" w:rsidRPr="00B906B8" w14:paraId="2E5925CB" w14:textId="77777777">
      <w:pPr>
        <w:keepLines/>
        <w:tabs>
          <w:tab w:val="left" w:pos="360"/>
        </w:tabs>
        <w:spacing w:after="80"/>
        <w:ind w:left="360" w:hanging="360"/>
        <w:rPr>
          <w:b/>
          <w:bCs/>
          <w:color w:val="000000"/>
          <w:sz w:val="22"/>
          <w:szCs w:val="22"/>
        </w:rPr>
      </w:pPr>
      <w:r w:rsidRPr="00B906B8">
        <w:rPr>
          <w:color w:val="000000"/>
          <w:sz w:val="22"/>
          <w:szCs w:val="22"/>
        </w:rPr>
        <w:t>4.</w:t>
      </w:r>
      <w:r w:rsidRPr="00B906B8">
        <w:rPr>
          <w:color w:val="000000"/>
          <w:sz w:val="22"/>
          <w:szCs w:val="22"/>
        </w:rPr>
        <w:tab/>
      </w:r>
      <w:r w:rsidRPr="00B906B8">
        <w:rPr>
          <w:b/>
          <w:bCs/>
          <w:color w:val="000000"/>
          <w:sz w:val="22"/>
          <w:szCs w:val="22"/>
        </w:rPr>
        <w:t>Is this information collected elsewhere?  If so, why cannot any similar information already available be used or modified.</w:t>
      </w:r>
    </w:p>
    <w:p w:rsidR="00F06A6C" w:rsidRPr="00B906B8" w:rsidP="026A15CE" w14:paraId="4A97852C" w14:textId="77777777">
      <w:pPr>
        <w:keepLines/>
        <w:tabs>
          <w:tab w:val="left" w:pos="360"/>
        </w:tabs>
        <w:spacing w:after="80"/>
        <w:ind w:left="360"/>
        <w:rPr>
          <w:color w:val="000000"/>
          <w:sz w:val="22"/>
          <w:szCs w:val="22"/>
        </w:rPr>
      </w:pPr>
      <w:r w:rsidRPr="00B906B8">
        <w:rPr>
          <w:rStyle w:val="normaltextrun"/>
          <w:color w:val="000000"/>
          <w:sz w:val="22"/>
          <w:szCs w:val="22"/>
          <w:shd w:val="clear" w:color="auto" w:fill="FFFFFF"/>
        </w:rPr>
        <w:t>There is no similar information collected elsewhere.  As such, there is no duplication.</w:t>
      </w:r>
      <w:r w:rsidRPr="00B906B8">
        <w:rPr>
          <w:rStyle w:val="eop"/>
          <w:color w:val="000000"/>
          <w:sz w:val="22"/>
          <w:szCs w:val="22"/>
          <w:shd w:val="clear" w:color="auto" w:fill="FFFFFF"/>
        </w:rPr>
        <w:t> </w:t>
      </w:r>
    </w:p>
    <w:p w:rsidR="00A325C5" w:rsidRPr="00B906B8" w:rsidP="00F92A8D" w14:paraId="62EBF3C5" w14:textId="77777777">
      <w:pPr>
        <w:keepLines/>
        <w:tabs>
          <w:tab w:val="left" w:pos="360"/>
        </w:tabs>
        <w:spacing w:after="80"/>
        <w:ind w:left="360" w:hanging="360"/>
        <w:rPr>
          <w:color w:val="000000"/>
          <w:sz w:val="22"/>
          <w:szCs w:val="22"/>
        </w:rPr>
      </w:pPr>
      <w:r w:rsidRPr="00B906B8">
        <w:rPr>
          <w:color w:val="000000"/>
          <w:sz w:val="22"/>
          <w:szCs w:val="22"/>
        </w:rPr>
        <w:tab/>
      </w:r>
    </w:p>
    <w:p w:rsidR="00A325C5" w:rsidRPr="00B906B8" w14:paraId="0EA4DAD6" w14:textId="59713186">
      <w:pPr>
        <w:keepLines/>
        <w:tabs>
          <w:tab w:val="left" w:pos="360"/>
        </w:tabs>
        <w:spacing w:after="80"/>
        <w:ind w:left="360" w:hanging="360"/>
        <w:rPr>
          <w:color w:val="000000"/>
          <w:sz w:val="22"/>
          <w:szCs w:val="22"/>
        </w:rPr>
      </w:pPr>
      <w:r w:rsidRPr="00B906B8">
        <w:rPr>
          <w:color w:val="000000"/>
          <w:sz w:val="22"/>
          <w:szCs w:val="22"/>
        </w:rPr>
        <w:t>5.</w:t>
      </w:r>
      <w:r w:rsidRPr="00B906B8">
        <w:rPr>
          <w:color w:val="000000"/>
          <w:sz w:val="22"/>
          <w:szCs w:val="22"/>
        </w:rPr>
        <w:tab/>
      </w:r>
      <w:r w:rsidRPr="00B906B8">
        <w:rPr>
          <w:b/>
          <w:bCs/>
          <w:color w:val="000000"/>
          <w:sz w:val="22"/>
          <w:szCs w:val="22"/>
        </w:rPr>
        <w:t xml:space="preserve">Does the collection of information impact small businesses or other small entities (item 5 of OMB form 83-i)?  Describe any </w:t>
      </w:r>
      <w:r w:rsidRPr="00B906B8" w:rsidR="00AD719E">
        <w:rPr>
          <w:b/>
          <w:bCs/>
          <w:color w:val="000000"/>
          <w:sz w:val="22"/>
          <w:szCs w:val="22"/>
        </w:rPr>
        <w:t>method</w:t>
      </w:r>
      <w:r w:rsidRPr="00B906B8">
        <w:rPr>
          <w:b/>
          <w:bCs/>
          <w:color w:val="000000"/>
          <w:sz w:val="22"/>
          <w:szCs w:val="22"/>
        </w:rPr>
        <w:t xml:space="preserve"> used to minimize burden.</w:t>
      </w:r>
    </w:p>
    <w:p w:rsidR="00F06A6C" w:rsidRPr="00B906B8" w:rsidP="026A15CE" w14:paraId="63924123" w14:textId="77777777">
      <w:pPr>
        <w:keepLines/>
        <w:tabs>
          <w:tab w:val="left" w:pos="360"/>
        </w:tabs>
        <w:spacing w:after="80"/>
        <w:ind w:left="360"/>
        <w:rPr>
          <w:color w:val="000000"/>
          <w:sz w:val="22"/>
          <w:szCs w:val="22"/>
        </w:rPr>
      </w:pPr>
      <w:r w:rsidRPr="00B906B8">
        <w:rPr>
          <w:rStyle w:val="normaltextrun"/>
          <w:color w:val="000000"/>
          <w:sz w:val="22"/>
          <w:szCs w:val="22"/>
          <w:shd w:val="clear" w:color="auto" w:fill="FFFFFF"/>
        </w:rPr>
        <w:t>This information does not impact small businesses.  As such, there is no method to minimize the burden.</w:t>
      </w:r>
      <w:r w:rsidRPr="00B906B8">
        <w:rPr>
          <w:rStyle w:val="eop"/>
          <w:color w:val="000000"/>
          <w:sz w:val="22"/>
          <w:szCs w:val="22"/>
          <w:shd w:val="clear" w:color="auto" w:fill="FFFFFF"/>
        </w:rPr>
        <w:t> </w:t>
      </w:r>
    </w:p>
    <w:p w:rsidR="00A325C5" w:rsidRPr="00B906B8" w:rsidP="00F92A8D" w14:paraId="6D98A12B" w14:textId="77777777">
      <w:pPr>
        <w:keepLines/>
        <w:tabs>
          <w:tab w:val="left" w:pos="360"/>
        </w:tabs>
        <w:spacing w:after="80"/>
        <w:ind w:left="360" w:hanging="360"/>
        <w:rPr>
          <w:color w:val="000000"/>
          <w:sz w:val="22"/>
          <w:szCs w:val="22"/>
        </w:rPr>
      </w:pPr>
      <w:r w:rsidRPr="00B906B8">
        <w:rPr>
          <w:color w:val="000000"/>
          <w:sz w:val="22"/>
          <w:szCs w:val="22"/>
        </w:rPr>
        <w:tab/>
      </w:r>
    </w:p>
    <w:p w:rsidR="00A325C5" w:rsidRPr="00B906B8" w14:paraId="5B174B77" w14:textId="5B998854">
      <w:pPr>
        <w:keepLines/>
        <w:tabs>
          <w:tab w:val="left" w:pos="360"/>
        </w:tabs>
        <w:spacing w:after="80"/>
        <w:ind w:left="360" w:hanging="360"/>
        <w:rPr>
          <w:b/>
          <w:bCs/>
          <w:color w:val="000000"/>
          <w:sz w:val="22"/>
          <w:szCs w:val="22"/>
        </w:rPr>
      </w:pPr>
      <w:r w:rsidRPr="00B906B8">
        <w:rPr>
          <w:color w:val="000000"/>
          <w:sz w:val="22"/>
          <w:szCs w:val="22"/>
        </w:rPr>
        <w:t>6.</w:t>
      </w:r>
      <w:r w:rsidRPr="00B906B8">
        <w:rPr>
          <w:color w:val="000000"/>
          <w:sz w:val="22"/>
          <w:szCs w:val="22"/>
        </w:rPr>
        <w:tab/>
      </w:r>
      <w:r w:rsidRPr="00B906B8">
        <w:rPr>
          <w:b/>
          <w:bCs/>
          <w:color w:val="000000"/>
          <w:sz w:val="22"/>
          <w:szCs w:val="22"/>
        </w:rPr>
        <w:t xml:space="preserve">Describe the </w:t>
      </w:r>
      <w:r w:rsidRPr="00B906B8" w:rsidR="00AD719E">
        <w:rPr>
          <w:b/>
          <w:bCs/>
          <w:color w:val="000000"/>
          <w:sz w:val="22"/>
          <w:szCs w:val="22"/>
        </w:rPr>
        <w:t>consequences</w:t>
      </w:r>
      <w:r w:rsidRPr="00B906B8">
        <w:rPr>
          <w:b/>
          <w:bCs/>
          <w:color w:val="000000"/>
          <w:sz w:val="22"/>
          <w:szCs w:val="22"/>
        </w:rPr>
        <w:t xml:space="preserve"> to Federal program or policy activities if the collection is not conducted or is conducted less frequently, as well as any technical or legal obstacles to reducing burden.</w:t>
      </w:r>
    </w:p>
    <w:p w:rsidR="003A24E8" w:rsidRPr="00B906B8" w:rsidP="026A15CE" w14:paraId="5E2A580A" w14:textId="77777777">
      <w:pPr>
        <w:keepLines/>
        <w:tabs>
          <w:tab w:val="left" w:pos="929"/>
        </w:tabs>
        <w:spacing w:after="80"/>
        <w:ind w:left="360"/>
        <w:rPr>
          <w:rStyle w:val="eop"/>
          <w:color w:val="000000"/>
          <w:sz w:val="22"/>
          <w:szCs w:val="22"/>
          <w:shd w:val="clear" w:color="auto" w:fill="FFFFFF"/>
        </w:rPr>
      </w:pPr>
      <w:r w:rsidRPr="00B906B8">
        <w:rPr>
          <w:rStyle w:val="normaltextrun"/>
          <w:color w:val="000000"/>
          <w:sz w:val="22"/>
          <w:szCs w:val="22"/>
          <w:shd w:val="clear" w:color="auto" w:fill="FFFFFF"/>
        </w:rPr>
        <w:t xml:space="preserve">If the information is not collected, both the Department and the PHAs will not </w:t>
      </w:r>
      <w:r w:rsidRPr="00B906B8">
        <w:rPr>
          <w:rStyle w:val="normaltextrun"/>
          <w:color w:val="000000"/>
          <w:sz w:val="22"/>
          <w:szCs w:val="22"/>
          <w:shd w:val="clear" w:color="auto" w:fill="FFFFFF"/>
        </w:rPr>
        <w:t>be in compliance with</w:t>
      </w:r>
      <w:r w:rsidRPr="00B906B8">
        <w:rPr>
          <w:rStyle w:val="normaltextrun"/>
          <w:color w:val="000000"/>
          <w:sz w:val="22"/>
          <w:szCs w:val="22"/>
          <w:shd w:val="clear" w:color="auto" w:fill="FFFFFF"/>
        </w:rPr>
        <w:t xml:space="preserve"> the regulatory requirements regarding collection of documents specific to contracts entered into with resident-owned businesses. </w:t>
      </w:r>
      <w:r w:rsidRPr="00B906B8">
        <w:rPr>
          <w:rStyle w:val="eop"/>
          <w:color w:val="000000"/>
          <w:sz w:val="22"/>
          <w:szCs w:val="22"/>
          <w:shd w:val="clear" w:color="auto" w:fill="FFFFFF"/>
        </w:rPr>
        <w:t> </w:t>
      </w:r>
    </w:p>
    <w:p w:rsidR="003A24E8" w:rsidRPr="00B906B8" w:rsidP="003A24E8" w14:paraId="2946DB82" w14:textId="77777777">
      <w:pPr>
        <w:keepLines/>
        <w:tabs>
          <w:tab w:val="left" w:pos="929"/>
        </w:tabs>
        <w:spacing w:after="80"/>
        <w:ind w:left="360" w:hanging="360"/>
        <w:rPr>
          <w:rStyle w:val="eop"/>
          <w:color w:val="000000"/>
          <w:sz w:val="22"/>
          <w:szCs w:val="22"/>
          <w:shd w:val="clear" w:color="auto" w:fill="FFFFFF"/>
        </w:rPr>
      </w:pPr>
    </w:p>
    <w:p w:rsidR="00070EFE" w:rsidRPr="00B906B8" w:rsidP="003A24E8" w14:paraId="0C4DC0FD" w14:textId="79FF894B">
      <w:pPr>
        <w:keepLines/>
        <w:tabs>
          <w:tab w:val="left" w:pos="929"/>
        </w:tabs>
        <w:spacing w:after="80"/>
        <w:ind w:left="360" w:hanging="360"/>
        <w:rPr>
          <w:color w:val="000000"/>
          <w:sz w:val="22"/>
          <w:szCs w:val="22"/>
          <w:shd w:val="clear" w:color="auto" w:fill="FFFFFF"/>
        </w:rPr>
      </w:pPr>
      <w:r w:rsidRPr="00B906B8">
        <w:rPr>
          <w:rFonts w:eastAsia="Calibri"/>
          <w:bCs/>
          <w:sz w:val="22"/>
          <w:szCs w:val="22"/>
        </w:rPr>
        <w:t>7.</w:t>
      </w:r>
      <w:r w:rsidRPr="00B906B8">
        <w:rPr>
          <w:rFonts w:eastAsia="Calibri"/>
          <w:b/>
          <w:sz w:val="22"/>
          <w:szCs w:val="22"/>
        </w:rPr>
        <w:tab/>
      </w:r>
      <w:r w:rsidRPr="00B906B8">
        <w:rPr>
          <w:rFonts w:eastAsia="Calibri"/>
          <w:b/>
          <w:sz w:val="22"/>
          <w:szCs w:val="22"/>
        </w:rPr>
        <w:t xml:space="preserve">Explain any special circumstances that would cause </w:t>
      </w:r>
      <w:r w:rsidRPr="00B906B8" w:rsidR="00AD719E">
        <w:rPr>
          <w:rFonts w:eastAsia="Calibri"/>
          <w:b/>
          <w:sz w:val="22"/>
          <w:szCs w:val="22"/>
        </w:rPr>
        <w:t>information</w:t>
      </w:r>
      <w:r w:rsidRPr="00B906B8">
        <w:rPr>
          <w:rFonts w:eastAsia="Calibri"/>
          <w:b/>
          <w:sz w:val="22"/>
          <w:szCs w:val="22"/>
        </w:rPr>
        <w:t xml:space="preserve"> to be collected in a manner:</w:t>
      </w:r>
    </w:p>
    <w:p w:rsidR="004A101F" w:rsidRPr="00B906B8" w:rsidP="004A101F" w14:paraId="6B699379" w14:textId="77777777">
      <w:pPr>
        <w:overflowPunct/>
        <w:autoSpaceDE/>
        <w:autoSpaceDN/>
        <w:adjustRightInd/>
        <w:spacing w:after="200" w:line="276" w:lineRule="auto"/>
        <w:ind w:left="1485"/>
        <w:contextualSpacing/>
        <w:textAlignment w:val="auto"/>
        <w:rPr>
          <w:rFonts w:eastAsia="Calibri"/>
          <w:sz w:val="22"/>
          <w:szCs w:val="22"/>
        </w:rPr>
      </w:pPr>
      <w:bookmarkStart w:id="0" w:name="_Hlk494808620"/>
    </w:p>
    <w:p w:rsidR="00070EFE" w:rsidRPr="00B906B8" w:rsidP="00070EFE" w14:paraId="410B6609" w14:textId="77777777">
      <w:pPr>
        <w:numPr>
          <w:ilvl w:val="0"/>
          <w:numId w:val="10"/>
        </w:numPr>
        <w:overflowPunct/>
        <w:autoSpaceDE/>
        <w:autoSpaceDN/>
        <w:adjustRightInd/>
        <w:spacing w:after="200" w:line="276" w:lineRule="auto"/>
        <w:contextualSpacing/>
        <w:textAlignment w:val="auto"/>
        <w:rPr>
          <w:rFonts w:eastAsia="Calibri"/>
          <w:sz w:val="22"/>
          <w:szCs w:val="22"/>
        </w:rPr>
      </w:pPr>
      <w:r w:rsidRPr="00B906B8">
        <w:rPr>
          <w:rFonts w:eastAsia="Calibri"/>
          <w:sz w:val="22"/>
          <w:szCs w:val="22"/>
        </w:rPr>
        <w:t xml:space="preserve">requiring respondents to report information to the agency more than quarterly; </w:t>
      </w:r>
    </w:p>
    <w:p w:rsidR="003A24E8" w:rsidRPr="00B906B8" w:rsidP="00070EFE" w14:paraId="3FE9F23F" w14:textId="77777777">
      <w:pPr>
        <w:overflowPunct/>
        <w:autoSpaceDE/>
        <w:autoSpaceDN/>
        <w:adjustRightInd/>
        <w:spacing w:after="200" w:line="276" w:lineRule="auto"/>
        <w:ind w:left="1485"/>
        <w:contextualSpacing/>
        <w:textAlignment w:val="auto"/>
        <w:rPr>
          <w:rStyle w:val="normaltextrun"/>
          <w:color w:val="000000"/>
          <w:sz w:val="22"/>
          <w:szCs w:val="22"/>
          <w:bdr w:val="none" w:sz="0" w:space="0" w:color="auto" w:frame="1"/>
        </w:rPr>
      </w:pPr>
    </w:p>
    <w:p w:rsidR="004A101F" w:rsidRPr="00B906B8" w:rsidP="00070EFE" w14:paraId="2FB93CA7" w14:textId="77777777">
      <w:pPr>
        <w:overflowPunct/>
        <w:autoSpaceDE/>
        <w:autoSpaceDN/>
        <w:adjustRightInd/>
        <w:spacing w:after="200" w:line="276" w:lineRule="auto"/>
        <w:ind w:left="1485"/>
        <w:contextualSpacing/>
        <w:textAlignment w:val="auto"/>
        <w:rPr>
          <w:rStyle w:val="normaltextrun"/>
          <w:color w:val="000000"/>
          <w:sz w:val="22"/>
          <w:szCs w:val="22"/>
          <w:bdr w:val="none" w:sz="0" w:space="0" w:color="auto" w:frame="1"/>
        </w:rPr>
      </w:pPr>
      <w:r w:rsidRPr="00B906B8">
        <w:rPr>
          <w:rStyle w:val="normaltextrun"/>
          <w:color w:val="000000"/>
          <w:sz w:val="22"/>
          <w:szCs w:val="22"/>
          <w:bdr w:val="none" w:sz="0" w:space="0" w:color="auto" w:frame="1"/>
        </w:rPr>
        <w:t>Not Applicable</w:t>
      </w:r>
    </w:p>
    <w:p w:rsidR="003A24E8" w:rsidRPr="00B906B8" w:rsidP="00070EFE" w14:paraId="1F72F646" w14:textId="77777777">
      <w:pPr>
        <w:overflowPunct/>
        <w:autoSpaceDE/>
        <w:autoSpaceDN/>
        <w:adjustRightInd/>
        <w:spacing w:after="200" w:line="276" w:lineRule="auto"/>
        <w:ind w:left="1485"/>
        <w:contextualSpacing/>
        <w:textAlignment w:val="auto"/>
        <w:rPr>
          <w:rFonts w:eastAsia="Calibri"/>
          <w:sz w:val="22"/>
          <w:szCs w:val="22"/>
        </w:rPr>
      </w:pPr>
    </w:p>
    <w:p w:rsidR="00070EFE" w:rsidRPr="00B906B8" w:rsidP="00070EFE" w14:paraId="1CA4CE55" w14:textId="77777777">
      <w:pPr>
        <w:numPr>
          <w:ilvl w:val="0"/>
          <w:numId w:val="10"/>
        </w:numPr>
        <w:overflowPunct/>
        <w:autoSpaceDE/>
        <w:autoSpaceDN/>
        <w:adjustRightInd/>
        <w:spacing w:after="200" w:line="276" w:lineRule="auto"/>
        <w:contextualSpacing/>
        <w:textAlignment w:val="auto"/>
        <w:rPr>
          <w:rFonts w:eastAsia="Calibri"/>
          <w:sz w:val="22"/>
          <w:szCs w:val="22"/>
        </w:rPr>
      </w:pPr>
      <w:r w:rsidRPr="00B906B8">
        <w:rPr>
          <w:rFonts w:eastAsia="Calibri"/>
          <w:sz w:val="22"/>
          <w:szCs w:val="22"/>
        </w:rPr>
        <w:t>requiring respondents to prepare a written response to a collection of information in fewer than 30 days after receipt of it;</w:t>
      </w:r>
    </w:p>
    <w:p w:rsidR="00DF0E4A" w:rsidRPr="00B906B8" w:rsidP="00070EFE" w14:paraId="08CE6F91" w14:textId="77777777">
      <w:pPr>
        <w:overflowPunct/>
        <w:autoSpaceDE/>
        <w:autoSpaceDN/>
        <w:adjustRightInd/>
        <w:spacing w:after="200" w:line="276" w:lineRule="auto"/>
        <w:ind w:left="1485"/>
        <w:contextualSpacing/>
        <w:textAlignment w:val="auto"/>
        <w:rPr>
          <w:rFonts w:eastAsia="Calibri"/>
          <w:sz w:val="22"/>
          <w:szCs w:val="22"/>
        </w:rPr>
      </w:pPr>
    </w:p>
    <w:p w:rsidR="003A24E8" w:rsidRPr="00B906B8" w:rsidP="00070EFE" w14:paraId="1197BEFC" w14:textId="77777777">
      <w:pPr>
        <w:overflowPunct/>
        <w:autoSpaceDE/>
        <w:autoSpaceDN/>
        <w:adjustRightInd/>
        <w:spacing w:after="200" w:line="276" w:lineRule="auto"/>
        <w:ind w:left="1485"/>
        <w:contextualSpacing/>
        <w:textAlignment w:val="auto"/>
        <w:rPr>
          <w:rStyle w:val="normaltextrun"/>
          <w:color w:val="000000"/>
          <w:sz w:val="22"/>
          <w:szCs w:val="22"/>
          <w:bdr w:val="none" w:sz="0" w:space="0" w:color="auto" w:frame="1"/>
        </w:rPr>
      </w:pPr>
      <w:r w:rsidRPr="00B906B8">
        <w:rPr>
          <w:rStyle w:val="normaltextrun"/>
          <w:color w:val="000000"/>
          <w:sz w:val="22"/>
          <w:szCs w:val="22"/>
          <w:bdr w:val="none" w:sz="0" w:space="0" w:color="auto" w:frame="1"/>
        </w:rPr>
        <w:t>Not Applicable</w:t>
      </w:r>
    </w:p>
    <w:p w:rsidR="003A24E8" w:rsidRPr="00B906B8" w:rsidP="00070EFE" w14:paraId="61CDCEAD" w14:textId="77777777">
      <w:pPr>
        <w:overflowPunct/>
        <w:autoSpaceDE/>
        <w:autoSpaceDN/>
        <w:adjustRightInd/>
        <w:spacing w:after="200" w:line="276" w:lineRule="auto"/>
        <w:ind w:left="1485"/>
        <w:contextualSpacing/>
        <w:textAlignment w:val="auto"/>
        <w:rPr>
          <w:rFonts w:eastAsia="Calibri"/>
          <w:sz w:val="22"/>
          <w:szCs w:val="22"/>
        </w:rPr>
      </w:pPr>
    </w:p>
    <w:p w:rsidR="00070EFE" w:rsidRPr="00B906B8" w:rsidP="00070EFE" w14:paraId="10AA5D52" w14:textId="77777777">
      <w:pPr>
        <w:numPr>
          <w:ilvl w:val="0"/>
          <w:numId w:val="10"/>
        </w:numPr>
        <w:overflowPunct/>
        <w:autoSpaceDE/>
        <w:autoSpaceDN/>
        <w:adjustRightInd/>
        <w:spacing w:after="200" w:line="276" w:lineRule="auto"/>
        <w:contextualSpacing/>
        <w:textAlignment w:val="auto"/>
        <w:rPr>
          <w:rFonts w:eastAsia="Calibri"/>
          <w:sz w:val="22"/>
          <w:szCs w:val="22"/>
        </w:rPr>
      </w:pPr>
      <w:r w:rsidRPr="00B906B8">
        <w:rPr>
          <w:rFonts w:eastAsia="Calibri"/>
          <w:sz w:val="22"/>
          <w:szCs w:val="22"/>
        </w:rPr>
        <w:t>requiring respondents to submit more than an original and two copies of any document;</w:t>
      </w:r>
    </w:p>
    <w:p w:rsidR="00DF0E4A" w:rsidRPr="00B906B8" w:rsidP="00070EFE" w14:paraId="6BB9E253" w14:textId="77777777">
      <w:pPr>
        <w:overflowPunct/>
        <w:autoSpaceDE/>
        <w:autoSpaceDN/>
        <w:adjustRightInd/>
        <w:spacing w:after="200" w:line="276" w:lineRule="auto"/>
        <w:ind w:left="1485"/>
        <w:contextualSpacing/>
        <w:textAlignment w:val="auto"/>
        <w:rPr>
          <w:rFonts w:eastAsia="Calibri"/>
          <w:sz w:val="22"/>
          <w:szCs w:val="22"/>
        </w:rPr>
      </w:pPr>
    </w:p>
    <w:p w:rsidR="003A24E8" w:rsidRPr="00B906B8" w:rsidP="00070EFE" w14:paraId="1AACB0AE" w14:textId="77777777">
      <w:pPr>
        <w:overflowPunct/>
        <w:autoSpaceDE/>
        <w:autoSpaceDN/>
        <w:adjustRightInd/>
        <w:spacing w:after="200" w:line="276" w:lineRule="auto"/>
        <w:ind w:left="1485"/>
        <w:contextualSpacing/>
        <w:textAlignment w:val="auto"/>
        <w:rPr>
          <w:rStyle w:val="normaltextrun"/>
          <w:color w:val="000000"/>
          <w:sz w:val="22"/>
          <w:szCs w:val="22"/>
          <w:bdr w:val="none" w:sz="0" w:space="0" w:color="auto" w:frame="1"/>
        </w:rPr>
      </w:pPr>
      <w:r w:rsidRPr="00B906B8">
        <w:rPr>
          <w:rStyle w:val="normaltextrun"/>
          <w:color w:val="000000"/>
          <w:sz w:val="22"/>
          <w:szCs w:val="22"/>
          <w:bdr w:val="none" w:sz="0" w:space="0" w:color="auto" w:frame="1"/>
        </w:rPr>
        <w:t>Not Applicable</w:t>
      </w:r>
    </w:p>
    <w:p w:rsidR="003A24E8" w:rsidRPr="00B906B8" w:rsidP="00070EFE" w14:paraId="23DE523C" w14:textId="77777777">
      <w:pPr>
        <w:overflowPunct/>
        <w:autoSpaceDE/>
        <w:autoSpaceDN/>
        <w:adjustRightInd/>
        <w:spacing w:after="200" w:line="276" w:lineRule="auto"/>
        <w:ind w:left="1485"/>
        <w:contextualSpacing/>
        <w:textAlignment w:val="auto"/>
        <w:rPr>
          <w:rFonts w:eastAsia="Calibri"/>
          <w:sz w:val="22"/>
          <w:szCs w:val="22"/>
        </w:rPr>
      </w:pPr>
    </w:p>
    <w:p w:rsidR="00070EFE" w:rsidRPr="00B906B8" w:rsidP="00070EFE" w14:paraId="29D0E2A5" w14:textId="77777777">
      <w:pPr>
        <w:numPr>
          <w:ilvl w:val="0"/>
          <w:numId w:val="10"/>
        </w:numPr>
        <w:overflowPunct/>
        <w:autoSpaceDE/>
        <w:autoSpaceDN/>
        <w:adjustRightInd/>
        <w:spacing w:after="200" w:line="276" w:lineRule="auto"/>
        <w:contextualSpacing/>
        <w:textAlignment w:val="auto"/>
        <w:rPr>
          <w:rFonts w:eastAsia="Calibri"/>
          <w:sz w:val="22"/>
          <w:szCs w:val="22"/>
        </w:rPr>
      </w:pPr>
      <w:r w:rsidRPr="00B906B8">
        <w:rPr>
          <w:rFonts w:eastAsia="Calibri"/>
          <w:sz w:val="22"/>
          <w:szCs w:val="22"/>
        </w:rPr>
        <w:t>requiring respondents to retain records other than health, medical, government contract, grant-in-aid, or tax records for more than three years;</w:t>
      </w:r>
    </w:p>
    <w:p w:rsidR="00DF0E4A" w:rsidRPr="00B906B8" w:rsidP="00070EFE" w14:paraId="52E56223" w14:textId="77777777">
      <w:pPr>
        <w:overflowPunct/>
        <w:autoSpaceDE/>
        <w:autoSpaceDN/>
        <w:adjustRightInd/>
        <w:spacing w:after="200" w:line="276" w:lineRule="auto"/>
        <w:ind w:left="1485"/>
        <w:contextualSpacing/>
        <w:textAlignment w:val="auto"/>
        <w:rPr>
          <w:rFonts w:eastAsia="Calibri"/>
          <w:sz w:val="22"/>
          <w:szCs w:val="22"/>
        </w:rPr>
      </w:pPr>
    </w:p>
    <w:p w:rsidR="003A24E8" w:rsidRPr="00B906B8" w:rsidP="00070EFE" w14:paraId="10147EA5" w14:textId="77777777">
      <w:pPr>
        <w:overflowPunct/>
        <w:autoSpaceDE/>
        <w:autoSpaceDN/>
        <w:adjustRightInd/>
        <w:spacing w:after="200" w:line="276" w:lineRule="auto"/>
        <w:ind w:left="1485"/>
        <w:contextualSpacing/>
        <w:textAlignment w:val="auto"/>
        <w:rPr>
          <w:rStyle w:val="normaltextrun"/>
          <w:color w:val="000000"/>
          <w:sz w:val="22"/>
          <w:szCs w:val="22"/>
          <w:bdr w:val="none" w:sz="0" w:space="0" w:color="auto" w:frame="1"/>
        </w:rPr>
      </w:pPr>
      <w:r w:rsidRPr="00B906B8">
        <w:rPr>
          <w:rStyle w:val="normaltextrun"/>
          <w:color w:val="000000"/>
          <w:sz w:val="22"/>
          <w:szCs w:val="22"/>
          <w:bdr w:val="none" w:sz="0" w:space="0" w:color="auto" w:frame="1"/>
        </w:rPr>
        <w:t>Not Applicable</w:t>
      </w:r>
    </w:p>
    <w:p w:rsidR="003A24E8" w:rsidRPr="00B906B8" w:rsidP="00070EFE" w14:paraId="07547A01" w14:textId="77777777">
      <w:pPr>
        <w:overflowPunct/>
        <w:autoSpaceDE/>
        <w:autoSpaceDN/>
        <w:adjustRightInd/>
        <w:spacing w:after="200" w:line="276" w:lineRule="auto"/>
        <w:ind w:left="1485"/>
        <w:contextualSpacing/>
        <w:textAlignment w:val="auto"/>
        <w:rPr>
          <w:rFonts w:eastAsia="Calibri"/>
          <w:sz w:val="22"/>
          <w:szCs w:val="22"/>
        </w:rPr>
      </w:pPr>
    </w:p>
    <w:p w:rsidR="00070EFE" w:rsidRPr="00B906B8" w:rsidP="00070EFE" w14:paraId="469D06BD" w14:textId="77777777">
      <w:pPr>
        <w:numPr>
          <w:ilvl w:val="0"/>
          <w:numId w:val="10"/>
        </w:numPr>
        <w:overflowPunct/>
        <w:autoSpaceDE/>
        <w:autoSpaceDN/>
        <w:adjustRightInd/>
        <w:spacing w:after="200" w:line="276" w:lineRule="auto"/>
        <w:contextualSpacing/>
        <w:textAlignment w:val="auto"/>
        <w:rPr>
          <w:rFonts w:eastAsia="Calibri"/>
          <w:sz w:val="22"/>
          <w:szCs w:val="22"/>
        </w:rPr>
      </w:pPr>
      <w:r w:rsidRPr="00B906B8">
        <w:rPr>
          <w:rFonts w:eastAsia="Calibri"/>
          <w:sz w:val="22"/>
          <w:szCs w:val="22"/>
        </w:rPr>
        <w:t>in connection with a statistical survey, that is not designed to produce valid and reliable results than can be generalized to the universe of the study;</w:t>
      </w:r>
    </w:p>
    <w:p w:rsidR="003A24E8" w:rsidRPr="00B906B8" w:rsidP="00070EFE" w14:paraId="5043CB0F" w14:textId="77777777">
      <w:pPr>
        <w:overflowPunct/>
        <w:autoSpaceDE/>
        <w:autoSpaceDN/>
        <w:adjustRightInd/>
        <w:spacing w:after="200" w:line="276" w:lineRule="auto"/>
        <w:ind w:left="1485"/>
        <w:contextualSpacing/>
        <w:textAlignment w:val="auto"/>
        <w:rPr>
          <w:rStyle w:val="normaltextrun"/>
          <w:color w:val="000000"/>
          <w:sz w:val="22"/>
          <w:szCs w:val="22"/>
          <w:bdr w:val="none" w:sz="0" w:space="0" w:color="auto" w:frame="1"/>
        </w:rPr>
      </w:pPr>
    </w:p>
    <w:p w:rsidR="00DF0E4A" w:rsidRPr="00B906B8" w:rsidP="00070EFE" w14:paraId="4551313C" w14:textId="77777777">
      <w:pPr>
        <w:overflowPunct/>
        <w:autoSpaceDE/>
        <w:autoSpaceDN/>
        <w:adjustRightInd/>
        <w:spacing w:after="200" w:line="276" w:lineRule="auto"/>
        <w:ind w:left="1485"/>
        <w:contextualSpacing/>
        <w:textAlignment w:val="auto"/>
        <w:rPr>
          <w:rStyle w:val="normaltextrun"/>
          <w:color w:val="000000"/>
          <w:sz w:val="22"/>
          <w:szCs w:val="22"/>
          <w:bdr w:val="none" w:sz="0" w:space="0" w:color="auto" w:frame="1"/>
        </w:rPr>
      </w:pPr>
      <w:r w:rsidRPr="00B906B8">
        <w:rPr>
          <w:rStyle w:val="normaltextrun"/>
          <w:color w:val="000000"/>
          <w:sz w:val="22"/>
          <w:szCs w:val="22"/>
          <w:bdr w:val="none" w:sz="0" w:space="0" w:color="auto" w:frame="1"/>
        </w:rPr>
        <w:t>Not Applicable</w:t>
      </w:r>
    </w:p>
    <w:p w:rsidR="003A24E8" w:rsidRPr="00B906B8" w:rsidP="00070EFE" w14:paraId="07459315" w14:textId="77777777">
      <w:pPr>
        <w:overflowPunct/>
        <w:autoSpaceDE/>
        <w:autoSpaceDN/>
        <w:adjustRightInd/>
        <w:spacing w:after="200" w:line="276" w:lineRule="auto"/>
        <w:ind w:left="1485"/>
        <w:contextualSpacing/>
        <w:textAlignment w:val="auto"/>
        <w:rPr>
          <w:rFonts w:eastAsia="Calibri"/>
          <w:sz w:val="22"/>
          <w:szCs w:val="22"/>
        </w:rPr>
      </w:pPr>
    </w:p>
    <w:p w:rsidR="00070EFE" w:rsidRPr="00B906B8" w:rsidP="00070EFE" w14:paraId="016CB78D" w14:textId="77777777">
      <w:pPr>
        <w:numPr>
          <w:ilvl w:val="0"/>
          <w:numId w:val="10"/>
        </w:numPr>
        <w:overflowPunct/>
        <w:autoSpaceDE/>
        <w:autoSpaceDN/>
        <w:adjustRightInd/>
        <w:spacing w:after="200" w:line="276" w:lineRule="auto"/>
        <w:contextualSpacing/>
        <w:textAlignment w:val="auto"/>
        <w:rPr>
          <w:rFonts w:eastAsia="Calibri"/>
          <w:sz w:val="22"/>
          <w:szCs w:val="22"/>
        </w:rPr>
      </w:pPr>
      <w:r w:rsidRPr="00B906B8">
        <w:rPr>
          <w:rFonts w:eastAsia="Calibri"/>
          <w:sz w:val="22"/>
          <w:szCs w:val="22"/>
        </w:rPr>
        <w:t>requiring the use of statistical data classification that has not been reviewed and approved by OMB;</w:t>
      </w:r>
    </w:p>
    <w:p w:rsidR="003A24E8" w:rsidRPr="00B906B8" w:rsidP="00070EFE" w14:paraId="6537F28F" w14:textId="77777777">
      <w:pPr>
        <w:overflowPunct/>
        <w:autoSpaceDE/>
        <w:autoSpaceDN/>
        <w:adjustRightInd/>
        <w:spacing w:after="200" w:line="276" w:lineRule="auto"/>
        <w:ind w:left="1485"/>
        <w:contextualSpacing/>
        <w:textAlignment w:val="auto"/>
        <w:rPr>
          <w:rStyle w:val="normaltextrun"/>
          <w:color w:val="000000"/>
          <w:sz w:val="22"/>
          <w:szCs w:val="22"/>
          <w:bdr w:val="none" w:sz="0" w:space="0" w:color="auto" w:frame="1"/>
        </w:rPr>
      </w:pPr>
    </w:p>
    <w:p w:rsidR="00DF0E4A" w:rsidRPr="00B906B8" w:rsidP="00070EFE" w14:paraId="640A48AC" w14:textId="77777777">
      <w:pPr>
        <w:overflowPunct/>
        <w:autoSpaceDE/>
        <w:autoSpaceDN/>
        <w:adjustRightInd/>
        <w:spacing w:after="200" w:line="276" w:lineRule="auto"/>
        <w:ind w:left="1485"/>
        <w:contextualSpacing/>
        <w:textAlignment w:val="auto"/>
        <w:rPr>
          <w:rStyle w:val="normaltextrun"/>
          <w:color w:val="000000"/>
          <w:sz w:val="22"/>
          <w:szCs w:val="22"/>
          <w:bdr w:val="none" w:sz="0" w:space="0" w:color="auto" w:frame="1"/>
        </w:rPr>
      </w:pPr>
      <w:r w:rsidRPr="00B906B8">
        <w:rPr>
          <w:rStyle w:val="normaltextrun"/>
          <w:color w:val="000000"/>
          <w:sz w:val="22"/>
          <w:szCs w:val="22"/>
          <w:bdr w:val="none" w:sz="0" w:space="0" w:color="auto" w:frame="1"/>
        </w:rPr>
        <w:t>Not Applicable</w:t>
      </w:r>
    </w:p>
    <w:p w:rsidR="003A24E8" w:rsidRPr="00B906B8" w:rsidP="00070EFE" w14:paraId="6DFB9E20" w14:textId="77777777">
      <w:pPr>
        <w:overflowPunct/>
        <w:autoSpaceDE/>
        <w:autoSpaceDN/>
        <w:adjustRightInd/>
        <w:spacing w:after="200" w:line="276" w:lineRule="auto"/>
        <w:ind w:left="1485"/>
        <w:contextualSpacing/>
        <w:textAlignment w:val="auto"/>
        <w:rPr>
          <w:rFonts w:eastAsia="Calibri"/>
          <w:sz w:val="22"/>
          <w:szCs w:val="22"/>
        </w:rPr>
      </w:pPr>
    </w:p>
    <w:p w:rsidR="00070EFE" w:rsidRPr="00B906B8" w:rsidP="00070EFE" w14:paraId="6D8434DF" w14:textId="77777777">
      <w:pPr>
        <w:numPr>
          <w:ilvl w:val="0"/>
          <w:numId w:val="10"/>
        </w:numPr>
        <w:overflowPunct/>
        <w:autoSpaceDE/>
        <w:autoSpaceDN/>
        <w:adjustRightInd/>
        <w:spacing w:after="200" w:line="276" w:lineRule="auto"/>
        <w:contextualSpacing/>
        <w:textAlignment w:val="auto"/>
        <w:rPr>
          <w:rFonts w:eastAsia="Calibri"/>
          <w:sz w:val="22"/>
          <w:szCs w:val="22"/>
        </w:rPr>
      </w:pPr>
      <w:r w:rsidRPr="00B906B8">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A24E8" w:rsidRPr="00B906B8" w:rsidP="00070EFE" w14:paraId="70DF9E56" w14:textId="77777777">
      <w:pPr>
        <w:overflowPunct/>
        <w:autoSpaceDE/>
        <w:autoSpaceDN/>
        <w:adjustRightInd/>
        <w:spacing w:after="200" w:line="276" w:lineRule="auto"/>
        <w:ind w:left="1485"/>
        <w:contextualSpacing/>
        <w:textAlignment w:val="auto"/>
        <w:rPr>
          <w:rStyle w:val="normaltextrun"/>
          <w:color w:val="000000"/>
          <w:sz w:val="22"/>
          <w:szCs w:val="22"/>
          <w:bdr w:val="none" w:sz="0" w:space="0" w:color="auto" w:frame="1"/>
        </w:rPr>
      </w:pPr>
    </w:p>
    <w:p w:rsidR="00DF0E4A" w:rsidRPr="00B906B8" w:rsidP="00070EFE" w14:paraId="6BC74310" w14:textId="77777777">
      <w:pPr>
        <w:overflowPunct/>
        <w:autoSpaceDE/>
        <w:autoSpaceDN/>
        <w:adjustRightInd/>
        <w:spacing w:after="200" w:line="276" w:lineRule="auto"/>
        <w:ind w:left="1485"/>
        <w:contextualSpacing/>
        <w:textAlignment w:val="auto"/>
        <w:rPr>
          <w:rStyle w:val="normaltextrun"/>
          <w:color w:val="000000"/>
          <w:sz w:val="22"/>
          <w:szCs w:val="22"/>
          <w:bdr w:val="none" w:sz="0" w:space="0" w:color="auto" w:frame="1"/>
        </w:rPr>
      </w:pPr>
      <w:r w:rsidRPr="00B906B8">
        <w:rPr>
          <w:rStyle w:val="normaltextrun"/>
          <w:color w:val="000000"/>
          <w:sz w:val="22"/>
          <w:szCs w:val="22"/>
          <w:bdr w:val="none" w:sz="0" w:space="0" w:color="auto" w:frame="1"/>
        </w:rPr>
        <w:t>Not Applicable</w:t>
      </w:r>
    </w:p>
    <w:p w:rsidR="003A24E8" w:rsidRPr="00B906B8" w:rsidP="00070EFE" w14:paraId="44E871BC" w14:textId="77777777">
      <w:pPr>
        <w:overflowPunct/>
        <w:autoSpaceDE/>
        <w:autoSpaceDN/>
        <w:adjustRightInd/>
        <w:spacing w:after="200" w:line="276" w:lineRule="auto"/>
        <w:ind w:left="1485"/>
        <w:contextualSpacing/>
        <w:textAlignment w:val="auto"/>
        <w:rPr>
          <w:rFonts w:eastAsia="Calibri"/>
          <w:sz w:val="22"/>
          <w:szCs w:val="22"/>
        </w:rPr>
      </w:pPr>
    </w:p>
    <w:p w:rsidR="00070EFE" w:rsidRPr="00B906B8" w:rsidP="00070EFE" w14:paraId="67A7261C" w14:textId="5259F0F7">
      <w:pPr>
        <w:numPr>
          <w:ilvl w:val="0"/>
          <w:numId w:val="10"/>
        </w:numPr>
        <w:overflowPunct/>
        <w:autoSpaceDE/>
        <w:autoSpaceDN/>
        <w:adjustRightInd/>
        <w:spacing w:after="200" w:line="276" w:lineRule="auto"/>
        <w:contextualSpacing/>
        <w:textAlignment w:val="auto"/>
        <w:rPr>
          <w:rFonts w:eastAsia="Calibri"/>
          <w:sz w:val="22"/>
          <w:szCs w:val="22"/>
        </w:rPr>
      </w:pPr>
      <w:r w:rsidRPr="00B906B8">
        <w:rPr>
          <w:rFonts w:eastAsia="Calibri"/>
          <w:sz w:val="22"/>
          <w:szCs w:val="22"/>
        </w:rPr>
        <w:t xml:space="preserve">requiring respondents to submit proprietary trade </w:t>
      </w:r>
      <w:r w:rsidRPr="00B906B8" w:rsidR="00AD719E">
        <w:rPr>
          <w:rFonts w:eastAsia="Calibri"/>
          <w:sz w:val="22"/>
          <w:szCs w:val="22"/>
        </w:rPr>
        <w:t>secrets</w:t>
      </w:r>
      <w:r w:rsidRPr="00B906B8">
        <w:rPr>
          <w:rFonts w:eastAsia="Calibri"/>
          <w:sz w:val="22"/>
          <w:szCs w:val="22"/>
        </w:rPr>
        <w:t>, or other confidential information unless the agency can demonstrate that it has instituted procedures to protect the information’s confidentiality to the extent permitted by law.</w:t>
      </w:r>
    </w:p>
    <w:p w:rsidR="003A24E8" w:rsidRPr="00B906B8" w:rsidP="003A24E8" w14:paraId="144A5D23" w14:textId="77777777">
      <w:pPr>
        <w:overflowPunct/>
        <w:autoSpaceDE/>
        <w:autoSpaceDN/>
        <w:adjustRightInd/>
        <w:spacing w:after="200" w:line="276" w:lineRule="auto"/>
        <w:ind w:left="1485"/>
        <w:contextualSpacing/>
        <w:textAlignment w:val="auto"/>
        <w:rPr>
          <w:rStyle w:val="normaltextrun"/>
          <w:color w:val="000000"/>
          <w:sz w:val="22"/>
          <w:szCs w:val="22"/>
          <w:bdr w:val="none" w:sz="0" w:space="0" w:color="auto" w:frame="1"/>
        </w:rPr>
      </w:pPr>
    </w:p>
    <w:p w:rsidR="003A24E8" w:rsidRPr="00B906B8" w:rsidP="003A24E8" w14:paraId="62DCC62A" w14:textId="77777777">
      <w:pPr>
        <w:overflowPunct/>
        <w:autoSpaceDE/>
        <w:autoSpaceDN/>
        <w:adjustRightInd/>
        <w:spacing w:after="200" w:line="276" w:lineRule="auto"/>
        <w:ind w:left="1485"/>
        <w:contextualSpacing/>
        <w:textAlignment w:val="auto"/>
        <w:rPr>
          <w:rFonts w:eastAsia="Calibri"/>
          <w:sz w:val="22"/>
          <w:szCs w:val="22"/>
        </w:rPr>
      </w:pPr>
      <w:r w:rsidRPr="00B906B8">
        <w:rPr>
          <w:rStyle w:val="normaltextrun"/>
          <w:color w:val="000000"/>
          <w:sz w:val="22"/>
          <w:szCs w:val="22"/>
          <w:bdr w:val="none" w:sz="0" w:space="0" w:color="auto" w:frame="1"/>
        </w:rPr>
        <w:t>Not Applicable</w:t>
      </w:r>
    </w:p>
    <w:p w:rsidR="00F92A8D" w:rsidRPr="00B906B8" w:rsidP="00F92A8D" w14:paraId="738610EB" w14:textId="77777777">
      <w:pPr>
        <w:pStyle w:val="ListParagraph"/>
        <w:rPr>
          <w:rFonts w:eastAsia="Calibri"/>
          <w:sz w:val="22"/>
          <w:szCs w:val="22"/>
        </w:rPr>
      </w:pPr>
    </w:p>
    <w:p w:rsidR="00F92A8D" w:rsidRPr="00B906B8" w:rsidP="00F92A8D" w14:paraId="637805D2" w14:textId="77777777">
      <w:pPr>
        <w:overflowPunct/>
        <w:autoSpaceDE/>
        <w:autoSpaceDN/>
        <w:adjustRightInd/>
        <w:spacing w:after="200" w:line="276" w:lineRule="auto"/>
        <w:ind w:left="1485"/>
        <w:contextualSpacing/>
        <w:textAlignment w:val="auto"/>
        <w:rPr>
          <w:rFonts w:eastAsia="Calibri"/>
          <w:sz w:val="22"/>
          <w:szCs w:val="22"/>
        </w:rPr>
      </w:pPr>
    </w:p>
    <w:bookmarkEnd w:id="0"/>
    <w:p w:rsidR="22F89F00" w:rsidRPr="00B906B8" w:rsidP="22F89F00" w14:paraId="74B628A7" w14:textId="00251EC3">
      <w:pPr>
        <w:spacing w:after="200" w:line="276" w:lineRule="auto"/>
        <w:ind w:left="1485"/>
        <w:contextualSpacing/>
        <w:rPr>
          <w:rFonts w:eastAsia="Calibri"/>
          <w:sz w:val="22"/>
          <w:szCs w:val="22"/>
        </w:rPr>
      </w:pPr>
    </w:p>
    <w:p w:rsidR="22F89F00" w:rsidRPr="00B906B8" w:rsidP="22F89F00" w14:paraId="3BC52687" w14:textId="5FA47206">
      <w:pPr>
        <w:spacing w:after="200" w:line="276" w:lineRule="auto"/>
        <w:ind w:left="1485"/>
        <w:contextualSpacing/>
        <w:rPr>
          <w:rFonts w:eastAsia="Calibri"/>
          <w:sz w:val="22"/>
          <w:szCs w:val="22"/>
        </w:rPr>
      </w:pPr>
    </w:p>
    <w:p w:rsidR="22F89F00" w:rsidRPr="00B906B8" w:rsidP="22F89F00" w14:paraId="00E25DF2" w14:textId="1B6665FE">
      <w:pPr>
        <w:spacing w:after="200" w:line="276" w:lineRule="auto"/>
        <w:ind w:left="1485"/>
        <w:contextualSpacing/>
        <w:rPr>
          <w:rFonts w:eastAsia="Calibri"/>
          <w:sz w:val="22"/>
          <w:szCs w:val="22"/>
        </w:rPr>
      </w:pPr>
    </w:p>
    <w:p w:rsidR="22F89F00" w:rsidRPr="00B906B8" w:rsidP="22F89F00" w14:paraId="320A7BD9" w14:textId="75F9818A">
      <w:pPr>
        <w:spacing w:after="200" w:line="276" w:lineRule="auto"/>
        <w:ind w:left="1485"/>
        <w:contextualSpacing/>
        <w:rPr>
          <w:rFonts w:eastAsia="Calibri"/>
          <w:sz w:val="22"/>
          <w:szCs w:val="22"/>
        </w:rPr>
      </w:pPr>
    </w:p>
    <w:p w:rsidR="22F89F00" w:rsidRPr="00B906B8" w:rsidP="22F89F00" w14:paraId="2D172C4E" w14:textId="2DAB158E">
      <w:pPr>
        <w:spacing w:after="200" w:line="276" w:lineRule="auto"/>
        <w:ind w:left="1485"/>
        <w:contextualSpacing/>
        <w:rPr>
          <w:rFonts w:eastAsia="Calibri"/>
          <w:sz w:val="22"/>
          <w:szCs w:val="22"/>
        </w:rPr>
      </w:pPr>
    </w:p>
    <w:p w:rsidR="22F89F00" w:rsidRPr="00B906B8" w:rsidP="22F89F00" w14:paraId="7637D4BE" w14:textId="3298474D">
      <w:pPr>
        <w:spacing w:after="200" w:line="276" w:lineRule="auto"/>
        <w:ind w:left="1485"/>
        <w:contextualSpacing/>
        <w:rPr>
          <w:rFonts w:eastAsia="Calibri"/>
          <w:sz w:val="22"/>
          <w:szCs w:val="22"/>
        </w:rPr>
      </w:pPr>
    </w:p>
    <w:p w:rsidR="00A325C5" w:rsidRPr="00EE1139" w14:paraId="0EACFBBB" w14:textId="19638066">
      <w:pPr>
        <w:keepLines/>
        <w:tabs>
          <w:tab w:val="left" w:pos="360"/>
        </w:tabs>
        <w:spacing w:after="80"/>
        <w:ind w:left="360" w:hanging="360"/>
        <w:rPr>
          <w:b/>
          <w:color w:val="000000"/>
          <w:sz w:val="22"/>
          <w:szCs w:val="22"/>
        </w:rPr>
      </w:pPr>
      <w:r w:rsidRPr="00B906B8">
        <w:rPr>
          <w:color w:val="000000"/>
          <w:sz w:val="22"/>
          <w:szCs w:val="22"/>
        </w:rPr>
        <w:t>8.</w:t>
      </w:r>
      <w:r w:rsidRPr="00B906B8">
        <w:rPr>
          <w:color w:val="000000"/>
          <w:sz w:val="22"/>
          <w:szCs w:val="22"/>
        </w:rPr>
        <w:tab/>
      </w:r>
      <w:r w:rsidRPr="00EE1139" w:rsidR="00070EFE">
        <w:rPr>
          <w:b/>
          <w:color w:val="000000"/>
          <w:sz w:val="22"/>
          <w:szCs w:val="22"/>
        </w:rPr>
        <w:t>I</w:t>
      </w:r>
      <w:r w:rsidRPr="00EE1139">
        <w:rPr>
          <w:b/>
          <w:color w:val="000000"/>
          <w:sz w:val="22"/>
          <w:szCs w:val="22"/>
        </w:rPr>
        <w:t xml:space="preserve">dentify the date and page number of the </w:t>
      </w:r>
      <w:r w:rsidRPr="00EE1139">
        <w:rPr>
          <w:b/>
          <w:i/>
          <w:iCs/>
          <w:color w:val="000000"/>
          <w:sz w:val="22"/>
          <w:szCs w:val="22"/>
        </w:rPr>
        <w:t>Federal Register</w:t>
      </w:r>
      <w:r w:rsidRPr="00EE1139">
        <w:rPr>
          <w:b/>
          <w:color w:val="000000"/>
          <w:sz w:val="22"/>
          <w:szCs w:val="22"/>
        </w:rPr>
        <w:t xml:space="preserve"> notice (and provide a copy) soliciting comments on the information.  Summarize public comments and describe actions taken by the agency in response to these comments.  Describe all </w:t>
      </w:r>
      <w:r w:rsidRPr="00EE1139" w:rsidR="00754A02">
        <w:rPr>
          <w:b/>
          <w:color w:val="000000"/>
          <w:sz w:val="22"/>
          <w:szCs w:val="22"/>
        </w:rPr>
        <w:t>the efforts</w:t>
      </w:r>
      <w:r w:rsidRPr="00EE1139">
        <w:rPr>
          <w:b/>
          <w:color w:val="000000"/>
          <w:sz w:val="22"/>
          <w:szCs w:val="22"/>
        </w:rPr>
        <w:t xml:space="preserve"> to consult with </w:t>
      </w:r>
      <w:r w:rsidRPr="00EE1139" w:rsidR="00AD719E">
        <w:rPr>
          <w:b/>
          <w:color w:val="000000"/>
          <w:sz w:val="22"/>
          <w:szCs w:val="22"/>
        </w:rPr>
        <w:t>people</w:t>
      </w:r>
      <w:r w:rsidRPr="00EE1139">
        <w:rPr>
          <w:b/>
          <w:color w:val="000000"/>
          <w:sz w:val="22"/>
          <w:szCs w:val="22"/>
        </w:rPr>
        <w:t xml:space="preserve"> outside the agency to obtain the</w:t>
      </w:r>
      <w:r w:rsidRPr="00EE1139" w:rsidR="00274278">
        <w:rPr>
          <w:b/>
          <w:color w:val="000000"/>
          <w:sz w:val="22"/>
          <w:szCs w:val="22"/>
        </w:rPr>
        <w:t>m</w:t>
      </w:r>
      <w:r w:rsidRPr="00EE1139">
        <w:rPr>
          <w:b/>
          <w:color w:val="000000"/>
          <w:sz w:val="22"/>
          <w:szCs w:val="22"/>
        </w:rPr>
        <w:t xml:space="preserve">. </w:t>
      </w:r>
    </w:p>
    <w:p w:rsidR="00A325C5" w:rsidRPr="00EE1139" w14:paraId="463F29E8" w14:textId="77777777">
      <w:pPr>
        <w:tabs>
          <w:tab w:val="left" w:pos="360"/>
        </w:tabs>
        <w:ind w:left="360" w:hanging="360"/>
        <w:rPr>
          <w:color w:val="000000"/>
          <w:sz w:val="22"/>
          <w:szCs w:val="22"/>
        </w:rPr>
      </w:pPr>
    </w:p>
    <w:p w:rsidR="026A15CE" w:rsidRPr="00EE1139" w:rsidP="22F89F00" w14:paraId="447D83C6" w14:textId="132CB8FF">
      <w:pPr>
        <w:spacing w:after="200" w:line="276" w:lineRule="auto"/>
        <w:ind w:left="720"/>
        <w:rPr>
          <w:sz w:val="22"/>
          <w:szCs w:val="22"/>
        </w:rPr>
      </w:pPr>
      <w:r w:rsidRPr="00EE1139">
        <w:rPr>
          <w:sz w:val="22"/>
          <w:szCs w:val="22"/>
        </w:rPr>
        <w:t xml:space="preserve">HUD published a Notice of Proposed Information Collection for public comments in the </w:t>
      </w:r>
      <w:r w:rsidRPr="00EE1139">
        <w:rPr>
          <w:i/>
          <w:iCs/>
          <w:sz w:val="22"/>
          <w:szCs w:val="22"/>
          <w:u w:val="single"/>
        </w:rPr>
        <w:t>Federal Register</w:t>
      </w:r>
      <w:r w:rsidRPr="00EE1139">
        <w:rPr>
          <w:sz w:val="22"/>
          <w:szCs w:val="22"/>
        </w:rPr>
        <w:t>, Volume [</w:t>
      </w:r>
      <w:r w:rsidRPr="00EE1139" w:rsidR="005E7ACF">
        <w:rPr>
          <w:sz w:val="22"/>
          <w:szCs w:val="22"/>
        </w:rPr>
        <w:t>89</w:t>
      </w:r>
      <w:r w:rsidRPr="00EE1139">
        <w:rPr>
          <w:sz w:val="22"/>
          <w:szCs w:val="22"/>
        </w:rPr>
        <w:t>]; Page [</w:t>
      </w:r>
      <w:r w:rsidRPr="00EE1139" w:rsidR="005E7ACF">
        <w:rPr>
          <w:b/>
          <w:bCs/>
          <w:sz w:val="22"/>
          <w:szCs w:val="22"/>
          <w:lang w:eastAsia="ja-JP"/>
        </w:rPr>
        <w:t>76500</w:t>
      </w:r>
      <w:r w:rsidRPr="00EE1139">
        <w:rPr>
          <w:sz w:val="22"/>
          <w:szCs w:val="22"/>
        </w:rPr>
        <w:t>] on</w:t>
      </w:r>
      <w:r w:rsidRPr="00EE1139" w:rsidR="007D01FE">
        <w:rPr>
          <w:sz w:val="22"/>
          <w:szCs w:val="22"/>
        </w:rPr>
        <w:t xml:space="preserve"> 09/13/</w:t>
      </w:r>
      <w:r w:rsidRPr="00EE1139">
        <w:rPr>
          <w:sz w:val="22"/>
          <w:szCs w:val="22"/>
        </w:rPr>
        <w:t>24.  The public was given until</w:t>
      </w:r>
      <w:r w:rsidRPr="00EE1139" w:rsidR="00EE1139">
        <w:rPr>
          <w:sz w:val="22"/>
          <w:szCs w:val="22"/>
        </w:rPr>
        <w:t xml:space="preserve"> 11/18/</w:t>
      </w:r>
      <w:r w:rsidRPr="00EE1139">
        <w:rPr>
          <w:sz w:val="22"/>
          <w:szCs w:val="22"/>
        </w:rPr>
        <w:t>24, to submit comments on the proposed information collection.  HUD received no comments on this proposed collection.</w:t>
      </w:r>
    </w:p>
    <w:p w:rsidR="00A325C5" w:rsidRPr="00B906B8" w14:paraId="3EC1829C" w14:textId="77777777">
      <w:pPr>
        <w:keepLines/>
        <w:tabs>
          <w:tab w:val="left" w:pos="360"/>
        </w:tabs>
        <w:spacing w:after="80"/>
        <w:ind w:left="360" w:hanging="360"/>
        <w:rPr>
          <w:b/>
          <w:bCs/>
          <w:color w:val="000000"/>
          <w:sz w:val="22"/>
          <w:szCs w:val="22"/>
        </w:rPr>
      </w:pPr>
      <w:r w:rsidRPr="00B906B8">
        <w:rPr>
          <w:color w:val="000000"/>
          <w:sz w:val="22"/>
          <w:szCs w:val="22"/>
        </w:rPr>
        <w:t>9.</w:t>
      </w:r>
      <w:r w:rsidRPr="00B906B8">
        <w:rPr>
          <w:color w:val="000000"/>
          <w:sz w:val="22"/>
          <w:szCs w:val="22"/>
        </w:rPr>
        <w:tab/>
      </w:r>
      <w:r w:rsidRPr="00B906B8">
        <w:rPr>
          <w:b/>
          <w:bCs/>
          <w:color w:val="000000"/>
          <w:sz w:val="22"/>
          <w:szCs w:val="22"/>
        </w:rPr>
        <w:t>Explain any payments or gifts to respondents, other than remuneration of contractors or grantees.</w:t>
      </w:r>
    </w:p>
    <w:p w:rsidR="003A24E8" w:rsidRPr="00B906B8" w14:paraId="2BA226A1" w14:textId="77777777">
      <w:pPr>
        <w:keepLines/>
        <w:tabs>
          <w:tab w:val="left" w:pos="360"/>
        </w:tabs>
        <w:spacing w:after="80"/>
        <w:ind w:left="360" w:hanging="360"/>
        <w:rPr>
          <w:b/>
          <w:bCs/>
          <w:color w:val="000000"/>
          <w:sz w:val="22"/>
          <w:szCs w:val="22"/>
        </w:rPr>
      </w:pPr>
    </w:p>
    <w:p w:rsidR="00A325C5" w:rsidRPr="00B906B8" w:rsidP="026A15CE" w14:paraId="2AFCA87A" w14:textId="77777777">
      <w:pPr>
        <w:keepLines/>
        <w:tabs>
          <w:tab w:val="left" w:pos="360"/>
        </w:tabs>
        <w:spacing w:after="80"/>
        <w:ind w:left="360"/>
        <w:rPr>
          <w:color w:val="000000"/>
          <w:sz w:val="22"/>
          <w:szCs w:val="22"/>
        </w:rPr>
      </w:pPr>
      <w:r w:rsidRPr="00B906B8">
        <w:rPr>
          <w:rStyle w:val="normaltextrun"/>
          <w:color w:val="000000"/>
          <w:sz w:val="22"/>
          <w:szCs w:val="22"/>
          <w:shd w:val="clear" w:color="auto" w:fill="FFFFFF"/>
        </w:rPr>
        <w:t>No payment or gift will be made to respondents.</w:t>
      </w:r>
      <w:r w:rsidRPr="00B906B8">
        <w:rPr>
          <w:rStyle w:val="eop"/>
          <w:color w:val="000000"/>
          <w:sz w:val="22"/>
          <w:szCs w:val="22"/>
          <w:shd w:val="clear" w:color="auto" w:fill="FFFFFF"/>
        </w:rPr>
        <w:t> </w:t>
      </w:r>
    </w:p>
    <w:p w:rsidR="00F92A8D" w:rsidRPr="00B906B8" w:rsidP="00F92A8D" w14:paraId="17AD93B2" w14:textId="77777777">
      <w:pPr>
        <w:keepLines/>
        <w:tabs>
          <w:tab w:val="left" w:pos="360"/>
        </w:tabs>
        <w:spacing w:after="80"/>
        <w:ind w:left="360" w:hanging="360"/>
        <w:rPr>
          <w:color w:val="000000"/>
          <w:sz w:val="22"/>
          <w:szCs w:val="22"/>
        </w:rPr>
      </w:pPr>
    </w:p>
    <w:p w:rsidR="00A325C5" w:rsidRPr="00B906B8" w14:paraId="21CF2DF2" w14:textId="77777777">
      <w:pPr>
        <w:keepLines/>
        <w:tabs>
          <w:tab w:val="left" w:pos="360"/>
        </w:tabs>
        <w:spacing w:after="80"/>
        <w:ind w:left="360" w:hanging="360"/>
        <w:rPr>
          <w:b/>
          <w:bCs/>
          <w:color w:val="000000"/>
          <w:sz w:val="22"/>
          <w:szCs w:val="22"/>
        </w:rPr>
      </w:pPr>
      <w:r w:rsidRPr="00B906B8">
        <w:rPr>
          <w:color w:val="000000"/>
          <w:sz w:val="22"/>
          <w:szCs w:val="22"/>
        </w:rPr>
        <w:t>10.</w:t>
      </w:r>
      <w:r w:rsidRPr="00B906B8">
        <w:rPr>
          <w:color w:val="000000"/>
          <w:sz w:val="22"/>
          <w:szCs w:val="22"/>
        </w:rPr>
        <w:tab/>
      </w:r>
      <w:r w:rsidRPr="00B906B8">
        <w:rPr>
          <w:b/>
          <w:bCs/>
          <w:color w:val="000000"/>
          <w:sz w:val="22"/>
          <w:szCs w:val="22"/>
        </w:rPr>
        <w:t>Describe any assurance of confidentiality provided to respondents and the basis for assurance in statute, regulation or agency policy.</w:t>
      </w:r>
    </w:p>
    <w:p w:rsidR="003A24E8" w:rsidRPr="00B906B8" w:rsidP="003A24E8" w14:paraId="0DE4B5B7" w14:textId="77777777">
      <w:pPr>
        <w:pStyle w:val="paragraph"/>
        <w:spacing w:before="0" w:beforeAutospacing="0" w:after="0" w:afterAutospacing="0"/>
        <w:textAlignment w:val="baseline"/>
        <w:rPr>
          <w:rStyle w:val="normaltextrun"/>
          <w:sz w:val="22"/>
          <w:szCs w:val="22"/>
        </w:rPr>
      </w:pPr>
    </w:p>
    <w:p w:rsidR="00A325C5" w:rsidRPr="00B906B8" w:rsidP="003A24E8" w14:paraId="2B4B39C5" w14:textId="1B05D52B">
      <w:pPr>
        <w:ind w:left="360"/>
        <w:rPr>
          <w:sz w:val="22"/>
          <w:szCs w:val="22"/>
        </w:rPr>
      </w:pPr>
      <w:r w:rsidRPr="00B906B8">
        <w:rPr>
          <w:sz w:val="22"/>
          <w:szCs w:val="22"/>
        </w:rPr>
        <w:t xml:space="preserve">There </w:t>
      </w:r>
      <w:r w:rsidRPr="00B906B8" w:rsidR="00AD719E">
        <w:rPr>
          <w:sz w:val="22"/>
          <w:szCs w:val="22"/>
        </w:rPr>
        <w:t>is</w:t>
      </w:r>
      <w:r w:rsidRPr="00B906B8">
        <w:rPr>
          <w:sz w:val="22"/>
          <w:szCs w:val="22"/>
        </w:rPr>
        <w:t xml:space="preserve"> no personal, propriety or otherwise sensitive information being collected. PHAs are required to obtain documentation to verify eligibility of the resident-owned business and collect other information related to the contract award itself under the Department’s procurement requirement. </w:t>
      </w:r>
    </w:p>
    <w:p w:rsidR="00F92A8D" w:rsidRPr="00B906B8" w14:paraId="66204FF1" w14:textId="77777777">
      <w:pPr>
        <w:tabs>
          <w:tab w:val="left" w:pos="360"/>
        </w:tabs>
        <w:ind w:left="360" w:hanging="360"/>
        <w:rPr>
          <w:color w:val="000000"/>
          <w:sz w:val="22"/>
          <w:szCs w:val="22"/>
        </w:rPr>
      </w:pPr>
    </w:p>
    <w:p w:rsidR="00A325C5" w:rsidRPr="00B906B8" w14:paraId="727330DE" w14:textId="77777777">
      <w:pPr>
        <w:keepLines/>
        <w:tabs>
          <w:tab w:val="left" w:pos="360"/>
          <w:tab w:val="left" w:pos="720"/>
        </w:tabs>
        <w:ind w:left="360" w:hanging="360"/>
        <w:rPr>
          <w:b/>
          <w:color w:val="000000"/>
          <w:sz w:val="22"/>
          <w:szCs w:val="22"/>
        </w:rPr>
      </w:pPr>
      <w:r w:rsidRPr="00B906B8">
        <w:rPr>
          <w:color w:val="000000"/>
          <w:sz w:val="22"/>
          <w:szCs w:val="22"/>
        </w:rPr>
        <w:t>11.</w:t>
      </w:r>
      <w:r w:rsidRPr="00B906B8">
        <w:rPr>
          <w:color w:val="000000"/>
          <w:sz w:val="22"/>
          <w:szCs w:val="22"/>
        </w:rPr>
        <w:tab/>
      </w:r>
      <w:r w:rsidRPr="00B906B8" w:rsidR="00070EFE">
        <w:rPr>
          <w:b/>
          <w:color w:val="000000"/>
          <w:sz w:val="22"/>
          <w:szCs w:val="22"/>
        </w:rPr>
        <w:t>J</w:t>
      </w:r>
      <w:r w:rsidRPr="00B906B8">
        <w:rPr>
          <w:b/>
          <w:color w:val="000000"/>
          <w:sz w:val="22"/>
          <w:szCs w:val="22"/>
        </w:rPr>
        <w:t>ustify any questions of a sensitive nature, such as sexual, religious beliefs, and other matters that are commonly considered private</w:t>
      </w:r>
      <w:r w:rsidRPr="00B906B8" w:rsidR="00F92A8D">
        <w:rPr>
          <w:b/>
          <w:color w:val="000000"/>
          <w:sz w:val="22"/>
          <w:szCs w:val="22"/>
        </w:rPr>
        <w:t>.</w:t>
      </w:r>
    </w:p>
    <w:p w:rsidR="003A24E8" w:rsidRPr="00B906B8" w14:paraId="2DBF0D7D" w14:textId="77777777">
      <w:pPr>
        <w:keepLines/>
        <w:tabs>
          <w:tab w:val="left" w:pos="360"/>
          <w:tab w:val="left" w:pos="720"/>
        </w:tabs>
        <w:ind w:left="360" w:hanging="360"/>
        <w:rPr>
          <w:color w:val="000000"/>
          <w:sz w:val="22"/>
          <w:szCs w:val="22"/>
        </w:rPr>
      </w:pPr>
    </w:p>
    <w:p w:rsidR="003A24E8" w:rsidRPr="00B906B8" w14:paraId="24545605" w14:textId="77777777">
      <w:pPr>
        <w:keepLines/>
        <w:tabs>
          <w:tab w:val="left" w:pos="360"/>
          <w:tab w:val="left" w:pos="720"/>
        </w:tabs>
        <w:ind w:left="360" w:hanging="360"/>
        <w:rPr>
          <w:color w:val="000000"/>
          <w:sz w:val="22"/>
          <w:szCs w:val="22"/>
        </w:rPr>
      </w:pPr>
      <w:r w:rsidRPr="00B906B8">
        <w:rPr>
          <w:color w:val="000000"/>
          <w:sz w:val="22"/>
          <w:szCs w:val="22"/>
        </w:rPr>
        <w:tab/>
      </w:r>
      <w:r w:rsidRPr="00B906B8">
        <w:rPr>
          <w:rStyle w:val="normaltextrun"/>
          <w:color w:val="000000"/>
          <w:sz w:val="22"/>
          <w:szCs w:val="22"/>
          <w:shd w:val="clear" w:color="auto" w:fill="FFFFFF"/>
        </w:rPr>
        <w:t>This item is not applicable. </w:t>
      </w:r>
      <w:r w:rsidRPr="00B906B8">
        <w:rPr>
          <w:rStyle w:val="eop"/>
          <w:color w:val="000000"/>
          <w:sz w:val="22"/>
          <w:szCs w:val="22"/>
          <w:shd w:val="clear" w:color="auto" w:fill="FFFFFF"/>
        </w:rPr>
        <w:t> </w:t>
      </w:r>
    </w:p>
    <w:p w:rsidR="00F92A8D" w:rsidRPr="00B906B8" w:rsidP="003A24E8" w14:paraId="6B62F1B3" w14:textId="77777777">
      <w:pPr>
        <w:keepLines/>
        <w:tabs>
          <w:tab w:val="left" w:pos="360"/>
        </w:tabs>
        <w:rPr>
          <w:color w:val="000000"/>
          <w:sz w:val="22"/>
          <w:szCs w:val="22"/>
        </w:rPr>
      </w:pPr>
    </w:p>
    <w:p w:rsidR="00A325C5" w:rsidRPr="00B906B8" w14:paraId="36CC2CEC" w14:textId="77777777">
      <w:pPr>
        <w:keepLines/>
        <w:tabs>
          <w:tab w:val="left" w:pos="360"/>
          <w:tab w:val="left" w:pos="720"/>
        </w:tabs>
        <w:ind w:left="360" w:hanging="360"/>
        <w:rPr>
          <w:b/>
          <w:color w:val="000000"/>
          <w:sz w:val="22"/>
          <w:szCs w:val="22"/>
        </w:rPr>
      </w:pPr>
      <w:r w:rsidRPr="00B906B8">
        <w:rPr>
          <w:color w:val="000000"/>
          <w:sz w:val="22"/>
          <w:szCs w:val="22"/>
        </w:rPr>
        <w:t>12.</w:t>
      </w:r>
      <w:r w:rsidRPr="00B906B8">
        <w:rPr>
          <w:color w:val="000000"/>
          <w:sz w:val="22"/>
          <w:szCs w:val="22"/>
        </w:rPr>
        <w:tab/>
      </w:r>
      <w:r w:rsidRPr="00B906B8" w:rsidR="00070EFE">
        <w:rPr>
          <w:b/>
          <w:color w:val="000000"/>
          <w:sz w:val="22"/>
          <w:szCs w:val="22"/>
        </w:rPr>
        <w:t>E</w:t>
      </w:r>
      <w:r w:rsidRPr="00B906B8">
        <w:rPr>
          <w:b/>
          <w:color w:val="000000"/>
          <w:sz w:val="22"/>
          <w:szCs w:val="22"/>
        </w:rPr>
        <w:t xml:space="preserve">stimate public burden: number of respondents, frequency of response, annual hour burden.  Read the complete instructions on the form 83i.  Explain how the burden was estimated.  </w:t>
      </w:r>
      <w:r w:rsidRPr="00B906B8" w:rsidR="00274278">
        <w:rPr>
          <w:b/>
          <w:color w:val="000000"/>
          <w:sz w:val="22"/>
          <w:szCs w:val="22"/>
        </w:rPr>
        <w:t>Generally,</w:t>
      </w:r>
      <w:r w:rsidRPr="00B906B8">
        <w:rPr>
          <w:b/>
          <w:color w:val="000000"/>
          <w:sz w:val="22"/>
          <w:szCs w:val="22"/>
        </w:rPr>
        <w:t xml:space="preserve"> estimates should not include burden hours for customary and usual business practices.  Provide a table to describe the elements of the burden. Break out each form used.  </w:t>
      </w:r>
    </w:p>
    <w:p w:rsidR="00F92A8D" w:rsidRPr="00B906B8" w14:paraId="02F2C34E" w14:textId="77777777">
      <w:pPr>
        <w:keepLines/>
        <w:tabs>
          <w:tab w:val="left" w:pos="360"/>
          <w:tab w:val="left" w:pos="720"/>
        </w:tabs>
        <w:ind w:left="360" w:hanging="360"/>
        <w:rPr>
          <w:b/>
          <w:color w:val="000000"/>
          <w:sz w:val="22"/>
          <w:szCs w:val="22"/>
        </w:rPr>
      </w:pPr>
    </w:p>
    <w:p w:rsidR="003A24E8" w:rsidRPr="00B906B8" w:rsidP="003A24E8" w14:paraId="422CF83E" w14:textId="77777777">
      <w:pPr>
        <w:ind w:left="360"/>
        <w:rPr>
          <w:sz w:val="22"/>
          <w:szCs w:val="22"/>
        </w:rPr>
      </w:pPr>
      <w:r w:rsidRPr="00B906B8">
        <w:rPr>
          <w:sz w:val="22"/>
          <w:szCs w:val="22"/>
        </w:rPr>
        <w:t xml:space="preserve">Although the Department has an inventory of </w:t>
      </w:r>
      <w:r w:rsidRPr="00B906B8" w:rsidR="001D033B">
        <w:rPr>
          <w:sz w:val="22"/>
          <w:szCs w:val="22"/>
        </w:rPr>
        <w:t>3</w:t>
      </w:r>
      <w:r w:rsidRPr="00B906B8">
        <w:rPr>
          <w:sz w:val="22"/>
          <w:szCs w:val="22"/>
        </w:rPr>
        <w:t>,7</w:t>
      </w:r>
      <w:r w:rsidRPr="00B906B8" w:rsidR="001D033B">
        <w:rPr>
          <w:sz w:val="22"/>
          <w:szCs w:val="22"/>
        </w:rPr>
        <w:t>63</w:t>
      </w:r>
      <w:r w:rsidRPr="00B906B8">
        <w:rPr>
          <w:sz w:val="22"/>
          <w:szCs w:val="22"/>
        </w:rPr>
        <w:t xml:space="preserve"> PHAs, the Department estimates that only 2 percent of PHAs contract with resident-owned businesses.  The number is thought to be low because there are 1) likely to be very few eligible resident-owned businesses or 2) eligible resident-owned businesses may not have the requisite experience to meet requirements for available PHA procurements. The number of PHAs is less than the previous request due to several PHAs choosing to leave the program. but the Department anticipates there may have been more business or contracting opportunities particularly during the pandemic. The calculation for burden hours is as follows:           </w:t>
      </w:r>
    </w:p>
    <w:p w:rsidR="003A24E8" w:rsidRPr="00B906B8" w:rsidP="003A24E8" w14:paraId="3865702D" w14:textId="77777777">
      <w:pPr>
        <w:overflowPunct/>
        <w:autoSpaceDE/>
        <w:autoSpaceDN/>
        <w:adjustRightInd/>
        <w:ind w:left="345"/>
        <w:rPr>
          <w:sz w:val="22"/>
          <w:szCs w:val="22"/>
        </w:rPr>
      </w:pPr>
      <w:r w:rsidRPr="00B906B8">
        <w:rPr>
          <w:sz w:val="22"/>
          <w:szCs w:val="22"/>
        </w:rPr>
        <w:t>        </w:t>
      </w:r>
    </w:p>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59"/>
        <w:gridCol w:w="1336"/>
        <w:gridCol w:w="1617"/>
        <w:gridCol w:w="1294"/>
        <w:gridCol w:w="1439"/>
        <w:gridCol w:w="1262"/>
        <w:gridCol w:w="788"/>
        <w:gridCol w:w="1289"/>
      </w:tblGrid>
      <w:tr w14:paraId="64733FE7" w14:textId="77777777" w:rsidTr="0003701D">
        <w:tblPrEx>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759" w:type="dxa"/>
            <w:tcBorders>
              <w:top w:val="single" w:sz="6" w:space="0" w:color="auto"/>
              <w:left w:val="single" w:sz="6" w:space="0" w:color="auto"/>
              <w:bottom w:val="single" w:sz="6" w:space="0" w:color="000000"/>
              <w:right w:val="single" w:sz="6" w:space="0" w:color="000000"/>
            </w:tcBorders>
            <w:shd w:val="clear" w:color="auto" w:fill="C6D9F1"/>
            <w:hideMark/>
          </w:tcPr>
          <w:p w:rsidR="003A24E8" w:rsidRPr="00B906B8" w:rsidP="003A24E8" w14:paraId="1100F8EB" w14:textId="77777777">
            <w:pPr>
              <w:overflowPunct/>
              <w:autoSpaceDE/>
              <w:autoSpaceDN/>
              <w:adjustRightInd/>
              <w:rPr>
                <w:sz w:val="22"/>
                <w:szCs w:val="22"/>
              </w:rPr>
            </w:pPr>
            <w:r w:rsidRPr="00B906B8">
              <w:rPr>
                <w:b/>
                <w:bCs/>
                <w:sz w:val="22"/>
                <w:szCs w:val="22"/>
              </w:rPr>
              <w:t>Information</w:t>
            </w:r>
            <w:r w:rsidRPr="00B906B8">
              <w:rPr>
                <w:sz w:val="22"/>
                <w:szCs w:val="22"/>
              </w:rPr>
              <w:t> </w:t>
            </w:r>
          </w:p>
          <w:p w:rsidR="003A24E8" w:rsidRPr="00B906B8" w:rsidP="003A24E8" w14:paraId="5D7D3691" w14:textId="77777777">
            <w:pPr>
              <w:overflowPunct/>
              <w:autoSpaceDE/>
              <w:autoSpaceDN/>
              <w:adjustRightInd/>
              <w:rPr>
                <w:sz w:val="22"/>
                <w:szCs w:val="22"/>
              </w:rPr>
            </w:pPr>
            <w:r w:rsidRPr="00B906B8">
              <w:rPr>
                <w:b/>
                <w:bCs/>
                <w:sz w:val="22"/>
                <w:szCs w:val="22"/>
              </w:rPr>
              <w:t>Collection</w:t>
            </w:r>
            <w:r w:rsidRPr="00B906B8">
              <w:rPr>
                <w:sz w:val="22"/>
                <w:szCs w:val="22"/>
              </w:rPr>
              <w:t> </w:t>
            </w:r>
          </w:p>
        </w:tc>
        <w:tc>
          <w:tcPr>
            <w:tcW w:w="1336" w:type="dxa"/>
            <w:tcBorders>
              <w:top w:val="single" w:sz="6" w:space="0" w:color="auto"/>
              <w:left w:val="single" w:sz="6" w:space="0" w:color="000000"/>
              <w:bottom w:val="single" w:sz="6" w:space="0" w:color="000000"/>
              <w:right w:val="single" w:sz="6" w:space="0" w:color="000000"/>
            </w:tcBorders>
            <w:shd w:val="clear" w:color="auto" w:fill="C6D9F1"/>
            <w:hideMark/>
          </w:tcPr>
          <w:p w:rsidR="003A24E8" w:rsidRPr="00B906B8" w:rsidP="003A24E8" w14:paraId="313925A8" w14:textId="77777777">
            <w:pPr>
              <w:overflowPunct/>
              <w:autoSpaceDE/>
              <w:autoSpaceDN/>
              <w:adjustRightInd/>
              <w:rPr>
                <w:sz w:val="22"/>
                <w:szCs w:val="22"/>
              </w:rPr>
            </w:pPr>
            <w:r w:rsidRPr="00B906B8">
              <w:rPr>
                <w:b/>
                <w:bCs/>
                <w:sz w:val="22"/>
                <w:szCs w:val="22"/>
              </w:rPr>
              <w:t>Number of</w:t>
            </w:r>
            <w:r w:rsidRPr="00B906B8">
              <w:rPr>
                <w:sz w:val="22"/>
                <w:szCs w:val="22"/>
              </w:rPr>
              <w:t> </w:t>
            </w:r>
          </w:p>
          <w:p w:rsidR="003A24E8" w:rsidRPr="00B906B8" w:rsidP="003A24E8" w14:paraId="4F60B6D6" w14:textId="77777777">
            <w:pPr>
              <w:overflowPunct/>
              <w:autoSpaceDE/>
              <w:autoSpaceDN/>
              <w:adjustRightInd/>
              <w:rPr>
                <w:sz w:val="22"/>
                <w:szCs w:val="22"/>
              </w:rPr>
            </w:pPr>
            <w:r w:rsidRPr="00B906B8">
              <w:rPr>
                <w:b/>
                <w:bCs/>
                <w:sz w:val="22"/>
                <w:szCs w:val="22"/>
              </w:rPr>
              <w:t>Respondents</w:t>
            </w:r>
            <w:r w:rsidRPr="00B906B8">
              <w:rPr>
                <w:sz w:val="22"/>
                <w:szCs w:val="22"/>
              </w:rPr>
              <w:t> </w:t>
            </w:r>
          </w:p>
        </w:tc>
        <w:tc>
          <w:tcPr>
            <w:tcW w:w="1617" w:type="dxa"/>
            <w:tcBorders>
              <w:top w:val="single" w:sz="6" w:space="0" w:color="auto"/>
              <w:left w:val="single" w:sz="6" w:space="0" w:color="000000"/>
              <w:bottom w:val="single" w:sz="6" w:space="0" w:color="000000"/>
              <w:right w:val="single" w:sz="6" w:space="0" w:color="000000"/>
            </w:tcBorders>
            <w:shd w:val="clear" w:color="auto" w:fill="C6D9F1"/>
            <w:hideMark/>
          </w:tcPr>
          <w:p w:rsidR="003A24E8" w:rsidRPr="00B906B8" w:rsidP="003A24E8" w14:paraId="7A257BC9" w14:textId="77777777">
            <w:pPr>
              <w:overflowPunct/>
              <w:autoSpaceDE/>
              <w:autoSpaceDN/>
              <w:adjustRightInd/>
              <w:rPr>
                <w:sz w:val="22"/>
                <w:szCs w:val="22"/>
              </w:rPr>
            </w:pPr>
            <w:r w:rsidRPr="00B906B8">
              <w:rPr>
                <w:b/>
                <w:bCs/>
                <w:sz w:val="22"/>
                <w:szCs w:val="22"/>
              </w:rPr>
              <w:t>*Average Number of Reponses per Respondent</w:t>
            </w:r>
            <w:r w:rsidRPr="00B906B8">
              <w:rPr>
                <w:sz w:val="22"/>
                <w:szCs w:val="22"/>
              </w:rPr>
              <w:t> </w:t>
            </w:r>
          </w:p>
        </w:tc>
        <w:tc>
          <w:tcPr>
            <w:tcW w:w="1294" w:type="dxa"/>
            <w:tcBorders>
              <w:top w:val="single" w:sz="6" w:space="0" w:color="auto"/>
              <w:left w:val="single" w:sz="6" w:space="0" w:color="000000"/>
              <w:bottom w:val="single" w:sz="6" w:space="0" w:color="000000"/>
              <w:right w:val="single" w:sz="6" w:space="0" w:color="000000"/>
            </w:tcBorders>
            <w:shd w:val="clear" w:color="auto" w:fill="C6D9F1"/>
            <w:hideMark/>
          </w:tcPr>
          <w:p w:rsidR="003A24E8" w:rsidRPr="00B906B8" w:rsidP="003A24E8" w14:paraId="4DDD273F" w14:textId="77777777">
            <w:pPr>
              <w:overflowPunct/>
              <w:autoSpaceDE/>
              <w:autoSpaceDN/>
              <w:adjustRightInd/>
              <w:rPr>
                <w:sz w:val="22"/>
                <w:szCs w:val="22"/>
              </w:rPr>
            </w:pPr>
            <w:r w:rsidRPr="00B906B8">
              <w:rPr>
                <w:b/>
                <w:bCs/>
                <w:sz w:val="22"/>
                <w:szCs w:val="22"/>
              </w:rPr>
              <w:t>Total Annual Responses</w:t>
            </w:r>
            <w:r w:rsidRPr="00B906B8">
              <w:rPr>
                <w:sz w:val="22"/>
                <w:szCs w:val="22"/>
              </w:rPr>
              <w:t> </w:t>
            </w:r>
          </w:p>
        </w:tc>
        <w:tc>
          <w:tcPr>
            <w:tcW w:w="1439" w:type="dxa"/>
            <w:tcBorders>
              <w:top w:val="single" w:sz="6" w:space="0" w:color="auto"/>
              <w:left w:val="single" w:sz="6" w:space="0" w:color="000000"/>
              <w:bottom w:val="single" w:sz="6" w:space="0" w:color="000000"/>
              <w:right w:val="single" w:sz="6" w:space="0" w:color="000000"/>
            </w:tcBorders>
            <w:shd w:val="clear" w:color="auto" w:fill="C6D9F1"/>
            <w:hideMark/>
          </w:tcPr>
          <w:p w:rsidR="003A24E8" w:rsidRPr="00B906B8" w:rsidP="003A24E8" w14:paraId="082EDF53" w14:textId="77777777">
            <w:pPr>
              <w:overflowPunct/>
              <w:autoSpaceDE/>
              <w:autoSpaceDN/>
              <w:adjustRightInd/>
              <w:jc w:val="center"/>
              <w:rPr>
                <w:sz w:val="22"/>
                <w:szCs w:val="22"/>
              </w:rPr>
            </w:pPr>
            <w:r w:rsidRPr="00B906B8">
              <w:rPr>
                <w:b/>
                <w:bCs/>
                <w:sz w:val="22"/>
                <w:szCs w:val="22"/>
              </w:rPr>
              <w:t>Burden Hours/Minutes per Response</w:t>
            </w:r>
            <w:r w:rsidRPr="00B906B8">
              <w:rPr>
                <w:sz w:val="22"/>
                <w:szCs w:val="22"/>
              </w:rPr>
              <w:t> </w:t>
            </w:r>
          </w:p>
        </w:tc>
        <w:tc>
          <w:tcPr>
            <w:tcW w:w="1262" w:type="dxa"/>
            <w:tcBorders>
              <w:top w:val="single" w:sz="6" w:space="0" w:color="auto"/>
              <w:left w:val="single" w:sz="6" w:space="0" w:color="000000"/>
              <w:bottom w:val="single" w:sz="6" w:space="0" w:color="000000"/>
              <w:right w:val="single" w:sz="6" w:space="0" w:color="000000"/>
            </w:tcBorders>
            <w:shd w:val="clear" w:color="auto" w:fill="C6D9F1"/>
            <w:hideMark/>
          </w:tcPr>
          <w:p w:rsidR="003A24E8" w:rsidRPr="00B906B8" w:rsidP="003A24E8" w14:paraId="79690C60" w14:textId="77777777">
            <w:pPr>
              <w:overflowPunct/>
              <w:autoSpaceDE/>
              <w:autoSpaceDN/>
              <w:adjustRightInd/>
              <w:rPr>
                <w:sz w:val="22"/>
                <w:szCs w:val="22"/>
              </w:rPr>
            </w:pPr>
            <w:r w:rsidRPr="00B906B8">
              <w:rPr>
                <w:b/>
                <w:bCs/>
                <w:sz w:val="22"/>
                <w:szCs w:val="22"/>
              </w:rPr>
              <w:t>    Total  </w:t>
            </w:r>
            <w:r w:rsidRPr="00B906B8">
              <w:rPr>
                <w:sz w:val="22"/>
                <w:szCs w:val="22"/>
              </w:rPr>
              <w:t> </w:t>
            </w:r>
          </w:p>
          <w:p w:rsidR="003A24E8" w:rsidRPr="00B906B8" w:rsidP="003A24E8" w14:paraId="6BD9DAE5" w14:textId="77777777">
            <w:pPr>
              <w:overflowPunct/>
              <w:autoSpaceDE/>
              <w:autoSpaceDN/>
              <w:adjustRightInd/>
              <w:rPr>
                <w:sz w:val="22"/>
                <w:szCs w:val="22"/>
              </w:rPr>
            </w:pPr>
            <w:r w:rsidRPr="00B906B8">
              <w:rPr>
                <w:b/>
                <w:bCs/>
                <w:sz w:val="22"/>
                <w:szCs w:val="22"/>
              </w:rPr>
              <w:t>    Hours       </w:t>
            </w:r>
            <w:r w:rsidRPr="00B906B8">
              <w:rPr>
                <w:sz w:val="22"/>
                <w:szCs w:val="22"/>
              </w:rPr>
              <w:t> </w:t>
            </w:r>
          </w:p>
        </w:tc>
        <w:tc>
          <w:tcPr>
            <w:tcW w:w="788" w:type="dxa"/>
            <w:tcBorders>
              <w:top w:val="single" w:sz="6" w:space="0" w:color="auto"/>
              <w:left w:val="single" w:sz="6" w:space="0" w:color="000000"/>
              <w:bottom w:val="single" w:sz="6" w:space="0" w:color="000000"/>
              <w:right w:val="single" w:sz="6" w:space="0" w:color="000000"/>
            </w:tcBorders>
            <w:shd w:val="clear" w:color="auto" w:fill="C6D9F1"/>
            <w:hideMark/>
          </w:tcPr>
          <w:p w:rsidR="003A24E8" w:rsidRPr="00B906B8" w:rsidP="003A24E8" w14:paraId="13D30931" w14:textId="77777777">
            <w:pPr>
              <w:overflowPunct/>
              <w:autoSpaceDE/>
              <w:autoSpaceDN/>
              <w:adjustRightInd/>
              <w:rPr>
                <w:sz w:val="22"/>
                <w:szCs w:val="22"/>
              </w:rPr>
            </w:pPr>
            <w:r w:rsidRPr="00B906B8">
              <w:rPr>
                <w:b/>
                <w:bCs/>
                <w:sz w:val="22"/>
                <w:szCs w:val="22"/>
              </w:rPr>
              <w:t>Hourly Cost</w:t>
            </w:r>
            <w:r w:rsidRPr="00B906B8">
              <w:rPr>
                <w:sz w:val="22"/>
                <w:szCs w:val="22"/>
              </w:rPr>
              <w:t> </w:t>
            </w:r>
          </w:p>
        </w:tc>
        <w:tc>
          <w:tcPr>
            <w:tcW w:w="1289" w:type="dxa"/>
            <w:tcBorders>
              <w:top w:val="single" w:sz="6" w:space="0" w:color="auto"/>
              <w:left w:val="single" w:sz="6" w:space="0" w:color="000000"/>
              <w:bottom w:val="single" w:sz="6" w:space="0" w:color="000000"/>
              <w:right w:val="single" w:sz="6" w:space="0" w:color="000000"/>
            </w:tcBorders>
            <w:shd w:val="clear" w:color="auto" w:fill="C6D9F1"/>
            <w:hideMark/>
          </w:tcPr>
          <w:p w:rsidR="003A24E8" w:rsidRPr="00B906B8" w:rsidP="003A24E8" w14:paraId="3E526E9F" w14:textId="77777777">
            <w:pPr>
              <w:overflowPunct/>
              <w:autoSpaceDE/>
              <w:autoSpaceDN/>
              <w:adjustRightInd/>
              <w:rPr>
                <w:sz w:val="22"/>
                <w:szCs w:val="22"/>
              </w:rPr>
            </w:pPr>
            <w:r w:rsidRPr="00B906B8">
              <w:rPr>
                <w:b/>
                <w:bCs/>
                <w:sz w:val="22"/>
                <w:szCs w:val="22"/>
              </w:rPr>
              <w:t>Total Annual Cost</w:t>
            </w:r>
            <w:r w:rsidRPr="00B906B8">
              <w:rPr>
                <w:sz w:val="22"/>
                <w:szCs w:val="22"/>
              </w:rPr>
              <w:t> </w:t>
            </w:r>
          </w:p>
          <w:p w:rsidR="003A24E8" w:rsidRPr="00B906B8" w:rsidP="003A24E8" w14:paraId="6E7BEAA2" w14:textId="77777777">
            <w:pPr>
              <w:overflowPunct/>
              <w:autoSpaceDE/>
              <w:autoSpaceDN/>
              <w:adjustRightInd/>
              <w:rPr>
                <w:sz w:val="22"/>
                <w:szCs w:val="22"/>
              </w:rPr>
            </w:pPr>
            <w:r w:rsidRPr="00B906B8">
              <w:rPr>
                <w:sz w:val="22"/>
                <w:szCs w:val="22"/>
              </w:rPr>
              <w:t> </w:t>
            </w:r>
          </w:p>
        </w:tc>
      </w:tr>
      <w:tr w14:paraId="3845A638" w14:textId="77777777" w:rsidTr="0003701D">
        <w:tblPrEx>
          <w:tblW w:w="10784" w:type="dxa"/>
          <w:tblCellMar>
            <w:left w:w="0" w:type="dxa"/>
            <w:right w:w="0" w:type="dxa"/>
          </w:tblCellMar>
          <w:tblLook w:val="04A0"/>
        </w:tblPrEx>
        <w:trPr>
          <w:trHeight w:val="300"/>
        </w:trPr>
        <w:tc>
          <w:tcPr>
            <w:tcW w:w="1759" w:type="dxa"/>
            <w:tcBorders>
              <w:top w:val="single" w:sz="6" w:space="0" w:color="000000"/>
              <w:left w:val="single" w:sz="6" w:space="0" w:color="auto"/>
              <w:bottom w:val="nil"/>
              <w:right w:val="single" w:sz="6" w:space="0" w:color="000000"/>
            </w:tcBorders>
            <w:shd w:val="clear" w:color="auto" w:fill="auto"/>
            <w:hideMark/>
          </w:tcPr>
          <w:p w:rsidR="0003701D" w:rsidRPr="00B906B8" w:rsidP="0003701D" w14:paraId="12513C2A" w14:textId="25E69D39">
            <w:pPr>
              <w:overflowPunct/>
              <w:autoSpaceDE/>
              <w:autoSpaceDN/>
              <w:adjustRightInd/>
              <w:jc w:val="center"/>
              <w:rPr>
                <w:sz w:val="22"/>
                <w:szCs w:val="22"/>
              </w:rPr>
            </w:pPr>
            <w:r>
              <w:rPr>
                <w:rStyle w:val="normaltextrun"/>
                <w:color w:val="000000"/>
                <w:sz w:val="18"/>
                <w:szCs w:val="18"/>
              </w:rPr>
              <w:t>OMB Control No. 2577-0161</w:t>
            </w:r>
          </w:p>
        </w:tc>
        <w:tc>
          <w:tcPr>
            <w:tcW w:w="1336" w:type="dxa"/>
            <w:tcBorders>
              <w:top w:val="single" w:sz="6" w:space="0" w:color="000000"/>
              <w:left w:val="single" w:sz="6" w:space="0" w:color="000000"/>
              <w:bottom w:val="nil"/>
              <w:right w:val="single" w:sz="6" w:space="0" w:color="000000"/>
            </w:tcBorders>
            <w:shd w:val="clear" w:color="auto" w:fill="auto"/>
            <w:hideMark/>
          </w:tcPr>
          <w:p w:rsidR="0003701D" w:rsidRPr="00B906B8" w:rsidP="0003701D" w14:paraId="67E13AA6" w14:textId="1B2A5220">
            <w:pPr>
              <w:overflowPunct/>
              <w:autoSpaceDE/>
              <w:autoSpaceDN/>
              <w:adjustRightInd/>
              <w:jc w:val="center"/>
              <w:rPr>
                <w:sz w:val="22"/>
                <w:szCs w:val="22"/>
              </w:rPr>
            </w:pPr>
            <w:r>
              <w:rPr>
                <w:rStyle w:val="normaltextrun"/>
                <w:color w:val="000000"/>
                <w:sz w:val="18"/>
                <w:szCs w:val="18"/>
              </w:rPr>
              <w:t>75*</w:t>
            </w:r>
          </w:p>
        </w:tc>
        <w:tc>
          <w:tcPr>
            <w:tcW w:w="1617" w:type="dxa"/>
            <w:tcBorders>
              <w:top w:val="single" w:sz="6" w:space="0" w:color="000000"/>
              <w:left w:val="single" w:sz="6" w:space="0" w:color="000000"/>
              <w:bottom w:val="nil"/>
              <w:right w:val="single" w:sz="6" w:space="0" w:color="000000"/>
            </w:tcBorders>
            <w:shd w:val="clear" w:color="auto" w:fill="auto"/>
            <w:hideMark/>
          </w:tcPr>
          <w:p w:rsidR="0003701D" w:rsidRPr="00B906B8" w:rsidP="0003701D" w14:paraId="14F757DE" w14:textId="419D54DD">
            <w:pPr>
              <w:overflowPunct/>
              <w:autoSpaceDE/>
              <w:autoSpaceDN/>
              <w:adjustRightInd/>
              <w:jc w:val="center"/>
              <w:rPr>
                <w:sz w:val="22"/>
                <w:szCs w:val="22"/>
              </w:rPr>
            </w:pPr>
            <w:r>
              <w:rPr>
                <w:rStyle w:val="normaltextrun"/>
                <w:color w:val="000000"/>
                <w:sz w:val="18"/>
                <w:szCs w:val="18"/>
              </w:rPr>
              <w:t>1</w:t>
            </w:r>
          </w:p>
        </w:tc>
        <w:tc>
          <w:tcPr>
            <w:tcW w:w="1294" w:type="dxa"/>
            <w:tcBorders>
              <w:top w:val="single" w:sz="6" w:space="0" w:color="000000"/>
              <w:left w:val="single" w:sz="6" w:space="0" w:color="000000"/>
              <w:bottom w:val="nil"/>
              <w:right w:val="single" w:sz="6" w:space="0" w:color="000000"/>
            </w:tcBorders>
            <w:shd w:val="clear" w:color="auto" w:fill="auto"/>
            <w:hideMark/>
          </w:tcPr>
          <w:p w:rsidR="0003701D" w:rsidRPr="00B906B8" w:rsidP="0003701D" w14:paraId="39A13D82" w14:textId="4BCD87D0">
            <w:pPr>
              <w:overflowPunct/>
              <w:autoSpaceDE/>
              <w:autoSpaceDN/>
              <w:adjustRightInd/>
              <w:jc w:val="center"/>
              <w:rPr>
                <w:sz w:val="22"/>
                <w:szCs w:val="22"/>
              </w:rPr>
            </w:pPr>
            <w:r>
              <w:rPr>
                <w:rStyle w:val="normaltextrun"/>
                <w:rFonts w:ascii="Arial" w:hAnsi="Arial" w:cs="Arial"/>
                <w:color w:val="000000"/>
                <w:sz w:val="18"/>
                <w:szCs w:val="18"/>
              </w:rPr>
              <w:t>75</w:t>
            </w:r>
          </w:p>
        </w:tc>
        <w:tc>
          <w:tcPr>
            <w:tcW w:w="1439" w:type="dxa"/>
            <w:tcBorders>
              <w:top w:val="single" w:sz="6" w:space="0" w:color="000000"/>
              <w:left w:val="single" w:sz="6" w:space="0" w:color="000000"/>
              <w:bottom w:val="nil"/>
              <w:right w:val="single" w:sz="6" w:space="0" w:color="000000"/>
            </w:tcBorders>
            <w:shd w:val="clear" w:color="auto" w:fill="auto"/>
            <w:hideMark/>
          </w:tcPr>
          <w:p w:rsidR="0003701D" w:rsidRPr="00B906B8" w:rsidP="0003701D" w14:paraId="78829E4B" w14:textId="26E01520">
            <w:pPr>
              <w:overflowPunct/>
              <w:autoSpaceDE/>
              <w:autoSpaceDN/>
              <w:adjustRightInd/>
              <w:jc w:val="center"/>
              <w:rPr>
                <w:sz w:val="22"/>
                <w:szCs w:val="22"/>
              </w:rPr>
            </w:pPr>
            <w:r>
              <w:rPr>
                <w:rStyle w:val="normaltextrun"/>
                <w:color w:val="000000"/>
                <w:sz w:val="18"/>
                <w:szCs w:val="18"/>
              </w:rPr>
              <w:t>24</w:t>
            </w:r>
          </w:p>
        </w:tc>
        <w:tc>
          <w:tcPr>
            <w:tcW w:w="1262" w:type="dxa"/>
            <w:tcBorders>
              <w:top w:val="single" w:sz="6" w:space="0" w:color="000000"/>
              <w:left w:val="single" w:sz="6" w:space="0" w:color="000000"/>
              <w:bottom w:val="nil"/>
              <w:right w:val="single" w:sz="6" w:space="0" w:color="000000"/>
            </w:tcBorders>
            <w:shd w:val="clear" w:color="auto" w:fill="auto"/>
            <w:vAlign w:val="center"/>
            <w:hideMark/>
          </w:tcPr>
          <w:p w:rsidR="0003701D" w:rsidRPr="00B906B8" w:rsidP="0003701D" w14:paraId="08D0FF7D" w14:textId="7D9728F0">
            <w:pPr>
              <w:overflowPunct/>
              <w:autoSpaceDE/>
              <w:autoSpaceDN/>
              <w:adjustRightInd/>
              <w:jc w:val="center"/>
              <w:rPr>
                <w:sz w:val="22"/>
                <w:szCs w:val="22"/>
              </w:rPr>
            </w:pPr>
            <w:r>
              <w:rPr>
                <w:rStyle w:val="normaltextrun"/>
                <w:color w:val="000000"/>
              </w:rPr>
              <w:t>1, 800</w:t>
            </w:r>
          </w:p>
        </w:tc>
        <w:tc>
          <w:tcPr>
            <w:tcW w:w="788" w:type="dxa"/>
            <w:tcBorders>
              <w:top w:val="single" w:sz="6" w:space="0" w:color="000000"/>
              <w:left w:val="single" w:sz="6" w:space="0" w:color="000000"/>
              <w:bottom w:val="nil"/>
              <w:right w:val="single" w:sz="6" w:space="0" w:color="000000"/>
            </w:tcBorders>
            <w:shd w:val="clear" w:color="auto" w:fill="auto"/>
            <w:hideMark/>
          </w:tcPr>
          <w:p w:rsidR="0003701D" w:rsidRPr="00B906B8" w:rsidP="0003701D" w14:paraId="35241D08" w14:textId="2B0A87DC">
            <w:pPr>
              <w:overflowPunct/>
              <w:autoSpaceDE/>
              <w:autoSpaceDN/>
              <w:adjustRightInd/>
              <w:jc w:val="center"/>
              <w:rPr>
                <w:sz w:val="22"/>
                <w:szCs w:val="22"/>
              </w:rPr>
            </w:pPr>
            <w:r>
              <w:rPr>
                <w:rStyle w:val="normaltextrun"/>
                <w:color w:val="000000"/>
                <w:sz w:val="18"/>
                <w:szCs w:val="18"/>
              </w:rPr>
              <w:t>$30.95</w:t>
            </w:r>
          </w:p>
        </w:tc>
        <w:tc>
          <w:tcPr>
            <w:tcW w:w="1289" w:type="dxa"/>
            <w:tcBorders>
              <w:top w:val="single" w:sz="6" w:space="0" w:color="000000"/>
              <w:left w:val="single" w:sz="6" w:space="0" w:color="000000"/>
              <w:bottom w:val="nil"/>
              <w:right w:val="single" w:sz="6" w:space="0" w:color="000000"/>
            </w:tcBorders>
            <w:shd w:val="clear" w:color="auto" w:fill="auto"/>
            <w:vAlign w:val="center"/>
            <w:hideMark/>
          </w:tcPr>
          <w:p w:rsidR="0003701D" w:rsidRPr="00B906B8" w:rsidP="0003701D" w14:paraId="550284B4" w14:textId="4E0AC263">
            <w:pPr>
              <w:overflowPunct/>
              <w:autoSpaceDE/>
              <w:autoSpaceDN/>
              <w:adjustRightInd/>
              <w:jc w:val="center"/>
              <w:rPr>
                <w:sz w:val="22"/>
                <w:szCs w:val="22"/>
              </w:rPr>
            </w:pPr>
            <w:r>
              <w:rPr>
                <w:rStyle w:val="normaltextrun"/>
                <w:color w:val="000000"/>
              </w:rPr>
              <w:t>$55,710</w:t>
            </w:r>
          </w:p>
        </w:tc>
      </w:tr>
      <w:tr w14:paraId="07324319" w14:textId="77777777" w:rsidTr="0003701D">
        <w:tblPrEx>
          <w:tblW w:w="10784" w:type="dxa"/>
          <w:tblCellMar>
            <w:left w:w="0" w:type="dxa"/>
            <w:right w:w="0" w:type="dxa"/>
          </w:tblCellMar>
          <w:tblLook w:val="04A0"/>
        </w:tblPrEx>
        <w:trPr>
          <w:trHeight w:val="300"/>
        </w:trPr>
        <w:tc>
          <w:tcPr>
            <w:tcW w:w="1759" w:type="dxa"/>
            <w:tcBorders>
              <w:top w:val="nil"/>
              <w:left w:val="single" w:sz="6" w:space="0" w:color="auto"/>
              <w:bottom w:val="single" w:sz="6" w:space="0" w:color="auto"/>
              <w:right w:val="single" w:sz="6" w:space="0" w:color="000000"/>
            </w:tcBorders>
            <w:shd w:val="clear" w:color="auto" w:fill="auto"/>
            <w:hideMark/>
          </w:tcPr>
          <w:p w:rsidR="003A24E8" w:rsidRPr="00B906B8" w:rsidP="003A24E8" w14:paraId="4F8F56C0" w14:textId="77777777">
            <w:pPr>
              <w:overflowPunct/>
              <w:autoSpaceDE/>
              <w:autoSpaceDN/>
              <w:adjustRightInd/>
              <w:rPr>
                <w:sz w:val="22"/>
                <w:szCs w:val="22"/>
              </w:rPr>
            </w:pPr>
            <w:r w:rsidRPr="00B906B8">
              <w:rPr>
                <w:sz w:val="22"/>
                <w:szCs w:val="22"/>
              </w:rPr>
              <w:t> </w:t>
            </w:r>
          </w:p>
        </w:tc>
        <w:tc>
          <w:tcPr>
            <w:tcW w:w="1336" w:type="dxa"/>
            <w:tcBorders>
              <w:top w:val="nil"/>
              <w:left w:val="single" w:sz="6" w:space="0" w:color="000000"/>
              <w:bottom w:val="single" w:sz="6" w:space="0" w:color="auto"/>
              <w:right w:val="single" w:sz="6" w:space="0" w:color="000000"/>
            </w:tcBorders>
            <w:shd w:val="clear" w:color="auto" w:fill="auto"/>
            <w:hideMark/>
          </w:tcPr>
          <w:p w:rsidR="003A24E8" w:rsidRPr="00B906B8" w:rsidP="003A24E8" w14:paraId="649CC1FA" w14:textId="77777777">
            <w:pPr>
              <w:overflowPunct/>
              <w:autoSpaceDE/>
              <w:autoSpaceDN/>
              <w:adjustRightInd/>
              <w:jc w:val="center"/>
              <w:rPr>
                <w:sz w:val="22"/>
                <w:szCs w:val="22"/>
              </w:rPr>
            </w:pPr>
            <w:r w:rsidRPr="00B906B8">
              <w:rPr>
                <w:sz w:val="22"/>
                <w:szCs w:val="22"/>
              </w:rPr>
              <w:t> </w:t>
            </w:r>
          </w:p>
        </w:tc>
        <w:tc>
          <w:tcPr>
            <w:tcW w:w="1617" w:type="dxa"/>
            <w:tcBorders>
              <w:top w:val="nil"/>
              <w:left w:val="single" w:sz="6" w:space="0" w:color="000000"/>
              <w:bottom w:val="single" w:sz="6" w:space="0" w:color="auto"/>
              <w:right w:val="single" w:sz="6" w:space="0" w:color="000000"/>
            </w:tcBorders>
            <w:shd w:val="clear" w:color="auto" w:fill="auto"/>
            <w:hideMark/>
          </w:tcPr>
          <w:p w:rsidR="003A24E8" w:rsidRPr="00B906B8" w:rsidP="003A24E8" w14:paraId="10EF996B" w14:textId="77777777">
            <w:pPr>
              <w:overflowPunct/>
              <w:autoSpaceDE/>
              <w:autoSpaceDN/>
              <w:adjustRightInd/>
              <w:jc w:val="center"/>
              <w:rPr>
                <w:sz w:val="22"/>
                <w:szCs w:val="22"/>
              </w:rPr>
            </w:pPr>
            <w:r w:rsidRPr="00B906B8">
              <w:rPr>
                <w:sz w:val="22"/>
                <w:szCs w:val="22"/>
              </w:rPr>
              <w:t> </w:t>
            </w:r>
          </w:p>
        </w:tc>
        <w:tc>
          <w:tcPr>
            <w:tcW w:w="1294" w:type="dxa"/>
            <w:tcBorders>
              <w:top w:val="nil"/>
              <w:left w:val="single" w:sz="6" w:space="0" w:color="000000"/>
              <w:bottom w:val="single" w:sz="6" w:space="0" w:color="auto"/>
              <w:right w:val="single" w:sz="6" w:space="0" w:color="000000"/>
            </w:tcBorders>
            <w:shd w:val="clear" w:color="auto" w:fill="auto"/>
            <w:hideMark/>
          </w:tcPr>
          <w:p w:rsidR="003A24E8" w:rsidRPr="00B906B8" w:rsidP="003A24E8" w14:paraId="5E3886A4" w14:textId="77777777">
            <w:pPr>
              <w:overflowPunct/>
              <w:autoSpaceDE/>
              <w:autoSpaceDN/>
              <w:adjustRightInd/>
              <w:jc w:val="center"/>
              <w:rPr>
                <w:sz w:val="22"/>
                <w:szCs w:val="22"/>
              </w:rPr>
            </w:pPr>
            <w:r w:rsidRPr="00B906B8">
              <w:rPr>
                <w:sz w:val="22"/>
                <w:szCs w:val="22"/>
              </w:rPr>
              <w:t> </w:t>
            </w:r>
          </w:p>
        </w:tc>
        <w:tc>
          <w:tcPr>
            <w:tcW w:w="1439" w:type="dxa"/>
            <w:tcBorders>
              <w:top w:val="nil"/>
              <w:left w:val="single" w:sz="6" w:space="0" w:color="000000"/>
              <w:bottom w:val="single" w:sz="6" w:space="0" w:color="auto"/>
              <w:right w:val="single" w:sz="6" w:space="0" w:color="000000"/>
            </w:tcBorders>
            <w:shd w:val="clear" w:color="auto" w:fill="auto"/>
            <w:hideMark/>
          </w:tcPr>
          <w:p w:rsidR="003A24E8" w:rsidRPr="00B906B8" w:rsidP="003A24E8" w14:paraId="4ECEB114" w14:textId="77777777">
            <w:pPr>
              <w:overflowPunct/>
              <w:autoSpaceDE/>
              <w:autoSpaceDN/>
              <w:adjustRightInd/>
              <w:jc w:val="center"/>
              <w:rPr>
                <w:sz w:val="22"/>
                <w:szCs w:val="22"/>
              </w:rPr>
            </w:pPr>
            <w:r w:rsidRPr="00B906B8">
              <w:rPr>
                <w:sz w:val="22"/>
                <w:szCs w:val="22"/>
              </w:rPr>
              <w:t> </w:t>
            </w:r>
          </w:p>
        </w:tc>
        <w:tc>
          <w:tcPr>
            <w:tcW w:w="1262" w:type="dxa"/>
            <w:tcBorders>
              <w:top w:val="nil"/>
              <w:left w:val="single" w:sz="6" w:space="0" w:color="000000"/>
              <w:bottom w:val="single" w:sz="6" w:space="0" w:color="auto"/>
              <w:right w:val="single" w:sz="6" w:space="0" w:color="000000"/>
            </w:tcBorders>
            <w:shd w:val="clear" w:color="auto" w:fill="auto"/>
            <w:hideMark/>
          </w:tcPr>
          <w:p w:rsidR="003A24E8" w:rsidRPr="00B906B8" w:rsidP="003A24E8" w14:paraId="0D8BF348" w14:textId="77777777">
            <w:pPr>
              <w:overflowPunct/>
              <w:autoSpaceDE/>
              <w:autoSpaceDN/>
              <w:adjustRightInd/>
              <w:jc w:val="center"/>
              <w:rPr>
                <w:sz w:val="22"/>
                <w:szCs w:val="22"/>
              </w:rPr>
            </w:pPr>
            <w:r w:rsidRPr="00B906B8">
              <w:rPr>
                <w:sz w:val="22"/>
                <w:szCs w:val="22"/>
              </w:rPr>
              <w:t> </w:t>
            </w:r>
          </w:p>
        </w:tc>
        <w:tc>
          <w:tcPr>
            <w:tcW w:w="788" w:type="dxa"/>
            <w:tcBorders>
              <w:top w:val="nil"/>
              <w:left w:val="single" w:sz="6" w:space="0" w:color="000000"/>
              <w:bottom w:val="single" w:sz="6" w:space="0" w:color="auto"/>
              <w:right w:val="single" w:sz="6" w:space="0" w:color="000000"/>
            </w:tcBorders>
            <w:shd w:val="clear" w:color="auto" w:fill="auto"/>
            <w:hideMark/>
          </w:tcPr>
          <w:p w:rsidR="003A24E8" w:rsidRPr="00B906B8" w:rsidP="003A24E8" w14:paraId="5EDB29A5" w14:textId="77777777">
            <w:pPr>
              <w:overflowPunct/>
              <w:autoSpaceDE/>
              <w:autoSpaceDN/>
              <w:adjustRightInd/>
              <w:jc w:val="center"/>
              <w:rPr>
                <w:sz w:val="22"/>
                <w:szCs w:val="22"/>
              </w:rPr>
            </w:pPr>
            <w:r w:rsidRPr="00B906B8">
              <w:rPr>
                <w:sz w:val="22"/>
                <w:szCs w:val="22"/>
              </w:rPr>
              <w:t> </w:t>
            </w:r>
          </w:p>
        </w:tc>
        <w:tc>
          <w:tcPr>
            <w:tcW w:w="1289" w:type="dxa"/>
            <w:tcBorders>
              <w:top w:val="nil"/>
              <w:left w:val="single" w:sz="6" w:space="0" w:color="000000"/>
              <w:bottom w:val="single" w:sz="6" w:space="0" w:color="auto"/>
              <w:right w:val="single" w:sz="6" w:space="0" w:color="000000"/>
            </w:tcBorders>
            <w:shd w:val="clear" w:color="auto" w:fill="auto"/>
            <w:hideMark/>
          </w:tcPr>
          <w:p w:rsidR="003A24E8" w:rsidRPr="00B906B8" w:rsidP="003A24E8" w14:paraId="4474F8A0" w14:textId="77777777">
            <w:pPr>
              <w:overflowPunct/>
              <w:autoSpaceDE/>
              <w:autoSpaceDN/>
              <w:adjustRightInd/>
              <w:jc w:val="center"/>
              <w:rPr>
                <w:sz w:val="22"/>
                <w:szCs w:val="22"/>
              </w:rPr>
            </w:pPr>
            <w:r w:rsidRPr="00B906B8">
              <w:rPr>
                <w:sz w:val="22"/>
                <w:szCs w:val="22"/>
              </w:rPr>
              <w:t> </w:t>
            </w:r>
          </w:p>
        </w:tc>
      </w:tr>
      <w:tr w14:paraId="2771B6EA" w14:textId="77777777" w:rsidTr="0003701D">
        <w:tblPrEx>
          <w:tblW w:w="10784" w:type="dxa"/>
          <w:tblCellMar>
            <w:left w:w="0" w:type="dxa"/>
            <w:right w:w="0" w:type="dxa"/>
          </w:tblCellMar>
          <w:tblLook w:val="04A0"/>
        </w:tblPrEx>
        <w:trPr>
          <w:trHeight w:val="510"/>
        </w:trPr>
        <w:tc>
          <w:tcPr>
            <w:tcW w:w="1759" w:type="dxa"/>
            <w:tcBorders>
              <w:top w:val="single" w:sz="6" w:space="0" w:color="auto"/>
              <w:left w:val="nil"/>
              <w:bottom w:val="nil"/>
              <w:right w:val="nil"/>
            </w:tcBorders>
            <w:shd w:val="clear" w:color="auto" w:fill="auto"/>
            <w:vAlign w:val="bottom"/>
            <w:hideMark/>
          </w:tcPr>
          <w:p w:rsidR="003A24E8" w:rsidRPr="00B906B8" w:rsidP="003A24E8" w14:paraId="03D08013" w14:textId="77777777">
            <w:pPr>
              <w:overflowPunct/>
              <w:autoSpaceDE/>
              <w:autoSpaceDN/>
              <w:adjustRightInd/>
              <w:rPr>
                <w:sz w:val="22"/>
                <w:szCs w:val="22"/>
              </w:rPr>
            </w:pPr>
            <w:r w:rsidRPr="00B906B8">
              <w:rPr>
                <w:b/>
                <w:bCs/>
                <w:sz w:val="22"/>
                <w:szCs w:val="22"/>
              </w:rPr>
              <w:t>Totals</w:t>
            </w:r>
            <w:r w:rsidRPr="00B906B8">
              <w:rPr>
                <w:sz w:val="22"/>
                <w:szCs w:val="22"/>
              </w:rPr>
              <w:t> </w:t>
            </w:r>
          </w:p>
        </w:tc>
        <w:tc>
          <w:tcPr>
            <w:tcW w:w="1336" w:type="dxa"/>
            <w:tcBorders>
              <w:top w:val="single" w:sz="6" w:space="0" w:color="auto"/>
              <w:left w:val="nil"/>
              <w:bottom w:val="nil"/>
              <w:right w:val="nil"/>
            </w:tcBorders>
            <w:shd w:val="clear" w:color="auto" w:fill="auto"/>
            <w:vAlign w:val="bottom"/>
            <w:hideMark/>
          </w:tcPr>
          <w:p w:rsidR="003A24E8" w:rsidRPr="00B906B8" w:rsidP="003A24E8" w14:paraId="307451A6" w14:textId="77777777">
            <w:pPr>
              <w:overflowPunct/>
              <w:autoSpaceDE/>
              <w:autoSpaceDN/>
              <w:adjustRightInd/>
              <w:rPr>
                <w:sz w:val="22"/>
                <w:szCs w:val="22"/>
              </w:rPr>
            </w:pPr>
            <w:r w:rsidRPr="00B906B8">
              <w:rPr>
                <w:sz w:val="22"/>
                <w:szCs w:val="22"/>
              </w:rPr>
              <w:t>75</w:t>
            </w:r>
            <w:r w:rsidRPr="00B906B8">
              <w:rPr>
                <w:sz w:val="22"/>
                <w:szCs w:val="22"/>
              </w:rPr>
              <w:t> </w:t>
            </w:r>
          </w:p>
        </w:tc>
        <w:tc>
          <w:tcPr>
            <w:tcW w:w="2911" w:type="dxa"/>
            <w:gridSpan w:val="2"/>
            <w:tcBorders>
              <w:top w:val="single" w:sz="6" w:space="0" w:color="auto"/>
              <w:left w:val="nil"/>
              <w:bottom w:val="nil"/>
              <w:right w:val="nil"/>
            </w:tcBorders>
            <w:shd w:val="clear" w:color="auto" w:fill="auto"/>
            <w:vAlign w:val="bottom"/>
            <w:hideMark/>
          </w:tcPr>
          <w:p w:rsidR="003A24E8" w:rsidRPr="00B906B8" w:rsidP="003A24E8" w14:paraId="74D21CE3" w14:textId="77777777">
            <w:pPr>
              <w:overflowPunct/>
              <w:autoSpaceDE/>
              <w:autoSpaceDN/>
              <w:adjustRightInd/>
              <w:rPr>
                <w:sz w:val="22"/>
                <w:szCs w:val="22"/>
              </w:rPr>
            </w:pPr>
            <w:r w:rsidRPr="00B906B8">
              <w:rPr>
                <w:b/>
                <w:bCs/>
                <w:sz w:val="22"/>
                <w:szCs w:val="22"/>
              </w:rPr>
              <w:t xml:space="preserve">Total Responses: </w:t>
            </w:r>
            <w:r w:rsidRPr="00B906B8" w:rsidR="001D033B">
              <w:rPr>
                <w:b/>
                <w:bCs/>
                <w:sz w:val="22"/>
                <w:szCs w:val="22"/>
              </w:rPr>
              <w:t>75</w:t>
            </w:r>
            <w:r w:rsidRPr="00B906B8">
              <w:rPr>
                <w:b/>
                <w:bCs/>
                <w:sz w:val="22"/>
                <w:szCs w:val="22"/>
              </w:rPr>
              <w:t> </w:t>
            </w:r>
            <w:r w:rsidRPr="00B906B8">
              <w:rPr>
                <w:sz w:val="22"/>
                <w:szCs w:val="22"/>
              </w:rPr>
              <w:t> </w:t>
            </w:r>
          </w:p>
        </w:tc>
        <w:tc>
          <w:tcPr>
            <w:tcW w:w="2701" w:type="dxa"/>
            <w:gridSpan w:val="2"/>
            <w:tcBorders>
              <w:top w:val="single" w:sz="6" w:space="0" w:color="auto"/>
              <w:left w:val="nil"/>
              <w:bottom w:val="nil"/>
              <w:right w:val="nil"/>
            </w:tcBorders>
            <w:shd w:val="clear" w:color="auto" w:fill="auto"/>
            <w:vAlign w:val="bottom"/>
            <w:hideMark/>
          </w:tcPr>
          <w:p w:rsidR="003A24E8" w:rsidRPr="00B906B8" w:rsidP="003A24E8" w14:paraId="6BC9D9B5" w14:textId="77777777">
            <w:pPr>
              <w:overflowPunct/>
              <w:autoSpaceDE/>
              <w:autoSpaceDN/>
              <w:adjustRightInd/>
              <w:rPr>
                <w:sz w:val="22"/>
                <w:szCs w:val="22"/>
              </w:rPr>
            </w:pPr>
            <w:r w:rsidRPr="00B906B8">
              <w:rPr>
                <w:b/>
                <w:bCs/>
                <w:sz w:val="22"/>
                <w:szCs w:val="22"/>
              </w:rPr>
              <w:t>Total Hours:</w:t>
            </w:r>
            <w:r w:rsidRPr="00B906B8">
              <w:rPr>
                <w:color w:val="000080"/>
                <w:sz w:val="22"/>
                <w:szCs w:val="22"/>
                <w:shd w:val="clear" w:color="auto" w:fill="E1E3E6"/>
              </w:rPr>
              <w:t xml:space="preserve"> </w:t>
            </w:r>
            <w:r w:rsidRPr="00B906B8" w:rsidR="001D033B">
              <w:rPr>
                <w:color w:val="000080"/>
                <w:sz w:val="22"/>
                <w:szCs w:val="22"/>
                <w:shd w:val="clear" w:color="auto" w:fill="E1E3E6"/>
              </w:rPr>
              <w:t>1800</w:t>
            </w:r>
            <w:r w:rsidRPr="00B906B8">
              <w:rPr>
                <w:color w:val="000080"/>
                <w:sz w:val="22"/>
                <w:szCs w:val="22"/>
              </w:rPr>
              <w:t> </w:t>
            </w:r>
          </w:p>
        </w:tc>
        <w:tc>
          <w:tcPr>
            <w:tcW w:w="788" w:type="dxa"/>
            <w:tcBorders>
              <w:top w:val="single" w:sz="6" w:space="0" w:color="auto"/>
              <w:left w:val="nil"/>
              <w:bottom w:val="nil"/>
              <w:right w:val="nil"/>
            </w:tcBorders>
            <w:shd w:val="clear" w:color="auto" w:fill="auto"/>
            <w:hideMark/>
          </w:tcPr>
          <w:p w:rsidR="003A24E8" w:rsidRPr="00B906B8" w:rsidP="003A24E8" w14:paraId="5E6F60B5" w14:textId="77777777">
            <w:pPr>
              <w:overflowPunct/>
              <w:autoSpaceDE/>
              <w:autoSpaceDN/>
              <w:adjustRightInd/>
              <w:rPr>
                <w:sz w:val="22"/>
                <w:szCs w:val="22"/>
              </w:rPr>
            </w:pPr>
            <w:r w:rsidRPr="00B906B8">
              <w:rPr>
                <w:sz w:val="22"/>
                <w:szCs w:val="22"/>
              </w:rPr>
              <w:t> </w:t>
            </w:r>
          </w:p>
        </w:tc>
        <w:tc>
          <w:tcPr>
            <w:tcW w:w="1289" w:type="dxa"/>
            <w:tcBorders>
              <w:top w:val="single" w:sz="6" w:space="0" w:color="auto"/>
              <w:left w:val="nil"/>
              <w:bottom w:val="nil"/>
              <w:right w:val="nil"/>
            </w:tcBorders>
            <w:shd w:val="clear" w:color="auto" w:fill="auto"/>
            <w:hideMark/>
          </w:tcPr>
          <w:p w:rsidR="003A24E8" w:rsidRPr="00B906B8" w:rsidP="003A24E8" w14:paraId="1DF8BA61" w14:textId="77777777">
            <w:pPr>
              <w:overflowPunct/>
              <w:autoSpaceDE/>
              <w:autoSpaceDN/>
              <w:adjustRightInd/>
              <w:rPr>
                <w:sz w:val="22"/>
                <w:szCs w:val="22"/>
              </w:rPr>
            </w:pPr>
            <w:r w:rsidRPr="00B906B8">
              <w:rPr>
                <w:sz w:val="22"/>
                <w:szCs w:val="22"/>
              </w:rPr>
              <w:t> </w:t>
            </w:r>
          </w:p>
        </w:tc>
      </w:tr>
    </w:tbl>
    <w:p w:rsidR="003A24E8" w:rsidRPr="00B906B8" w:rsidP="003A24E8" w14:paraId="365DB198" w14:textId="77777777">
      <w:pPr>
        <w:overflowPunct/>
        <w:autoSpaceDE/>
        <w:autoSpaceDN/>
        <w:adjustRightInd/>
        <w:rPr>
          <w:sz w:val="22"/>
          <w:szCs w:val="22"/>
        </w:rPr>
      </w:pPr>
      <w:r w:rsidRPr="00B906B8">
        <w:rPr>
          <w:sz w:val="22"/>
          <w:szCs w:val="22"/>
        </w:rPr>
        <w:t> </w:t>
      </w:r>
    </w:p>
    <w:p w:rsidR="0003701D" w:rsidRPr="0003701D" w:rsidP="0003701D" w14:paraId="2831538D" w14:textId="77777777">
      <w:pPr>
        <w:ind w:left="720"/>
        <w:rPr>
          <w:sz w:val="22"/>
          <w:szCs w:val="22"/>
        </w:rPr>
      </w:pPr>
      <w:r w:rsidRPr="0003701D">
        <w:rPr>
          <w:sz w:val="22"/>
          <w:szCs w:val="22"/>
        </w:rPr>
        <w:t>*The Department estimates that out of a total of 3,763 PHAs only 2 percent or 75 PHAs contract with </w:t>
      </w:r>
    </w:p>
    <w:p w:rsidR="0003701D" w:rsidRPr="0003701D" w:rsidP="0003701D" w14:paraId="075F1ED8" w14:textId="77777777">
      <w:pPr>
        <w:ind w:left="720"/>
        <w:rPr>
          <w:sz w:val="22"/>
          <w:szCs w:val="22"/>
        </w:rPr>
      </w:pPr>
      <w:r w:rsidRPr="0003701D">
        <w:rPr>
          <w:sz w:val="22"/>
          <w:szCs w:val="22"/>
        </w:rPr>
        <w:t>resident-owned businesses. The calculation is as follows: </w:t>
      </w:r>
    </w:p>
    <w:p w:rsidR="0003701D" w:rsidRPr="0003701D" w:rsidP="0003701D" w14:paraId="672EF70B" w14:textId="77777777">
      <w:pPr>
        <w:ind w:left="720"/>
        <w:rPr>
          <w:sz w:val="22"/>
          <w:szCs w:val="22"/>
        </w:rPr>
      </w:pPr>
      <w:r w:rsidRPr="0003701D">
        <w:rPr>
          <w:sz w:val="22"/>
          <w:szCs w:val="22"/>
        </w:rPr>
        <w:t>75 PHAs x 24 hours = 1,800 hours x $30.95 p/hr. = $55,710.00 </w:t>
      </w:r>
    </w:p>
    <w:p w:rsidR="0003701D" w:rsidRPr="0003701D" w:rsidP="0003701D" w14:paraId="0FC85224" w14:textId="3EA3D9C8">
      <w:pPr>
        <w:ind w:left="720"/>
        <w:rPr>
          <w:sz w:val="22"/>
          <w:szCs w:val="22"/>
        </w:rPr>
      </w:pPr>
      <w:r w:rsidRPr="0003701D">
        <w:rPr>
          <w:sz w:val="22"/>
          <w:szCs w:val="22"/>
        </w:rPr>
        <w:t>**Average PHA salary = $64,590</w:t>
      </w:r>
      <w:r>
        <w:rPr>
          <w:rStyle w:val="FootnoteReference"/>
          <w:sz w:val="22"/>
          <w:szCs w:val="22"/>
        </w:rPr>
        <w:footnoteReference w:id="3"/>
      </w:r>
      <w:r w:rsidRPr="0003701D">
        <w:rPr>
          <w:sz w:val="22"/>
          <w:szCs w:val="22"/>
        </w:rPr>
        <w:t xml:space="preserve"> per year; $30.95 per hour</w:t>
      </w:r>
      <w:r>
        <w:rPr>
          <w:rStyle w:val="FootnoteReference"/>
          <w:sz w:val="22"/>
          <w:szCs w:val="22"/>
        </w:rPr>
        <w:footnoteReference w:id="4"/>
      </w:r>
      <w:r w:rsidRPr="0003701D">
        <w:rPr>
          <w:sz w:val="22"/>
          <w:szCs w:val="22"/>
        </w:rPr>
        <w:t>  </w:t>
      </w:r>
    </w:p>
    <w:p w:rsidR="003A24E8" w:rsidRPr="00B906B8" w:rsidP="003A24E8" w14:paraId="1D5BCD6B" w14:textId="6DF3F9A5">
      <w:pPr>
        <w:ind w:left="720"/>
        <w:rPr>
          <w:sz w:val="22"/>
          <w:szCs w:val="22"/>
        </w:rPr>
      </w:pPr>
    </w:p>
    <w:p w:rsidR="22F89F00" w:rsidRPr="00B906B8" w:rsidP="22F89F00" w14:paraId="14E8FBA9" w14:textId="34F2E2EE">
      <w:pPr>
        <w:ind w:left="720"/>
        <w:rPr>
          <w:sz w:val="22"/>
          <w:szCs w:val="22"/>
        </w:rPr>
      </w:pPr>
    </w:p>
    <w:p w:rsidR="22F89F00" w:rsidRPr="00B906B8" w:rsidP="22F89F00" w14:paraId="6DAA00C2" w14:textId="425E9F2C">
      <w:pPr>
        <w:ind w:left="720"/>
        <w:rPr>
          <w:sz w:val="22"/>
          <w:szCs w:val="22"/>
        </w:rPr>
      </w:pPr>
    </w:p>
    <w:p w:rsidR="003A24E8" w:rsidRPr="00B906B8" w:rsidP="003A24E8" w14:paraId="43573BF0" w14:textId="77777777">
      <w:pPr>
        <w:ind w:left="720"/>
        <w:rPr>
          <w:sz w:val="22"/>
          <w:szCs w:val="22"/>
        </w:rPr>
      </w:pPr>
      <w:r w:rsidRPr="00B906B8">
        <w:rPr>
          <w:sz w:val="22"/>
          <w:szCs w:val="22"/>
        </w:rPr>
        <w:t>A PHA is required to undertake the following activities under the alternative method of procurement: </w:t>
      </w:r>
    </w:p>
    <w:p w:rsidR="003A24E8" w:rsidRPr="00B906B8" w:rsidP="003A24E8" w14:paraId="3BC5EC03" w14:textId="77777777">
      <w:pPr>
        <w:ind w:left="720"/>
        <w:rPr>
          <w:sz w:val="22"/>
          <w:szCs w:val="22"/>
        </w:rPr>
      </w:pPr>
      <w:r w:rsidRPr="00B906B8">
        <w:rPr>
          <w:sz w:val="22"/>
          <w:szCs w:val="22"/>
        </w:rPr>
        <w:t> </w:t>
      </w:r>
    </w:p>
    <w:p w:rsidR="003A24E8" w:rsidRPr="00B906B8" w:rsidP="003A24E8" w14:paraId="4B9ECEE7" w14:textId="77777777">
      <w:pPr>
        <w:numPr>
          <w:ilvl w:val="0"/>
          <w:numId w:val="20"/>
        </w:numPr>
        <w:rPr>
          <w:sz w:val="22"/>
          <w:szCs w:val="22"/>
        </w:rPr>
      </w:pPr>
      <w:r w:rsidRPr="00B906B8">
        <w:rPr>
          <w:sz w:val="22"/>
          <w:szCs w:val="22"/>
        </w:rPr>
        <w:t>Prepare the contract package (8 hours) </w:t>
      </w:r>
    </w:p>
    <w:p w:rsidR="003A24E8" w:rsidRPr="00B906B8" w:rsidP="003A24E8" w14:paraId="1560EE81" w14:textId="77777777">
      <w:pPr>
        <w:numPr>
          <w:ilvl w:val="0"/>
          <w:numId w:val="20"/>
        </w:numPr>
        <w:rPr>
          <w:sz w:val="22"/>
          <w:szCs w:val="22"/>
        </w:rPr>
      </w:pPr>
      <w:r w:rsidRPr="00B906B8">
        <w:rPr>
          <w:sz w:val="22"/>
          <w:szCs w:val="22"/>
        </w:rPr>
        <w:t>Prepare the advertisement (4 hours); </w:t>
      </w:r>
    </w:p>
    <w:p w:rsidR="003A24E8" w:rsidRPr="00B906B8" w:rsidP="003A24E8" w14:paraId="49A23DE3" w14:textId="77777777">
      <w:pPr>
        <w:numPr>
          <w:ilvl w:val="0"/>
          <w:numId w:val="20"/>
        </w:numPr>
        <w:rPr>
          <w:sz w:val="22"/>
          <w:szCs w:val="22"/>
        </w:rPr>
      </w:pPr>
      <w:r w:rsidRPr="00B906B8">
        <w:rPr>
          <w:sz w:val="22"/>
          <w:szCs w:val="22"/>
        </w:rPr>
        <w:t>Review the bid documents and award the contract (8 hours); </w:t>
      </w:r>
    </w:p>
    <w:p w:rsidR="003A24E8" w:rsidRPr="00B906B8" w:rsidP="003A24E8" w14:paraId="0161B975" w14:textId="77777777">
      <w:pPr>
        <w:numPr>
          <w:ilvl w:val="0"/>
          <w:numId w:val="20"/>
        </w:numPr>
        <w:rPr>
          <w:sz w:val="22"/>
          <w:szCs w:val="22"/>
        </w:rPr>
      </w:pPr>
      <w:r w:rsidRPr="00B906B8">
        <w:rPr>
          <w:sz w:val="22"/>
          <w:szCs w:val="22"/>
        </w:rPr>
        <w:t>Conduct follow-up activities as necessary prior to the start date of the work (4 hours) </w:t>
      </w:r>
    </w:p>
    <w:p w:rsidR="003A24E8" w:rsidRPr="00B906B8" w:rsidP="003A24E8" w14:paraId="680A4E5D" w14:textId="77777777">
      <w:pPr>
        <w:rPr>
          <w:sz w:val="22"/>
          <w:szCs w:val="22"/>
        </w:rPr>
      </w:pPr>
    </w:p>
    <w:p w:rsidR="003A24E8" w:rsidRPr="00B906B8" w:rsidP="003A24E8" w14:paraId="6BF3ACDE" w14:textId="77777777">
      <w:pPr>
        <w:ind w:firstLine="720"/>
        <w:rPr>
          <w:sz w:val="22"/>
          <w:szCs w:val="22"/>
        </w:rPr>
      </w:pPr>
      <w:r w:rsidRPr="00B906B8">
        <w:rPr>
          <w:sz w:val="22"/>
          <w:szCs w:val="22"/>
        </w:rPr>
        <w:t>The allocation of 24 hours per response is based upon the procurement activities reflected above.</w:t>
      </w:r>
    </w:p>
    <w:p w:rsidR="0065675F" w:rsidRPr="00B906B8" w:rsidP="026A15CE" w14:paraId="7194DBDC" w14:textId="50E096A4">
      <w:pPr>
        <w:tabs>
          <w:tab w:val="left" w:pos="360"/>
        </w:tabs>
        <w:ind w:left="360" w:hanging="360"/>
        <w:rPr>
          <w:color w:val="000000"/>
          <w:sz w:val="22"/>
          <w:szCs w:val="22"/>
        </w:rPr>
      </w:pPr>
    </w:p>
    <w:p w:rsidR="00A325C5" w:rsidRPr="00B906B8" w14:paraId="2A0FD4C0" w14:textId="77777777">
      <w:pPr>
        <w:tabs>
          <w:tab w:val="left" w:pos="360"/>
        </w:tabs>
        <w:ind w:left="360" w:hanging="360"/>
        <w:rPr>
          <w:b/>
          <w:bCs/>
          <w:color w:val="000000"/>
          <w:sz w:val="22"/>
          <w:szCs w:val="22"/>
        </w:rPr>
      </w:pPr>
      <w:r w:rsidRPr="00B906B8">
        <w:rPr>
          <w:color w:val="000000"/>
          <w:sz w:val="22"/>
          <w:szCs w:val="22"/>
        </w:rPr>
        <w:t>13.</w:t>
      </w:r>
      <w:r w:rsidRPr="00B906B8">
        <w:rPr>
          <w:color w:val="000000"/>
          <w:sz w:val="22"/>
          <w:szCs w:val="22"/>
        </w:rPr>
        <w:tab/>
      </w:r>
      <w:r w:rsidRPr="00B906B8">
        <w:rPr>
          <w:b/>
          <w:bCs/>
          <w:color w:val="000000"/>
          <w:sz w:val="22"/>
          <w:szCs w:val="22"/>
        </w:rPr>
        <w:t xml:space="preserve">Estimate of the annual cost to respondents or recordkeepers (do not include the cost of hour burden shown in Items 12 and 14).  Read the complete instructions on the form 83i.  </w:t>
      </w:r>
    </w:p>
    <w:p w:rsidR="00A325C5" w:rsidRPr="00B906B8" w14:paraId="769D0D3C" w14:textId="77777777">
      <w:pPr>
        <w:tabs>
          <w:tab w:val="left" w:pos="360"/>
        </w:tabs>
        <w:ind w:left="360" w:hanging="360"/>
        <w:rPr>
          <w:b/>
          <w:bCs/>
          <w:color w:val="000000"/>
          <w:sz w:val="22"/>
          <w:szCs w:val="22"/>
        </w:rPr>
      </w:pPr>
    </w:p>
    <w:p w:rsidR="0065675F" w:rsidRPr="00B906B8" w:rsidP="026A15CE" w14:paraId="2ECD236D" w14:textId="4136B623">
      <w:pPr>
        <w:tabs>
          <w:tab w:val="left" w:pos="360"/>
        </w:tabs>
        <w:ind w:left="360"/>
        <w:rPr>
          <w:rStyle w:val="eop"/>
          <w:color w:val="000000"/>
          <w:sz w:val="22"/>
          <w:szCs w:val="22"/>
          <w:shd w:val="clear" w:color="auto" w:fill="FFFFFF"/>
        </w:rPr>
      </w:pPr>
      <w:r w:rsidRPr="00B906B8">
        <w:rPr>
          <w:rStyle w:val="normaltextrun"/>
          <w:color w:val="000000"/>
          <w:sz w:val="22"/>
          <w:szCs w:val="22"/>
          <w:shd w:val="clear" w:color="auto" w:fill="FFFFFF"/>
        </w:rPr>
        <w:t xml:space="preserve">Notwithstanding </w:t>
      </w:r>
      <w:r w:rsidRPr="00B906B8" w:rsidR="003B13AC">
        <w:rPr>
          <w:rStyle w:val="normaltextrun"/>
          <w:color w:val="000000"/>
          <w:sz w:val="22"/>
          <w:szCs w:val="22"/>
          <w:shd w:val="clear" w:color="auto" w:fill="FFFFFF"/>
        </w:rPr>
        <w:t>the requirements</w:t>
      </w:r>
      <w:r w:rsidRPr="00B906B8">
        <w:rPr>
          <w:rStyle w:val="normaltextrun"/>
          <w:color w:val="000000"/>
          <w:sz w:val="22"/>
          <w:szCs w:val="22"/>
          <w:shd w:val="clear" w:color="auto" w:fill="FFFFFF"/>
        </w:rPr>
        <w:t xml:space="preserve"> set forth in the procurement regulations, PHAs already collect and maintain this information.  As such, there is no annual cost burden </w:t>
      </w:r>
      <w:r w:rsidRPr="00B906B8" w:rsidR="003B13AC">
        <w:rPr>
          <w:rStyle w:val="normaltextrun"/>
          <w:color w:val="000000"/>
          <w:sz w:val="22"/>
          <w:szCs w:val="22"/>
          <w:shd w:val="clear" w:color="auto" w:fill="FFFFFF"/>
        </w:rPr>
        <w:t>on</w:t>
      </w:r>
      <w:r w:rsidRPr="00B906B8">
        <w:rPr>
          <w:rStyle w:val="normaltextrun"/>
          <w:color w:val="000000"/>
          <w:sz w:val="22"/>
          <w:szCs w:val="22"/>
          <w:shd w:val="clear" w:color="auto" w:fill="FFFFFF"/>
        </w:rPr>
        <w:t xml:space="preserve"> respondents or record-keepers resulting from this collection of information.</w:t>
      </w:r>
      <w:r w:rsidRPr="00B906B8">
        <w:rPr>
          <w:rStyle w:val="eop"/>
          <w:color w:val="000000"/>
          <w:sz w:val="22"/>
          <w:szCs w:val="22"/>
          <w:shd w:val="clear" w:color="auto" w:fill="FFFFFF"/>
        </w:rPr>
        <w:t> </w:t>
      </w:r>
    </w:p>
    <w:p w:rsidR="003A24E8" w:rsidRPr="00B906B8" w14:paraId="54CD245A" w14:textId="77777777">
      <w:pPr>
        <w:tabs>
          <w:tab w:val="left" w:pos="360"/>
        </w:tabs>
        <w:ind w:left="360" w:hanging="360"/>
        <w:rPr>
          <w:b/>
          <w:bCs/>
          <w:color w:val="000000"/>
          <w:sz w:val="22"/>
          <w:szCs w:val="22"/>
        </w:rPr>
      </w:pPr>
    </w:p>
    <w:p w:rsidR="003A24E8" w:rsidRPr="00B906B8" w:rsidP="003A24E8" w14:paraId="121E75D8" w14:textId="77777777">
      <w:pPr>
        <w:keepLines/>
        <w:tabs>
          <w:tab w:val="left" w:pos="360"/>
        </w:tabs>
        <w:spacing w:after="80"/>
        <w:ind w:left="360" w:hanging="360"/>
        <w:rPr>
          <w:color w:val="000000"/>
          <w:sz w:val="22"/>
          <w:szCs w:val="22"/>
        </w:rPr>
      </w:pPr>
      <w:r w:rsidRPr="00B906B8">
        <w:rPr>
          <w:color w:val="000000"/>
          <w:sz w:val="22"/>
          <w:szCs w:val="22"/>
        </w:rPr>
        <w:t>14.</w:t>
      </w:r>
      <w:r w:rsidRPr="00B906B8">
        <w:rPr>
          <w:color w:val="000000"/>
          <w:sz w:val="22"/>
          <w:szCs w:val="22"/>
        </w:rPr>
        <w:tab/>
      </w:r>
      <w:r w:rsidRPr="00B906B8" w:rsidR="00070EFE">
        <w:rPr>
          <w:b/>
          <w:bCs/>
          <w:color w:val="000000"/>
          <w:sz w:val="22"/>
          <w:szCs w:val="22"/>
        </w:rPr>
        <w:t>E</w:t>
      </w:r>
      <w:r w:rsidRPr="00B906B8">
        <w:rPr>
          <w:b/>
          <w:bCs/>
          <w:color w:val="000000"/>
          <w:sz w:val="22"/>
          <w:szCs w:val="22"/>
        </w:rPr>
        <w:t>stimate annualized costs to the Federal government.</w:t>
      </w:r>
      <w:r w:rsidRPr="00B906B8">
        <w:rPr>
          <w:color w:val="000000"/>
          <w:sz w:val="22"/>
          <w:szCs w:val="22"/>
        </w:rPr>
        <w:t xml:space="preserve">  </w:t>
      </w:r>
    </w:p>
    <w:p w:rsidR="00981103" w:rsidRPr="00B906B8" w:rsidP="003A24E8" w14:paraId="63578051" w14:textId="77777777">
      <w:pPr>
        <w:overflowPunct/>
        <w:autoSpaceDE/>
        <w:autoSpaceDN/>
        <w:adjustRightInd/>
        <w:ind w:firstLine="360"/>
        <w:rPr>
          <w:sz w:val="22"/>
          <w:szCs w:val="22"/>
        </w:rPr>
      </w:pPr>
      <w:r w:rsidRPr="00B906B8">
        <w:rPr>
          <w:rStyle w:val="normaltextrun"/>
          <w:color w:val="000000"/>
          <w:sz w:val="22"/>
          <w:szCs w:val="22"/>
          <w:shd w:val="clear" w:color="auto" w:fill="FFFFFF"/>
        </w:rPr>
        <w:t>There is no additional cost to HUD for collection of this information.</w:t>
      </w:r>
      <w:r w:rsidRPr="00B906B8">
        <w:rPr>
          <w:rStyle w:val="eop"/>
          <w:color w:val="000000"/>
          <w:sz w:val="22"/>
          <w:szCs w:val="22"/>
          <w:shd w:val="clear" w:color="auto" w:fill="FFFFFF"/>
        </w:rPr>
        <w:t> </w:t>
      </w:r>
    </w:p>
    <w:p w:rsidR="00A325C5" w:rsidRPr="00B906B8" w14:paraId="1231BE67" w14:textId="77777777">
      <w:pPr>
        <w:tabs>
          <w:tab w:val="left" w:pos="360"/>
        </w:tabs>
        <w:ind w:left="360" w:hanging="360"/>
        <w:rPr>
          <w:color w:val="000000"/>
          <w:sz w:val="22"/>
          <w:szCs w:val="22"/>
        </w:rPr>
      </w:pPr>
    </w:p>
    <w:p w:rsidR="00A325C5" w:rsidRPr="00B906B8" w14:paraId="630E2070" w14:textId="77777777">
      <w:pPr>
        <w:keepLines/>
        <w:tabs>
          <w:tab w:val="left" w:pos="360"/>
        </w:tabs>
        <w:spacing w:after="80"/>
        <w:ind w:left="360" w:hanging="360"/>
        <w:rPr>
          <w:b/>
          <w:color w:val="000000"/>
          <w:sz w:val="22"/>
          <w:szCs w:val="22"/>
        </w:rPr>
      </w:pPr>
      <w:r w:rsidRPr="00B906B8">
        <w:rPr>
          <w:color w:val="000000"/>
          <w:sz w:val="22"/>
          <w:szCs w:val="22"/>
        </w:rPr>
        <w:t>15.</w:t>
      </w:r>
      <w:r w:rsidRPr="00B906B8">
        <w:rPr>
          <w:color w:val="000000"/>
          <w:sz w:val="22"/>
          <w:szCs w:val="22"/>
        </w:rPr>
        <w:tab/>
      </w:r>
      <w:r w:rsidRPr="00B906B8" w:rsidR="00070EFE">
        <w:rPr>
          <w:b/>
          <w:color w:val="000000"/>
          <w:sz w:val="22"/>
          <w:szCs w:val="22"/>
        </w:rPr>
        <w:t>E</w:t>
      </w:r>
      <w:r w:rsidRPr="00B906B8">
        <w:rPr>
          <w:b/>
          <w:color w:val="000000"/>
          <w:sz w:val="22"/>
          <w:szCs w:val="22"/>
        </w:rPr>
        <w:t>xplain any program changes or adjustments reported in items 13 and 14 of the OMB Form 83i.</w:t>
      </w:r>
    </w:p>
    <w:p w:rsidR="00591D11" w:rsidRPr="00B906B8" w14:paraId="36FEB5B0" w14:textId="77777777">
      <w:pPr>
        <w:tabs>
          <w:tab w:val="left" w:pos="360"/>
        </w:tabs>
        <w:ind w:left="360" w:hanging="360"/>
        <w:rPr>
          <w:b/>
          <w:color w:val="000000"/>
          <w:sz w:val="22"/>
          <w:szCs w:val="22"/>
        </w:rPr>
      </w:pPr>
      <w:r w:rsidRPr="00B906B8">
        <w:rPr>
          <w:b/>
          <w:color w:val="000000"/>
          <w:sz w:val="22"/>
          <w:szCs w:val="22"/>
        </w:rPr>
        <w:tab/>
      </w:r>
    </w:p>
    <w:p w:rsidR="00A325C5" w:rsidRPr="00B906B8" w:rsidP="026A15CE" w14:paraId="25BDD53D" w14:textId="77777777">
      <w:pPr>
        <w:tabs>
          <w:tab w:val="left" w:pos="360"/>
        </w:tabs>
        <w:ind w:left="360"/>
        <w:rPr>
          <w:b/>
          <w:bCs/>
          <w:color w:val="000000"/>
          <w:sz w:val="22"/>
          <w:szCs w:val="22"/>
        </w:rPr>
      </w:pPr>
      <w:r w:rsidRPr="00B906B8">
        <w:rPr>
          <w:rStyle w:val="normaltextrun"/>
          <w:color w:val="000000"/>
          <w:sz w:val="22"/>
          <w:szCs w:val="22"/>
          <w:shd w:val="clear" w:color="auto" w:fill="FFFFFF"/>
        </w:rPr>
        <w:t>Not Applicable</w:t>
      </w:r>
      <w:r w:rsidRPr="00B906B8">
        <w:rPr>
          <w:rStyle w:val="eop"/>
          <w:color w:val="000000"/>
          <w:sz w:val="22"/>
          <w:szCs w:val="22"/>
          <w:shd w:val="clear" w:color="auto" w:fill="FFFFFF"/>
        </w:rPr>
        <w:t> </w:t>
      </w:r>
    </w:p>
    <w:p w:rsidR="0065675F" w:rsidRPr="00B906B8" w14:paraId="30D7AA69" w14:textId="77777777">
      <w:pPr>
        <w:tabs>
          <w:tab w:val="left" w:pos="360"/>
        </w:tabs>
        <w:ind w:left="360" w:hanging="360"/>
        <w:rPr>
          <w:b/>
          <w:color w:val="000000"/>
          <w:sz w:val="22"/>
          <w:szCs w:val="22"/>
        </w:rPr>
      </w:pPr>
    </w:p>
    <w:p w:rsidR="00A325C5" w:rsidRPr="00B906B8" w14:paraId="1E7BFF2E" w14:textId="7FAF38C0">
      <w:pPr>
        <w:keepLines/>
        <w:tabs>
          <w:tab w:val="left" w:pos="360"/>
        </w:tabs>
        <w:ind w:left="360" w:hanging="360"/>
        <w:rPr>
          <w:b/>
          <w:color w:val="000000"/>
          <w:sz w:val="22"/>
          <w:szCs w:val="22"/>
        </w:rPr>
      </w:pPr>
      <w:r w:rsidRPr="00B906B8">
        <w:rPr>
          <w:color w:val="000000"/>
          <w:sz w:val="22"/>
          <w:szCs w:val="22"/>
        </w:rPr>
        <w:t>16.</w:t>
      </w:r>
      <w:r w:rsidRPr="00B906B8">
        <w:rPr>
          <w:b/>
          <w:bCs/>
          <w:color w:val="000000"/>
          <w:sz w:val="22"/>
          <w:szCs w:val="22"/>
        </w:rPr>
        <w:tab/>
      </w:r>
      <w:r w:rsidRPr="00B906B8" w:rsidR="00070EFE">
        <w:rPr>
          <w:b/>
          <w:color w:val="000000"/>
          <w:sz w:val="22"/>
          <w:szCs w:val="22"/>
        </w:rPr>
        <w:t>I</w:t>
      </w:r>
      <w:r w:rsidRPr="00B906B8">
        <w:rPr>
          <w:b/>
          <w:color w:val="000000"/>
          <w:sz w:val="22"/>
          <w:szCs w:val="22"/>
        </w:rPr>
        <w:t xml:space="preserve">f the information </w:t>
      </w:r>
      <w:r w:rsidRPr="00B906B8" w:rsidR="003B13AC">
        <w:rPr>
          <w:b/>
          <w:color w:val="000000"/>
          <w:sz w:val="22"/>
          <w:szCs w:val="22"/>
        </w:rPr>
        <w:t>is</w:t>
      </w:r>
      <w:r w:rsidRPr="00B906B8">
        <w:rPr>
          <w:b/>
          <w:color w:val="000000"/>
          <w:sz w:val="22"/>
          <w:szCs w:val="22"/>
        </w:rPr>
        <w:t xml:space="preserve"> published, outline plans for tabulation and publication.  </w:t>
      </w:r>
    </w:p>
    <w:p w:rsidR="00A325C5" w:rsidRPr="00B906B8" w14:paraId="7196D064" w14:textId="77777777">
      <w:pPr>
        <w:tabs>
          <w:tab w:val="left" w:pos="360"/>
        </w:tabs>
        <w:ind w:left="360" w:hanging="360"/>
        <w:rPr>
          <w:b/>
          <w:color w:val="000000"/>
          <w:sz w:val="22"/>
          <w:szCs w:val="22"/>
        </w:rPr>
      </w:pPr>
    </w:p>
    <w:p w:rsidR="0065675F" w:rsidRPr="00B906B8" w:rsidP="026A15CE" w14:paraId="5A00834D" w14:textId="77777777">
      <w:pPr>
        <w:tabs>
          <w:tab w:val="left" w:pos="360"/>
        </w:tabs>
        <w:ind w:left="360"/>
        <w:rPr>
          <w:rStyle w:val="eop"/>
          <w:color w:val="000000"/>
          <w:sz w:val="22"/>
          <w:szCs w:val="22"/>
          <w:shd w:val="clear" w:color="auto" w:fill="FFFFFF"/>
        </w:rPr>
      </w:pPr>
      <w:r w:rsidRPr="00B906B8">
        <w:rPr>
          <w:rStyle w:val="normaltextrun"/>
          <w:color w:val="000000"/>
          <w:sz w:val="22"/>
          <w:szCs w:val="22"/>
          <w:shd w:val="clear" w:color="auto" w:fill="FFFFFF"/>
        </w:rPr>
        <w:t>The information collected by PHAs will not be published or made available to the public.</w:t>
      </w:r>
      <w:r w:rsidRPr="00B906B8">
        <w:rPr>
          <w:rStyle w:val="eop"/>
          <w:color w:val="000000"/>
          <w:sz w:val="22"/>
          <w:szCs w:val="22"/>
          <w:shd w:val="clear" w:color="auto" w:fill="FFFFFF"/>
        </w:rPr>
        <w:t> </w:t>
      </w:r>
    </w:p>
    <w:p w:rsidR="00591D11" w:rsidRPr="00B906B8" w14:paraId="34FF1C98" w14:textId="77777777">
      <w:pPr>
        <w:tabs>
          <w:tab w:val="left" w:pos="360"/>
        </w:tabs>
        <w:ind w:left="360" w:hanging="360"/>
        <w:rPr>
          <w:b/>
          <w:color w:val="000000"/>
          <w:sz w:val="22"/>
          <w:szCs w:val="22"/>
        </w:rPr>
      </w:pPr>
    </w:p>
    <w:p w:rsidR="00A325C5" w:rsidRPr="00B906B8" w14:paraId="14693344" w14:textId="1072F7CE">
      <w:pPr>
        <w:keepLines/>
        <w:tabs>
          <w:tab w:val="left" w:pos="360"/>
        </w:tabs>
        <w:ind w:left="360" w:hanging="360"/>
        <w:rPr>
          <w:b/>
          <w:bCs/>
          <w:color w:val="000000"/>
          <w:sz w:val="22"/>
          <w:szCs w:val="22"/>
        </w:rPr>
      </w:pPr>
      <w:r w:rsidRPr="00B906B8">
        <w:rPr>
          <w:color w:val="000000"/>
          <w:sz w:val="22"/>
          <w:szCs w:val="22"/>
        </w:rPr>
        <w:t>17.</w:t>
      </w:r>
      <w:r w:rsidRPr="00B906B8">
        <w:rPr>
          <w:color w:val="000000"/>
          <w:sz w:val="22"/>
          <w:szCs w:val="22"/>
        </w:rPr>
        <w:tab/>
      </w:r>
      <w:r w:rsidRPr="00B906B8" w:rsidR="00070EFE">
        <w:rPr>
          <w:b/>
          <w:bCs/>
          <w:color w:val="000000"/>
          <w:sz w:val="22"/>
          <w:szCs w:val="22"/>
        </w:rPr>
        <w:t>E</w:t>
      </w:r>
      <w:r w:rsidRPr="00B906B8">
        <w:rPr>
          <w:b/>
          <w:bCs/>
          <w:color w:val="000000"/>
          <w:sz w:val="22"/>
          <w:szCs w:val="22"/>
        </w:rPr>
        <w:t xml:space="preserve">xplain any request </w:t>
      </w:r>
      <w:r w:rsidRPr="00B906B8" w:rsidR="003B13AC">
        <w:rPr>
          <w:b/>
          <w:bCs/>
          <w:color w:val="000000"/>
          <w:sz w:val="22"/>
          <w:szCs w:val="22"/>
        </w:rPr>
        <w:t>not to</w:t>
      </w:r>
      <w:r w:rsidRPr="00B906B8">
        <w:rPr>
          <w:b/>
          <w:bCs/>
          <w:color w:val="000000"/>
          <w:sz w:val="22"/>
          <w:szCs w:val="22"/>
        </w:rPr>
        <w:t xml:space="preserve"> display the expiration date. </w:t>
      </w:r>
    </w:p>
    <w:p w:rsidR="00A325C5" w:rsidRPr="00B906B8" w:rsidP="026A15CE" w14:paraId="6D072C0D" w14:textId="77777777">
      <w:pPr>
        <w:tabs>
          <w:tab w:val="left" w:pos="360"/>
        </w:tabs>
        <w:ind w:left="360" w:hanging="360"/>
        <w:rPr>
          <w:b/>
          <w:bCs/>
          <w:color w:val="000000"/>
          <w:sz w:val="22"/>
          <w:szCs w:val="22"/>
        </w:rPr>
      </w:pPr>
    </w:p>
    <w:p w:rsidR="00591D11" w:rsidRPr="00B906B8" w:rsidP="026A15CE" w14:paraId="212A88E3" w14:textId="77777777">
      <w:pPr>
        <w:tabs>
          <w:tab w:val="left" w:pos="360"/>
        </w:tabs>
        <w:ind w:left="360"/>
        <w:rPr>
          <w:b/>
          <w:bCs/>
          <w:color w:val="000000"/>
          <w:sz w:val="22"/>
          <w:szCs w:val="22"/>
        </w:rPr>
      </w:pPr>
      <w:r w:rsidRPr="00B906B8">
        <w:rPr>
          <w:rStyle w:val="normaltextrun"/>
          <w:color w:val="000000"/>
          <w:sz w:val="22"/>
          <w:szCs w:val="22"/>
          <w:shd w:val="clear" w:color="auto" w:fill="FFFFFF"/>
        </w:rPr>
        <w:t>Not Applicable</w:t>
      </w:r>
      <w:r w:rsidRPr="00B906B8">
        <w:rPr>
          <w:rStyle w:val="eop"/>
          <w:color w:val="000000"/>
          <w:sz w:val="22"/>
          <w:szCs w:val="22"/>
          <w:shd w:val="clear" w:color="auto" w:fill="FFFFFF"/>
        </w:rPr>
        <w:t> </w:t>
      </w:r>
    </w:p>
    <w:p w:rsidR="0065675F" w:rsidRPr="00B906B8" w14:paraId="48A21919" w14:textId="77777777">
      <w:pPr>
        <w:tabs>
          <w:tab w:val="left" w:pos="360"/>
        </w:tabs>
        <w:ind w:left="360" w:hanging="360"/>
        <w:rPr>
          <w:b/>
          <w:bCs/>
          <w:color w:val="000000"/>
          <w:sz w:val="22"/>
          <w:szCs w:val="22"/>
        </w:rPr>
      </w:pPr>
    </w:p>
    <w:p w:rsidR="00A325C5" w:rsidRPr="00B906B8" w14:paraId="4A2ADA69" w14:textId="77777777">
      <w:pPr>
        <w:keepLines/>
        <w:tabs>
          <w:tab w:val="left" w:pos="360"/>
        </w:tabs>
        <w:spacing w:after="80"/>
        <w:ind w:left="360" w:hanging="360"/>
        <w:rPr>
          <w:b/>
          <w:bCs/>
          <w:color w:val="000000"/>
          <w:sz w:val="22"/>
          <w:szCs w:val="22"/>
        </w:rPr>
      </w:pPr>
      <w:r w:rsidRPr="00B906B8">
        <w:rPr>
          <w:color w:val="000000" w:themeColor="text1"/>
          <w:sz w:val="22"/>
          <w:szCs w:val="22"/>
        </w:rPr>
        <w:t>18.</w:t>
      </w:r>
      <w:r w:rsidRPr="00B906B8">
        <w:rPr>
          <w:sz w:val="22"/>
          <w:szCs w:val="22"/>
        </w:rPr>
        <w:tab/>
      </w:r>
      <w:r w:rsidRPr="00B906B8">
        <w:rPr>
          <w:b/>
          <w:bCs/>
          <w:color w:val="000000" w:themeColor="text1"/>
          <w:sz w:val="22"/>
          <w:szCs w:val="22"/>
        </w:rPr>
        <w:t>Explain each exception to the certification statement identified in item 19.</w:t>
      </w:r>
    </w:p>
    <w:p w:rsidR="026A15CE" w:rsidRPr="00B906B8" w:rsidP="026A15CE" w14:paraId="7AA97478" w14:textId="77777777">
      <w:pPr>
        <w:tabs>
          <w:tab w:val="left" w:pos="360"/>
        </w:tabs>
        <w:ind w:left="360" w:hanging="360"/>
        <w:rPr>
          <w:b/>
          <w:bCs/>
          <w:color w:val="000000" w:themeColor="text1"/>
          <w:sz w:val="22"/>
          <w:szCs w:val="22"/>
        </w:rPr>
      </w:pPr>
    </w:p>
    <w:p w:rsidR="5F4F08E8" w:rsidRPr="00B906B8" w:rsidP="026A15CE" w14:paraId="426D3865" w14:textId="77777777">
      <w:pPr>
        <w:tabs>
          <w:tab w:val="left" w:pos="360"/>
        </w:tabs>
        <w:ind w:left="360"/>
        <w:rPr>
          <w:b/>
          <w:bCs/>
          <w:color w:val="000000" w:themeColor="text1"/>
          <w:sz w:val="22"/>
          <w:szCs w:val="22"/>
        </w:rPr>
      </w:pPr>
      <w:r w:rsidRPr="00B906B8">
        <w:rPr>
          <w:rStyle w:val="normaltextrun"/>
          <w:color w:val="000000" w:themeColor="text1"/>
          <w:sz w:val="22"/>
          <w:szCs w:val="22"/>
        </w:rPr>
        <w:t>Not Applicable </w:t>
      </w:r>
    </w:p>
    <w:p w:rsidR="026A15CE" w:rsidRPr="00B906B8" w:rsidP="026A15CE" w14:paraId="7BAF1362" w14:textId="7B847346">
      <w:pPr>
        <w:tabs>
          <w:tab w:val="left" w:pos="360"/>
        </w:tabs>
        <w:ind w:left="360" w:hanging="360"/>
        <w:rPr>
          <w:b/>
          <w:bCs/>
          <w:color w:val="000000" w:themeColor="text1"/>
          <w:sz w:val="22"/>
          <w:szCs w:val="22"/>
        </w:rPr>
      </w:pPr>
    </w:p>
    <w:p w:rsidR="0065675F" w:rsidRPr="00B906B8" w14:paraId="238601FE" w14:textId="77777777">
      <w:pPr>
        <w:tabs>
          <w:tab w:val="left" w:pos="360"/>
          <w:tab w:val="left" w:pos="720"/>
        </w:tabs>
        <w:rPr>
          <w:b/>
          <w:bCs/>
          <w:color w:val="000000"/>
          <w:sz w:val="22"/>
          <w:szCs w:val="22"/>
        </w:rPr>
      </w:pPr>
    </w:p>
    <w:p w:rsidR="00A325C5" w:rsidRPr="00B906B8" w14:paraId="41CB6477" w14:textId="07FDD629">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B906B8">
        <w:rPr>
          <w:b/>
          <w:color w:val="000000"/>
          <w:sz w:val="22"/>
          <w:szCs w:val="22"/>
        </w:rPr>
        <w:t>B</w:t>
      </w:r>
      <w:r w:rsidRPr="00B906B8" w:rsidR="003B13AC">
        <w:rPr>
          <w:b/>
          <w:color w:val="000000"/>
          <w:sz w:val="22"/>
          <w:szCs w:val="22"/>
        </w:rPr>
        <w:t>. Collections</w:t>
      </w:r>
      <w:r w:rsidRPr="00B906B8">
        <w:rPr>
          <w:b/>
          <w:color w:val="000000"/>
          <w:sz w:val="22"/>
          <w:szCs w:val="22"/>
        </w:rPr>
        <w:t xml:space="preserve"> of Information Employing Statistical Methods</w:t>
      </w:r>
    </w:p>
    <w:p w:rsidR="00A325C5" w14:paraId="0F3CABC7"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2"/>
          <w:szCs w:val="22"/>
        </w:rPr>
      </w:pPr>
    </w:p>
    <w:p w:rsidR="004176F4" w14:paraId="3D35F6D1"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2"/>
          <w:szCs w:val="22"/>
        </w:rPr>
      </w:pPr>
    </w:p>
    <w:p w:rsidR="004176F4" w:rsidRPr="00B906B8" w14:paraId="79B08912"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2"/>
          <w:szCs w:val="22"/>
        </w:rPr>
      </w:pPr>
    </w:p>
    <w:sectPr w:rsidSect="008B2830">
      <w:footerReference w:type="default" r:id="rId9"/>
      <w:footerReference w:type="first" r:id="rId10"/>
      <w:pgSz w:w="12240" w:h="15840"/>
      <w:pgMar w:top="480" w:right="720" w:bottom="480" w:left="54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25C5" w14:paraId="6F726CF8" w14:textId="777777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6" w:space="0" w:color="auto"/>
        <w:left w:val="single" w:sz="6" w:space="0" w:color="auto"/>
      </w:tblBorders>
      <w:tblLayout w:type="fixed"/>
      <w:tblLook w:val="0000"/>
    </w:tblPr>
    <w:tblGrid>
      <w:gridCol w:w="8388"/>
      <w:gridCol w:w="2748"/>
    </w:tblGrid>
    <w:tr w14:paraId="6AB6DFF3" w14:textId="77777777">
      <w:tblPrEx>
        <w:tblW w:w="0" w:type="auto"/>
        <w:tblBorders>
          <w:top w:val="single" w:sz="6" w:space="0" w:color="auto"/>
          <w:left w:val="single" w:sz="6" w:space="0" w:color="auto"/>
        </w:tblBorders>
        <w:tblLayout w:type="fixed"/>
        <w:tblLook w:val="0000"/>
      </w:tblPrEx>
      <w:tc>
        <w:tcPr>
          <w:tcW w:w="8388" w:type="dxa"/>
          <w:tcBorders>
            <w:top w:val="single" w:sz="6" w:space="0" w:color="auto"/>
            <w:left w:val="nil"/>
            <w:right w:val="single" w:sz="6" w:space="0" w:color="auto"/>
          </w:tcBorders>
        </w:tcPr>
        <w:p w:rsidR="00A325C5" w14:paraId="7B3EF879" w14:textId="0B57B7AC">
          <w:pPr>
            <w:pStyle w:val="Footer"/>
            <w:rPr>
              <w:rFonts w:ascii="Helvetica" w:hAnsi="Helvetica"/>
              <w:sz w:val="16"/>
            </w:rPr>
          </w:pPr>
        </w:p>
      </w:tc>
      <w:tc>
        <w:tcPr>
          <w:tcW w:w="2748" w:type="dxa"/>
          <w:tcBorders>
            <w:left w:val="nil"/>
          </w:tcBorders>
        </w:tcPr>
        <w:p w:rsidR="00A325C5" w14:paraId="4C8BFC02" w14:textId="1ADB84F7">
          <w:pPr>
            <w:pStyle w:val="Footer"/>
            <w:rPr>
              <w:rFonts w:ascii="Helvetica" w:hAnsi="Helvetica"/>
              <w:sz w:val="16"/>
            </w:rPr>
          </w:pPr>
        </w:p>
      </w:tc>
    </w:tr>
  </w:tbl>
  <w:p w:rsidR="00A325C5" w14:paraId="2EC0BF75" w14:textId="7777777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0B95" w14:paraId="4B1F511A" w14:textId="77777777">
      <w:r>
        <w:separator/>
      </w:r>
    </w:p>
  </w:footnote>
  <w:footnote w:type="continuationSeparator" w:id="1">
    <w:p w:rsidR="00600B95" w14:paraId="65F9C3DC" w14:textId="77777777">
      <w:r>
        <w:continuationSeparator/>
      </w:r>
    </w:p>
  </w:footnote>
  <w:footnote w:type="continuationNotice" w:id="2">
    <w:p w:rsidR="00600B95" w14:paraId="0F9697A7" w14:textId="77777777"/>
  </w:footnote>
  <w:footnote w:id="3">
    <w:p w:rsidR="0003701D" w:rsidRPr="0003701D" w:rsidP="0003701D" w14:paraId="75B14439" w14:textId="5D2770CD">
      <w:pPr>
        <w:pStyle w:val="FootnoteText"/>
      </w:pPr>
      <w:r>
        <w:rPr>
          <w:rStyle w:val="FootnoteReference"/>
        </w:rPr>
        <w:footnoteRef/>
      </w:r>
      <w:r>
        <w:t xml:space="preserve"> </w:t>
      </w:r>
      <w:r w:rsidRPr="0003701D">
        <w:rPr>
          <w:u w:val="single"/>
        </w:rPr>
        <w:t>ziprecruiter.com</w:t>
      </w:r>
      <w:r w:rsidRPr="0003701D">
        <w:t>, </w:t>
      </w:r>
      <w:r w:rsidRPr="0003701D">
        <w:rPr>
          <w:u w:val="single"/>
        </w:rPr>
        <w:t>https://www.ziprecruiter.com/Salaries/Public-Housing-Authority-Salary</w:t>
      </w:r>
      <w:r w:rsidRPr="0003701D">
        <w:t>  </w:t>
      </w:r>
    </w:p>
    <w:p w:rsidR="0003701D" w:rsidRPr="0003701D" w:rsidP="0003701D" w14:paraId="2C9322D0" w14:textId="77777777">
      <w:pPr>
        <w:pStyle w:val="FootnoteText"/>
      </w:pPr>
      <w:r w:rsidRPr="0003701D">
        <w:t> </w:t>
      </w:r>
    </w:p>
    <w:p w:rsidR="0003701D" w14:paraId="77C60E29" w14:textId="23AB52D1">
      <w:pPr>
        <w:pStyle w:val="FootnoteText"/>
      </w:pPr>
    </w:p>
  </w:footnote>
  <w:footnote w:id="4">
    <w:p w:rsidR="0003701D" w14:paraId="47F152AD" w14:textId="2A4F48AD">
      <w:pPr>
        <w:pStyle w:val="FootnoteText"/>
      </w:pPr>
      <w:r>
        <w:rPr>
          <w:rStyle w:val="FootnoteReference"/>
        </w:rPr>
        <w:footnoteRef/>
      </w:r>
      <w:r>
        <w:t xml:space="preserve"> </w:t>
      </w:r>
      <w:r w:rsidRPr="0003701D">
        <w:t>Computed Hourly Rates of Pay Using the 2,087-Hour Divisor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1C2F2A"/>
    <w:multiLevelType w:val="hybridMultilevel"/>
    <w:tmpl w:val="53E4D79A"/>
    <w:lvl w:ilvl="0">
      <w:start w:val="7"/>
      <w:numFmt w:val="decimal"/>
      <w:lvlText w:val="%1."/>
      <w:lvlJc w:val="left"/>
      <w:pPr>
        <w:ind w:left="810" w:hanging="36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D8C5D45"/>
    <w:multiLevelType w:val="hybridMultilevel"/>
    <w:tmpl w:val="AFE44504"/>
    <w:lvl w:ilvl="0">
      <w:start w:val="1"/>
      <w:numFmt w:val="bullet"/>
      <w:lvlText w:val=""/>
      <w:lvlJc w:val="left"/>
      <w:pPr>
        <w:ind w:left="1088" w:hanging="360"/>
      </w:pPr>
      <w:rPr>
        <w:rFonts w:ascii="Symbol" w:hAnsi="Symbol" w:hint="default"/>
      </w:rPr>
    </w:lvl>
    <w:lvl w:ilvl="1" w:tentative="1">
      <w:start w:val="1"/>
      <w:numFmt w:val="bullet"/>
      <w:lvlText w:val="o"/>
      <w:lvlJc w:val="left"/>
      <w:pPr>
        <w:ind w:left="1808" w:hanging="360"/>
      </w:pPr>
      <w:rPr>
        <w:rFonts w:ascii="Courier New" w:hAnsi="Courier New" w:cs="Courier New" w:hint="default"/>
      </w:rPr>
    </w:lvl>
    <w:lvl w:ilvl="2" w:tentative="1">
      <w:start w:val="1"/>
      <w:numFmt w:val="bullet"/>
      <w:lvlText w:val=""/>
      <w:lvlJc w:val="left"/>
      <w:pPr>
        <w:ind w:left="2528" w:hanging="360"/>
      </w:pPr>
      <w:rPr>
        <w:rFonts w:ascii="Wingdings" w:hAnsi="Wingdings" w:hint="default"/>
      </w:rPr>
    </w:lvl>
    <w:lvl w:ilvl="3" w:tentative="1">
      <w:start w:val="1"/>
      <w:numFmt w:val="bullet"/>
      <w:lvlText w:val=""/>
      <w:lvlJc w:val="left"/>
      <w:pPr>
        <w:ind w:left="3248" w:hanging="360"/>
      </w:pPr>
      <w:rPr>
        <w:rFonts w:ascii="Symbol" w:hAnsi="Symbol" w:hint="default"/>
      </w:rPr>
    </w:lvl>
    <w:lvl w:ilvl="4" w:tentative="1">
      <w:start w:val="1"/>
      <w:numFmt w:val="bullet"/>
      <w:lvlText w:val="o"/>
      <w:lvlJc w:val="left"/>
      <w:pPr>
        <w:ind w:left="3968" w:hanging="360"/>
      </w:pPr>
      <w:rPr>
        <w:rFonts w:ascii="Courier New" w:hAnsi="Courier New" w:cs="Courier New" w:hint="default"/>
      </w:rPr>
    </w:lvl>
    <w:lvl w:ilvl="5" w:tentative="1">
      <w:start w:val="1"/>
      <w:numFmt w:val="bullet"/>
      <w:lvlText w:val=""/>
      <w:lvlJc w:val="left"/>
      <w:pPr>
        <w:ind w:left="4688" w:hanging="360"/>
      </w:pPr>
      <w:rPr>
        <w:rFonts w:ascii="Wingdings" w:hAnsi="Wingdings" w:hint="default"/>
      </w:rPr>
    </w:lvl>
    <w:lvl w:ilvl="6" w:tentative="1">
      <w:start w:val="1"/>
      <w:numFmt w:val="bullet"/>
      <w:lvlText w:val=""/>
      <w:lvlJc w:val="left"/>
      <w:pPr>
        <w:ind w:left="5408" w:hanging="360"/>
      </w:pPr>
      <w:rPr>
        <w:rFonts w:ascii="Symbol" w:hAnsi="Symbol" w:hint="default"/>
      </w:rPr>
    </w:lvl>
    <w:lvl w:ilvl="7" w:tentative="1">
      <w:start w:val="1"/>
      <w:numFmt w:val="bullet"/>
      <w:lvlText w:val="o"/>
      <w:lvlJc w:val="left"/>
      <w:pPr>
        <w:ind w:left="6128" w:hanging="360"/>
      </w:pPr>
      <w:rPr>
        <w:rFonts w:ascii="Courier New" w:hAnsi="Courier New" w:cs="Courier New" w:hint="default"/>
      </w:rPr>
    </w:lvl>
    <w:lvl w:ilvl="8" w:tentative="1">
      <w:start w:val="1"/>
      <w:numFmt w:val="bullet"/>
      <w:lvlText w:val=""/>
      <w:lvlJc w:val="left"/>
      <w:pPr>
        <w:ind w:left="6848" w:hanging="360"/>
      </w:pPr>
      <w:rPr>
        <w:rFonts w:ascii="Wingdings" w:hAnsi="Wingdings" w:hint="default"/>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CF522BF"/>
    <w:multiLevelType w:val="multilevel"/>
    <w:tmpl w:val="4590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A7009F"/>
    <w:multiLevelType w:val="multilevel"/>
    <w:tmpl w:val="279E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8F4F7E"/>
    <w:multiLevelType w:val="multilevel"/>
    <w:tmpl w:val="90A6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628660A"/>
    <w:multiLevelType w:val="hybridMultilevel"/>
    <w:tmpl w:val="915044F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32D56A4"/>
    <w:multiLevelType w:val="hybridMultilevel"/>
    <w:tmpl w:val="46827864"/>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1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1">
    <w:nsid w:val="54627B55"/>
    <w:multiLevelType w:val="hybridMultilevel"/>
    <w:tmpl w:val="67A00304"/>
    <w:lvl w:ilvl="0">
      <w:start w:val="11"/>
      <w:numFmt w:val="decimal"/>
      <w:lvlText w:val="%1."/>
      <w:lvlJc w:val="left"/>
      <w:pPr>
        <w:tabs>
          <w:tab w:val="num" w:pos="720"/>
        </w:tabs>
        <w:ind w:left="720" w:hanging="360"/>
      </w:pPr>
      <w:rPr>
        <w:rFonts w:hint="default"/>
        <w:color w:val="auto"/>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4C1386A"/>
    <w:multiLevelType w:val="multilevel"/>
    <w:tmpl w:val="DBFA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0781C2F"/>
    <w:multiLevelType w:val="multilevel"/>
    <w:tmpl w:val="C12C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74CA42B1"/>
    <w:multiLevelType w:val="hybridMultilevel"/>
    <w:tmpl w:val="9B8277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4E008B0"/>
    <w:multiLevelType w:val="hybridMultilevel"/>
    <w:tmpl w:val="EA6E3CC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806582544">
    <w:abstractNumId w:val="4"/>
  </w:num>
  <w:num w:numId="2" w16cid:durableId="299262779">
    <w:abstractNumId w:val="18"/>
  </w:num>
  <w:num w:numId="3" w16cid:durableId="389156394">
    <w:abstractNumId w:val="2"/>
  </w:num>
  <w:num w:numId="4" w16cid:durableId="644744172">
    <w:abstractNumId w:val="17"/>
  </w:num>
  <w:num w:numId="5" w16cid:durableId="789055618">
    <w:abstractNumId w:val="14"/>
  </w:num>
  <w:num w:numId="6" w16cid:durableId="194316421">
    <w:abstractNumId w:val="1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2022774051">
    <w:abstractNumId w:val="10"/>
  </w:num>
  <w:num w:numId="8" w16cid:durableId="60739647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1306854784">
    <w:abstractNumId w:val="11"/>
  </w:num>
  <w:num w:numId="10" w16cid:durableId="1057629949">
    <w:abstractNumId w:val="9"/>
  </w:num>
  <w:num w:numId="11" w16cid:durableId="1863014677">
    <w:abstractNumId w:val="1"/>
  </w:num>
  <w:num w:numId="12" w16cid:durableId="1378240225">
    <w:abstractNumId w:val="3"/>
  </w:num>
  <w:num w:numId="13" w16cid:durableId="1759249202">
    <w:abstractNumId w:val="15"/>
  </w:num>
  <w:num w:numId="14" w16cid:durableId="997612479">
    <w:abstractNumId w:val="7"/>
  </w:num>
  <w:num w:numId="15" w16cid:durableId="2136440433">
    <w:abstractNumId w:val="12"/>
  </w:num>
  <w:num w:numId="16" w16cid:durableId="1996108835">
    <w:abstractNumId w:val="13"/>
  </w:num>
  <w:num w:numId="17" w16cid:durableId="1638802667">
    <w:abstractNumId w:val="6"/>
  </w:num>
  <w:num w:numId="18" w16cid:durableId="32853517">
    <w:abstractNumId w:val="8"/>
  </w:num>
  <w:num w:numId="19" w16cid:durableId="123230826">
    <w:abstractNumId w:val="5"/>
  </w:num>
  <w:num w:numId="20" w16cid:durableId="18221153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 w:id="2"/>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42"/>
    <w:rsid w:val="0003701D"/>
    <w:rsid w:val="00044847"/>
    <w:rsid w:val="000527B5"/>
    <w:rsid w:val="0006436C"/>
    <w:rsid w:val="00070EFE"/>
    <w:rsid w:val="00077B74"/>
    <w:rsid w:val="000A2BC5"/>
    <w:rsid w:val="000C30A0"/>
    <w:rsid w:val="001048B6"/>
    <w:rsid w:val="00126444"/>
    <w:rsid w:val="00142ECE"/>
    <w:rsid w:val="00160464"/>
    <w:rsid w:val="0016701A"/>
    <w:rsid w:val="00194B92"/>
    <w:rsid w:val="001D033B"/>
    <w:rsid w:val="00205A79"/>
    <w:rsid w:val="002414F7"/>
    <w:rsid w:val="00274278"/>
    <w:rsid w:val="002B2F27"/>
    <w:rsid w:val="002C5B8E"/>
    <w:rsid w:val="002D2F81"/>
    <w:rsid w:val="003370E7"/>
    <w:rsid w:val="003A24E8"/>
    <w:rsid w:val="003B13AC"/>
    <w:rsid w:val="003C5151"/>
    <w:rsid w:val="003D6BCD"/>
    <w:rsid w:val="004176F4"/>
    <w:rsid w:val="004567F8"/>
    <w:rsid w:val="00484EEA"/>
    <w:rsid w:val="004A101F"/>
    <w:rsid w:val="004D68E3"/>
    <w:rsid w:val="004E578B"/>
    <w:rsid w:val="00525DAE"/>
    <w:rsid w:val="005468F7"/>
    <w:rsid w:val="00591D11"/>
    <w:rsid w:val="005A06FD"/>
    <w:rsid w:val="005B03C2"/>
    <w:rsid w:val="005E7ACF"/>
    <w:rsid w:val="00600B95"/>
    <w:rsid w:val="00651C2E"/>
    <w:rsid w:val="0065675F"/>
    <w:rsid w:val="00672B11"/>
    <w:rsid w:val="006B59B7"/>
    <w:rsid w:val="007357D6"/>
    <w:rsid w:val="00754A02"/>
    <w:rsid w:val="00793276"/>
    <w:rsid w:val="007A3CCA"/>
    <w:rsid w:val="007B7299"/>
    <w:rsid w:val="007D01FE"/>
    <w:rsid w:val="007D3E33"/>
    <w:rsid w:val="00825319"/>
    <w:rsid w:val="00872D38"/>
    <w:rsid w:val="00895F2C"/>
    <w:rsid w:val="008B2830"/>
    <w:rsid w:val="00960961"/>
    <w:rsid w:val="00964DA2"/>
    <w:rsid w:val="00981103"/>
    <w:rsid w:val="009E4ED4"/>
    <w:rsid w:val="00A325C5"/>
    <w:rsid w:val="00A41533"/>
    <w:rsid w:val="00A55011"/>
    <w:rsid w:val="00A74465"/>
    <w:rsid w:val="00A7713E"/>
    <w:rsid w:val="00A861B1"/>
    <w:rsid w:val="00A86694"/>
    <w:rsid w:val="00AD719E"/>
    <w:rsid w:val="00B02060"/>
    <w:rsid w:val="00B331FB"/>
    <w:rsid w:val="00B55ABA"/>
    <w:rsid w:val="00B906B8"/>
    <w:rsid w:val="00B90CD6"/>
    <w:rsid w:val="00B9689F"/>
    <w:rsid w:val="00C36F9F"/>
    <w:rsid w:val="00C54A30"/>
    <w:rsid w:val="00C65594"/>
    <w:rsid w:val="00C71F1A"/>
    <w:rsid w:val="00C9245F"/>
    <w:rsid w:val="00CB7C42"/>
    <w:rsid w:val="00CC17C7"/>
    <w:rsid w:val="00DA523C"/>
    <w:rsid w:val="00DF0E4A"/>
    <w:rsid w:val="00E87390"/>
    <w:rsid w:val="00ED07AB"/>
    <w:rsid w:val="00EE1139"/>
    <w:rsid w:val="00F03D51"/>
    <w:rsid w:val="00F06A6C"/>
    <w:rsid w:val="00F1104A"/>
    <w:rsid w:val="00F200FC"/>
    <w:rsid w:val="00F4130E"/>
    <w:rsid w:val="00F8515E"/>
    <w:rsid w:val="00F92A8D"/>
    <w:rsid w:val="00FA0CEF"/>
    <w:rsid w:val="026A15CE"/>
    <w:rsid w:val="195C32AA"/>
    <w:rsid w:val="19A3A3F5"/>
    <w:rsid w:val="22F89F00"/>
    <w:rsid w:val="3196488B"/>
    <w:rsid w:val="33DFCA20"/>
    <w:rsid w:val="35D714FC"/>
    <w:rsid w:val="40351573"/>
    <w:rsid w:val="4771DA03"/>
    <w:rsid w:val="4883EF57"/>
    <w:rsid w:val="4C2DE931"/>
    <w:rsid w:val="4F9C91C6"/>
    <w:rsid w:val="54565158"/>
    <w:rsid w:val="5F4F08E8"/>
    <w:rsid w:val="74C7DE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FBB8BAA"/>
  <w15:chartTrackingRefBased/>
  <w15:docId w15:val="{8BD6E227-1964-4CB1-9078-5CA3BD91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aragraph">
    <w:name w:val="paragraph"/>
    <w:basedOn w:val="Normal"/>
    <w:rsid w:val="00B02060"/>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rsid w:val="00B02060"/>
  </w:style>
  <w:style w:type="character" w:customStyle="1" w:styleId="eop">
    <w:name w:val="eop"/>
    <w:rsid w:val="00B02060"/>
  </w:style>
  <w:style w:type="character" w:styleId="CommentReference">
    <w:name w:val="annotation reference"/>
    <w:uiPriority w:val="99"/>
    <w:semiHidden/>
    <w:unhideWhenUsed/>
    <w:rsid w:val="00484EEA"/>
    <w:rPr>
      <w:sz w:val="16"/>
      <w:szCs w:val="16"/>
    </w:rPr>
  </w:style>
  <w:style w:type="paragraph" w:styleId="CommentText">
    <w:name w:val="annotation text"/>
    <w:basedOn w:val="Normal"/>
    <w:link w:val="CommentTextChar"/>
    <w:uiPriority w:val="99"/>
    <w:semiHidden/>
    <w:unhideWhenUsed/>
    <w:rsid w:val="00484EEA"/>
  </w:style>
  <w:style w:type="character" w:customStyle="1" w:styleId="CommentTextChar">
    <w:name w:val="Comment Text Char"/>
    <w:basedOn w:val="DefaultParagraphFont"/>
    <w:link w:val="CommentText"/>
    <w:uiPriority w:val="99"/>
    <w:semiHidden/>
    <w:rsid w:val="00484EEA"/>
  </w:style>
  <w:style w:type="paragraph" w:styleId="CommentSubject">
    <w:name w:val="annotation subject"/>
    <w:basedOn w:val="CommentText"/>
    <w:next w:val="CommentText"/>
    <w:link w:val="CommentSubjectChar"/>
    <w:uiPriority w:val="99"/>
    <w:semiHidden/>
    <w:unhideWhenUsed/>
    <w:rsid w:val="00484EEA"/>
    <w:rPr>
      <w:b/>
      <w:bCs/>
    </w:rPr>
  </w:style>
  <w:style w:type="character" w:customStyle="1" w:styleId="CommentSubjectChar">
    <w:name w:val="Comment Subject Char"/>
    <w:link w:val="CommentSubject"/>
    <w:uiPriority w:val="99"/>
    <w:semiHidden/>
    <w:rsid w:val="00484EEA"/>
    <w:rPr>
      <w:b/>
      <w:bCs/>
    </w:rPr>
  </w:style>
  <w:style w:type="paragraph" w:styleId="BalloonText">
    <w:name w:val="Balloon Text"/>
    <w:basedOn w:val="Normal"/>
    <w:link w:val="BalloonTextChar"/>
    <w:uiPriority w:val="99"/>
    <w:semiHidden/>
    <w:unhideWhenUsed/>
    <w:rsid w:val="00484EEA"/>
    <w:rPr>
      <w:rFonts w:ascii="Segoe UI" w:hAnsi="Segoe UI" w:cs="Segoe UI"/>
      <w:sz w:val="18"/>
      <w:szCs w:val="18"/>
    </w:rPr>
  </w:style>
  <w:style w:type="character" w:customStyle="1" w:styleId="BalloonTextChar">
    <w:name w:val="Balloon Text Char"/>
    <w:link w:val="BalloonText"/>
    <w:uiPriority w:val="99"/>
    <w:semiHidden/>
    <w:rsid w:val="00484EEA"/>
    <w:rPr>
      <w:rFonts w:ascii="Segoe UI" w:hAnsi="Segoe UI" w:cs="Segoe UI"/>
      <w:sz w:val="18"/>
      <w:szCs w:val="18"/>
    </w:rPr>
  </w:style>
  <w:style w:type="paragraph" w:styleId="ListParagraph">
    <w:name w:val="List Paragraph"/>
    <w:basedOn w:val="Normal"/>
    <w:uiPriority w:val="34"/>
    <w:qFormat/>
    <w:rsid w:val="00F92A8D"/>
    <w:pPr>
      <w:ind w:left="720"/>
    </w:pPr>
  </w:style>
  <w:style w:type="paragraph" w:styleId="EndnoteText">
    <w:name w:val="endnote text"/>
    <w:basedOn w:val="Normal"/>
    <w:link w:val="EndnoteTextChar"/>
    <w:uiPriority w:val="99"/>
    <w:semiHidden/>
    <w:unhideWhenUsed/>
    <w:rsid w:val="001D033B"/>
  </w:style>
  <w:style w:type="character" w:customStyle="1" w:styleId="EndnoteTextChar">
    <w:name w:val="Endnote Text Char"/>
    <w:basedOn w:val="DefaultParagraphFont"/>
    <w:link w:val="EndnoteText"/>
    <w:uiPriority w:val="99"/>
    <w:semiHidden/>
    <w:rsid w:val="001D033B"/>
  </w:style>
  <w:style w:type="character" w:styleId="EndnoteReference">
    <w:name w:val="endnote reference"/>
    <w:uiPriority w:val="99"/>
    <w:semiHidden/>
    <w:unhideWhenUsed/>
    <w:rsid w:val="001D033B"/>
    <w:rPr>
      <w:vertAlign w:val="superscript"/>
    </w:rPr>
  </w:style>
  <w:style w:type="paragraph" w:styleId="FootnoteText">
    <w:name w:val="footnote text"/>
    <w:basedOn w:val="Normal"/>
    <w:link w:val="FootnoteTextChar"/>
    <w:uiPriority w:val="99"/>
    <w:semiHidden/>
    <w:unhideWhenUsed/>
    <w:rsid w:val="001D033B"/>
  </w:style>
  <w:style w:type="character" w:customStyle="1" w:styleId="FootnoteTextChar">
    <w:name w:val="Footnote Text Char"/>
    <w:basedOn w:val="DefaultParagraphFont"/>
    <w:link w:val="FootnoteText"/>
    <w:uiPriority w:val="99"/>
    <w:semiHidden/>
    <w:rsid w:val="001D033B"/>
  </w:style>
  <w:style w:type="character" w:styleId="FootnoteReference">
    <w:name w:val="footnote reference"/>
    <w:uiPriority w:val="99"/>
    <w:semiHidden/>
    <w:unhideWhenUsed/>
    <w:rsid w:val="001D03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C936C-FE78-4384-8200-08E368B0BCC3}">
  <ds:schemaRefs>
    <ds:schemaRef ds:uri="http://schemas.microsoft.com/sharepoint/v3/contenttype/forms"/>
  </ds:schemaRefs>
</ds:datastoreItem>
</file>

<file path=customXml/itemProps2.xml><?xml version="1.0" encoding="utf-8"?>
<ds:datastoreItem xmlns:ds="http://schemas.openxmlformats.org/officeDocument/2006/customXml" ds:itemID="{C9A106AC-BDA5-4D39-8510-C768370F8D60}">
  <ds:schemaRefs>
    <ds:schemaRef ds:uri="http://schemas.openxmlformats.org/officeDocument/2006/bibliography"/>
  </ds:schemaRefs>
</ds:datastoreItem>
</file>

<file path=customXml/itemProps3.xml><?xml version="1.0" encoding="utf-8"?>
<ds:datastoreItem xmlns:ds="http://schemas.openxmlformats.org/officeDocument/2006/customXml" ds:itemID="{ADA674A6-0E4A-4440-80A3-6B0CC200226E}">
  <ds:schemaRefs>
    <ds:schemaRef ds:uri="http://schemas.microsoft.com/office/2006/metadata/longProperties"/>
  </ds:schemaRefs>
</ds:datastoreItem>
</file>

<file path=customXml/itemProps4.xml><?xml version="1.0" encoding="utf-8"?>
<ds:datastoreItem xmlns:ds="http://schemas.openxmlformats.org/officeDocument/2006/customXml" ds:itemID="{79245185-E9DD-4A23-9DFB-6DEBC7805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Mcelhaney, Matthew J</cp:lastModifiedBy>
  <cp:revision>2</cp:revision>
  <cp:lastPrinted>2006-12-15T01:09:00Z</cp:lastPrinted>
  <dcterms:created xsi:type="dcterms:W3CDTF">2024-11-26T18:20:00Z</dcterms:created>
  <dcterms:modified xsi:type="dcterms:W3CDTF">2024-11-26T18:20:00Z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0x0101002FDB09BE36E3654FBAC79D6AA0D9148A</vt:lpwstr>
  </property>
  <property fmtid="{D5CDD505-2E9C-101B-9397-08002B2CF9AE}" pid="3" name="display_urn:schemas-microsoft-com:office:office#SharedWithUsers">
    <vt:lpwstr>Bilka, Nicholas J</vt:lpwstr>
  </property>
  <property fmtid="{D5CDD505-2E9C-101B-9397-08002B2CF9AE}" pid="4" name="SharedWithUsers">
    <vt:lpwstr>12;#Bilka, Nicholas J</vt:lpwstr>
  </property>
  <property fmtid="{D5CDD505-2E9C-101B-9397-08002B2CF9AE}" pid="5" name="_ip_UnifiedCompliancePolicyProperties">
    <vt:lpwstr/>
  </property>
  <property fmtid="{D5CDD505-2E9C-101B-9397-08002B2CF9AE}" pid="6" name="_ip_UnifiedCompliancePolicyUIAction">
    <vt:lpwstr/>
  </property>
</Properties>
</file>