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D10" w:rsidRPr="00B962F8" w:rsidP="00463D10" w14:paraId="6A0B8E1F" w14:textId="77777777">
      <w:pPr>
        <w:spacing w:after="0" w:line="240" w:lineRule="auto"/>
        <w:jc w:val="center"/>
        <w:rPr>
          <w:rFonts w:ascii="Arial" w:eastAsia="Times New Roman" w:hAnsi="Arial" w:cs="Arial"/>
          <w:b/>
          <w:sz w:val="24"/>
          <w:szCs w:val="24"/>
        </w:rPr>
      </w:pPr>
      <w:r w:rsidRPr="00B962F8">
        <w:rPr>
          <w:rFonts w:ascii="Arial" w:eastAsia="Times New Roman" w:hAnsi="Arial" w:cs="Arial"/>
          <w:b/>
          <w:sz w:val="24"/>
          <w:szCs w:val="24"/>
        </w:rPr>
        <w:t>SUPPORTING STATEMENT</w:t>
      </w:r>
    </w:p>
    <w:p w:rsidR="00B962F8" w:rsidRPr="00B962F8" w:rsidP="00463D10" w14:paraId="5F10D136" w14:textId="5643CA6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Guaranteed </w:t>
      </w:r>
      <w:r w:rsidR="00BF34C6">
        <w:rPr>
          <w:rFonts w:ascii="Arial" w:eastAsia="Times New Roman" w:hAnsi="Arial" w:cs="Arial"/>
          <w:b/>
          <w:sz w:val="24"/>
          <w:szCs w:val="24"/>
        </w:rPr>
        <w:t xml:space="preserve">or Insured </w:t>
      </w:r>
      <w:r>
        <w:rPr>
          <w:rFonts w:ascii="Arial" w:eastAsia="Times New Roman" w:hAnsi="Arial" w:cs="Arial"/>
          <w:b/>
          <w:sz w:val="24"/>
          <w:szCs w:val="24"/>
        </w:rPr>
        <w:t>Loan Reporting Requirements</w:t>
      </w:r>
    </w:p>
    <w:p w:rsidR="00463D10" w:rsidP="00463D10" w14:paraId="6A0B8E21" w14:textId="12D5020D">
      <w:pPr>
        <w:spacing w:after="0" w:line="240" w:lineRule="auto"/>
        <w:jc w:val="center"/>
        <w:rPr>
          <w:rFonts w:ascii="Arial" w:eastAsia="Times New Roman" w:hAnsi="Arial" w:cs="Arial"/>
          <w:sz w:val="24"/>
          <w:szCs w:val="24"/>
        </w:rPr>
      </w:pPr>
      <w:r w:rsidRPr="00B962F8">
        <w:rPr>
          <w:rFonts w:ascii="Arial" w:eastAsia="Times New Roman" w:hAnsi="Arial" w:cs="Arial"/>
          <w:b/>
          <w:sz w:val="24"/>
          <w:szCs w:val="24"/>
        </w:rPr>
        <w:t>OMB</w:t>
      </w:r>
      <w:r w:rsidRPr="00B85A58" w:rsidR="00B85A58">
        <w:rPr>
          <w:rFonts w:ascii="Arial" w:eastAsia="Times New Roman" w:hAnsi="Arial" w:cs="Arial"/>
          <w:b/>
          <w:sz w:val="24"/>
          <w:szCs w:val="24"/>
        </w:rPr>
        <w:t xml:space="preserve"> 2900-</w:t>
      </w:r>
      <w:r w:rsidR="00750719">
        <w:rPr>
          <w:rFonts w:ascii="Arial" w:eastAsia="Times New Roman" w:hAnsi="Arial" w:cs="Arial"/>
          <w:b/>
          <w:sz w:val="24"/>
          <w:szCs w:val="24"/>
        </w:rPr>
        <w:t>0909</w:t>
      </w:r>
      <w:r>
        <w:rPr>
          <w:rFonts w:ascii="Arial" w:eastAsia="Times New Roman" w:hAnsi="Arial" w:cs="Arial"/>
          <w:b/>
          <w:sz w:val="24"/>
          <w:szCs w:val="24"/>
        </w:rPr>
        <w:br/>
      </w:r>
    </w:p>
    <w:p w:rsidR="00BE07F8" w:rsidRPr="001C2F55" w:rsidP="00BE07F8" w14:paraId="24E249DE" w14:textId="77777777">
      <w:pPr>
        <w:rPr>
          <w:rFonts w:ascii="Arial" w:hAnsi="Arial" w:cs="Arial"/>
          <w:b/>
          <w:bCs/>
        </w:rPr>
      </w:pPr>
      <w:r w:rsidRPr="001C2F55">
        <w:rPr>
          <w:rFonts w:ascii="Arial" w:hAnsi="Arial" w:cs="Arial"/>
          <w:b/>
          <w:bCs/>
        </w:rPr>
        <w:t>Summary of Changes from the Previously Approved Collection</w:t>
      </w:r>
    </w:p>
    <w:p w:rsidR="00BE07F8" w:rsidRPr="001C2F55" w:rsidP="00BE07F8" w14:paraId="47F3F5FD" w14:textId="77777777">
      <w:pPr>
        <w:pStyle w:val="ListParagraph"/>
        <w:numPr>
          <w:ilvl w:val="0"/>
          <w:numId w:val="9"/>
        </w:numPr>
        <w:spacing w:after="0" w:line="240" w:lineRule="auto"/>
        <w:rPr>
          <w:rFonts w:ascii="Arial" w:eastAsia="Times New Roman" w:hAnsi="Arial" w:cs="Arial"/>
          <w:sz w:val="24"/>
          <w:szCs w:val="24"/>
        </w:rPr>
      </w:pPr>
      <w:r w:rsidRPr="001C2F55">
        <w:rPr>
          <w:rFonts w:ascii="Arial" w:hAnsi="Arial" w:cs="Arial"/>
        </w:rPr>
        <w:t>Burden hours decreased</w:t>
      </w:r>
    </w:p>
    <w:p w:rsidR="00BE07F8" w:rsidRPr="001C2F55" w:rsidP="00BE07F8" w14:paraId="6E7E0801" w14:textId="5EC508EB">
      <w:pPr>
        <w:pStyle w:val="ListParagraph"/>
        <w:numPr>
          <w:ilvl w:val="0"/>
          <w:numId w:val="9"/>
        </w:numPr>
        <w:spacing w:after="0" w:line="240" w:lineRule="auto"/>
        <w:rPr>
          <w:rFonts w:ascii="Arial" w:eastAsia="Times New Roman" w:hAnsi="Arial" w:cs="Arial"/>
          <w:sz w:val="24"/>
          <w:szCs w:val="24"/>
        </w:rPr>
      </w:pPr>
      <w:r w:rsidRPr="001C2F55">
        <w:rPr>
          <w:rFonts w:ascii="Arial" w:hAnsi="Arial" w:cs="Arial"/>
        </w:rPr>
        <w:t>There were no additional changes</w:t>
      </w:r>
    </w:p>
    <w:p w:rsidR="00BE07F8" w:rsidRPr="001C2F55" w:rsidP="00463D10" w14:paraId="245325EA" w14:textId="77777777">
      <w:pPr>
        <w:spacing w:after="0" w:line="240" w:lineRule="auto"/>
        <w:jc w:val="center"/>
        <w:rPr>
          <w:rFonts w:ascii="Arial" w:eastAsia="Times New Roman" w:hAnsi="Arial" w:cs="Arial"/>
          <w:sz w:val="24"/>
          <w:szCs w:val="24"/>
        </w:rPr>
      </w:pPr>
    </w:p>
    <w:p w:rsidR="00463D10" w:rsidRPr="001C2F55" w:rsidP="00463D10" w14:paraId="6A0B8E22" w14:textId="77777777">
      <w:pPr>
        <w:tabs>
          <w:tab w:val="left" w:pos="480"/>
          <w:tab w:val="right" w:pos="8640"/>
        </w:tabs>
        <w:spacing w:after="0" w:line="240" w:lineRule="auto"/>
        <w:ind w:right="684"/>
        <w:rPr>
          <w:rFonts w:ascii="Arial" w:eastAsia="Times New Roman" w:hAnsi="Arial" w:cs="Arial"/>
          <w:b/>
          <w:sz w:val="24"/>
          <w:szCs w:val="24"/>
        </w:rPr>
      </w:pPr>
      <w:r w:rsidRPr="001C2F55">
        <w:rPr>
          <w:rFonts w:ascii="Arial" w:eastAsia="Times New Roman" w:hAnsi="Arial" w:cs="Arial"/>
          <w:b/>
          <w:sz w:val="24"/>
          <w:szCs w:val="24"/>
        </w:rPr>
        <w:t xml:space="preserve">A.  </w:t>
      </w:r>
      <w:r w:rsidRPr="001C2F55">
        <w:rPr>
          <w:rFonts w:ascii="Arial" w:eastAsia="Times New Roman" w:hAnsi="Arial" w:cs="Arial"/>
          <w:b/>
          <w:sz w:val="24"/>
          <w:szCs w:val="24"/>
          <w:u w:val="single"/>
        </w:rPr>
        <w:t>Justification</w:t>
      </w:r>
    </w:p>
    <w:p w:rsidR="00463D10" w:rsidRPr="001C2F55" w:rsidP="00463D10" w14:paraId="6A0B8E23" w14:textId="77777777">
      <w:pPr>
        <w:tabs>
          <w:tab w:val="left" w:pos="480"/>
          <w:tab w:val="right" w:pos="8640"/>
        </w:tabs>
        <w:spacing w:after="0" w:line="240" w:lineRule="auto"/>
        <w:ind w:right="684"/>
        <w:rPr>
          <w:rFonts w:ascii="Arial" w:eastAsia="Times New Roman" w:hAnsi="Arial" w:cs="Arial"/>
          <w:b/>
          <w:sz w:val="24"/>
          <w:szCs w:val="24"/>
        </w:rPr>
      </w:pPr>
    </w:p>
    <w:p w:rsidR="00463D10" w:rsidRPr="001C2F55" w:rsidP="00463D10" w14:paraId="6A0B8E24" w14:textId="77777777">
      <w:pPr>
        <w:numPr>
          <w:ilvl w:val="0"/>
          <w:numId w:val="1"/>
        </w:numPr>
        <w:spacing w:after="0" w:line="240" w:lineRule="auto"/>
        <w:ind w:right="540"/>
        <w:contextualSpacing/>
        <w:rPr>
          <w:rFonts w:ascii="Arial" w:eastAsia="Times New Roman" w:hAnsi="Arial" w:cs="Arial"/>
          <w:b/>
          <w:sz w:val="24"/>
          <w:szCs w:val="24"/>
        </w:rPr>
      </w:pPr>
      <w:r w:rsidRPr="001C2F55">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463D10" w:rsidP="00463D10" w14:paraId="6A0B8E25" w14:textId="77777777">
      <w:pPr>
        <w:spacing w:after="0" w:line="240" w:lineRule="auto"/>
        <w:ind w:left="720" w:right="540"/>
        <w:contextualSpacing/>
        <w:rPr>
          <w:rFonts w:ascii="Arial" w:eastAsia="Times New Roman" w:hAnsi="Arial" w:cs="Arial"/>
          <w:sz w:val="24"/>
          <w:szCs w:val="24"/>
        </w:rPr>
      </w:pPr>
    </w:p>
    <w:p w:rsidR="00A15F90" w:rsidP="00463D10" w14:paraId="43CB3E0B" w14:textId="137E9F42">
      <w:pPr>
        <w:spacing w:after="0" w:line="240" w:lineRule="auto"/>
        <w:ind w:left="720"/>
        <w:rPr>
          <w:rFonts w:ascii="Arial" w:eastAsia="Times New Roman" w:hAnsi="Arial" w:cs="Arial"/>
          <w:sz w:val="24"/>
          <w:szCs w:val="24"/>
        </w:rPr>
      </w:pPr>
      <w:r>
        <w:rPr>
          <w:rFonts w:ascii="Arial" w:eastAsia="Times New Roman" w:hAnsi="Arial" w:cs="Arial"/>
          <w:sz w:val="24"/>
          <w:szCs w:val="24"/>
        </w:rPr>
        <w:t>The Department of Veterans Affairs (</w:t>
      </w:r>
      <w:r w:rsidR="00750719">
        <w:rPr>
          <w:rFonts w:ascii="Arial" w:eastAsia="Times New Roman" w:hAnsi="Arial" w:cs="Arial"/>
          <w:sz w:val="24"/>
          <w:szCs w:val="24"/>
        </w:rPr>
        <w:t>VA</w:t>
      </w:r>
      <w:r>
        <w:rPr>
          <w:rFonts w:ascii="Arial" w:eastAsia="Times New Roman" w:hAnsi="Arial" w:cs="Arial"/>
          <w:sz w:val="24"/>
          <w:szCs w:val="24"/>
        </w:rPr>
        <w:t>)</w:t>
      </w:r>
      <w:r w:rsidR="00750719">
        <w:rPr>
          <w:rFonts w:ascii="Arial" w:eastAsia="Times New Roman" w:hAnsi="Arial" w:cs="Arial"/>
          <w:sz w:val="24"/>
          <w:szCs w:val="24"/>
        </w:rPr>
        <w:t xml:space="preserve"> is submitting this revised information collection in </w:t>
      </w:r>
      <w:r w:rsidR="003522E0">
        <w:rPr>
          <w:rFonts w:ascii="Arial" w:eastAsia="Times New Roman" w:hAnsi="Arial" w:cs="Arial"/>
          <w:sz w:val="24"/>
          <w:szCs w:val="24"/>
        </w:rPr>
        <w:t xml:space="preserve">conjunction with a proposed rulemaking that would </w:t>
      </w:r>
      <w:r w:rsidR="00750719">
        <w:rPr>
          <w:rFonts w:ascii="Arial" w:eastAsia="Times New Roman" w:hAnsi="Arial" w:cs="Arial"/>
          <w:sz w:val="24"/>
          <w:szCs w:val="24"/>
        </w:rPr>
        <w:t xml:space="preserve">implement new technology and reporting procedures in which VA </w:t>
      </w:r>
      <w:r w:rsidR="00100916">
        <w:rPr>
          <w:rFonts w:ascii="Arial" w:eastAsia="Times New Roman" w:hAnsi="Arial" w:cs="Arial"/>
          <w:sz w:val="24"/>
          <w:szCs w:val="24"/>
        </w:rPr>
        <w:t xml:space="preserve">would </w:t>
      </w:r>
      <w:r w:rsidR="00750719">
        <w:rPr>
          <w:rFonts w:ascii="Arial" w:eastAsia="Times New Roman" w:hAnsi="Arial" w:cs="Arial"/>
          <w:sz w:val="24"/>
          <w:szCs w:val="24"/>
        </w:rPr>
        <w:t xml:space="preserve">collect from lenders certain loan </w:t>
      </w:r>
      <w:r w:rsidR="004357D9">
        <w:rPr>
          <w:rFonts w:ascii="Arial" w:eastAsia="Times New Roman" w:hAnsi="Arial" w:cs="Arial"/>
          <w:sz w:val="24"/>
          <w:szCs w:val="24"/>
        </w:rPr>
        <w:t>origination</w:t>
      </w:r>
      <w:r w:rsidR="00750719">
        <w:rPr>
          <w:rFonts w:ascii="Arial" w:eastAsia="Times New Roman" w:hAnsi="Arial" w:cs="Arial"/>
          <w:sz w:val="24"/>
          <w:szCs w:val="24"/>
        </w:rPr>
        <w:t xml:space="preserve"> information</w:t>
      </w:r>
      <w:r w:rsidR="00446BBF">
        <w:rPr>
          <w:rFonts w:ascii="Arial" w:eastAsia="Times New Roman" w:hAnsi="Arial" w:cs="Arial"/>
          <w:sz w:val="24"/>
          <w:szCs w:val="24"/>
        </w:rPr>
        <w:t xml:space="preserve"> and the appropriate funding fee</w:t>
      </w:r>
      <w:r w:rsidR="00750719">
        <w:rPr>
          <w:rFonts w:ascii="Arial" w:eastAsia="Times New Roman" w:hAnsi="Arial" w:cs="Arial"/>
          <w:sz w:val="24"/>
          <w:szCs w:val="24"/>
        </w:rPr>
        <w:t xml:space="preserve"> via a computable electronic format</w:t>
      </w:r>
      <w:r w:rsidR="003B2150">
        <w:rPr>
          <w:rFonts w:ascii="Arial" w:eastAsia="Times New Roman" w:hAnsi="Arial" w:cs="Arial"/>
          <w:sz w:val="24"/>
          <w:szCs w:val="24"/>
        </w:rPr>
        <w:t>.</w:t>
      </w:r>
      <w:r w:rsidR="00894005">
        <w:rPr>
          <w:rFonts w:ascii="Arial" w:eastAsia="Times New Roman" w:hAnsi="Arial" w:cs="Arial"/>
          <w:sz w:val="24"/>
          <w:szCs w:val="24"/>
        </w:rPr>
        <w:t xml:space="preserve"> VA statute requires </w:t>
      </w:r>
      <w:r w:rsidR="00EF34BC">
        <w:rPr>
          <w:rFonts w:ascii="Arial" w:eastAsia="Times New Roman" w:hAnsi="Arial" w:cs="Arial"/>
          <w:sz w:val="24"/>
          <w:szCs w:val="24"/>
        </w:rPr>
        <w:t xml:space="preserve">lenders to report a guaranteed or insured loan to VA </w:t>
      </w:r>
      <w:r w:rsidR="00320CFC">
        <w:rPr>
          <w:rFonts w:ascii="Arial" w:eastAsia="Times New Roman" w:hAnsi="Arial" w:cs="Arial"/>
          <w:sz w:val="24"/>
          <w:szCs w:val="24"/>
        </w:rPr>
        <w:t>in such detail as the Secretary may prescribe</w:t>
      </w:r>
      <w:r>
        <w:rPr>
          <w:rFonts w:ascii="Arial" w:eastAsia="Times New Roman" w:hAnsi="Arial" w:cs="Arial"/>
          <w:sz w:val="24"/>
          <w:szCs w:val="24"/>
        </w:rPr>
        <w:t xml:space="preserve"> under </w:t>
      </w:r>
      <w:r w:rsidR="00E42C59">
        <w:rPr>
          <w:rFonts w:ascii="Arial" w:eastAsia="Times New Roman" w:hAnsi="Arial" w:cs="Arial"/>
          <w:sz w:val="24"/>
          <w:szCs w:val="24"/>
        </w:rPr>
        <w:t xml:space="preserve">38 U.S.C. </w:t>
      </w:r>
      <w:r w:rsidRPr="00000DF2">
        <w:rPr>
          <w:rFonts w:ascii="Arial" w:eastAsia="Times New Roman" w:hAnsi="Arial" w:cs="Arial"/>
          <w:sz w:val="24"/>
          <w:szCs w:val="24"/>
        </w:rPr>
        <w:t>§</w:t>
      </w:r>
      <w:r>
        <w:rPr>
          <w:rFonts w:ascii="Arial" w:eastAsia="Times New Roman" w:hAnsi="Arial" w:cs="Arial"/>
          <w:sz w:val="24"/>
          <w:szCs w:val="24"/>
        </w:rPr>
        <w:t xml:space="preserve"> </w:t>
      </w:r>
      <w:r w:rsidR="00E42C59">
        <w:rPr>
          <w:rFonts w:ascii="Arial" w:eastAsia="Times New Roman" w:hAnsi="Arial" w:cs="Arial"/>
          <w:sz w:val="24"/>
          <w:szCs w:val="24"/>
        </w:rPr>
        <w:t xml:space="preserve">3702(c). In cases where the loan is guaranteed, the Secretary shall provide the lender with a loan guaranty certificate or other evidence of the guaranty. </w:t>
      </w:r>
      <w:r w:rsidR="00BA14EE">
        <w:rPr>
          <w:rFonts w:ascii="Arial" w:eastAsia="Times New Roman" w:hAnsi="Arial" w:cs="Arial"/>
          <w:sz w:val="24"/>
          <w:szCs w:val="24"/>
        </w:rPr>
        <w:t xml:space="preserve">Regulations codified at 38 </w:t>
      </w:r>
      <w:r w:rsidR="001863BF">
        <w:rPr>
          <w:rFonts w:ascii="Arial" w:eastAsia="Times New Roman" w:hAnsi="Arial" w:cs="Arial"/>
          <w:sz w:val="24"/>
          <w:szCs w:val="24"/>
        </w:rPr>
        <w:t xml:space="preserve">CFR </w:t>
      </w:r>
      <w:r w:rsidRPr="00000DF2">
        <w:rPr>
          <w:rFonts w:ascii="Arial" w:eastAsia="Times New Roman" w:hAnsi="Arial" w:cs="Arial"/>
          <w:sz w:val="24"/>
          <w:szCs w:val="24"/>
        </w:rPr>
        <w:t>§</w:t>
      </w:r>
      <w:r>
        <w:rPr>
          <w:rFonts w:ascii="Arial" w:eastAsia="Times New Roman" w:hAnsi="Arial" w:cs="Arial"/>
          <w:sz w:val="24"/>
          <w:szCs w:val="24"/>
        </w:rPr>
        <w:t xml:space="preserve"> </w:t>
      </w:r>
      <w:r w:rsidR="00BA14EE">
        <w:rPr>
          <w:rFonts w:ascii="Arial" w:eastAsia="Times New Roman" w:hAnsi="Arial" w:cs="Arial"/>
          <w:sz w:val="24"/>
          <w:szCs w:val="24"/>
        </w:rPr>
        <w:t xml:space="preserve">36.4303 </w:t>
      </w:r>
      <w:r w:rsidR="0018366E">
        <w:rPr>
          <w:rFonts w:ascii="Arial" w:eastAsia="Times New Roman" w:hAnsi="Arial" w:cs="Arial"/>
          <w:sz w:val="24"/>
          <w:szCs w:val="24"/>
        </w:rPr>
        <w:t xml:space="preserve">and 38 CFR </w:t>
      </w:r>
      <w:r w:rsidRPr="00000DF2">
        <w:rPr>
          <w:rFonts w:ascii="Arial" w:eastAsia="Times New Roman" w:hAnsi="Arial" w:cs="Arial"/>
          <w:sz w:val="24"/>
          <w:szCs w:val="24"/>
        </w:rPr>
        <w:t>§</w:t>
      </w:r>
      <w:r>
        <w:rPr>
          <w:rFonts w:ascii="Arial" w:eastAsia="Times New Roman" w:hAnsi="Arial" w:cs="Arial"/>
          <w:sz w:val="24"/>
          <w:szCs w:val="24"/>
        </w:rPr>
        <w:t xml:space="preserve"> </w:t>
      </w:r>
      <w:r w:rsidR="0018366E">
        <w:rPr>
          <w:rFonts w:ascii="Arial" w:eastAsia="Times New Roman" w:hAnsi="Arial" w:cs="Arial"/>
          <w:sz w:val="24"/>
          <w:szCs w:val="24"/>
        </w:rPr>
        <w:t xml:space="preserve">36.4209 </w:t>
      </w:r>
      <w:r w:rsidR="00BA14EE">
        <w:rPr>
          <w:rFonts w:ascii="Arial" w:eastAsia="Times New Roman" w:hAnsi="Arial" w:cs="Arial"/>
          <w:sz w:val="24"/>
          <w:szCs w:val="24"/>
        </w:rPr>
        <w:t>detail the requirements of lenders to report loans to VA</w:t>
      </w:r>
      <w:r w:rsidR="00317B3C">
        <w:rPr>
          <w:rFonts w:ascii="Arial" w:eastAsia="Times New Roman" w:hAnsi="Arial" w:cs="Arial"/>
          <w:sz w:val="24"/>
          <w:szCs w:val="24"/>
        </w:rPr>
        <w:t xml:space="preserve"> in order to obtain evidence of the guaranty.</w:t>
      </w:r>
      <w:r w:rsidR="00000DF2">
        <w:rPr>
          <w:rFonts w:ascii="Arial" w:eastAsia="Times New Roman" w:hAnsi="Arial" w:cs="Arial"/>
          <w:sz w:val="24"/>
          <w:szCs w:val="24"/>
        </w:rPr>
        <w:t xml:space="preserve"> </w:t>
      </w:r>
    </w:p>
    <w:p w:rsidR="00A15F90" w:rsidP="00463D10" w14:paraId="46B104F5" w14:textId="77777777">
      <w:pPr>
        <w:spacing w:after="0" w:line="240" w:lineRule="auto"/>
        <w:ind w:left="720"/>
        <w:rPr>
          <w:rFonts w:ascii="Arial" w:eastAsia="Times New Roman" w:hAnsi="Arial" w:cs="Arial"/>
          <w:sz w:val="24"/>
          <w:szCs w:val="24"/>
        </w:rPr>
      </w:pPr>
    </w:p>
    <w:p w:rsidR="003B2150" w:rsidP="00463D10" w14:paraId="1695BC61" w14:textId="7BB06C95">
      <w:pPr>
        <w:spacing w:after="0" w:line="240" w:lineRule="auto"/>
        <w:ind w:left="720"/>
        <w:rPr>
          <w:rFonts w:ascii="Arial" w:eastAsia="Times New Roman" w:hAnsi="Arial" w:cs="Arial"/>
          <w:sz w:val="24"/>
          <w:szCs w:val="24"/>
        </w:rPr>
      </w:pPr>
      <w:r>
        <w:rPr>
          <w:rFonts w:ascii="Arial" w:eastAsia="Times New Roman" w:hAnsi="Arial" w:cs="Arial"/>
          <w:sz w:val="24"/>
          <w:szCs w:val="24"/>
        </w:rPr>
        <w:t>VA also requires the payment of a funding fee</w:t>
      </w:r>
      <w:r w:rsidRPr="00000DF2">
        <w:rPr>
          <w:rFonts w:ascii="Arial" w:eastAsia="Times New Roman" w:hAnsi="Arial" w:cs="Arial"/>
          <w:sz w:val="24"/>
          <w:szCs w:val="24"/>
        </w:rPr>
        <w:t xml:space="preserve"> </w:t>
      </w:r>
      <w:r w:rsidR="00FB3D86">
        <w:rPr>
          <w:rFonts w:ascii="Arial" w:eastAsia="Times New Roman" w:hAnsi="Arial" w:cs="Arial"/>
          <w:sz w:val="24"/>
          <w:szCs w:val="24"/>
        </w:rPr>
        <w:t xml:space="preserve">before </w:t>
      </w:r>
      <w:r>
        <w:rPr>
          <w:rFonts w:ascii="Arial" w:eastAsia="Times New Roman" w:hAnsi="Arial" w:cs="Arial"/>
          <w:sz w:val="24"/>
          <w:szCs w:val="24"/>
        </w:rPr>
        <w:t>VA can issue evidence of guaranty</w:t>
      </w:r>
      <w:r w:rsidRPr="00000DF2">
        <w:rPr>
          <w:rFonts w:ascii="Arial" w:eastAsia="Times New Roman" w:hAnsi="Arial" w:cs="Arial"/>
          <w:sz w:val="24"/>
          <w:szCs w:val="24"/>
        </w:rPr>
        <w:t>. The funding fee is payable on all VA-guaranteed loans (i.e., assumptions, manufactured housing, refinances, and real estate purchase and construction loans). The funding fee is not required from active-duty service members awarded a purple heart, Veterans who are receiving compensation for service-connected disability, or Veterans who, but for receipt of retirement pay, would be entitled to receive compensation for service-connected disabilities. Certain surviving spouses of Veterans are also exempted fro</w:t>
      </w:r>
      <w:r w:rsidRPr="00000DF2">
        <w:rPr>
          <w:rFonts w:ascii="Arial" w:eastAsia="Times New Roman" w:hAnsi="Arial" w:cs="Arial"/>
          <w:sz w:val="24"/>
          <w:szCs w:val="24"/>
        </w:rPr>
        <w:t xml:space="preserve">m payment of the funding fee, regardless of whether the spouse has his/her own eligibility. The funding fee is required by 38 U.S.C. </w:t>
      </w:r>
      <w:r w:rsidRPr="00000DF2" w:rsidR="00B27894">
        <w:rPr>
          <w:rFonts w:ascii="Arial" w:eastAsia="Times New Roman" w:hAnsi="Arial" w:cs="Arial"/>
          <w:sz w:val="24"/>
          <w:szCs w:val="24"/>
        </w:rPr>
        <w:t>§</w:t>
      </w:r>
      <w:r w:rsidR="00B27894">
        <w:rPr>
          <w:rFonts w:ascii="Arial" w:eastAsia="Times New Roman" w:hAnsi="Arial" w:cs="Arial"/>
          <w:sz w:val="24"/>
          <w:szCs w:val="24"/>
        </w:rPr>
        <w:t xml:space="preserve"> </w:t>
      </w:r>
      <w:r w:rsidRPr="00000DF2">
        <w:rPr>
          <w:rFonts w:ascii="Arial" w:eastAsia="Times New Roman" w:hAnsi="Arial" w:cs="Arial"/>
          <w:sz w:val="24"/>
          <w:szCs w:val="24"/>
        </w:rPr>
        <w:t>3729, 38 CFR § 36.4232 and § 36.4313.</w:t>
      </w:r>
      <w:r w:rsidR="001A4D68">
        <w:rPr>
          <w:rFonts w:ascii="Arial" w:eastAsia="Times New Roman" w:hAnsi="Arial" w:cs="Arial"/>
          <w:sz w:val="24"/>
          <w:szCs w:val="24"/>
        </w:rPr>
        <w:t xml:space="preserve"> </w:t>
      </w:r>
    </w:p>
    <w:p w:rsidR="003B2150" w:rsidP="00463D10" w14:paraId="0A2C47D6" w14:textId="77777777">
      <w:pPr>
        <w:spacing w:after="0" w:line="240" w:lineRule="auto"/>
        <w:ind w:left="720"/>
        <w:rPr>
          <w:rFonts w:ascii="Arial" w:eastAsia="Times New Roman" w:hAnsi="Arial" w:cs="Arial"/>
          <w:sz w:val="24"/>
          <w:szCs w:val="24"/>
        </w:rPr>
      </w:pPr>
    </w:p>
    <w:p w:rsidR="00F935E4" w:rsidP="00463D10" w14:paraId="733EF01F" w14:textId="230970F0">
      <w:pPr>
        <w:spacing w:after="0" w:line="240" w:lineRule="auto"/>
        <w:ind w:left="720"/>
        <w:rPr>
          <w:rFonts w:ascii="Arial" w:eastAsia="Times New Roman" w:hAnsi="Arial" w:cs="Arial"/>
          <w:sz w:val="24"/>
          <w:szCs w:val="24"/>
        </w:rPr>
      </w:pPr>
      <w:r>
        <w:rPr>
          <w:rFonts w:ascii="Arial" w:eastAsia="Times New Roman" w:hAnsi="Arial" w:cs="Arial"/>
          <w:sz w:val="24"/>
          <w:szCs w:val="24"/>
        </w:rPr>
        <w:t>In</w:t>
      </w:r>
      <w:r w:rsidR="004F322B">
        <w:rPr>
          <w:rFonts w:ascii="Arial" w:eastAsia="Times New Roman" w:hAnsi="Arial" w:cs="Arial"/>
          <w:sz w:val="24"/>
          <w:szCs w:val="24"/>
        </w:rPr>
        <w:t xml:space="preserve"> VA</w:t>
      </w:r>
      <w:r w:rsidR="00100916">
        <w:rPr>
          <w:rFonts w:ascii="Arial" w:eastAsia="Times New Roman" w:hAnsi="Arial" w:cs="Arial"/>
          <w:sz w:val="24"/>
          <w:szCs w:val="24"/>
        </w:rPr>
        <w:t>’s proposed amendments to the</w:t>
      </w:r>
      <w:r w:rsidR="004F322B">
        <w:rPr>
          <w:rFonts w:ascii="Arial" w:eastAsia="Times New Roman" w:hAnsi="Arial" w:cs="Arial"/>
          <w:sz w:val="24"/>
          <w:szCs w:val="24"/>
        </w:rPr>
        <w:t xml:space="preserve"> reporting regulation</w:t>
      </w:r>
      <w:r w:rsidR="00100916">
        <w:rPr>
          <w:rFonts w:ascii="Arial" w:eastAsia="Times New Roman" w:hAnsi="Arial" w:cs="Arial"/>
          <w:sz w:val="24"/>
          <w:szCs w:val="24"/>
        </w:rPr>
        <w:t xml:space="preserve"> at</w:t>
      </w:r>
      <w:r>
        <w:rPr>
          <w:rFonts w:ascii="Arial" w:eastAsia="Times New Roman" w:hAnsi="Arial" w:cs="Arial"/>
          <w:sz w:val="24"/>
          <w:szCs w:val="24"/>
        </w:rPr>
        <w:t xml:space="preserve"> </w:t>
      </w:r>
      <w:bookmarkStart w:id="0" w:name="_Hlk138847524"/>
      <w:r w:rsidR="00B27894">
        <w:rPr>
          <w:rFonts w:ascii="Arial" w:eastAsia="Times New Roman" w:hAnsi="Arial" w:cs="Arial"/>
          <w:sz w:val="24"/>
          <w:szCs w:val="24"/>
        </w:rPr>
        <w:t xml:space="preserve">38 CFR </w:t>
      </w:r>
      <w:r>
        <w:rPr>
          <w:rFonts w:ascii="Arial" w:eastAsia="Times New Roman" w:hAnsi="Arial" w:cs="Arial"/>
          <w:sz w:val="24"/>
          <w:szCs w:val="24"/>
        </w:rPr>
        <w:t>§ 36.4303(a)</w:t>
      </w:r>
      <w:bookmarkEnd w:id="0"/>
      <w:r>
        <w:rPr>
          <w:rFonts w:ascii="Arial" w:eastAsia="Times New Roman" w:hAnsi="Arial" w:cs="Arial"/>
          <w:sz w:val="24"/>
          <w:szCs w:val="24"/>
        </w:rPr>
        <w:t xml:space="preserve">, </w:t>
      </w:r>
      <w:r w:rsidR="00594A2E">
        <w:rPr>
          <w:rFonts w:ascii="Arial" w:eastAsia="Times New Roman" w:hAnsi="Arial" w:cs="Arial"/>
          <w:sz w:val="24"/>
          <w:szCs w:val="24"/>
        </w:rPr>
        <w:t xml:space="preserve">lenders with authority to automatically close VA-guaranteed loans </w:t>
      </w:r>
      <w:r w:rsidR="00100916">
        <w:rPr>
          <w:rFonts w:ascii="Arial" w:eastAsia="Times New Roman" w:hAnsi="Arial" w:cs="Arial"/>
          <w:sz w:val="24"/>
          <w:szCs w:val="24"/>
        </w:rPr>
        <w:t xml:space="preserve">would be </w:t>
      </w:r>
      <w:r w:rsidR="0093094B">
        <w:rPr>
          <w:rFonts w:ascii="Arial" w:eastAsia="Times New Roman" w:hAnsi="Arial" w:cs="Arial"/>
          <w:sz w:val="24"/>
          <w:szCs w:val="24"/>
        </w:rPr>
        <w:t xml:space="preserve">required to report </w:t>
      </w:r>
      <w:r w:rsidR="005839C0">
        <w:rPr>
          <w:rFonts w:ascii="Arial" w:eastAsia="Times New Roman" w:hAnsi="Arial" w:cs="Arial"/>
          <w:sz w:val="24"/>
          <w:szCs w:val="24"/>
        </w:rPr>
        <w:t xml:space="preserve">such loans </w:t>
      </w:r>
      <w:r w:rsidR="00064272">
        <w:rPr>
          <w:rFonts w:ascii="Arial" w:eastAsia="Times New Roman" w:hAnsi="Arial" w:cs="Arial"/>
          <w:sz w:val="24"/>
          <w:szCs w:val="24"/>
        </w:rPr>
        <w:t xml:space="preserve">in an electronic format prescribed by the Secretary </w:t>
      </w:r>
      <w:r w:rsidR="005839C0">
        <w:rPr>
          <w:rFonts w:ascii="Arial" w:eastAsia="Times New Roman" w:hAnsi="Arial" w:cs="Arial"/>
          <w:sz w:val="24"/>
          <w:szCs w:val="24"/>
        </w:rPr>
        <w:t xml:space="preserve">no later than </w:t>
      </w:r>
      <w:r w:rsidR="00064272">
        <w:rPr>
          <w:rFonts w:ascii="Arial" w:eastAsia="Times New Roman" w:hAnsi="Arial" w:cs="Arial"/>
          <w:sz w:val="24"/>
          <w:szCs w:val="24"/>
        </w:rPr>
        <w:t>15</w:t>
      </w:r>
      <w:r w:rsidR="005839C0">
        <w:rPr>
          <w:rFonts w:ascii="Arial" w:eastAsia="Times New Roman" w:hAnsi="Arial" w:cs="Arial"/>
          <w:sz w:val="24"/>
          <w:szCs w:val="24"/>
        </w:rPr>
        <w:t xml:space="preserve"> days following full disbursement and with </w:t>
      </w:r>
      <w:r w:rsidR="00BE2EA4">
        <w:rPr>
          <w:rFonts w:ascii="Arial" w:eastAsia="Times New Roman" w:hAnsi="Arial" w:cs="Arial"/>
          <w:sz w:val="24"/>
          <w:szCs w:val="24"/>
        </w:rPr>
        <w:t>the appropriate funding fee</w:t>
      </w:r>
      <w:r w:rsidR="00FB3D86">
        <w:rPr>
          <w:rFonts w:ascii="Arial" w:eastAsia="Times New Roman" w:hAnsi="Arial" w:cs="Arial"/>
          <w:sz w:val="24"/>
          <w:szCs w:val="24"/>
        </w:rPr>
        <w:t xml:space="preserve"> </w:t>
      </w:r>
      <w:r w:rsidR="00BE2EA4">
        <w:rPr>
          <w:rFonts w:ascii="Arial" w:eastAsia="Times New Roman" w:hAnsi="Arial" w:cs="Arial"/>
          <w:sz w:val="24"/>
          <w:szCs w:val="24"/>
        </w:rPr>
        <w:t xml:space="preserve">and </w:t>
      </w:r>
      <w:r w:rsidR="005839C0">
        <w:rPr>
          <w:rFonts w:ascii="Arial" w:eastAsia="Times New Roman" w:hAnsi="Arial" w:cs="Arial"/>
          <w:sz w:val="24"/>
          <w:szCs w:val="24"/>
        </w:rPr>
        <w:t>accompanying certifications outlined in subparagraphs (a)(1)</w:t>
      </w:r>
      <w:r w:rsidR="00064272">
        <w:rPr>
          <w:rFonts w:ascii="Arial" w:eastAsia="Times New Roman" w:hAnsi="Arial" w:cs="Arial"/>
          <w:sz w:val="24"/>
          <w:szCs w:val="24"/>
        </w:rPr>
        <w:t>(i)</w:t>
      </w:r>
      <w:r w:rsidR="005839C0">
        <w:rPr>
          <w:rFonts w:ascii="Arial" w:eastAsia="Times New Roman" w:hAnsi="Arial" w:cs="Arial"/>
          <w:sz w:val="24"/>
          <w:szCs w:val="24"/>
        </w:rPr>
        <w:t xml:space="preserve"> through (</w:t>
      </w:r>
      <w:r w:rsidR="00064272">
        <w:rPr>
          <w:rFonts w:ascii="Arial" w:eastAsia="Times New Roman" w:hAnsi="Arial" w:cs="Arial"/>
          <w:sz w:val="24"/>
          <w:szCs w:val="24"/>
        </w:rPr>
        <w:t>iv</w:t>
      </w:r>
      <w:r w:rsidR="005839C0">
        <w:rPr>
          <w:rFonts w:ascii="Arial" w:eastAsia="Times New Roman" w:hAnsi="Arial" w:cs="Arial"/>
          <w:sz w:val="24"/>
          <w:szCs w:val="24"/>
        </w:rPr>
        <w:t>)</w:t>
      </w:r>
      <w:r w:rsidR="005568CD">
        <w:rPr>
          <w:rFonts w:ascii="Arial" w:eastAsia="Times New Roman" w:hAnsi="Arial" w:cs="Arial"/>
          <w:sz w:val="24"/>
          <w:szCs w:val="24"/>
        </w:rPr>
        <w:t xml:space="preserve">. If the lender reports the loan after </w:t>
      </w:r>
      <w:r w:rsidR="00064272">
        <w:rPr>
          <w:rFonts w:ascii="Arial" w:eastAsia="Times New Roman" w:hAnsi="Arial" w:cs="Arial"/>
          <w:sz w:val="24"/>
          <w:szCs w:val="24"/>
        </w:rPr>
        <w:t>15</w:t>
      </w:r>
      <w:r w:rsidR="0018366E">
        <w:rPr>
          <w:rFonts w:ascii="Arial" w:eastAsia="Times New Roman" w:hAnsi="Arial" w:cs="Arial"/>
          <w:sz w:val="24"/>
          <w:szCs w:val="24"/>
        </w:rPr>
        <w:t xml:space="preserve"> days, </w:t>
      </w:r>
      <w:r w:rsidR="00B27894">
        <w:rPr>
          <w:rFonts w:ascii="Arial" w:eastAsia="Times New Roman" w:hAnsi="Arial" w:cs="Arial"/>
          <w:sz w:val="24"/>
          <w:szCs w:val="24"/>
        </w:rPr>
        <w:t xml:space="preserve">38 CFR </w:t>
      </w:r>
      <w:r w:rsidR="0018366E">
        <w:rPr>
          <w:rFonts w:ascii="Arial" w:eastAsia="Times New Roman" w:hAnsi="Arial" w:cs="Arial"/>
          <w:sz w:val="24"/>
          <w:szCs w:val="24"/>
        </w:rPr>
        <w:t>§</w:t>
      </w:r>
      <w:r w:rsidR="00C3699F">
        <w:rPr>
          <w:rFonts w:ascii="Arial" w:eastAsia="Times New Roman" w:hAnsi="Arial" w:cs="Arial"/>
          <w:sz w:val="24"/>
          <w:szCs w:val="24"/>
        </w:rPr>
        <w:t xml:space="preserve"> 36.4303(</w:t>
      </w:r>
      <w:r w:rsidR="00064272">
        <w:rPr>
          <w:rFonts w:ascii="Arial" w:eastAsia="Times New Roman" w:hAnsi="Arial" w:cs="Arial"/>
          <w:sz w:val="24"/>
          <w:szCs w:val="24"/>
        </w:rPr>
        <w:t>d</w:t>
      </w:r>
      <w:r w:rsidR="00C3699F">
        <w:rPr>
          <w:rFonts w:ascii="Arial" w:eastAsia="Times New Roman" w:hAnsi="Arial" w:cs="Arial"/>
          <w:sz w:val="24"/>
          <w:szCs w:val="24"/>
        </w:rPr>
        <w:t>)</w:t>
      </w:r>
      <w:r w:rsidR="00AE7A2E">
        <w:rPr>
          <w:rFonts w:ascii="Arial" w:eastAsia="Times New Roman" w:hAnsi="Arial" w:cs="Arial"/>
          <w:sz w:val="24"/>
          <w:szCs w:val="24"/>
        </w:rPr>
        <w:t xml:space="preserve"> and § 36.4313(e)(3)</w:t>
      </w:r>
      <w:r w:rsidR="00C3699F">
        <w:rPr>
          <w:rFonts w:ascii="Arial" w:eastAsia="Times New Roman" w:hAnsi="Arial" w:cs="Arial"/>
          <w:sz w:val="24"/>
          <w:szCs w:val="24"/>
        </w:rPr>
        <w:t xml:space="preserve"> </w:t>
      </w:r>
      <w:r w:rsidR="00100916">
        <w:rPr>
          <w:rFonts w:ascii="Arial" w:eastAsia="Times New Roman" w:hAnsi="Arial" w:cs="Arial"/>
          <w:sz w:val="24"/>
          <w:szCs w:val="24"/>
        </w:rPr>
        <w:t xml:space="preserve">would </w:t>
      </w:r>
      <w:r w:rsidR="00C3699F">
        <w:rPr>
          <w:rFonts w:ascii="Arial" w:eastAsia="Times New Roman" w:hAnsi="Arial" w:cs="Arial"/>
          <w:sz w:val="24"/>
          <w:szCs w:val="24"/>
        </w:rPr>
        <w:t>require the lender also submit a statement which explains why the loan was reported late</w:t>
      </w:r>
      <w:r w:rsidR="00AE7A2E">
        <w:rPr>
          <w:rFonts w:ascii="Arial" w:eastAsia="Times New Roman" w:hAnsi="Arial" w:cs="Arial"/>
          <w:sz w:val="24"/>
          <w:szCs w:val="24"/>
        </w:rPr>
        <w:t xml:space="preserve"> and remit applicable late charges and interest</w:t>
      </w:r>
      <w:r w:rsidR="0010141F">
        <w:rPr>
          <w:rFonts w:ascii="Arial" w:eastAsia="Times New Roman" w:hAnsi="Arial" w:cs="Arial"/>
          <w:sz w:val="24"/>
          <w:szCs w:val="24"/>
        </w:rPr>
        <w:t xml:space="preserve"> </w:t>
      </w:r>
      <w:r w:rsidR="0018366E">
        <w:rPr>
          <w:rFonts w:ascii="Arial" w:eastAsia="Times New Roman" w:hAnsi="Arial" w:cs="Arial"/>
          <w:sz w:val="24"/>
          <w:szCs w:val="24"/>
        </w:rPr>
        <w:t>to</w:t>
      </w:r>
      <w:r w:rsidR="0010141F">
        <w:rPr>
          <w:rFonts w:ascii="Arial" w:eastAsia="Times New Roman" w:hAnsi="Arial" w:cs="Arial"/>
          <w:sz w:val="24"/>
          <w:szCs w:val="24"/>
        </w:rPr>
        <w:t xml:space="preserve"> receive evidence of guaranty. </w:t>
      </w:r>
    </w:p>
    <w:p w:rsidR="00F347F9" w:rsidP="00463D10" w14:paraId="34C43548" w14:textId="663CE0DF">
      <w:pPr>
        <w:spacing w:after="0" w:line="240" w:lineRule="auto"/>
        <w:ind w:left="720"/>
        <w:rPr>
          <w:rFonts w:ascii="Arial" w:eastAsia="Times New Roman" w:hAnsi="Arial" w:cs="Arial"/>
          <w:sz w:val="24"/>
          <w:szCs w:val="24"/>
        </w:rPr>
      </w:pPr>
    </w:p>
    <w:p w:rsidR="004D5A46" w14:paraId="114F5E64" w14:textId="51E230B6">
      <w:pPr>
        <w:spacing w:after="0" w:line="240" w:lineRule="auto"/>
        <w:ind w:left="720"/>
        <w:rPr>
          <w:rFonts w:ascii="Arial" w:eastAsia="Times New Roman" w:hAnsi="Arial" w:cs="Arial"/>
          <w:sz w:val="24"/>
          <w:szCs w:val="24"/>
        </w:rPr>
      </w:pPr>
      <w:r w:rsidRPr="04695E47">
        <w:rPr>
          <w:rFonts w:ascii="Arial" w:eastAsia="Times New Roman" w:hAnsi="Arial" w:cs="Arial"/>
          <w:sz w:val="24"/>
          <w:szCs w:val="24"/>
        </w:rPr>
        <w:t xml:space="preserve">For lenders without authority to automatically close VA-guaranteed loans, joint loans under 38 CFR </w:t>
      </w:r>
      <w:r w:rsidR="00B27894">
        <w:rPr>
          <w:rFonts w:ascii="Arial" w:eastAsia="Times New Roman" w:hAnsi="Arial" w:cs="Arial"/>
          <w:sz w:val="24"/>
          <w:szCs w:val="24"/>
        </w:rPr>
        <w:t xml:space="preserve">§ </w:t>
      </w:r>
      <w:r w:rsidRPr="04695E47">
        <w:rPr>
          <w:rFonts w:ascii="Arial" w:eastAsia="Times New Roman" w:hAnsi="Arial" w:cs="Arial"/>
          <w:sz w:val="24"/>
          <w:szCs w:val="24"/>
        </w:rPr>
        <w:t xml:space="preserve">36.4308 (loans where the obligors are a </w:t>
      </w:r>
      <w:r w:rsidRPr="04695E47" w:rsidR="005A4B99">
        <w:rPr>
          <w:rFonts w:ascii="Arial" w:eastAsia="Times New Roman" w:hAnsi="Arial" w:cs="Arial"/>
          <w:sz w:val="24"/>
          <w:szCs w:val="24"/>
        </w:rPr>
        <w:t>v</w:t>
      </w:r>
      <w:r w:rsidRPr="04695E47">
        <w:rPr>
          <w:rFonts w:ascii="Arial" w:eastAsia="Times New Roman" w:hAnsi="Arial" w:cs="Arial"/>
          <w:sz w:val="24"/>
          <w:szCs w:val="24"/>
        </w:rPr>
        <w:t xml:space="preserve">eteran and someone other than their spouse), and other cases </w:t>
      </w:r>
      <w:r w:rsidRPr="04695E47" w:rsidR="00AE7A2E">
        <w:rPr>
          <w:rFonts w:ascii="Arial" w:eastAsia="Times New Roman" w:hAnsi="Arial" w:cs="Arial"/>
          <w:sz w:val="24"/>
          <w:szCs w:val="24"/>
        </w:rPr>
        <w:t>(see 38 U</w:t>
      </w:r>
      <w:r w:rsidRPr="04695E47" w:rsidR="00450A75">
        <w:rPr>
          <w:rFonts w:ascii="Arial" w:eastAsia="Times New Roman" w:hAnsi="Arial" w:cs="Arial"/>
          <w:sz w:val="24"/>
          <w:szCs w:val="24"/>
        </w:rPr>
        <w:t>.</w:t>
      </w:r>
      <w:r w:rsidRPr="04695E47" w:rsidR="00AE7A2E">
        <w:rPr>
          <w:rFonts w:ascii="Arial" w:eastAsia="Times New Roman" w:hAnsi="Arial" w:cs="Arial"/>
          <w:sz w:val="24"/>
          <w:szCs w:val="24"/>
        </w:rPr>
        <w:t>S</w:t>
      </w:r>
      <w:r w:rsidRPr="04695E47" w:rsidR="00450A75">
        <w:rPr>
          <w:rFonts w:ascii="Arial" w:eastAsia="Times New Roman" w:hAnsi="Arial" w:cs="Arial"/>
          <w:sz w:val="24"/>
          <w:szCs w:val="24"/>
        </w:rPr>
        <w:t>.</w:t>
      </w:r>
      <w:r w:rsidRPr="04695E47" w:rsidR="00AE7A2E">
        <w:rPr>
          <w:rFonts w:ascii="Arial" w:eastAsia="Times New Roman" w:hAnsi="Arial" w:cs="Arial"/>
          <w:sz w:val="24"/>
          <w:szCs w:val="24"/>
        </w:rPr>
        <w:t>C</w:t>
      </w:r>
      <w:r w:rsidRPr="04695E47" w:rsidR="00450A75">
        <w:rPr>
          <w:rFonts w:ascii="Arial" w:eastAsia="Times New Roman" w:hAnsi="Arial" w:cs="Arial"/>
          <w:sz w:val="24"/>
          <w:szCs w:val="24"/>
        </w:rPr>
        <w:t>.</w:t>
      </w:r>
      <w:r w:rsidRPr="04695E47" w:rsidR="00AE7A2E">
        <w:rPr>
          <w:rFonts w:ascii="Arial" w:eastAsia="Times New Roman" w:hAnsi="Arial" w:cs="Arial"/>
          <w:sz w:val="24"/>
          <w:szCs w:val="24"/>
        </w:rPr>
        <w:t xml:space="preserve"> </w:t>
      </w:r>
      <w:r w:rsidR="00B27894">
        <w:rPr>
          <w:rFonts w:ascii="Arial" w:eastAsia="Times New Roman" w:hAnsi="Arial" w:cs="Arial"/>
          <w:sz w:val="24"/>
          <w:szCs w:val="24"/>
        </w:rPr>
        <w:t xml:space="preserve">§ </w:t>
      </w:r>
      <w:r w:rsidRPr="04695E47" w:rsidR="00AE7A2E">
        <w:rPr>
          <w:rFonts w:ascii="Arial" w:eastAsia="Times New Roman" w:hAnsi="Arial" w:cs="Arial"/>
          <w:sz w:val="24"/>
          <w:szCs w:val="24"/>
        </w:rPr>
        <w:t xml:space="preserve">3702(e)) </w:t>
      </w:r>
      <w:r w:rsidRPr="04695E47">
        <w:rPr>
          <w:rFonts w:ascii="Arial" w:eastAsia="Times New Roman" w:hAnsi="Arial" w:cs="Arial"/>
          <w:sz w:val="24"/>
          <w:szCs w:val="24"/>
        </w:rPr>
        <w:t xml:space="preserve">where VA </w:t>
      </w:r>
      <w:r w:rsidRPr="04695E47" w:rsidR="00100916">
        <w:rPr>
          <w:rFonts w:ascii="Arial" w:eastAsia="Times New Roman" w:hAnsi="Arial" w:cs="Arial"/>
          <w:sz w:val="24"/>
          <w:szCs w:val="24"/>
        </w:rPr>
        <w:t xml:space="preserve">provides </w:t>
      </w:r>
      <w:r w:rsidRPr="04695E47" w:rsidR="00100916">
        <w:rPr>
          <w:rFonts w:ascii="Arial" w:eastAsia="Times New Roman" w:hAnsi="Arial" w:cs="Arial"/>
          <w:sz w:val="24"/>
          <w:szCs w:val="24"/>
        </w:rPr>
        <w:t xml:space="preserve">advance notice that </w:t>
      </w:r>
      <w:r w:rsidRPr="04695E47">
        <w:rPr>
          <w:rFonts w:ascii="Arial" w:eastAsia="Times New Roman" w:hAnsi="Arial" w:cs="Arial"/>
          <w:sz w:val="24"/>
          <w:szCs w:val="24"/>
        </w:rPr>
        <w:t xml:space="preserve">the category of loan must be submitted electronically to VA for prior approval, </w:t>
      </w:r>
      <w:r w:rsidRPr="04695E47" w:rsidR="00100916">
        <w:rPr>
          <w:rFonts w:ascii="Arial" w:eastAsia="Times New Roman" w:hAnsi="Arial" w:cs="Arial"/>
          <w:sz w:val="24"/>
          <w:szCs w:val="24"/>
        </w:rPr>
        <w:t xml:space="preserve">proposed </w:t>
      </w:r>
      <w:r w:rsidR="00B27894">
        <w:rPr>
          <w:rFonts w:ascii="Arial" w:eastAsia="Times New Roman" w:hAnsi="Arial" w:cs="Arial"/>
          <w:sz w:val="24"/>
          <w:szCs w:val="24"/>
        </w:rPr>
        <w:t xml:space="preserve">38 CFR </w:t>
      </w:r>
      <w:r w:rsidRPr="04695E47">
        <w:rPr>
          <w:rFonts w:ascii="Arial" w:eastAsia="Times New Roman" w:hAnsi="Arial" w:cs="Arial"/>
          <w:sz w:val="24"/>
          <w:szCs w:val="24"/>
        </w:rPr>
        <w:t xml:space="preserve">§ 36.4303(b) </w:t>
      </w:r>
      <w:r w:rsidRPr="04695E47" w:rsidR="00100916">
        <w:rPr>
          <w:rFonts w:ascii="Arial" w:eastAsia="Times New Roman" w:hAnsi="Arial" w:cs="Arial"/>
          <w:sz w:val="24"/>
          <w:szCs w:val="24"/>
        </w:rPr>
        <w:t xml:space="preserve">would </w:t>
      </w:r>
      <w:r w:rsidRPr="04695E47">
        <w:rPr>
          <w:rFonts w:ascii="Arial" w:eastAsia="Times New Roman" w:hAnsi="Arial" w:cs="Arial"/>
          <w:sz w:val="24"/>
          <w:szCs w:val="24"/>
        </w:rPr>
        <w:t xml:space="preserve">require </w:t>
      </w:r>
      <w:r w:rsidRPr="04695E47" w:rsidR="00903BB0">
        <w:rPr>
          <w:rFonts w:ascii="Arial" w:eastAsia="Times New Roman" w:hAnsi="Arial" w:cs="Arial"/>
          <w:sz w:val="24"/>
          <w:szCs w:val="24"/>
        </w:rPr>
        <w:t>lenders to</w:t>
      </w:r>
      <w:r w:rsidRPr="04695E47">
        <w:rPr>
          <w:rFonts w:ascii="Arial" w:eastAsia="Times New Roman" w:hAnsi="Arial" w:cs="Arial"/>
          <w:sz w:val="24"/>
          <w:szCs w:val="24"/>
        </w:rPr>
        <w:t xml:space="preserve"> submit such loans to VA prior to closing for a determination as to whether such loan submitted is eligible for </w:t>
      </w:r>
      <w:r w:rsidRPr="04695E47" w:rsidR="004F2806">
        <w:rPr>
          <w:rFonts w:ascii="Arial" w:eastAsia="Times New Roman" w:hAnsi="Arial" w:cs="Arial"/>
          <w:sz w:val="24"/>
          <w:szCs w:val="24"/>
        </w:rPr>
        <w:t>a guaranty certificate</w:t>
      </w:r>
      <w:r w:rsidRPr="04695E47">
        <w:rPr>
          <w:rFonts w:ascii="Arial" w:eastAsia="Times New Roman" w:hAnsi="Arial" w:cs="Arial"/>
          <w:sz w:val="24"/>
          <w:szCs w:val="24"/>
        </w:rPr>
        <w:t xml:space="preserve">. If eligible, VA </w:t>
      </w:r>
      <w:r w:rsidRPr="04695E47" w:rsidR="00100916">
        <w:rPr>
          <w:rFonts w:ascii="Arial" w:eastAsia="Times New Roman" w:hAnsi="Arial" w:cs="Arial"/>
          <w:sz w:val="24"/>
          <w:szCs w:val="24"/>
        </w:rPr>
        <w:t xml:space="preserve">would </w:t>
      </w:r>
      <w:r w:rsidRPr="04695E47">
        <w:rPr>
          <w:rFonts w:ascii="Arial" w:eastAsia="Times New Roman" w:hAnsi="Arial" w:cs="Arial"/>
          <w:sz w:val="24"/>
          <w:szCs w:val="24"/>
        </w:rPr>
        <w:t>issue a certificate of commitment to the lender as ev</w:t>
      </w:r>
      <w:r w:rsidRPr="04695E47">
        <w:rPr>
          <w:rFonts w:ascii="Arial" w:eastAsia="Times New Roman" w:hAnsi="Arial" w:cs="Arial"/>
          <w:sz w:val="24"/>
          <w:szCs w:val="24"/>
        </w:rPr>
        <w:t xml:space="preserve">idence of VA’s willingness to issue </w:t>
      </w:r>
      <w:r w:rsidRPr="04695E47" w:rsidR="004F2806">
        <w:rPr>
          <w:rFonts w:ascii="Arial" w:eastAsia="Times New Roman" w:hAnsi="Arial" w:cs="Arial"/>
          <w:sz w:val="24"/>
          <w:szCs w:val="24"/>
        </w:rPr>
        <w:t>evidence of guaranty</w:t>
      </w:r>
      <w:r w:rsidRPr="04695E47">
        <w:rPr>
          <w:rFonts w:ascii="Arial" w:eastAsia="Times New Roman" w:hAnsi="Arial" w:cs="Arial"/>
          <w:sz w:val="24"/>
          <w:szCs w:val="24"/>
        </w:rPr>
        <w:t xml:space="preserve">. The lender </w:t>
      </w:r>
      <w:r w:rsidRPr="04695E47" w:rsidR="00100916">
        <w:rPr>
          <w:rFonts w:ascii="Arial" w:eastAsia="Times New Roman" w:hAnsi="Arial" w:cs="Arial"/>
          <w:sz w:val="24"/>
          <w:szCs w:val="24"/>
        </w:rPr>
        <w:t xml:space="preserve">would be </w:t>
      </w:r>
      <w:r w:rsidRPr="04695E47">
        <w:rPr>
          <w:rFonts w:ascii="Arial" w:eastAsia="Times New Roman" w:hAnsi="Arial" w:cs="Arial"/>
          <w:sz w:val="24"/>
          <w:szCs w:val="24"/>
        </w:rPr>
        <w:t xml:space="preserve">subsequently entitled to </w:t>
      </w:r>
      <w:r w:rsidRPr="04695E47" w:rsidR="004F2806">
        <w:rPr>
          <w:rFonts w:ascii="Arial" w:eastAsia="Times New Roman" w:hAnsi="Arial" w:cs="Arial"/>
          <w:sz w:val="24"/>
          <w:szCs w:val="24"/>
        </w:rPr>
        <w:t>evidence of guaranty</w:t>
      </w:r>
      <w:r w:rsidRPr="04695E47">
        <w:rPr>
          <w:rFonts w:ascii="Arial" w:eastAsia="Times New Roman" w:hAnsi="Arial" w:cs="Arial"/>
          <w:sz w:val="24"/>
          <w:szCs w:val="24"/>
        </w:rPr>
        <w:t xml:space="preserve"> if the loan is </w:t>
      </w:r>
      <w:r w:rsidRPr="04695E47" w:rsidR="00903BB0">
        <w:rPr>
          <w:rFonts w:ascii="Arial" w:eastAsia="Times New Roman" w:hAnsi="Arial" w:cs="Arial"/>
          <w:sz w:val="24"/>
          <w:szCs w:val="24"/>
        </w:rPr>
        <w:t>reported electronically</w:t>
      </w:r>
      <w:r w:rsidRPr="04695E47" w:rsidR="00A436E5">
        <w:rPr>
          <w:rFonts w:ascii="Arial" w:eastAsia="Times New Roman" w:hAnsi="Arial" w:cs="Arial"/>
          <w:sz w:val="24"/>
          <w:szCs w:val="24"/>
        </w:rPr>
        <w:t xml:space="preserve"> </w:t>
      </w:r>
      <w:r w:rsidRPr="04695E47" w:rsidR="00100916">
        <w:rPr>
          <w:rFonts w:ascii="Arial" w:eastAsia="Times New Roman" w:hAnsi="Arial" w:cs="Arial"/>
          <w:sz w:val="24"/>
          <w:szCs w:val="24"/>
        </w:rPr>
        <w:t xml:space="preserve">within </w:t>
      </w:r>
      <w:r w:rsidRPr="04695E47" w:rsidR="004F2806">
        <w:rPr>
          <w:rFonts w:ascii="Arial" w:eastAsia="Times New Roman" w:hAnsi="Arial" w:cs="Arial"/>
          <w:sz w:val="24"/>
          <w:szCs w:val="24"/>
        </w:rPr>
        <w:t>15</w:t>
      </w:r>
      <w:r w:rsidRPr="04695E47">
        <w:rPr>
          <w:rFonts w:ascii="Arial" w:eastAsia="Times New Roman" w:hAnsi="Arial" w:cs="Arial"/>
          <w:sz w:val="24"/>
          <w:szCs w:val="24"/>
        </w:rPr>
        <w:t xml:space="preserve"> days of VA’s issuance of the certificate of commitment and the closed loan is identical in all respects to that submitted to VA in the lender’s original report for a certificate of commitment</w:t>
      </w:r>
      <w:r w:rsidRPr="04695E47" w:rsidR="006C3756">
        <w:rPr>
          <w:rFonts w:ascii="Arial" w:eastAsia="Times New Roman" w:hAnsi="Arial" w:cs="Arial"/>
          <w:sz w:val="24"/>
          <w:szCs w:val="24"/>
        </w:rPr>
        <w:t xml:space="preserve"> and the lender remit the appropriate funding fee</w:t>
      </w:r>
      <w:r w:rsidRPr="04695E47" w:rsidR="00903BB0">
        <w:rPr>
          <w:rFonts w:ascii="Arial" w:eastAsia="Times New Roman" w:hAnsi="Arial" w:cs="Arial"/>
          <w:sz w:val="24"/>
          <w:szCs w:val="24"/>
        </w:rPr>
        <w:t xml:space="preserve">. </w:t>
      </w:r>
      <w:r w:rsidRPr="04695E47" w:rsidR="003771A5">
        <w:rPr>
          <w:rFonts w:ascii="Arial" w:eastAsia="Times New Roman" w:hAnsi="Arial" w:cs="Arial"/>
          <w:sz w:val="24"/>
          <w:szCs w:val="24"/>
        </w:rPr>
        <w:t>T</w:t>
      </w:r>
      <w:r w:rsidRPr="04695E47" w:rsidR="0092003F">
        <w:rPr>
          <w:rFonts w:ascii="Arial" w:eastAsia="Times New Roman" w:hAnsi="Arial" w:cs="Arial"/>
          <w:sz w:val="24"/>
          <w:szCs w:val="24"/>
        </w:rPr>
        <w:t xml:space="preserve">he lender </w:t>
      </w:r>
      <w:r w:rsidRPr="04695E47" w:rsidR="00100916">
        <w:rPr>
          <w:rFonts w:ascii="Arial" w:eastAsia="Times New Roman" w:hAnsi="Arial" w:cs="Arial"/>
          <w:sz w:val="24"/>
          <w:szCs w:val="24"/>
        </w:rPr>
        <w:t xml:space="preserve">would </w:t>
      </w:r>
      <w:r w:rsidRPr="04695E47" w:rsidR="0092003F">
        <w:rPr>
          <w:rFonts w:ascii="Arial" w:eastAsia="Times New Roman" w:hAnsi="Arial" w:cs="Arial"/>
          <w:sz w:val="24"/>
          <w:szCs w:val="24"/>
        </w:rPr>
        <w:t xml:space="preserve">still </w:t>
      </w:r>
      <w:r w:rsidRPr="04695E47" w:rsidR="7CDDEFD4">
        <w:rPr>
          <w:rFonts w:ascii="Arial" w:eastAsia="Times New Roman" w:hAnsi="Arial" w:cs="Arial"/>
          <w:sz w:val="24"/>
          <w:szCs w:val="24"/>
        </w:rPr>
        <w:t xml:space="preserve">be </w:t>
      </w:r>
      <w:r w:rsidRPr="04695E47" w:rsidR="0092003F">
        <w:rPr>
          <w:rFonts w:ascii="Arial" w:eastAsia="Times New Roman" w:hAnsi="Arial" w:cs="Arial"/>
          <w:sz w:val="24"/>
          <w:szCs w:val="24"/>
        </w:rPr>
        <w:t xml:space="preserve">required to complete the </w:t>
      </w:r>
      <w:r w:rsidRPr="04695E47" w:rsidR="00A72694">
        <w:rPr>
          <w:rFonts w:ascii="Arial" w:eastAsia="Times New Roman" w:hAnsi="Arial" w:cs="Arial"/>
          <w:sz w:val="24"/>
          <w:szCs w:val="24"/>
        </w:rPr>
        <w:t>15</w:t>
      </w:r>
      <w:r w:rsidRPr="04695E47" w:rsidR="00512AD3">
        <w:rPr>
          <w:rFonts w:ascii="Arial" w:eastAsia="Times New Roman" w:hAnsi="Arial" w:cs="Arial"/>
          <w:sz w:val="24"/>
          <w:szCs w:val="24"/>
        </w:rPr>
        <w:t>-</w:t>
      </w:r>
      <w:r w:rsidRPr="04695E47" w:rsidR="0092003F">
        <w:rPr>
          <w:rFonts w:ascii="Arial" w:eastAsia="Times New Roman" w:hAnsi="Arial" w:cs="Arial"/>
          <w:sz w:val="24"/>
          <w:szCs w:val="24"/>
        </w:rPr>
        <w:t xml:space="preserve">day late reporting statement </w:t>
      </w:r>
      <w:r w:rsidRPr="04695E47" w:rsidR="00972C2B">
        <w:rPr>
          <w:rFonts w:ascii="Arial" w:eastAsia="Times New Roman" w:hAnsi="Arial" w:cs="Arial"/>
          <w:sz w:val="24"/>
          <w:szCs w:val="24"/>
        </w:rPr>
        <w:t xml:space="preserve">to obtain the </w:t>
      </w:r>
      <w:r w:rsidRPr="04695E47" w:rsidR="00391E13">
        <w:rPr>
          <w:rFonts w:ascii="Arial" w:eastAsia="Times New Roman" w:hAnsi="Arial" w:cs="Arial"/>
          <w:sz w:val="24"/>
          <w:szCs w:val="24"/>
        </w:rPr>
        <w:t>g</w:t>
      </w:r>
      <w:r w:rsidRPr="04695E47" w:rsidR="00972C2B">
        <w:rPr>
          <w:rFonts w:ascii="Arial" w:eastAsia="Times New Roman" w:hAnsi="Arial" w:cs="Arial"/>
          <w:sz w:val="24"/>
          <w:szCs w:val="24"/>
        </w:rPr>
        <w:t xml:space="preserve">uaranty. </w:t>
      </w:r>
    </w:p>
    <w:p w:rsidR="008960FC" w14:paraId="5258D029" w14:textId="3966EA88">
      <w:pPr>
        <w:spacing w:after="0" w:line="240" w:lineRule="auto"/>
        <w:ind w:left="720"/>
        <w:rPr>
          <w:rFonts w:ascii="Arial" w:eastAsia="Times New Roman" w:hAnsi="Arial" w:cs="Arial"/>
          <w:sz w:val="24"/>
          <w:szCs w:val="24"/>
        </w:rPr>
      </w:pPr>
    </w:p>
    <w:p w:rsidR="0095569A" w:rsidRPr="00B962F8" w:rsidP="00463D10" w14:paraId="1145AAAD" w14:textId="77777777">
      <w:pPr>
        <w:spacing w:after="0" w:line="240" w:lineRule="auto"/>
        <w:ind w:left="720"/>
        <w:rPr>
          <w:rFonts w:ascii="Arial" w:eastAsia="Times New Roman" w:hAnsi="Arial" w:cs="Arial"/>
          <w:sz w:val="24"/>
          <w:szCs w:val="24"/>
        </w:rPr>
      </w:pPr>
    </w:p>
    <w:p w:rsidR="00463D10" w:rsidP="00463D10" w14:paraId="6A0B8E29"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Indicate how, by whom, and for what purposes the information is to be used; indicate actual use the agency has made of the </w:t>
      </w:r>
      <w:r>
        <w:rPr>
          <w:rFonts w:ascii="Arial" w:eastAsia="Times New Roman" w:hAnsi="Arial" w:cs="Arial"/>
          <w:b/>
          <w:sz w:val="24"/>
          <w:szCs w:val="24"/>
        </w:rPr>
        <w:t>information received from current collection.</w:t>
      </w:r>
    </w:p>
    <w:p w:rsidR="00B962F8" w:rsidP="00463D10" w14:paraId="63B31DB5" w14:textId="395D1819">
      <w:pPr>
        <w:spacing w:after="0" w:line="240" w:lineRule="auto"/>
        <w:ind w:left="720"/>
        <w:contextualSpacing/>
        <w:rPr>
          <w:rFonts w:ascii="Arial" w:eastAsia="Times New Roman" w:hAnsi="Arial" w:cs="Arial"/>
          <w:sz w:val="24"/>
          <w:szCs w:val="24"/>
        </w:rPr>
      </w:pPr>
    </w:p>
    <w:p w:rsidR="00920569" w:rsidP="00326DC7" w14:paraId="6A6C1A30" w14:textId="049EFE6C">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Lenders obtain information from borrowers in the normal course of business. VA does not ascribe burden hours to information provided by borrowers. Lenders then report information to VA </w:t>
      </w:r>
      <w:r w:rsidR="009635C6">
        <w:rPr>
          <w:rFonts w:ascii="Arial" w:eastAsia="Times New Roman" w:hAnsi="Arial" w:cs="Arial"/>
          <w:sz w:val="24"/>
          <w:szCs w:val="24"/>
        </w:rPr>
        <w:t xml:space="preserve">electronically </w:t>
      </w:r>
      <w:r>
        <w:rPr>
          <w:rFonts w:ascii="Arial" w:eastAsia="Times New Roman" w:hAnsi="Arial" w:cs="Arial"/>
          <w:sz w:val="24"/>
          <w:szCs w:val="24"/>
        </w:rPr>
        <w:t xml:space="preserve">for the purpose of obtaining </w:t>
      </w:r>
      <w:r w:rsidR="00391E13">
        <w:rPr>
          <w:rFonts w:ascii="Arial" w:eastAsia="Times New Roman" w:hAnsi="Arial" w:cs="Arial"/>
          <w:sz w:val="24"/>
          <w:szCs w:val="24"/>
        </w:rPr>
        <w:t xml:space="preserve">evidence of </w:t>
      </w:r>
      <w:r w:rsidR="007C75CE">
        <w:rPr>
          <w:rFonts w:ascii="Arial" w:eastAsia="Times New Roman" w:hAnsi="Arial" w:cs="Arial"/>
          <w:sz w:val="24"/>
          <w:szCs w:val="24"/>
        </w:rPr>
        <w:t>guaranty. While borrowers must meet certain requirements established by VA to qualify for the guaran</w:t>
      </w:r>
      <w:r w:rsidR="00EA3C4A">
        <w:rPr>
          <w:rFonts w:ascii="Arial" w:eastAsia="Times New Roman" w:hAnsi="Arial" w:cs="Arial"/>
          <w:sz w:val="24"/>
          <w:szCs w:val="24"/>
        </w:rPr>
        <w:t>ty, lenders bear less risk because VA will pay the lender a portion of the loss (guaranty amount) if a homeowner defaults on his or her loan.</w:t>
      </w:r>
      <w:r w:rsidR="00326DC7">
        <w:rPr>
          <w:rFonts w:ascii="Arial" w:eastAsia="Times New Roman" w:hAnsi="Arial" w:cs="Arial"/>
          <w:sz w:val="24"/>
          <w:szCs w:val="24"/>
        </w:rPr>
        <w:t xml:space="preserve"> The L</w:t>
      </w:r>
      <w:r w:rsidR="00194A65">
        <w:rPr>
          <w:rFonts w:ascii="Arial" w:eastAsia="Times New Roman" w:hAnsi="Arial" w:cs="Arial"/>
          <w:sz w:val="24"/>
          <w:szCs w:val="24"/>
        </w:rPr>
        <w:t xml:space="preserve">ate Reporting Statement is required on files submitted </w:t>
      </w:r>
      <w:r w:rsidR="00D770B1">
        <w:rPr>
          <w:rFonts w:ascii="Arial" w:eastAsia="Times New Roman" w:hAnsi="Arial" w:cs="Arial"/>
          <w:sz w:val="24"/>
          <w:szCs w:val="24"/>
        </w:rPr>
        <w:t xml:space="preserve">to VA </w:t>
      </w:r>
      <w:r w:rsidR="009635C6">
        <w:rPr>
          <w:rFonts w:ascii="Arial" w:eastAsia="Times New Roman" w:hAnsi="Arial" w:cs="Arial"/>
          <w:sz w:val="24"/>
          <w:szCs w:val="24"/>
        </w:rPr>
        <w:t>15</w:t>
      </w:r>
      <w:r w:rsidR="00021275">
        <w:rPr>
          <w:rFonts w:ascii="Arial" w:eastAsia="Times New Roman" w:hAnsi="Arial" w:cs="Arial"/>
          <w:sz w:val="24"/>
          <w:szCs w:val="24"/>
        </w:rPr>
        <w:t xml:space="preserve"> </w:t>
      </w:r>
      <w:r w:rsidR="00D770B1">
        <w:rPr>
          <w:rFonts w:ascii="Arial" w:eastAsia="Times New Roman" w:hAnsi="Arial" w:cs="Arial"/>
          <w:sz w:val="24"/>
          <w:szCs w:val="24"/>
        </w:rPr>
        <w:t xml:space="preserve">days </w:t>
      </w:r>
      <w:r w:rsidR="00391E13">
        <w:rPr>
          <w:rFonts w:ascii="Arial" w:eastAsia="Times New Roman" w:hAnsi="Arial" w:cs="Arial"/>
          <w:sz w:val="24"/>
          <w:szCs w:val="24"/>
        </w:rPr>
        <w:t xml:space="preserve">or </w:t>
      </w:r>
      <w:r w:rsidR="00D770B1">
        <w:rPr>
          <w:rFonts w:ascii="Arial" w:eastAsia="Times New Roman" w:hAnsi="Arial" w:cs="Arial"/>
          <w:sz w:val="24"/>
          <w:szCs w:val="24"/>
        </w:rPr>
        <w:t xml:space="preserve">greater after the date of the loan closing as required per </w:t>
      </w:r>
      <w:r w:rsidR="001F3023">
        <w:rPr>
          <w:rFonts w:ascii="Arial" w:eastAsia="Times New Roman" w:hAnsi="Arial" w:cs="Arial"/>
          <w:sz w:val="24"/>
          <w:szCs w:val="24"/>
        </w:rPr>
        <w:t xml:space="preserve">38 CFR </w:t>
      </w:r>
      <w:r w:rsidRPr="00D770B1" w:rsidR="00D770B1">
        <w:rPr>
          <w:rFonts w:ascii="Arial" w:eastAsia="Times New Roman" w:hAnsi="Arial" w:cs="Arial"/>
          <w:sz w:val="24"/>
          <w:szCs w:val="24"/>
        </w:rPr>
        <w:t>§</w:t>
      </w:r>
      <w:r w:rsidR="00391E13">
        <w:rPr>
          <w:rFonts w:ascii="Arial" w:eastAsia="Times New Roman" w:hAnsi="Arial" w:cs="Arial"/>
          <w:sz w:val="24"/>
          <w:szCs w:val="24"/>
        </w:rPr>
        <w:t xml:space="preserve"> </w:t>
      </w:r>
      <w:r w:rsidRPr="00D770B1" w:rsidR="00D770B1">
        <w:rPr>
          <w:rFonts w:ascii="Arial" w:eastAsia="Times New Roman" w:hAnsi="Arial" w:cs="Arial"/>
          <w:sz w:val="24"/>
          <w:szCs w:val="24"/>
        </w:rPr>
        <w:t>36.4303</w:t>
      </w:r>
      <w:r w:rsidR="009635C6">
        <w:rPr>
          <w:rFonts w:ascii="Arial" w:eastAsia="Times New Roman" w:hAnsi="Arial" w:cs="Arial"/>
          <w:sz w:val="24"/>
          <w:szCs w:val="24"/>
        </w:rPr>
        <w:t>(d)</w:t>
      </w:r>
      <w:r w:rsidR="00D770B1">
        <w:rPr>
          <w:rFonts w:ascii="Arial" w:eastAsia="Times New Roman" w:hAnsi="Arial" w:cs="Arial"/>
          <w:sz w:val="24"/>
          <w:szCs w:val="24"/>
        </w:rPr>
        <w:t>.</w:t>
      </w:r>
      <w:r w:rsidR="007F1D58">
        <w:rPr>
          <w:rFonts w:ascii="Arial" w:eastAsia="Times New Roman" w:hAnsi="Arial" w:cs="Arial"/>
          <w:sz w:val="24"/>
          <w:szCs w:val="24"/>
        </w:rPr>
        <w:t xml:space="preserve"> </w:t>
      </w:r>
    </w:p>
    <w:p w:rsidR="0049691D" w:rsidP="001A1B0C" w14:paraId="523DCE6B" w14:textId="77777777">
      <w:pPr>
        <w:spacing w:after="0" w:line="240" w:lineRule="auto"/>
        <w:contextualSpacing/>
        <w:rPr>
          <w:rFonts w:ascii="Arial" w:eastAsia="Times New Roman" w:hAnsi="Arial" w:cs="Arial"/>
          <w:sz w:val="24"/>
          <w:szCs w:val="24"/>
        </w:rPr>
      </w:pPr>
    </w:p>
    <w:p w:rsidR="00021275" w:rsidP="001460DD" w14:paraId="503362A7" w14:textId="751E98DD">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The lender </w:t>
      </w:r>
      <w:r w:rsidR="006B7CB3">
        <w:rPr>
          <w:rFonts w:ascii="Arial" w:eastAsia="Times New Roman" w:hAnsi="Arial" w:cs="Arial"/>
          <w:sz w:val="24"/>
          <w:szCs w:val="24"/>
        </w:rPr>
        <w:t xml:space="preserve">would </w:t>
      </w:r>
      <w:r w:rsidR="009635C6">
        <w:rPr>
          <w:rFonts w:ascii="Arial" w:eastAsia="Times New Roman" w:hAnsi="Arial" w:cs="Arial"/>
          <w:sz w:val="24"/>
          <w:szCs w:val="24"/>
        </w:rPr>
        <w:t xml:space="preserve">report </w:t>
      </w:r>
      <w:r>
        <w:rPr>
          <w:rFonts w:ascii="Arial" w:eastAsia="Times New Roman" w:hAnsi="Arial" w:cs="Arial"/>
          <w:sz w:val="24"/>
          <w:szCs w:val="24"/>
        </w:rPr>
        <w:t xml:space="preserve">to VA in an electronic format </w:t>
      </w:r>
      <w:r w:rsidR="006B7CB3">
        <w:rPr>
          <w:rFonts w:ascii="Arial" w:eastAsia="Times New Roman" w:hAnsi="Arial" w:cs="Arial"/>
          <w:sz w:val="24"/>
          <w:szCs w:val="24"/>
        </w:rPr>
        <w:t>i</w:t>
      </w:r>
      <w:r w:rsidRPr="00021275">
        <w:rPr>
          <w:rFonts w:ascii="Arial" w:eastAsia="Times New Roman" w:hAnsi="Arial" w:cs="Arial"/>
          <w:sz w:val="24"/>
          <w:szCs w:val="24"/>
        </w:rPr>
        <w:t xml:space="preserve">nformation regarding the loan, including but not limited to the loan application (e.g., Uniform Loan Application Dataset), the loan closing (e.g., Uniform Closing Dataset), </w:t>
      </w:r>
      <w:r>
        <w:rPr>
          <w:rFonts w:ascii="Arial" w:eastAsia="Times New Roman" w:hAnsi="Arial" w:cs="Arial"/>
          <w:sz w:val="24"/>
          <w:szCs w:val="24"/>
        </w:rPr>
        <w:t xml:space="preserve">the appropriate funding fee </w:t>
      </w:r>
      <w:r w:rsidRPr="00021275">
        <w:rPr>
          <w:rFonts w:ascii="Arial" w:eastAsia="Times New Roman" w:hAnsi="Arial" w:cs="Arial"/>
          <w:sz w:val="24"/>
          <w:szCs w:val="24"/>
        </w:rPr>
        <w:t>and any other information required by the Secretary as necessary to issue a loan guaranty certificate</w:t>
      </w:r>
      <w:r>
        <w:rPr>
          <w:rFonts w:ascii="Arial" w:eastAsia="Times New Roman" w:hAnsi="Arial" w:cs="Arial"/>
          <w:sz w:val="24"/>
          <w:szCs w:val="24"/>
        </w:rPr>
        <w:t>.</w:t>
      </w:r>
    </w:p>
    <w:p w:rsidR="00021275" w:rsidP="001460DD" w14:paraId="615C8267" w14:textId="77777777">
      <w:pPr>
        <w:spacing w:after="0" w:line="240" w:lineRule="auto"/>
        <w:ind w:left="720"/>
        <w:rPr>
          <w:rFonts w:ascii="Arial" w:eastAsia="Times New Roman" w:hAnsi="Arial" w:cs="Arial"/>
          <w:sz w:val="24"/>
          <w:szCs w:val="24"/>
        </w:rPr>
      </w:pPr>
    </w:p>
    <w:p w:rsidR="00463D10" w:rsidP="00463D10" w14:paraId="6A0B8E2D"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14:paraId="6A0B8E2E" w14:textId="3F21BFF7">
      <w:pPr>
        <w:spacing w:after="0" w:line="240" w:lineRule="auto"/>
        <w:ind w:left="720"/>
        <w:contextualSpacing/>
        <w:rPr>
          <w:rFonts w:ascii="Arial" w:eastAsia="Times New Roman" w:hAnsi="Arial" w:cs="Arial"/>
          <w:sz w:val="24"/>
          <w:szCs w:val="24"/>
        </w:rPr>
      </w:pPr>
    </w:p>
    <w:p w:rsidR="008112F7" w:rsidP="00463D10" w14:paraId="1CF9DC67" w14:textId="3CB2AA5E">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Each loan report has its own unique characteristics of property, mortgage terms, and borrower, making </w:t>
      </w:r>
      <w:r w:rsidR="00030488">
        <w:rPr>
          <w:rFonts w:ascii="Arial" w:eastAsia="Times New Roman" w:hAnsi="Arial" w:cs="Arial"/>
          <w:sz w:val="24"/>
          <w:szCs w:val="24"/>
        </w:rPr>
        <w:t>manual reporting</w:t>
      </w:r>
      <w:r>
        <w:rPr>
          <w:rFonts w:ascii="Arial" w:eastAsia="Times New Roman" w:hAnsi="Arial" w:cs="Arial"/>
          <w:sz w:val="24"/>
          <w:szCs w:val="24"/>
        </w:rPr>
        <w:t xml:space="preserve"> cumbersome and prone to data-entry errors. </w:t>
      </w:r>
      <w:r w:rsidR="00030488">
        <w:rPr>
          <w:rFonts w:ascii="Arial" w:eastAsia="Times New Roman" w:hAnsi="Arial" w:cs="Arial"/>
          <w:sz w:val="24"/>
          <w:szCs w:val="24"/>
        </w:rPr>
        <w:t xml:space="preserve">As lenders obtain and store the information necessary to report a loan for guaranty in their own </w:t>
      </w:r>
      <w:r w:rsidR="001F3023">
        <w:rPr>
          <w:rFonts w:ascii="Arial" w:eastAsia="Times New Roman" w:hAnsi="Arial" w:cs="Arial"/>
          <w:sz w:val="24"/>
          <w:szCs w:val="24"/>
        </w:rPr>
        <w:t>L</w:t>
      </w:r>
      <w:r w:rsidR="00030488">
        <w:rPr>
          <w:rFonts w:ascii="Arial" w:eastAsia="Times New Roman" w:hAnsi="Arial" w:cs="Arial"/>
          <w:sz w:val="24"/>
          <w:szCs w:val="24"/>
        </w:rPr>
        <w:t xml:space="preserve">oan </w:t>
      </w:r>
      <w:r w:rsidR="001F3023">
        <w:rPr>
          <w:rFonts w:ascii="Arial" w:eastAsia="Times New Roman" w:hAnsi="Arial" w:cs="Arial"/>
          <w:sz w:val="24"/>
          <w:szCs w:val="24"/>
        </w:rPr>
        <w:t>O</w:t>
      </w:r>
      <w:r w:rsidR="00030488">
        <w:rPr>
          <w:rFonts w:ascii="Arial" w:eastAsia="Times New Roman" w:hAnsi="Arial" w:cs="Arial"/>
          <w:sz w:val="24"/>
          <w:szCs w:val="24"/>
        </w:rPr>
        <w:t xml:space="preserve">rigination </w:t>
      </w:r>
      <w:r w:rsidR="001F3023">
        <w:rPr>
          <w:rFonts w:ascii="Arial" w:eastAsia="Times New Roman" w:hAnsi="Arial" w:cs="Arial"/>
          <w:sz w:val="24"/>
          <w:szCs w:val="24"/>
        </w:rPr>
        <w:t>S</w:t>
      </w:r>
      <w:r w:rsidR="00030488">
        <w:rPr>
          <w:rFonts w:ascii="Arial" w:eastAsia="Times New Roman" w:hAnsi="Arial" w:cs="Arial"/>
          <w:sz w:val="24"/>
          <w:szCs w:val="24"/>
        </w:rPr>
        <w:t xml:space="preserve">ystem (LOS) through the normal course of doing business, </w:t>
      </w:r>
      <w:r>
        <w:rPr>
          <w:rFonts w:ascii="Arial" w:eastAsia="Times New Roman" w:hAnsi="Arial" w:cs="Arial"/>
          <w:sz w:val="24"/>
          <w:szCs w:val="24"/>
        </w:rPr>
        <w:t xml:space="preserve">VA has developed a technological solution that allows lenders to submit these unique loan characteristics and obtain evidence of guaranty through an </w:t>
      </w:r>
      <w:r w:rsidR="001F3023">
        <w:rPr>
          <w:rFonts w:ascii="Arial" w:eastAsia="Times New Roman" w:hAnsi="Arial" w:cs="Arial"/>
          <w:sz w:val="24"/>
          <w:szCs w:val="24"/>
        </w:rPr>
        <w:t>A</w:t>
      </w:r>
      <w:r>
        <w:rPr>
          <w:rFonts w:ascii="Arial" w:eastAsia="Times New Roman" w:hAnsi="Arial" w:cs="Arial"/>
          <w:sz w:val="24"/>
          <w:szCs w:val="24"/>
        </w:rPr>
        <w:t xml:space="preserve">pplication </w:t>
      </w:r>
      <w:r w:rsidR="001F3023">
        <w:rPr>
          <w:rFonts w:ascii="Arial" w:eastAsia="Times New Roman" w:hAnsi="Arial" w:cs="Arial"/>
          <w:sz w:val="24"/>
          <w:szCs w:val="24"/>
        </w:rPr>
        <w:t>P</w:t>
      </w:r>
      <w:r>
        <w:rPr>
          <w:rFonts w:ascii="Arial" w:eastAsia="Times New Roman" w:hAnsi="Arial" w:cs="Arial"/>
          <w:sz w:val="24"/>
          <w:szCs w:val="24"/>
        </w:rPr>
        <w:t xml:space="preserve">rogramming </w:t>
      </w:r>
      <w:r w:rsidR="001F3023">
        <w:rPr>
          <w:rFonts w:ascii="Arial" w:eastAsia="Times New Roman" w:hAnsi="Arial" w:cs="Arial"/>
          <w:sz w:val="24"/>
          <w:szCs w:val="24"/>
        </w:rPr>
        <w:t>I</w:t>
      </w:r>
      <w:r>
        <w:rPr>
          <w:rFonts w:ascii="Arial" w:eastAsia="Times New Roman" w:hAnsi="Arial" w:cs="Arial"/>
          <w:sz w:val="24"/>
          <w:szCs w:val="24"/>
        </w:rPr>
        <w:t>nterface (API). Use of API technology significantly reduces collection time as lenders are able to transmi</w:t>
      </w:r>
      <w:r>
        <w:rPr>
          <w:rFonts w:ascii="Arial" w:eastAsia="Times New Roman" w:hAnsi="Arial" w:cs="Arial"/>
          <w:sz w:val="24"/>
          <w:szCs w:val="24"/>
        </w:rPr>
        <w:t xml:space="preserve">t the necessary information as computable electronic information without leaving their </w:t>
      </w:r>
      <w:r w:rsidR="00030488">
        <w:rPr>
          <w:rFonts w:ascii="Arial" w:eastAsia="Times New Roman" w:hAnsi="Arial" w:cs="Arial"/>
          <w:sz w:val="24"/>
          <w:szCs w:val="24"/>
        </w:rPr>
        <w:t xml:space="preserve">LOS. </w:t>
      </w:r>
      <w:r>
        <w:rPr>
          <w:rFonts w:ascii="Arial" w:eastAsia="Times New Roman" w:hAnsi="Arial" w:cs="Arial"/>
          <w:sz w:val="24"/>
          <w:szCs w:val="24"/>
        </w:rPr>
        <w:t xml:space="preserve"> </w:t>
      </w:r>
    </w:p>
    <w:p w:rsidR="0B22DC44" w:rsidP="0B22DC44" w14:paraId="77596043" w14:textId="54397DD8">
      <w:pPr>
        <w:spacing w:after="0" w:line="240" w:lineRule="auto"/>
        <w:ind w:left="720"/>
        <w:rPr>
          <w:rFonts w:ascii="Arial" w:eastAsia="Times New Roman" w:hAnsi="Arial" w:cs="Arial"/>
          <w:sz w:val="24"/>
          <w:szCs w:val="24"/>
        </w:rPr>
      </w:pPr>
    </w:p>
    <w:p w:rsidR="00463D10" w:rsidP="00463D10" w14:paraId="6A0B8E32"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Describe efforts to identify duplication.  Show specifically why any </w:t>
      </w:r>
      <w:r>
        <w:rPr>
          <w:rFonts w:ascii="Arial" w:eastAsia="Times New Roman" w:hAnsi="Arial" w:cs="Arial"/>
          <w:b/>
          <w:sz w:val="24"/>
          <w:szCs w:val="24"/>
        </w:rPr>
        <w:t>similar information already available cannot be used or modified for use for the purposes described in Item 2 above.</w:t>
      </w:r>
    </w:p>
    <w:p w:rsidR="00463D10" w:rsidP="00463D10" w14:paraId="6A0B8E33" w14:textId="77777777">
      <w:pPr>
        <w:spacing w:after="0" w:line="240" w:lineRule="auto"/>
        <w:ind w:left="720"/>
        <w:contextualSpacing/>
        <w:rPr>
          <w:rFonts w:ascii="Arial" w:eastAsia="Times New Roman" w:hAnsi="Arial" w:cs="Arial"/>
          <w:sz w:val="24"/>
          <w:szCs w:val="24"/>
        </w:rPr>
      </w:pPr>
    </w:p>
    <w:p w:rsidR="00463D10" w:rsidRPr="00B962F8" w:rsidP="00463D10" w14:paraId="6A0B8E36" w14:textId="40B948AF">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Some of t</w:t>
      </w:r>
      <w:r w:rsidRPr="00B962F8" w:rsidR="00B962F8">
        <w:rPr>
          <w:rFonts w:ascii="Arial" w:eastAsia="Times New Roman" w:hAnsi="Arial" w:cs="Arial"/>
          <w:sz w:val="24"/>
          <w:szCs w:val="24"/>
        </w:rPr>
        <w:t>he information</w:t>
      </w:r>
      <w:r>
        <w:rPr>
          <w:rFonts w:ascii="Arial" w:eastAsia="Times New Roman" w:hAnsi="Arial" w:cs="Arial"/>
          <w:sz w:val="24"/>
          <w:szCs w:val="24"/>
        </w:rPr>
        <w:t xml:space="preserve"> collected</w:t>
      </w:r>
      <w:r w:rsidR="00F0354E">
        <w:rPr>
          <w:rFonts w:ascii="Arial" w:eastAsia="Times New Roman" w:hAnsi="Arial" w:cs="Arial"/>
          <w:sz w:val="24"/>
          <w:szCs w:val="24"/>
        </w:rPr>
        <w:t xml:space="preserve"> regarding the loan</w:t>
      </w:r>
      <w:r>
        <w:rPr>
          <w:rFonts w:ascii="Arial" w:eastAsia="Times New Roman" w:hAnsi="Arial" w:cs="Arial"/>
          <w:sz w:val="24"/>
          <w:szCs w:val="24"/>
        </w:rPr>
        <w:t xml:space="preserve">, that is; </w:t>
      </w:r>
      <w:r w:rsidR="007C31B8">
        <w:rPr>
          <w:rFonts w:ascii="Arial" w:eastAsia="Times New Roman" w:hAnsi="Arial" w:cs="Arial"/>
          <w:sz w:val="24"/>
          <w:szCs w:val="24"/>
        </w:rPr>
        <w:t xml:space="preserve">information necessary to report </w:t>
      </w:r>
      <w:r>
        <w:rPr>
          <w:rFonts w:ascii="Arial" w:eastAsia="Times New Roman" w:hAnsi="Arial" w:cs="Arial"/>
          <w:sz w:val="24"/>
          <w:szCs w:val="24"/>
        </w:rPr>
        <w:t xml:space="preserve">the funding fee, the closing disclosure dataset, and loan application dataset, are currently associated with approved information collections </w:t>
      </w:r>
      <w:r w:rsidR="00F6748B">
        <w:rPr>
          <w:rFonts w:ascii="Arial" w:eastAsia="Times New Roman" w:hAnsi="Arial" w:cs="Arial"/>
          <w:sz w:val="24"/>
          <w:szCs w:val="24"/>
        </w:rPr>
        <w:t xml:space="preserve">with OMB control numbers 2900-0474 and 2900-0515. Once VA finalizes this rule and information collection, VA will cease collection under those numbers and submit separate administrative actions to OMB to revise or </w:t>
      </w:r>
      <w:r w:rsidR="006764DD">
        <w:rPr>
          <w:rFonts w:ascii="Arial" w:eastAsia="Times New Roman" w:hAnsi="Arial" w:cs="Arial"/>
          <w:sz w:val="24"/>
          <w:szCs w:val="24"/>
        </w:rPr>
        <w:t>rescind those information collections</w:t>
      </w:r>
      <w:r w:rsidRPr="00B962F8" w:rsidR="00B962F8">
        <w:rPr>
          <w:rFonts w:ascii="Arial" w:eastAsia="Times New Roman" w:hAnsi="Arial" w:cs="Arial"/>
          <w:sz w:val="24"/>
          <w:szCs w:val="24"/>
        </w:rPr>
        <w:t xml:space="preserve">.  </w:t>
      </w:r>
    </w:p>
    <w:p w:rsidR="00B962F8" w:rsidP="00463D10" w14:paraId="3862D76A" w14:textId="77777777">
      <w:pPr>
        <w:spacing w:after="0" w:line="240" w:lineRule="auto"/>
        <w:ind w:left="720"/>
        <w:contextualSpacing/>
        <w:rPr>
          <w:rFonts w:ascii="Arial" w:eastAsia="Times New Roman" w:hAnsi="Arial" w:cs="Arial"/>
          <w:sz w:val="24"/>
          <w:szCs w:val="24"/>
        </w:rPr>
      </w:pPr>
    </w:p>
    <w:p w:rsidR="00463D10" w:rsidP="00463D10" w14:paraId="6A0B8E37"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If the collection of information impacts small businesses or other small entities, describe any methods used to minimize burden.</w:t>
      </w:r>
    </w:p>
    <w:p w:rsidR="00463D10" w:rsidP="00463D10" w14:paraId="6A0B8E38" w14:textId="77777777">
      <w:pPr>
        <w:spacing w:after="0" w:line="240" w:lineRule="auto"/>
        <w:ind w:left="720"/>
        <w:contextualSpacing/>
        <w:rPr>
          <w:rFonts w:ascii="Arial" w:eastAsia="Times New Roman" w:hAnsi="Arial" w:cs="Arial"/>
          <w:sz w:val="24"/>
          <w:szCs w:val="24"/>
        </w:rPr>
      </w:pPr>
    </w:p>
    <w:p w:rsidR="00463D10" w:rsidRPr="00B962F8" w:rsidP="00463D10" w14:paraId="6A0B8E3A" w14:textId="619B9CA5">
      <w:pPr>
        <w:spacing w:after="0" w:line="240" w:lineRule="auto"/>
        <w:ind w:left="720"/>
        <w:contextualSpacing/>
        <w:rPr>
          <w:rFonts w:ascii="Arial" w:eastAsia="Times New Roman" w:hAnsi="Arial" w:cs="Arial"/>
          <w:sz w:val="24"/>
          <w:szCs w:val="24"/>
        </w:rPr>
      </w:pPr>
      <w:r w:rsidRPr="006C1332">
        <w:rPr>
          <w:rFonts w:ascii="Arial" w:eastAsia="Times New Roman" w:hAnsi="Arial" w:cs="Arial"/>
          <w:sz w:val="24"/>
          <w:szCs w:val="24"/>
        </w:rPr>
        <w:t xml:space="preserve">The information </w:t>
      </w:r>
      <w:r w:rsidRPr="006C1332">
        <w:rPr>
          <w:rFonts w:ascii="Arial" w:eastAsia="Times New Roman" w:hAnsi="Arial" w:cs="Arial"/>
          <w:sz w:val="24"/>
          <w:szCs w:val="24"/>
        </w:rPr>
        <w:t>collected does not have a significant economic impact on a substantial number of small entities.</w:t>
      </w:r>
      <w:r w:rsidR="00FF76A0">
        <w:rPr>
          <w:rFonts w:ascii="Arial" w:eastAsia="Times New Roman" w:hAnsi="Arial" w:cs="Arial"/>
          <w:sz w:val="24"/>
          <w:szCs w:val="24"/>
        </w:rPr>
        <w:t xml:space="preserve"> </w:t>
      </w:r>
      <w:r w:rsidR="00F50536">
        <w:rPr>
          <w:rFonts w:ascii="Arial" w:eastAsia="Times New Roman" w:hAnsi="Arial" w:cs="Arial"/>
          <w:sz w:val="24"/>
          <w:szCs w:val="24"/>
        </w:rPr>
        <w:t xml:space="preserve">The collection is typical across the mortgage industry </w:t>
      </w:r>
      <w:r w:rsidR="00F7779E">
        <w:rPr>
          <w:rFonts w:ascii="Arial" w:eastAsia="Times New Roman" w:hAnsi="Arial" w:cs="Arial"/>
          <w:sz w:val="24"/>
          <w:szCs w:val="24"/>
        </w:rPr>
        <w:t xml:space="preserve">and would not create an undue burden to small business. </w:t>
      </w:r>
    </w:p>
    <w:p w:rsidR="00B962F8" w:rsidP="00463D10" w14:paraId="361A05DD" w14:textId="77777777">
      <w:pPr>
        <w:spacing w:after="0" w:line="240" w:lineRule="auto"/>
        <w:ind w:left="720"/>
        <w:contextualSpacing/>
        <w:rPr>
          <w:rFonts w:ascii="Arial" w:eastAsia="Times New Roman" w:hAnsi="Arial" w:cs="Arial"/>
          <w:sz w:val="24"/>
          <w:szCs w:val="24"/>
        </w:rPr>
      </w:pPr>
    </w:p>
    <w:p w:rsidR="00463D10" w:rsidP="00463D10" w14:paraId="6A0B8E3B"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463D10" w:rsidP="00463D10" w14:paraId="6A0B8E3C" w14:textId="77777777">
      <w:pPr>
        <w:spacing w:after="0" w:line="240" w:lineRule="auto"/>
        <w:contextualSpacing/>
        <w:rPr>
          <w:rFonts w:ascii="Arial" w:eastAsia="Times New Roman" w:hAnsi="Arial" w:cs="Arial"/>
          <w:b/>
          <w:sz w:val="24"/>
          <w:szCs w:val="24"/>
        </w:rPr>
      </w:pPr>
    </w:p>
    <w:p w:rsidR="00463D10" w:rsidRPr="00B962F8" w:rsidP="00B962F8" w14:paraId="6A0B8E3F" w14:textId="5722A0E5">
      <w:pPr>
        <w:spacing w:after="0" w:line="240" w:lineRule="auto"/>
        <w:ind w:left="720"/>
        <w:contextualSpacing/>
        <w:rPr>
          <w:rFonts w:ascii="Arial" w:eastAsia="Times New Roman" w:hAnsi="Arial" w:cs="Arial"/>
          <w:sz w:val="24"/>
          <w:szCs w:val="24"/>
        </w:rPr>
      </w:pPr>
      <w:r w:rsidRPr="00CB7122">
        <w:rPr>
          <w:rFonts w:ascii="Arial" w:eastAsia="Times New Roman" w:hAnsi="Arial" w:cs="Arial"/>
          <w:sz w:val="24"/>
          <w:szCs w:val="24"/>
        </w:rPr>
        <w:t xml:space="preserve">This information collection is not a recurring or repetitive report. The collection of information is through electronic submission and is accomplished only once per respondent. This collection is necessary to identify the individual case to ensure VA has met all legal requirements </w:t>
      </w:r>
      <w:r w:rsidRPr="00A80673" w:rsidR="006F1BE8">
        <w:rPr>
          <w:rFonts w:ascii="Arial" w:eastAsia="Times New Roman" w:hAnsi="Arial" w:cs="Arial"/>
          <w:sz w:val="24"/>
          <w:szCs w:val="24"/>
        </w:rPr>
        <w:t>concerning the automatic issuance of the Loan Guaranty Certificate</w:t>
      </w:r>
      <w:r w:rsidR="005A4B99">
        <w:rPr>
          <w:rFonts w:ascii="Arial" w:eastAsia="Times New Roman" w:hAnsi="Arial" w:cs="Arial"/>
          <w:sz w:val="24"/>
          <w:szCs w:val="24"/>
        </w:rPr>
        <w:t>.</w:t>
      </w:r>
      <w:r w:rsidR="00922ACE">
        <w:rPr>
          <w:rFonts w:ascii="Arial" w:eastAsia="Times New Roman" w:hAnsi="Arial" w:cs="Arial"/>
          <w:sz w:val="24"/>
          <w:szCs w:val="24"/>
        </w:rPr>
        <w:t xml:space="preserve"> </w:t>
      </w:r>
      <w:r w:rsidR="006F1BE8">
        <w:rPr>
          <w:rFonts w:ascii="Arial" w:eastAsia="Times New Roman" w:hAnsi="Arial" w:cs="Arial"/>
          <w:sz w:val="24"/>
          <w:szCs w:val="24"/>
        </w:rPr>
        <w:t xml:space="preserve"> </w:t>
      </w:r>
    </w:p>
    <w:p w:rsidR="00B962F8" w:rsidP="00B962F8" w14:paraId="5E6B6562" w14:textId="77777777">
      <w:pPr>
        <w:spacing w:after="0" w:line="240" w:lineRule="auto"/>
        <w:ind w:left="720"/>
        <w:contextualSpacing/>
        <w:rPr>
          <w:rFonts w:ascii="Arial" w:eastAsia="Times New Roman" w:hAnsi="Arial" w:cs="Arial"/>
          <w:b/>
          <w:sz w:val="24"/>
          <w:szCs w:val="24"/>
        </w:rPr>
      </w:pPr>
    </w:p>
    <w:p w:rsidR="00463D10" w:rsidP="00463D10" w14:paraId="6A0B8E40" w14:textId="77777777">
      <w:pPr>
        <w:numPr>
          <w:ilvl w:val="0"/>
          <w:numId w:val="1"/>
        </w:numPr>
        <w:spacing w:after="0" w:line="240" w:lineRule="auto"/>
        <w:contextualSpacing/>
        <w:rPr>
          <w:rFonts w:ascii="Arial" w:eastAsia="Times New Roman" w:hAnsi="Arial" w:cs="Arial"/>
          <w:b/>
          <w:bCs/>
          <w:sz w:val="24"/>
          <w:szCs w:val="24"/>
        </w:rPr>
      </w:pPr>
      <w:r>
        <w:rPr>
          <w:rFonts w:ascii="Arial" w:eastAsia="Times New Roman" w:hAnsi="Arial" w:cs="Arial"/>
          <w:b/>
          <w:sz w:val="24"/>
          <w:szCs w:val="24"/>
        </w:rPr>
        <w:t xml:space="preserve">Explain any special circumstances that would cause an information collection to be conducted more often than quarterly or require respondents to </w:t>
      </w:r>
      <w:r>
        <w:rPr>
          <w:rFonts w:ascii="Arial" w:eastAsia="Times New Roman" w:hAnsi="Arial" w:cs="Arial"/>
          <w:b/>
          <w:sz w:val="24"/>
          <w:szCs w:val="24"/>
        </w:rPr>
        <w:t>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w:t>
      </w:r>
      <w:r>
        <w:rPr>
          <w:rFonts w:ascii="Arial" w:eastAsia="Times New Roman" w:hAnsi="Arial" w:cs="Arial"/>
          <w:b/>
          <w:sz w:val="24"/>
          <w:szCs w:val="24"/>
        </w:rPr>
        <w:t>d and approved by OMB.</w:t>
      </w:r>
    </w:p>
    <w:p w:rsidR="00463D10" w:rsidP="00463D10" w14:paraId="6A0B8E41" w14:textId="6D0035B2">
      <w:pPr>
        <w:spacing w:after="0" w:line="240" w:lineRule="auto"/>
        <w:ind w:left="720"/>
        <w:contextualSpacing/>
        <w:rPr>
          <w:rFonts w:ascii="Arial" w:eastAsia="Times New Roman" w:hAnsi="Arial" w:cs="Arial"/>
          <w:bCs/>
          <w:sz w:val="24"/>
          <w:szCs w:val="24"/>
        </w:rPr>
      </w:pPr>
    </w:p>
    <w:p w:rsidR="00463D10" w:rsidRPr="00B962F8" w:rsidP="00751745" w14:paraId="6A0B8E43" w14:textId="41F89156">
      <w:pPr>
        <w:spacing w:after="0" w:line="240" w:lineRule="auto"/>
        <w:ind w:left="720"/>
        <w:contextualSpacing/>
        <w:rPr>
          <w:rFonts w:ascii="Arial" w:eastAsia="Times New Roman" w:hAnsi="Arial" w:cs="Arial"/>
          <w:bCs/>
          <w:sz w:val="24"/>
          <w:szCs w:val="24"/>
        </w:rPr>
      </w:pPr>
      <w:r>
        <w:rPr>
          <w:rFonts w:ascii="Arial" w:eastAsia="Times New Roman" w:hAnsi="Arial" w:cs="Arial"/>
          <w:bCs/>
          <w:sz w:val="24"/>
          <w:szCs w:val="24"/>
        </w:rPr>
        <w:t>This collection requires respondents to report information more often than quarterly. The reporting burden is loan-specific and, thus, cannot be conducted less frequently than on every single loan submitted to VA for guarant</w:t>
      </w:r>
      <w:r w:rsidR="00B66582">
        <w:rPr>
          <w:rFonts w:ascii="Arial" w:eastAsia="Times New Roman" w:hAnsi="Arial" w:cs="Arial"/>
          <w:bCs/>
          <w:sz w:val="24"/>
          <w:szCs w:val="24"/>
        </w:rPr>
        <w:t xml:space="preserve">y. </w:t>
      </w:r>
      <w:r w:rsidR="00751745">
        <w:rPr>
          <w:rFonts w:ascii="Arial" w:eastAsia="Times New Roman" w:hAnsi="Arial" w:cs="Arial"/>
          <w:bCs/>
          <w:sz w:val="24"/>
          <w:szCs w:val="24"/>
        </w:rPr>
        <w:t xml:space="preserve">It does not otherwise involve special </w:t>
      </w:r>
      <w:r w:rsidRPr="00751745" w:rsidR="00751745">
        <w:rPr>
          <w:rFonts w:ascii="Arial" w:eastAsia="Times New Roman" w:hAnsi="Arial" w:cs="Arial"/>
          <w:bCs/>
          <w:sz w:val="24"/>
          <w:szCs w:val="24"/>
        </w:rPr>
        <w:t xml:space="preserve">circumstances </w:t>
      </w:r>
      <w:r w:rsidRPr="00751745" w:rsidR="00B962F8">
        <w:rPr>
          <w:rFonts w:ascii="Arial" w:eastAsia="Times New Roman" w:hAnsi="Arial" w:cs="Arial"/>
          <w:bCs/>
          <w:sz w:val="24"/>
          <w:szCs w:val="24"/>
        </w:rPr>
        <w:t xml:space="preserve">that require the collection to be conducted in a manner inconsistent with the guidelines in 5 CFR </w:t>
      </w:r>
      <w:r w:rsidRPr="00D770B1" w:rsidR="001F3023">
        <w:rPr>
          <w:rFonts w:ascii="Arial" w:eastAsia="Times New Roman" w:hAnsi="Arial" w:cs="Arial"/>
          <w:sz w:val="24"/>
          <w:szCs w:val="24"/>
        </w:rPr>
        <w:t>§</w:t>
      </w:r>
      <w:r w:rsidR="001F3023">
        <w:rPr>
          <w:rFonts w:ascii="Arial" w:eastAsia="Times New Roman" w:hAnsi="Arial" w:cs="Arial"/>
          <w:sz w:val="24"/>
          <w:szCs w:val="24"/>
        </w:rPr>
        <w:t xml:space="preserve"> </w:t>
      </w:r>
      <w:r w:rsidRPr="00751745" w:rsidR="00B962F8">
        <w:rPr>
          <w:rFonts w:ascii="Arial" w:eastAsia="Times New Roman" w:hAnsi="Arial" w:cs="Arial"/>
          <w:bCs/>
          <w:sz w:val="24"/>
          <w:szCs w:val="24"/>
        </w:rPr>
        <w:t>1320.</w:t>
      </w:r>
      <w:r w:rsidR="00E16D8B">
        <w:rPr>
          <w:rFonts w:ascii="Arial" w:eastAsia="Times New Roman" w:hAnsi="Arial" w:cs="Arial"/>
          <w:bCs/>
          <w:sz w:val="24"/>
          <w:szCs w:val="24"/>
        </w:rPr>
        <w:t>5</w:t>
      </w:r>
      <w:r w:rsidRPr="00751745" w:rsidR="00B962F8">
        <w:rPr>
          <w:rFonts w:ascii="Arial" w:eastAsia="Times New Roman" w:hAnsi="Arial" w:cs="Arial"/>
          <w:bCs/>
          <w:sz w:val="24"/>
          <w:szCs w:val="24"/>
        </w:rPr>
        <w:t>.</w:t>
      </w:r>
    </w:p>
    <w:p w:rsidR="00B962F8" w:rsidP="00463D10" w14:paraId="1FE4AC40" w14:textId="77777777">
      <w:pPr>
        <w:spacing w:after="0" w:line="240" w:lineRule="auto"/>
        <w:rPr>
          <w:rFonts w:ascii="Arial" w:eastAsia="Times New Roman" w:hAnsi="Arial" w:cs="Arial"/>
          <w:bCs/>
          <w:sz w:val="24"/>
          <w:szCs w:val="24"/>
        </w:rPr>
      </w:pPr>
    </w:p>
    <w:p w:rsidR="00463D10" w:rsidRPr="00ED0658" w:rsidP="00463D10" w14:paraId="6A0B8E44"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If applicable, provide a copy and identify the date and page number of publication in the Federal Register of the sponsor’s notice, required by 5 CFR 1320.8(d), soliciting comments on the information collection prior to </w:t>
      </w:r>
      <w:r>
        <w:rPr>
          <w:rFonts w:ascii="Arial" w:eastAsia="Times New Roman" w:hAnsi="Arial" w:cs="Arial"/>
          <w:b/>
          <w:sz w:val="24"/>
          <w:szCs w:val="24"/>
        </w:rPr>
        <w:t xml:space="preserve">submission to OMB.  Summarize public comments received in response to that notice and describe actions taken by the sponsor in responses to these comments.  Specifically address </w:t>
      </w:r>
      <w:r w:rsidRPr="00ED0658">
        <w:rPr>
          <w:rFonts w:ascii="Arial" w:eastAsia="Times New Roman" w:hAnsi="Arial" w:cs="Arial"/>
          <w:b/>
          <w:sz w:val="24"/>
          <w:szCs w:val="24"/>
        </w:rPr>
        <w:t>comments received on cost and hour burden.</w:t>
      </w:r>
    </w:p>
    <w:p w:rsidR="00463D10" w:rsidRPr="00ED0658" w:rsidP="00463D10" w14:paraId="6A0B8E45"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8C4D3D" w:rsidRPr="00AF0DA0" w:rsidP="008C4D3D" w14:paraId="3178055E" w14:textId="39A19F09">
      <w:pPr>
        <w:pStyle w:val="NormalWeb"/>
        <w:spacing w:line="288" w:lineRule="atLeast"/>
        <w:ind w:left="720"/>
        <w:rPr>
          <w:rFonts w:ascii="Arial" w:hAnsi="Arial" w:eastAsiaTheme="minorHAnsi" w:cs="Arial"/>
          <w:szCs w:val="22"/>
        </w:rPr>
      </w:pPr>
      <w:r w:rsidRPr="00AF0DA0">
        <w:rPr>
          <w:rFonts w:ascii="Arial" w:hAnsi="Arial" w:eastAsiaTheme="minorHAnsi" w:cs="Arial"/>
          <w:szCs w:val="22"/>
        </w:rPr>
        <w:t xml:space="preserve">A </w:t>
      </w:r>
      <w:r>
        <w:rPr>
          <w:rFonts w:ascii="Arial" w:hAnsi="Arial" w:eastAsiaTheme="minorHAnsi" w:cs="Arial"/>
          <w:szCs w:val="22"/>
        </w:rPr>
        <w:t xml:space="preserve">Proposed Rule </w:t>
      </w:r>
      <w:r w:rsidRPr="00AF0DA0">
        <w:rPr>
          <w:rFonts w:ascii="Arial" w:hAnsi="Arial" w:eastAsiaTheme="minorHAnsi" w:cs="Arial"/>
          <w:szCs w:val="22"/>
        </w:rPr>
        <w:t xml:space="preserve">Federal Register Notice (FRN) for the collection published on </w:t>
      </w:r>
      <w:r>
        <w:rPr>
          <w:rFonts w:ascii="Arial" w:hAnsi="Arial" w:eastAsiaTheme="minorHAnsi" w:cs="Arial"/>
          <w:szCs w:val="22"/>
        </w:rPr>
        <w:t>Wednesday, November 20, 2024</w:t>
      </w:r>
      <w:r w:rsidRPr="00AF0DA0">
        <w:rPr>
          <w:rFonts w:ascii="Arial" w:hAnsi="Arial" w:eastAsiaTheme="minorHAnsi" w:cs="Arial"/>
          <w:szCs w:val="22"/>
        </w:rPr>
        <w:t xml:space="preserve">.  The </w:t>
      </w:r>
      <w:r>
        <w:rPr>
          <w:rFonts w:ascii="Arial" w:hAnsi="Arial" w:eastAsiaTheme="minorHAnsi" w:cs="Arial"/>
          <w:szCs w:val="22"/>
        </w:rPr>
        <w:t>Proposed Rule</w:t>
      </w:r>
      <w:r w:rsidRPr="00AF0DA0">
        <w:rPr>
          <w:rFonts w:ascii="Arial" w:hAnsi="Arial" w:eastAsiaTheme="minorHAnsi" w:cs="Arial"/>
          <w:szCs w:val="22"/>
        </w:rPr>
        <w:t xml:space="preserve"> FRN citation is </w:t>
      </w:r>
      <w:r>
        <w:rPr>
          <w:rFonts w:ascii="Arial" w:hAnsi="Arial" w:eastAsiaTheme="minorHAnsi" w:cs="Arial"/>
          <w:szCs w:val="22"/>
        </w:rPr>
        <w:t>89</w:t>
      </w:r>
      <w:r w:rsidRPr="00AF0DA0">
        <w:rPr>
          <w:rFonts w:ascii="Arial" w:hAnsi="Arial" w:eastAsiaTheme="minorHAnsi" w:cs="Arial"/>
          <w:szCs w:val="22"/>
        </w:rPr>
        <w:t xml:space="preserve"> FRN </w:t>
      </w:r>
      <w:r>
        <w:rPr>
          <w:rFonts w:ascii="Arial" w:hAnsi="Arial" w:eastAsiaTheme="minorHAnsi" w:cs="Arial"/>
          <w:szCs w:val="22"/>
        </w:rPr>
        <w:t>91624</w:t>
      </w:r>
      <w:r w:rsidRPr="00AF0DA0">
        <w:rPr>
          <w:rFonts w:ascii="Arial" w:hAnsi="Arial" w:eastAsiaTheme="minorHAnsi" w:cs="Arial"/>
          <w:szCs w:val="22"/>
        </w:rPr>
        <w:t xml:space="preserve">. </w:t>
      </w:r>
    </w:p>
    <w:p w:rsidR="00ED0658" w:rsidRPr="00275929" w:rsidP="008C4D3D" w14:paraId="61F3DECA" w14:textId="5B15DAB0">
      <w:pPr>
        <w:ind w:left="720"/>
        <w:rPr>
          <w:rFonts w:ascii="Arial" w:hAnsi="Arial" w:cs="Arial"/>
          <w:sz w:val="24"/>
          <w:szCs w:val="24"/>
        </w:rPr>
      </w:pPr>
      <w:r w:rsidRPr="00AF0DA0">
        <w:rPr>
          <w:rFonts w:ascii="Arial" w:hAnsi="Arial" w:cs="Arial"/>
        </w:rPr>
        <w:t xml:space="preserve">A </w:t>
      </w:r>
      <w:r>
        <w:rPr>
          <w:rFonts w:ascii="Arial" w:hAnsi="Arial" w:cs="Arial"/>
        </w:rPr>
        <w:t xml:space="preserve">Final Rule </w:t>
      </w:r>
      <w:r w:rsidRPr="00AF0DA0">
        <w:rPr>
          <w:rFonts w:ascii="Arial" w:hAnsi="Arial" w:cs="Arial"/>
        </w:rPr>
        <w:t xml:space="preserve">Federal Register Notice for the collection published on (Day of the Week, Month Day, Year).  The </w:t>
      </w:r>
      <w:r>
        <w:rPr>
          <w:rFonts w:ascii="Arial" w:hAnsi="Arial" w:cs="Arial"/>
        </w:rPr>
        <w:t>Final Rule</w:t>
      </w:r>
      <w:r w:rsidRPr="00AF0DA0">
        <w:rPr>
          <w:rFonts w:ascii="Arial" w:hAnsi="Arial" w:cs="Arial"/>
        </w:rPr>
        <w:t xml:space="preserve"> FRN citation is (volume number) FRN (Page number).</w:t>
      </w:r>
    </w:p>
    <w:p w:rsidR="00463D10" w:rsidP="00463D10" w14:paraId="6A0B8E48"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w:t>
      </w:r>
      <w:r>
        <w:rPr>
          <w:rFonts w:ascii="Arial" w:eastAsia="Times New Roman" w:hAnsi="Arial" w:cs="Arial"/>
          <w:b/>
          <w:sz w:val="24"/>
          <w:szCs w:val="24"/>
        </w:rPr>
        <w:t>x</w:t>
      </w:r>
      <w:r>
        <w:rPr>
          <w:rFonts w:ascii="Arial" w:eastAsia="Times New Roman" w:hAnsi="Arial" w:cs="Arial"/>
          <w:b/>
          <w:sz w:val="24"/>
          <w:szCs w:val="24"/>
        </w:rPr>
        <w:t>plain any decision to provide any payment or gift to respondents, other than remuneration of contractors or grantees.</w:t>
      </w:r>
    </w:p>
    <w:p w:rsidR="00463D10" w:rsidRPr="00B962F8" w:rsidP="00463D10" w14:paraId="6A0B8E49"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B962F8" w:rsidP="00463D10" w14:paraId="6A0B8E4A"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B962F8">
        <w:rPr>
          <w:rFonts w:ascii="Arial" w:eastAsia="Times New Roman" w:hAnsi="Arial" w:cs="Arial"/>
          <w:bCs/>
          <w:sz w:val="24"/>
          <w:szCs w:val="24"/>
        </w:rPr>
        <w:t>No payments or gifts to respondents have been made under this collection of information.</w:t>
      </w:r>
    </w:p>
    <w:p w:rsidR="00463D10" w:rsidP="00463D10" w14:paraId="6A0B8E4B" w14:textId="77777777">
      <w:pPr>
        <w:spacing w:after="0" w:line="240" w:lineRule="auto"/>
        <w:ind w:left="720"/>
        <w:contextualSpacing/>
        <w:rPr>
          <w:rFonts w:ascii="Arial" w:eastAsia="Times New Roman" w:hAnsi="Arial" w:cs="Arial"/>
          <w:sz w:val="24"/>
          <w:szCs w:val="24"/>
        </w:rPr>
      </w:pPr>
    </w:p>
    <w:p w:rsidR="00463D10" w:rsidP="00463D10" w14:paraId="6A0B8E4C"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color w:val="000000"/>
          <w:sz w:val="24"/>
          <w:szCs w:val="24"/>
        </w:rPr>
        <w:t xml:space="preserve">Describe any assurance </w:t>
      </w:r>
      <w:r>
        <w:rPr>
          <w:rFonts w:ascii="Arial" w:eastAsia="Times New Roman" w:hAnsi="Arial" w:cs="Arial"/>
          <w:b/>
          <w:sz w:val="24"/>
          <w:szCs w:val="24"/>
        </w:rPr>
        <w:t xml:space="preserve">of privacy, to the extent permitted by law, </w:t>
      </w:r>
      <w:r>
        <w:rPr>
          <w:rFonts w:ascii="Arial" w:eastAsia="Times New Roman" w:hAnsi="Arial" w:cs="Arial"/>
          <w:b/>
          <w:color w:val="000000"/>
          <w:sz w:val="24"/>
          <w:szCs w:val="24"/>
        </w:rPr>
        <w:t>provided to respondents and the basis for the assurance in statute, regulation, or agency policy.</w:t>
      </w:r>
    </w:p>
    <w:p w:rsidR="00463D10" w:rsidP="00463D10" w14:paraId="6A0B8E4D"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B962F8" w:rsidP="00463D10" w14:paraId="6A0B8E50" w14:textId="32B667A0">
      <w:pPr>
        <w:spacing w:after="0" w:line="240" w:lineRule="auto"/>
        <w:ind w:left="720"/>
        <w:contextualSpacing/>
        <w:rPr>
          <w:rFonts w:ascii="Arial" w:eastAsia="Times New Roman" w:hAnsi="Arial" w:cs="Arial"/>
          <w:sz w:val="24"/>
          <w:szCs w:val="24"/>
        </w:rPr>
      </w:pPr>
      <w:r w:rsidRPr="04695E47">
        <w:rPr>
          <w:rFonts w:ascii="Arial" w:eastAsia="Times New Roman" w:hAnsi="Arial" w:cs="Arial"/>
          <w:sz w:val="24"/>
          <w:szCs w:val="24"/>
        </w:rPr>
        <w:t xml:space="preserve">Loan Guaranty Home, Condominium and </w:t>
      </w:r>
      <w:r w:rsidRPr="04695E47">
        <w:rPr>
          <w:rFonts w:ascii="Arial" w:eastAsia="Times New Roman" w:hAnsi="Arial" w:cs="Arial"/>
          <w:sz w:val="24"/>
          <w:szCs w:val="24"/>
        </w:rPr>
        <w:t>Manufactured Home Loan Applicant Records, Specially Adapted Housing Applicant Records, and Vendee Loan Applicant Records – VA (55VA26) are contained in the Privacy Act Issuances, 20</w:t>
      </w:r>
      <w:r w:rsidRPr="04695E47" w:rsidR="1018FBDB">
        <w:rPr>
          <w:rFonts w:ascii="Arial" w:eastAsia="Times New Roman" w:hAnsi="Arial" w:cs="Arial"/>
          <w:sz w:val="24"/>
          <w:szCs w:val="24"/>
        </w:rPr>
        <w:t>23</w:t>
      </w:r>
      <w:r w:rsidRPr="04695E47">
        <w:rPr>
          <w:rFonts w:ascii="Arial" w:eastAsia="Times New Roman" w:hAnsi="Arial" w:cs="Arial"/>
          <w:sz w:val="24"/>
          <w:szCs w:val="24"/>
        </w:rPr>
        <w:t xml:space="preserve"> Compilation.</w:t>
      </w:r>
    </w:p>
    <w:p w:rsidR="00B962F8" w:rsidP="00463D10" w14:paraId="5EC75BCA" w14:textId="77777777">
      <w:pPr>
        <w:spacing w:after="0" w:line="240" w:lineRule="auto"/>
        <w:ind w:left="720"/>
        <w:contextualSpacing/>
        <w:rPr>
          <w:rFonts w:ascii="Arial" w:eastAsia="Times New Roman" w:hAnsi="Arial" w:cs="Arial"/>
          <w:sz w:val="24"/>
          <w:szCs w:val="24"/>
        </w:rPr>
      </w:pPr>
    </w:p>
    <w:p w:rsidR="00463D10" w:rsidP="00463D10" w14:paraId="6A0B8E51"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additional justification for any questions of a sensitive nature</w:t>
      </w:r>
      <w:r>
        <w:rPr>
          <w:rFonts w:ascii="Arial" w:eastAsia="Times New Roman" w:hAnsi="Arial" w:cs="Arial"/>
          <w:b/>
          <w:color w:val="0000FF"/>
          <w:sz w:val="24"/>
          <w:szCs w:val="24"/>
        </w:rPr>
        <w:t xml:space="preserve"> </w:t>
      </w:r>
      <w:r>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14:paraId="6A0B8E5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B962F8" w:rsidP="00463D10" w14:paraId="6A0B8E54" w14:textId="703AFFFA">
      <w:pPr>
        <w:spacing w:after="0" w:line="240" w:lineRule="auto"/>
        <w:ind w:left="720"/>
        <w:contextualSpacing/>
        <w:rPr>
          <w:rFonts w:ascii="Arial" w:eastAsia="Times New Roman" w:hAnsi="Arial" w:cs="Arial"/>
          <w:sz w:val="24"/>
          <w:szCs w:val="24"/>
        </w:rPr>
      </w:pPr>
      <w:r w:rsidRPr="00DF109F">
        <w:rPr>
          <w:rFonts w:ascii="Arial" w:eastAsia="Times New Roman" w:hAnsi="Arial" w:cs="Arial"/>
          <w:sz w:val="24"/>
          <w:szCs w:val="24"/>
        </w:rPr>
        <w:t>There are no questions of a sensitive nature.</w:t>
      </w:r>
    </w:p>
    <w:p w:rsidR="00B962F8" w:rsidP="00463D10" w14:paraId="57D1EBCF" w14:textId="77777777">
      <w:pPr>
        <w:spacing w:after="0" w:line="240" w:lineRule="auto"/>
        <w:ind w:left="720"/>
        <w:contextualSpacing/>
        <w:rPr>
          <w:rFonts w:ascii="Arial" w:eastAsia="Times New Roman" w:hAnsi="Arial" w:cs="Arial"/>
          <w:sz w:val="24"/>
          <w:szCs w:val="24"/>
        </w:rPr>
      </w:pPr>
    </w:p>
    <w:p w:rsidR="00463D10" w:rsidP="00463D10" w14:paraId="6A0B8E55"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Estimate of the hour burden of the collection of information:</w:t>
      </w:r>
    </w:p>
    <w:p w:rsidR="001E3B7F" w:rsidP="009410DE" w14:paraId="03842D48"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6B5F5D" w:rsidRPr="00DA4FDA" w:rsidP="009410DE" w14:paraId="1B309738" w14:textId="551AE306">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 xml:space="preserve">VA estimates an ongoing burden associated with lender loan reporting. The burden ascribed to lender use of VA’s </w:t>
      </w:r>
      <w:r w:rsidR="007C0C07">
        <w:rPr>
          <w:rFonts w:ascii="Arial" w:eastAsia="Times New Roman" w:hAnsi="Arial" w:cs="Arial"/>
          <w:sz w:val="24"/>
          <w:szCs w:val="24"/>
        </w:rPr>
        <w:t xml:space="preserve">Guaranty Remittance </w:t>
      </w:r>
      <w:r>
        <w:rPr>
          <w:rFonts w:ascii="Arial" w:eastAsia="Times New Roman" w:hAnsi="Arial" w:cs="Arial"/>
          <w:sz w:val="24"/>
          <w:szCs w:val="24"/>
        </w:rPr>
        <w:t xml:space="preserve">API for loan reporting is the same burden ascribed for other APIs used in VA’s Loan Guaranty Program. </w:t>
      </w:r>
    </w:p>
    <w:p w:rsidR="00354E41" w:rsidP="00463D10" w14:paraId="45C13612" w14:textId="77777777">
      <w:pPr>
        <w:tabs>
          <w:tab w:val="left" w:pos="480"/>
          <w:tab w:val="right" w:pos="8640"/>
        </w:tabs>
        <w:spacing w:after="0" w:line="240" w:lineRule="auto"/>
        <w:ind w:left="720" w:right="684"/>
        <w:contextualSpacing/>
        <w:rPr>
          <w:rFonts w:ascii="Arial" w:eastAsia="Times New Roman" w:hAnsi="Arial" w:cs="Arial"/>
          <w:sz w:val="24"/>
          <w:szCs w:val="24"/>
        </w:rPr>
      </w:pPr>
    </w:p>
    <w:tbl>
      <w:tblPr>
        <w:tblStyle w:val="TableGrid"/>
        <w:tblW w:w="9720" w:type="dxa"/>
        <w:tblInd w:w="175" w:type="dxa"/>
        <w:tblLayout w:type="fixed"/>
        <w:tblCellMar>
          <w:left w:w="115" w:type="dxa"/>
          <w:right w:w="115" w:type="dxa"/>
        </w:tblCellMar>
        <w:tblLook w:val="04A0"/>
      </w:tblPr>
      <w:tblGrid>
        <w:gridCol w:w="2340"/>
        <w:gridCol w:w="1260"/>
        <w:gridCol w:w="1350"/>
        <w:gridCol w:w="1170"/>
        <w:gridCol w:w="1440"/>
        <w:gridCol w:w="810"/>
        <w:gridCol w:w="1350"/>
      </w:tblGrid>
      <w:tr w14:paraId="6266BAEE" w14:textId="77777777" w:rsidTr="00823D1A">
        <w:tblPrEx>
          <w:tblW w:w="9720" w:type="dxa"/>
          <w:tblInd w:w="175" w:type="dxa"/>
          <w:tblLayout w:type="fixed"/>
          <w:tblCellMar>
            <w:left w:w="115" w:type="dxa"/>
            <w:right w:w="115" w:type="dxa"/>
          </w:tblCellMar>
          <w:tblLook w:val="04A0"/>
        </w:tblPrEx>
        <w:tc>
          <w:tcPr>
            <w:tcW w:w="2340" w:type="dxa"/>
          </w:tcPr>
          <w:p w:rsidR="00D24D4E" w:rsidRPr="00F742CE" w:rsidP="00F742CE" w14:paraId="03C7F2C7" w14:textId="0FE9273E">
            <w:pPr>
              <w:tabs>
                <w:tab w:val="left" w:pos="480"/>
                <w:tab w:val="right" w:pos="8640"/>
              </w:tabs>
              <w:ind w:left="-86" w:right="-86"/>
              <w:contextualSpacing/>
              <w:jc w:val="center"/>
              <w:rPr>
                <w:rFonts w:ascii="Arial" w:eastAsia="Times New Roman" w:hAnsi="Arial" w:cs="Arial"/>
                <w:b/>
                <w:bCs/>
                <w:sz w:val="18"/>
                <w:szCs w:val="18"/>
              </w:rPr>
            </w:pPr>
            <w:r w:rsidRPr="00F742CE">
              <w:rPr>
                <w:rFonts w:ascii="Arial" w:eastAsia="Times New Roman" w:hAnsi="Arial" w:cs="Arial"/>
                <w:b/>
                <w:bCs/>
                <w:sz w:val="18"/>
                <w:szCs w:val="18"/>
              </w:rPr>
              <w:t>Description of Information Collection</w:t>
            </w:r>
          </w:p>
        </w:tc>
        <w:tc>
          <w:tcPr>
            <w:tcW w:w="1260" w:type="dxa"/>
          </w:tcPr>
          <w:p w:rsidR="00D24D4E" w:rsidRPr="00F742CE" w:rsidP="00F742CE" w14:paraId="6BD6B7B0" w14:textId="2519DC6F">
            <w:pPr>
              <w:tabs>
                <w:tab w:val="left" w:pos="480"/>
                <w:tab w:val="right" w:pos="8640"/>
              </w:tabs>
              <w:ind w:left="-86" w:right="-86"/>
              <w:contextualSpacing/>
              <w:jc w:val="center"/>
              <w:rPr>
                <w:rFonts w:ascii="Arial" w:eastAsia="Times New Roman" w:hAnsi="Arial" w:cs="Arial"/>
                <w:b/>
                <w:bCs/>
                <w:sz w:val="18"/>
                <w:szCs w:val="18"/>
              </w:rPr>
            </w:pPr>
            <w:r w:rsidRPr="00F742CE">
              <w:rPr>
                <w:rFonts w:ascii="Arial" w:eastAsia="Times New Roman" w:hAnsi="Arial" w:cs="Arial"/>
                <w:b/>
                <w:bCs/>
                <w:sz w:val="18"/>
                <w:szCs w:val="18"/>
              </w:rPr>
              <w:t>Frequency of Response</w:t>
            </w:r>
          </w:p>
        </w:tc>
        <w:tc>
          <w:tcPr>
            <w:tcW w:w="1350" w:type="dxa"/>
          </w:tcPr>
          <w:p w:rsidR="00D24D4E" w:rsidRPr="00F742CE" w:rsidP="00F742CE" w14:paraId="2751BAEC" w14:textId="5D2FF281">
            <w:pPr>
              <w:tabs>
                <w:tab w:val="left" w:pos="480"/>
                <w:tab w:val="right" w:pos="8640"/>
              </w:tabs>
              <w:ind w:left="-86" w:right="-86"/>
              <w:contextualSpacing/>
              <w:jc w:val="center"/>
              <w:rPr>
                <w:rFonts w:ascii="Arial" w:eastAsia="Times New Roman" w:hAnsi="Arial" w:cs="Arial"/>
                <w:b/>
                <w:bCs/>
                <w:sz w:val="18"/>
                <w:szCs w:val="18"/>
              </w:rPr>
            </w:pPr>
            <w:r w:rsidRPr="00F742CE">
              <w:rPr>
                <w:rFonts w:ascii="Arial" w:eastAsia="Times New Roman" w:hAnsi="Arial" w:cs="Arial"/>
                <w:b/>
                <w:bCs/>
                <w:sz w:val="18"/>
                <w:szCs w:val="18"/>
              </w:rPr>
              <w:t>Total Annual Responses</w:t>
            </w:r>
          </w:p>
        </w:tc>
        <w:tc>
          <w:tcPr>
            <w:tcW w:w="1170" w:type="dxa"/>
          </w:tcPr>
          <w:p w:rsidR="00D24D4E" w:rsidRPr="00F742CE" w:rsidP="00F742CE" w14:paraId="057CBD70" w14:textId="7C33AA01">
            <w:pPr>
              <w:tabs>
                <w:tab w:val="left" w:pos="480"/>
                <w:tab w:val="right" w:pos="8640"/>
              </w:tabs>
              <w:ind w:left="-86" w:right="-86"/>
              <w:contextualSpacing/>
              <w:jc w:val="center"/>
              <w:rPr>
                <w:rFonts w:ascii="Arial" w:eastAsia="Times New Roman" w:hAnsi="Arial" w:cs="Arial"/>
                <w:b/>
                <w:bCs/>
                <w:sz w:val="18"/>
                <w:szCs w:val="18"/>
              </w:rPr>
            </w:pPr>
            <w:r w:rsidRPr="00F742CE">
              <w:rPr>
                <w:rFonts w:ascii="Arial" w:eastAsia="Times New Roman" w:hAnsi="Arial" w:cs="Arial"/>
                <w:b/>
                <w:bCs/>
                <w:sz w:val="18"/>
                <w:szCs w:val="18"/>
              </w:rPr>
              <w:t>Hours per Response</w:t>
            </w:r>
          </w:p>
        </w:tc>
        <w:tc>
          <w:tcPr>
            <w:tcW w:w="1440" w:type="dxa"/>
          </w:tcPr>
          <w:p w:rsidR="00D24D4E" w:rsidRPr="00F742CE" w:rsidP="00F742CE" w14:paraId="1D7C3307" w14:textId="7D5AF73F">
            <w:pPr>
              <w:tabs>
                <w:tab w:val="left" w:pos="480"/>
                <w:tab w:val="right" w:pos="8640"/>
              </w:tabs>
              <w:ind w:left="-86" w:right="-72"/>
              <w:contextualSpacing/>
              <w:jc w:val="center"/>
              <w:rPr>
                <w:rFonts w:ascii="Arial" w:eastAsia="Times New Roman" w:hAnsi="Arial" w:cs="Arial"/>
                <w:b/>
                <w:bCs/>
                <w:sz w:val="18"/>
                <w:szCs w:val="18"/>
              </w:rPr>
            </w:pPr>
            <w:r w:rsidRPr="00F742CE">
              <w:rPr>
                <w:rFonts w:ascii="Arial" w:eastAsia="Times New Roman" w:hAnsi="Arial" w:cs="Arial"/>
                <w:b/>
                <w:bCs/>
                <w:sz w:val="18"/>
                <w:szCs w:val="18"/>
              </w:rPr>
              <w:t>Annual Burden Hours</w:t>
            </w:r>
          </w:p>
        </w:tc>
        <w:tc>
          <w:tcPr>
            <w:tcW w:w="810" w:type="dxa"/>
          </w:tcPr>
          <w:p w:rsidR="00D24D4E" w:rsidRPr="00F742CE" w:rsidP="00F742CE" w14:paraId="40BE5601" w14:textId="5ED5C863">
            <w:pPr>
              <w:tabs>
                <w:tab w:val="left" w:pos="480"/>
                <w:tab w:val="right" w:pos="8640"/>
              </w:tabs>
              <w:ind w:left="-86" w:right="-86"/>
              <w:contextualSpacing/>
              <w:jc w:val="center"/>
              <w:rPr>
                <w:rFonts w:ascii="Arial" w:eastAsia="Times New Roman" w:hAnsi="Arial" w:cs="Arial"/>
                <w:b/>
                <w:bCs/>
                <w:sz w:val="18"/>
                <w:szCs w:val="18"/>
              </w:rPr>
            </w:pPr>
            <w:r w:rsidRPr="00F742CE">
              <w:rPr>
                <w:rFonts w:ascii="Arial" w:eastAsia="Times New Roman" w:hAnsi="Arial" w:cs="Arial"/>
                <w:b/>
                <w:bCs/>
                <w:sz w:val="18"/>
                <w:szCs w:val="18"/>
              </w:rPr>
              <w:t>Hourly Cost</w:t>
            </w:r>
          </w:p>
        </w:tc>
        <w:tc>
          <w:tcPr>
            <w:tcW w:w="1350" w:type="dxa"/>
          </w:tcPr>
          <w:p w:rsidR="00D24D4E" w:rsidRPr="00F742CE" w:rsidP="00F742CE" w14:paraId="60F6429F" w14:textId="340B314B">
            <w:pPr>
              <w:tabs>
                <w:tab w:val="left" w:pos="480"/>
                <w:tab w:val="right" w:pos="8640"/>
              </w:tabs>
              <w:ind w:left="-86" w:right="-86"/>
              <w:contextualSpacing/>
              <w:jc w:val="center"/>
              <w:rPr>
                <w:rFonts w:ascii="Arial" w:eastAsia="Times New Roman" w:hAnsi="Arial" w:cs="Arial"/>
                <w:b/>
                <w:bCs/>
                <w:sz w:val="18"/>
                <w:szCs w:val="18"/>
              </w:rPr>
            </w:pPr>
            <w:r w:rsidRPr="00F742CE">
              <w:rPr>
                <w:rFonts w:ascii="Arial" w:eastAsia="Times New Roman" w:hAnsi="Arial" w:cs="Arial"/>
                <w:b/>
                <w:bCs/>
                <w:sz w:val="18"/>
                <w:szCs w:val="18"/>
              </w:rPr>
              <w:t>Total Annual Cost</w:t>
            </w:r>
          </w:p>
        </w:tc>
      </w:tr>
      <w:tr w14:paraId="0263AD88" w14:textId="77777777" w:rsidTr="00823D1A">
        <w:tblPrEx>
          <w:tblW w:w="9720" w:type="dxa"/>
          <w:tblInd w:w="175" w:type="dxa"/>
          <w:tblLayout w:type="fixed"/>
          <w:tblCellMar>
            <w:left w:w="115" w:type="dxa"/>
            <w:right w:w="115" w:type="dxa"/>
          </w:tblCellMar>
          <w:tblLook w:val="04A0"/>
        </w:tblPrEx>
        <w:tc>
          <w:tcPr>
            <w:tcW w:w="9720" w:type="dxa"/>
            <w:gridSpan w:val="7"/>
            <w:shd w:val="clear" w:color="auto" w:fill="A6A6A6" w:themeFill="background1" w:themeFillShade="A6"/>
          </w:tcPr>
          <w:p w:rsidR="008A7C77" w:rsidRPr="00F742CE" w:rsidP="00E315E6" w14:paraId="662DB41D" w14:textId="7928F317">
            <w:pPr>
              <w:tabs>
                <w:tab w:val="left" w:pos="480"/>
                <w:tab w:val="right" w:pos="8640"/>
              </w:tabs>
              <w:contextualSpacing/>
              <w:rPr>
                <w:rFonts w:ascii="Arial" w:eastAsia="Times New Roman" w:hAnsi="Arial" w:cs="Arial"/>
                <w:b/>
                <w:bCs/>
                <w:i/>
                <w:iCs/>
                <w:sz w:val="18"/>
                <w:szCs w:val="18"/>
              </w:rPr>
            </w:pPr>
            <w:r w:rsidRPr="00F742CE">
              <w:rPr>
                <w:rFonts w:ascii="Arial" w:eastAsia="Times New Roman" w:hAnsi="Arial" w:cs="Arial"/>
                <w:b/>
                <w:bCs/>
                <w:i/>
                <w:iCs/>
                <w:sz w:val="18"/>
                <w:szCs w:val="18"/>
              </w:rPr>
              <w:t xml:space="preserve">Guaranteed Loans </w:t>
            </w:r>
          </w:p>
        </w:tc>
      </w:tr>
      <w:tr w14:paraId="21136860" w14:textId="77777777" w:rsidTr="00823D1A">
        <w:tblPrEx>
          <w:tblW w:w="9720" w:type="dxa"/>
          <w:tblInd w:w="175" w:type="dxa"/>
          <w:tblLayout w:type="fixed"/>
          <w:tblCellMar>
            <w:left w:w="115" w:type="dxa"/>
            <w:right w:w="115" w:type="dxa"/>
          </w:tblCellMar>
          <w:tblLook w:val="04A0"/>
        </w:tblPrEx>
        <w:tc>
          <w:tcPr>
            <w:tcW w:w="2340" w:type="dxa"/>
          </w:tcPr>
          <w:p w:rsidR="00D24D4E" w:rsidRPr="004B454B" w:rsidP="00102E36" w14:paraId="7AA17AE4" w14:textId="060EC11C">
            <w:pPr>
              <w:tabs>
                <w:tab w:val="left" w:pos="480"/>
                <w:tab w:val="right" w:pos="8640"/>
              </w:tabs>
              <w:contextualSpacing/>
              <w:rPr>
                <w:rFonts w:ascii="Arial" w:eastAsia="Times New Roman" w:hAnsi="Arial" w:cs="Arial"/>
                <w:sz w:val="18"/>
                <w:szCs w:val="18"/>
              </w:rPr>
            </w:pPr>
            <w:r w:rsidRPr="004B454B">
              <w:rPr>
                <w:rFonts w:ascii="Arial" w:eastAsia="Times New Roman" w:hAnsi="Arial" w:cs="Arial"/>
                <w:sz w:val="18"/>
                <w:szCs w:val="18"/>
              </w:rPr>
              <w:t>Reporting and certification</w:t>
            </w:r>
            <w:r w:rsidR="002B67AA">
              <w:rPr>
                <w:rFonts w:ascii="Arial" w:eastAsia="Times New Roman" w:hAnsi="Arial" w:cs="Arial"/>
                <w:sz w:val="18"/>
                <w:szCs w:val="18"/>
              </w:rPr>
              <w:t xml:space="preserve"> for a loan that does not require VA prior approval. </w:t>
            </w:r>
            <w:r>
              <w:rPr>
                <w:rFonts w:ascii="Arial" w:eastAsia="Times New Roman" w:hAnsi="Arial" w:cs="Arial"/>
                <w:sz w:val="18"/>
                <w:szCs w:val="18"/>
              </w:rPr>
              <w:t xml:space="preserve"> </w:t>
            </w:r>
          </w:p>
        </w:tc>
        <w:tc>
          <w:tcPr>
            <w:tcW w:w="1260" w:type="dxa"/>
          </w:tcPr>
          <w:p w:rsidR="00D24D4E" w:rsidRPr="006B5F5D" w:rsidP="009941C8" w14:paraId="7DF535B0" w14:textId="7E20A329">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350" w:type="dxa"/>
          </w:tcPr>
          <w:p w:rsidR="00D24D4E" w:rsidRPr="006B5F5D" w:rsidP="009941C8" w14:paraId="43198FAF" w14:textId="2D6399A7">
            <w:pPr>
              <w:tabs>
                <w:tab w:val="left" w:pos="480"/>
                <w:tab w:val="right" w:pos="8640"/>
              </w:tabs>
              <w:contextualSpacing/>
              <w:jc w:val="center"/>
              <w:rPr>
                <w:rFonts w:ascii="Arial" w:eastAsia="Times New Roman" w:hAnsi="Arial" w:cs="Arial"/>
                <w:sz w:val="18"/>
                <w:szCs w:val="18"/>
              </w:rPr>
            </w:pPr>
            <w:r w:rsidRPr="00474971">
              <w:rPr>
                <w:rFonts w:ascii="Arial" w:eastAsia="Times New Roman" w:hAnsi="Arial" w:cs="Arial"/>
                <w:sz w:val="18"/>
                <w:szCs w:val="18"/>
              </w:rPr>
              <w:t>484,019</w:t>
            </w:r>
          </w:p>
        </w:tc>
        <w:tc>
          <w:tcPr>
            <w:tcW w:w="1170" w:type="dxa"/>
          </w:tcPr>
          <w:p w:rsidR="002B67AA" w:rsidP="00F742CE" w14:paraId="09A8A8AE" w14:textId="77777777">
            <w:pPr>
              <w:tabs>
                <w:tab w:val="left" w:pos="480"/>
                <w:tab w:val="right" w:pos="8640"/>
              </w:tabs>
              <w:ind w:left="-86" w:right="-86"/>
              <w:contextualSpacing/>
              <w:jc w:val="center"/>
              <w:rPr>
                <w:rFonts w:ascii="Arial" w:eastAsia="Times New Roman" w:hAnsi="Arial" w:cs="Arial"/>
                <w:sz w:val="18"/>
                <w:szCs w:val="18"/>
              </w:rPr>
            </w:pPr>
            <w:r>
              <w:rPr>
                <w:rFonts w:ascii="Arial" w:eastAsia="Times New Roman" w:hAnsi="Arial" w:cs="Arial"/>
                <w:sz w:val="18"/>
                <w:szCs w:val="18"/>
              </w:rPr>
              <w:t>0.008 hours</w:t>
            </w:r>
          </w:p>
          <w:p w:rsidR="00D24D4E" w:rsidRPr="006B5F5D" w:rsidP="008963A6" w14:paraId="46A9F208" w14:textId="677648F6">
            <w:pPr>
              <w:tabs>
                <w:tab w:val="left" w:pos="480"/>
                <w:tab w:val="right" w:pos="8640"/>
              </w:tabs>
              <w:ind w:left="-86" w:right="-86"/>
              <w:contextualSpacing/>
              <w:jc w:val="center"/>
              <w:rPr>
                <w:rFonts w:ascii="Arial" w:eastAsia="Times New Roman" w:hAnsi="Arial" w:cs="Arial"/>
                <w:sz w:val="18"/>
                <w:szCs w:val="18"/>
              </w:rPr>
            </w:pPr>
            <w:r>
              <w:rPr>
                <w:rFonts w:ascii="Arial" w:eastAsia="Times New Roman" w:hAnsi="Arial" w:cs="Arial"/>
                <w:sz w:val="18"/>
                <w:szCs w:val="18"/>
              </w:rPr>
              <w:t>(</w:t>
            </w:r>
            <w:r w:rsidR="003F79F0">
              <w:rPr>
                <w:rFonts w:ascii="Arial" w:eastAsia="Times New Roman" w:hAnsi="Arial" w:cs="Arial"/>
                <w:sz w:val="18"/>
                <w:szCs w:val="18"/>
              </w:rPr>
              <w:t xml:space="preserve">about </w:t>
            </w:r>
            <w:r>
              <w:rPr>
                <w:rFonts w:ascii="Arial" w:eastAsia="Times New Roman" w:hAnsi="Arial" w:cs="Arial"/>
                <w:sz w:val="18"/>
                <w:szCs w:val="18"/>
              </w:rPr>
              <w:t>30 seconds)</w:t>
            </w:r>
          </w:p>
        </w:tc>
        <w:tc>
          <w:tcPr>
            <w:tcW w:w="1440" w:type="dxa"/>
          </w:tcPr>
          <w:p w:rsidR="00D24D4E" w:rsidRPr="006B5F5D" w:rsidP="009941C8" w14:paraId="00B7055C" w14:textId="28AA0488">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4,033</w:t>
            </w:r>
          </w:p>
        </w:tc>
        <w:tc>
          <w:tcPr>
            <w:tcW w:w="810" w:type="dxa"/>
          </w:tcPr>
          <w:p w:rsidR="00D24D4E" w:rsidRPr="006B5F5D" w:rsidP="009941C8" w14:paraId="085555D8" w14:textId="30CFD934">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070E49">
              <w:rPr>
                <w:rFonts w:ascii="Arial" w:eastAsia="Times New Roman" w:hAnsi="Arial" w:cs="Arial"/>
                <w:sz w:val="18"/>
                <w:szCs w:val="18"/>
              </w:rPr>
              <w:t>40.</w:t>
            </w:r>
            <w:r w:rsidR="00EF258A">
              <w:rPr>
                <w:rFonts w:ascii="Arial" w:eastAsia="Times New Roman" w:hAnsi="Arial" w:cs="Arial"/>
                <w:sz w:val="18"/>
                <w:szCs w:val="18"/>
              </w:rPr>
              <w:t>62</w:t>
            </w:r>
          </w:p>
        </w:tc>
        <w:tc>
          <w:tcPr>
            <w:tcW w:w="1350" w:type="dxa"/>
          </w:tcPr>
          <w:p w:rsidR="00D24D4E" w:rsidRPr="006B5F5D" w:rsidP="009941C8" w14:paraId="4CCAF485" w14:textId="08E1DC3C">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Pr="00474971" w:rsidR="00474971">
              <w:rPr>
                <w:rFonts w:ascii="Arial" w:eastAsia="Times New Roman" w:hAnsi="Arial" w:cs="Arial"/>
                <w:sz w:val="18"/>
                <w:szCs w:val="18"/>
              </w:rPr>
              <w:t>1</w:t>
            </w:r>
            <w:r w:rsidR="001C2F55">
              <w:rPr>
                <w:rFonts w:ascii="Arial" w:eastAsia="Times New Roman" w:hAnsi="Arial" w:cs="Arial"/>
                <w:sz w:val="18"/>
                <w:szCs w:val="18"/>
              </w:rPr>
              <w:t>63,820.</w:t>
            </w:r>
            <w:r w:rsidR="00A66826">
              <w:rPr>
                <w:rFonts w:ascii="Arial" w:eastAsia="Times New Roman" w:hAnsi="Arial" w:cs="Arial"/>
                <w:sz w:val="18"/>
                <w:szCs w:val="18"/>
              </w:rPr>
              <w:t>46</w:t>
            </w:r>
          </w:p>
        </w:tc>
      </w:tr>
      <w:tr w14:paraId="12D25FA0" w14:textId="77777777" w:rsidTr="00823D1A">
        <w:tblPrEx>
          <w:tblW w:w="9720" w:type="dxa"/>
          <w:tblInd w:w="175" w:type="dxa"/>
          <w:tblLayout w:type="fixed"/>
          <w:tblCellMar>
            <w:left w:w="108" w:type="dxa"/>
            <w:right w:w="108" w:type="dxa"/>
          </w:tblCellMar>
          <w:tblLook w:val="04A0"/>
        </w:tblPrEx>
        <w:tc>
          <w:tcPr>
            <w:tcW w:w="2340" w:type="dxa"/>
          </w:tcPr>
          <w:p w:rsidR="002B67AA" w:rsidRPr="004B454B" w:rsidP="006332AE" w14:paraId="34C7E584" w14:textId="3CF3AF71">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Reporting and certification of a loan that requires VA prior approval.</w:t>
            </w:r>
          </w:p>
        </w:tc>
        <w:tc>
          <w:tcPr>
            <w:tcW w:w="1260" w:type="dxa"/>
          </w:tcPr>
          <w:p w:rsidR="002B67AA" w:rsidRPr="006B5F5D" w:rsidP="006332AE" w14:paraId="73BCC66D" w14:textId="7777777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350" w:type="dxa"/>
          </w:tcPr>
          <w:p w:rsidR="002B67AA" w:rsidRPr="006B5F5D" w:rsidP="006332AE" w14:paraId="2C153CC2" w14:textId="3EF1FFEA">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1,815</w:t>
            </w:r>
          </w:p>
        </w:tc>
        <w:tc>
          <w:tcPr>
            <w:tcW w:w="1170" w:type="dxa"/>
          </w:tcPr>
          <w:p w:rsidR="002B67AA" w:rsidP="008963A6" w14:paraId="45C8AD60" w14:textId="18CA7774">
            <w:pPr>
              <w:tabs>
                <w:tab w:val="left" w:pos="480"/>
                <w:tab w:val="right" w:pos="8640"/>
              </w:tabs>
              <w:ind w:left="-86" w:right="-86"/>
              <w:contextualSpacing/>
              <w:jc w:val="center"/>
              <w:rPr>
                <w:rFonts w:ascii="Arial" w:eastAsia="Times New Roman" w:hAnsi="Arial" w:cs="Arial"/>
                <w:sz w:val="18"/>
                <w:szCs w:val="18"/>
              </w:rPr>
            </w:pPr>
            <w:r>
              <w:rPr>
                <w:rFonts w:ascii="Arial" w:eastAsia="Times New Roman" w:hAnsi="Arial" w:cs="Arial"/>
                <w:sz w:val="18"/>
                <w:szCs w:val="18"/>
              </w:rPr>
              <w:t>0.008 hours</w:t>
            </w:r>
          </w:p>
          <w:p w:rsidR="002B67AA" w:rsidRPr="006B5F5D" w:rsidP="008963A6" w14:paraId="3EB01FFB" w14:textId="593357A4">
            <w:pPr>
              <w:tabs>
                <w:tab w:val="left" w:pos="480"/>
                <w:tab w:val="right" w:pos="8640"/>
              </w:tabs>
              <w:ind w:left="-86" w:right="-86"/>
              <w:contextualSpacing/>
              <w:jc w:val="center"/>
              <w:rPr>
                <w:rFonts w:ascii="Arial" w:eastAsia="Times New Roman" w:hAnsi="Arial" w:cs="Arial"/>
                <w:sz w:val="18"/>
                <w:szCs w:val="18"/>
              </w:rPr>
            </w:pPr>
            <w:r>
              <w:rPr>
                <w:rFonts w:ascii="Arial" w:eastAsia="Times New Roman" w:hAnsi="Arial" w:cs="Arial"/>
                <w:sz w:val="18"/>
                <w:szCs w:val="18"/>
              </w:rPr>
              <w:t>(</w:t>
            </w:r>
            <w:r w:rsidR="003F79F0">
              <w:rPr>
                <w:rFonts w:ascii="Arial" w:eastAsia="Times New Roman" w:hAnsi="Arial" w:cs="Arial"/>
                <w:sz w:val="18"/>
                <w:szCs w:val="18"/>
              </w:rPr>
              <w:t xml:space="preserve">about </w:t>
            </w:r>
            <w:r>
              <w:rPr>
                <w:rFonts w:ascii="Arial" w:eastAsia="Times New Roman" w:hAnsi="Arial" w:cs="Arial"/>
                <w:sz w:val="18"/>
                <w:szCs w:val="18"/>
              </w:rPr>
              <w:t>30 seconds)</w:t>
            </w:r>
          </w:p>
        </w:tc>
        <w:tc>
          <w:tcPr>
            <w:tcW w:w="1440" w:type="dxa"/>
          </w:tcPr>
          <w:p w:rsidR="002B67AA" w:rsidRPr="006B5F5D" w:rsidP="006332AE" w14:paraId="05C7AD70" w14:textId="4A2D04B9">
            <w:pPr>
              <w:tabs>
                <w:tab w:val="left" w:pos="480"/>
                <w:tab w:val="right" w:pos="8640"/>
              </w:tabs>
              <w:contextualSpacing/>
              <w:jc w:val="center"/>
              <w:rPr>
                <w:rFonts w:ascii="Arial" w:eastAsia="Times New Roman" w:hAnsi="Arial" w:cs="Arial"/>
                <w:sz w:val="18"/>
                <w:szCs w:val="18"/>
              </w:rPr>
            </w:pPr>
            <w:bookmarkStart w:id="1" w:name="_Hlk148023842"/>
            <w:r>
              <w:rPr>
                <w:rFonts w:ascii="Arial" w:eastAsia="Times New Roman" w:hAnsi="Arial" w:cs="Arial"/>
                <w:sz w:val="18"/>
                <w:szCs w:val="18"/>
              </w:rPr>
              <w:t>1</w:t>
            </w:r>
            <w:bookmarkEnd w:id="1"/>
            <w:r w:rsidR="001C2F55">
              <w:rPr>
                <w:rFonts w:ascii="Arial" w:eastAsia="Times New Roman" w:hAnsi="Arial" w:cs="Arial"/>
                <w:sz w:val="18"/>
                <w:szCs w:val="18"/>
              </w:rPr>
              <w:t>5</w:t>
            </w:r>
          </w:p>
        </w:tc>
        <w:tc>
          <w:tcPr>
            <w:tcW w:w="810" w:type="dxa"/>
          </w:tcPr>
          <w:p w:rsidR="002B67AA" w:rsidRPr="006B5F5D" w:rsidP="006332AE" w14:paraId="58555F94" w14:textId="6110A81A">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070E49">
              <w:rPr>
                <w:rFonts w:ascii="Arial" w:eastAsia="Times New Roman" w:hAnsi="Arial" w:cs="Arial"/>
                <w:sz w:val="18"/>
                <w:szCs w:val="18"/>
              </w:rPr>
              <w:t>40.</w:t>
            </w:r>
            <w:r w:rsidR="00EF258A">
              <w:rPr>
                <w:rFonts w:ascii="Arial" w:eastAsia="Times New Roman" w:hAnsi="Arial" w:cs="Arial"/>
                <w:sz w:val="18"/>
                <w:szCs w:val="18"/>
              </w:rPr>
              <w:t>62</w:t>
            </w:r>
          </w:p>
        </w:tc>
        <w:tc>
          <w:tcPr>
            <w:tcW w:w="1350" w:type="dxa"/>
          </w:tcPr>
          <w:p w:rsidR="002B67AA" w:rsidRPr="006B5F5D" w:rsidP="006332AE" w14:paraId="5E408BF4" w14:textId="02A73E49">
            <w:pPr>
              <w:tabs>
                <w:tab w:val="left" w:pos="307"/>
                <w:tab w:val="left" w:pos="480"/>
                <w:tab w:val="center" w:pos="65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A66826">
              <w:rPr>
                <w:rFonts w:ascii="Arial" w:eastAsia="Times New Roman" w:hAnsi="Arial" w:cs="Arial"/>
                <w:sz w:val="18"/>
                <w:szCs w:val="18"/>
              </w:rPr>
              <w:t>609.30</w:t>
            </w:r>
          </w:p>
        </w:tc>
      </w:tr>
      <w:tr w14:paraId="5B70D285" w14:textId="77777777" w:rsidTr="00823D1A">
        <w:tblPrEx>
          <w:tblW w:w="9720" w:type="dxa"/>
          <w:tblInd w:w="175" w:type="dxa"/>
          <w:tblLayout w:type="fixed"/>
          <w:tblCellMar>
            <w:left w:w="115" w:type="dxa"/>
            <w:right w:w="115" w:type="dxa"/>
          </w:tblCellMar>
          <w:tblLook w:val="04A0"/>
        </w:tblPrEx>
        <w:tc>
          <w:tcPr>
            <w:tcW w:w="2340" w:type="dxa"/>
          </w:tcPr>
          <w:p w:rsidR="00D24D4E" w:rsidRPr="004B454B" w:rsidP="00035E1E" w14:paraId="441F485E" w14:textId="37B1E2E4">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Late reporting statement</w:t>
            </w:r>
          </w:p>
        </w:tc>
        <w:tc>
          <w:tcPr>
            <w:tcW w:w="1260" w:type="dxa"/>
          </w:tcPr>
          <w:p w:rsidR="00D24D4E" w:rsidRPr="006B5F5D" w:rsidP="009941C8" w14:paraId="42497E45" w14:textId="61B77D8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350" w:type="dxa"/>
          </w:tcPr>
          <w:p w:rsidR="00D24D4E" w:rsidRPr="006B5F5D" w:rsidP="009941C8" w14:paraId="187DEF1E" w14:textId="09DB3783">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24,20</w:t>
            </w:r>
            <w:r w:rsidR="00ED0FBB">
              <w:rPr>
                <w:rFonts w:ascii="Arial" w:eastAsia="Times New Roman" w:hAnsi="Arial" w:cs="Arial"/>
                <w:sz w:val="18"/>
                <w:szCs w:val="18"/>
              </w:rPr>
              <w:t>1</w:t>
            </w:r>
          </w:p>
        </w:tc>
        <w:tc>
          <w:tcPr>
            <w:tcW w:w="1170" w:type="dxa"/>
          </w:tcPr>
          <w:p w:rsidR="00D24D4E" w:rsidP="009941C8" w14:paraId="2FAE3560" w14:textId="25523668">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0.0</w:t>
            </w:r>
            <w:r w:rsidR="00C96ABE">
              <w:rPr>
                <w:rFonts w:ascii="Arial" w:eastAsia="Times New Roman" w:hAnsi="Arial" w:cs="Arial"/>
                <w:sz w:val="18"/>
                <w:szCs w:val="18"/>
              </w:rPr>
              <w:t>3</w:t>
            </w:r>
          </w:p>
          <w:p w:rsidR="00D24D4E" w:rsidRPr="006B5F5D" w:rsidP="009941C8" w14:paraId="324B0167" w14:textId="446942AB">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3F79F0">
              <w:rPr>
                <w:rFonts w:ascii="Arial" w:eastAsia="Times New Roman" w:hAnsi="Arial" w:cs="Arial"/>
                <w:sz w:val="18"/>
                <w:szCs w:val="18"/>
              </w:rPr>
              <w:t xml:space="preserve">about </w:t>
            </w:r>
            <w:r w:rsidR="00ED7B5B">
              <w:rPr>
                <w:rFonts w:ascii="Arial" w:eastAsia="Times New Roman" w:hAnsi="Arial" w:cs="Arial"/>
                <w:sz w:val="18"/>
                <w:szCs w:val="18"/>
              </w:rPr>
              <w:t>2</w:t>
            </w:r>
            <w:r>
              <w:rPr>
                <w:rFonts w:ascii="Arial" w:eastAsia="Times New Roman" w:hAnsi="Arial" w:cs="Arial"/>
                <w:sz w:val="18"/>
                <w:szCs w:val="18"/>
              </w:rPr>
              <w:t xml:space="preserve"> min</w:t>
            </w:r>
            <w:r w:rsidR="003F79F0">
              <w:rPr>
                <w:rFonts w:ascii="Arial" w:eastAsia="Times New Roman" w:hAnsi="Arial" w:cs="Arial"/>
                <w:sz w:val="18"/>
                <w:szCs w:val="18"/>
              </w:rPr>
              <w:t>utes</w:t>
            </w:r>
            <w:r>
              <w:rPr>
                <w:rFonts w:ascii="Arial" w:eastAsia="Times New Roman" w:hAnsi="Arial" w:cs="Arial"/>
                <w:sz w:val="18"/>
                <w:szCs w:val="18"/>
              </w:rPr>
              <w:t>)</w:t>
            </w:r>
          </w:p>
        </w:tc>
        <w:tc>
          <w:tcPr>
            <w:tcW w:w="1440" w:type="dxa"/>
          </w:tcPr>
          <w:p w:rsidR="00D24D4E" w:rsidRPr="006B5F5D" w:rsidP="009941C8" w14:paraId="0281AC68" w14:textId="64E75462">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807</w:t>
            </w:r>
          </w:p>
        </w:tc>
        <w:tc>
          <w:tcPr>
            <w:tcW w:w="810" w:type="dxa"/>
          </w:tcPr>
          <w:p w:rsidR="00D24D4E" w:rsidRPr="006B5F5D" w:rsidP="009941C8" w14:paraId="43BFB90B" w14:textId="56F0B449">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070E49">
              <w:rPr>
                <w:rFonts w:ascii="Arial" w:eastAsia="Times New Roman" w:hAnsi="Arial" w:cs="Arial"/>
                <w:sz w:val="18"/>
                <w:szCs w:val="18"/>
              </w:rPr>
              <w:t>40.</w:t>
            </w:r>
            <w:r w:rsidR="00EF258A">
              <w:rPr>
                <w:rFonts w:ascii="Arial" w:eastAsia="Times New Roman" w:hAnsi="Arial" w:cs="Arial"/>
                <w:sz w:val="18"/>
                <w:szCs w:val="18"/>
              </w:rPr>
              <w:t>62</w:t>
            </w:r>
          </w:p>
        </w:tc>
        <w:tc>
          <w:tcPr>
            <w:tcW w:w="1350" w:type="dxa"/>
          </w:tcPr>
          <w:p w:rsidR="00D24D4E" w:rsidRPr="006B5F5D" w:rsidP="009941C8" w14:paraId="2D2ABBBB" w14:textId="612F760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8E655E">
              <w:rPr>
                <w:rFonts w:ascii="Arial" w:eastAsia="Times New Roman" w:hAnsi="Arial" w:cs="Arial"/>
                <w:sz w:val="18"/>
                <w:szCs w:val="18"/>
              </w:rPr>
              <w:t>3</w:t>
            </w:r>
            <w:r w:rsidR="001C2F55">
              <w:rPr>
                <w:rFonts w:ascii="Arial" w:eastAsia="Times New Roman" w:hAnsi="Arial" w:cs="Arial"/>
                <w:sz w:val="18"/>
                <w:szCs w:val="18"/>
              </w:rPr>
              <w:t>2,</w:t>
            </w:r>
            <w:r w:rsidR="008E655E">
              <w:rPr>
                <w:rFonts w:ascii="Arial" w:eastAsia="Times New Roman" w:hAnsi="Arial" w:cs="Arial"/>
                <w:sz w:val="18"/>
                <w:szCs w:val="18"/>
              </w:rPr>
              <w:t>780.34</w:t>
            </w:r>
          </w:p>
        </w:tc>
      </w:tr>
      <w:tr w14:paraId="64EE467D" w14:textId="77777777" w:rsidTr="00823D1A">
        <w:tblPrEx>
          <w:tblW w:w="9720" w:type="dxa"/>
          <w:tblInd w:w="175" w:type="dxa"/>
          <w:tblLayout w:type="fixed"/>
          <w:tblCellMar>
            <w:left w:w="115" w:type="dxa"/>
            <w:right w:w="115" w:type="dxa"/>
          </w:tblCellMar>
          <w:tblLook w:val="04A0"/>
        </w:tblPrEx>
        <w:tc>
          <w:tcPr>
            <w:tcW w:w="9720" w:type="dxa"/>
            <w:gridSpan w:val="7"/>
            <w:shd w:val="clear" w:color="auto" w:fill="A6A6A6" w:themeFill="background1" w:themeFillShade="A6"/>
          </w:tcPr>
          <w:p w:rsidR="00806523" w:rsidRPr="008963A6" w:rsidP="007A7F50" w14:paraId="0E6F7528" w14:textId="0FA33752">
            <w:pPr>
              <w:tabs>
                <w:tab w:val="left" w:pos="480"/>
                <w:tab w:val="right" w:pos="8640"/>
              </w:tabs>
              <w:contextualSpacing/>
              <w:rPr>
                <w:rFonts w:ascii="Arial" w:eastAsia="Times New Roman" w:hAnsi="Arial" w:cs="Arial"/>
                <w:b/>
                <w:bCs/>
                <w:sz w:val="18"/>
                <w:szCs w:val="18"/>
              </w:rPr>
            </w:pPr>
            <w:r w:rsidRPr="008963A6">
              <w:rPr>
                <w:rFonts w:ascii="Arial" w:eastAsia="Times New Roman" w:hAnsi="Arial" w:cs="Arial"/>
                <w:b/>
                <w:bCs/>
                <w:i/>
                <w:iCs/>
                <w:sz w:val="18"/>
                <w:szCs w:val="18"/>
              </w:rPr>
              <w:t>Insurance Credit</w:t>
            </w:r>
          </w:p>
        </w:tc>
      </w:tr>
      <w:tr w14:paraId="6F0B4D34" w14:textId="77777777" w:rsidTr="00823D1A">
        <w:tblPrEx>
          <w:tblW w:w="9720" w:type="dxa"/>
          <w:tblInd w:w="175" w:type="dxa"/>
          <w:tblLayout w:type="fixed"/>
          <w:tblCellMar>
            <w:left w:w="115" w:type="dxa"/>
            <w:right w:w="115" w:type="dxa"/>
          </w:tblCellMar>
          <w:tblLook w:val="04A0"/>
        </w:tblPrEx>
        <w:tc>
          <w:tcPr>
            <w:tcW w:w="2340" w:type="dxa"/>
          </w:tcPr>
          <w:p w:rsidR="00D24D4E" w:rsidRPr="003730CD" w:rsidP="00E315E6" w14:paraId="6BD676A7" w14:textId="7792086C">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Reporting and certification</w:t>
            </w:r>
          </w:p>
        </w:tc>
        <w:tc>
          <w:tcPr>
            <w:tcW w:w="1260" w:type="dxa"/>
          </w:tcPr>
          <w:p w:rsidR="00D24D4E" w:rsidRPr="006B5F5D" w:rsidP="009941C8" w14:paraId="24E7CD6B" w14:textId="034C01C9">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p>
        </w:tc>
        <w:tc>
          <w:tcPr>
            <w:tcW w:w="1350" w:type="dxa"/>
          </w:tcPr>
          <w:p w:rsidR="00D24D4E" w:rsidRPr="006B5F5D" w:rsidP="009941C8" w14:paraId="6BC038DE" w14:textId="1E84AD5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Less than 10</w:t>
            </w:r>
          </w:p>
        </w:tc>
        <w:tc>
          <w:tcPr>
            <w:tcW w:w="1170" w:type="dxa"/>
          </w:tcPr>
          <w:p w:rsidR="00D24D4E" w:rsidRPr="006B5F5D" w:rsidP="009941C8" w14:paraId="485282ED" w14:textId="77777777">
            <w:pPr>
              <w:tabs>
                <w:tab w:val="left" w:pos="480"/>
                <w:tab w:val="right" w:pos="8640"/>
              </w:tabs>
              <w:contextualSpacing/>
              <w:jc w:val="center"/>
              <w:rPr>
                <w:rFonts w:ascii="Arial" w:eastAsia="Times New Roman" w:hAnsi="Arial" w:cs="Arial"/>
                <w:sz w:val="18"/>
                <w:szCs w:val="18"/>
              </w:rPr>
            </w:pPr>
          </w:p>
        </w:tc>
        <w:tc>
          <w:tcPr>
            <w:tcW w:w="1440" w:type="dxa"/>
          </w:tcPr>
          <w:p w:rsidR="00D24D4E" w:rsidRPr="006B5F5D" w:rsidP="009941C8" w14:paraId="207595B1" w14:textId="50F8C9EF">
            <w:pPr>
              <w:tabs>
                <w:tab w:val="left" w:pos="480"/>
                <w:tab w:val="right" w:pos="8640"/>
              </w:tabs>
              <w:contextualSpacing/>
              <w:jc w:val="center"/>
              <w:rPr>
                <w:rFonts w:ascii="Arial" w:eastAsia="Times New Roman" w:hAnsi="Arial" w:cs="Arial"/>
                <w:sz w:val="18"/>
                <w:szCs w:val="18"/>
              </w:rPr>
            </w:pPr>
          </w:p>
        </w:tc>
        <w:tc>
          <w:tcPr>
            <w:tcW w:w="810" w:type="dxa"/>
          </w:tcPr>
          <w:p w:rsidR="00D24D4E" w:rsidRPr="006B5F5D" w:rsidP="009941C8" w14:paraId="59FC67BD" w14:textId="3B1AB60D">
            <w:pPr>
              <w:tabs>
                <w:tab w:val="left" w:pos="480"/>
                <w:tab w:val="right" w:pos="8640"/>
              </w:tabs>
              <w:contextualSpacing/>
              <w:jc w:val="center"/>
              <w:rPr>
                <w:rFonts w:ascii="Arial" w:eastAsia="Times New Roman" w:hAnsi="Arial" w:cs="Arial"/>
                <w:sz w:val="18"/>
                <w:szCs w:val="18"/>
              </w:rPr>
            </w:pPr>
          </w:p>
        </w:tc>
        <w:tc>
          <w:tcPr>
            <w:tcW w:w="1350" w:type="dxa"/>
          </w:tcPr>
          <w:p w:rsidR="00D24D4E" w:rsidRPr="006B5F5D" w:rsidP="009941C8" w14:paraId="43249F97" w14:textId="3DA1BC9E">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p>
        </w:tc>
      </w:tr>
      <w:tr w14:paraId="0F4A07B2" w14:textId="77777777" w:rsidTr="00823D1A">
        <w:tblPrEx>
          <w:tblW w:w="9720" w:type="dxa"/>
          <w:tblInd w:w="175" w:type="dxa"/>
          <w:tblLayout w:type="fixed"/>
          <w:tblCellMar>
            <w:left w:w="115" w:type="dxa"/>
            <w:right w:w="115" w:type="dxa"/>
          </w:tblCellMar>
          <w:tblLook w:val="04A0"/>
        </w:tblPrEx>
        <w:tc>
          <w:tcPr>
            <w:tcW w:w="2340" w:type="dxa"/>
          </w:tcPr>
          <w:p w:rsidR="00D24D4E" w:rsidRPr="003730CD" w:rsidP="00E315E6" w14:paraId="2B0E3C2C" w14:textId="31702E90">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Late reporting statement</w:t>
            </w:r>
          </w:p>
        </w:tc>
        <w:tc>
          <w:tcPr>
            <w:tcW w:w="1260" w:type="dxa"/>
          </w:tcPr>
          <w:p w:rsidR="00D24D4E" w:rsidRPr="006B5F5D" w:rsidP="009941C8" w14:paraId="669E6ECA" w14:textId="15ED253C">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p>
        </w:tc>
        <w:tc>
          <w:tcPr>
            <w:tcW w:w="1350" w:type="dxa"/>
          </w:tcPr>
          <w:p w:rsidR="00D24D4E" w:rsidRPr="006B5F5D" w:rsidP="009941C8" w14:paraId="670D34B1" w14:textId="15FC4228">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Less than 10</w:t>
            </w:r>
          </w:p>
        </w:tc>
        <w:tc>
          <w:tcPr>
            <w:tcW w:w="1170" w:type="dxa"/>
          </w:tcPr>
          <w:p w:rsidR="00D24D4E" w:rsidRPr="006B5F5D" w:rsidP="009941C8" w14:paraId="00AB4711" w14:textId="77777777">
            <w:pPr>
              <w:tabs>
                <w:tab w:val="left" w:pos="480"/>
                <w:tab w:val="right" w:pos="8640"/>
              </w:tabs>
              <w:contextualSpacing/>
              <w:jc w:val="center"/>
              <w:rPr>
                <w:rFonts w:ascii="Arial" w:eastAsia="Times New Roman" w:hAnsi="Arial" w:cs="Arial"/>
                <w:sz w:val="18"/>
                <w:szCs w:val="18"/>
              </w:rPr>
            </w:pPr>
          </w:p>
        </w:tc>
        <w:tc>
          <w:tcPr>
            <w:tcW w:w="1440" w:type="dxa"/>
          </w:tcPr>
          <w:p w:rsidR="00D24D4E" w:rsidRPr="006B5F5D" w:rsidP="009941C8" w14:paraId="45D205B5" w14:textId="77777777">
            <w:pPr>
              <w:tabs>
                <w:tab w:val="left" w:pos="480"/>
                <w:tab w:val="right" w:pos="8640"/>
              </w:tabs>
              <w:contextualSpacing/>
              <w:jc w:val="center"/>
              <w:rPr>
                <w:rFonts w:ascii="Arial" w:eastAsia="Times New Roman" w:hAnsi="Arial" w:cs="Arial"/>
                <w:sz w:val="18"/>
                <w:szCs w:val="18"/>
              </w:rPr>
            </w:pPr>
          </w:p>
        </w:tc>
        <w:tc>
          <w:tcPr>
            <w:tcW w:w="810" w:type="dxa"/>
          </w:tcPr>
          <w:p w:rsidR="00D24D4E" w:rsidRPr="006B5F5D" w:rsidP="009941C8" w14:paraId="2531C2E1" w14:textId="0AC6DC54">
            <w:pPr>
              <w:tabs>
                <w:tab w:val="left" w:pos="480"/>
                <w:tab w:val="right" w:pos="8640"/>
              </w:tabs>
              <w:contextualSpacing/>
              <w:jc w:val="center"/>
              <w:rPr>
                <w:rFonts w:ascii="Arial" w:eastAsia="Times New Roman" w:hAnsi="Arial" w:cs="Arial"/>
                <w:sz w:val="18"/>
                <w:szCs w:val="18"/>
              </w:rPr>
            </w:pPr>
          </w:p>
        </w:tc>
        <w:tc>
          <w:tcPr>
            <w:tcW w:w="1350" w:type="dxa"/>
          </w:tcPr>
          <w:p w:rsidR="00D24D4E" w:rsidRPr="006B5F5D" w:rsidP="009941C8" w14:paraId="010DF3AE" w14:textId="00CDC9E0">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p>
        </w:tc>
      </w:tr>
      <w:tr w14:paraId="36EC50E5" w14:textId="77777777" w:rsidTr="00823D1A">
        <w:tblPrEx>
          <w:tblW w:w="9720" w:type="dxa"/>
          <w:tblInd w:w="175" w:type="dxa"/>
          <w:tblLayout w:type="fixed"/>
          <w:tblCellMar>
            <w:left w:w="115" w:type="dxa"/>
            <w:right w:w="115" w:type="dxa"/>
          </w:tblCellMar>
          <w:tblLook w:val="04A0"/>
        </w:tblPrEx>
        <w:tc>
          <w:tcPr>
            <w:tcW w:w="9720" w:type="dxa"/>
            <w:gridSpan w:val="7"/>
            <w:shd w:val="clear" w:color="auto" w:fill="A6A6A6" w:themeFill="background1" w:themeFillShade="A6"/>
          </w:tcPr>
          <w:p w:rsidR="003D60E9" w:rsidRPr="008963A6" w:rsidP="007A7F50" w14:paraId="04D9E9D5" w14:textId="33090B8C">
            <w:pPr>
              <w:tabs>
                <w:tab w:val="left" w:pos="480"/>
                <w:tab w:val="right" w:pos="8640"/>
              </w:tabs>
              <w:contextualSpacing/>
              <w:rPr>
                <w:rFonts w:ascii="Arial" w:eastAsia="Times New Roman" w:hAnsi="Arial" w:cs="Arial"/>
                <w:b/>
                <w:bCs/>
                <w:sz w:val="18"/>
                <w:szCs w:val="18"/>
              </w:rPr>
            </w:pPr>
            <w:r w:rsidRPr="008963A6">
              <w:rPr>
                <w:rFonts w:ascii="Arial" w:eastAsia="Times New Roman" w:hAnsi="Arial" w:cs="Arial"/>
                <w:b/>
                <w:bCs/>
                <w:i/>
                <w:iCs/>
                <w:sz w:val="18"/>
                <w:szCs w:val="18"/>
              </w:rPr>
              <w:t xml:space="preserve">Manufactured Homes Not Permanently Affixed to a </w:t>
            </w:r>
            <w:r w:rsidRPr="008963A6">
              <w:rPr>
                <w:rFonts w:ascii="Arial" w:eastAsia="Times New Roman" w:hAnsi="Arial" w:cs="Arial"/>
                <w:b/>
                <w:bCs/>
                <w:i/>
                <w:iCs/>
                <w:sz w:val="18"/>
                <w:szCs w:val="18"/>
              </w:rPr>
              <w:t>Foundation</w:t>
            </w:r>
          </w:p>
        </w:tc>
      </w:tr>
      <w:tr w14:paraId="464CE905" w14:textId="77777777" w:rsidTr="00823D1A">
        <w:tblPrEx>
          <w:tblW w:w="9720" w:type="dxa"/>
          <w:tblInd w:w="175" w:type="dxa"/>
          <w:tblLayout w:type="fixed"/>
          <w:tblCellMar>
            <w:left w:w="115" w:type="dxa"/>
            <w:right w:w="115" w:type="dxa"/>
          </w:tblCellMar>
          <w:tblLook w:val="04A0"/>
        </w:tblPrEx>
        <w:tc>
          <w:tcPr>
            <w:tcW w:w="2340" w:type="dxa"/>
          </w:tcPr>
          <w:p w:rsidR="00C70770" w:rsidP="00E315E6" w14:paraId="6EBC2411" w14:textId="55CDBF41">
            <w:pPr>
              <w:tabs>
                <w:tab w:val="left" w:pos="480"/>
                <w:tab w:val="right" w:pos="8640"/>
              </w:tabs>
              <w:contextualSpacing/>
              <w:rPr>
                <w:rFonts w:ascii="Arial" w:eastAsia="Times New Roman" w:hAnsi="Arial" w:cs="Arial"/>
                <w:i/>
                <w:iCs/>
                <w:sz w:val="18"/>
                <w:szCs w:val="18"/>
              </w:rPr>
            </w:pPr>
            <w:r w:rsidRPr="003D60E9">
              <w:rPr>
                <w:rFonts w:ascii="Arial" w:eastAsia="Times New Roman" w:hAnsi="Arial" w:cs="Arial"/>
                <w:i/>
                <w:iCs/>
                <w:sz w:val="18"/>
                <w:szCs w:val="18"/>
              </w:rPr>
              <w:t>Reporting and certification</w:t>
            </w:r>
          </w:p>
        </w:tc>
        <w:tc>
          <w:tcPr>
            <w:tcW w:w="1260" w:type="dxa"/>
          </w:tcPr>
          <w:p w:rsidR="00C70770" w:rsidP="009941C8" w14:paraId="42C0A0E7" w14:textId="7ACE26A0">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p>
        </w:tc>
        <w:tc>
          <w:tcPr>
            <w:tcW w:w="1350" w:type="dxa"/>
          </w:tcPr>
          <w:p w:rsidR="00C70770" w:rsidP="009941C8" w14:paraId="72E99A27" w14:textId="7087E7A3">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Less than 10</w:t>
            </w:r>
          </w:p>
        </w:tc>
        <w:tc>
          <w:tcPr>
            <w:tcW w:w="1170" w:type="dxa"/>
          </w:tcPr>
          <w:p w:rsidR="00C70770" w:rsidP="009941C8" w14:paraId="06CBBB04" w14:textId="77777777">
            <w:pPr>
              <w:tabs>
                <w:tab w:val="left" w:pos="480"/>
                <w:tab w:val="right" w:pos="8640"/>
              </w:tabs>
              <w:contextualSpacing/>
              <w:jc w:val="center"/>
              <w:rPr>
                <w:rFonts w:ascii="Arial" w:eastAsia="Times New Roman" w:hAnsi="Arial" w:cs="Arial"/>
                <w:sz w:val="18"/>
                <w:szCs w:val="18"/>
              </w:rPr>
            </w:pPr>
          </w:p>
        </w:tc>
        <w:tc>
          <w:tcPr>
            <w:tcW w:w="1440" w:type="dxa"/>
          </w:tcPr>
          <w:p w:rsidR="00C70770" w:rsidP="009941C8" w14:paraId="50D22AD8" w14:textId="77777777">
            <w:pPr>
              <w:tabs>
                <w:tab w:val="left" w:pos="480"/>
                <w:tab w:val="right" w:pos="8640"/>
              </w:tabs>
              <w:contextualSpacing/>
              <w:jc w:val="center"/>
              <w:rPr>
                <w:rFonts w:ascii="Arial" w:eastAsia="Times New Roman" w:hAnsi="Arial" w:cs="Arial"/>
                <w:sz w:val="18"/>
                <w:szCs w:val="18"/>
              </w:rPr>
            </w:pPr>
          </w:p>
        </w:tc>
        <w:tc>
          <w:tcPr>
            <w:tcW w:w="810" w:type="dxa"/>
          </w:tcPr>
          <w:p w:rsidR="00C70770" w:rsidP="009941C8" w14:paraId="29C2889F" w14:textId="77777777">
            <w:pPr>
              <w:tabs>
                <w:tab w:val="left" w:pos="480"/>
                <w:tab w:val="right" w:pos="8640"/>
              </w:tabs>
              <w:contextualSpacing/>
              <w:jc w:val="center"/>
              <w:rPr>
                <w:rFonts w:ascii="Arial" w:eastAsia="Times New Roman" w:hAnsi="Arial" w:cs="Arial"/>
                <w:sz w:val="18"/>
                <w:szCs w:val="18"/>
              </w:rPr>
            </w:pPr>
          </w:p>
        </w:tc>
        <w:tc>
          <w:tcPr>
            <w:tcW w:w="1350" w:type="dxa"/>
          </w:tcPr>
          <w:p w:rsidR="00C70770" w:rsidP="009941C8" w14:paraId="270001AC" w14:textId="77777777">
            <w:pPr>
              <w:tabs>
                <w:tab w:val="left" w:pos="480"/>
                <w:tab w:val="right" w:pos="8640"/>
              </w:tabs>
              <w:contextualSpacing/>
              <w:jc w:val="center"/>
              <w:rPr>
                <w:rFonts w:ascii="Arial" w:eastAsia="Times New Roman" w:hAnsi="Arial" w:cs="Arial"/>
                <w:sz w:val="18"/>
                <w:szCs w:val="18"/>
              </w:rPr>
            </w:pPr>
          </w:p>
        </w:tc>
      </w:tr>
      <w:tr w14:paraId="5A3C207C" w14:textId="77777777" w:rsidTr="00823D1A">
        <w:tblPrEx>
          <w:tblW w:w="9720" w:type="dxa"/>
          <w:tblInd w:w="175" w:type="dxa"/>
          <w:tblLayout w:type="fixed"/>
          <w:tblCellMar>
            <w:left w:w="115" w:type="dxa"/>
            <w:right w:w="115" w:type="dxa"/>
          </w:tblCellMar>
          <w:tblLook w:val="04A0"/>
        </w:tblPrEx>
        <w:tc>
          <w:tcPr>
            <w:tcW w:w="2340" w:type="dxa"/>
          </w:tcPr>
          <w:p w:rsidR="00C70770" w:rsidP="00E315E6" w14:paraId="6EB7DA69" w14:textId="7D88C88F">
            <w:pPr>
              <w:tabs>
                <w:tab w:val="left" w:pos="480"/>
                <w:tab w:val="right" w:pos="8640"/>
              </w:tabs>
              <w:contextualSpacing/>
              <w:rPr>
                <w:rFonts w:ascii="Arial" w:eastAsia="Times New Roman" w:hAnsi="Arial" w:cs="Arial"/>
                <w:i/>
                <w:iCs/>
                <w:sz w:val="18"/>
                <w:szCs w:val="18"/>
              </w:rPr>
            </w:pPr>
            <w:r w:rsidRPr="003D60E9">
              <w:rPr>
                <w:rFonts w:ascii="Arial" w:eastAsia="Times New Roman" w:hAnsi="Arial" w:cs="Arial"/>
                <w:i/>
                <w:iCs/>
                <w:sz w:val="18"/>
                <w:szCs w:val="18"/>
              </w:rPr>
              <w:t>Late reporting statement</w:t>
            </w:r>
          </w:p>
        </w:tc>
        <w:tc>
          <w:tcPr>
            <w:tcW w:w="1260" w:type="dxa"/>
          </w:tcPr>
          <w:p w:rsidR="00C70770" w:rsidP="009941C8" w14:paraId="1E42D95F" w14:textId="28CE5E0A">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p>
        </w:tc>
        <w:tc>
          <w:tcPr>
            <w:tcW w:w="1350" w:type="dxa"/>
          </w:tcPr>
          <w:p w:rsidR="00C70770" w:rsidP="009941C8" w14:paraId="0599C24B" w14:textId="42A95FA9">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Less than 10</w:t>
            </w:r>
          </w:p>
        </w:tc>
        <w:tc>
          <w:tcPr>
            <w:tcW w:w="1170" w:type="dxa"/>
          </w:tcPr>
          <w:p w:rsidR="00C70770" w:rsidP="009941C8" w14:paraId="76BF743C" w14:textId="77777777">
            <w:pPr>
              <w:tabs>
                <w:tab w:val="left" w:pos="480"/>
                <w:tab w:val="right" w:pos="8640"/>
              </w:tabs>
              <w:contextualSpacing/>
              <w:jc w:val="center"/>
              <w:rPr>
                <w:rFonts w:ascii="Arial" w:eastAsia="Times New Roman" w:hAnsi="Arial" w:cs="Arial"/>
                <w:sz w:val="18"/>
                <w:szCs w:val="18"/>
              </w:rPr>
            </w:pPr>
          </w:p>
        </w:tc>
        <w:tc>
          <w:tcPr>
            <w:tcW w:w="1440" w:type="dxa"/>
          </w:tcPr>
          <w:p w:rsidR="00C70770" w:rsidP="009941C8" w14:paraId="29DB1C75" w14:textId="77777777">
            <w:pPr>
              <w:tabs>
                <w:tab w:val="left" w:pos="480"/>
                <w:tab w:val="right" w:pos="8640"/>
              </w:tabs>
              <w:contextualSpacing/>
              <w:jc w:val="center"/>
              <w:rPr>
                <w:rFonts w:ascii="Arial" w:eastAsia="Times New Roman" w:hAnsi="Arial" w:cs="Arial"/>
                <w:sz w:val="18"/>
                <w:szCs w:val="18"/>
              </w:rPr>
            </w:pPr>
          </w:p>
        </w:tc>
        <w:tc>
          <w:tcPr>
            <w:tcW w:w="810" w:type="dxa"/>
          </w:tcPr>
          <w:p w:rsidR="00C70770" w:rsidP="009941C8" w14:paraId="55DF7551" w14:textId="77777777">
            <w:pPr>
              <w:tabs>
                <w:tab w:val="left" w:pos="480"/>
                <w:tab w:val="right" w:pos="8640"/>
              </w:tabs>
              <w:contextualSpacing/>
              <w:jc w:val="center"/>
              <w:rPr>
                <w:rFonts w:ascii="Arial" w:eastAsia="Times New Roman" w:hAnsi="Arial" w:cs="Arial"/>
                <w:sz w:val="18"/>
                <w:szCs w:val="18"/>
              </w:rPr>
            </w:pPr>
          </w:p>
        </w:tc>
        <w:tc>
          <w:tcPr>
            <w:tcW w:w="1350" w:type="dxa"/>
          </w:tcPr>
          <w:p w:rsidR="00C70770" w:rsidP="009941C8" w14:paraId="78A482D5" w14:textId="77777777">
            <w:pPr>
              <w:tabs>
                <w:tab w:val="left" w:pos="480"/>
                <w:tab w:val="right" w:pos="8640"/>
              </w:tabs>
              <w:contextualSpacing/>
              <w:jc w:val="center"/>
              <w:rPr>
                <w:rFonts w:ascii="Arial" w:eastAsia="Times New Roman" w:hAnsi="Arial" w:cs="Arial"/>
                <w:sz w:val="18"/>
                <w:szCs w:val="18"/>
              </w:rPr>
            </w:pPr>
          </w:p>
        </w:tc>
      </w:tr>
      <w:tr w14:paraId="4D96518C" w14:textId="77777777" w:rsidTr="00823D1A">
        <w:tblPrEx>
          <w:tblW w:w="9720" w:type="dxa"/>
          <w:tblInd w:w="175" w:type="dxa"/>
          <w:tblLayout w:type="fixed"/>
          <w:tblCellMar>
            <w:left w:w="115" w:type="dxa"/>
            <w:right w:w="115" w:type="dxa"/>
          </w:tblCellMar>
          <w:tblLook w:val="04A0"/>
        </w:tblPrEx>
        <w:tc>
          <w:tcPr>
            <w:tcW w:w="2340" w:type="dxa"/>
          </w:tcPr>
          <w:p w:rsidR="009859F5" w:rsidRPr="004B454B" w:rsidP="009859F5" w14:paraId="386D203C" w14:textId="2DA47479">
            <w:pPr>
              <w:tabs>
                <w:tab w:val="left" w:pos="480"/>
                <w:tab w:val="right" w:pos="8640"/>
              </w:tabs>
              <w:contextualSpacing/>
              <w:jc w:val="right"/>
              <w:rPr>
                <w:rFonts w:ascii="Arial" w:eastAsia="Times New Roman" w:hAnsi="Arial" w:cs="Arial"/>
                <w:b/>
                <w:bCs/>
                <w:sz w:val="18"/>
                <w:szCs w:val="18"/>
              </w:rPr>
            </w:pPr>
            <w:r w:rsidRPr="004B454B">
              <w:rPr>
                <w:rFonts w:ascii="Arial" w:eastAsia="Times New Roman" w:hAnsi="Arial" w:cs="Arial"/>
                <w:b/>
                <w:bCs/>
                <w:sz w:val="18"/>
                <w:szCs w:val="18"/>
              </w:rPr>
              <w:t>Total</w:t>
            </w:r>
          </w:p>
        </w:tc>
        <w:tc>
          <w:tcPr>
            <w:tcW w:w="1260" w:type="dxa"/>
          </w:tcPr>
          <w:p w:rsidR="009859F5" w:rsidRPr="006B5F5D" w:rsidP="009859F5" w14:paraId="6E55197F" w14:textId="77777777">
            <w:pPr>
              <w:tabs>
                <w:tab w:val="left" w:pos="480"/>
                <w:tab w:val="right" w:pos="8640"/>
              </w:tabs>
              <w:contextualSpacing/>
              <w:jc w:val="center"/>
              <w:rPr>
                <w:rFonts w:ascii="Arial" w:eastAsia="Times New Roman" w:hAnsi="Arial" w:cs="Arial"/>
                <w:sz w:val="18"/>
                <w:szCs w:val="18"/>
              </w:rPr>
            </w:pPr>
          </w:p>
        </w:tc>
        <w:tc>
          <w:tcPr>
            <w:tcW w:w="1350" w:type="dxa"/>
          </w:tcPr>
          <w:p w:rsidR="009859F5" w:rsidRPr="006B5F5D" w:rsidP="009859F5" w14:paraId="51C01087" w14:textId="06F12713">
            <w:pPr>
              <w:tabs>
                <w:tab w:val="left" w:pos="480"/>
                <w:tab w:val="right" w:pos="8640"/>
              </w:tabs>
              <w:contextualSpacing/>
              <w:jc w:val="center"/>
              <w:rPr>
                <w:rFonts w:ascii="Arial" w:eastAsia="Times New Roman" w:hAnsi="Arial" w:cs="Arial"/>
                <w:sz w:val="18"/>
                <w:szCs w:val="18"/>
              </w:rPr>
            </w:pPr>
            <w:r w:rsidRPr="000466A4">
              <w:rPr>
                <w:rFonts w:ascii="Arial" w:eastAsia="Times New Roman" w:hAnsi="Arial" w:cs="Arial"/>
                <w:sz w:val="18"/>
                <w:szCs w:val="18"/>
              </w:rPr>
              <w:t>510,035</w:t>
            </w:r>
          </w:p>
        </w:tc>
        <w:tc>
          <w:tcPr>
            <w:tcW w:w="1170" w:type="dxa"/>
          </w:tcPr>
          <w:p w:rsidR="009859F5" w:rsidRPr="006B5F5D" w:rsidP="009859F5" w14:paraId="5046DA64" w14:textId="77777777">
            <w:pPr>
              <w:tabs>
                <w:tab w:val="left" w:pos="480"/>
                <w:tab w:val="right" w:pos="8640"/>
              </w:tabs>
              <w:contextualSpacing/>
              <w:jc w:val="center"/>
              <w:rPr>
                <w:rFonts w:ascii="Arial" w:eastAsia="Times New Roman" w:hAnsi="Arial" w:cs="Arial"/>
                <w:sz w:val="18"/>
                <w:szCs w:val="18"/>
              </w:rPr>
            </w:pPr>
          </w:p>
        </w:tc>
        <w:tc>
          <w:tcPr>
            <w:tcW w:w="1440" w:type="dxa"/>
          </w:tcPr>
          <w:p w:rsidR="009859F5" w:rsidRPr="006B5F5D" w:rsidP="009859F5" w14:paraId="493515E1" w14:textId="7645CDDF">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4,</w:t>
            </w:r>
            <w:r w:rsidR="001C2F55">
              <w:rPr>
                <w:rFonts w:ascii="Arial" w:eastAsia="Times New Roman" w:hAnsi="Arial" w:cs="Arial"/>
                <w:sz w:val="18"/>
                <w:szCs w:val="18"/>
              </w:rPr>
              <w:t>855</w:t>
            </w:r>
          </w:p>
        </w:tc>
        <w:tc>
          <w:tcPr>
            <w:tcW w:w="810" w:type="dxa"/>
          </w:tcPr>
          <w:p w:rsidR="009859F5" w:rsidRPr="006B5F5D" w:rsidP="009859F5" w14:paraId="149533A1" w14:textId="77777777">
            <w:pPr>
              <w:tabs>
                <w:tab w:val="left" w:pos="480"/>
                <w:tab w:val="right" w:pos="8640"/>
              </w:tabs>
              <w:contextualSpacing/>
              <w:jc w:val="center"/>
              <w:rPr>
                <w:rFonts w:ascii="Arial" w:eastAsia="Times New Roman" w:hAnsi="Arial" w:cs="Arial"/>
                <w:sz w:val="18"/>
                <w:szCs w:val="18"/>
              </w:rPr>
            </w:pPr>
          </w:p>
        </w:tc>
        <w:tc>
          <w:tcPr>
            <w:tcW w:w="1350" w:type="dxa"/>
          </w:tcPr>
          <w:p w:rsidR="009859F5" w:rsidRPr="006B5F5D" w:rsidP="009859F5" w14:paraId="3AEA67A1" w14:textId="18BB99DC">
            <w:pPr>
              <w:tabs>
                <w:tab w:val="left" w:pos="480"/>
                <w:tab w:val="right" w:pos="8640"/>
              </w:tabs>
              <w:contextualSpacing/>
              <w:jc w:val="center"/>
              <w:rPr>
                <w:rFonts w:ascii="Arial" w:eastAsia="Times New Roman" w:hAnsi="Arial" w:cs="Arial"/>
                <w:sz w:val="18"/>
                <w:szCs w:val="18"/>
              </w:rPr>
            </w:pPr>
            <w:bookmarkStart w:id="2" w:name="_Hlk148024471"/>
            <w:r>
              <w:rPr>
                <w:rFonts w:ascii="Arial" w:eastAsia="Times New Roman" w:hAnsi="Arial" w:cs="Arial"/>
                <w:sz w:val="18"/>
                <w:szCs w:val="18"/>
              </w:rPr>
              <w:t>$</w:t>
            </w:r>
            <w:r w:rsidRPr="00BA7131">
              <w:rPr>
                <w:rFonts w:ascii="Arial" w:eastAsia="Times New Roman" w:hAnsi="Arial" w:cs="Arial"/>
                <w:sz w:val="18"/>
                <w:szCs w:val="18"/>
              </w:rPr>
              <w:t>1</w:t>
            </w:r>
            <w:r w:rsidR="00101CBD">
              <w:rPr>
                <w:rFonts w:ascii="Arial" w:eastAsia="Times New Roman" w:hAnsi="Arial" w:cs="Arial"/>
                <w:sz w:val="18"/>
                <w:szCs w:val="18"/>
              </w:rPr>
              <w:t>9</w:t>
            </w:r>
            <w:r w:rsidR="008E655E">
              <w:rPr>
                <w:rFonts w:ascii="Arial" w:eastAsia="Times New Roman" w:hAnsi="Arial" w:cs="Arial"/>
                <w:sz w:val="18"/>
                <w:szCs w:val="18"/>
              </w:rPr>
              <w:t>7</w:t>
            </w:r>
            <w:bookmarkEnd w:id="2"/>
            <w:r w:rsidR="008E655E">
              <w:rPr>
                <w:rFonts w:ascii="Arial" w:eastAsia="Times New Roman" w:hAnsi="Arial" w:cs="Arial"/>
                <w:sz w:val="18"/>
                <w:szCs w:val="18"/>
              </w:rPr>
              <w:t>,</w:t>
            </w:r>
            <w:r w:rsidR="00A66826">
              <w:rPr>
                <w:rFonts w:ascii="Arial" w:eastAsia="Times New Roman" w:hAnsi="Arial" w:cs="Arial"/>
                <w:sz w:val="18"/>
                <w:szCs w:val="18"/>
              </w:rPr>
              <w:t>210</w:t>
            </w:r>
            <w:r w:rsidR="008E655E">
              <w:rPr>
                <w:rFonts w:ascii="Arial" w:eastAsia="Times New Roman" w:hAnsi="Arial" w:cs="Arial"/>
                <w:sz w:val="18"/>
                <w:szCs w:val="18"/>
              </w:rPr>
              <w:t>.</w:t>
            </w:r>
            <w:r w:rsidR="00A66826">
              <w:rPr>
                <w:rFonts w:ascii="Arial" w:eastAsia="Times New Roman" w:hAnsi="Arial" w:cs="Arial"/>
                <w:sz w:val="18"/>
                <w:szCs w:val="18"/>
              </w:rPr>
              <w:t>10</w:t>
            </w:r>
          </w:p>
        </w:tc>
      </w:tr>
    </w:tbl>
    <w:p w:rsidR="00B55EA8" w:rsidP="00BD3178" w14:paraId="23381A61" w14:textId="77777777">
      <w:pPr>
        <w:pStyle w:val="ListParagraph"/>
        <w:ind w:left="1080"/>
        <w:rPr>
          <w:rFonts w:ascii="Arial" w:hAnsi="Arial" w:cs="Arial"/>
          <w:sz w:val="24"/>
          <w:szCs w:val="24"/>
        </w:rPr>
      </w:pPr>
    </w:p>
    <w:p w:rsidR="00102E36" w:rsidP="008963A6" w14:paraId="596794AD" w14:textId="3222DAE6">
      <w:pPr>
        <w:pStyle w:val="ListParagraph"/>
        <w:numPr>
          <w:ilvl w:val="0"/>
          <w:numId w:val="8"/>
        </w:numPr>
        <w:rPr>
          <w:rFonts w:ascii="Arial" w:hAnsi="Arial" w:cs="Arial"/>
          <w:sz w:val="24"/>
          <w:szCs w:val="24"/>
        </w:rPr>
      </w:pPr>
      <w:r w:rsidRPr="00BD3178">
        <w:rPr>
          <w:rFonts w:ascii="Arial" w:hAnsi="Arial" w:cs="Arial"/>
          <w:sz w:val="24"/>
          <w:szCs w:val="24"/>
        </w:rPr>
        <w:t>Number of respondents</w:t>
      </w:r>
      <w:r>
        <w:rPr>
          <w:rFonts w:ascii="Arial" w:hAnsi="Arial" w:cs="Arial"/>
          <w:sz w:val="24"/>
          <w:szCs w:val="24"/>
        </w:rPr>
        <w:t>:</w:t>
      </w:r>
    </w:p>
    <w:p w:rsidR="00BD3178" w:rsidP="008963A6" w14:paraId="05991DC4" w14:textId="1927CC9F">
      <w:pPr>
        <w:pStyle w:val="ListParagraph"/>
        <w:ind w:left="1080" w:firstLine="720"/>
        <w:rPr>
          <w:rFonts w:ascii="Arial" w:hAnsi="Arial" w:cs="Arial"/>
          <w:sz w:val="24"/>
          <w:szCs w:val="24"/>
        </w:rPr>
      </w:pPr>
      <w:r w:rsidRPr="008963A6">
        <w:rPr>
          <w:rFonts w:ascii="Arial" w:hAnsi="Arial" w:cs="Arial"/>
          <w:i/>
          <w:iCs/>
          <w:sz w:val="24"/>
          <w:szCs w:val="24"/>
        </w:rPr>
        <w:t>Loans reported for Guaranty</w:t>
      </w:r>
      <w:r>
        <w:rPr>
          <w:rFonts w:ascii="Arial" w:hAnsi="Arial" w:cs="Arial"/>
          <w:sz w:val="24"/>
          <w:szCs w:val="24"/>
        </w:rPr>
        <w:t xml:space="preserve">: </w:t>
      </w:r>
      <w:r w:rsidR="006E10FE">
        <w:rPr>
          <w:rFonts w:ascii="Arial" w:hAnsi="Arial" w:cs="Arial"/>
          <w:sz w:val="24"/>
          <w:szCs w:val="24"/>
        </w:rPr>
        <w:t>484</w:t>
      </w:r>
      <w:r w:rsidR="005C05B2">
        <w:rPr>
          <w:rFonts w:ascii="Arial" w:hAnsi="Arial" w:cs="Arial"/>
          <w:sz w:val="24"/>
          <w:szCs w:val="24"/>
        </w:rPr>
        <w:t>,019</w:t>
      </w:r>
      <w:r w:rsidRPr="00BD3178">
        <w:rPr>
          <w:rFonts w:ascii="Arial" w:hAnsi="Arial" w:cs="Arial"/>
          <w:sz w:val="24"/>
          <w:szCs w:val="24"/>
        </w:rPr>
        <w:t xml:space="preserve"> </w:t>
      </w:r>
      <w:r>
        <w:rPr>
          <w:rFonts w:ascii="Arial" w:hAnsi="Arial" w:cs="Arial"/>
          <w:sz w:val="24"/>
          <w:szCs w:val="24"/>
        </w:rPr>
        <w:t>loans annually</w:t>
      </w:r>
    </w:p>
    <w:p w:rsidR="002A5D2A" w:rsidP="008963A6" w14:paraId="53CB9FFF" w14:textId="6298D5BF">
      <w:pPr>
        <w:pStyle w:val="ListParagraph"/>
        <w:ind w:left="1080" w:firstLine="720"/>
        <w:rPr>
          <w:rFonts w:ascii="Arial" w:hAnsi="Arial" w:cs="Arial"/>
          <w:sz w:val="24"/>
          <w:szCs w:val="24"/>
        </w:rPr>
      </w:pPr>
      <w:r>
        <w:rPr>
          <w:rFonts w:ascii="Arial" w:hAnsi="Arial" w:cs="Arial"/>
          <w:i/>
          <w:iCs/>
          <w:sz w:val="24"/>
          <w:szCs w:val="24"/>
        </w:rPr>
        <w:t>Loans reported for Prior</w:t>
      </w:r>
      <w:r w:rsidRPr="002A5D2A">
        <w:rPr>
          <w:rFonts w:ascii="Arial" w:hAnsi="Arial" w:cs="Arial"/>
          <w:i/>
          <w:iCs/>
          <w:sz w:val="24"/>
          <w:szCs w:val="24"/>
        </w:rPr>
        <w:t>-</w:t>
      </w:r>
      <w:r w:rsidRPr="00BF573C">
        <w:rPr>
          <w:rFonts w:ascii="Arial" w:hAnsi="Arial" w:cs="Arial"/>
          <w:i/>
          <w:iCs/>
          <w:sz w:val="24"/>
          <w:szCs w:val="24"/>
        </w:rPr>
        <w:t>Approval</w:t>
      </w:r>
      <w:r>
        <w:rPr>
          <w:rFonts w:ascii="Arial" w:hAnsi="Arial" w:cs="Arial"/>
          <w:sz w:val="24"/>
          <w:szCs w:val="24"/>
        </w:rPr>
        <w:t xml:space="preserve">: </w:t>
      </w:r>
      <w:r w:rsidR="00FD37E9">
        <w:rPr>
          <w:rFonts w:ascii="Arial" w:hAnsi="Arial" w:cs="Arial"/>
          <w:sz w:val="24"/>
          <w:szCs w:val="24"/>
        </w:rPr>
        <w:t>1,815</w:t>
      </w:r>
      <w:r>
        <w:rPr>
          <w:rFonts w:ascii="Arial" w:hAnsi="Arial" w:cs="Arial"/>
          <w:sz w:val="24"/>
          <w:szCs w:val="24"/>
        </w:rPr>
        <w:t xml:space="preserve"> loans annually</w:t>
      </w:r>
    </w:p>
    <w:p w:rsidR="00102E36" w:rsidP="008963A6" w14:paraId="1C3CB355" w14:textId="74BF5D31">
      <w:pPr>
        <w:pStyle w:val="ListParagraph"/>
        <w:ind w:left="1080" w:firstLine="720"/>
        <w:rPr>
          <w:rFonts w:ascii="Arial" w:hAnsi="Arial" w:cs="Arial"/>
          <w:sz w:val="24"/>
          <w:szCs w:val="24"/>
        </w:rPr>
      </w:pPr>
      <w:r>
        <w:rPr>
          <w:rFonts w:ascii="Arial" w:hAnsi="Arial" w:cs="Arial"/>
          <w:i/>
          <w:iCs/>
          <w:sz w:val="24"/>
          <w:szCs w:val="24"/>
        </w:rPr>
        <w:t>Loans requiring Late Reporting Statements</w:t>
      </w:r>
      <w:r w:rsidRPr="008963A6">
        <w:rPr>
          <w:rFonts w:ascii="Arial" w:hAnsi="Arial" w:cs="Arial"/>
          <w:sz w:val="24"/>
          <w:szCs w:val="24"/>
        </w:rPr>
        <w:t>:</w:t>
      </w:r>
      <w:r>
        <w:rPr>
          <w:rFonts w:ascii="Arial" w:hAnsi="Arial" w:cs="Arial"/>
          <w:sz w:val="24"/>
          <w:szCs w:val="24"/>
        </w:rPr>
        <w:t xml:space="preserve"> </w:t>
      </w:r>
      <w:r w:rsidR="005C05B2">
        <w:rPr>
          <w:rFonts w:ascii="Arial" w:hAnsi="Arial" w:cs="Arial"/>
          <w:sz w:val="24"/>
          <w:szCs w:val="24"/>
        </w:rPr>
        <w:t xml:space="preserve">24,201 </w:t>
      </w:r>
      <w:r>
        <w:rPr>
          <w:rFonts w:ascii="Arial" w:hAnsi="Arial" w:cs="Arial"/>
          <w:sz w:val="24"/>
          <w:szCs w:val="24"/>
        </w:rPr>
        <w:t xml:space="preserve">loans </w:t>
      </w:r>
      <w:r w:rsidR="009C43B2">
        <w:rPr>
          <w:rFonts w:ascii="Arial" w:hAnsi="Arial" w:cs="Arial"/>
          <w:sz w:val="24"/>
          <w:szCs w:val="24"/>
        </w:rPr>
        <w:t>`</w:t>
      </w:r>
    </w:p>
    <w:p w:rsidR="005D15D1" w:rsidRPr="00BD3178" w:rsidP="008963A6" w14:paraId="733A9ADD" w14:textId="0CDB02E5">
      <w:pPr>
        <w:pStyle w:val="ListParagraph"/>
        <w:ind w:left="1080" w:firstLine="720"/>
        <w:rPr>
          <w:rFonts w:ascii="Arial" w:hAnsi="Arial" w:cs="Arial"/>
          <w:sz w:val="24"/>
          <w:szCs w:val="24"/>
        </w:rPr>
      </w:pPr>
      <w:r>
        <w:rPr>
          <w:rFonts w:ascii="Arial" w:hAnsi="Arial" w:cs="Arial"/>
          <w:i/>
          <w:iCs/>
          <w:sz w:val="24"/>
          <w:szCs w:val="24"/>
        </w:rPr>
        <w:t>Total Number of Respondents 510,035</w:t>
      </w:r>
    </w:p>
    <w:p w:rsidR="00BD3178" w:rsidRPr="00BD3178" w:rsidP="00BD3178" w14:paraId="5E178BF1" w14:textId="77777777">
      <w:pPr>
        <w:pStyle w:val="ListParagraph"/>
        <w:ind w:left="1080"/>
        <w:rPr>
          <w:rFonts w:ascii="Arial" w:hAnsi="Arial" w:cs="Arial"/>
          <w:sz w:val="24"/>
          <w:szCs w:val="24"/>
        </w:rPr>
      </w:pPr>
    </w:p>
    <w:p w:rsidR="00BD3178" w:rsidRPr="00BD3178" w:rsidP="00BD3178" w14:paraId="48608F0B" w14:textId="3AB6E605">
      <w:pPr>
        <w:pStyle w:val="ListParagraph"/>
        <w:ind w:left="1080"/>
        <w:rPr>
          <w:rFonts w:ascii="Arial" w:hAnsi="Arial" w:cs="Arial"/>
          <w:sz w:val="24"/>
          <w:szCs w:val="24"/>
        </w:rPr>
      </w:pPr>
      <w:r w:rsidRPr="00BD3178">
        <w:rPr>
          <w:rFonts w:ascii="Arial" w:hAnsi="Arial" w:cs="Arial"/>
          <w:sz w:val="24"/>
          <w:szCs w:val="24"/>
        </w:rPr>
        <w:t xml:space="preserve">b. Frequency of response is generally one time per </w:t>
      </w:r>
      <w:r>
        <w:rPr>
          <w:rFonts w:ascii="Arial" w:hAnsi="Arial" w:cs="Arial"/>
          <w:sz w:val="24"/>
          <w:szCs w:val="24"/>
        </w:rPr>
        <w:t>transaction type.</w:t>
      </w:r>
    </w:p>
    <w:p w:rsidR="00BD3178" w:rsidRPr="00BD3178" w:rsidP="00BD3178" w14:paraId="3B5C6174" w14:textId="77777777">
      <w:pPr>
        <w:pStyle w:val="ListParagraph"/>
        <w:ind w:left="1080"/>
        <w:rPr>
          <w:rFonts w:ascii="Arial" w:hAnsi="Arial" w:cs="Arial"/>
          <w:sz w:val="24"/>
          <w:szCs w:val="24"/>
        </w:rPr>
      </w:pPr>
    </w:p>
    <w:p w:rsidR="00BD3178" w:rsidRPr="00BD3178" w:rsidP="00BD3178" w14:paraId="62136B6A" w14:textId="19A5903B">
      <w:pPr>
        <w:pStyle w:val="ListParagraph"/>
        <w:ind w:left="1080"/>
        <w:rPr>
          <w:rFonts w:ascii="Arial" w:hAnsi="Arial" w:cs="Arial"/>
          <w:sz w:val="24"/>
          <w:szCs w:val="24"/>
        </w:rPr>
      </w:pPr>
      <w:r w:rsidRPr="00BD3178">
        <w:rPr>
          <w:rFonts w:ascii="Arial" w:hAnsi="Arial" w:cs="Arial"/>
          <w:sz w:val="24"/>
          <w:szCs w:val="24"/>
        </w:rPr>
        <w:t xml:space="preserve">c. Annual Burden Hours: </w:t>
      </w:r>
    </w:p>
    <w:p w:rsidR="00102E36" w:rsidP="008963A6" w14:paraId="1C61555B" w14:textId="3DC78E5C">
      <w:pPr>
        <w:pStyle w:val="ListParagraph"/>
        <w:ind w:left="1080" w:firstLine="720"/>
        <w:rPr>
          <w:rFonts w:ascii="Arial" w:hAnsi="Arial" w:cs="Arial"/>
          <w:sz w:val="24"/>
          <w:szCs w:val="24"/>
        </w:rPr>
      </w:pPr>
      <w:r w:rsidRPr="003D6445">
        <w:rPr>
          <w:rFonts w:ascii="Arial" w:hAnsi="Arial" w:cs="Arial"/>
          <w:i/>
          <w:iCs/>
          <w:sz w:val="24"/>
          <w:szCs w:val="24"/>
        </w:rPr>
        <w:t>Loans reported for Guaranty</w:t>
      </w:r>
      <w:r>
        <w:rPr>
          <w:rFonts w:ascii="Arial" w:hAnsi="Arial" w:cs="Arial"/>
          <w:sz w:val="24"/>
          <w:szCs w:val="24"/>
        </w:rPr>
        <w:t xml:space="preserve">: </w:t>
      </w:r>
      <w:r w:rsidR="00101CBD">
        <w:rPr>
          <w:rFonts w:ascii="Arial" w:hAnsi="Arial" w:cs="Arial"/>
          <w:sz w:val="24"/>
          <w:szCs w:val="24"/>
        </w:rPr>
        <w:t>4,033</w:t>
      </w:r>
      <w:r w:rsidRPr="00BD3178">
        <w:rPr>
          <w:rFonts w:ascii="Arial" w:hAnsi="Arial" w:cs="Arial"/>
          <w:sz w:val="24"/>
          <w:szCs w:val="24"/>
        </w:rPr>
        <w:t xml:space="preserve"> </w:t>
      </w:r>
      <w:r>
        <w:rPr>
          <w:rFonts w:ascii="Arial" w:hAnsi="Arial" w:cs="Arial"/>
          <w:sz w:val="24"/>
          <w:szCs w:val="24"/>
        </w:rPr>
        <w:t xml:space="preserve">hours  </w:t>
      </w:r>
    </w:p>
    <w:p w:rsidR="00A45035" w:rsidP="008963A6" w14:paraId="3E69C437" w14:textId="52CD1F6C">
      <w:pPr>
        <w:pStyle w:val="ListParagraph"/>
        <w:ind w:left="1080" w:firstLine="720"/>
        <w:rPr>
          <w:rFonts w:ascii="Arial" w:hAnsi="Arial" w:cs="Arial"/>
          <w:sz w:val="24"/>
          <w:szCs w:val="24"/>
        </w:rPr>
      </w:pPr>
      <w:r>
        <w:rPr>
          <w:rFonts w:ascii="Arial" w:hAnsi="Arial" w:cs="Arial"/>
          <w:i/>
          <w:iCs/>
          <w:sz w:val="24"/>
          <w:szCs w:val="24"/>
        </w:rPr>
        <w:t>Loans reported for Prior</w:t>
      </w:r>
      <w:r w:rsidRPr="001865CB">
        <w:rPr>
          <w:rFonts w:ascii="Arial" w:hAnsi="Arial" w:cs="Arial"/>
          <w:i/>
          <w:iCs/>
          <w:sz w:val="24"/>
          <w:szCs w:val="24"/>
        </w:rPr>
        <w:t>-</w:t>
      </w:r>
      <w:r w:rsidRPr="00BF573C">
        <w:rPr>
          <w:rFonts w:ascii="Arial" w:hAnsi="Arial" w:cs="Arial"/>
          <w:i/>
          <w:iCs/>
          <w:sz w:val="24"/>
          <w:szCs w:val="24"/>
        </w:rPr>
        <w:t>Approval</w:t>
      </w:r>
      <w:r>
        <w:rPr>
          <w:rFonts w:ascii="Arial" w:hAnsi="Arial" w:cs="Arial"/>
          <w:sz w:val="24"/>
          <w:szCs w:val="24"/>
        </w:rPr>
        <w:t xml:space="preserve">: </w:t>
      </w:r>
      <w:r w:rsidR="000E109E">
        <w:rPr>
          <w:rFonts w:ascii="Arial" w:hAnsi="Arial" w:cs="Arial"/>
          <w:sz w:val="24"/>
          <w:szCs w:val="24"/>
        </w:rPr>
        <w:t>1</w:t>
      </w:r>
      <w:r w:rsidR="008E655E">
        <w:rPr>
          <w:rFonts w:ascii="Arial" w:hAnsi="Arial" w:cs="Arial"/>
          <w:sz w:val="24"/>
          <w:szCs w:val="24"/>
        </w:rPr>
        <w:t>5</w:t>
      </w:r>
      <w:r w:rsidR="001865CB">
        <w:rPr>
          <w:rFonts w:ascii="Arial" w:hAnsi="Arial" w:cs="Arial"/>
          <w:sz w:val="24"/>
          <w:szCs w:val="24"/>
        </w:rPr>
        <w:t xml:space="preserve"> hours</w:t>
      </w:r>
    </w:p>
    <w:p w:rsidR="00102E36" w14:paraId="5D143596" w14:textId="11F8B372">
      <w:pPr>
        <w:pStyle w:val="ListParagraph"/>
        <w:ind w:left="1080" w:firstLine="720"/>
        <w:rPr>
          <w:rFonts w:ascii="Arial" w:hAnsi="Arial" w:cs="Arial"/>
          <w:sz w:val="24"/>
          <w:szCs w:val="24"/>
        </w:rPr>
      </w:pPr>
      <w:r>
        <w:rPr>
          <w:rFonts w:ascii="Arial" w:hAnsi="Arial" w:cs="Arial"/>
          <w:i/>
          <w:iCs/>
          <w:sz w:val="24"/>
          <w:szCs w:val="24"/>
        </w:rPr>
        <w:t>Loans requiring Late Reporting Statements</w:t>
      </w:r>
      <w:r w:rsidRPr="003D6445">
        <w:rPr>
          <w:rFonts w:ascii="Arial" w:hAnsi="Arial" w:cs="Arial"/>
          <w:sz w:val="24"/>
          <w:szCs w:val="24"/>
        </w:rPr>
        <w:t>:</w:t>
      </w:r>
      <w:r>
        <w:rPr>
          <w:rFonts w:ascii="Arial" w:hAnsi="Arial" w:cs="Arial"/>
          <w:sz w:val="24"/>
          <w:szCs w:val="24"/>
        </w:rPr>
        <w:t xml:space="preserve"> </w:t>
      </w:r>
      <w:r w:rsidR="008E655E">
        <w:rPr>
          <w:rFonts w:ascii="Arial" w:hAnsi="Arial" w:cs="Arial"/>
          <w:sz w:val="24"/>
          <w:szCs w:val="24"/>
        </w:rPr>
        <w:t>807</w:t>
      </w:r>
    </w:p>
    <w:p w:rsidR="003F79F0" w:rsidRPr="00BD3178" w:rsidP="008963A6" w14:paraId="5C1D9B13" w14:textId="2E1D76D1">
      <w:pPr>
        <w:pStyle w:val="ListParagraph"/>
        <w:ind w:left="1080" w:firstLine="720"/>
        <w:rPr>
          <w:rFonts w:ascii="Arial" w:hAnsi="Arial" w:cs="Arial"/>
          <w:sz w:val="24"/>
          <w:szCs w:val="24"/>
        </w:rPr>
      </w:pPr>
      <w:r>
        <w:rPr>
          <w:rFonts w:ascii="Arial" w:hAnsi="Arial" w:cs="Arial"/>
          <w:i/>
          <w:iCs/>
          <w:sz w:val="24"/>
          <w:szCs w:val="24"/>
        </w:rPr>
        <w:t>Total Annual Burden Hours</w:t>
      </w:r>
      <w:r w:rsidRPr="008963A6">
        <w:rPr>
          <w:rFonts w:ascii="Arial" w:hAnsi="Arial" w:cs="Arial"/>
          <w:sz w:val="24"/>
          <w:szCs w:val="24"/>
        </w:rPr>
        <w:t>:</w:t>
      </w:r>
      <w:r>
        <w:rPr>
          <w:rFonts w:ascii="Arial" w:hAnsi="Arial" w:cs="Arial"/>
          <w:sz w:val="24"/>
          <w:szCs w:val="24"/>
        </w:rPr>
        <w:t xml:space="preserve"> </w:t>
      </w:r>
      <w:r w:rsidR="005D74C7">
        <w:rPr>
          <w:rFonts w:ascii="Arial" w:hAnsi="Arial" w:cs="Arial"/>
          <w:sz w:val="24"/>
          <w:szCs w:val="24"/>
        </w:rPr>
        <w:t>4,</w:t>
      </w:r>
      <w:r w:rsidR="001C2F55">
        <w:rPr>
          <w:rFonts w:ascii="Arial" w:hAnsi="Arial" w:cs="Arial"/>
          <w:sz w:val="24"/>
          <w:szCs w:val="24"/>
        </w:rPr>
        <w:t>855</w:t>
      </w:r>
    </w:p>
    <w:p w:rsidR="00BD3178" w:rsidRPr="00BD3178" w:rsidP="00BD3178" w14:paraId="1E0CBE44" w14:textId="77777777">
      <w:pPr>
        <w:pStyle w:val="ListParagraph"/>
        <w:ind w:left="1080"/>
        <w:rPr>
          <w:rFonts w:ascii="Arial" w:hAnsi="Arial" w:cs="Arial"/>
          <w:sz w:val="24"/>
          <w:szCs w:val="24"/>
        </w:rPr>
      </w:pPr>
    </w:p>
    <w:p w:rsidR="000D1D33" w:rsidP="00BD3178" w14:paraId="6CC5A0C8" w14:textId="77777777">
      <w:pPr>
        <w:pStyle w:val="ListParagraph"/>
        <w:ind w:left="1080"/>
        <w:rPr>
          <w:rFonts w:ascii="Arial" w:hAnsi="Arial" w:cs="Arial"/>
          <w:sz w:val="24"/>
          <w:szCs w:val="24"/>
        </w:rPr>
      </w:pPr>
      <w:r w:rsidRPr="00BD3178">
        <w:rPr>
          <w:rFonts w:ascii="Arial" w:hAnsi="Arial" w:cs="Arial"/>
          <w:sz w:val="24"/>
          <w:szCs w:val="24"/>
        </w:rPr>
        <w:t xml:space="preserve">d. Estimated Completion Time: </w:t>
      </w:r>
    </w:p>
    <w:p w:rsidR="000D1D33" w:rsidP="000D1D33" w14:paraId="3E524686" w14:textId="6685E186">
      <w:pPr>
        <w:pStyle w:val="ListParagraph"/>
        <w:ind w:left="1800"/>
        <w:rPr>
          <w:rFonts w:ascii="Arial" w:hAnsi="Arial" w:cs="Arial"/>
          <w:sz w:val="24"/>
          <w:szCs w:val="24"/>
        </w:rPr>
      </w:pPr>
      <w:r w:rsidRPr="003D6445">
        <w:rPr>
          <w:rFonts w:ascii="Arial" w:hAnsi="Arial" w:cs="Arial"/>
          <w:i/>
          <w:iCs/>
          <w:sz w:val="24"/>
          <w:szCs w:val="24"/>
        </w:rPr>
        <w:t>Loans reported for Guaranty</w:t>
      </w:r>
      <w:r>
        <w:rPr>
          <w:rFonts w:ascii="Arial" w:hAnsi="Arial" w:cs="Arial"/>
          <w:sz w:val="24"/>
          <w:szCs w:val="24"/>
        </w:rPr>
        <w:t xml:space="preserve">: The estimated burden is 0.008 hours (30 seconds) per guaranty submission regardless of the type of loan or the authority under which the loan was made. </w:t>
      </w:r>
    </w:p>
    <w:p w:rsidR="00140BE1" w:rsidP="000D1D33" w14:paraId="7FC72B06" w14:textId="77777777">
      <w:pPr>
        <w:pStyle w:val="ListParagraph"/>
        <w:ind w:left="1800"/>
        <w:rPr>
          <w:rFonts w:ascii="Arial" w:hAnsi="Arial" w:cs="Arial"/>
          <w:sz w:val="24"/>
          <w:szCs w:val="24"/>
        </w:rPr>
      </w:pPr>
    </w:p>
    <w:p w:rsidR="00140BE1" w:rsidP="000D1D33" w14:paraId="1F1A0609" w14:textId="2F521E90">
      <w:pPr>
        <w:pStyle w:val="ListParagraph"/>
        <w:ind w:left="1800"/>
        <w:rPr>
          <w:rFonts w:ascii="Arial" w:hAnsi="Arial" w:cs="Arial"/>
          <w:sz w:val="24"/>
          <w:szCs w:val="24"/>
        </w:rPr>
      </w:pPr>
      <w:r w:rsidRPr="00BF573C">
        <w:rPr>
          <w:rFonts w:ascii="Arial" w:hAnsi="Arial" w:cs="Arial"/>
          <w:i/>
          <w:iCs/>
          <w:sz w:val="24"/>
          <w:szCs w:val="24"/>
        </w:rPr>
        <w:t>Loans reported for Prior</w:t>
      </w:r>
      <w:r w:rsidR="001865CB">
        <w:rPr>
          <w:rFonts w:ascii="Arial" w:hAnsi="Arial" w:cs="Arial"/>
          <w:i/>
          <w:iCs/>
          <w:sz w:val="24"/>
          <w:szCs w:val="24"/>
        </w:rPr>
        <w:t>-</w:t>
      </w:r>
      <w:r w:rsidRPr="00BF573C">
        <w:rPr>
          <w:rFonts w:ascii="Arial" w:hAnsi="Arial" w:cs="Arial"/>
          <w:i/>
          <w:iCs/>
          <w:sz w:val="24"/>
          <w:szCs w:val="24"/>
        </w:rPr>
        <w:t>Approval</w:t>
      </w:r>
      <w:r w:rsidRPr="00BF573C" w:rsidR="001865CB">
        <w:rPr>
          <w:rFonts w:ascii="Arial" w:hAnsi="Arial" w:cs="Arial"/>
          <w:i/>
          <w:iCs/>
          <w:sz w:val="24"/>
          <w:szCs w:val="24"/>
        </w:rPr>
        <w:t>:</w:t>
      </w:r>
      <w:r w:rsidR="001865CB">
        <w:rPr>
          <w:rFonts w:ascii="Arial" w:hAnsi="Arial" w:cs="Arial"/>
          <w:sz w:val="24"/>
          <w:szCs w:val="24"/>
        </w:rPr>
        <w:t xml:space="preserve"> The estimated burden is 0.008 hours (30 seconds) per guaranty submission regardless of the type of loan or the authority under which the loan was made.</w:t>
      </w:r>
    </w:p>
    <w:p w:rsidR="000D1D33" w:rsidP="008963A6" w14:paraId="3929D0D5" w14:textId="77777777">
      <w:pPr>
        <w:pStyle w:val="ListParagraph"/>
        <w:ind w:left="1800"/>
        <w:rPr>
          <w:rFonts w:ascii="Arial" w:hAnsi="Arial" w:cs="Arial"/>
          <w:sz w:val="24"/>
          <w:szCs w:val="24"/>
        </w:rPr>
      </w:pPr>
    </w:p>
    <w:p w:rsidR="000D1D33" w:rsidRPr="00BD3178" w:rsidP="008963A6" w14:paraId="75685CF7" w14:textId="110FAB04">
      <w:pPr>
        <w:pStyle w:val="ListParagraph"/>
        <w:ind w:left="1800"/>
        <w:rPr>
          <w:rFonts w:ascii="Arial" w:hAnsi="Arial" w:cs="Arial"/>
          <w:sz w:val="24"/>
          <w:szCs w:val="24"/>
        </w:rPr>
      </w:pPr>
      <w:r>
        <w:rPr>
          <w:rFonts w:ascii="Arial" w:hAnsi="Arial" w:cs="Arial"/>
          <w:i/>
          <w:iCs/>
          <w:sz w:val="24"/>
          <w:szCs w:val="24"/>
        </w:rPr>
        <w:t>Loans requiring Late Reporting Statements</w:t>
      </w:r>
      <w:r w:rsidRPr="003D6445">
        <w:rPr>
          <w:rFonts w:ascii="Arial" w:hAnsi="Arial" w:cs="Arial"/>
          <w:sz w:val="24"/>
          <w:szCs w:val="24"/>
        </w:rPr>
        <w:t>:</w:t>
      </w:r>
      <w:r>
        <w:rPr>
          <w:rFonts w:ascii="Arial" w:hAnsi="Arial" w:cs="Arial"/>
          <w:sz w:val="24"/>
          <w:szCs w:val="24"/>
        </w:rPr>
        <w:t xml:space="preserve"> The estimated burden is 2 minutes per late reporting certification regardless of the type of loan or the authority under which the loan was made.</w:t>
      </w:r>
    </w:p>
    <w:p w:rsidR="000D1D33" w:rsidP="00BD3178" w14:paraId="594F046D" w14:textId="77777777">
      <w:pPr>
        <w:pStyle w:val="ListParagraph"/>
        <w:ind w:left="1080"/>
        <w:rPr>
          <w:rFonts w:ascii="Arial" w:hAnsi="Arial" w:cs="Arial"/>
          <w:sz w:val="24"/>
          <w:szCs w:val="24"/>
        </w:rPr>
      </w:pPr>
    </w:p>
    <w:p w:rsidR="00B962F8" w:rsidP="00AE3DD5" w14:paraId="21622620" w14:textId="4B13D9D5">
      <w:pPr>
        <w:pStyle w:val="ListParagraph"/>
        <w:ind w:left="1080"/>
        <w:rPr>
          <w:rFonts w:ascii="Arial" w:hAnsi="Arial" w:cs="Arial"/>
          <w:sz w:val="24"/>
          <w:szCs w:val="24"/>
        </w:rPr>
      </w:pPr>
      <w:r>
        <w:rPr>
          <w:rFonts w:ascii="Arial" w:hAnsi="Arial" w:cs="Arial"/>
          <w:sz w:val="24"/>
          <w:szCs w:val="24"/>
        </w:rPr>
        <w:t xml:space="preserve">e. </w:t>
      </w:r>
      <w:r w:rsidRPr="003C6034">
        <w:rPr>
          <w:rFonts w:ascii="Arial" w:hAnsi="Arial" w:cs="Arial"/>
          <w:sz w:val="24"/>
          <w:szCs w:val="24"/>
        </w:rPr>
        <w:t xml:space="preserve">The respondent </w:t>
      </w:r>
      <w:r w:rsidRPr="003C6034" w:rsidR="00920C97">
        <w:rPr>
          <w:rFonts w:ascii="Arial" w:hAnsi="Arial" w:cs="Arial"/>
          <w:sz w:val="24"/>
          <w:szCs w:val="24"/>
        </w:rPr>
        <w:t>population</w:t>
      </w:r>
      <w:r w:rsidRPr="003C6034">
        <w:rPr>
          <w:rFonts w:ascii="Arial" w:hAnsi="Arial" w:cs="Arial"/>
          <w:sz w:val="24"/>
          <w:szCs w:val="24"/>
        </w:rPr>
        <w:t xml:space="preserve"> is composed of</w:t>
      </w:r>
      <w:r w:rsidR="00986E04">
        <w:rPr>
          <w:rFonts w:ascii="Arial" w:hAnsi="Arial" w:cs="Arial"/>
          <w:sz w:val="24"/>
          <w:szCs w:val="24"/>
        </w:rPr>
        <w:t xml:space="preserve"> </w:t>
      </w:r>
      <w:r w:rsidR="00443DDB">
        <w:rPr>
          <w:rFonts w:ascii="Arial" w:hAnsi="Arial" w:cs="Arial"/>
          <w:sz w:val="24"/>
          <w:szCs w:val="24"/>
        </w:rPr>
        <w:t>Loan Officers</w:t>
      </w:r>
      <w:r w:rsidR="008963A6">
        <w:rPr>
          <w:rFonts w:ascii="Arial" w:hAnsi="Arial" w:cs="Arial"/>
          <w:sz w:val="24"/>
          <w:szCs w:val="24"/>
        </w:rPr>
        <w:t>.</w:t>
      </w:r>
      <w:r w:rsidR="00443DDB">
        <w:rPr>
          <w:rFonts w:ascii="Arial" w:hAnsi="Arial" w:cs="Arial"/>
          <w:sz w:val="24"/>
          <w:szCs w:val="24"/>
        </w:rPr>
        <w:t xml:space="preserve"> VA used the </w:t>
      </w:r>
      <w:r w:rsidR="00CC2FA9">
        <w:rPr>
          <w:rFonts w:ascii="Arial" w:hAnsi="Arial" w:cs="Arial"/>
          <w:sz w:val="24"/>
          <w:szCs w:val="24"/>
        </w:rPr>
        <w:t>mean hourly wage</w:t>
      </w:r>
      <w:r w:rsidR="005D7D62">
        <w:rPr>
          <w:rFonts w:ascii="Arial" w:hAnsi="Arial" w:cs="Arial"/>
          <w:sz w:val="24"/>
          <w:szCs w:val="24"/>
        </w:rPr>
        <w:t xml:space="preserve"> </w:t>
      </w:r>
      <w:r w:rsidRPr="003C6034" w:rsidR="000F76D1">
        <w:rPr>
          <w:rFonts w:ascii="Arial" w:hAnsi="Arial" w:cs="Arial"/>
          <w:sz w:val="24"/>
          <w:szCs w:val="24"/>
        </w:rPr>
        <w:t xml:space="preserve">to estimate the respondents’ costs associated with completing the information collection. </w:t>
      </w:r>
      <w:r w:rsidR="00CC2FA9">
        <w:rPr>
          <w:rFonts w:ascii="Arial" w:hAnsi="Arial" w:cs="Arial"/>
          <w:sz w:val="24"/>
          <w:szCs w:val="24"/>
        </w:rPr>
        <w:t xml:space="preserve">It is noted that the definition of Loan Officer includes </w:t>
      </w:r>
      <w:r w:rsidR="00A27F0F">
        <w:rPr>
          <w:rFonts w:ascii="Arial" w:hAnsi="Arial" w:cs="Arial"/>
          <w:sz w:val="24"/>
          <w:szCs w:val="24"/>
        </w:rPr>
        <w:t xml:space="preserve">Loan Underwriters who </w:t>
      </w:r>
      <w:r w:rsidR="00B66561">
        <w:rPr>
          <w:rFonts w:ascii="Arial" w:hAnsi="Arial" w:cs="Arial"/>
          <w:sz w:val="24"/>
          <w:szCs w:val="24"/>
        </w:rPr>
        <w:t xml:space="preserve">in general complete this task. </w:t>
      </w:r>
    </w:p>
    <w:p w:rsidR="00434673" w:rsidRPr="00434673" w:rsidP="00AE3DD5" w14:paraId="6B68A7C9" w14:textId="5DBCC1E0">
      <w:pPr>
        <w:autoSpaceDE w:val="0"/>
        <w:autoSpaceDN w:val="0"/>
        <w:spacing w:after="0" w:line="240" w:lineRule="auto"/>
        <w:ind w:left="1080"/>
        <w:rPr>
          <w:rFonts w:ascii="Arial" w:eastAsia="Times New Roman" w:hAnsi="Arial" w:cs="Arial"/>
          <w:sz w:val="24"/>
          <w:szCs w:val="24"/>
        </w:rPr>
      </w:pPr>
      <w:r w:rsidRPr="00434673">
        <w:rPr>
          <w:rFonts w:ascii="Arial" w:eastAsia="Times New Roman" w:hAnsi="Arial" w:cs="Arial"/>
          <w:sz w:val="24"/>
          <w:szCs w:val="24"/>
        </w:rPr>
        <w:t>The Bureau of Labor Statistics (BLS) gathers information on full-time wage and salary workers. According to the latest available BLS data, the mean hourly wage is $</w:t>
      </w:r>
      <w:r w:rsidR="00070E49">
        <w:rPr>
          <w:rFonts w:ascii="Arial" w:eastAsia="Times New Roman" w:hAnsi="Arial" w:cs="Arial"/>
          <w:sz w:val="24"/>
          <w:szCs w:val="24"/>
        </w:rPr>
        <w:t>40.</w:t>
      </w:r>
      <w:r w:rsidR="00E2074A">
        <w:rPr>
          <w:rFonts w:ascii="Arial" w:eastAsia="Times New Roman" w:hAnsi="Arial" w:cs="Arial"/>
          <w:sz w:val="24"/>
          <w:szCs w:val="24"/>
        </w:rPr>
        <w:t>62</w:t>
      </w:r>
      <w:r w:rsidRPr="00434673">
        <w:rPr>
          <w:rFonts w:ascii="Arial" w:eastAsia="Times New Roman" w:hAnsi="Arial" w:cs="Arial"/>
          <w:sz w:val="24"/>
          <w:szCs w:val="24"/>
        </w:rPr>
        <w:t xml:space="preserve"> based on the BLS wage code – “13-2072 Loan Officers. This information was taken from the following website: (</w:t>
      </w:r>
      <w:hyperlink r:id="rId8" w:history="1">
        <w:r w:rsidRPr="00434673">
          <w:rPr>
            <w:rFonts w:ascii="Arial" w:eastAsia="Times New Roman" w:hAnsi="Arial" w:cs="Arial"/>
            <w:color w:val="0000FF"/>
            <w:sz w:val="24"/>
            <w:szCs w:val="24"/>
            <w:u w:val="single"/>
          </w:rPr>
          <w:t>https://www.bls.gov/oes/current/oes132072.htm</w:t>
        </w:r>
      </w:hyperlink>
      <w:r w:rsidRPr="00434673">
        <w:rPr>
          <w:rFonts w:ascii="Arial" w:eastAsia="Times New Roman" w:hAnsi="Arial" w:cs="Arial"/>
          <w:sz w:val="24"/>
          <w:szCs w:val="24"/>
        </w:rPr>
        <w:t>, May 202</w:t>
      </w:r>
      <w:r w:rsidR="00E2074A">
        <w:rPr>
          <w:rFonts w:ascii="Arial" w:eastAsia="Times New Roman" w:hAnsi="Arial" w:cs="Arial"/>
          <w:sz w:val="24"/>
          <w:szCs w:val="24"/>
        </w:rPr>
        <w:t>3</w:t>
      </w:r>
      <w:r w:rsidRPr="00434673">
        <w:rPr>
          <w:rFonts w:ascii="Arial" w:eastAsia="Times New Roman" w:hAnsi="Arial" w:cs="Arial"/>
          <w:sz w:val="24"/>
          <w:szCs w:val="24"/>
        </w:rPr>
        <w:t xml:space="preserve">).  </w:t>
      </w:r>
    </w:p>
    <w:p w:rsidR="00434673" w:rsidRPr="00434673" w:rsidP="00AE3DD5" w14:paraId="28F9B70B" w14:textId="77777777">
      <w:pPr>
        <w:tabs>
          <w:tab w:val="left" w:pos="480"/>
          <w:tab w:val="right" w:pos="8640"/>
        </w:tabs>
        <w:autoSpaceDE w:val="0"/>
        <w:autoSpaceDN w:val="0"/>
        <w:spacing w:after="0" w:line="240" w:lineRule="auto"/>
        <w:ind w:left="1080"/>
        <w:jc w:val="both"/>
        <w:rPr>
          <w:rFonts w:ascii="Arial" w:eastAsia="Times New Roman" w:hAnsi="Arial" w:cs="Arial"/>
          <w:sz w:val="24"/>
          <w:szCs w:val="24"/>
        </w:rPr>
      </w:pPr>
    </w:p>
    <w:p w:rsidR="00434673" w:rsidRPr="00434673" w:rsidP="00AE3DD5" w14:paraId="0EEFDF91" w14:textId="6998400E">
      <w:pPr>
        <w:autoSpaceDE w:val="0"/>
        <w:autoSpaceDN w:val="0"/>
        <w:spacing w:after="240" w:line="240" w:lineRule="auto"/>
        <w:ind w:left="1080"/>
        <w:rPr>
          <w:rFonts w:ascii="Arial" w:eastAsia="Times New Roman" w:hAnsi="Arial" w:cs="Arial"/>
          <w:sz w:val="24"/>
          <w:szCs w:val="24"/>
        </w:rPr>
      </w:pPr>
      <w:r w:rsidRPr="00434673">
        <w:rPr>
          <w:rFonts w:ascii="Arial" w:eastAsia="Times New Roman" w:hAnsi="Arial" w:cs="Arial"/>
          <w:sz w:val="24"/>
          <w:szCs w:val="24"/>
        </w:rPr>
        <w:t xml:space="preserve">     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their total cost to all respondents to be $</w:t>
      </w:r>
      <w:r w:rsidRPr="00FE08CD" w:rsidR="00FE08CD">
        <w:rPr>
          <w:rFonts w:ascii="Arial" w:eastAsia="Times New Roman" w:hAnsi="Arial" w:cs="Arial"/>
          <w:sz w:val="24"/>
          <w:szCs w:val="24"/>
        </w:rPr>
        <w:t>1</w:t>
      </w:r>
      <w:r w:rsidR="001C2F55">
        <w:rPr>
          <w:rFonts w:ascii="Arial" w:eastAsia="Times New Roman" w:hAnsi="Arial" w:cs="Arial"/>
          <w:sz w:val="24"/>
          <w:szCs w:val="24"/>
        </w:rPr>
        <w:t>9</w:t>
      </w:r>
      <w:r w:rsidR="002741B3">
        <w:rPr>
          <w:rFonts w:ascii="Arial" w:eastAsia="Times New Roman" w:hAnsi="Arial" w:cs="Arial"/>
          <w:sz w:val="24"/>
          <w:szCs w:val="24"/>
        </w:rPr>
        <w:t>7,</w:t>
      </w:r>
      <w:r w:rsidR="001C2F55">
        <w:rPr>
          <w:rFonts w:ascii="Arial" w:eastAsia="Times New Roman" w:hAnsi="Arial" w:cs="Arial"/>
          <w:sz w:val="24"/>
          <w:szCs w:val="24"/>
        </w:rPr>
        <w:t>16</w:t>
      </w:r>
      <w:r w:rsidR="002741B3">
        <w:rPr>
          <w:rFonts w:ascii="Arial" w:eastAsia="Times New Roman" w:hAnsi="Arial" w:cs="Arial"/>
          <w:sz w:val="24"/>
          <w:szCs w:val="24"/>
        </w:rPr>
        <w:t>9</w:t>
      </w:r>
      <w:r w:rsidR="001C2F55">
        <w:rPr>
          <w:rFonts w:ascii="Arial" w:eastAsia="Times New Roman" w:hAnsi="Arial" w:cs="Arial"/>
          <w:sz w:val="24"/>
          <w:szCs w:val="24"/>
        </w:rPr>
        <w:t>.52</w:t>
      </w:r>
      <w:r w:rsidRPr="00FE08CD" w:rsidR="00FE08CD">
        <w:rPr>
          <w:rFonts w:ascii="Arial" w:eastAsia="Times New Roman" w:hAnsi="Arial" w:cs="Arial"/>
          <w:sz w:val="24"/>
          <w:szCs w:val="24"/>
        </w:rPr>
        <w:t xml:space="preserve"> </w:t>
      </w:r>
      <w:r w:rsidRPr="00434673">
        <w:rPr>
          <w:rFonts w:ascii="Arial" w:eastAsia="Times New Roman" w:hAnsi="Arial" w:cs="Arial"/>
          <w:sz w:val="24"/>
          <w:szCs w:val="24"/>
        </w:rPr>
        <w:t>(</w:t>
      </w:r>
      <w:r w:rsidR="00FE08CD">
        <w:rPr>
          <w:rFonts w:ascii="Arial" w:hAnsi="Arial" w:cs="Arial"/>
          <w:sz w:val="24"/>
          <w:szCs w:val="24"/>
        </w:rPr>
        <w:t>4,</w:t>
      </w:r>
      <w:r w:rsidR="001C2F55">
        <w:rPr>
          <w:rFonts w:ascii="Arial" w:hAnsi="Arial" w:cs="Arial"/>
          <w:sz w:val="24"/>
          <w:szCs w:val="24"/>
        </w:rPr>
        <w:t>855</w:t>
      </w:r>
      <w:r w:rsidR="00FE08CD">
        <w:rPr>
          <w:rFonts w:ascii="Arial" w:hAnsi="Arial" w:cs="Arial"/>
          <w:sz w:val="24"/>
          <w:szCs w:val="24"/>
        </w:rPr>
        <w:t xml:space="preserve"> </w:t>
      </w:r>
      <w:r w:rsidRPr="00434673">
        <w:rPr>
          <w:rFonts w:ascii="Arial" w:eastAsia="Times New Roman" w:hAnsi="Arial" w:cs="Arial"/>
          <w:sz w:val="24"/>
          <w:szCs w:val="24"/>
        </w:rPr>
        <w:t>hours x $</w:t>
      </w:r>
      <w:r w:rsidR="00070E49">
        <w:rPr>
          <w:rFonts w:ascii="Arial" w:eastAsia="Times New Roman" w:hAnsi="Arial" w:cs="Arial"/>
          <w:sz w:val="24"/>
          <w:szCs w:val="24"/>
        </w:rPr>
        <w:t>40.</w:t>
      </w:r>
      <w:r w:rsidR="002741B3">
        <w:rPr>
          <w:rFonts w:ascii="Arial" w:eastAsia="Times New Roman" w:hAnsi="Arial" w:cs="Arial"/>
          <w:sz w:val="24"/>
          <w:szCs w:val="24"/>
        </w:rPr>
        <w:t>62</w:t>
      </w:r>
      <w:r w:rsidRPr="00434673">
        <w:rPr>
          <w:rFonts w:ascii="Arial" w:eastAsia="Times New Roman" w:hAnsi="Arial" w:cs="Arial"/>
          <w:sz w:val="24"/>
          <w:szCs w:val="24"/>
        </w:rPr>
        <w:t xml:space="preserve"> per hour).</w:t>
      </w:r>
    </w:p>
    <w:p w:rsidR="00434673" w:rsidRPr="003C6034" w:rsidP="00434673" w14:paraId="3E4DA0F4" w14:textId="77777777">
      <w:pPr>
        <w:pStyle w:val="ListParagraph"/>
        <w:ind w:left="810"/>
        <w:rPr>
          <w:rFonts w:ascii="Arial" w:hAnsi="Arial" w:cs="Arial"/>
          <w:sz w:val="24"/>
          <w:szCs w:val="24"/>
        </w:rPr>
      </w:pPr>
    </w:p>
    <w:p w:rsidR="00463D10" w:rsidP="00606830" w14:paraId="6A0B8E6D"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Provide an estimate of the total annual cost </w:t>
      </w:r>
      <w:r w:rsidRPr="00070E49">
        <w:rPr>
          <w:rFonts w:ascii="Arial" w:eastAsia="Times New Roman" w:hAnsi="Arial" w:cs="Arial"/>
          <w:b/>
          <w:sz w:val="24"/>
          <w:szCs w:val="24"/>
        </w:rPr>
        <w:t>burden to respondents or record-keepers resulting from the collection of information.  (Do not include the cost of any hour burden shown in Items 12 and 14).</w:t>
      </w:r>
    </w:p>
    <w:p w:rsidR="00463D10" w:rsidRPr="009F18E0" w:rsidP="00463D10" w14:paraId="6A0B8E6E"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BE5137" w:rsidP="00EC1411" w14:paraId="4D0C0BAF" w14:textId="71B1220F">
      <w:pPr>
        <w:spacing w:after="0" w:line="240" w:lineRule="auto"/>
        <w:ind w:left="720"/>
        <w:contextualSpacing/>
        <w:rPr>
          <w:rFonts w:ascii="Arial" w:eastAsia="Times New Roman" w:hAnsi="Arial" w:cs="Arial"/>
          <w:sz w:val="24"/>
          <w:szCs w:val="24"/>
        </w:rPr>
      </w:pPr>
      <w:r w:rsidRPr="00070E49">
        <w:rPr>
          <w:rFonts w:ascii="Arial" w:eastAsia="Times New Roman" w:hAnsi="Arial" w:cs="Arial"/>
          <w:sz w:val="24"/>
          <w:szCs w:val="24"/>
        </w:rPr>
        <w:t>There are no additional costs to lenders, holders, or other record keepers</w:t>
      </w:r>
      <w:r w:rsidR="00745236">
        <w:rPr>
          <w:rFonts w:ascii="Arial" w:eastAsia="Times New Roman" w:hAnsi="Arial" w:cs="Arial"/>
          <w:sz w:val="24"/>
          <w:szCs w:val="24"/>
        </w:rPr>
        <w:t xml:space="preserve"> that would</w:t>
      </w:r>
      <w:r w:rsidRPr="00070E49">
        <w:rPr>
          <w:rFonts w:ascii="Arial" w:eastAsia="Times New Roman" w:hAnsi="Arial" w:cs="Arial"/>
          <w:sz w:val="24"/>
          <w:szCs w:val="24"/>
        </w:rPr>
        <w:t xml:space="preserve"> result from this collection as VA notes the recordkeeping requirements under this regulation and information collection are consistent with customary and usual business practices for loan originators and holders.  </w:t>
      </w:r>
    </w:p>
    <w:p w:rsidR="00EC1411" w:rsidRPr="00070E49" w:rsidP="00070E49" w14:paraId="52C0C3D5" w14:textId="77777777">
      <w:pPr>
        <w:spacing w:after="0" w:line="240" w:lineRule="auto"/>
        <w:ind w:left="720"/>
        <w:contextualSpacing/>
        <w:rPr>
          <w:rFonts w:ascii="Arial" w:eastAsia="Times New Roman" w:hAnsi="Arial" w:cs="Arial"/>
          <w:sz w:val="24"/>
          <w:szCs w:val="24"/>
        </w:rPr>
      </w:pPr>
    </w:p>
    <w:p w:rsidR="00BE5137" w:rsidRPr="00070E49" w:rsidP="00070E49" w14:paraId="5C584251" w14:textId="5D95E1F8">
      <w:pPr>
        <w:spacing w:after="0" w:line="240" w:lineRule="auto"/>
        <w:ind w:left="720"/>
        <w:contextualSpacing/>
        <w:rPr>
          <w:rFonts w:ascii="Arial" w:eastAsia="Times New Roman" w:hAnsi="Arial" w:cs="Arial"/>
          <w:sz w:val="24"/>
          <w:szCs w:val="24"/>
        </w:rPr>
      </w:pPr>
      <w:r w:rsidRPr="06235A17">
        <w:rPr>
          <w:rFonts w:ascii="Arial" w:eastAsia="Times New Roman" w:hAnsi="Arial" w:cs="Arial"/>
          <w:sz w:val="24"/>
          <w:szCs w:val="24"/>
        </w:rPr>
        <w:t xml:space="preserve">VA assumes a one-time startup cost associated with software or information technology upgrades necessary to integrate their LOS with VA’s Guaranty Remittance API. The API is straightforward and passes defined data sets to VA directly </w:t>
      </w:r>
      <w:r w:rsidRPr="06235A17" w:rsidR="00CC1374">
        <w:rPr>
          <w:rFonts w:ascii="Arial" w:eastAsia="Times New Roman" w:hAnsi="Arial" w:cs="Arial"/>
          <w:sz w:val="24"/>
          <w:szCs w:val="24"/>
        </w:rPr>
        <w:t>from the lender’s LOS</w:t>
      </w:r>
      <w:r w:rsidRPr="06235A17">
        <w:rPr>
          <w:rFonts w:ascii="Arial" w:eastAsia="Times New Roman" w:hAnsi="Arial" w:cs="Arial"/>
          <w:sz w:val="24"/>
          <w:szCs w:val="24"/>
        </w:rPr>
        <w:t>. VA notes that the technology integration cost for lenders is dependent on whether the lender utilizes a LOS developed by a technology software provider or if the lender utilizes a proprietary LOS. VA assumes that nearly 99% of VA’s active lenders utilize a LOS provided by a software company. These LOS providers will update their products appropriately to comply with VA requirements and will therefore absorb the one-time cost. For the 1% of lenders utilizing a proprietary LOS, VA assum</w:t>
      </w:r>
      <w:r w:rsidRPr="06235A17">
        <w:rPr>
          <w:rFonts w:ascii="Arial" w:eastAsia="Times New Roman" w:hAnsi="Arial" w:cs="Arial"/>
          <w:sz w:val="24"/>
          <w:szCs w:val="24"/>
        </w:rPr>
        <w:t>es they will bear all costs related to integration. VA also assumes a training cost for all lenders, regardless of LOS, to inform and train their staff on changes to their LOS and to update policies and procedures. VA estimates the total average cost per lender to be $2,</w:t>
      </w:r>
      <w:r w:rsidRPr="06235A17" w:rsidR="66A82F52">
        <w:rPr>
          <w:rFonts w:ascii="Arial" w:eastAsia="Times New Roman" w:hAnsi="Arial" w:cs="Arial"/>
          <w:sz w:val="24"/>
          <w:szCs w:val="24"/>
        </w:rPr>
        <w:t>283</w:t>
      </w:r>
      <w:r w:rsidRPr="06235A17">
        <w:rPr>
          <w:rFonts w:ascii="Arial" w:eastAsia="Times New Roman" w:hAnsi="Arial" w:cs="Arial"/>
          <w:sz w:val="24"/>
          <w:szCs w:val="24"/>
        </w:rPr>
        <w:t>.</w:t>
      </w:r>
    </w:p>
    <w:p w:rsidR="00606830" w:rsidP="00463D10" w14:paraId="0C8551FC" w14:textId="77777777">
      <w:pPr>
        <w:spacing w:after="0" w:line="240" w:lineRule="auto"/>
        <w:rPr>
          <w:rFonts w:ascii="Arial" w:eastAsia="Times New Roman" w:hAnsi="Arial" w:cs="Arial"/>
          <w:sz w:val="24"/>
          <w:szCs w:val="24"/>
        </w:rPr>
      </w:pPr>
    </w:p>
    <w:p w:rsidR="00463D10" w:rsidRPr="004814CC" w:rsidP="00463D10" w14:paraId="6A0B8E71" w14:textId="41A75BB9">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w:t>
      </w:r>
      <w:r w:rsidR="00E5094F">
        <w:rPr>
          <w:rFonts w:ascii="Arial" w:eastAsia="Times New Roman" w:hAnsi="Arial" w:cs="Arial"/>
          <w:b/>
          <w:sz w:val="24"/>
          <w:szCs w:val="24"/>
        </w:rPr>
        <w:t>r</w:t>
      </w:r>
      <w:r>
        <w:rPr>
          <w:rFonts w:ascii="Arial" w:eastAsia="Times New Roman" w:hAnsi="Arial" w:cs="Arial"/>
          <w:b/>
          <w:sz w:val="24"/>
          <w:szCs w:val="24"/>
        </w:rPr>
        <w:t>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0513C4" w:rsidP="000513C4" w14:paraId="4AC756B5" w14:textId="7ABC3B6B">
      <w:pPr>
        <w:tabs>
          <w:tab w:val="left" w:pos="480"/>
          <w:tab w:val="right" w:pos="8640"/>
        </w:tabs>
        <w:spacing w:after="0" w:line="240" w:lineRule="auto"/>
        <w:ind w:left="720" w:right="684"/>
        <w:contextualSpacing/>
        <w:rPr>
          <w:rFonts w:ascii="Arial" w:eastAsia="Times New Roman" w:hAnsi="Arial" w:cs="Arial"/>
          <w:b/>
          <w:sz w:val="24"/>
          <w:szCs w:val="24"/>
        </w:rPr>
      </w:pPr>
    </w:p>
    <w:p w:rsidR="00D414B6" w:rsidP="00070E49" w14:paraId="0D3BA54C" w14:textId="1EAC3BAD">
      <w:pPr>
        <w:spacing w:after="0" w:line="240" w:lineRule="auto"/>
        <w:ind w:left="720"/>
        <w:contextualSpacing/>
        <w:rPr>
          <w:rFonts w:ascii="Arial" w:eastAsia="Times New Roman" w:hAnsi="Arial" w:cs="Arial"/>
          <w:sz w:val="24"/>
          <w:szCs w:val="24"/>
        </w:rPr>
      </w:pPr>
      <w:r w:rsidRPr="00EC1411">
        <w:rPr>
          <w:rFonts w:ascii="Arial" w:eastAsia="Times New Roman" w:hAnsi="Arial" w:cs="Arial"/>
          <w:sz w:val="24"/>
          <w:szCs w:val="24"/>
        </w:rPr>
        <w:t>The annualized cost estimates for the Federal Government are based on a $</w:t>
      </w:r>
      <w:r w:rsidR="003051F4">
        <w:rPr>
          <w:rFonts w:ascii="Arial" w:eastAsia="Times New Roman" w:hAnsi="Arial" w:cs="Arial"/>
          <w:sz w:val="24"/>
          <w:szCs w:val="24"/>
        </w:rPr>
        <w:t>40.56</w:t>
      </w:r>
      <w:r w:rsidRPr="00EC1411">
        <w:rPr>
          <w:rFonts w:ascii="Arial" w:eastAsia="Times New Roman" w:hAnsi="Arial" w:cs="Arial"/>
          <w:sz w:val="24"/>
          <w:szCs w:val="24"/>
        </w:rPr>
        <w:t xml:space="preserve"> per hour cost that is based on a GS-</w:t>
      </w:r>
      <w:r w:rsidRPr="00EC1411" w:rsidR="001B6A4D">
        <w:rPr>
          <w:rFonts w:ascii="Arial" w:eastAsia="Times New Roman" w:hAnsi="Arial" w:cs="Arial"/>
          <w:sz w:val="24"/>
          <w:szCs w:val="24"/>
        </w:rPr>
        <w:t>11</w:t>
      </w:r>
      <w:r w:rsidRPr="00EC1411" w:rsidR="00754A3B">
        <w:rPr>
          <w:rFonts w:ascii="Arial" w:eastAsia="Times New Roman" w:hAnsi="Arial" w:cs="Arial"/>
          <w:sz w:val="24"/>
          <w:szCs w:val="24"/>
        </w:rPr>
        <w:t xml:space="preserve"> step 6</w:t>
      </w:r>
      <w:r w:rsidRPr="00EC1411">
        <w:rPr>
          <w:rFonts w:ascii="Arial" w:eastAsia="Times New Roman" w:hAnsi="Arial" w:cs="Arial"/>
          <w:sz w:val="24"/>
          <w:szCs w:val="24"/>
        </w:rPr>
        <w:t xml:space="preserve"> staff review. </w:t>
      </w:r>
      <w:r w:rsidRPr="00EC1411" w:rsidR="00754A3B">
        <w:rPr>
          <w:rFonts w:ascii="Arial" w:eastAsia="Times New Roman" w:hAnsi="Arial" w:cs="Arial"/>
          <w:sz w:val="24"/>
          <w:szCs w:val="24"/>
        </w:rPr>
        <w:t xml:space="preserve">The within-grade step (6) of each employee represents the average experience of employees within each grade. </w:t>
      </w:r>
      <w:r w:rsidRPr="00070E49" w:rsidR="003B74F7">
        <w:rPr>
          <w:rFonts w:ascii="Arial" w:eastAsia="Times New Roman" w:hAnsi="Arial" w:cs="Arial"/>
          <w:sz w:val="24"/>
          <w:szCs w:val="24"/>
        </w:rPr>
        <w:t xml:space="preserve">The processing time estimates below are based on the actual amount of time employees of the grade level spend to process </w:t>
      </w:r>
      <w:r w:rsidRPr="00070E49" w:rsidR="00EE1A05">
        <w:rPr>
          <w:rFonts w:ascii="Arial" w:eastAsia="Times New Roman" w:hAnsi="Arial" w:cs="Arial"/>
          <w:sz w:val="24"/>
          <w:szCs w:val="24"/>
        </w:rPr>
        <w:t>issue loan guarant</w:t>
      </w:r>
      <w:r w:rsidRPr="00070E49" w:rsidR="0097743A">
        <w:rPr>
          <w:rFonts w:ascii="Arial" w:eastAsia="Times New Roman" w:hAnsi="Arial" w:cs="Arial"/>
          <w:sz w:val="24"/>
          <w:szCs w:val="24"/>
        </w:rPr>
        <w:t>y</w:t>
      </w:r>
      <w:r w:rsidRPr="00070E49" w:rsidR="00EE1A05">
        <w:rPr>
          <w:rFonts w:ascii="Arial" w:eastAsia="Times New Roman" w:hAnsi="Arial" w:cs="Arial"/>
          <w:sz w:val="24"/>
          <w:szCs w:val="24"/>
        </w:rPr>
        <w:t xml:space="preserve"> certificates</w:t>
      </w:r>
      <w:r w:rsidRPr="00070E49" w:rsidR="003B74F7">
        <w:rPr>
          <w:rFonts w:ascii="Arial" w:eastAsia="Times New Roman" w:hAnsi="Arial" w:cs="Arial"/>
          <w:sz w:val="24"/>
          <w:szCs w:val="24"/>
        </w:rPr>
        <w:t xml:space="preserve"> for prior </w:t>
      </w:r>
      <w:r w:rsidRPr="00070E49" w:rsidR="003B74F7">
        <w:rPr>
          <w:rFonts w:ascii="Arial" w:eastAsia="Times New Roman" w:hAnsi="Arial" w:cs="Arial"/>
          <w:sz w:val="24"/>
          <w:szCs w:val="24"/>
        </w:rPr>
        <w:t>approv</w:t>
      </w:r>
      <w:r w:rsidRPr="00070E49" w:rsidR="00EE1A05">
        <w:rPr>
          <w:rFonts w:ascii="Arial" w:eastAsia="Times New Roman" w:hAnsi="Arial" w:cs="Arial"/>
          <w:sz w:val="24"/>
          <w:szCs w:val="24"/>
        </w:rPr>
        <w:t>a</w:t>
      </w:r>
      <w:r w:rsidRPr="00070E49" w:rsidR="003B74F7">
        <w:rPr>
          <w:rFonts w:ascii="Arial" w:eastAsia="Times New Roman" w:hAnsi="Arial" w:cs="Arial"/>
          <w:sz w:val="24"/>
          <w:szCs w:val="24"/>
        </w:rPr>
        <w:t>l</w:t>
      </w:r>
      <w:r w:rsidRPr="00070E49" w:rsidR="00EE1A05">
        <w:rPr>
          <w:rFonts w:ascii="Arial" w:eastAsia="Times New Roman" w:hAnsi="Arial" w:cs="Arial"/>
          <w:sz w:val="24"/>
          <w:szCs w:val="24"/>
        </w:rPr>
        <w:t xml:space="preserve"> loans</w:t>
      </w:r>
      <w:r w:rsidRPr="00070E49" w:rsidR="003B74F7">
        <w:rPr>
          <w:rFonts w:ascii="Arial" w:eastAsia="Times New Roman" w:hAnsi="Arial" w:cs="Arial"/>
          <w:sz w:val="24"/>
          <w:szCs w:val="24"/>
        </w:rPr>
        <w:t>.</w:t>
      </w:r>
      <w:r w:rsidRPr="00070E49" w:rsidR="00485C63">
        <w:rPr>
          <w:rFonts w:ascii="Arial" w:eastAsia="Times New Roman" w:hAnsi="Arial" w:cs="Arial"/>
          <w:sz w:val="24"/>
          <w:szCs w:val="24"/>
        </w:rPr>
        <w:t xml:space="preserve"> </w:t>
      </w:r>
      <w:r w:rsidRPr="00070E49" w:rsidR="00FC624E">
        <w:rPr>
          <w:rFonts w:ascii="Arial" w:eastAsia="Times New Roman" w:hAnsi="Arial" w:cs="Arial"/>
          <w:sz w:val="24"/>
          <w:szCs w:val="24"/>
        </w:rPr>
        <w:t>Printing, production and analyzing costs are not included as the certifications are submitted and stored electronically in the We</w:t>
      </w:r>
      <w:r w:rsidRPr="00070E49" w:rsidR="00C1313A">
        <w:rPr>
          <w:rFonts w:ascii="Arial" w:eastAsia="Times New Roman" w:hAnsi="Arial" w:cs="Arial"/>
          <w:sz w:val="24"/>
          <w:szCs w:val="24"/>
        </w:rPr>
        <w:t>b</w:t>
      </w:r>
      <w:r w:rsidRPr="00070E49" w:rsidR="00FC624E">
        <w:rPr>
          <w:rFonts w:ascii="Arial" w:eastAsia="Times New Roman" w:hAnsi="Arial" w:cs="Arial"/>
          <w:sz w:val="24"/>
          <w:szCs w:val="24"/>
        </w:rPr>
        <w:t>LGY.</w:t>
      </w:r>
      <w:r w:rsidRPr="00070E49" w:rsidR="00F71DFC">
        <w:rPr>
          <w:rFonts w:ascii="Arial" w:eastAsia="Times New Roman" w:hAnsi="Arial" w:cs="Arial"/>
          <w:sz w:val="24"/>
          <w:szCs w:val="24"/>
        </w:rPr>
        <w:t xml:space="preserve"> </w:t>
      </w:r>
    </w:p>
    <w:p w:rsidR="00431774" w:rsidP="00431774" w14:paraId="67EA2D13" w14:textId="77777777">
      <w:pPr>
        <w:pStyle w:val="BodyText"/>
        <w:ind w:left="720"/>
        <w:rPr>
          <w:rFonts w:ascii="Arial" w:hAnsi="Arial" w:cs="Arial"/>
          <w:color w:val="auto"/>
          <w:szCs w:val="24"/>
        </w:rPr>
      </w:pPr>
    </w:p>
    <w:p w:rsidR="00431774" w:rsidRPr="00E72A0C" w:rsidP="00431774" w14:paraId="433FC041" w14:textId="111A6B48">
      <w:pPr>
        <w:pStyle w:val="BodyText"/>
        <w:ind w:left="720"/>
        <w:rPr>
          <w:rFonts w:ascii="Arial" w:hAnsi="Arial" w:cs="Arial"/>
        </w:rPr>
      </w:pPr>
      <w:r w:rsidRPr="007078A5">
        <w:rPr>
          <w:rFonts w:ascii="Arial" w:hAnsi="Arial" w:cs="Arial"/>
          <w:color w:val="auto"/>
          <w:szCs w:val="24"/>
        </w:rPr>
        <w:t xml:space="preserve">Estimated Costs to </w:t>
      </w:r>
      <w:r w:rsidRPr="00E72A0C">
        <w:rPr>
          <w:rFonts w:ascii="Arial" w:hAnsi="Arial" w:cs="Arial"/>
          <w:color w:val="auto"/>
          <w:szCs w:val="24"/>
        </w:rPr>
        <w:t>the Federal Government are accessible through this link:</w:t>
      </w:r>
      <w:r w:rsidRPr="00E72A0C">
        <w:rPr>
          <w:rFonts w:ascii="Arial" w:hAnsi="Arial" w:cs="Arial"/>
        </w:rPr>
        <w:t xml:space="preserve"> </w:t>
      </w:r>
      <w:hyperlink r:id="rId9" w:history="1">
        <w:r w:rsidRPr="00E72A0C" w:rsidR="00E72A0C">
          <w:rPr>
            <w:rStyle w:val="Hyperlink"/>
            <w:rFonts w:ascii="Arial" w:hAnsi="Arial" w:cs="Arial"/>
          </w:rPr>
          <w:t>https://www.opm.gov/policy-data-oversight/pay-leave/salaries-wages/salary-tables/24Tables/html/RUS_h.aspx</w:t>
        </w:r>
      </w:hyperlink>
      <w:r w:rsidRPr="00E72A0C" w:rsidR="00E72A0C">
        <w:rPr>
          <w:rFonts w:ascii="Arial" w:hAnsi="Arial" w:cs="Arial"/>
        </w:rPr>
        <w:t xml:space="preserve">. </w:t>
      </w:r>
    </w:p>
    <w:p w:rsidR="00431774" w:rsidP="00431774" w14:paraId="72DA1159" w14:textId="32D87513">
      <w:pPr>
        <w:pStyle w:val="BodyText"/>
        <w:ind w:left="720"/>
        <w:rPr>
          <w:rFonts w:ascii="Arial" w:hAnsi="Arial" w:cs="Arial"/>
        </w:rPr>
      </w:pPr>
    </w:p>
    <w:p w:rsidR="00431774" w:rsidRPr="00070E49" w:rsidP="00431774" w14:paraId="311A31ED" w14:textId="10B6087A">
      <w:pPr>
        <w:spacing w:after="0" w:line="240" w:lineRule="auto"/>
        <w:ind w:left="720"/>
        <w:contextualSpacing/>
        <w:rPr>
          <w:rFonts w:ascii="Arial" w:eastAsia="Times New Roman" w:hAnsi="Arial" w:cs="Arial"/>
          <w:sz w:val="24"/>
          <w:szCs w:val="24"/>
        </w:rPr>
      </w:pPr>
      <w:r w:rsidRPr="00070E49">
        <w:rPr>
          <w:rFonts w:ascii="Arial" w:eastAsia="Times New Roman" w:hAnsi="Arial" w:cs="Arial"/>
          <w:sz w:val="24"/>
          <w:szCs w:val="24"/>
        </w:rPr>
        <w:t xml:space="preserve">VA does not review every file where a loan guaranty is issued, or a late reporting certification is completed. The burden hours for those reviewed during the audit process </w:t>
      </w:r>
      <w:r w:rsidR="00CA067A">
        <w:rPr>
          <w:rFonts w:ascii="Arial" w:eastAsia="Times New Roman" w:hAnsi="Arial" w:cs="Arial"/>
          <w:sz w:val="24"/>
          <w:szCs w:val="24"/>
        </w:rPr>
        <w:t>are</w:t>
      </w:r>
      <w:r w:rsidRPr="00070E49">
        <w:rPr>
          <w:rFonts w:ascii="Arial" w:eastAsia="Times New Roman" w:hAnsi="Arial" w:cs="Arial"/>
          <w:sz w:val="24"/>
          <w:szCs w:val="24"/>
        </w:rPr>
        <w:t xml:space="preserve"> covered under OMB Control #2900-0515. </w:t>
      </w:r>
    </w:p>
    <w:p w:rsidR="00F71DFC" w:rsidRPr="00D11728" w:rsidP="00D11728" w14:paraId="53E9F782" w14:textId="7FBF45EA">
      <w:pPr>
        <w:tabs>
          <w:tab w:val="left" w:pos="480"/>
          <w:tab w:val="right" w:pos="8640"/>
        </w:tabs>
        <w:spacing w:after="0" w:line="240" w:lineRule="auto"/>
        <w:ind w:left="720" w:right="684"/>
        <w:contextualSpacing/>
        <w:rPr>
          <w:rFonts w:ascii="Arial" w:hAnsi="Arial" w:cs="Arial"/>
          <w:sz w:val="24"/>
          <w:szCs w:val="24"/>
          <w:u w:val="single"/>
        </w:rPr>
      </w:pPr>
    </w:p>
    <w:tbl>
      <w:tblPr>
        <w:tblpPr w:leftFromText="180" w:rightFromText="180" w:vertAnchor="text" w:horzAnchor="margin" w:tblpXSpec="center" w:tblpY="-144"/>
        <w:tblW w:w="8995" w:type="dxa"/>
        <w:tblLayout w:type="fixed"/>
        <w:tblLook w:val="04A0"/>
      </w:tblPr>
      <w:tblGrid>
        <w:gridCol w:w="910"/>
        <w:gridCol w:w="737"/>
        <w:gridCol w:w="1768"/>
        <w:gridCol w:w="990"/>
        <w:gridCol w:w="1440"/>
        <w:gridCol w:w="1530"/>
        <w:gridCol w:w="1620"/>
      </w:tblGrid>
      <w:tr w14:paraId="10C9B72B" w14:textId="77777777" w:rsidTr="04695E47">
        <w:tblPrEx>
          <w:tblW w:w="8995" w:type="dxa"/>
          <w:tblLayout w:type="fixed"/>
          <w:tblLook w:val="04A0"/>
        </w:tblPrEx>
        <w:trPr>
          <w:trHeight w:val="492"/>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31774" w:rsidRPr="00070E49" w:rsidP="00431774" w14:paraId="17EACCC9"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Grade</w:t>
            </w:r>
          </w:p>
        </w:tc>
        <w:tc>
          <w:tcPr>
            <w:tcW w:w="737" w:type="dxa"/>
            <w:tcBorders>
              <w:top w:val="single" w:sz="4" w:space="0" w:color="auto"/>
              <w:left w:val="nil"/>
              <w:bottom w:val="single" w:sz="4" w:space="0" w:color="auto"/>
              <w:right w:val="single" w:sz="4" w:space="0" w:color="auto"/>
            </w:tcBorders>
            <w:shd w:val="clear" w:color="auto" w:fill="auto"/>
            <w:hideMark/>
          </w:tcPr>
          <w:p w:rsidR="00431774" w:rsidRPr="00070E49" w:rsidP="00431774" w14:paraId="25BF07F9"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Step</w:t>
            </w:r>
          </w:p>
        </w:tc>
        <w:tc>
          <w:tcPr>
            <w:tcW w:w="1768" w:type="dxa"/>
            <w:tcBorders>
              <w:top w:val="single" w:sz="4" w:space="0" w:color="auto"/>
              <w:left w:val="nil"/>
              <w:bottom w:val="single" w:sz="4" w:space="0" w:color="auto"/>
              <w:right w:val="single" w:sz="4" w:space="0" w:color="auto"/>
            </w:tcBorders>
            <w:shd w:val="clear" w:color="auto" w:fill="auto"/>
            <w:hideMark/>
          </w:tcPr>
          <w:p w:rsidR="00431774" w:rsidRPr="00070E49" w:rsidP="00431774" w14:paraId="2CA1A3D7"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Burden Time</w:t>
            </w:r>
          </w:p>
        </w:tc>
        <w:tc>
          <w:tcPr>
            <w:tcW w:w="990" w:type="dxa"/>
            <w:tcBorders>
              <w:top w:val="single" w:sz="4" w:space="0" w:color="auto"/>
              <w:left w:val="nil"/>
              <w:bottom w:val="single" w:sz="4" w:space="0" w:color="auto"/>
              <w:right w:val="single" w:sz="4" w:space="0" w:color="auto"/>
            </w:tcBorders>
            <w:shd w:val="clear" w:color="auto" w:fill="auto"/>
            <w:hideMark/>
          </w:tcPr>
          <w:p w:rsidR="00431774" w:rsidRPr="00070E49" w:rsidP="00431774" w14:paraId="5017346A"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Hourly Rate</w:t>
            </w:r>
          </w:p>
        </w:tc>
        <w:tc>
          <w:tcPr>
            <w:tcW w:w="1440" w:type="dxa"/>
            <w:tcBorders>
              <w:top w:val="single" w:sz="4" w:space="0" w:color="auto"/>
              <w:left w:val="nil"/>
              <w:bottom w:val="single" w:sz="4" w:space="0" w:color="auto"/>
              <w:right w:val="single" w:sz="4" w:space="0" w:color="auto"/>
            </w:tcBorders>
            <w:shd w:val="clear" w:color="auto" w:fill="auto"/>
            <w:hideMark/>
          </w:tcPr>
          <w:p w:rsidR="00431774" w:rsidRPr="00070E49" w:rsidP="00431774" w14:paraId="2542A106"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Cost Per Response</w:t>
            </w:r>
          </w:p>
        </w:tc>
        <w:tc>
          <w:tcPr>
            <w:tcW w:w="1530" w:type="dxa"/>
            <w:tcBorders>
              <w:top w:val="single" w:sz="4" w:space="0" w:color="auto"/>
              <w:left w:val="nil"/>
              <w:bottom w:val="single" w:sz="4" w:space="0" w:color="auto"/>
              <w:right w:val="single" w:sz="4" w:space="0" w:color="auto"/>
            </w:tcBorders>
            <w:shd w:val="clear" w:color="auto" w:fill="auto"/>
            <w:hideMark/>
          </w:tcPr>
          <w:p w:rsidR="00431774" w:rsidRPr="00070E49" w:rsidP="00431774" w14:paraId="082826D8"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Total Responses</w:t>
            </w:r>
          </w:p>
        </w:tc>
        <w:tc>
          <w:tcPr>
            <w:tcW w:w="1620" w:type="dxa"/>
            <w:tcBorders>
              <w:top w:val="single" w:sz="4" w:space="0" w:color="auto"/>
              <w:left w:val="nil"/>
              <w:bottom w:val="single" w:sz="4" w:space="0" w:color="auto"/>
              <w:right w:val="single" w:sz="4" w:space="0" w:color="auto"/>
            </w:tcBorders>
            <w:shd w:val="clear" w:color="auto" w:fill="auto"/>
            <w:hideMark/>
          </w:tcPr>
          <w:p w:rsidR="00431774" w:rsidRPr="00070E49" w:rsidP="00431774" w14:paraId="0766E0C6" w14:textId="77777777">
            <w:pPr>
              <w:spacing w:after="0" w:line="240" w:lineRule="auto"/>
              <w:jc w:val="center"/>
              <w:rPr>
                <w:rFonts w:ascii="Arial" w:eastAsia="Times New Roman" w:hAnsi="Arial" w:cs="Arial"/>
                <w:b/>
                <w:bCs/>
                <w:color w:val="000000"/>
                <w:sz w:val="24"/>
                <w:szCs w:val="24"/>
              </w:rPr>
            </w:pPr>
            <w:r w:rsidRPr="00070E49">
              <w:rPr>
                <w:rFonts w:ascii="Arial" w:eastAsia="Times New Roman" w:hAnsi="Arial" w:cs="Arial"/>
                <w:b/>
                <w:bCs/>
                <w:color w:val="000000"/>
                <w:sz w:val="24"/>
                <w:szCs w:val="24"/>
              </w:rPr>
              <w:t>Total</w:t>
            </w:r>
          </w:p>
        </w:tc>
      </w:tr>
      <w:tr w14:paraId="1A93AE08" w14:textId="77777777" w:rsidTr="04695E47">
        <w:tblPrEx>
          <w:tblW w:w="8995" w:type="dxa"/>
          <w:tblLayout w:type="fixed"/>
          <w:tblLook w:val="04A0"/>
        </w:tblPrEx>
        <w:trPr>
          <w:trHeight w:val="338"/>
        </w:trPr>
        <w:tc>
          <w:tcPr>
            <w:tcW w:w="8995" w:type="dxa"/>
            <w:gridSpan w:val="7"/>
            <w:tcBorders>
              <w:top w:val="single" w:sz="4" w:space="0" w:color="auto"/>
              <w:left w:val="single" w:sz="4" w:space="0" w:color="auto"/>
              <w:bottom w:val="single" w:sz="4" w:space="0" w:color="auto"/>
              <w:right w:val="single" w:sz="4" w:space="0" w:color="auto"/>
            </w:tcBorders>
            <w:shd w:val="clear" w:color="auto" w:fill="auto"/>
          </w:tcPr>
          <w:p w:rsidR="00431774" w:rsidRPr="000B19E2" w:rsidP="00431774" w14:paraId="19CAF7DE" w14:textId="77777777">
            <w:pPr>
              <w:spacing w:after="0" w:line="240" w:lineRule="auto"/>
              <w:rPr>
                <w:rFonts w:ascii="Arial" w:eastAsia="Times New Roman" w:hAnsi="Arial" w:cs="Arial"/>
                <w:color w:val="000000"/>
                <w:sz w:val="24"/>
                <w:szCs w:val="24"/>
                <w:highlight w:val="yellow"/>
              </w:rPr>
            </w:pPr>
            <w:r w:rsidRPr="00CB7122">
              <w:rPr>
                <w:rFonts w:ascii="Arial" w:eastAsia="Times New Roman" w:hAnsi="Arial" w:cs="Arial"/>
                <w:i/>
                <w:iCs/>
                <w:color w:val="000000"/>
                <w:sz w:val="24"/>
                <w:szCs w:val="24"/>
              </w:rPr>
              <w:t>Reporting and Certification for Loan</w:t>
            </w:r>
            <w:r>
              <w:rPr>
                <w:rFonts w:ascii="Arial" w:eastAsia="Times New Roman" w:hAnsi="Arial" w:cs="Arial"/>
                <w:i/>
                <w:iCs/>
                <w:color w:val="000000"/>
                <w:sz w:val="24"/>
                <w:szCs w:val="24"/>
              </w:rPr>
              <w:t xml:space="preserve">s that Require VA Prior </w:t>
            </w:r>
            <w:r>
              <w:rPr>
                <w:rFonts w:ascii="Arial" w:eastAsia="Times New Roman" w:hAnsi="Arial" w:cs="Arial"/>
                <w:i/>
                <w:iCs/>
                <w:color w:val="000000"/>
                <w:sz w:val="24"/>
                <w:szCs w:val="24"/>
              </w:rPr>
              <w:t>Approval</w:t>
            </w:r>
          </w:p>
        </w:tc>
      </w:tr>
      <w:tr w14:paraId="7665F96C" w14:textId="77777777" w:rsidTr="04695E47">
        <w:tblPrEx>
          <w:tblW w:w="8995" w:type="dxa"/>
          <w:tblLayout w:type="fixed"/>
          <w:tblLook w:val="04A0"/>
        </w:tblPrEx>
        <w:trPr>
          <w:trHeight w:val="288"/>
        </w:trPr>
        <w:tc>
          <w:tcPr>
            <w:tcW w:w="910" w:type="dxa"/>
            <w:tcBorders>
              <w:top w:val="single" w:sz="4" w:space="0" w:color="auto"/>
              <w:left w:val="single" w:sz="4" w:space="0" w:color="auto"/>
              <w:bottom w:val="single" w:sz="4" w:space="0" w:color="auto"/>
              <w:right w:val="single" w:sz="4" w:space="0" w:color="auto"/>
            </w:tcBorders>
            <w:shd w:val="clear" w:color="auto" w:fill="auto"/>
          </w:tcPr>
          <w:p w:rsidR="00431774" w:rsidRPr="00661853" w:rsidP="00431774" w14:paraId="2E882D18" w14:textId="7777777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431774" w:rsidRPr="00661853" w:rsidP="00431774" w14:paraId="3936B06F" w14:textId="7777777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431774" w:rsidP="00431774" w14:paraId="021B6D71" w14:textId="7777777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0.25 hours</w:t>
            </w:r>
          </w:p>
          <w:p w:rsidR="00431774" w:rsidRPr="00661853" w:rsidP="00431774" w14:paraId="714236BA" w14:textId="7777777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(15 min)</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31774" w:rsidRPr="00661853" w:rsidP="00431774" w14:paraId="143A83FF" w14:textId="53C54DE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r w:rsidR="007464DA">
              <w:rPr>
                <w:rFonts w:ascii="Arial" w:eastAsia="Times New Roman" w:hAnsi="Arial" w:cs="Arial"/>
                <w:color w:val="000000"/>
                <w:sz w:val="24"/>
                <w:szCs w:val="24"/>
              </w:rPr>
              <w:t>40.56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774" w:rsidRPr="00661853" w:rsidP="00431774" w14:paraId="23E692F3" w14:textId="2AED155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r w:rsidR="003D3784">
              <w:rPr>
                <w:rFonts w:ascii="Arial" w:eastAsia="Times New Roman" w:hAnsi="Arial" w:cs="Arial"/>
                <w:color w:val="000000"/>
                <w:sz w:val="24"/>
                <w:szCs w:val="24"/>
              </w:rPr>
              <w:t>10.14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31774" w:rsidRPr="00661853" w:rsidP="00431774" w14:paraId="5FA0286D" w14:textId="2E9AE5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1,815</w:t>
            </w:r>
          </w:p>
        </w:tc>
        <w:tc>
          <w:tcPr>
            <w:tcW w:w="1620" w:type="dxa"/>
            <w:tcBorders>
              <w:top w:val="nil"/>
              <w:left w:val="nil"/>
              <w:bottom w:val="single" w:sz="4" w:space="0" w:color="auto"/>
              <w:right w:val="single" w:sz="4" w:space="0" w:color="auto"/>
            </w:tcBorders>
            <w:shd w:val="clear" w:color="auto" w:fill="auto"/>
          </w:tcPr>
          <w:p w:rsidR="00431774" w:rsidRPr="00CB7122" w:rsidP="00431774" w14:paraId="1E3BC7A0" w14:textId="329F25C9">
            <w:pPr>
              <w:spacing w:after="0" w:line="240" w:lineRule="auto"/>
              <w:jc w:val="center"/>
              <w:rPr>
                <w:rFonts w:ascii="Arial" w:eastAsia="Times New Roman" w:hAnsi="Arial" w:cs="Arial"/>
                <w:color w:val="000000"/>
                <w:sz w:val="24"/>
                <w:szCs w:val="24"/>
              </w:rPr>
            </w:pPr>
            <w:r w:rsidRPr="00CB7122">
              <w:rPr>
                <w:rFonts w:ascii="Arial" w:eastAsia="Times New Roman" w:hAnsi="Arial" w:cs="Arial"/>
                <w:color w:val="000000"/>
                <w:sz w:val="24"/>
                <w:szCs w:val="24"/>
              </w:rPr>
              <w:t>$</w:t>
            </w:r>
            <w:r w:rsidR="003D3784">
              <w:rPr>
                <w:rFonts w:ascii="Arial" w:eastAsia="Times New Roman" w:hAnsi="Arial" w:cs="Arial"/>
                <w:color w:val="000000"/>
                <w:sz w:val="24"/>
                <w:szCs w:val="24"/>
              </w:rPr>
              <w:t>18,404</w:t>
            </w:r>
          </w:p>
        </w:tc>
      </w:tr>
      <w:tr w14:paraId="139BB8B6" w14:textId="77777777" w:rsidTr="04695E47">
        <w:tblPrEx>
          <w:tblW w:w="8995" w:type="dxa"/>
          <w:tblLayout w:type="fixed"/>
          <w:tblLook w:val="04A0"/>
        </w:tblPrEx>
        <w:trPr>
          <w:trHeight w:val="288"/>
        </w:trPr>
        <w:tc>
          <w:tcPr>
            <w:tcW w:w="7375" w:type="dxa"/>
            <w:gridSpan w:val="6"/>
            <w:tcBorders>
              <w:top w:val="single" w:sz="4" w:space="0" w:color="auto"/>
              <w:left w:val="single" w:sz="4" w:space="0" w:color="auto"/>
              <w:bottom w:val="single" w:sz="4" w:space="0" w:color="auto"/>
              <w:right w:val="single" w:sz="4" w:space="0" w:color="auto"/>
            </w:tcBorders>
            <w:shd w:val="clear" w:color="auto" w:fill="auto"/>
            <w:hideMark/>
          </w:tcPr>
          <w:p w:rsidR="00431774" w:rsidRPr="00661853" w:rsidP="00431774" w14:paraId="411E9C32" w14:textId="77777777">
            <w:pPr>
              <w:spacing w:after="0" w:line="240" w:lineRule="auto"/>
              <w:rPr>
                <w:rFonts w:ascii="Arial" w:eastAsia="Times New Roman" w:hAnsi="Arial" w:cs="Arial"/>
                <w:color w:val="000000"/>
                <w:sz w:val="24"/>
                <w:szCs w:val="24"/>
              </w:rPr>
            </w:pPr>
            <w:r w:rsidRPr="00661853">
              <w:rPr>
                <w:rFonts w:ascii="Arial" w:eastAsia="Times New Roman" w:hAnsi="Arial" w:cs="Arial"/>
                <w:color w:val="000000"/>
                <w:sz w:val="24"/>
                <w:szCs w:val="24"/>
              </w:rPr>
              <w:t>Overhead at 100% Salary</w:t>
            </w:r>
          </w:p>
        </w:tc>
        <w:tc>
          <w:tcPr>
            <w:tcW w:w="1620" w:type="dxa"/>
            <w:tcBorders>
              <w:top w:val="nil"/>
              <w:left w:val="nil"/>
              <w:bottom w:val="single" w:sz="4" w:space="0" w:color="auto"/>
              <w:right w:val="single" w:sz="4" w:space="0" w:color="auto"/>
            </w:tcBorders>
            <w:shd w:val="clear" w:color="auto" w:fill="auto"/>
            <w:hideMark/>
          </w:tcPr>
          <w:p w:rsidR="00431774" w:rsidRPr="00CB7122" w:rsidP="00431774" w14:paraId="4E5AFCA9" w14:textId="40F11700">
            <w:pPr>
              <w:spacing w:after="0" w:line="240" w:lineRule="auto"/>
              <w:jc w:val="center"/>
              <w:rPr>
                <w:rFonts w:ascii="Arial" w:eastAsia="Times New Roman" w:hAnsi="Arial" w:cs="Arial"/>
                <w:color w:val="000000"/>
                <w:sz w:val="24"/>
                <w:szCs w:val="24"/>
              </w:rPr>
            </w:pPr>
            <w:r w:rsidRPr="00CB7122">
              <w:rPr>
                <w:rFonts w:ascii="Arial" w:eastAsia="Times New Roman" w:hAnsi="Arial" w:cs="Arial"/>
                <w:color w:val="000000"/>
                <w:sz w:val="24"/>
                <w:szCs w:val="24"/>
              </w:rPr>
              <w:t>$</w:t>
            </w:r>
            <w:r w:rsidR="003D3784">
              <w:rPr>
                <w:rFonts w:ascii="Arial" w:eastAsia="Times New Roman" w:hAnsi="Arial" w:cs="Arial"/>
                <w:color w:val="000000"/>
                <w:sz w:val="24"/>
                <w:szCs w:val="24"/>
              </w:rPr>
              <w:t>18,404</w:t>
            </w:r>
          </w:p>
        </w:tc>
      </w:tr>
      <w:tr w14:paraId="14401029" w14:textId="77777777" w:rsidTr="04695E47">
        <w:tblPrEx>
          <w:tblW w:w="8995" w:type="dxa"/>
          <w:tblLayout w:type="fixed"/>
          <w:tblLook w:val="04A0"/>
        </w:tblPrEx>
        <w:trPr>
          <w:trHeight w:val="587"/>
        </w:trPr>
        <w:tc>
          <w:tcPr>
            <w:tcW w:w="7375" w:type="dxa"/>
            <w:gridSpan w:val="6"/>
            <w:tcBorders>
              <w:top w:val="single" w:sz="4" w:space="0" w:color="auto"/>
              <w:left w:val="single" w:sz="4" w:space="0" w:color="auto"/>
              <w:bottom w:val="single" w:sz="4" w:space="0" w:color="auto"/>
              <w:right w:val="single" w:sz="4" w:space="0" w:color="auto"/>
            </w:tcBorders>
            <w:shd w:val="clear" w:color="auto" w:fill="auto"/>
            <w:hideMark/>
          </w:tcPr>
          <w:p w:rsidR="00431774" w:rsidRPr="009D3F97" w:rsidP="00431774" w14:paraId="1350BF42" w14:textId="77777777">
            <w:pPr>
              <w:tabs>
                <w:tab w:val="left" w:pos="480"/>
                <w:tab w:val="right" w:pos="4680"/>
                <w:tab w:val="right" w:pos="8640"/>
              </w:tabs>
              <w:spacing w:after="0" w:line="240" w:lineRule="auto"/>
              <w:ind w:right="35"/>
              <w:jc w:val="center"/>
              <w:rPr>
                <w:rFonts w:ascii="Arial" w:eastAsia="Times New Roman" w:hAnsi="Arial" w:cs="Arial"/>
                <w:b/>
                <w:sz w:val="24"/>
                <w:szCs w:val="24"/>
              </w:rPr>
            </w:pPr>
            <w:r w:rsidRPr="009D3F97">
              <w:rPr>
                <w:rFonts w:ascii="Arial" w:eastAsia="Times New Roman" w:hAnsi="Arial" w:cs="Arial"/>
                <w:b/>
                <w:sz w:val="24"/>
                <w:szCs w:val="24"/>
              </w:rPr>
              <w:t>Overhead costs are 100% of salary and are same as the wage listed above and the amounts are included in the total.</w:t>
            </w:r>
          </w:p>
        </w:tc>
        <w:tc>
          <w:tcPr>
            <w:tcW w:w="1620" w:type="dxa"/>
            <w:tcBorders>
              <w:top w:val="nil"/>
              <w:left w:val="nil"/>
              <w:bottom w:val="single" w:sz="4" w:space="0" w:color="auto"/>
              <w:right w:val="single" w:sz="4" w:space="0" w:color="auto"/>
            </w:tcBorders>
            <w:shd w:val="clear" w:color="auto" w:fill="auto"/>
            <w:hideMark/>
          </w:tcPr>
          <w:p w:rsidR="00431774" w:rsidRPr="00CB7122" w:rsidP="00431774" w14:paraId="1BC5F476" w14:textId="571EDBA5">
            <w:pPr>
              <w:spacing w:after="0" w:line="240" w:lineRule="auto"/>
              <w:jc w:val="center"/>
              <w:rPr>
                <w:rFonts w:ascii="Arial" w:eastAsia="Times New Roman" w:hAnsi="Arial" w:cs="Arial"/>
                <w:color w:val="000000"/>
                <w:sz w:val="24"/>
                <w:szCs w:val="24"/>
              </w:rPr>
            </w:pPr>
            <w:r w:rsidRPr="04695E47">
              <w:rPr>
                <w:rFonts w:ascii="Arial" w:eastAsia="Times New Roman" w:hAnsi="Arial" w:cs="Arial"/>
                <w:color w:val="000000" w:themeColor="text1"/>
                <w:sz w:val="24"/>
                <w:szCs w:val="24"/>
              </w:rPr>
              <w:t>$</w:t>
            </w:r>
            <w:r w:rsidR="003D3784">
              <w:rPr>
                <w:rFonts w:ascii="Arial" w:eastAsia="Times New Roman" w:hAnsi="Arial" w:cs="Arial"/>
                <w:color w:val="000000" w:themeColor="text1"/>
                <w:sz w:val="24"/>
                <w:szCs w:val="24"/>
              </w:rPr>
              <w:t>18,404</w:t>
            </w:r>
          </w:p>
        </w:tc>
      </w:tr>
      <w:tr w14:paraId="4AF725E2" w14:textId="77777777" w:rsidTr="04695E47">
        <w:tblPrEx>
          <w:tblW w:w="8995" w:type="dxa"/>
          <w:tblLayout w:type="fixed"/>
          <w:tblLook w:val="04A0"/>
        </w:tblPrEx>
        <w:trPr>
          <w:trHeight w:val="288"/>
        </w:trPr>
        <w:tc>
          <w:tcPr>
            <w:tcW w:w="7375" w:type="dxa"/>
            <w:gridSpan w:val="6"/>
            <w:tcBorders>
              <w:top w:val="single" w:sz="4" w:space="0" w:color="auto"/>
              <w:left w:val="single" w:sz="4" w:space="0" w:color="auto"/>
              <w:bottom w:val="single" w:sz="4" w:space="0" w:color="auto"/>
              <w:right w:val="single" w:sz="4" w:space="0" w:color="auto"/>
            </w:tcBorders>
            <w:shd w:val="clear" w:color="auto" w:fill="auto"/>
            <w:hideMark/>
          </w:tcPr>
          <w:p w:rsidR="00431774" w:rsidRPr="009D3F97" w:rsidP="00431774" w14:paraId="78B8BEB2" w14:textId="77777777">
            <w:pPr>
              <w:spacing w:after="0" w:line="240" w:lineRule="auto"/>
              <w:jc w:val="center"/>
              <w:rPr>
                <w:rFonts w:ascii="Arial" w:eastAsia="Times New Roman" w:hAnsi="Arial" w:cs="Arial"/>
                <w:color w:val="000000"/>
                <w:sz w:val="24"/>
                <w:szCs w:val="24"/>
              </w:rPr>
            </w:pPr>
            <w:r w:rsidRPr="009D3F97">
              <w:rPr>
                <w:rFonts w:ascii="Arial" w:eastAsia="Times New Roman" w:hAnsi="Arial" w:cs="Arial"/>
                <w:color w:val="000000"/>
                <w:sz w:val="24"/>
                <w:szCs w:val="24"/>
              </w:rPr>
              <w:t>Processing / Analyzing Costs</w:t>
            </w:r>
          </w:p>
        </w:tc>
        <w:tc>
          <w:tcPr>
            <w:tcW w:w="1620" w:type="dxa"/>
            <w:tcBorders>
              <w:top w:val="nil"/>
              <w:left w:val="nil"/>
              <w:bottom w:val="single" w:sz="4" w:space="0" w:color="auto"/>
              <w:right w:val="single" w:sz="4" w:space="0" w:color="auto"/>
            </w:tcBorders>
            <w:shd w:val="clear" w:color="auto" w:fill="auto"/>
            <w:hideMark/>
          </w:tcPr>
          <w:p w:rsidR="00431774" w:rsidRPr="00CB7122" w:rsidP="00431774" w14:paraId="6278AFA5" w14:textId="77777777">
            <w:pPr>
              <w:spacing w:after="0" w:line="240" w:lineRule="auto"/>
              <w:jc w:val="center"/>
              <w:rPr>
                <w:rFonts w:ascii="Arial" w:eastAsia="Times New Roman" w:hAnsi="Arial" w:cs="Arial"/>
                <w:color w:val="000000"/>
                <w:sz w:val="24"/>
                <w:szCs w:val="24"/>
              </w:rPr>
            </w:pPr>
            <w:r w:rsidRPr="00CB7122">
              <w:rPr>
                <w:rFonts w:ascii="Arial" w:eastAsia="Times New Roman" w:hAnsi="Arial" w:cs="Arial"/>
                <w:color w:val="000000"/>
                <w:sz w:val="24"/>
                <w:szCs w:val="24"/>
              </w:rPr>
              <w:t>$0</w:t>
            </w:r>
          </w:p>
        </w:tc>
      </w:tr>
      <w:tr w14:paraId="12917B14" w14:textId="77777777" w:rsidTr="04695E47">
        <w:tblPrEx>
          <w:tblW w:w="8995" w:type="dxa"/>
          <w:tblLayout w:type="fixed"/>
          <w:tblLook w:val="04A0"/>
        </w:tblPrEx>
        <w:trPr>
          <w:trHeight w:val="288"/>
        </w:trPr>
        <w:tc>
          <w:tcPr>
            <w:tcW w:w="7375" w:type="dxa"/>
            <w:gridSpan w:val="6"/>
            <w:tcBorders>
              <w:top w:val="single" w:sz="4" w:space="0" w:color="auto"/>
              <w:left w:val="single" w:sz="4" w:space="0" w:color="auto"/>
              <w:bottom w:val="single" w:sz="4" w:space="0" w:color="auto"/>
              <w:right w:val="single" w:sz="4" w:space="0" w:color="auto"/>
            </w:tcBorders>
            <w:shd w:val="clear" w:color="auto" w:fill="auto"/>
            <w:hideMark/>
          </w:tcPr>
          <w:p w:rsidR="00431774" w:rsidRPr="009D3F97" w:rsidP="00431774" w14:paraId="067519E2" w14:textId="77777777">
            <w:pPr>
              <w:spacing w:after="0" w:line="240" w:lineRule="auto"/>
              <w:jc w:val="center"/>
              <w:rPr>
                <w:rFonts w:ascii="Arial" w:eastAsia="Times New Roman" w:hAnsi="Arial" w:cs="Arial"/>
                <w:color w:val="000000"/>
                <w:sz w:val="24"/>
                <w:szCs w:val="24"/>
              </w:rPr>
            </w:pPr>
            <w:r w:rsidRPr="009D3F97">
              <w:rPr>
                <w:rFonts w:ascii="Arial" w:eastAsia="Times New Roman" w:hAnsi="Arial" w:cs="Arial"/>
                <w:color w:val="000000"/>
                <w:sz w:val="24"/>
                <w:szCs w:val="24"/>
              </w:rPr>
              <w:t>Printing and Production Cost</w:t>
            </w:r>
          </w:p>
        </w:tc>
        <w:tc>
          <w:tcPr>
            <w:tcW w:w="1620" w:type="dxa"/>
            <w:tcBorders>
              <w:top w:val="nil"/>
              <w:left w:val="nil"/>
              <w:bottom w:val="single" w:sz="4" w:space="0" w:color="auto"/>
              <w:right w:val="single" w:sz="4" w:space="0" w:color="auto"/>
            </w:tcBorders>
            <w:shd w:val="clear" w:color="auto" w:fill="auto"/>
            <w:hideMark/>
          </w:tcPr>
          <w:p w:rsidR="00431774" w:rsidRPr="00CB7122" w:rsidP="00431774" w14:paraId="556EB137" w14:textId="77777777">
            <w:pPr>
              <w:spacing w:after="0" w:line="240" w:lineRule="auto"/>
              <w:jc w:val="center"/>
              <w:rPr>
                <w:rFonts w:ascii="Arial" w:eastAsia="Times New Roman" w:hAnsi="Arial" w:cs="Arial"/>
                <w:color w:val="000000"/>
                <w:sz w:val="24"/>
                <w:szCs w:val="24"/>
              </w:rPr>
            </w:pPr>
            <w:r w:rsidRPr="00FC624E">
              <w:rPr>
                <w:rFonts w:ascii="Arial" w:eastAsia="Times New Roman" w:hAnsi="Arial" w:cs="Arial"/>
                <w:color w:val="000000"/>
                <w:sz w:val="24"/>
                <w:szCs w:val="24"/>
              </w:rPr>
              <w:t>$0</w:t>
            </w:r>
          </w:p>
        </w:tc>
      </w:tr>
      <w:tr w14:paraId="0E675014" w14:textId="77777777" w:rsidTr="04695E47">
        <w:tblPrEx>
          <w:tblW w:w="8995" w:type="dxa"/>
          <w:tblLayout w:type="fixed"/>
          <w:tblLook w:val="04A0"/>
        </w:tblPrEx>
        <w:trPr>
          <w:trHeight w:val="288"/>
        </w:trPr>
        <w:tc>
          <w:tcPr>
            <w:tcW w:w="7375" w:type="dxa"/>
            <w:gridSpan w:val="6"/>
            <w:tcBorders>
              <w:top w:val="single" w:sz="4" w:space="0" w:color="auto"/>
              <w:left w:val="single" w:sz="4" w:space="0" w:color="auto"/>
              <w:bottom w:val="single" w:sz="4" w:space="0" w:color="auto"/>
              <w:right w:val="single" w:sz="4" w:space="0" w:color="auto"/>
            </w:tcBorders>
            <w:shd w:val="clear" w:color="auto" w:fill="auto"/>
            <w:hideMark/>
          </w:tcPr>
          <w:p w:rsidR="00431774" w:rsidRPr="009D3F97" w:rsidP="00431774" w14:paraId="722B578C" w14:textId="77777777">
            <w:pPr>
              <w:spacing w:after="0" w:line="240" w:lineRule="auto"/>
              <w:jc w:val="center"/>
              <w:rPr>
                <w:rFonts w:ascii="Arial" w:eastAsia="Times New Roman" w:hAnsi="Arial" w:cs="Arial"/>
                <w:color w:val="000000"/>
                <w:sz w:val="24"/>
                <w:szCs w:val="24"/>
              </w:rPr>
            </w:pPr>
            <w:r w:rsidRPr="009D3F97">
              <w:rPr>
                <w:rFonts w:ascii="Arial" w:eastAsia="Times New Roman" w:hAnsi="Arial" w:cs="Arial"/>
                <w:color w:val="000000"/>
                <w:sz w:val="24"/>
                <w:szCs w:val="24"/>
              </w:rPr>
              <w:t>Total Cost to Government</w:t>
            </w:r>
          </w:p>
        </w:tc>
        <w:tc>
          <w:tcPr>
            <w:tcW w:w="1620" w:type="dxa"/>
            <w:tcBorders>
              <w:top w:val="nil"/>
              <w:left w:val="nil"/>
              <w:bottom w:val="single" w:sz="4" w:space="0" w:color="auto"/>
              <w:right w:val="single" w:sz="4" w:space="0" w:color="auto"/>
            </w:tcBorders>
            <w:shd w:val="clear" w:color="auto" w:fill="auto"/>
            <w:hideMark/>
          </w:tcPr>
          <w:p w:rsidR="00431774" w:rsidRPr="00CB7122" w:rsidP="00431774" w14:paraId="03CA994A" w14:textId="650A5759">
            <w:pPr>
              <w:spacing w:after="0" w:line="240" w:lineRule="auto"/>
              <w:jc w:val="center"/>
              <w:rPr>
                <w:rFonts w:ascii="Arial" w:eastAsia="Times New Roman" w:hAnsi="Arial" w:cs="Arial"/>
                <w:color w:val="000000"/>
                <w:sz w:val="24"/>
                <w:szCs w:val="24"/>
              </w:rPr>
            </w:pPr>
            <w:r w:rsidRPr="00CB7122">
              <w:rPr>
                <w:rFonts w:ascii="Arial" w:eastAsia="Times New Roman" w:hAnsi="Arial" w:cs="Arial"/>
                <w:color w:val="000000"/>
                <w:sz w:val="24"/>
                <w:szCs w:val="24"/>
              </w:rPr>
              <w:t>$</w:t>
            </w:r>
            <w:r w:rsidR="003D3784">
              <w:rPr>
                <w:rFonts w:ascii="Arial" w:eastAsia="Times New Roman" w:hAnsi="Arial" w:cs="Arial"/>
                <w:color w:val="000000"/>
                <w:sz w:val="24"/>
                <w:szCs w:val="24"/>
              </w:rPr>
              <w:t>18,404</w:t>
            </w:r>
          </w:p>
        </w:tc>
      </w:tr>
    </w:tbl>
    <w:p w:rsidR="009F18E0" w:rsidP="00A014C3" w14:paraId="00A7AD12" w14:textId="3BA744C9">
      <w:pPr>
        <w:pStyle w:val="BodyText"/>
        <w:rPr>
          <w:rFonts w:ascii="Arial" w:hAnsi="Arial" w:cs="Arial"/>
          <w:color w:val="C00000"/>
          <w:szCs w:val="24"/>
        </w:rPr>
      </w:pPr>
    </w:p>
    <w:p w:rsidR="00463D10" w:rsidP="00463D10" w14:paraId="6A0B8E82" w14:textId="77777777">
      <w:pPr>
        <w:tabs>
          <w:tab w:val="left" w:pos="480"/>
          <w:tab w:val="right" w:pos="8640"/>
        </w:tabs>
        <w:spacing w:after="0" w:line="240" w:lineRule="auto"/>
        <w:ind w:right="684"/>
        <w:rPr>
          <w:rFonts w:ascii="Arial" w:eastAsia="Times New Roman" w:hAnsi="Arial" w:cs="Arial"/>
          <w:sz w:val="24"/>
          <w:szCs w:val="24"/>
        </w:rPr>
      </w:pPr>
    </w:p>
    <w:p w:rsidR="000B19E2" w:rsidRPr="000B19E2" w:rsidP="000B19E2" w14:paraId="0E49DC8B" w14:textId="78FC86AD">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4814CC">
        <w:rPr>
          <w:rFonts w:ascii="Arial" w:eastAsia="Times New Roman" w:hAnsi="Arial" w:cs="Arial"/>
          <w:b/>
          <w:sz w:val="24"/>
          <w:szCs w:val="24"/>
        </w:rPr>
        <w:t>Explain the reason for any burden hour changes since the last submission.</w:t>
      </w:r>
    </w:p>
    <w:p w:rsidR="00463D10" w:rsidRPr="00CB7122" w:rsidP="00463D10" w14:paraId="6A0B8E84" w14:textId="051E22DE">
      <w:pPr>
        <w:tabs>
          <w:tab w:val="left" w:pos="480"/>
          <w:tab w:val="right" w:pos="8640"/>
        </w:tabs>
        <w:spacing w:after="0" w:line="240" w:lineRule="auto"/>
        <w:ind w:left="720" w:right="684"/>
        <w:contextualSpacing/>
        <w:rPr>
          <w:rFonts w:ascii="Arial" w:eastAsia="Times New Roman" w:hAnsi="Arial" w:cs="Arial"/>
          <w:sz w:val="24"/>
          <w:szCs w:val="24"/>
        </w:rPr>
      </w:pPr>
    </w:p>
    <w:p w:rsidR="00D962A3" w:rsidRPr="00CB7122" w:rsidP="003D3784" w14:paraId="0C53B9F5" w14:textId="65114BC5">
      <w:pPr>
        <w:tabs>
          <w:tab w:val="left" w:pos="480"/>
          <w:tab w:val="right" w:pos="8640"/>
        </w:tabs>
        <w:spacing w:after="0" w:line="240" w:lineRule="auto"/>
        <w:ind w:left="720" w:right="684"/>
        <w:contextualSpacing/>
        <w:rPr>
          <w:rFonts w:ascii="Arial" w:eastAsia="Times New Roman" w:hAnsi="Arial" w:cs="Arial"/>
          <w:sz w:val="24"/>
          <w:szCs w:val="24"/>
        </w:rPr>
      </w:pPr>
      <w:r w:rsidRPr="04695E47">
        <w:rPr>
          <w:rFonts w:ascii="Arial" w:eastAsia="Times New Roman" w:hAnsi="Arial" w:cs="Arial"/>
          <w:sz w:val="24"/>
          <w:szCs w:val="24"/>
        </w:rPr>
        <w:t xml:space="preserve">Public burden hours have decreased significantly as a result of the new electronic reporting and remittance processes implemented by VA. </w:t>
      </w:r>
      <w:r w:rsidRPr="04695E47" w:rsidR="009410DE">
        <w:rPr>
          <w:rFonts w:ascii="Arial" w:eastAsia="Times New Roman" w:hAnsi="Arial" w:cs="Arial"/>
          <w:sz w:val="24"/>
          <w:szCs w:val="24"/>
        </w:rPr>
        <w:t>T</w:t>
      </w:r>
      <w:r w:rsidRPr="04695E47">
        <w:rPr>
          <w:rFonts w:ascii="Arial" w:eastAsia="Times New Roman" w:hAnsi="Arial" w:cs="Arial"/>
          <w:sz w:val="24"/>
          <w:szCs w:val="24"/>
        </w:rPr>
        <w:t>he use of API technology allow</w:t>
      </w:r>
      <w:r w:rsidRPr="04695E47" w:rsidR="009410DE">
        <w:rPr>
          <w:rFonts w:ascii="Arial" w:eastAsia="Times New Roman" w:hAnsi="Arial" w:cs="Arial"/>
          <w:sz w:val="24"/>
          <w:szCs w:val="24"/>
        </w:rPr>
        <w:t>s</w:t>
      </w:r>
      <w:r w:rsidRPr="04695E47">
        <w:rPr>
          <w:rFonts w:ascii="Arial" w:eastAsia="Times New Roman" w:hAnsi="Arial" w:cs="Arial"/>
          <w:sz w:val="24"/>
          <w:szCs w:val="24"/>
        </w:rPr>
        <w:t xml:space="preserve"> lenders to simultaneously remit the VA funding fee and submit a loan for guaranty without leaving their LOS and without entering VA’s systems or manually keying in information. This process improvement result</w:t>
      </w:r>
      <w:r w:rsidRPr="04695E47" w:rsidR="009410DE">
        <w:rPr>
          <w:rFonts w:ascii="Arial" w:eastAsia="Times New Roman" w:hAnsi="Arial" w:cs="Arial"/>
          <w:sz w:val="24"/>
          <w:szCs w:val="24"/>
        </w:rPr>
        <w:t>s</w:t>
      </w:r>
      <w:r w:rsidRPr="04695E47">
        <w:rPr>
          <w:rFonts w:ascii="Arial" w:eastAsia="Times New Roman" w:hAnsi="Arial" w:cs="Arial"/>
          <w:sz w:val="24"/>
          <w:szCs w:val="24"/>
        </w:rPr>
        <w:t xml:space="preserve"> in a significant reduction in the average time to submit a loan for guaranty. </w:t>
      </w:r>
      <w:r w:rsidRPr="04695E47" w:rsidR="00CC1374">
        <w:rPr>
          <w:rFonts w:ascii="Arial" w:eastAsia="Times New Roman" w:hAnsi="Arial" w:cs="Arial"/>
          <w:sz w:val="24"/>
          <w:szCs w:val="24"/>
        </w:rPr>
        <w:t>While updating this ICR</w:t>
      </w:r>
      <w:r w:rsidR="003051F4">
        <w:rPr>
          <w:rFonts w:ascii="Arial" w:eastAsia="Times New Roman" w:hAnsi="Arial" w:cs="Arial"/>
          <w:sz w:val="24"/>
          <w:szCs w:val="24"/>
        </w:rPr>
        <w:t>,</w:t>
      </w:r>
      <w:r w:rsidRPr="04695E47" w:rsidR="00CC1374">
        <w:rPr>
          <w:rFonts w:ascii="Arial" w:eastAsia="Times New Roman" w:hAnsi="Arial" w:cs="Arial"/>
          <w:sz w:val="24"/>
          <w:szCs w:val="24"/>
        </w:rPr>
        <w:t xml:space="preserve"> VA noted that there was a misreporting in the total public burden hours on the previous supporting statement. While the table in question 12 reflected</w:t>
      </w:r>
      <w:r w:rsidRPr="04695E47" w:rsidR="00EC1411">
        <w:rPr>
          <w:rFonts w:ascii="Arial" w:eastAsia="Times New Roman" w:hAnsi="Arial" w:cs="Arial"/>
          <w:sz w:val="24"/>
          <w:szCs w:val="24"/>
        </w:rPr>
        <w:t xml:space="preserve"> 128,554.50 hours, the total burden hour reported was only 67,452 hours. Regardless of this miscalculation, the process improvements and technological processes result in a significant burden hour reduction. </w:t>
      </w:r>
      <w:r w:rsidRPr="04695E47" w:rsidR="008963A6">
        <w:rPr>
          <w:rFonts w:ascii="Arial" w:eastAsia="Times New Roman" w:hAnsi="Arial" w:cs="Arial"/>
          <w:sz w:val="24"/>
          <w:szCs w:val="24"/>
        </w:rPr>
        <w:t xml:space="preserve">VA also expects that the ease and convenience of loan submission through VA’s Loan Guaranty API will reduce the number of loans reported late, as such the number of loans reported </w:t>
      </w:r>
      <w:r w:rsidRPr="04695E47" w:rsidR="0105D4CC">
        <w:rPr>
          <w:rFonts w:ascii="Arial" w:eastAsia="Times New Roman" w:hAnsi="Arial" w:cs="Arial"/>
          <w:sz w:val="24"/>
          <w:szCs w:val="24"/>
        </w:rPr>
        <w:t>late,</w:t>
      </w:r>
      <w:r w:rsidRPr="04695E47" w:rsidR="008963A6">
        <w:rPr>
          <w:rFonts w:ascii="Arial" w:eastAsia="Times New Roman" w:hAnsi="Arial" w:cs="Arial"/>
          <w:sz w:val="24"/>
          <w:szCs w:val="24"/>
        </w:rPr>
        <w:t xml:space="preserve"> and the associated burden decreased since the last submission</w:t>
      </w:r>
      <w:r>
        <w:rPr>
          <w:rFonts w:ascii="Arial" w:eastAsia="Times New Roman" w:hAnsi="Arial" w:cs="Arial"/>
          <w:sz w:val="24"/>
          <w:szCs w:val="24"/>
        </w:rPr>
        <w:t>.</w:t>
      </w:r>
    </w:p>
    <w:p w:rsidR="00A014C3" w:rsidRPr="004814CC" w:rsidP="000A234A" w14:paraId="2FD66596" w14:textId="77777777">
      <w:pPr>
        <w:spacing w:after="0" w:line="240" w:lineRule="auto"/>
        <w:rPr>
          <w:rFonts w:ascii="Arial" w:hAnsi="Arial" w:cs="Arial"/>
          <w:sz w:val="24"/>
          <w:szCs w:val="24"/>
        </w:rPr>
      </w:pPr>
    </w:p>
    <w:p w:rsidR="00463D10" w:rsidP="00463D10" w14:paraId="6A0B8E87"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For collections of information whose results will be published, outline plans for tabulation and publication.  Address any complex analytical techniques that will be used.  Provide the </w:t>
      </w:r>
      <w:r>
        <w:rPr>
          <w:rFonts w:ascii="Arial" w:eastAsia="Times New Roman" w:hAnsi="Arial" w:cs="Arial"/>
          <w:b/>
          <w:sz w:val="24"/>
          <w:szCs w:val="24"/>
        </w:rPr>
        <w:t>time schedule for the entire project, including beginning and ending dates of the collection of information, completion of report, publication dates, and other actions.</w:t>
      </w:r>
    </w:p>
    <w:p w:rsidR="00463D10" w:rsidP="00463D10" w14:paraId="6A0B8E88"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0513C4" w:rsidRPr="00A014C3" w:rsidP="000513C4" w14:paraId="7C078EDE" w14:textId="77777777">
      <w:pPr>
        <w:pStyle w:val="BodyText"/>
        <w:ind w:firstLine="720"/>
        <w:rPr>
          <w:rFonts w:ascii="Arial" w:hAnsi="Arial" w:cs="Arial"/>
          <w:color w:val="auto"/>
          <w:szCs w:val="24"/>
        </w:rPr>
      </w:pPr>
      <w:r w:rsidRPr="00A014C3">
        <w:rPr>
          <w:rFonts w:ascii="Arial" w:hAnsi="Arial" w:cs="Arial"/>
          <w:color w:val="auto"/>
          <w:szCs w:val="24"/>
        </w:rPr>
        <w:t>VA does not publish this information or make it available for publication.</w:t>
      </w:r>
    </w:p>
    <w:p w:rsidR="00463D10" w:rsidP="00463D10" w14:paraId="6A0B8E8A" w14:textId="77777777">
      <w:pPr>
        <w:spacing w:after="0" w:line="240" w:lineRule="auto"/>
        <w:ind w:left="720"/>
        <w:contextualSpacing/>
        <w:rPr>
          <w:rFonts w:ascii="Arial" w:eastAsia="Times New Roman" w:hAnsi="Arial" w:cs="Arial"/>
          <w:color w:val="A6A6A6" w:themeColor="background1" w:themeShade="A6"/>
          <w:sz w:val="24"/>
          <w:szCs w:val="24"/>
        </w:rPr>
      </w:pPr>
    </w:p>
    <w:p w:rsidR="00463D10" w:rsidP="00463D10" w14:paraId="6A0B8E8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If seeking approval to not display the expiration date</w:t>
      </w:r>
      <w:r>
        <w:rPr>
          <w:rFonts w:ascii="Arial" w:eastAsia="Times New Roman" w:hAnsi="Arial" w:cs="Arial"/>
          <w:b/>
          <w:color w:val="0000FF"/>
          <w:sz w:val="24"/>
          <w:szCs w:val="24"/>
        </w:rPr>
        <w:t xml:space="preserve"> </w:t>
      </w:r>
      <w:r>
        <w:rPr>
          <w:rFonts w:ascii="Arial" w:eastAsia="Times New Roman" w:hAnsi="Arial" w:cs="Arial"/>
          <w:b/>
          <w:sz w:val="24"/>
          <w:szCs w:val="24"/>
        </w:rPr>
        <w:t>for OMB approval of the information collection, explain the reasons that display would be inappropriate.</w:t>
      </w:r>
    </w:p>
    <w:p w:rsidR="00463D10" w:rsidP="00463D10" w14:paraId="6A0B8E8C"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A014C3" w:rsidP="00463D10" w14:paraId="6A0B8E8D" w14:textId="5E5E3CD8">
      <w:pPr>
        <w:tabs>
          <w:tab w:val="left" w:pos="480"/>
          <w:tab w:val="right" w:pos="8640"/>
        </w:tabs>
        <w:spacing w:after="0" w:line="240" w:lineRule="auto"/>
        <w:ind w:left="720" w:right="684"/>
        <w:contextualSpacing/>
        <w:rPr>
          <w:rFonts w:ascii="Arial" w:eastAsia="Times New Roman" w:hAnsi="Arial" w:cs="Arial"/>
          <w:sz w:val="24"/>
          <w:szCs w:val="24"/>
        </w:rPr>
      </w:pPr>
      <w:r w:rsidRPr="00A014C3">
        <w:rPr>
          <w:rFonts w:ascii="Arial" w:eastAsia="Times New Roman" w:hAnsi="Arial" w:cs="Arial"/>
          <w:sz w:val="24"/>
          <w:szCs w:val="24"/>
        </w:rPr>
        <w:t>We are not seeking approval to omit the expiration date for OMB approval.</w:t>
      </w:r>
    </w:p>
    <w:p w:rsidR="00125F42" w:rsidP="00463D10" w14:paraId="60511B4F"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A014C3" w:rsidP="00A014C3" w14:paraId="1B035ED1" w14:textId="77777777">
      <w:pPr>
        <w:pStyle w:val="ListParagraph"/>
        <w:numPr>
          <w:ilvl w:val="0"/>
          <w:numId w:val="1"/>
        </w:numPr>
        <w:rPr>
          <w:rFonts w:ascii="Arial" w:eastAsia="Times New Roman" w:hAnsi="Arial" w:cs="Arial"/>
          <w:b/>
          <w:sz w:val="24"/>
          <w:szCs w:val="24"/>
        </w:rPr>
      </w:pPr>
      <w:r>
        <w:rPr>
          <w:rFonts w:ascii="Arial" w:eastAsia="Times New Roman" w:hAnsi="Arial" w:cs="Arial"/>
          <w:b/>
          <w:sz w:val="24"/>
          <w:szCs w:val="24"/>
        </w:rPr>
        <w:t>Explain each exception to the certification statement identified in Item 19, “Certification for Paperwork Reduction Act Submissions,” of OMB 83-I.</w:t>
      </w:r>
    </w:p>
    <w:p w:rsidR="00A014C3" w:rsidP="00A014C3" w14:paraId="58A34BEA" w14:textId="77777777">
      <w:pPr>
        <w:pStyle w:val="ListParagraph"/>
        <w:rPr>
          <w:rFonts w:ascii="Arial" w:eastAsia="Times New Roman" w:hAnsi="Arial" w:cs="Arial"/>
          <w:b/>
          <w:sz w:val="24"/>
          <w:szCs w:val="24"/>
        </w:rPr>
      </w:pPr>
    </w:p>
    <w:p w:rsidR="00463D10" w:rsidRPr="00A014C3" w:rsidP="00A014C3" w14:paraId="6A0B8E92" w14:textId="6B593717">
      <w:pPr>
        <w:pStyle w:val="ListParagraph"/>
        <w:rPr>
          <w:rFonts w:ascii="Arial" w:eastAsia="Times New Roman" w:hAnsi="Arial" w:cs="Arial"/>
          <w:b/>
          <w:sz w:val="24"/>
          <w:szCs w:val="24"/>
        </w:rPr>
      </w:pPr>
      <w:r w:rsidRPr="00A014C3">
        <w:rPr>
          <w:rFonts w:ascii="Arial" w:eastAsia="Times New Roman" w:hAnsi="Arial" w:cs="Arial"/>
          <w:sz w:val="24"/>
          <w:szCs w:val="24"/>
        </w:rPr>
        <w:t>This submission does not contain any exceptions to the certification statement.</w:t>
      </w:r>
    </w:p>
    <w:p w:rsidR="00463D10" w:rsidP="00463D10" w14:paraId="6A0B8E93" w14:textId="0BA432D7">
      <w:pPr>
        <w:spacing w:after="0" w:line="240" w:lineRule="auto"/>
        <w:ind w:firstLine="360"/>
        <w:rPr>
          <w:rFonts w:ascii="Arial" w:eastAsia="Times New Roman" w:hAnsi="Arial" w:cs="Arial"/>
          <w:b/>
          <w:sz w:val="24"/>
          <w:szCs w:val="24"/>
        </w:rPr>
      </w:pPr>
      <w:r>
        <w:rPr>
          <w:rFonts w:ascii="Arial" w:eastAsia="Times New Roman" w:hAnsi="Arial" w:cs="Arial"/>
          <w:b/>
          <w:sz w:val="24"/>
          <w:szCs w:val="24"/>
        </w:rPr>
        <w:t xml:space="preserve">B.  </w:t>
      </w:r>
      <w:r>
        <w:rPr>
          <w:rFonts w:ascii="Arial" w:eastAsia="Times New Roman" w:hAnsi="Arial" w:cs="Arial"/>
          <w:b/>
          <w:sz w:val="24"/>
          <w:szCs w:val="24"/>
          <w:u w:val="single"/>
        </w:rPr>
        <w:t xml:space="preserve">Collection of Information Employing </w:t>
      </w:r>
      <w:r>
        <w:rPr>
          <w:rFonts w:ascii="Arial" w:eastAsia="Times New Roman" w:hAnsi="Arial" w:cs="Arial"/>
          <w:b/>
          <w:sz w:val="24"/>
          <w:szCs w:val="24"/>
          <w:u w:val="single"/>
        </w:rPr>
        <w:t>Statistical Methods</w:t>
      </w:r>
    </w:p>
    <w:p w:rsidR="00463D10" w:rsidP="00463D10" w14:paraId="6A0B8E94" w14:textId="77777777">
      <w:pPr>
        <w:spacing w:after="0" w:line="240" w:lineRule="auto"/>
        <w:rPr>
          <w:rFonts w:ascii="Arial" w:eastAsia="Times New Roman" w:hAnsi="Arial" w:cs="Arial"/>
          <w:sz w:val="24"/>
          <w:szCs w:val="24"/>
        </w:rPr>
      </w:pPr>
    </w:p>
    <w:p w:rsidR="000513C4" w:rsidRPr="00A014C3" w:rsidP="000513C4" w14:paraId="11FE20AB" w14:textId="77777777">
      <w:pPr>
        <w:pStyle w:val="BodyText"/>
        <w:ind w:left="720"/>
        <w:rPr>
          <w:rFonts w:ascii="Arial" w:hAnsi="Arial" w:cs="Arial"/>
          <w:color w:val="auto"/>
          <w:szCs w:val="24"/>
        </w:rPr>
      </w:pPr>
      <w:r w:rsidRPr="00A014C3">
        <w:rPr>
          <w:rFonts w:ascii="Arial" w:hAnsi="Arial" w:cs="Arial"/>
          <w:color w:val="auto"/>
          <w:szCs w:val="24"/>
        </w:rPr>
        <w:t>This collection of information by the Veterans Benefits Administration does not employ statistical methods.</w:t>
      </w:r>
    </w:p>
    <w:p w:rsidR="006332AE" w14:paraId="6A0B8E98" w14:textId="77777777"/>
    <w:sectPr w:rsidSect="00431774">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CEE" w14:paraId="55681B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4552898"/>
      <w:docPartObj>
        <w:docPartGallery w:val="Page Numbers (Bottom of Page)"/>
        <w:docPartUnique/>
      </w:docPartObj>
    </w:sdtPr>
    <w:sdtEndPr>
      <w:rPr>
        <w:rFonts w:ascii="Arial" w:hAnsi="Arial" w:cs="Arial"/>
        <w:noProof/>
        <w:sz w:val="24"/>
        <w:szCs w:val="24"/>
      </w:rPr>
    </w:sdtEndPr>
    <w:sdtContent>
      <w:p w:rsidR="00421F04" w:rsidRPr="00421F04" w14:paraId="3D4FB34E" w14:textId="2108C7F1">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rsidR="00421F04" w14:paraId="6150A19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CEE" w14:paraId="2AC567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CEE" w14:paraId="7BE0BF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53F" w:rsidRPr="005F453F" w:rsidP="005F453F" w14:paraId="0478F5BD" w14:textId="685D5CFA">
    <w:pPr>
      <w:pStyle w:val="Header"/>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CEE" w14:paraId="54E088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0076B"/>
    <w:multiLevelType w:val="hybridMultilevel"/>
    <w:tmpl w:val="8814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42A0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A2820A3"/>
    <w:multiLevelType w:val="hybridMultilevel"/>
    <w:tmpl w:val="14602E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AB6B87"/>
    <w:multiLevelType w:val="hybridMultilevel"/>
    <w:tmpl w:val="EFB6D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F8D6B4E"/>
    <w:multiLevelType w:val="hybridMultilevel"/>
    <w:tmpl w:val="0F70A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7549A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61C17C82"/>
    <w:multiLevelType w:val="hybridMultilevel"/>
    <w:tmpl w:val="DB96B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D1D0D74"/>
    <w:multiLevelType w:val="hybridMultilevel"/>
    <w:tmpl w:val="D556D7E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7D48043A"/>
    <w:multiLevelType w:val="hybridMultilevel"/>
    <w:tmpl w:val="B300BC6C"/>
    <w:lvl w:ilvl="0">
      <w:start w:val="1"/>
      <w:numFmt w:val="lowerLetter"/>
      <w:lvlText w:val="%1."/>
      <w:lvlJc w:val="left"/>
      <w:pPr>
        <w:ind w:left="108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834109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50655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62410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9722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7085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766287">
    <w:abstractNumId w:val="2"/>
  </w:num>
  <w:num w:numId="7" w16cid:durableId="214051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427348">
    <w:abstractNumId w:val="7"/>
  </w:num>
  <w:num w:numId="9" w16cid:durableId="140622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00DF2"/>
    <w:rsid w:val="00001305"/>
    <w:rsid w:val="000054F8"/>
    <w:rsid w:val="00011663"/>
    <w:rsid w:val="00016AF4"/>
    <w:rsid w:val="00020106"/>
    <w:rsid w:val="00020A3B"/>
    <w:rsid w:val="00021275"/>
    <w:rsid w:val="00021861"/>
    <w:rsid w:val="0002524A"/>
    <w:rsid w:val="00030488"/>
    <w:rsid w:val="000354C0"/>
    <w:rsid w:val="00035E1E"/>
    <w:rsid w:val="00036792"/>
    <w:rsid w:val="0004470F"/>
    <w:rsid w:val="000466A4"/>
    <w:rsid w:val="000513C4"/>
    <w:rsid w:val="000524A1"/>
    <w:rsid w:val="000560CF"/>
    <w:rsid w:val="000576A9"/>
    <w:rsid w:val="00061E6B"/>
    <w:rsid w:val="00064272"/>
    <w:rsid w:val="00070421"/>
    <w:rsid w:val="00070AAE"/>
    <w:rsid w:val="00070E49"/>
    <w:rsid w:val="00073027"/>
    <w:rsid w:val="0007341F"/>
    <w:rsid w:val="000808AB"/>
    <w:rsid w:val="00084706"/>
    <w:rsid w:val="0008645E"/>
    <w:rsid w:val="00090AF9"/>
    <w:rsid w:val="00092C23"/>
    <w:rsid w:val="00093218"/>
    <w:rsid w:val="000A0F10"/>
    <w:rsid w:val="000A234A"/>
    <w:rsid w:val="000A33B5"/>
    <w:rsid w:val="000A36FA"/>
    <w:rsid w:val="000A54DB"/>
    <w:rsid w:val="000B10FB"/>
    <w:rsid w:val="000B19E2"/>
    <w:rsid w:val="000B37B6"/>
    <w:rsid w:val="000C1360"/>
    <w:rsid w:val="000C3C6E"/>
    <w:rsid w:val="000C417B"/>
    <w:rsid w:val="000C6547"/>
    <w:rsid w:val="000D1D33"/>
    <w:rsid w:val="000D7B38"/>
    <w:rsid w:val="000E109E"/>
    <w:rsid w:val="000E1355"/>
    <w:rsid w:val="000E3093"/>
    <w:rsid w:val="000E3F35"/>
    <w:rsid w:val="000F0708"/>
    <w:rsid w:val="000F0EBB"/>
    <w:rsid w:val="000F76D1"/>
    <w:rsid w:val="00100916"/>
    <w:rsid w:val="0010141F"/>
    <w:rsid w:val="00101CBD"/>
    <w:rsid w:val="001023C8"/>
    <w:rsid w:val="001026FE"/>
    <w:rsid w:val="00102E36"/>
    <w:rsid w:val="001222A3"/>
    <w:rsid w:val="00122FBF"/>
    <w:rsid w:val="00125F42"/>
    <w:rsid w:val="001269E4"/>
    <w:rsid w:val="00127576"/>
    <w:rsid w:val="00137631"/>
    <w:rsid w:val="00140BE1"/>
    <w:rsid w:val="0014123A"/>
    <w:rsid w:val="001451EE"/>
    <w:rsid w:val="001460DD"/>
    <w:rsid w:val="00151763"/>
    <w:rsid w:val="00164F79"/>
    <w:rsid w:val="001656B4"/>
    <w:rsid w:val="00166E85"/>
    <w:rsid w:val="00181989"/>
    <w:rsid w:val="00182E58"/>
    <w:rsid w:val="0018366E"/>
    <w:rsid w:val="001848FB"/>
    <w:rsid w:val="001863BF"/>
    <w:rsid w:val="001865CB"/>
    <w:rsid w:val="00192E7C"/>
    <w:rsid w:val="00194A65"/>
    <w:rsid w:val="001A1B0C"/>
    <w:rsid w:val="001A4D68"/>
    <w:rsid w:val="001B10C9"/>
    <w:rsid w:val="001B6A4D"/>
    <w:rsid w:val="001B7716"/>
    <w:rsid w:val="001C2EDA"/>
    <w:rsid w:val="001C2F55"/>
    <w:rsid w:val="001C49AB"/>
    <w:rsid w:val="001D2932"/>
    <w:rsid w:val="001D4B7D"/>
    <w:rsid w:val="001E3B7F"/>
    <w:rsid w:val="001E79E3"/>
    <w:rsid w:val="001F3023"/>
    <w:rsid w:val="00206E36"/>
    <w:rsid w:val="0020731F"/>
    <w:rsid w:val="002157A5"/>
    <w:rsid w:val="002159B6"/>
    <w:rsid w:val="00215DC3"/>
    <w:rsid w:val="00223486"/>
    <w:rsid w:val="00226721"/>
    <w:rsid w:val="00227317"/>
    <w:rsid w:val="00230783"/>
    <w:rsid w:val="00233BA3"/>
    <w:rsid w:val="00251328"/>
    <w:rsid w:val="00253370"/>
    <w:rsid w:val="00253598"/>
    <w:rsid w:val="00255A1C"/>
    <w:rsid w:val="00256085"/>
    <w:rsid w:val="00263AD1"/>
    <w:rsid w:val="0026584B"/>
    <w:rsid w:val="00267238"/>
    <w:rsid w:val="00270830"/>
    <w:rsid w:val="002741B3"/>
    <w:rsid w:val="00275724"/>
    <w:rsid w:val="00275929"/>
    <w:rsid w:val="0027735B"/>
    <w:rsid w:val="00287880"/>
    <w:rsid w:val="00292CDF"/>
    <w:rsid w:val="002936AB"/>
    <w:rsid w:val="002A5D2A"/>
    <w:rsid w:val="002A70B2"/>
    <w:rsid w:val="002A7C4D"/>
    <w:rsid w:val="002B06F5"/>
    <w:rsid w:val="002B1340"/>
    <w:rsid w:val="002B67AA"/>
    <w:rsid w:val="002C4054"/>
    <w:rsid w:val="002C68D2"/>
    <w:rsid w:val="002D3AFA"/>
    <w:rsid w:val="002D4FC4"/>
    <w:rsid w:val="002E4BF8"/>
    <w:rsid w:val="002E5607"/>
    <w:rsid w:val="002E6E01"/>
    <w:rsid w:val="002F26B9"/>
    <w:rsid w:val="002F4CE0"/>
    <w:rsid w:val="002F4ED9"/>
    <w:rsid w:val="002F56A4"/>
    <w:rsid w:val="002F673E"/>
    <w:rsid w:val="003051F4"/>
    <w:rsid w:val="0030566B"/>
    <w:rsid w:val="00317B3C"/>
    <w:rsid w:val="00320CFC"/>
    <w:rsid w:val="00323044"/>
    <w:rsid w:val="00323F93"/>
    <w:rsid w:val="003242C0"/>
    <w:rsid w:val="00326753"/>
    <w:rsid w:val="00326DC7"/>
    <w:rsid w:val="003301DD"/>
    <w:rsid w:val="00333806"/>
    <w:rsid w:val="003355F2"/>
    <w:rsid w:val="0034396A"/>
    <w:rsid w:val="003440A0"/>
    <w:rsid w:val="00344933"/>
    <w:rsid w:val="00344A7B"/>
    <w:rsid w:val="003522E0"/>
    <w:rsid w:val="00354B09"/>
    <w:rsid w:val="00354E41"/>
    <w:rsid w:val="003730CD"/>
    <w:rsid w:val="00373A3C"/>
    <w:rsid w:val="003771A5"/>
    <w:rsid w:val="00380893"/>
    <w:rsid w:val="00391E13"/>
    <w:rsid w:val="00392983"/>
    <w:rsid w:val="003A3007"/>
    <w:rsid w:val="003A5551"/>
    <w:rsid w:val="003A5712"/>
    <w:rsid w:val="003B13A6"/>
    <w:rsid w:val="003B2150"/>
    <w:rsid w:val="003B25A0"/>
    <w:rsid w:val="003B28B3"/>
    <w:rsid w:val="003B3A93"/>
    <w:rsid w:val="003B4C65"/>
    <w:rsid w:val="003B74F7"/>
    <w:rsid w:val="003B777F"/>
    <w:rsid w:val="003C0C18"/>
    <w:rsid w:val="003C6034"/>
    <w:rsid w:val="003D3784"/>
    <w:rsid w:val="003D60E9"/>
    <w:rsid w:val="003D6445"/>
    <w:rsid w:val="003F14A6"/>
    <w:rsid w:val="003F79F0"/>
    <w:rsid w:val="004027A4"/>
    <w:rsid w:val="0040293D"/>
    <w:rsid w:val="00402B54"/>
    <w:rsid w:val="00404A1A"/>
    <w:rsid w:val="0040532E"/>
    <w:rsid w:val="0040620E"/>
    <w:rsid w:val="00406774"/>
    <w:rsid w:val="00410324"/>
    <w:rsid w:val="004106FE"/>
    <w:rsid w:val="0041244A"/>
    <w:rsid w:val="00413EF8"/>
    <w:rsid w:val="00421E68"/>
    <w:rsid w:val="00421F04"/>
    <w:rsid w:val="0042304B"/>
    <w:rsid w:val="00427BDD"/>
    <w:rsid w:val="00431774"/>
    <w:rsid w:val="004319A9"/>
    <w:rsid w:val="00434673"/>
    <w:rsid w:val="004357D9"/>
    <w:rsid w:val="0044085F"/>
    <w:rsid w:val="004418DB"/>
    <w:rsid w:val="00443DDB"/>
    <w:rsid w:val="00444689"/>
    <w:rsid w:val="00446BBF"/>
    <w:rsid w:val="00450A75"/>
    <w:rsid w:val="00451B31"/>
    <w:rsid w:val="00454080"/>
    <w:rsid w:val="004557DA"/>
    <w:rsid w:val="00455D68"/>
    <w:rsid w:val="00457C34"/>
    <w:rsid w:val="00460FDF"/>
    <w:rsid w:val="00463D10"/>
    <w:rsid w:val="00464976"/>
    <w:rsid w:val="004663C9"/>
    <w:rsid w:val="004665A2"/>
    <w:rsid w:val="00466B06"/>
    <w:rsid w:val="004744F9"/>
    <w:rsid w:val="00474971"/>
    <w:rsid w:val="004814CC"/>
    <w:rsid w:val="00484A60"/>
    <w:rsid w:val="00485C63"/>
    <w:rsid w:val="00491616"/>
    <w:rsid w:val="00491FB0"/>
    <w:rsid w:val="0049691D"/>
    <w:rsid w:val="004A03A3"/>
    <w:rsid w:val="004A18C1"/>
    <w:rsid w:val="004A2B59"/>
    <w:rsid w:val="004A5FFB"/>
    <w:rsid w:val="004A731D"/>
    <w:rsid w:val="004B454B"/>
    <w:rsid w:val="004B68DF"/>
    <w:rsid w:val="004C2042"/>
    <w:rsid w:val="004D02A0"/>
    <w:rsid w:val="004D0E68"/>
    <w:rsid w:val="004D2AB1"/>
    <w:rsid w:val="004D5A46"/>
    <w:rsid w:val="004E29ED"/>
    <w:rsid w:val="004E3335"/>
    <w:rsid w:val="004E7F6E"/>
    <w:rsid w:val="004F2806"/>
    <w:rsid w:val="004F322B"/>
    <w:rsid w:val="004F6411"/>
    <w:rsid w:val="00502BE6"/>
    <w:rsid w:val="005041C0"/>
    <w:rsid w:val="00510D0A"/>
    <w:rsid w:val="00512157"/>
    <w:rsid w:val="00512AD3"/>
    <w:rsid w:val="005158A6"/>
    <w:rsid w:val="0051681E"/>
    <w:rsid w:val="00516E88"/>
    <w:rsid w:val="005272B9"/>
    <w:rsid w:val="00530D80"/>
    <w:rsid w:val="005318AF"/>
    <w:rsid w:val="005318F6"/>
    <w:rsid w:val="005347E8"/>
    <w:rsid w:val="00536461"/>
    <w:rsid w:val="00536943"/>
    <w:rsid w:val="00536CC3"/>
    <w:rsid w:val="00544176"/>
    <w:rsid w:val="00546481"/>
    <w:rsid w:val="005568CD"/>
    <w:rsid w:val="00561529"/>
    <w:rsid w:val="00562846"/>
    <w:rsid w:val="005669DF"/>
    <w:rsid w:val="005673C9"/>
    <w:rsid w:val="0057425B"/>
    <w:rsid w:val="00574827"/>
    <w:rsid w:val="005839C0"/>
    <w:rsid w:val="0059160B"/>
    <w:rsid w:val="00594A2E"/>
    <w:rsid w:val="005A0F3E"/>
    <w:rsid w:val="005A4B99"/>
    <w:rsid w:val="005B04D2"/>
    <w:rsid w:val="005B19B7"/>
    <w:rsid w:val="005B3DFC"/>
    <w:rsid w:val="005C05B2"/>
    <w:rsid w:val="005C243A"/>
    <w:rsid w:val="005C2583"/>
    <w:rsid w:val="005C366C"/>
    <w:rsid w:val="005D0B1C"/>
    <w:rsid w:val="005D13FC"/>
    <w:rsid w:val="005D15D1"/>
    <w:rsid w:val="005D4FB0"/>
    <w:rsid w:val="005D51B6"/>
    <w:rsid w:val="005D610F"/>
    <w:rsid w:val="005D74C7"/>
    <w:rsid w:val="005D7D62"/>
    <w:rsid w:val="005E7174"/>
    <w:rsid w:val="005E7B05"/>
    <w:rsid w:val="005F453F"/>
    <w:rsid w:val="005F7370"/>
    <w:rsid w:val="006011C7"/>
    <w:rsid w:val="00605D0B"/>
    <w:rsid w:val="00606830"/>
    <w:rsid w:val="00611AE0"/>
    <w:rsid w:val="006130A5"/>
    <w:rsid w:val="00625D78"/>
    <w:rsid w:val="00627F28"/>
    <w:rsid w:val="00630655"/>
    <w:rsid w:val="006332AE"/>
    <w:rsid w:val="00636B8A"/>
    <w:rsid w:val="0064101F"/>
    <w:rsid w:val="00644978"/>
    <w:rsid w:val="00646C5F"/>
    <w:rsid w:val="00656329"/>
    <w:rsid w:val="00660033"/>
    <w:rsid w:val="00661853"/>
    <w:rsid w:val="00662BF3"/>
    <w:rsid w:val="00663A43"/>
    <w:rsid w:val="00675842"/>
    <w:rsid w:val="006764DD"/>
    <w:rsid w:val="0068428B"/>
    <w:rsid w:val="0068599B"/>
    <w:rsid w:val="00687527"/>
    <w:rsid w:val="00695D52"/>
    <w:rsid w:val="006A2E9A"/>
    <w:rsid w:val="006A368E"/>
    <w:rsid w:val="006A4B01"/>
    <w:rsid w:val="006A7365"/>
    <w:rsid w:val="006B1AD3"/>
    <w:rsid w:val="006B5F5D"/>
    <w:rsid w:val="006B7CB3"/>
    <w:rsid w:val="006C0AF7"/>
    <w:rsid w:val="006C1332"/>
    <w:rsid w:val="006C363D"/>
    <w:rsid w:val="006C3756"/>
    <w:rsid w:val="006C7226"/>
    <w:rsid w:val="006C7A43"/>
    <w:rsid w:val="006D11F3"/>
    <w:rsid w:val="006D29DD"/>
    <w:rsid w:val="006D3413"/>
    <w:rsid w:val="006D68B3"/>
    <w:rsid w:val="006E10FE"/>
    <w:rsid w:val="006E18B3"/>
    <w:rsid w:val="006E31B1"/>
    <w:rsid w:val="006E3A54"/>
    <w:rsid w:val="006E5174"/>
    <w:rsid w:val="006E7A41"/>
    <w:rsid w:val="006F1BE8"/>
    <w:rsid w:val="006F58C8"/>
    <w:rsid w:val="006F60C1"/>
    <w:rsid w:val="006F6690"/>
    <w:rsid w:val="006F74C5"/>
    <w:rsid w:val="007034C6"/>
    <w:rsid w:val="00705337"/>
    <w:rsid w:val="007078A5"/>
    <w:rsid w:val="00710891"/>
    <w:rsid w:val="0071109F"/>
    <w:rsid w:val="0073059B"/>
    <w:rsid w:val="00731139"/>
    <w:rsid w:val="00734E40"/>
    <w:rsid w:val="00745236"/>
    <w:rsid w:val="007464DA"/>
    <w:rsid w:val="00746B8D"/>
    <w:rsid w:val="00750719"/>
    <w:rsid w:val="00751745"/>
    <w:rsid w:val="007531C6"/>
    <w:rsid w:val="00754A3B"/>
    <w:rsid w:val="00754A4B"/>
    <w:rsid w:val="00754E69"/>
    <w:rsid w:val="00756841"/>
    <w:rsid w:val="00760A22"/>
    <w:rsid w:val="00766188"/>
    <w:rsid w:val="00767CEE"/>
    <w:rsid w:val="00772405"/>
    <w:rsid w:val="00776BEC"/>
    <w:rsid w:val="00777492"/>
    <w:rsid w:val="0078026B"/>
    <w:rsid w:val="00783CFD"/>
    <w:rsid w:val="00792963"/>
    <w:rsid w:val="007977A3"/>
    <w:rsid w:val="007A7F50"/>
    <w:rsid w:val="007B064C"/>
    <w:rsid w:val="007B3351"/>
    <w:rsid w:val="007C0C07"/>
    <w:rsid w:val="007C0C0B"/>
    <w:rsid w:val="007C18BB"/>
    <w:rsid w:val="007C31B8"/>
    <w:rsid w:val="007C75CE"/>
    <w:rsid w:val="007D3045"/>
    <w:rsid w:val="007F0162"/>
    <w:rsid w:val="007F1D58"/>
    <w:rsid w:val="007F2CAB"/>
    <w:rsid w:val="007F7EC1"/>
    <w:rsid w:val="00803067"/>
    <w:rsid w:val="00805D29"/>
    <w:rsid w:val="00806523"/>
    <w:rsid w:val="008112F7"/>
    <w:rsid w:val="00811C68"/>
    <w:rsid w:val="00813E34"/>
    <w:rsid w:val="00817FBD"/>
    <w:rsid w:val="00823D1A"/>
    <w:rsid w:val="00824A4E"/>
    <w:rsid w:val="008322E4"/>
    <w:rsid w:val="008408E7"/>
    <w:rsid w:val="00844FDC"/>
    <w:rsid w:val="00852AF8"/>
    <w:rsid w:val="00855ADB"/>
    <w:rsid w:val="00862805"/>
    <w:rsid w:val="008643FC"/>
    <w:rsid w:val="00872BFF"/>
    <w:rsid w:val="00876DB0"/>
    <w:rsid w:val="00891662"/>
    <w:rsid w:val="008930A2"/>
    <w:rsid w:val="00894005"/>
    <w:rsid w:val="0089582D"/>
    <w:rsid w:val="008960FC"/>
    <w:rsid w:val="008963A6"/>
    <w:rsid w:val="008A0EA0"/>
    <w:rsid w:val="008A2A7A"/>
    <w:rsid w:val="008A2F2A"/>
    <w:rsid w:val="008A7C77"/>
    <w:rsid w:val="008A7D3F"/>
    <w:rsid w:val="008B3954"/>
    <w:rsid w:val="008B468E"/>
    <w:rsid w:val="008B4DA4"/>
    <w:rsid w:val="008C2B9B"/>
    <w:rsid w:val="008C4D3D"/>
    <w:rsid w:val="008C6F62"/>
    <w:rsid w:val="008D009F"/>
    <w:rsid w:val="008D2274"/>
    <w:rsid w:val="008D6EF9"/>
    <w:rsid w:val="008D703C"/>
    <w:rsid w:val="008D75B5"/>
    <w:rsid w:val="008E0155"/>
    <w:rsid w:val="008E17EC"/>
    <w:rsid w:val="008E42BD"/>
    <w:rsid w:val="008E655E"/>
    <w:rsid w:val="008F4CE8"/>
    <w:rsid w:val="008F66C3"/>
    <w:rsid w:val="008F6CCA"/>
    <w:rsid w:val="008F6E71"/>
    <w:rsid w:val="008F70EA"/>
    <w:rsid w:val="008F739A"/>
    <w:rsid w:val="009012F9"/>
    <w:rsid w:val="00901AE7"/>
    <w:rsid w:val="00902846"/>
    <w:rsid w:val="00903291"/>
    <w:rsid w:val="00903BB0"/>
    <w:rsid w:val="009179A1"/>
    <w:rsid w:val="0092003F"/>
    <w:rsid w:val="0092032E"/>
    <w:rsid w:val="00920569"/>
    <w:rsid w:val="00920C97"/>
    <w:rsid w:val="009211D2"/>
    <w:rsid w:val="00922ACE"/>
    <w:rsid w:val="00924E7D"/>
    <w:rsid w:val="00926C17"/>
    <w:rsid w:val="0093094B"/>
    <w:rsid w:val="00931180"/>
    <w:rsid w:val="009317FA"/>
    <w:rsid w:val="0093764B"/>
    <w:rsid w:val="009410DE"/>
    <w:rsid w:val="00941D7D"/>
    <w:rsid w:val="00944732"/>
    <w:rsid w:val="00944F06"/>
    <w:rsid w:val="00946277"/>
    <w:rsid w:val="0095253E"/>
    <w:rsid w:val="00952746"/>
    <w:rsid w:val="00954CAF"/>
    <w:rsid w:val="0095569A"/>
    <w:rsid w:val="009635C6"/>
    <w:rsid w:val="0096390D"/>
    <w:rsid w:val="00972C2B"/>
    <w:rsid w:val="00974D5F"/>
    <w:rsid w:val="0097692D"/>
    <w:rsid w:val="0097743A"/>
    <w:rsid w:val="009859F5"/>
    <w:rsid w:val="00986E04"/>
    <w:rsid w:val="00990221"/>
    <w:rsid w:val="009941C8"/>
    <w:rsid w:val="00996A49"/>
    <w:rsid w:val="009A1520"/>
    <w:rsid w:val="009B6AE3"/>
    <w:rsid w:val="009B6C94"/>
    <w:rsid w:val="009B7FF8"/>
    <w:rsid w:val="009C099E"/>
    <w:rsid w:val="009C16AA"/>
    <w:rsid w:val="009C43B2"/>
    <w:rsid w:val="009C5F5E"/>
    <w:rsid w:val="009C7167"/>
    <w:rsid w:val="009D1F7A"/>
    <w:rsid w:val="009D3F97"/>
    <w:rsid w:val="009D5FC7"/>
    <w:rsid w:val="009E05E3"/>
    <w:rsid w:val="009E55FB"/>
    <w:rsid w:val="009E7500"/>
    <w:rsid w:val="009F18E0"/>
    <w:rsid w:val="009F255B"/>
    <w:rsid w:val="009F6E29"/>
    <w:rsid w:val="00A014C3"/>
    <w:rsid w:val="00A02800"/>
    <w:rsid w:val="00A13D44"/>
    <w:rsid w:val="00A15D47"/>
    <w:rsid w:val="00A15F90"/>
    <w:rsid w:val="00A2152D"/>
    <w:rsid w:val="00A25BEB"/>
    <w:rsid w:val="00A27F0F"/>
    <w:rsid w:val="00A30A2D"/>
    <w:rsid w:val="00A36782"/>
    <w:rsid w:val="00A36BE6"/>
    <w:rsid w:val="00A42F1F"/>
    <w:rsid w:val="00A42FD2"/>
    <w:rsid w:val="00A436E5"/>
    <w:rsid w:val="00A45035"/>
    <w:rsid w:val="00A45DC4"/>
    <w:rsid w:val="00A5570D"/>
    <w:rsid w:val="00A63CEA"/>
    <w:rsid w:val="00A66826"/>
    <w:rsid w:val="00A70ED2"/>
    <w:rsid w:val="00A72074"/>
    <w:rsid w:val="00A72694"/>
    <w:rsid w:val="00A762BC"/>
    <w:rsid w:val="00A80673"/>
    <w:rsid w:val="00A922BC"/>
    <w:rsid w:val="00A92A5E"/>
    <w:rsid w:val="00A96D12"/>
    <w:rsid w:val="00AA212B"/>
    <w:rsid w:val="00AA522A"/>
    <w:rsid w:val="00AA735C"/>
    <w:rsid w:val="00AB0784"/>
    <w:rsid w:val="00AC1E0F"/>
    <w:rsid w:val="00AC1F64"/>
    <w:rsid w:val="00AD0CEF"/>
    <w:rsid w:val="00AD128D"/>
    <w:rsid w:val="00AD4C89"/>
    <w:rsid w:val="00AE1E7D"/>
    <w:rsid w:val="00AE3DD5"/>
    <w:rsid w:val="00AE553D"/>
    <w:rsid w:val="00AE5893"/>
    <w:rsid w:val="00AE799C"/>
    <w:rsid w:val="00AE7A2E"/>
    <w:rsid w:val="00AF0DA0"/>
    <w:rsid w:val="00AF2F3D"/>
    <w:rsid w:val="00AF3ED7"/>
    <w:rsid w:val="00AF45B0"/>
    <w:rsid w:val="00B0496B"/>
    <w:rsid w:val="00B14CB3"/>
    <w:rsid w:val="00B15DDA"/>
    <w:rsid w:val="00B221A5"/>
    <w:rsid w:val="00B22662"/>
    <w:rsid w:val="00B27894"/>
    <w:rsid w:val="00B308F5"/>
    <w:rsid w:val="00B3473D"/>
    <w:rsid w:val="00B354C7"/>
    <w:rsid w:val="00B356CF"/>
    <w:rsid w:val="00B4038A"/>
    <w:rsid w:val="00B40604"/>
    <w:rsid w:val="00B44275"/>
    <w:rsid w:val="00B44935"/>
    <w:rsid w:val="00B45B72"/>
    <w:rsid w:val="00B529D7"/>
    <w:rsid w:val="00B53B28"/>
    <w:rsid w:val="00B55D89"/>
    <w:rsid w:val="00B55EA8"/>
    <w:rsid w:val="00B56705"/>
    <w:rsid w:val="00B572A2"/>
    <w:rsid w:val="00B644EB"/>
    <w:rsid w:val="00B66561"/>
    <w:rsid w:val="00B66582"/>
    <w:rsid w:val="00B82092"/>
    <w:rsid w:val="00B8283E"/>
    <w:rsid w:val="00B836C8"/>
    <w:rsid w:val="00B85022"/>
    <w:rsid w:val="00B85A58"/>
    <w:rsid w:val="00B85AC3"/>
    <w:rsid w:val="00B879B5"/>
    <w:rsid w:val="00B90CAB"/>
    <w:rsid w:val="00B90E79"/>
    <w:rsid w:val="00B9372E"/>
    <w:rsid w:val="00B94F3F"/>
    <w:rsid w:val="00B95DCC"/>
    <w:rsid w:val="00B962F8"/>
    <w:rsid w:val="00BA14EE"/>
    <w:rsid w:val="00BA7131"/>
    <w:rsid w:val="00BA783B"/>
    <w:rsid w:val="00BD3178"/>
    <w:rsid w:val="00BD4B8F"/>
    <w:rsid w:val="00BE07F8"/>
    <w:rsid w:val="00BE2EA4"/>
    <w:rsid w:val="00BE3B46"/>
    <w:rsid w:val="00BE5137"/>
    <w:rsid w:val="00BF0022"/>
    <w:rsid w:val="00BF1095"/>
    <w:rsid w:val="00BF34C6"/>
    <w:rsid w:val="00BF3B50"/>
    <w:rsid w:val="00BF4651"/>
    <w:rsid w:val="00BF573C"/>
    <w:rsid w:val="00BF5D68"/>
    <w:rsid w:val="00BF744F"/>
    <w:rsid w:val="00C002AF"/>
    <w:rsid w:val="00C005EA"/>
    <w:rsid w:val="00C0513C"/>
    <w:rsid w:val="00C07657"/>
    <w:rsid w:val="00C1313A"/>
    <w:rsid w:val="00C13CBD"/>
    <w:rsid w:val="00C1606E"/>
    <w:rsid w:val="00C17DA8"/>
    <w:rsid w:val="00C2227E"/>
    <w:rsid w:val="00C22E2E"/>
    <w:rsid w:val="00C27CE5"/>
    <w:rsid w:val="00C30DE0"/>
    <w:rsid w:val="00C335BA"/>
    <w:rsid w:val="00C33BAE"/>
    <w:rsid w:val="00C33CB3"/>
    <w:rsid w:val="00C35224"/>
    <w:rsid w:val="00C35598"/>
    <w:rsid w:val="00C3699F"/>
    <w:rsid w:val="00C374CC"/>
    <w:rsid w:val="00C547AF"/>
    <w:rsid w:val="00C611F0"/>
    <w:rsid w:val="00C61A8E"/>
    <w:rsid w:val="00C6210C"/>
    <w:rsid w:val="00C63453"/>
    <w:rsid w:val="00C640A5"/>
    <w:rsid w:val="00C70770"/>
    <w:rsid w:val="00C72571"/>
    <w:rsid w:val="00C7520E"/>
    <w:rsid w:val="00C76164"/>
    <w:rsid w:val="00C76841"/>
    <w:rsid w:val="00C80A24"/>
    <w:rsid w:val="00C93863"/>
    <w:rsid w:val="00C95F64"/>
    <w:rsid w:val="00C96ABE"/>
    <w:rsid w:val="00CA067A"/>
    <w:rsid w:val="00CA0B6F"/>
    <w:rsid w:val="00CA3FD6"/>
    <w:rsid w:val="00CA7953"/>
    <w:rsid w:val="00CB3DB5"/>
    <w:rsid w:val="00CB6E3B"/>
    <w:rsid w:val="00CB6F95"/>
    <w:rsid w:val="00CB7122"/>
    <w:rsid w:val="00CB7E10"/>
    <w:rsid w:val="00CC1374"/>
    <w:rsid w:val="00CC2FA9"/>
    <w:rsid w:val="00CC6CC3"/>
    <w:rsid w:val="00CC75F1"/>
    <w:rsid w:val="00CD55CF"/>
    <w:rsid w:val="00CE0305"/>
    <w:rsid w:val="00CE03EE"/>
    <w:rsid w:val="00D00433"/>
    <w:rsid w:val="00D01E56"/>
    <w:rsid w:val="00D061E0"/>
    <w:rsid w:val="00D11728"/>
    <w:rsid w:val="00D14838"/>
    <w:rsid w:val="00D17FF2"/>
    <w:rsid w:val="00D22DFB"/>
    <w:rsid w:val="00D24D4E"/>
    <w:rsid w:val="00D259AD"/>
    <w:rsid w:val="00D30223"/>
    <w:rsid w:val="00D34862"/>
    <w:rsid w:val="00D36632"/>
    <w:rsid w:val="00D3783C"/>
    <w:rsid w:val="00D403A7"/>
    <w:rsid w:val="00D414B6"/>
    <w:rsid w:val="00D43F55"/>
    <w:rsid w:val="00D44057"/>
    <w:rsid w:val="00D52C62"/>
    <w:rsid w:val="00D57373"/>
    <w:rsid w:val="00D600CB"/>
    <w:rsid w:val="00D63AD5"/>
    <w:rsid w:val="00D63D12"/>
    <w:rsid w:val="00D63FDF"/>
    <w:rsid w:val="00D64477"/>
    <w:rsid w:val="00D70595"/>
    <w:rsid w:val="00D76A19"/>
    <w:rsid w:val="00D770B1"/>
    <w:rsid w:val="00D8237E"/>
    <w:rsid w:val="00D839C7"/>
    <w:rsid w:val="00D8793E"/>
    <w:rsid w:val="00D94E0D"/>
    <w:rsid w:val="00D962A3"/>
    <w:rsid w:val="00D96566"/>
    <w:rsid w:val="00D97133"/>
    <w:rsid w:val="00DA3233"/>
    <w:rsid w:val="00DA4FDA"/>
    <w:rsid w:val="00DA5151"/>
    <w:rsid w:val="00DB0115"/>
    <w:rsid w:val="00DB5CF8"/>
    <w:rsid w:val="00DB6E00"/>
    <w:rsid w:val="00DB6F48"/>
    <w:rsid w:val="00DC0A83"/>
    <w:rsid w:val="00DC1C05"/>
    <w:rsid w:val="00DD4C44"/>
    <w:rsid w:val="00DD6F03"/>
    <w:rsid w:val="00DE3E87"/>
    <w:rsid w:val="00DF109F"/>
    <w:rsid w:val="00E03CB2"/>
    <w:rsid w:val="00E0427E"/>
    <w:rsid w:val="00E068AE"/>
    <w:rsid w:val="00E11ADD"/>
    <w:rsid w:val="00E1421A"/>
    <w:rsid w:val="00E1483E"/>
    <w:rsid w:val="00E14E16"/>
    <w:rsid w:val="00E16D8B"/>
    <w:rsid w:val="00E2074A"/>
    <w:rsid w:val="00E21F0F"/>
    <w:rsid w:val="00E249B1"/>
    <w:rsid w:val="00E25371"/>
    <w:rsid w:val="00E315E6"/>
    <w:rsid w:val="00E32EBD"/>
    <w:rsid w:val="00E35D8F"/>
    <w:rsid w:val="00E374A8"/>
    <w:rsid w:val="00E40930"/>
    <w:rsid w:val="00E42C59"/>
    <w:rsid w:val="00E42ED3"/>
    <w:rsid w:val="00E45518"/>
    <w:rsid w:val="00E45556"/>
    <w:rsid w:val="00E45586"/>
    <w:rsid w:val="00E463BB"/>
    <w:rsid w:val="00E464D3"/>
    <w:rsid w:val="00E5094F"/>
    <w:rsid w:val="00E551FE"/>
    <w:rsid w:val="00E57F95"/>
    <w:rsid w:val="00E60C2C"/>
    <w:rsid w:val="00E663C8"/>
    <w:rsid w:val="00E72A02"/>
    <w:rsid w:val="00E72A0C"/>
    <w:rsid w:val="00E80AFB"/>
    <w:rsid w:val="00E83926"/>
    <w:rsid w:val="00E852E7"/>
    <w:rsid w:val="00E918F7"/>
    <w:rsid w:val="00E91E08"/>
    <w:rsid w:val="00E955F2"/>
    <w:rsid w:val="00E95B60"/>
    <w:rsid w:val="00EA3C4A"/>
    <w:rsid w:val="00EA3DB2"/>
    <w:rsid w:val="00EA4EE2"/>
    <w:rsid w:val="00EA7392"/>
    <w:rsid w:val="00EB5BDC"/>
    <w:rsid w:val="00EC0EBB"/>
    <w:rsid w:val="00EC1411"/>
    <w:rsid w:val="00EC3D9D"/>
    <w:rsid w:val="00EC4F8A"/>
    <w:rsid w:val="00ED0658"/>
    <w:rsid w:val="00ED0FBB"/>
    <w:rsid w:val="00ED1109"/>
    <w:rsid w:val="00ED6C1D"/>
    <w:rsid w:val="00ED7B5B"/>
    <w:rsid w:val="00EE1A05"/>
    <w:rsid w:val="00EE1BA8"/>
    <w:rsid w:val="00EE1EB9"/>
    <w:rsid w:val="00EE51AE"/>
    <w:rsid w:val="00EE6929"/>
    <w:rsid w:val="00EF07A7"/>
    <w:rsid w:val="00EF258A"/>
    <w:rsid w:val="00EF34BC"/>
    <w:rsid w:val="00EF37DC"/>
    <w:rsid w:val="00EF6DAC"/>
    <w:rsid w:val="00EF7253"/>
    <w:rsid w:val="00F0354E"/>
    <w:rsid w:val="00F04747"/>
    <w:rsid w:val="00F068F1"/>
    <w:rsid w:val="00F1030C"/>
    <w:rsid w:val="00F116B3"/>
    <w:rsid w:val="00F11E73"/>
    <w:rsid w:val="00F128DA"/>
    <w:rsid w:val="00F232DB"/>
    <w:rsid w:val="00F250CB"/>
    <w:rsid w:val="00F31C4D"/>
    <w:rsid w:val="00F347F9"/>
    <w:rsid w:val="00F34F4A"/>
    <w:rsid w:val="00F36E25"/>
    <w:rsid w:val="00F43376"/>
    <w:rsid w:val="00F43544"/>
    <w:rsid w:val="00F44149"/>
    <w:rsid w:val="00F45690"/>
    <w:rsid w:val="00F45C95"/>
    <w:rsid w:val="00F47EFA"/>
    <w:rsid w:val="00F50536"/>
    <w:rsid w:val="00F5607A"/>
    <w:rsid w:val="00F565AF"/>
    <w:rsid w:val="00F65A51"/>
    <w:rsid w:val="00F6748B"/>
    <w:rsid w:val="00F71DFC"/>
    <w:rsid w:val="00F7405E"/>
    <w:rsid w:val="00F742CE"/>
    <w:rsid w:val="00F757D0"/>
    <w:rsid w:val="00F7779E"/>
    <w:rsid w:val="00F834B2"/>
    <w:rsid w:val="00F8419F"/>
    <w:rsid w:val="00F86070"/>
    <w:rsid w:val="00F8642F"/>
    <w:rsid w:val="00F935E4"/>
    <w:rsid w:val="00F95A9A"/>
    <w:rsid w:val="00F97AEA"/>
    <w:rsid w:val="00F97C47"/>
    <w:rsid w:val="00FA688C"/>
    <w:rsid w:val="00FA7DA8"/>
    <w:rsid w:val="00FB2E9D"/>
    <w:rsid w:val="00FB3D86"/>
    <w:rsid w:val="00FB4635"/>
    <w:rsid w:val="00FC150D"/>
    <w:rsid w:val="00FC4833"/>
    <w:rsid w:val="00FC624E"/>
    <w:rsid w:val="00FC7A0C"/>
    <w:rsid w:val="00FD1A9E"/>
    <w:rsid w:val="00FD30C0"/>
    <w:rsid w:val="00FD37E9"/>
    <w:rsid w:val="00FD65F4"/>
    <w:rsid w:val="00FD69EC"/>
    <w:rsid w:val="00FD7439"/>
    <w:rsid w:val="00FE08CD"/>
    <w:rsid w:val="00FE391A"/>
    <w:rsid w:val="00FF0AD8"/>
    <w:rsid w:val="00FF33C9"/>
    <w:rsid w:val="00FF58FF"/>
    <w:rsid w:val="00FF5B53"/>
    <w:rsid w:val="00FF5C82"/>
    <w:rsid w:val="00FF76A0"/>
    <w:rsid w:val="0102EFD0"/>
    <w:rsid w:val="0105D4CC"/>
    <w:rsid w:val="04695E47"/>
    <w:rsid w:val="06235A17"/>
    <w:rsid w:val="06AAB5D8"/>
    <w:rsid w:val="0B22DC44"/>
    <w:rsid w:val="0BF8EDEB"/>
    <w:rsid w:val="0CA8E8DF"/>
    <w:rsid w:val="0D8D75EC"/>
    <w:rsid w:val="0FA83AFD"/>
    <w:rsid w:val="1018FBDB"/>
    <w:rsid w:val="117C5A02"/>
    <w:rsid w:val="1563F5B8"/>
    <w:rsid w:val="1BD3373C"/>
    <w:rsid w:val="1EFA479A"/>
    <w:rsid w:val="237BB90A"/>
    <w:rsid w:val="26ADC928"/>
    <w:rsid w:val="317857C3"/>
    <w:rsid w:val="3812219E"/>
    <w:rsid w:val="3912B6C9"/>
    <w:rsid w:val="4BE158AB"/>
    <w:rsid w:val="4C86ED85"/>
    <w:rsid w:val="4DB6CEE2"/>
    <w:rsid w:val="4F17AFC9"/>
    <w:rsid w:val="53B90F52"/>
    <w:rsid w:val="59F5650D"/>
    <w:rsid w:val="623EBC0D"/>
    <w:rsid w:val="628E9641"/>
    <w:rsid w:val="62AEEA3B"/>
    <w:rsid w:val="64F28906"/>
    <w:rsid w:val="663EF708"/>
    <w:rsid w:val="668E5967"/>
    <w:rsid w:val="66A82F52"/>
    <w:rsid w:val="66CD98A5"/>
    <w:rsid w:val="68F52CA5"/>
    <w:rsid w:val="69127360"/>
    <w:rsid w:val="6A5B1406"/>
    <w:rsid w:val="6B045BF0"/>
    <w:rsid w:val="6D828631"/>
    <w:rsid w:val="6F81B4E4"/>
    <w:rsid w:val="709DD9AE"/>
    <w:rsid w:val="711D8545"/>
    <w:rsid w:val="77C5C310"/>
    <w:rsid w:val="78B2ABDE"/>
    <w:rsid w:val="7ABD771F"/>
    <w:rsid w:val="7C138659"/>
    <w:rsid w:val="7CDDEFD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0B8E1F"/>
  <w15:docId w15:val="{36133072-B338-40B1-A780-28DB33D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9F18E0"/>
    <w:rPr>
      <w:color w:val="605E5C"/>
      <w:shd w:val="clear" w:color="auto" w:fill="E1DFDD"/>
    </w:rPr>
  </w:style>
  <w:style w:type="character" w:styleId="Mention">
    <w:name w:val="Mention"/>
    <w:basedOn w:val="DefaultParagraphFont"/>
    <w:uiPriority w:val="99"/>
    <w:unhideWhenUsed/>
    <w:rsid w:val="00AC1E0F"/>
    <w:rPr>
      <w:color w:val="2B579A"/>
      <w:shd w:val="clear" w:color="auto" w:fill="E1DFDD"/>
    </w:rPr>
  </w:style>
  <w:style w:type="paragraph" w:styleId="NormalWeb">
    <w:name w:val="Normal (Web)"/>
    <w:basedOn w:val="Normal"/>
    <w:unhideWhenUsed/>
    <w:rsid w:val="008C4D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32072.htm" TargetMode="External" /><Relationship Id="rId9" Type="http://schemas.openxmlformats.org/officeDocument/2006/relationships/hyperlink" Target="https://www.opm.gov/policy-data-oversight/pay-leave/salaries-wages/salary-tables/24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211C230A1BDC46808B994C9BB05712" ma:contentTypeVersion="18" ma:contentTypeDescription="Create a new document." ma:contentTypeScope="" ma:versionID="a5e9b38586629371a00da9ba6c0475da">
  <xsd:schema xmlns:xsd="http://www.w3.org/2001/XMLSchema" xmlns:xs="http://www.w3.org/2001/XMLSchema" xmlns:p="http://schemas.microsoft.com/office/2006/metadata/properties" xmlns:ns1="http://schemas.microsoft.com/sharepoint/v3" xmlns:ns2="a6d37c81-bfe7-4f4a-be3d-3ff3462d7fcb" xmlns:ns3="10b3b123-8079-44b0-ba74-59fe8923e6ce" targetNamespace="http://schemas.microsoft.com/office/2006/metadata/properties" ma:root="true" ma:fieldsID="ec1e19f108e6c63bbba385bc914b9088" ns1:_="" ns2:_="" ns3:_="">
    <xsd:import namespace="http://schemas.microsoft.com/sharepoint/v3"/>
    <xsd:import namespace="a6d37c81-bfe7-4f4a-be3d-3ff3462d7fcb"/>
    <xsd:import namespace="10b3b123-8079-44b0-ba74-59fe8923e6ce"/>
    <xsd:element name="properties">
      <xsd:complexType>
        <xsd:sequence>
          <xsd:element name="documentManagement">
            <xsd:complexType>
              <xsd:all>
                <xsd:element ref="ns2:DocumentDescription" minOccurs="0"/>
                <xsd:element ref="ns2:RuleStage"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7c81-bfe7-4f4a-be3d-3ff3462d7fcb" elementFormDefault="qualified">
    <xsd:import namespace="http://schemas.microsoft.com/office/2006/documentManagement/types"/>
    <xsd:import namespace="http://schemas.microsoft.com/office/infopath/2007/PartnerControls"/>
    <xsd:element name="DocumentDescription" ma:index="2" nillable="true" ma:displayName="Document Description" ma:format="Dropdown" ma:internalName="DocumentDescription" ma:readOnly="false">
      <xsd:simpleType>
        <xsd:restriction base="dms:Text">
          <xsd:maxLength value="255"/>
        </xsd:restriction>
      </xsd:simpleType>
    </xsd:element>
    <xsd:element name="RuleStage" ma:index="3" nillable="true" ma:displayName="Rule Stage" ma:format="Dropdown" ma:internalName="RuleStage" ma:readOnly="false">
      <xsd:simpleType>
        <xsd:restriction base="dms:Choice">
          <xsd:enumeration value="Proposed"/>
          <xsd:enumeration value="Final"/>
          <xsd:enumeration value="Choice 3"/>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3b123-8079-44b0-ba74-59fe8923e6c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7dcc94d1-7f96-4fdd-acc2-88a85bc90877}" ma:internalName="TaxCatchAll" ma:readOnly="false" ma:showField="CatchAllData" ma:web="10b3b123-8079-44b0-ba74-59fe8923e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0b3b123-8079-44b0-ba74-59fe8923e6ce" xsi:nil="true"/>
    <DocumentDescription xmlns="a6d37c81-bfe7-4f4a-be3d-3ff3462d7fcb" xsi:nil="true"/>
    <lcf76f155ced4ddcb4097134ff3c332f xmlns="a6d37c81-bfe7-4f4a-be3d-3ff3462d7fcb">
      <Terms xmlns="http://schemas.microsoft.com/office/infopath/2007/PartnerControls"/>
    </lcf76f155ced4ddcb4097134ff3c332f>
    <RuleStage xmlns="a6d37c81-bfe7-4f4a-be3d-3ff3462d7f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28E5E-DBB1-453A-9AD1-E1F7BB70E75A}">
  <ds:schemaRefs>
    <ds:schemaRef ds:uri="http://schemas.openxmlformats.org/officeDocument/2006/bibliography"/>
  </ds:schemaRefs>
</ds:datastoreItem>
</file>

<file path=customXml/itemProps2.xml><?xml version="1.0" encoding="utf-8"?>
<ds:datastoreItem xmlns:ds="http://schemas.openxmlformats.org/officeDocument/2006/customXml" ds:itemID="{EEA3ED63-EF7B-4713-BA86-11023CAA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37c81-bfe7-4f4a-be3d-3ff3462d7fcb"/>
    <ds:schemaRef ds:uri="10b3b123-8079-44b0-ba74-59fe8923e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http://schemas.microsoft.com/sharepoint/v3"/>
    <ds:schemaRef ds:uri="10b3b123-8079-44b0-ba74-59fe8923e6ce"/>
    <ds:schemaRef ds:uri="a6d37c81-bfe7-4f4a-be3d-3ff3462d7fcb"/>
  </ds:schemaRefs>
</ds:datastoreItem>
</file>

<file path=customXml/itemProps4.xml><?xml version="1.0" encoding="utf-8"?>
<ds:datastoreItem xmlns:ds="http://schemas.openxmlformats.org/officeDocument/2006/customXml" ds:itemID="{6F795959-B9E4-487E-AA2B-13B87BB19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creator>Hopkins, Rodney, VBAVACO</dc:creator>
  <cp:lastModifiedBy>Sotillo, Tania A.</cp:lastModifiedBy>
  <cp:revision>2</cp:revision>
  <cp:lastPrinted>2020-01-09T20:29:00Z</cp:lastPrinted>
  <dcterms:created xsi:type="dcterms:W3CDTF">2024-11-20T13:59:00Z</dcterms:created>
  <dcterms:modified xsi:type="dcterms:W3CDTF">2024-11-20T13:59:00Z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0x01010034211C230A1BDC46808B994C9BB05712</vt:lpwstr>
  </property>
  <property fmtid="{D5CDD505-2E9C-101B-9397-08002B2CF9AE}" pid="3" name="MediaServiceImageTags">
    <vt:lpwstr/>
  </property>
  <property fmtid="{D5CDD505-2E9C-101B-9397-08002B2CF9AE}" pid="4" name="MSIP_Label_ea60d57e-af5b-4752-ac57-3e4f28ca11dc_ActionId">
    <vt:lpwstr>c1a4d282-4ce7-449a-9845-a67506ce0945</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2021-10-07T13:47:39Z</vt:lpwstr>
  </property>
  <property fmtid="{D5CDD505-2E9C-101B-9397-08002B2CF9AE}" pid="10" name="MSIP_Label_ea60d57e-af5b-4752-ac57-3e4f28ca11dc_SiteId">
    <vt:lpwstr>36da45f1-dd2c-4d1f-af13-5abe46b99921</vt:lpwstr>
  </property>
  <property fmtid="{D5CDD505-2E9C-101B-9397-08002B2CF9AE}" pid="11" name="_dlc_DocIdItemGuid">
    <vt:lpwstr>597cdca1-c2ce-4bfb-a905-6851913e9eb5</vt:lpwstr>
  </property>
</Properties>
</file>