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1CEC" w:rsidP="00A51CEC" w14:paraId="081E6FFB" w14:textId="77777777">
      <w:pPr>
        <w:rPr>
          <w:b/>
          <w:sz w:val="22"/>
          <w:szCs w:val="22"/>
        </w:rPr>
      </w:pPr>
    </w:p>
    <w:p w:rsidR="00A51CEC" w:rsidP="00A51CEC" w14:paraId="12BA9F8B" w14:textId="77777777">
      <w:pPr>
        <w:rPr>
          <w:b/>
          <w:sz w:val="22"/>
          <w:szCs w:val="22"/>
        </w:rPr>
      </w:pPr>
    </w:p>
    <w:p w:rsidR="00BF682A" w:rsidP="00A51CEC" w14:paraId="1C87432F" w14:textId="77777777">
      <w:pPr>
        <w:rPr>
          <w:b/>
          <w:sz w:val="28"/>
          <w:szCs w:val="28"/>
        </w:rPr>
      </w:pPr>
      <w:r w:rsidRPr="007E3284">
        <w:rPr>
          <w:b/>
          <w:color w:val="000000"/>
          <w:sz w:val="28"/>
          <w:szCs w:val="28"/>
        </w:rPr>
        <w:t xml:space="preserve">Section 87.287(b), </w:t>
      </w:r>
      <w:r w:rsidRPr="007E3284" w:rsidR="00A51CEC">
        <w:rPr>
          <w:b/>
          <w:sz w:val="28"/>
          <w:szCs w:val="28"/>
        </w:rPr>
        <w:t xml:space="preserve">Aeronautical Advisory Stations </w:t>
      </w:r>
      <w:r>
        <w:rPr>
          <w:b/>
          <w:sz w:val="28"/>
          <w:szCs w:val="28"/>
        </w:rPr>
        <w:tab/>
      </w:r>
      <w:r w:rsidR="00243210">
        <w:rPr>
          <w:b/>
          <w:sz w:val="28"/>
          <w:szCs w:val="28"/>
        </w:rPr>
        <w:t xml:space="preserve">OMB </w:t>
      </w:r>
      <w:r>
        <w:rPr>
          <w:b/>
          <w:sz w:val="28"/>
          <w:szCs w:val="28"/>
        </w:rPr>
        <w:t>3060-1190</w:t>
      </w:r>
    </w:p>
    <w:p w:rsidR="00E14940" w:rsidRPr="007E3284" w:rsidP="00A51CEC" w14:paraId="0C291195" w14:textId="76297E12">
      <w:pPr>
        <w:rPr>
          <w:b/>
          <w:sz w:val="28"/>
          <w:szCs w:val="28"/>
        </w:rPr>
      </w:pPr>
      <w:r w:rsidRPr="007E3284">
        <w:rPr>
          <w:b/>
          <w:sz w:val="28"/>
          <w:szCs w:val="28"/>
        </w:rPr>
        <w:t>(</w:t>
      </w:r>
      <w:r w:rsidRPr="007E3284">
        <w:rPr>
          <w:b/>
          <w:sz w:val="28"/>
          <w:szCs w:val="28"/>
        </w:rPr>
        <w:t>Unicoms</w:t>
      </w:r>
      <w:r w:rsidRPr="007E3284">
        <w:rPr>
          <w:b/>
          <w:sz w:val="28"/>
          <w:szCs w:val="28"/>
        </w:rPr>
        <w:t>) – “</w:t>
      </w:r>
      <w:r w:rsidRPr="007E3284">
        <w:rPr>
          <w:b/>
          <w:sz w:val="28"/>
          <w:szCs w:val="28"/>
        </w:rPr>
        <w:t>Squitters</w:t>
      </w:r>
      <w:r w:rsidRPr="007E3284">
        <w:rPr>
          <w:b/>
          <w:sz w:val="28"/>
          <w:szCs w:val="28"/>
        </w:rPr>
        <w:t xml:space="preserve">”             </w:t>
      </w:r>
      <w:r w:rsidR="007E3284">
        <w:rPr>
          <w:b/>
          <w:sz w:val="28"/>
          <w:szCs w:val="28"/>
        </w:rPr>
        <w:t xml:space="preserve">     </w:t>
      </w:r>
      <w:r w:rsidR="00BF682A">
        <w:rPr>
          <w:b/>
          <w:sz w:val="28"/>
          <w:szCs w:val="28"/>
        </w:rPr>
        <w:tab/>
      </w:r>
      <w:r w:rsidR="00BF682A">
        <w:rPr>
          <w:b/>
          <w:sz w:val="28"/>
          <w:szCs w:val="28"/>
        </w:rPr>
        <w:tab/>
      </w:r>
      <w:r w:rsidR="00BF682A">
        <w:rPr>
          <w:b/>
          <w:sz w:val="28"/>
          <w:szCs w:val="28"/>
        </w:rPr>
        <w:tab/>
      </w:r>
      <w:r w:rsidR="00BF682A">
        <w:rPr>
          <w:b/>
          <w:sz w:val="28"/>
          <w:szCs w:val="28"/>
        </w:rPr>
        <w:tab/>
      </w:r>
      <w:r w:rsidR="00854B92">
        <w:rPr>
          <w:b/>
          <w:sz w:val="28"/>
          <w:szCs w:val="28"/>
        </w:rPr>
        <w:t>November 2024</w:t>
      </w:r>
      <w:r w:rsidR="007E3284">
        <w:rPr>
          <w:b/>
          <w:sz w:val="28"/>
          <w:szCs w:val="28"/>
        </w:rPr>
        <w:t xml:space="preserve">                                                          </w:t>
      </w:r>
    </w:p>
    <w:p w:rsidR="00A51CEC" w:rsidRPr="00A51CEC" w:rsidP="00E14940" w14:paraId="1E943AC0" w14:textId="77777777">
      <w:pPr>
        <w:jc w:val="right"/>
        <w:rPr>
          <w:sz w:val="28"/>
          <w:szCs w:val="28"/>
        </w:rPr>
      </w:pPr>
    </w:p>
    <w:p w:rsidR="00A51CEC" w:rsidRPr="006D709E" w:rsidP="00E14940" w14:paraId="379EA560" w14:textId="77777777">
      <w:pPr>
        <w:jc w:val="right"/>
      </w:pPr>
    </w:p>
    <w:p w:rsidR="00E14940" w:rsidRPr="006D709E" w:rsidP="00E14940" w14:paraId="5C3B349B" w14:textId="77777777">
      <w:pPr>
        <w:jc w:val="center"/>
      </w:pPr>
      <w:r w:rsidRPr="006D709E">
        <w:t>SUPPORTING STATEMENT</w:t>
      </w:r>
    </w:p>
    <w:p w:rsidR="00E14940" w:rsidRPr="006D709E" w:rsidP="00E14940" w14:paraId="665E0B41" w14:textId="77777777">
      <w:pPr>
        <w:jc w:val="center"/>
      </w:pPr>
    </w:p>
    <w:p w:rsidR="00E14940" w:rsidRPr="00A51CEC" w:rsidP="00A5137E" w14:paraId="40E29A80" w14:textId="77777777">
      <w:pPr>
        <w:rPr>
          <w:rFonts w:ascii="Arial" w:hAnsi="Arial" w:cs="Arial"/>
        </w:rPr>
      </w:pPr>
      <w:r>
        <w:rPr>
          <w:rFonts w:ascii="Arial" w:hAnsi="Arial" w:cs="Arial"/>
          <w:u w:val="single"/>
        </w:rPr>
        <w:t xml:space="preserve"> </w:t>
      </w:r>
    </w:p>
    <w:p w:rsidR="003C14C9" w:rsidRPr="003C14C9" w:rsidP="003C14C9" w14:paraId="504DEAD4" w14:textId="77777777">
      <w:pPr>
        <w:ind w:left="-660"/>
        <w:rPr>
          <w:rFonts w:ascii="Arial" w:hAnsi="Arial" w:cs="Arial"/>
          <w:u w:val="single"/>
        </w:rPr>
      </w:pPr>
    </w:p>
    <w:p w:rsidR="00E14940" w:rsidRPr="006D709E" w:rsidP="005E6F98" w14:paraId="5836A80C" w14:textId="77777777">
      <w:pPr>
        <w:numPr>
          <w:ilvl w:val="0"/>
          <w:numId w:val="1"/>
        </w:numPr>
        <w:tabs>
          <w:tab w:val="num" w:pos="-770"/>
          <w:tab w:val="clear" w:pos="720"/>
        </w:tabs>
        <w:ind w:left="-330" w:hanging="440"/>
        <w:rPr>
          <w:b/>
        </w:rPr>
      </w:pPr>
      <w:r w:rsidRPr="006D709E">
        <w:rPr>
          <w:b/>
          <w:u w:val="single"/>
        </w:rPr>
        <w:t>Justification</w:t>
      </w:r>
      <w:r w:rsidRPr="006D709E">
        <w:rPr>
          <w:b/>
        </w:rPr>
        <w:t>:</w:t>
      </w:r>
    </w:p>
    <w:p w:rsidR="00E14940" w:rsidRPr="006D709E" w:rsidP="00E14940" w14:paraId="43D9B6D1" w14:textId="77777777"/>
    <w:p w:rsidR="00A51CEC" w:rsidP="002E159F" w14:paraId="12473D54" w14:textId="77777777">
      <w:pPr>
        <w:widowControl w:val="0"/>
        <w:numPr>
          <w:ilvl w:val="0"/>
          <w:numId w:val="2"/>
        </w:numPr>
        <w:tabs>
          <w:tab w:val="num" w:pos="-330"/>
          <w:tab w:val="clear" w:pos="720"/>
        </w:tabs>
        <w:ind w:left="-330" w:hanging="440"/>
      </w:pPr>
      <w:r w:rsidRPr="006D709E">
        <w:t xml:space="preserve">On </w:t>
      </w:r>
      <w:r w:rsidR="00D54D50">
        <w:t>March</w:t>
      </w:r>
      <w:r w:rsidRPr="006D709E">
        <w:t xml:space="preserve"> </w:t>
      </w:r>
      <w:r w:rsidR="00D54D50">
        <w:t>1</w:t>
      </w:r>
      <w:r w:rsidRPr="006D709E">
        <w:t>, 201</w:t>
      </w:r>
      <w:r w:rsidR="00D54D50">
        <w:t>3</w:t>
      </w:r>
      <w:r w:rsidRPr="006D709E">
        <w:t xml:space="preserve">, the Federal Communications Commission, </w:t>
      </w:r>
      <w:r w:rsidR="00D54D50">
        <w:t>released</w:t>
      </w:r>
      <w:r w:rsidRPr="006D709E" w:rsidR="00AF4236">
        <w:t xml:space="preserve"> </w:t>
      </w:r>
      <w:r w:rsidRPr="006D709E" w:rsidR="006004F4">
        <w:t xml:space="preserve">a </w:t>
      </w:r>
      <w:r w:rsidRPr="00632555" w:rsidR="006004F4">
        <w:rPr>
          <w:i/>
        </w:rPr>
        <w:t>Report and Order</w:t>
      </w:r>
      <w:r w:rsidRPr="006D709E" w:rsidR="006004F4">
        <w:t xml:space="preserve"> </w:t>
      </w:r>
      <w:r w:rsidR="0093011F">
        <w:t xml:space="preserve">(R&amp;O) </w:t>
      </w:r>
      <w:r w:rsidRPr="006D709E" w:rsidR="006004F4">
        <w:t xml:space="preserve">in </w:t>
      </w:r>
      <w:r w:rsidRPr="006D709E" w:rsidR="00AF4236">
        <w:t xml:space="preserve">the </w:t>
      </w:r>
      <w:r w:rsidRPr="00632555" w:rsidR="00AF4236">
        <w:rPr>
          <w:i/>
        </w:rPr>
        <w:t xml:space="preserve">Airport Equipment </w:t>
      </w:r>
      <w:r w:rsidRPr="006D709E" w:rsidR="006004F4">
        <w:t>proceeding</w:t>
      </w:r>
      <w:r w:rsidRPr="006D709E" w:rsidR="00AF4236">
        <w:t xml:space="preserve">, in WT Docket Nos. 10-61 and </w:t>
      </w:r>
      <w:r w:rsidR="00D54D50">
        <w:t>0</w:t>
      </w:r>
      <w:r w:rsidR="00A5137E">
        <w:t>9-42</w:t>
      </w:r>
      <w:r w:rsidRPr="006D709E" w:rsidR="00AF4236">
        <w:t>; FCC 1</w:t>
      </w:r>
      <w:r w:rsidR="00D54D50">
        <w:t>3</w:t>
      </w:r>
      <w:r w:rsidRPr="006D709E" w:rsidR="00AF4236">
        <w:t>-</w:t>
      </w:r>
      <w:r w:rsidR="00D54D50">
        <w:t>30</w:t>
      </w:r>
      <w:r w:rsidRPr="006D709E" w:rsidR="006004F4">
        <w:t>.  In th</w:t>
      </w:r>
      <w:r w:rsidR="006D709E">
        <w:t>e</w:t>
      </w:r>
      <w:r w:rsidRPr="006D709E" w:rsidR="006004F4">
        <w:t xml:space="preserve"> </w:t>
      </w:r>
      <w:r w:rsidRPr="00632555" w:rsidR="006004F4">
        <w:rPr>
          <w:i/>
        </w:rPr>
        <w:t>R&amp;O</w:t>
      </w:r>
      <w:r w:rsidRPr="006D709E" w:rsidR="006004F4">
        <w:t>, the Commission a</w:t>
      </w:r>
      <w:r w:rsidRPr="006D709E" w:rsidR="002D5F4E">
        <w:t xml:space="preserve">mends </w:t>
      </w:r>
      <w:r w:rsidRPr="006D709E" w:rsidR="00AF4236">
        <w:t xml:space="preserve">its Part 87 rules to </w:t>
      </w:r>
      <w:r w:rsidRPr="00632555" w:rsidR="00AF4236">
        <w:rPr>
          <w:iCs/>
        </w:rPr>
        <w:t>permit ground testing of aviation data link test systems.</w:t>
      </w:r>
      <w:r w:rsidRPr="00632555" w:rsidR="00632555">
        <w:rPr>
          <w:iCs/>
        </w:rPr>
        <w:t xml:space="preserve">  The </w:t>
      </w:r>
      <w:r w:rsidR="00632555">
        <w:rPr>
          <w:iCs/>
        </w:rPr>
        <w:t xml:space="preserve">adopted </w:t>
      </w:r>
      <w:r w:rsidRPr="00632555" w:rsidR="00632555">
        <w:rPr>
          <w:iCs/>
        </w:rPr>
        <w:t>rule (</w:t>
      </w:r>
      <w:r w:rsidRPr="00632555" w:rsidR="00846B0D">
        <w:rPr>
          <w:bCs/>
        </w:rPr>
        <w:t>Section 87.287(b)</w:t>
      </w:r>
      <w:r w:rsidR="00632555">
        <w:rPr>
          <w:bCs/>
        </w:rPr>
        <w:t>),</w:t>
      </w:r>
      <w:r w:rsidRPr="00632555" w:rsidR="00846B0D">
        <w:rPr>
          <w:bCs/>
        </w:rPr>
        <w:t xml:space="preserve"> require</w:t>
      </w:r>
      <w:r w:rsidRPr="00632555" w:rsidR="00A5137E">
        <w:rPr>
          <w:bCs/>
        </w:rPr>
        <w:t>s</w:t>
      </w:r>
      <w:r w:rsidRPr="00632555" w:rsidR="00846B0D">
        <w:rPr>
          <w:bCs/>
        </w:rPr>
        <w:t xml:space="preserve"> that</w:t>
      </w:r>
      <w:r w:rsidRPr="00632555" w:rsidR="00A5137E">
        <w:rPr>
          <w:bCs/>
        </w:rPr>
        <w:t xml:space="preserve"> b</w:t>
      </w:r>
      <w:r w:rsidRPr="006D709E" w:rsidR="00846B0D">
        <w:t>efore submitting an application for an aircraft data link land test station, an applicant must obtain written permission from the licensee of the aeronautical enroute stations serving the areas in which the aircraft data link land test station will operate on a co-channel basis.  The Commission may request an applicant to provide documentation as to this fact.</w:t>
      </w:r>
    </w:p>
    <w:p w:rsidR="00A51CEC" w:rsidP="00A51CEC" w14:paraId="52088B58" w14:textId="77777777">
      <w:pPr>
        <w:ind w:left="-330"/>
      </w:pPr>
    </w:p>
    <w:p w:rsidR="00A51CEC" w:rsidP="00A51CEC" w14:paraId="2CD681EA" w14:textId="77777777">
      <w:pPr>
        <w:ind w:left="-330"/>
      </w:pPr>
      <w:r>
        <w:t>The Commission is requesting an extension of this information co</w:t>
      </w:r>
      <w:r w:rsidR="00AD7B6E">
        <w:t xml:space="preserve">llection from the Office of </w:t>
      </w:r>
      <w:r>
        <w:t>Management and Budget (OMB) for a period of three years.</w:t>
      </w:r>
    </w:p>
    <w:p w:rsidR="00A51CEC" w:rsidP="00A51CEC" w14:paraId="3C42CAC5" w14:textId="77777777">
      <w:pPr>
        <w:ind w:left="-330"/>
      </w:pPr>
    </w:p>
    <w:p w:rsidR="00133E68" w:rsidP="00A51CEC" w14:paraId="6969BC75" w14:textId="77777777">
      <w:pPr>
        <w:ind w:left="-330"/>
      </w:pPr>
      <w:r>
        <w:t>Th</w:t>
      </w:r>
      <w:r>
        <w:t xml:space="preserve">is information collection does affect individuals or households. </w:t>
      </w:r>
    </w:p>
    <w:p w:rsidR="00133E68" w:rsidRPr="006D709E" w:rsidP="00846B0D" w14:paraId="186FCCFE" w14:textId="77777777">
      <w:pPr>
        <w:ind w:left="-330"/>
      </w:pPr>
    </w:p>
    <w:p w:rsidR="00E14940" w:rsidRPr="006D709E" w:rsidP="005E6F98" w14:paraId="1417E2C0" w14:textId="77777777">
      <w:pPr>
        <w:ind w:left="-330"/>
      </w:pPr>
      <w:r w:rsidRPr="006D709E">
        <w:t xml:space="preserve">Statutory authority for this collection of information is contained in 15 U.S.C. 79 </w:t>
      </w:r>
      <w:r w:rsidRPr="006D709E">
        <w:rPr>
          <w:u w:val="single"/>
        </w:rPr>
        <w:t>et seq</w:t>
      </w:r>
      <w:r w:rsidRPr="006D709E">
        <w:t xml:space="preserve">.; 47 U.S.C. </w:t>
      </w:r>
      <w:r w:rsidR="00A5137E">
        <w:t xml:space="preserve">sections </w:t>
      </w:r>
      <w:r w:rsidRPr="006D709E">
        <w:t>151, 154(i), 154(j), 155, 157, 225, 303(r), and 309</w:t>
      </w:r>
      <w:r w:rsidR="00A5137E">
        <w:t xml:space="preserve"> of the Communications Act of 1934, as amended</w:t>
      </w:r>
      <w:r w:rsidRPr="006D709E">
        <w:t>.</w:t>
      </w:r>
    </w:p>
    <w:p w:rsidR="00E14940" w:rsidRPr="006D709E" w:rsidP="00E14940" w14:paraId="7362953F" w14:textId="77777777">
      <w:pPr>
        <w:ind w:left="360"/>
      </w:pPr>
    </w:p>
    <w:p w:rsidR="00E14940" w:rsidRPr="006D709E" w:rsidP="005E6F98" w14:paraId="28048641" w14:textId="77777777">
      <w:pPr>
        <w:widowControl w:val="0"/>
        <w:numPr>
          <w:ilvl w:val="0"/>
          <w:numId w:val="2"/>
        </w:numPr>
        <w:tabs>
          <w:tab w:val="num" w:pos="-330"/>
          <w:tab w:val="clear" w:pos="720"/>
        </w:tabs>
        <w:ind w:left="-330" w:hanging="330"/>
      </w:pPr>
      <w:r>
        <w:t>The written permission will aid the Commission in ensuring that licensees are complying with its policies and rules, while allowing the owners pf antenna structures and other aviation obstacles to use Audio Visual Warning (AVWS) stations, thereby</w:t>
      </w:r>
      <w:r w:rsidR="00B12427">
        <w:t xml:space="preserve"> helping aircraft avoid potential collisions and enhancing aviation safety, without causing harmful interference to other communications.</w:t>
      </w:r>
      <w:r>
        <w:t xml:space="preserve"> </w:t>
      </w:r>
    </w:p>
    <w:p w:rsidR="005E6F98" w:rsidRPr="006D709E" w:rsidP="005E6F98" w14:paraId="509F2289" w14:textId="77777777">
      <w:pPr>
        <w:widowControl w:val="0"/>
        <w:ind w:left="-660"/>
      </w:pPr>
    </w:p>
    <w:p w:rsidR="00E14940" w:rsidRPr="006D709E" w:rsidP="005E6F98" w14:paraId="03FCC115" w14:textId="77777777">
      <w:pPr>
        <w:widowControl w:val="0"/>
        <w:numPr>
          <w:ilvl w:val="0"/>
          <w:numId w:val="2"/>
        </w:numPr>
        <w:tabs>
          <w:tab w:val="num" w:pos="-330"/>
          <w:tab w:val="clear" w:pos="720"/>
        </w:tabs>
        <w:ind w:left="-330" w:hanging="330"/>
      </w:pPr>
      <w:r w:rsidRPr="006D709E">
        <w:t>P</w:t>
      </w:r>
      <w:r w:rsidRPr="006D709E">
        <w:t xml:space="preserve">rior to finalizing rule </w:t>
      </w:r>
      <w:r w:rsidRPr="006D709E" w:rsidR="0093011F">
        <w:t>makings,</w:t>
      </w:r>
      <w:r w:rsidRPr="006D709E">
        <w:t xml:space="preserve"> the Wireless Telecommunications Bureau conducts an analysis </w:t>
      </w:r>
      <w:r w:rsidRPr="006D709E" w:rsidR="00C3329F">
        <w:t>to ensure that</w:t>
      </w:r>
      <w:r w:rsidRPr="006D709E">
        <w:t xml:space="preserve"> improved information technology cannot be used to reduce the burden on the public.  This analysis considers the possibility of obtaining and/or computer-generating the required data from existing data basis in the Commission or other federal agencies.</w:t>
      </w:r>
    </w:p>
    <w:p w:rsidR="005E6F98" w:rsidRPr="006D709E" w:rsidP="005E6F98" w14:paraId="1287F7E8" w14:textId="77777777">
      <w:pPr>
        <w:widowControl w:val="0"/>
      </w:pPr>
    </w:p>
    <w:p w:rsidR="00E14940" w:rsidRPr="006D709E" w:rsidP="005E6F98" w14:paraId="053E3861" w14:textId="77777777">
      <w:pPr>
        <w:widowControl w:val="0"/>
        <w:numPr>
          <w:ilvl w:val="0"/>
          <w:numId w:val="2"/>
        </w:numPr>
        <w:tabs>
          <w:tab w:val="num" w:pos="-330"/>
          <w:tab w:val="clear" w:pos="720"/>
        </w:tabs>
        <w:ind w:left="-330" w:hanging="330"/>
      </w:pPr>
      <w:r w:rsidRPr="006D709E">
        <w:t>This agency does not impose a similar information collection on the respondents.  There are no similar data available.</w:t>
      </w:r>
    </w:p>
    <w:p w:rsidR="005E6F98" w:rsidRPr="006D709E" w:rsidP="005E6F98" w14:paraId="3F05A473" w14:textId="77777777">
      <w:pPr>
        <w:widowControl w:val="0"/>
      </w:pPr>
    </w:p>
    <w:p w:rsidR="00E14940" w:rsidRPr="006D709E" w:rsidP="005E6F98" w14:paraId="5682A6FE" w14:textId="77777777">
      <w:pPr>
        <w:widowControl w:val="0"/>
        <w:numPr>
          <w:ilvl w:val="0"/>
          <w:numId w:val="2"/>
        </w:numPr>
        <w:tabs>
          <w:tab w:val="num" w:pos="-330"/>
          <w:tab w:val="clear" w:pos="720"/>
        </w:tabs>
        <w:ind w:left="-330" w:hanging="330"/>
      </w:pPr>
      <w:r w:rsidRPr="006D709E">
        <w:t xml:space="preserve">In conformance with the Paperwork Reduction Act of 1995, the Commission is making an </w:t>
      </w:r>
      <w:r w:rsidRPr="006D709E">
        <w:t>effort to minimize the burden on all respondents, regardless of size.  The Commission has limited the requirements to that absolutely necessary for evaluating and processing each application and to deter against possible abuses of the processes.</w:t>
      </w:r>
    </w:p>
    <w:p w:rsidR="005E6F98" w:rsidRPr="006D709E" w:rsidP="005E6F98" w14:paraId="6D4D4898" w14:textId="77777777">
      <w:pPr>
        <w:widowControl w:val="0"/>
      </w:pPr>
    </w:p>
    <w:p w:rsidR="00E14940" w:rsidRPr="006D709E" w:rsidP="005E6F98" w14:paraId="48E6E5C1" w14:textId="77777777">
      <w:pPr>
        <w:widowControl w:val="0"/>
        <w:numPr>
          <w:ilvl w:val="0"/>
          <w:numId w:val="2"/>
        </w:numPr>
        <w:tabs>
          <w:tab w:val="num" w:pos="-330"/>
          <w:tab w:val="clear" w:pos="720"/>
        </w:tabs>
        <w:ind w:left="-330" w:hanging="330"/>
      </w:pPr>
      <w:r w:rsidRPr="006D709E">
        <w:t>This information is considered essential to the implementation of the Act as described above.</w:t>
      </w:r>
    </w:p>
    <w:p w:rsidR="005E6F98" w:rsidRPr="006D709E" w:rsidP="005E6F98" w14:paraId="5D0904BD" w14:textId="77777777">
      <w:pPr>
        <w:widowControl w:val="0"/>
      </w:pPr>
    </w:p>
    <w:p w:rsidR="00E14940" w:rsidRPr="006D709E" w:rsidP="005E6F98" w14:paraId="3E07A884" w14:textId="77777777">
      <w:pPr>
        <w:widowControl w:val="0"/>
        <w:numPr>
          <w:ilvl w:val="0"/>
          <w:numId w:val="2"/>
        </w:numPr>
        <w:tabs>
          <w:tab w:val="num" w:pos="-330"/>
          <w:tab w:val="clear" w:pos="720"/>
        </w:tabs>
        <w:ind w:left="-330" w:hanging="330"/>
      </w:pPr>
      <w:r w:rsidRPr="006D709E">
        <w:t xml:space="preserve">Current data collection </w:t>
      </w:r>
      <w:r w:rsidR="00A51CEC">
        <w:t>is consistent with 5 CFR 1320.5.</w:t>
      </w:r>
    </w:p>
    <w:p w:rsidR="005E6F98" w:rsidRPr="006D709E" w:rsidP="005E6F98" w14:paraId="46D8B255" w14:textId="77777777">
      <w:pPr>
        <w:widowControl w:val="0"/>
      </w:pPr>
    </w:p>
    <w:p w:rsidR="00E14940" w:rsidRPr="006D709E" w:rsidP="005E6F98" w14:paraId="023E53AE" w14:textId="5EAD8B30">
      <w:pPr>
        <w:widowControl w:val="0"/>
        <w:numPr>
          <w:ilvl w:val="0"/>
          <w:numId w:val="2"/>
        </w:numPr>
        <w:tabs>
          <w:tab w:val="num" w:pos="-330"/>
          <w:tab w:val="clear" w:pos="720"/>
        </w:tabs>
        <w:ind w:left="-330" w:hanging="330"/>
      </w:pPr>
      <w:r w:rsidRPr="006D709E">
        <w:t>The Commission initiated a 60-day public comment period which appeared in the Federal Register o</w:t>
      </w:r>
      <w:r w:rsidR="00BF682A">
        <w:t xml:space="preserve">n </w:t>
      </w:r>
      <w:r w:rsidR="00854B92">
        <w:t xml:space="preserve">September </w:t>
      </w:r>
      <w:r w:rsidR="00000F91">
        <w:t>18</w:t>
      </w:r>
      <w:r w:rsidR="002F2941">
        <w:t xml:space="preserve">, </w:t>
      </w:r>
      <w:r w:rsidR="00361B67">
        <w:t>202</w:t>
      </w:r>
      <w:r w:rsidR="00854B92">
        <w:t>4</w:t>
      </w:r>
      <w:r w:rsidR="00A51CEC">
        <w:t xml:space="preserve"> (8</w:t>
      </w:r>
      <w:r w:rsidR="00854B92">
        <w:t>9</w:t>
      </w:r>
      <w:r w:rsidR="00A51CEC">
        <w:t xml:space="preserve"> </w:t>
      </w:r>
      <w:r w:rsidR="00A5137E">
        <w:t>FR</w:t>
      </w:r>
      <w:r w:rsidR="00000F91">
        <w:t xml:space="preserve"> 76473</w:t>
      </w:r>
      <w:r w:rsidR="00A51CEC">
        <w:t xml:space="preserve">) seeking comments from the public </w:t>
      </w:r>
      <w:r w:rsidR="00943CA0">
        <w:t xml:space="preserve">on the information collection requirements contained in collection. </w:t>
      </w:r>
      <w:r w:rsidRPr="006D709E">
        <w:t xml:space="preserve"> No </w:t>
      </w:r>
      <w:r w:rsidR="00A5137E">
        <w:t xml:space="preserve">PRA </w:t>
      </w:r>
      <w:r w:rsidRPr="006D709E">
        <w:t>comments were received as a result of the notice.</w:t>
      </w:r>
    </w:p>
    <w:p w:rsidR="005E6F98" w:rsidRPr="006D709E" w:rsidP="005E6F98" w14:paraId="2C1CE3CC" w14:textId="77777777">
      <w:pPr>
        <w:widowControl w:val="0"/>
      </w:pPr>
    </w:p>
    <w:p w:rsidR="00E14940" w:rsidRPr="006D709E" w:rsidP="005E6F98" w14:paraId="6B5BDBAE" w14:textId="77777777">
      <w:pPr>
        <w:widowControl w:val="0"/>
        <w:numPr>
          <w:ilvl w:val="0"/>
          <w:numId w:val="2"/>
        </w:numPr>
        <w:tabs>
          <w:tab w:val="num" w:pos="-330"/>
          <w:tab w:val="clear" w:pos="720"/>
        </w:tabs>
        <w:ind w:left="-330" w:hanging="330"/>
      </w:pPr>
      <w:r w:rsidRPr="006D709E">
        <w:t>Respondent</w:t>
      </w:r>
      <w:r w:rsidR="00943CA0">
        <w:t>s will not receive any payments associated with this collection.</w:t>
      </w:r>
    </w:p>
    <w:p w:rsidR="005E6F98" w:rsidRPr="006D709E" w:rsidP="005E6F98" w14:paraId="3E07997F" w14:textId="77777777">
      <w:pPr>
        <w:widowControl w:val="0"/>
      </w:pPr>
    </w:p>
    <w:p w:rsidR="00E14940" w:rsidRPr="006D709E" w:rsidP="005E6F98" w14:paraId="44987D92" w14:textId="77777777">
      <w:pPr>
        <w:widowControl w:val="0"/>
        <w:numPr>
          <w:ilvl w:val="0"/>
          <w:numId w:val="2"/>
        </w:numPr>
        <w:tabs>
          <w:tab w:val="num" w:pos="-330"/>
          <w:tab w:val="clear" w:pos="720"/>
        </w:tabs>
        <w:ind w:left="-330" w:hanging="330"/>
      </w:pPr>
      <w:r w:rsidRPr="006D709E">
        <w:t>There</w:t>
      </w:r>
      <w:r w:rsidR="00943CA0">
        <w:t xml:space="preserve"> is no need for confidentiality with this collection of information.</w:t>
      </w:r>
    </w:p>
    <w:p w:rsidR="005E6F98" w:rsidRPr="006D709E" w:rsidP="005E6F98" w14:paraId="29161B1D" w14:textId="77777777">
      <w:pPr>
        <w:widowControl w:val="0"/>
      </w:pPr>
    </w:p>
    <w:p w:rsidR="00E14940" w:rsidRPr="006D709E" w:rsidP="005E6F98" w14:paraId="501AEF8A" w14:textId="77777777">
      <w:pPr>
        <w:widowControl w:val="0"/>
        <w:numPr>
          <w:ilvl w:val="0"/>
          <w:numId w:val="2"/>
        </w:numPr>
        <w:tabs>
          <w:tab w:val="num" w:pos="-330"/>
          <w:tab w:val="clear" w:pos="720"/>
        </w:tabs>
        <w:ind w:left="-330" w:hanging="330"/>
      </w:pPr>
      <w:r w:rsidRPr="006D709E">
        <w:t xml:space="preserve">There are no requests of a sensitive nature considered or those considered a private matter being sought from the applicants </w:t>
      </w:r>
      <w:r w:rsidR="00942B3C">
        <w:t>i</w:t>
      </w:r>
      <w:r w:rsidRPr="006D709E">
        <w:t>n this collection.</w:t>
      </w:r>
    </w:p>
    <w:p w:rsidR="00EC5ED3" w:rsidRPr="006D709E" w:rsidP="00EC5ED3" w14:paraId="34647054" w14:textId="77777777">
      <w:pPr>
        <w:widowControl w:val="0"/>
      </w:pPr>
    </w:p>
    <w:p w:rsidR="00FA6660" w:rsidP="007524CA" w14:paraId="0C360F46" w14:textId="77777777">
      <w:pPr>
        <w:widowControl w:val="0"/>
        <w:numPr>
          <w:ilvl w:val="0"/>
          <w:numId w:val="2"/>
        </w:numPr>
        <w:tabs>
          <w:tab w:val="num" w:pos="-330"/>
          <w:tab w:val="clear" w:pos="720"/>
        </w:tabs>
        <w:ind w:left="-330" w:hanging="330"/>
      </w:pPr>
      <w:r w:rsidRPr="006D709E">
        <w:t xml:space="preserve"> </w:t>
      </w:r>
      <w:r w:rsidR="00313FDE">
        <w:t xml:space="preserve">There are </w:t>
      </w:r>
      <w:r w:rsidRPr="006D709E" w:rsidR="00EC5ED3">
        <w:t>a</w:t>
      </w:r>
      <w:r w:rsidRPr="006D709E" w:rsidR="00E14940">
        <w:t xml:space="preserve">pproximately </w:t>
      </w:r>
      <w:r w:rsidR="00313FDE">
        <w:t>170</w:t>
      </w:r>
      <w:r w:rsidRPr="006D709E" w:rsidR="00E14940">
        <w:t xml:space="preserve"> </w:t>
      </w:r>
      <w:r w:rsidR="00313FDE">
        <w:t xml:space="preserve">airlines flying in the U.S. and we estimate there to be 30 </w:t>
      </w:r>
      <w:r w:rsidR="00A070AA">
        <w:t xml:space="preserve">  </w:t>
      </w:r>
      <w:r w:rsidR="00313FDE">
        <w:t>aircraft maintenance companies doing this type of data link testing, for a total of 200 licensee</w:t>
      </w:r>
      <w:r w:rsidRPr="006D709E" w:rsidR="00EC5ED3">
        <w:t>s</w:t>
      </w:r>
      <w:r>
        <w:t xml:space="preserve"> and 200 annual responses.</w:t>
      </w:r>
    </w:p>
    <w:p w:rsidR="00FA6660" w:rsidP="00FA6660" w14:paraId="10F4B238" w14:textId="77777777">
      <w:pPr>
        <w:widowControl w:val="0"/>
        <w:ind w:left="-330"/>
      </w:pPr>
    </w:p>
    <w:p w:rsidR="00FA6660" w:rsidP="00FA6660" w14:paraId="1665D441" w14:textId="77777777">
      <w:pPr>
        <w:ind w:left="-220" w:hanging="500"/>
      </w:pPr>
      <w:r>
        <w:t xml:space="preserve">      We estimate that approximately 115 </w:t>
      </w:r>
      <w:r w:rsidR="00B74997">
        <w:t xml:space="preserve">will contract the work </w:t>
      </w:r>
      <w:r>
        <w:t>out, and the remaining 85 will be</w:t>
      </w:r>
    </w:p>
    <w:p w:rsidR="00C0718E" w:rsidP="00FA6660" w14:paraId="5B8C8725" w14:textId="77777777">
      <w:pPr>
        <w:ind w:left="-220" w:hanging="500"/>
      </w:pPr>
      <w:r>
        <w:t xml:space="preserve">       </w:t>
      </w:r>
      <w:r w:rsidRPr="006D709E" w:rsidR="00EC5ED3">
        <w:t>using in-house engineering personnel</w:t>
      </w:r>
      <w:r w:rsidR="00B74997">
        <w:t xml:space="preserve"> to meet this </w:t>
      </w:r>
      <w:r w:rsidRPr="006D709E" w:rsidR="00E14940">
        <w:t>require</w:t>
      </w:r>
      <w:r w:rsidR="00B74997">
        <w:t xml:space="preserve">ment @ 1 </w:t>
      </w:r>
      <w:r w:rsidRPr="006D709E" w:rsidR="00EC5ED3">
        <w:t>h</w:t>
      </w:r>
      <w:r w:rsidR="00B74997">
        <w:t>our</w:t>
      </w:r>
      <w:r w:rsidRPr="006D709E" w:rsidR="00EC5ED3">
        <w:t xml:space="preserve"> </w:t>
      </w:r>
      <w:r w:rsidR="00B74997">
        <w:t>per respondent</w:t>
      </w:r>
      <w:r w:rsidRPr="006D709E" w:rsidR="00EC5ED3">
        <w:t>.</w:t>
      </w:r>
      <w:r>
        <w:t xml:space="preserve"> The</w:t>
      </w:r>
    </w:p>
    <w:p w:rsidR="00FA6660" w:rsidP="00C0718E" w14:paraId="392985DC" w14:textId="77777777">
      <w:pPr>
        <w:ind w:left="-220" w:hanging="500"/>
      </w:pPr>
      <w:r>
        <w:t xml:space="preserve">       i</w:t>
      </w:r>
      <w:r>
        <w:t>n</w:t>
      </w:r>
      <w:r>
        <w:t>-house engineer</w:t>
      </w:r>
      <w:r>
        <w:t xml:space="preserve"> is estimated to</w:t>
      </w:r>
      <w:r>
        <w:t xml:space="preserve"> have an hourly salary of $60/hour. </w:t>
      </w:r>
    </w:p>
    <w:p w:rsidR="00FA6660" w:rsidRPr="00FA6660" w:rsidP="00B74997" w14:paraId="09012696" w14:textId="77777777">
      <w:pPr>
        <w:widowControl w:val="0"/>
        <w:rPr>
          <w:b/>
        </w:rPr>
      </w:pPr>
    </w:p>
    <w:p w:rsidR="00FA6660" w:rsidP="00B74997" w14:paraId="0C31FDEB" w14:textId="77777777">
      <w:pPr>
        <w:widowControl w:val="0"/>
        <w:rPr>
          <w:b/>
        </w:rPr>
      </w:pPr>
    </w:p>
    <w:p w:rsidR="00FA6660" w:rsidP="00B74997" w14:paraId="74E6E766" w14:textId="77777777">
      <w:pPr>
        <w:widowControl w:val="0"/>
        <w:rPr>
          <w:b/>
        </w:rPr>
      </w:pPr>
      <w:r>
        <w:rPr>
          <w:b/>
        </w:rPr>
        <w:t>TOTAL NUMBER OF RESPONDENTS:  200.</w:t>
      </w:r>
    </w:p>
    <w:p w:rsidR="00FA6660" w:rsidP="00B74997" w14:paraId="59483BC0" w14:textId="77777777">
      <w:pPr>
        <w:widowControl w:val="0"/>
        <w:rPr>
          <w:b/>
        </w:rPr>
      </w:pPr>
    </w:p>
    <w:p w:rsidR="00FA6660" w:rsidRPr="00FA6660" w:rsidP="00B74997" w14:paraId="43290CCA" w14:textId="77777777">
      <w:pPr>
        <w:widowControl w:val="0"/>
        <w:rPr>
          <w:b/>
        </w:rPr>
      </w:pPr>
      <w:r w:rsidRPr="00FA6660">
        <w:rPr>
          <w:b/>
        </w:rPr>
        <w:t>TOTAL NUMBER OF ANNUAL RESPONSES:  200.</w:t>
      </w:r>
    </w:p>
    <w:p w:rsidR="00FA6660" w:rsidP="00B74997" w14:paraId="18DC8BA2" w14:textId="77777777">
      <w:pPr>
        <w:widowControl w:val="0"/>
      </w:pPr>
    </w:p>
    <w:p w:rsidR="00ED4DFF" w:rsidRPr="00FA6660" w:rsidP="00B74997" w14:paraId="04ADF7B0" w14:textId="77777777">
      <w:pPr>
        <w:rPr>
          <w:b/>
        </w:rPr>
      </w:pPr>
      <w:r>
        <w:t xml:space="preserve">85 </w:t>
      </w:r>
      <w:r w:rsidR="00FA6660">
        <w:t>responses x 1</w:t>
      </w:r>
      <w:r w:rsidR="00C0718E">
        <w:t xml:space="preserve"> </w:t>
      </w:r>
      <w:r w:rsidR="00FA6660">
        <w:t xml:space="preserve">hour/response = </w:t>
      </w:r>
      <w:r w:rsidR="00C0718E">
        <w:rPr>
          <w:b/>
        </w:rPr>
        <w:t>85 hours</w:t>
      </w:r>
    </w:p>
    <w:p w:rsidR="00E14940" w:rsidRPr="006D709E" w:rsidP="00C0718E" w14:paraId="2103C81F" w14:textId="77777777">
      <w:pPr>
        <w:tabs>
          <w:tab w:val="left" w:pos="360"/>
        </w:tabs>
      </w:pPr>
    </w:p>
    <w:p w:rsidR="00E14940" w:rsidP="005E6F98" w14:paraId="2921150B" w14:textId="77777777">
      <w:pPr>
        <w:ind w:hanging="220"/>
        <w:rPr>
          <w:b/>
        </w:rPr>
      </w:pPr>
      <w:r w:rsidRPr="006D709E">
        <w:rPr>
          <w:b/>
        </w:rPr>
        <w:tab/>
        <w:t xml:space="preserve">TOTAL ANNUAL HOUR BURDEN IS:  </w:t>
      </w:r>
      <w:r w:rsidR="00C0718E">
        <w:rPr>
          <w:b/>
        </w:rPr>
        <w:t>85 hours</w:t>
      </w:r>
      <w:r w:rsidRPr="006D709E">
        <w:rPr>
          <w:b/>
        </w:rPr>
        <w:t>.</w:t>
      </w:r>
    </w:p>
    <w:p w:rsidR="00C0718E" w:rsidP="005E6F98" w14:paraId="75312148" w14:textId="77777777">
      <w:pPr>
        <w:ind w:hanging="220"/>
        <w:rPr>
          <w:b/>
        </w:rPr>
      </w:pPr>
    </w:p>
    <w:p w:rsidR="0099733B" w:rsidP="005E6F98" w14:paraId="78D6C2A3" w14:textId="77777777">
      <w:pPr>
        <w:ind w:hanging="220"/>
        <w:rPr>
          <w:b/>
        </w:rPr>
      </w:pPr>
    </w:p>
    <w:p w:rsidR="00C0718E" w:rsidRPr="00C0718E" w:rsidP="0099733B" w14:paraId="61F5CE3D" w14:textId="77777777">
      <w:pPr>
        <w:ind w:hanging="220"/>
        <w:rPr>
          <w:b/>
        </w:rPr>
      </w:pPr>
      <w:r>
        <w:rPr>
          <w:b/>
        </w:rPr>
        <w:t xml:space="preserve">    IN-HOUSE COST:   </w:t>
      </w:r>
      <w:r>
        <w:t xml:space="preserve">85 responses x 1 hour/response x $60/hour = </w:t>
      </w:r>
      <w:r w:rsidRPr="00C0718E">
        <w:rPr>
          <w:b/>
        </w:rPr>
        <w:t>$5,100.</w:t>
      </w:r>
    </w:p>
    <w:p w:rsidR="00E14940" w:rsidRPr="006D709E" w:rsidP="00E14940" w14:paraId="2DF5F113" w14:textId="77777777">
      <w:pPr>
        <w:tabs>
          <w:tab w:val="left" w:pos="360"/>
        </w:tabs>
        <w:ind w:left="360" w:hanging="360"/>
        <w:rPr>
          <w:highlight w:val="cyan"/>
        </w:rPr>
      </w:pPr>
    </w:p>
    <w:p w:rsidR="00353398" w:rsidP="00353398" w14:paraId="4F2E237E" w14:textId="77777777">
      <w:pPr>
        <w:ind w:left="-220" w:hanging="500"/>
      </w:pPr>
      <w:r w:rsidRPr="006D709E">
        <w:t>13.</w:t>
      </w:r>
      <w:r w:rsidRPr="006D709E">
        <w:tab/>
      </w:r>
      <w:r w:rsidRPr="002A7F9F">
        <w:rPr>
          <w:b/>
        </w:rPr>
        <w:t>Estimate of cost to respondents:</w:t>
      </w:r>
      <w:r w:rsidRPr="006D709E">
        <w:t xml:space="preserve">  </w:t>
      </w:r>
      <w:r w:rsidR="0099733B">
        <w:t>We estimate that approximately 115 will contract the work out and</w:t>
      </w:r>
      <w:r>
        <w:t xml:space="preserve"> the salary of a contract engineer </w:t>
      </w:r>
      <w:r w:rsidR="0099733B">
        <w:t xml:space="preserve">is estimated </w:t>
      </w:r>
      <w:r>
        <w:t>to be $250.0</w:t>
      </w:r>
      <w:r w:rsidR="0099733B">
        <w:t>0/hour.</w:t>
      </w:r>
    </w:p>
    <w:p w:rsidR="00353398" w:rsidP="00353398" w14:paraId="38147E74" w14:textId="77777777">
      <w:pPr>
        <w:ind w:left="-220" w:hanging="330"/>
      </w:pPr>
      <w:r>
        <w:t xml:space="preserve">  </w:t>
      </w:r>
      <w:r>
        <w:tab/>
      </w:r>
    </w:p>
    <w:p w:rsidR="002A7F9F" w:rsidP="0099733B" w14:paraId="0543EE47" w14:textId="77777777">
      <w:pPr>
        <w:ind w:left="-220" w:hanging="330"/>
      </w:pPr>
      <w:r>
        <w:tab/>
      </w:r>
      <w:r w:rsidR="00BF682A">
        <w:tab/>
      </w:r>
      <w:r w:rsidR="0099733B">
        <w:t>115 responses</w:t>
      </w:r>
      <w:r>
        <w:t xml:space="preserve"> x $250.00/hour = </w:t>
      </w:r>
      <w:r w:rsidR="00076CAE">
        <w:t>$28,750.</w:t>
      </w:r>
      <w:r>
        <w:t xml:space="preserve">  </w:t>
      </w:r>
    </w:p>
    <w:p w:rsidR="0099733B" w:rsidP="0099733B" w14:paraId="1A18CDDF" w14:textId="77777777">
      <w:pPr>
        <w:ind w:left="-220" w:hanging="330"/>
      </w:pPr>
    </w:p>
    <w:p w:rsidR="00E14940" w:rsidRPr="00ED4DFF" w:rsidP="00ED4DFF" w14:paraId="449EA0B4" w14:textId="77777777">
      <w:pPr>
        <w:tabs>
          <w:tab w:val="left" w:pos="1800"/>
        </w:tabs>
      </w:pPr>
      <w:r w:rsidRPr="006D709E">
        <w:rPr>
          <w:b/>
        </w:rPr>
        <w:t xml:space="preserve">TOTAL ANNUAL </w:t>
      </w:r>
      <w:r w:rsidR="00856792">
        <w:rPr>
          <w:b/>
        </w:rPr>
        <w:t xml:space="preserve">OUTSIDE CONTRACTING </w:t>
      </w:r>
      <w:r>
        <w:rPr>
          <w:b/>
        </w:rPr>
        <w:t>COST</w:t>
      </w:r>
      <w:r w:rsidRPr="006D709E">
        <w:rPr>
          <w:b/>
        </w:rPr>
        <w:t xml:space="preserve"> BURDEN IS:  </w:t>
      </w:r>
      <w:r>
        <w:rPr>
          <w:b/>
        </w:rPr>
        <w:t>$</w:t>
      </w:r>
      <w:r w:rsidR="00856792">
        <w:rPr>
          <w:b/>
        </w:rPr>
        <w:t>28,750.</w:t>
      </w:r>
    </w:p>
    <w:p w:rsidR="00E14940" w:rsidRPr="006D709E" w:rsidP="00E14940" w14:paraId="1487F82E" w14:textId="77777777">
      <w:pPr>
        <w:tabs>
          <w:tab w:val="left" w:pos="360"/>
        </w:tabs>
      </w:pPr>
    </w:p>
    <w:p w:rsidR="00ED4DFF" w:rsidP="00ED4DFF" w14:paraId="3F48A792" w14:textId="77777777">
      <w:pPr>
        <w:ind w:left="-220" w:hanging="330"/>
      </w:pPr>
      <w:r>
        <w:t>14.  There are no cost to the Federal Government.</w:t>
      </w:r>
    </w:p>
    <w:p w:rsidR="00ED4DFF" w:rsidP="0090095D" w14:paraId="615161FB" w14:textId="77777777">
      <w:pPr>
        <w:ind w:left="-220" w:hanging="330"/>
      </w:pPr>
    </w:p>
    <w:p w:rsidR="00E14940" w:rsidRPr="006D709E" w:rsidP="0090095D" w14:paraId="0A28C124" w14:textId="77777777">
      <w:pPr>
        <w:ind w:left="-220" w:hanging="330"/>
      </w:pPr>
      <w:r>
        <w:t>15.  There are program changes or adjustments to this collection.</w:t>
      </w:r>
    </w:p>
    <w:p w:rsidR="00E14940" w:rsidRPr="006D709E" w:rsidP="00E14940" w14:paraId="58862538" w14:textId="77777777">
      <w:pPr>
        <w:tabs>
          <w:tab w:val="left" w:pos="360"/>
        </w:tabs>
      </w:pPr>
    </w:p>
    <w:p w:rsidR="00E14940" w:rsidRPr="006D709E" w:rsidP="0090095D" w14:paraId="2D4EB674" w14:textId="77777777">
      <w:pPr>
        <w:ind w:left="-220" w:hanging="330"/>
      </w:pPr>
      <w:r w:rsidRPr="006D709E">
        <w:t>16.</w:t>
      </w:r>
      <w:r w:rsidR="00ED4DFF">
        <w:t xml:space="preserve"> </w:t>
      </w:r>
      <w:r w:rsidRPr="006D709E">
        <w:t>The data will not be published for statistical use.</w:t>
      </w:r>
    </w:p>
    <w:p w:rsidR="00E14940" w:rsidRPr="006D709E" w:rsidP="00E14940" w14:paraId="3FBA4334" w14:textId="77777777">
      <w:pPr>
        <w:tabs>
          <w:tab w:val="left" w:pos="360"/>
        </w:tabs>
      </w:pPr>
    </w:p>
    <w:p w:rsidR="00E14940" w:rsidRPr="006D709E" w:rsidP="0090095D" w14:paraId="67B0EB2B" w14:textId="77777777">
      <w:pPr>
        <w:ind w:left="-220" w:hanging="330"/>
      </w:pPr>
      <w:r w:rsidRPr="006D709E">
        <w:t>17.</w:t>
      </w:r>
      <w:r w:rsidRPr="006D709E">
        <w:tab/>
        <w:t>We do not seek approval to display the expiration date for OMB approval of the information collection.</w:t>
      </w:r>
    </w:p>
    <w:p w:rsidR="00E14940" w:rsidRPr="006D709E" w:rsidP="00E14940" w14:paraId="093AC331" w14:textId="77777777">
      <w:pPr>
        <w:tabs>
          <w:tab w:val="left" w:pos="360"/>
        </w:tabs>
        <w:ind w:left="360" w:hanging="360"/>
      </w:pPr>
    </w:p>
    <w:p w:rsidR="00E14940" w:rsidRPr="006D709E" w:rsidP="0090095D" w14:paraId="2E5ED7DD" w14:textId="77777777">
      <w:pPr>
        <w:tabs>
          <w:tab w:val="left" w:pos="360"/>
        </w:tabs>
        <w:ind w:left="-220" w:hanging="330"/>
      </w:pPr>
      <w:r w:rsidRPr="006D709E">
        <w:t>18.</w:t>
      </w:r>
      <w:r w:rsidRPr="006D709E">
        <w:tab/>
        <w:t xml:space="preserve">There </w:t>
      </w:r>
      <w:r w:rsidR="00ED4DFF">
        <w:t>are no exceptions to the certification statement.</w:t>
      </w:r>
    </w:p>
    <w:p w:rsidR="00E14940" w:rsidRPr="006D709E" w:rsidP="00E14940" w14:paraId="078C0172" w14:textId="77777777">
      <w:pPr>
        <w:tabs>
          <w:tab w:val="left" w:pos="1800"/>
        </w:tabs>
      </w:pPr>
    </w:p>
    <w:p w:rsidR="00E14940" w:rsidRPr="006D709E" w:rsidP="0090095D" w14:paraId="212022D2" w14:textId="77777777">
      <w:pPr>
        <w:numPr>
          <w:ilvl w:val="0"/>
          <w:numId w:val="4"/>
        </w:numPr>
        <w:tabs>
          <w:tab w:val="clear" w:pos="720"/>
        </w:tabs>
        <w:ind w:left="-220" w:hanging="330"/>
        <w:jc w:val="both"/>
      </w:pPr>
      <w:r w:rsidRPr="006D709E">
        <w:rPr>
          <w:b/>
          <w:u w:val="single"/>
        </w:rPr>
        <w:t>Collections of Information Employing Statistical Methods</w:t>
      </w:r>
      <w:r w:rsidRPr="006D709E">
        <w:rPr>
          <w:b/>
        </w:rPr>
        <w:t>:</w:t>
      </w:r>
    </w:p>
    <w:p w:rsidR="00E14940" w:rsidRPr="006D709E" w:rsidP="00E14940" w14:paraId="68E492CD" w14:textId="77777777">
      <w:pPr>
        <w:tabs>
          <w:tab w:val="left" w:pos="1800"/>
        </w:tabs>
        <w:rPr>
          <w:b/>
          <w:u w:val="single"/>
        </w:rPr>
      </w:pPr>
    </w:p>
    <w:p w:rsidR="00E14940" w:rsidRPr="006D709E" w:rsidP="0090095D" w14:paraId="23E0AB60" w14:textId="77777777">
      <w:pPr>
        <w:ind w:left="-220"/>
      </w:pPr>
      <w:r w:rsidRPr="006D709E">
        <w:t>No statistical methods are employed.</w:t>
      </w:r>
    </w:p>
    <w:p w:rsidR="00E14940" w:rsidRPr="006D709E" w:rsidP="00E14940" w14:paraId="7D1B40BD" w14:textId="77777777">
      <w:pPr>
        <w:jc w:val="center"/>
      </w:pPr>
    </w:p>
    <w:sectPr w:rsidSect="001D01D8">
      <w:footerReference w:type="even" r:id="rId5"/>
      <w:footerReference w:type="default" r:id="rId6"/>
      <w:pgSz w:w="12240" w:h="15840" w:code="1"/>
      <w:pgMar w:top="1440" w:right="1440" w:bottom="1440" w:left="216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4C9" w:rsidP="009C1DFA" w14:paraId="251393B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4C9" w14:paraId="7B173F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4C9" w:rsidP="009C1DFA" w14:paraId="4293EF6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2677">
      <w:rPr>
        <w:rStyle w:val="PageNumber"/>
        <w:noProof/>
      </w:rPr>
      <w:t>3</w:t>
    </w:r>
    <w:r>
      <w:rPr>
        <w:rStyle w:val="PageNumber"/>
      </w:rPr>
      <w:fldChar w:fldCharType="end"/>
    </w:r>
  </w:p>
  <w:p w:rsidR="003C14C9" w14:paraId="4054B8E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C60CE5"/>
    <w:multiLevelType w:val="hybridMultilevel"/>
    <w:tmpl w:val="CF90471E"/>
    <w:lvl w:ilvl="0">
      <w:start w:val="85"/>
      <w:numFmt w:val="decimal"/>
      <w:lvlText w:val="%1"/>
      <w:lvlJc w:val="left"/>
      <w:pPr>
        <w:ind w:left="140" w:hanging="360"/>
      </w:pPr>
      <w:rPr>
        <w:rFonts w:hint="default"/>
      </w:rPr>
    </w:lvl>
    <w:lvl w:ilvl="1" w:tentative="1">
      <w:start w:val="1"/>
      <w:numFmt w:val="lowerLetter"/>
      <w:lvlText w:val="%2."/>
      <w:lvlJc w:val="left"/>
      <w:pPr>
        <w:ind w:left="860" w:hanging="360"/>
      </w:pPr>
    </w:lvl>
    <w:lvl w:ilvl="2" w:tentative="1">
      <w:start w:val="1"/>
      <w:numFmt w:val="lowerRoman"/>
      <w:lvlText w:val="%3."/>
      <w:lvlJc w:val="right"/>
      <w:pPr>
        <w:ind w:left="1580" w:hanging="180"/>
      </w:pPr>
    </w:lvl>
    <w:lvl w:ilvl="3" w:tentative="1">
      <w:start w:val="1"/>
      <w:numFmt w:val="decimal"/>
      <w:lvlText w:val="%4."/>
      <w:lvlJc w:val="left"/>
      <w:pPr>
        <w:ind w:left="2300" w:hanging="360"/>
      </w:pPr>
    </w:lvl>
    <w:lvl w:ilvl="4" w:tentative="1">
      <w:start w:val="1"/>
      <w:numFmt w:val="lowerLetter"/>
      <w:lvlText w:val="%5."/>
      <w:lvlJc w:val="left"/>
      <w:pPr>
        <w:ind w:left="3020" w:hanging="360"/>
      </w:pPr>
    </w:lvl>
    <w:lvl w:ilvl="5" w:tentative="1">
      <w:start w:val="1"/>
      <w:numFmt w:val="lowerRoman"/>
      <w:lvlText w:val="%6."/>
      <w:lvlJc w:val="right"/>
      <w:pPr>
        <w:ind w:left="3740" w:hanging="180"/>
      </w:pPr>
    </w:lvl>
    <w:lvl w:ilvl="6" w:tentative="1">
      <w:start w:val="1"/>
      <w:numFmt w:val="decimal"/>
      <w:lvlText w:val="%7."/>
      <w:lvlJc w:val="left"/>
      <w:pPr>
        <w:ind w:left="4460" w:hanging="360"/>
      </w:pPr>
    </w:lvl>
    <w:lvl w:ilvl="7" w:tentative="1">
      <w:start w:val="1"/>
      <w:numFmt w:val="lowerLetter"/>
      <w:lvlText w:val="%8."/>
      <w:lvlJc w:val="left"/>
      <w:pPr>
        <w:ind w:left="5180" w:hanging="360"/>
      </w:pPr>
    </w:lvl>
    <w:lvl w:ilvl="8" w:tentative="1">
      <w:start w:val="1"/>
      <w:numFmt w:val="lowerRoman"/>
      <w:lvlText w:val="%9."/>
      <w:lvlJc w:val="right"/>
      <w:pPr>
        <w:ind w:left="5900" w:hanging="180"/>
      </w:pPr>
    </w:lvl>
  </w:abstractNum>
  <w:abstractNum w:abstractNumId="1">
    <w:nsid w:val="0FA730F9"/>
    <w:multiLevelType w:val="hybridMultilevel"/>
    <w:tmpl w:val="3404C6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3902CE5"/>
    <w:multiLevelType w:val="hybridMultilevel"/>
    <w:tmpl w:val="4F025B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6981C86"/>
    <w:multiLevelType w:val="multilevel"/>
    <w:tmpl w:val="3404C6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F902F12"/>
    <w:multiLevelType w:val="hybridMultilevel"/>
    <w:tmpl w:val="692067F2"/>
    <w:lvl w:ilvl="0">
      <w:start w:val="2"/>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93B5C8C"/>
    <w:multiLevelType w:val="hybridMultilevel"/>
    <w:tmpl w:val="19E02494"/>
    <w:lvl w:ilvl="0">
      <w:start w:val="1"/>
      <w:numFmt w:val="upp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62147450">
    <w:abstractNumId w:val="5"/>
  </w:num>
  <w:num w:numId="2" w16cid:durableId="1276475006">
    <w:abstractNumId w:val="1"/>
  </w:num>
  <w:num w:numId="3" w16cid:durableId="1688289972">
    <w:abstractNumId w:val="2"/>
  </w:num>
  <w:num w:numId="4" w16cid:durableId="544830309">
    <w:abstractNumId w:val="4"/>
  </w:num>
  <w:num w:numId="5" w16cid:durableId="262685464">
    <w:abstractNumId w:val="3"/>
  </w:num>
  <w:num w:numId="6" w16cid:durableId="81333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940"/>
    <w:rsid w:val="00000F91"/>
    <w:rsid w:val="000366D4"/>
    <w:rsid w:val="00076CAE"/>
    <w:rsid w:val="00133E68"/>
    <w:rsid w:val="00142677"/>
    <w:rsid w:val="001C42D9"/>
    <w:rsid w:val="001D01D8"/>
    <w:rsid w:val="001E3F06"/>
    <w:rsid w:val="001F7671"/>
    <w:rsid w:val="002426F4"/>
    <w:rsid w:val="00243210"/>
    <w:rsid w:val="002A7F9F"/>
    <w:rsid w:val="002D5F4E"/>
    <w:rsid w:val="002E159F"/>
    <w:rsid w:val="002F2941"/>
    <w:rsid w:val="00313FDE"/>
    <w:rsid w:val="00331D28"/>
    <w:rsid w:val="00353398"/>
    <w:rsid w:val="00357F3A"/>
    <w:rsid w:val="00361B67"/>
    <w:rsid w:val="003C14C9"/>
    <w:rsid w:val="00443F21"/>
    <w:rsid w:val="00484511"/>
    <w:rsid w:val="00583105"/>
    <w:rsid w:val="005C5F5C"/>
    <w:rsid w:val="005E6F98"/>
    <w:rsid w:val="005F4FA5"/>
    <w:rsid w:val="006004F4"/>
    <w:rsid w:val="006300A4"/>
    <w:rsid w:val="00632555"/>
    <w:rsid w:val="006D709E"/>
    <w:rsid w:val="00700071"/>
    <w:rsid w:val="007524CA"/>
    <w:rsid w:val="00757895"/>
    <w:rsid w:val="007E3284"/>
    <w:rsid w:val="00815663"/>
    <w:rsid w:val="00846B0D"/>
    <w:rsid w:val="00854B92"/>
    <w:rsid w:val="00856792"/>
    <w:rsid w:val="00861FB0"/>
    <w:rsid w:val="008A199E"/>
    <w:rsid w:val="008C79C0"/>
    <w:rsid w:val="0090095D"/>
    <w:rsid w:val="00917BE5"/>
    <w:rsid w:val="0092492A"/>
    <w:rsid w:val="0093011F"/>
    <w:rsid w:val="00942B3C"/>
    <w:rsid w:val="00943CA0"/>
    <w:rsid w:val="0099733B"/>
    <w:rsid w:val="009C1DFA"/>
    <w:rsid w:val="00A070AA"/>
    <w:rsid w:val="00A5137E"/>
    <w:rsid w:val="00A51CEC"/>
    <w:rsid w:val="00AD7B6E"/>
    <w:rsid w:val="00AF4236"/>
    <w:rsid w:val="00B12427"/>
    <w:rsid w:val="00B7097D"/>
    <w:rsid w:val="00B74997"/>
    <w:rsid w:val="00BD0488"/>
    <w:rsid w:val="00BF682A"/>
    <w:rsid w:val="00C0718E"/>
    <w:rsid w:val="00C3329F"/>
    <w:rsid w:val="00C40EA0"/>
    <w:rsid w:val="00CE5317"/>
    <w:rsid w:val="00D54D50"/>
    <w:rsid w:val="00D624CC"/>
    <w:rsid w:val="00D74542"/>
    <w:rsid w:val="00D92113"/>
    <w:rsid w:val="00DB1DC4"/>
    <w:rsid w:val="00DB51E5"/>
    <w:rsid w:val="00DB7734"/>
    <w:rsid w:val="00DD3332"/>
    <w:rsid w:val="00E14940"/>
    <w:rsid w:val="00E15BA5"/>
    <w:rsid w:val="00E244D6"/>
    <w:rsid w:val="00E64F8F"/>
    <w:rsid w:val="00EC5ED3"/>
    <w:rsid w:val="00ED4DFF"/>
    <w:rsid w:val="00F2778F"/>
    <w:rsid w:val="00F7702D"/>
    <w:rsid w:val="00F96177"/>
    <w:rsid w:val="00FA66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5D0F26"/>
  <w15:chartTrackingRefBased/>
  <w15:docId w15:val="{09DB599A-FDBF-4869-9BAA-FCC308CE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LTS FOOTNOTE,Footnote Text Char Char,Footnote Text Char Char Char Char,Footnote Text Char Char Char Char Char Char,Footnote Text Char1,Footnote Text Char1 Char Char,Footnote Text Char1 Char Char Char Char,Footnote Text Char2 Char Char,fn"/>
    <w:link w:val="FootnoteTextChar"/>
    <w:semiHidden/>
    <w:rsid w:val="00E14940"/>
    <w:pPr>
      <w:tabs>
        <w:tab w:val="left" w:pos="720"/>
        <w:tab w:val="left" w:pos="1440"/>
      </w:tabs>
      <w:spacing w:after="200"/>
      <w:ind w:right="144"/>
    </w:pPr>
  </w:style>
  <w:style w:type="character" w:styleId="FootnoteReference">
    <w:name w:val="footnote reference"/>
    <w:aliases w:val="(NECG) Footnote Reference,Appel note de bas de p,FR,Footnote Reference/,Style 12,Style 124,Style 13,Style 17,Style 3,Style 6,fr,o"/>
    <w:semiHidden/>
    <w:rsid w:val="00E14940"/>
    <w:rPr>
      <w:rFonts w:ascii="Times New Roman" w:hAnsi="Times New Roman"/>
      <w:dstrike w:val="0"/>
      <w:color w:val="auto"/>
      <w:sz w:val="22"/>
      <w:vertAlign w:val="superscript"/>
    </w:rPr>
  </w:style>
  <w:style w:type="character" w:customStyle="1" w:styleId="FootnoteTextChar">
    <w:name w:val="Footnote Text Char"/>
    <w:aliases w:val="Footnote Text Char Char Char,Footnote Text Char Char Char Char Char,Footnote Text Char Char Char Char Char Char Char,Footnote Text Char1 Char,Footnote Text Char1 Char Char Char,Footnote Text Char1 Char Char Char Char Char,fn Char"/>
    <w:link w:val="FootnoteText"/>
    <w:rsid w:val="00E14940"/>
    <w:rPr>
      <w:lang w:val="en-US" w:eastAsia="en-US" w:bidi="ar-SA"/>
    </w:rPr>
  </w:style>
  <w:style w:type="paragraph" w:styleId="DocumentMap">
    <w:name w:val="Document Map"/>
    <w:basedOn w:val="Normal"/>
    <w:semiHidden/>
    <w:rsid w:val="00B7097D"/>
    <w:pPr>
      <w:shd w:val="clear" w:color="auto" w:fill="000080"/>
    </w:pPr>
    <w:rPr>
      <w:rFonts w:ascii="Tahoma" w:hAnsi="Tahoma" w:cs="Tahoma"/>
      <w:sz w:val="20"/>
      <w:szCs w:val="20"/>
    </w:rPr>
  </w:style>
  <w:style w:type="paragraph" w:styleId="Footer">
    <w:name w:val="footer"/>
    <w:basedOn w:val="Normal"/>
    <w:rsid w:val="00E15BA5"/>
    <w:pPr>
      <w:tabs>
        <w:tab w:val="center" w:pos="4320"/>
        <w:tab w:val="right" w:pos="8640"/>
      </w:tabs>
    </w:pPr>
  </w:style>
  <w:style w:type="character" w:styleId="PageNumber">
    <w:name w:val="page number"/>
    <w:basedOn w:val="DefaultParagraphFont"/>
    <w:rsid w:val="00E15BA5"/>
  </w:style>
  <w:style w:type="paragraph" w:styleId="BalloonText">
    <w:name w:val="Balloon Text"/>
    <w:basedOn w:val="Normal"/>
    <w:link w:val="BalloonTextChar"/>
    <w:rsid w:val="00357F3A"/>
    <w:rPr>
      <w:rFonts w:ascii="Tahoma" w:hAnsi="Tahoma" w:cs="Tahoma"/>
      <w:sz w:val="16"/>
      <w:szCs w:val="16"/>
    </w:rPr>
  </w:style>
  <w:style w:type="character" w:customStyle="1" w:styleId="BalloonTextChar">
    <w:name w:val="Balloon Text Char"/>
    <w:link w:val="BalloonText"/>
    <w:rsid w:val="00357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E178D-9B13-448A-9814-AB041A09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3060-xxxx</vt:lpstr>
    </vt:vector>
  </TitlesOfParts>
  <Company>Federal Communications Commission</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3060-xxxx</dc:title>
  <dc:creator>Terry.Conway</dc:creator>
  <cp:lastModifiedBy>Cathy Williams</cp:lastModifiedBy>
  <cp:revision>3</cp:revision>
  <cp:lastPrinted>2013-06-20T16:33:00Z</cp:lastPrinted>
  <dcterms:created xsi:type="dcterms:W3CDTF">2024-09-12T19:28:00Z</dcterms:created>
  <dcterms:modified xsi:type="dcterms:W3CDTF">2024-11-25T18:10:00Z</dcterms:modified>
</cp:coreProperties>
</file>