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A90" w:rsidRPr="004472AE" w14:paraId="6E50FD45" w14:textId="77777777">
      <w:pPr>
        <w:pStyle w:val="Footer"/>
        <w:tabs>
          <w:tab w:val="clear" w:pos="4320"/>
          <w:tab w:val="center" w:pos="4680"/>
          <w:tab w:val="clear" w:pos="8640"/>
        </w:tabs>
        <w:jc w:val="center"/>
        <w:rPr>
          <w:rFonts w:ascii="Times New Roman" w:hAnsi="Times New Roman"/>
          <w:b/>
          <w:sz w:val="28"/>
          <w:szCs w:val="28"/>
        </w:rPr>
      </w:pPr>
      <w:r w:rsidRPr="004472AE">
        <w:rPr>
          <w:rFonts w:ascii="Times New Roman" w:hAnsi="Times New Roman"/>
          <w:b/>
          <w:sz w:val="28"/>
          <w:szCs w:val="28"/>
        </w:rPr>
        <w:t>SUPPORTING STATEMENT</w:t>
      </w:r>
    </w:p>
    <w:p w:rsidR="00731A90" w:rsidRPr="004472AE" w14:paraId="341144EA" w14:textId="58C583CC">
      <w:pPr>
        <w:tabs>
          <w:tab w:val="center" w:pos="4680"/>
        </w:tabs>
        <w:jc w:val="center"/>
        <w:rPr>
          <w:rFonts w:ascii="Times New Roman" w:hAnsi="Times New Roman"/>
          <w:b/>
          <w:sz w:val="28"/>
          <w:szCs w:val="28"/>
        </w:rPr>
      </w:pPr>
      <w:r>
        <w:rPr>
          <w:rFonts w:ascii="Times New Roman" w:hAnsi="Times New Roman"/>
          <w:b/>
          <w:sz w:val="28"/>
          <w:szCs w:val="28"/>
        </w:rPr>
        <w:t>FOREIGN NATIONAL VISITOR NOTIFICATION</w:t>
      </w:r>
    </w:p>
    <w:p w:rsidR="00731A90" w:rsidRPr="004472AE" w14:paraId="158DA0CC" w14:textId="77777777">
      <w:pPr>
        <w:tabs>
          <w:tab w:val="center" w:pos="4680"/>
        </w:tabs>
        <w:jc w:val="center"/>
        <w:rPr>
          <w:rFonts w:ascii="Times New Roman" w:hAnsi="Times New Roman"/>
          <w:b/>
          <w:sz w:val="28"/>
          <w:szCs w:val="28"/>
        </w:rPr>
      </w:pPr>
      <w:r>
        <w:rPr>
          <w:rFonts w:ascii="Times New Roman" w:hAnsi="Times New Roman"/>
          <w:b/>
          <w:sz w:val="28"/>
          <w:szCs w:val="28"/>
        </w:rPr>
        <w:t>(3064-NEW</w:t>
      </w:r>
      <w:r w:rsidRPr="004472AE">
        <w:rPr>
          <w:rFonts w:ascii="Times New Roman" w:hAnsi="Times New Roman"/>
          <w:b/>
          <w:sz w:val="28"/>
          <w:szCs w:val="28"/>
        </w:rPr>
        <w:t>)</w:t>
      </w:r>
    </w:p>
    <w:p w:rsidR="00731A90" w14:paraId="755E7923" w14:textId="77777777">
      <w:pPr>
        <w:rPr>
          <w:rFonts w:ascii="Times New Roman" w:hAnsi="Times New Roman"/>
        </w:rPr>
      </w:pPr>
    </w:p>
    <w:p w:rsidR="00731A90" w14:paraId="445A3B69" w14:textId="77777777">
      <w:pPr>
        <w:rPr>
          <w:rFonts w:ascii="Times New Roman" w:hAnsi="Times New Roman"/>
          <w:u w:val="single"/>
        </w:rPr>
      </w:pPr>
      <w:r>
        <w:rPr>
          <w:rFonts w:ascii="Times New Roman" w:hAnsi="Times New Roman"/>
          <w:u w:val="single"/>
        </w:rPr>
        <w:t>INTRODUCTION</w:t>
      </w:r>
    </w:p>
    <w:p w:rsidR="00731A90" w14:paraId="54A6032F" w14:textId="77777777">
      <w:pPr>
        <w:rPr>
          <w:rFonts w:ascii="Times New Roman" w:hAnsi="Times New Roman"/>
          <w:u w:val="single"/>
        </w:rPr>
      </w:pPr>
    </w:p>
    <w:p w:rsidR="00B63858" w:rsidRPr="00B63858" w:rsidP="00B63858" w14:paraId="5F4A064E" w14:textId="5374E9C8">
      <w:pPr>
        <w:pStyle w:val="Heading6"/>
        <w:keepNext w:val="0"/>
        <w:rPr>
          <w:rFonts w:ascii="Times New Roman" w:eastAsia="Times New Roman" w:hAnsi="Times New Roman" w:cs="Times New Roman"/>
          <w:snapToGrid/>
          <w:color w:val="auto"/>
        </w:rPr>
      </w:pPr>
      <w:r w:rsidRPr="001B4291">
        <w:rPr>
          <w:rFonts w:ascii="Times New Roman" w:hAnsi="Times New Roman"/>
          <w:bCs/>
        </w:rPr>
        <w:t xml:space="preserve">The FDIC is requesting </w:t>
      </w:r>
      <w:r>
        <w:rPr>
          <w:rFonts w:ascii="Times New Roman" w:hAnsi="Times New Roman"/>
          <w:bCs/>
        </w:rPr>
        <w:t xml:space="preserve">OMB </w:t>
      </w:r>
      <w:r w:rsidRPr="001B4291">
        <w:rPr>
          <w:rFonts w:ascii="Times New Roman" w:hAnsi="Times New Roman"/>
          <w:bCs/>
        </w:rPr>
        <w:t xml:space="preserve">approval </w:t>
      </w:r>
      <w:r w:rsidR="00AB3456">
        <w:rPr>
          <w:rFonts w:ascii="Times New Roman" w:hAnsi="Times New Roman"/>
          <w:bCs/>
        </w:rPr>
        <w:t xml:space="preserve">for a new information collection related to </w:t>
      </w:r>
      <w:r>
        <w:rPr>
          <w:rFonts w:ascii="Times New Roman" w:eastAsia="Times New Roman" w:hAnsi="Times New Roman" w:cs="Times New Roman"/>
          <w:iCs/>
          <w:snapToGrid/>
          <w:color w:val="auto"/>
          <w:szCs w:val="24"/>
          <w:lang w:bidi="en-US"/>
        </w:rPr>
        <w:t xml:space="preserve">the </w:t>
      </w:r>
      <w:r w:rsidRPr="00B63858">
        <w:rPr>
          <w:rFonts w:ascii="Times New Roman" w:eastAsia="Times New Roman" w:hAnsi="Times New Roman" w:cs="Times New Roman"/>
          <w:iCs/>
          <w:snapToGrid/>
          <w:color w:val="auto"/>
          <w:szCs w:val="24"/>
          <w:lang w:bidi="en-US"/>
        </w:rPr>
        <w:t xml:space="preserve">use </w:t>
      </w:r>
      <w:r>
        <w:rPr>
          <w:rFonts w:ascii="Times New Roman" w:eastAsia="Times New Roman" w:hAnsi="Times New Roman" w:cs="Times New Roman"/>
          <w:iCs/>
          <w:snapToGrid/>
          <w:color w:val="auto"/>
          <w:szCs w:val="24"/>
          <w:lang w:bidi="en-US"/>
        </w:rPr>
        <w:t xml:space="preserve">of </w:t>
      </w:r>
      <w:r w:rsidRPr="00B63858">
        <w:rPr>
          <w:rFonts w:ascii="Times New Roman" w:eastAsia="Times New Roman" w:hAnsi="Times New Roman" w:cs="Times New Roman"/>
          <w:iCs/>
          <w:snapToGrid/>
          <w:color w:val="auto"/>
          <w:szCs w:val="24"/>
          <w:lang w:bidi="en-US"/>
        </w:rPr>
        <w:t xml:space="preserve">the </w:t>
      </w:r>
      <w:r>
        <w:rPr>
          <w:rFonts w:ascii="Times New Roman" w:eastAsia="Times New Roman" w:hAnsi="Times New Roman" w:cs="Times New Roman"/>
          <w:iCs/>
          <w:snapToGrid/>
          <w:color w:val="auto"/>
          <w:szCs w:val="24"/>
          <w:lang w:bidi="en-US"/>
        </w:rPr>
        <w:t xml:space="preserve">Foreign National </w:t>
      </w:r>
      <w:r w:rsidRPr="00B63858">
        <w:rPr>
          <w:rFonts w:ascii="Times New Roman" w:eastAsia="Times New Roman" w:hAnsi="Times New Roman" w:cs="Times New Roman"/>
          <w:iCs/>
          <w:snapToGrid/>
          <w:color w:val="auto"/>
          <w:szCs w:val="24"/>
          <w:lang w:bidi="en-US"/>
        </w:rPr>
        <w:t>Visitor Notification form to collect biographical, passport (for foreign nationals), and employment information from certain</w:t>
      </w:r>
      <w:r>
        <w:rPr>
          <w:rFonts w:ascii="Times New Roman" w:eastAsia="Times New Roman" w:hAnsi="Times New Roman" w:cs="Times New Roman"/>
          <w:iCs/>
          <w:snapToGrid/>
          <w:color w:val="auto"/>
          <w:szCs w:val="24"/>
          <w:vertAlign w:val="superscript"/>
          <w:lang w:bidi="en-US"/>
        </w:rPr>
        <w:footnoteReference w:id="2"/>
      </w:r>
      <w:r w:rsidRPr="00B63858">
        <w:rPr>
          <w:rFonts w:ascii="Times New Roman" w:eastAsia="Times New Roman" w:hAnsi="Times New Roman" w:cs="Times New Roman"/>
          <w:iCs/>
          <w:snapToGrid/>
          <w:color w:val="auto"/>
          <w:szCs w:val="24"/>
          <w:lang w:bidi="en-US"/>
        </w:rPr>
        <w:t xml:space="preserve"> visitors to the FDIC </w:t>
      </w:r>
      <w:r w:rsidRPr="00B63858">
        <w:rPr>
          <w:rFonts w:ascii="Times New Roman" w:eastAsia="Times New Roman" w:hAnsi="Times New Roman" w:cs="Times New Roman"/>
          <w:iCs/>
          <w:snapToGrid/>
          <w:color w:val="auto"/>
          <w:szCs w:val="24"/>
          <w:lang w:bidi="en-US"/>
        </w:rPr>
        <w:t>to</w:t>
      </w:r>
      <w:r w:rsidRPr="00B63858">
        <w:rPr>
          <w:rFonts w:ascii="Times New Roman" w:eastAsia="Times New Roman" w:hAnsi="Times New Roman" w:cs="Times New Roman"/>
          <w:iCs/>
          <w:snapToGrid/>
          <w:color w:val="auto"/>
          <w:szCs w:val="24"/>
          <w:lang w:bidi="en-US"/>
        </w:rPr>
        <w:t xml:space="preserve"> assess the risk to FDIC facilities and personnel. The FDIC will require certain visitors to FDIC facilities, including support staff and interpreters, to complete and submit the form</w:t>
      </w:r>
      <w:r>
        <w:rPr>
          <w:rFonts w:ascii="Times New Roman" w:eastAsia="Times New Roman" w:hAnsi="Times New Roman" w:cs="Times New Roman"/>
          <w:iCs/>
          <w:snapToGrid/>
          <w:color w:val="auto"/>
          <w:szCs w:val="24"/>
          <w:lang w:bidi="en-US"/>
        </w:rPr>
        <w:t>.</w:t>
      </w:r>
    </w:p>
    <w:p w:rsidR="001B4291" w14:paraId="7FD50C52" w14:textId="35E0CA29">
      <w:pPr>
        <w:rPr>
          <w:rFonts w:ascii="Times New Roman" w:hAnsi="Times New Roman"/>
        </w:rPr>
      </w:pPr>
    </w:p>
    <w:p w:rsidR="00731A90" w14:paraId="2B46955C" w14:textId="77777777">
      <w:pPr>
        <w:rPr>
          <w:rFonts w:ascii="Times New Roman" w:hAnsi="Times New Roman"/>
        </w:rPr>
      </w:pPr>
    </w:p>
    <w:p w:rsidR="00731A90" w14:paraId="4DDCAFBB"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264E7373" w14:textId="77777777">
      <w:pPr>
        <w:rPr>
          <w:rFonts w:ascii="Times New Roman" w:hAnsi="Times New Roman"/>
        </w:rPr>
      </w:pPr>
    </w:p>
    <w:p w:rsidR="00731A90" w:rsidP="00C82C81" w14:paraId="2AAFC670" w14:textId="77777777">
      <w:pPr>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345C915A" w14:textId="77777777">
      <w:pPr>
        <w:ind w:firstLine="1440"/>
        <w:rPr>
          <w:rFonts w:ascii="Times New Roman" w:hAnsi="Times New Roman"/>
        </w:rPr>
      </w:pPr>
    </w:p>
    <w:p w:rsidR="00731A90" w:rsidRPr="00755A4C" w:rsidP="00755A4C" w14:paraId="559A6FE9" w14:textId="7A07CA6D">
      <w:pPr>
        <w:ind w:left="720"/>
        <w:rPr>
          <w:rFonts w:ascii="Times New Roman" w:hAnsi="Times New Roman"/>
          <w:i/>
        </w:rPr>
      </w:pPr>
      <w:r w:rsidRPr="0061644F">
        <w:rPr>
          <w:rFonts w:ascii="Times New Roman" w:hAnsi="Times New Roman"/>
          <w:iCs/>
          <w:szCs w:val="24"/>
          <w:lang w:bidi="en-US"/>
        </w:rPr>
        <w:t xml:space="preserve">The FDIC proposes to use the Visitor Notification form to collect biographical, passport (for foreign nationals), </w:t>
      </w:r>
      <w:r w:rsidRPr="00755A4C">
        <w:rPr>
          <w:rFonts w:ascii="Times New Roman" w:hAnsi="Times New Roman"/>
        </w:rPr>
        <w:t>and</w:t>
      </w:r>
      <w:r w:rsidRPr="0061644F">
        <w:rPr>
          <w:rFonts w:ascii="Times New Roman" w:hAnsi="Times New Roman"/>
          <w:iCs/>
          <w:szCs w:val="24"/>
          <w:lang w:bidi="en-US"/>
        </w:rPr>
        <w:t xml:space="preserve"> employment information from certain</w:t>
      </w:r>
      <w:r>
        <w:rPr>
          <w:rFonts w:ascii="Times New Roman" w:hAnsi="Times New Roman"/>
          <w:iCs/>
          <w:szCs w:val="24"/>
          <w:vertAlign w:val="superscript"/>
          <w:lang w:bidi="en-US"/>
        </w:rPr>
        <w:footnoteReference w:id="3"/>
      </w:r>
      <w:r w:rsidRPr="0061644F">
        <w:rPr>
          <w:rFonts w:ascii="Times New Roman" w:hAnsi="Times New Roman"/>
          <w:iCs/>
          <w:szCs w:val="24"/>
          <w:lang w:bidi="en-US"/>
        </w:rPr>
        <w:t xml:space="preserve"> visitors to the FDIC </w:t>
      </w:r>
      <w:r w:rsidRPr="0061644F">
        <w:rPr>
          <w:rFonts w:ascii="Times New Roman" w:hAnsi="Times New Roman"/>
          <w:iCs/>
          <w:szCs w:val="24"/>
          <w:lang w:bidi="en-US"/>
        </w:rPr>
        <w:t>to</w:t>
      </w:r>
      <w:r w:rsidRPr="0061644F">
        <w:rPr>
          <w:rFonts w:ascii="Times New Roman" w:hAnsi="Times New Roman"/>
          <w:iCs/>
          <w:szCs w:val="24"/>
          <w:lang w:bidi="en-US"/>
        </w:rPr>
        <w:t xml:space="preserve"> assess the risk to FDIC facilities and personnel. The FDIC will require certain visitors to FDIC facilities, including support staff and interpreters, to complete and submit the form.</w:t>
      </w:r>
    </w:p>
    <w:p w:rsidR="00731A90" w14:paraId="20C42858" w14:textId="77777777">
      <w:pPr>
        <w:ind w:firstLine="1440"/>
        <w:rPr>
          <w:rFonts w:ascii="Times New Roman" w:hAnsi="Times New Roman"/>
          <w:u w:val="single"/>
        </w:rPr>
      </w:pPr>
    </w:p>
    <w:p w:rsidR="00731A90" w:rsidP="00A104B7" w14:paraId="204C849F" w14:textId="77777777">
      <w:pPr>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14:paraId="32889AA2" w14:textId="77777777">
      <w:pPr>
        <w:rPr>
          <w:rFonts w:ascii="Times New Roman" w:hAnsi="Times New Roman"/>
        </w:rPr>
      </w:pPr>
    </w:p>
    <w:p w:rsidR="00731A90" w:rsidP="008932AC" w14:paraId="3DA10EA5" w14:textId="28881491">
      <w:pPr>
        <w:ind w:left="720"/>
        <w:rPr>
          <w:rFonts w:ascii="Times New Roman" w:hAnsi="Times New Roman"/>
        </w:rPr>
      </w:pPr>
      <w:r>
        <w:rPr>
          <w:rFonts w:ascii="Times New Roman" w:hAnsi="Times New Roman"/>
        </w:rPr>
        <w:t xml:space="preserve">The information will be used to enable the FDIC to identify and </w:t>
      </w:r>
      <w:r w:rsidR="00755A4C">
        <w:rPr>
          <w:rFonts w:ascii="Times New Roman" w:hAnsi="Times New Roman"/>
        </w:rPr>
        <w:t>assess the risk to FDIC facilities and personnel presented by certain visitors to FDIC facilities.</w:t>
      </w:r>
    </w:p>
    <w:p w:rsidR="00731A90" w14:paraId="66BBA8F4" w14:textId="77777777">
      <w:pPr>
        <w:rPr>
          <w:rFonts w:ascii="Times New Roman" w:hAnsi="Times New Roman"/>
        </w:rPr>
      </w:pPr>
    </w:p>
    <w:p w:rsidR="00731A90" w:rsidP="00A104B7" w14:paraId="484D90C0" w14:textId="77777777">
      <w:pPr>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62B6F61B" w14:textId="77777777">
      <w:pPr>
        <w:rPr>
          <w:rFonts w:ascii="Times New Roman" w:hAnsi="Times New Roman"/>
        </w:rPr>
      </w:pPr>
    </w:p>
    <w:p w:rsidR="00731A90" w:rsidP="008932AC" w14:paraId="200C5A47" w14:textId="43A197D2">
      <w:pPr>
        <w:ind w:left="720"/>
        <w:rPr>
          <w:rFonts w:ascii="Times New Roman" w:hAnsi="Times New Roman"/>
        </w:rPr>
      </w:pPr>
      <w:r>
        <w:rPr>
          <w:rFonts w:ascii="Times New Roman" w:hAnsi="Times New Roman"/>
        </w:rPr>
        <w:t>The information is being collected in the most convenient and efficient method given the circumstances</w:t>
      </w:r>
      <w:r w:rsidR="00224DA0">
        <w:rPr>
          <w:rFonts w:ascii="Times New Roman" w:hAnsi="Times New Roman"/>
        </w:rPr>
        <w:t>.</w:t>
      </w:r>
      <w:r>
        <w:rPr>
          <w:rFonts w:ascii="Times New Roman" w:hAnsi="Times New Roman"/>
        </w:rPr>
        <w:t xml:space="preserve"> </w:t>
      </w:r>
    </w:p>
    <w:p w:rsidR="00731A90" w14:paraId="14F021EC" w14:textId="77777777">
      <w:pPr>
        <w:rPr>
          <w:rFonts w:ascii="Times New Roman" w:hAnsi="Times New Roman"/>
        </w:rPr>
      </w:pPr>
    </w:p>
    <w:p w:rsidR="00731A90" w:rsidP="00A104B7" w14:paraId="5B522330" w14:textId="77777777">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14:paraId="791CDB13" w14:textId="77777777">
      <w:pPr>
        <w:rPr>
          <w:rFonts w:ascii="Times New Roman" w:hAnsi="Times New Roman"/>
        </w:rPr>
      </w:pPr>
    </w:p>
    <w:p w:rsidR="00731A90" w:rsidP="008932AC" w14:paraId="630D64A8" w14:textId="77777777">
      <w:pPr>
        <w:ind w:left="720"/>
        <w:rPr>
          <w:rFonts w:ascii="Times New Roman" w:hAnsi="Times New Roman"/>
        </w:rPr>
      </w:pPr>
      <w:r>
        <w:rPr>
          <w:rFonts w:ascii="Times New Roman" w:hAnsi="Times New Roman"/>
        </w:rPr>
        <w:t>There is no duplication</w:t>
      </w:r>
      <w:r w:rsidR="00902332">
        <w:rPr>
          <w:rFonts w:ascii="Times New Roman" w:hAnsi="Times New Roman"/>
        </w:rPr>
        <w:t>.</w:t>
      </w:r>
      <w:r>
        <w:rPr>
          <w:rFonts w:ascii="Times New Roman" w:hAnsi="Times New Roman"/>
        </w:rPr>
        <w:t xml:space="preserve">  Similar information is not</w:t>
      </w:r>
      <w:r>
        <w:rPr>
          <w:rFonts w:ascii="Times New Roman" w:hAnsi="Times New Roman"/>
        </w:rPr>
        <w:t xml:space="preserve"> available from any </w:t>
      </w:r>
      <w:r w:rsidR="00902332">
        <w:rPr>
          <w:rFonts w:ascii="Times New Roman" w:hAnsi="Times New Roman"/>
        </w:rPr>
        <w:t>other source</w:t>
      </w:r>
      <w:r>
        <w:rPr>
          <w:rFonts w:ascii="Times New Roman" w:hAnsi="Times New Roman"/>
        </w:rPr>
        <w:t>.</w:t>
      </w:r>
    </w:p>
    <w:p w:rsidR="00731A90" w14:paraId="13DB6B82" w14:textId="77777777">
      <w:pPr>
        <w:ind w:left="720"/>
        <w:rPr>
          <w:rFonts w:ascii="Times New Roman" w:hAnsi="Times New Roman"/>
        </w:rPr>
      </w:pPr>
    </w:p>
    <w:p w:rsidR="00731A90" w:rsidP="00A104B7" w14:paraId="63B811F9" w14:textId="77777777">
      <w:pPr>
        <w:ind w:left="72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27965CB1" w14:textId="77777777">
      <w:pPr>
        <w:ind w:left="1440"/>
        <w:rPr>
          <w:rFonts w:ascii="Times New Roman" w:hAnsi="Times New Roman"/>
        </w:rPr>
      </w:pPr>
    </w:p>
    <w:p w:rsidR="00731A90" w:rsidP="008932AC" w14:paraId="4E6EC6F8" w14:textId="567DC8D5">
      <w:pPr>
        <w:ind w:left="720"/>
        <w:rPr>
          <w:rFonts w:ascii="Times New Roman" w:hAnsi="Times New Roman"/>
        </w:rPr>
      </w:pPr>
      <w:r>
        <w:rPr>
          <w:rFonts w:ascii="Times New Roman" w:hAnsi="Times New Roman"/>
        </w:rPr>
        <w:t>Th</w:t>
      </w:r>
      <w:r w:rsidR="00EE6E53">
        <w:rPr>
          <w:rFonts w:ascii="Times New Roman" w:hAnsi="Times New Roman"/>
        </w:rPr>
        <w:t xml:space="preserve">e information collection will not have a significant impact on a substantial number of small entities. </w:t>
      </w:r>
    </w:p>
    <w:p w:rsidR="00731A90" w14:paraId="0AD3FBAD" w14:textId="77777777">
      <w:pPr>
        <w:rPr>
          <w:rFonts w:ascii="Times New Roman" w:hAnsi="Times New Roman"/>
        </w:rPr>
      </w:pPr>
    </w:p>
    <w:p w:rsidR="00731A90" w:rsidP="00A104B7" w14:paraId="016ADEB0" w14:textId="77777777">
      <w:pPr>
        <w:ind w:left="72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7BEDBA4F" w14:textId="77777777">
      <w:pPr>
        <w:rPr>
          <w:rFonts w:ascii="Times New Roman" w:hAnsi="Times New Roman"/>
        </w:rPr>
      </w:pPr>
    </w:p>
    <w:p w:rsidR="00731A90" w:rsidP="008932AC" w14:paraId="6A1167A0" w14:textId="55206E5F">
      <w:pPr>
        <w:ind w:left="720"/>
        <w:rPr>
          <w:rFonts w:ascii="Times New Roman" w:hAnsi="Times New Roman"/>
        </w:rPr>
      </w:pPr>
      <w:r>
        <w:rPr>
          <w:rFonts w:ascii="Times New Roman" w:hAnsi="Times New Roman"/>
        </w:rPr>
        <w:t xml:space="preserve">The collection of information </w:t>
      </w:r>
      <w:r w:rsidR="00EE6E53">
        <w:rPr>
          <w:rFonts w:ascii="Times New Roman" w:hAnsi="Times New Roman"/>
        </w:rPr>
        <w:t xml:space="preserve">occurs only </w:t>
      </w:r>
      <w:r w:rsidR="00EE6E53">
        <w:rPr>
          <w:rFonts w:ascii="Times New Roman" w:hAnsi="Times New Roman"/>
        </w:rPr>
        <w:t>on the occasion of</w:t>
      </w:r>
      <w:r w:rsidR="00EE6E53">
        <w:rPr>
          <w:rFonts w:ascii="Times New Roman" w:hAnsi="Times New Roman"/>
        </w:rPr>
        <w:t xml:space="preserve"> a </w:t>
      </w:r>
      <w:r w:rsidR="00755A4C">
        <w:rPr>
          <w:rFonts w:ascii="Times New Roman" w:hAnsi="Times New Roman"/>
        </w:rPr>
        <w:t>request for access to FDIC facilities by a foreign national visitor and his or her staff and companions.  Failure to obtain the information would expose FDIC staff and facilities to potential risks associated with allowing certain individuals access to FDIC facilities.</w:t>
      </w:r>
    </w:p>
    <w:p w:rsidR="00731A90" w14:paraId="38C16554" w14:textId="77777777">
      <w:pPr>
        <w:rPr>
          <w:rFonts w:ascii="Times New Roman" w:hAnsi="Times New Roman"/>
        </w:rPr>
      </w:pPr>
    </w:p>
    <w:p w:rsidR="00731A90" w:rsidP="00A104B7" w14:paraId="6E59192F" w14:textId="77777777">
      <w:pPr>
        <w:ind w:left="72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6B281FD3" w14:textId="77777777">
      <w:pPr>
        <w:rPr>
          <w:rFonts w:ascii="Times New Roman" w:hAnsi="Times New Roman"/>
        </w:rPr>
      </w:pPr>
    </w:p>
    <w:p w:rsidR="00731A90" w:rsidP="008932AC" w14:paraId="7D59D650" w14:textId="77777777">
      <w:pPr>
        <w:ind w:left="720"/>
        <w:rPr>
          <w:rFonts w:ascii="Times New Roman" w:hAnsi="Times New Roman"/>
        </w:rPr>
      </w:pPr>
      <w:r w:rsidRPr="0078042F">
        <w:rPr>
          <w:rFonts w:ascii="Times New Roman TUR" w:hAnsi="Times New Roman TUR" w:cs="Times New Roman TUR"/>
        </w:rPr>
        <w:t xml:space="preserve">There are no special circumstances. This information collection is conducted in accordance </w:t>
      </w:r>
      <w:r w:rsidRPr="00C82C81">
        <w:rPr>
          <w:rFonts w:ascii="Times New Roman" w:hAnsi="Times New Roman"/>
        </w:rPr>
        <w:t>with</w:t>
      </w:r>
      <w:r w:rsidRPr="0078042F">
        <w:rPr>
          <w:rFonts w:ascii="Times New Roman TUR" w:hAnsi="Times New Roman TUR" w:cs="Times New Roman TUR"/>
        </w:rPr>
        <w:t xml:space="preserve"> the </w:t>
      </w:r>
      <w:r w:rsidRPr="008932AC">
        <w:rPr>
          <w:rFonts w:ascii="Times New Roman" w:hAnsi="Times New Roman"/>
        </w:rPr>
        <w:t>guidelines</w:t>
      </w:r>
      <w:r w:rsidRPr="0078042F">
        <w:rPr>
          <w:rFonts w:ascii="Times New Roman TUR" w:hAnsi="Times New Roman TUR" w:cs="Times New Roman TUR"/>
        </w:rPr>
        <w:t xml:space="preserve"> in 5 CFR 1320.5(d)(2).</w:t>
      </w:r>
    </w:p>
    <w:p w:rsidR="00731A90" w14:paraId="7A7FB438" w14:textId="77777777">
      <w:pPr>
        <w:rPr>
          <w:rFonts w:ascii="Times New Roman" w:hAnsi="Times New Roman"/>
        </w:rPr>
      </w:pPr>
    </w:p>
    <w:p w:rsidR="00731A90" w:rsidP="00A104B7" w14:paraId="1031BD9C" w14:textId="77777777">
      <w:pPr>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14:paraId="5F43C77C" w14:textId="77777777">
      <w:pPr>
        <w:rPr>
          <w:rFonts w:ascii="Times New Roman" w:hAnsi="Times New Roman"/>
        </w:rPr>
      </w:pPr>
    </w:p>
    <w:p w:rsidR="00731A90" w:rsidP="008932AC" w14:paraId="4648DAA1" w14:textId="4837FB44">
      <w:pPr>
        <w:ind w:left="720"/>
        <w:rPr>
          <w:rFonts w:ascii="Times New Roman" w:hAnsi="Times New Roman"/>
        </w:rPr>
      </w:pPr>
      <w:r>
        <w:rPr>
          <w:rFonts w:ascii="Times New Roman" w:hAnsi="Times New Roman"/>
        </w:rPr>
        <w:t xml:space="preserve">On </w:t>
      </w:r>
      <w:r w:rsidR="00755A4C">
        <w:rPr>
          <w:rFonts w:ascii="Times New Roman" w:hAnsi="Times New Roman"/>
        </w:rPr>
        <w:t>March 5, 2024</w:t>
      </w:r>
      <w:r>
        <w:rPr>
          <w:rFonts w:ascii="Times New Roman" w:hAnsi="Times New Roman"/>
        </w:rPr>
        <w:t>, FDIC published a</w:t>
      </w:r>
      <w:r>
        <w:rPr>
          <w:rFonts w:ascii="Times New Roman" w:hAnsi="Times New Roman"/>
        </w:rPr>
        <w:t xml:space="preserve"> Federal Register notice seeking public comment for a 60-day period </w:t>
      </w:r>
      <w:r>
        <w:rPr>
          <w:rFonts w:ascii="Times New Roman" w:hAnsi="Times New Roman"/>
        </w:rPr>
        <w:t>(</w:t>
      </w:r>
      <w:r w:rsidR="001D73DB">
        <w:rPr>
          <w:rFonts w:ascii="Times New Roman" w:hAnsi="Times New Roman"/>
        </w:rPr>
        <w:t>8</w:t>
      </w:r>
      <w:r w:rsidR="00BE2CC7">
        <w:rPr>
          <w:rFonts w:ascii="Times New Roman" w:hAnsi="Times New Roman"/>
        </w:rPr>
        <w:t>9</w:t>
      </w:r>
      <w:r w:rsidR="001D73DB">
        <w:rPr>
          <w:rFonts w:ascii="Times New Roman" w:hAnsi="Times New Roman"/>
        </w:rPr>
        <w:t xml:space="preserve"> FR</w:t>
      </w:r>
      <w:r w:rsidR="00BE2CC7">
        <w:rPr>
          <w:rFonts w:ascii="Times New Roman" w:hAnsi="Times New Roman"/>
        </w:rPr>
        <w:t>15871</w:t>
      </w:r>
      <w:r w:rsidR="001D73DB">
        <w:rPr>
          <w:rFonts w:ascii="Times New Roman" w:hAnsi="Times New Roman"/>
        </w:rPr>
        <w:t xml:space="preserve"> </w:t>
      </w:r>
      <w:r>
        <w:rPr>
          <w:rFonts w:ascii="Times New Roman" w:hAnsi="Times New Roman"/>
        </w:rPr>
        <w:t>)</w:t>
      </w:r>
      <w:r>
        <w:rPr>
          <w:rFonts w:ascii="Times New Roman" w:hAnsi="Times New Roman"/>
        </w:rPr>
        <w:t xml:space="preserve">.  No comments were received. </w:t>
      </w:r>
    </w:p>
    <w:p w:rsidR="00731A90" w14:paraId="73F8329E" w14:textId="77777777">
      <w:pPr>
        <w:rPr>
          <w:rFonts w:ascii="Times New Roman" w:hAnsi="Times New Roman"/>
        </w:rPr>
      </w:pPr>
    </w:p>
    <w:p w:rsidR="00731A90" w:rsidP="00A104B7" w14:paraId="13BAD954" w14:textId="77777777">
      <w:pPr>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02301DCC" w14:textId="77777777">
      <w:pPr>
        <w:rPr>
          <w:rFonts w:ascii="Times New Roman" w:hAnsi="Times New Roman"/>
        </w:rPr>
      </w:pPr>
    </w:p>
    <w:p w:rsidR="00731A90" w:rsidP="008932AC" w14:paraId="0AF3CA05" w14:textId="77777777">
      <w:pPr>
        <w:ind w:left="720"/>
        <w:rPr>
          <w:rFonts w:ascii="Times New Roman" w:hAnsi="Times New Roman"/>
        </w:rPr>
      </w:pPr>
      <w:r>
        <w:rPr>
          <w:rFonts w:ascii="Times New Roman" w:hAnsi="Times New Roman"/>
        </w:rPr>
        <w:t xml:space="preserve">None. </w:t>
      </w:r>
    </w:p>
    <w:p w:rsidR="00731A90" w14:paraId="4599CA0E" w14:textId="77777777">
      <w:pPr>
        <w:rPr>
          <w:rFonts w:ascii="Times New Roman" w:hAnsi="Times New Roman"/>
        </w:rPr>
      </w:pPr>
    </w:p>
    <w:p w:rsidR="00731A90" w:rsidP="00A104B7" w14:paraId="37E95A50" w14:textId="77777777">
      <w:pPr>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14:paraId="0E3A7473" w14:textId="77777777">
      <w:pPr>
        <w:rPr>
          <w:rFonts w:ascii="Times New Roman" w:hAnsi="Times New Roman"/>
        </w:rPr>
      </w:pPr>
    </w:p>
    <w:p w:rsidR="00F67AED" w:rsidRPr="00F67AED" w:rsidP="008932AC" w14:paraId="73921AE5" w14:textId="77777777">
      <w:pPr>
        <w:ind w:left="720"/>
        <w:rPr>
          <w:rFonts w:ascii="Times New Roman" w:hAnsi="Times New Roman"/>
        </w:rPr>
      </w:pPr>
      <w:r w:rsidRPr="00F67AED">
        <w:rPr>
          <w:rFonts w:ascii="Times New Roman" w:hAnsi="Times New Roman"/>
        </w:rPr>
        <w:t>Confidential information will be kept private to the extent allowed by law.</w:t>
      </w:r>
    </w:p>
    <w:p w:rsidR="00731A90" w14:paraId="471EA918" w14:textId="77777777">
      <w:pPr>
        <w:rPr>
          <w:rFonts w:ascii="Times New Roman" w:hAnsi="Times New Roman"/>
        </w:rPr>
      </w:pPr>
    </w:p>
    <w:p w:rsidR="00731A90" w:rsidP="00A104B7" w14:paraId="7E49D8C1" w14:textId="77777777">
      <w:pPr>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720D588D" w14:textId="77777777">
      <w:pPr>
        <w:rPr>
          <w:rFonts w:ascii="Times New Roman" w:hAnsi="Times New Roman"/>
        </w:rPr>
      </w:pPr>
    </w:p>
    <w:p w:rsidR="00731A90" w:rsidP="00EE6E53" w14:paraId="050AFD8E" w14:textId="2BEDC97F">
      <w:pPr>
        <w:ind w:left="720"/>
        <w:rPr>
          <w:rFonts w:ascii="Times New Roman" w:hAnsi="Times New Roman"/>
        </w:rPr>
      </w:pPr>
      <w:r w:rsidRPr="009E4FE6">
        <w:rPr>
          <w:rFonts w:ascii="Times New Roman" w:hAnsi="Times New Roman"/>
        </w:rPr>
        <w:t xml:space="preserve">The information </w:t>
      </w:r>
      <w:r w:rsidR="00BE2CC7">
        <w:rPr>
          <w:rFonts w:ascii="Times New Roman" w:hAnsi="Times New Roman"/>
        </w:rPr>
        <w:t>collected is needed to assess the risk presented by granting access to certain foreign nationals to FDIC facilities</w:t>
      </w:r>
      <w:r w:rsidRPr="009E4FE6">
        <w:rPr>
          <w:rFonts w:ascii="Times New Roman" w:hAnsi="Times New Roman"/>
        </w:rPr>
        <w:t>.</w:t>
      </w:r>
      <w:r>
        <w:rPr>
          <w:rFonts w:ascii="Times New Roman" w:hAnsi="Times New Roman"/>
        </w:rPr>
        <w:t xml:space="preserve"> </w:t>
      </w:r>
    </w:p>
    <w:p w:rsidR="00731A90" w14:paraId="11ADEC75" w14:textId="77777777">
      <w:pPr>
        <w:rPr>
          <w:rFonts w:ascii="Times New Roman" w:hAnsi="Times New Roman"/>
        </w:rPr>
      </w:pPr>
    </w:p>
    <w:p w:rsidR="00731A90" w:rsidP="00A104B7" w14:paraId="5854FD00" w14:textId="77777777">
      <w:pPr>
        <w:rPr>
          <w:rFonts w:ascii="Times New Roman" w:hAnsi="Times New Roman"/>
        </w:rPr>
      </w:pPr>
      <w:r>
        <w:rPr>
          <w:rFonts w:ascii="Times New Roman" w:hAnsi="Times New Roman"/>
        </w:rPr>
        <w:t>12.</w:t>
      </w:r>
      <w:r>
        <w:rPr>
          <w:rFonts w:ascii="Times New Roman" w:hAnsi="Times New Roman"/>
        </w:rPr>
        <w:tab/>
      </w:r>
      <w:r w:rsidRPr="009E4FE6" w:rsidR="009E4FE6">
        <w:rPr>
          <w:rFonts w:ascii="Times New Roman" w:hAnsi="Times New Roman"/>
          <w:u w:val="single"/>
        </w:rPr>
        <w:t xml:space="preserve">Estimate of </w:t>
      </w:r>
      <w:r w:rsidR="009E4FE6">
        <w:rPr>
          <w:rFonts w:ascii="Times New Roman" w:hAnsi="Times New Roman"/>
          <w:u w:val="single"/>
        </w:rPr>
        <w:t>hour burden including annualized hourly c</w:t>
      </w:r>
      <w:r w:rsidRPr="009E4FE6" w:rsidR="009E4FE6">
        <w:rPr>
          <w:rFonts w:ascii="Times New Roman" w:hAnsi="Times New Roman"/>
          <w:u w:val="single"/>
        </w:rPr>
        <w:t>osts:</w:t>
      </w:r>
      <w:r>
        <w:rPr>
          <w:rFonts w:ascii="Times New Roman" w:hAnsi="Times New Roman"/>
        </w:rPr>
        <w:t xml:space="preserve">  </w:t>
      </w:r>
    </w:p>
    <w:p w:rsidR="00731A90" w14:paraId="4F7AC131" w14:textId="77777777">
      <w:pPr>
        <w:rPr>
          <w:rFonts w:ascii="Times New Roman" w:hAnsi="Times New Roman"/>
        </w:rPr>
      </w:pPr>
    </w:p>
    <w:tbl>
      <w:tblPr>
        <w:tblW w:w="9060" w:type="dxa"/>
        <w:tblLook w:val="04A0"/>
      </w:tblPr>
      <w:tblGrid>
        <w:gridCol w:w="2341"/>
        <w:gridCol w:w="1600"/>
        <w:gridCol w:w="1239"/>
        <w:gridCol w:w="1660"/>
        <w:gridCol w:w="1100"/>
        <w:gridCol w:w="1120"/>
      </w:tblGrid>
      <w:tr w14:paraId="7E5D6927" w14:textId="77777777" w:rsidTr="00E50952">
        <w:tblPrEx>
          <w:tblW w:w="9060" w:type="dxa"/>
          <w:tblLook w:val="04A0"/>
        </w:tblPrEx>
        <w:trPr>
          <w:trHeight w:val="360"/>
        </w:trPr>
        <w:tc>
          <w:tcPr>
            <w:tcW w:w="90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A1846" w:rsidRPr="00EA1846" w:rsidP="00EA1846" w14:paraId="728BF5B1" w14:textId="77777777">
            <w:pPr>
              <w:widowControl/>
              <w:jc w:val="center"/>
              <w:rPr>
                <w:rFonts w:ascii="Times New Roman" w:hAnsi="Times New Roman"/>
                <w:snapToGrid/>
                <w:color w:val="000000"/>
                <w:szCs w:val="24"/>
              </w:rPr>
            </w:pPr>
            <w:r w:rsidRPr="00EA1846">
              <w:rPr>
                <w:rFonts w:ascii="Times New Roman" w:hAnsi="Times New Roman"/>
                <w:snapToGrid/>
                <w:color w:val="000000"/>
                <w:szCs w:val="24"/>
              </w:rPr>
              <w:t>Revised Table 1. Summary of Estimated Annual Burden (OMB No. 3064-NEW)</w:t>
            </w:r>
          </w:p>
        </w:tc>
      </w:tr>
      <w:tr w14:paraId="7CB04B6B" w14:textId="77777777" w:rsidTr="00E50952">
        <w:tblPrEx>
          <w:tblW w:w="9060" w:type="dxa"/>
          <w:tblLook w:val="04A0"/>
        </w:tblPrEx>
        <w:trPr>
          <w:trHeight w:val="840"/>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EA1846" w:rsidRPr="00EA1846" w:rsidP="00EA1846" w14:paraId="6098060F" w14:textId="77777777">
            <w:pPr>
              <w:widowControl/>
              <w:rPr>
                <w:rFonts w:ascii="Times New Roman" w:hAnsi="Times New Roman"/>
                <w:snapToGrid/>
                <w:color w:val="000000"/>
                <w:sz w:val="20"/>
              </w:rPr>
            </w:pPr>
            <w:r w:rsidRPr="00EA1846">
              <w:rPr>
                <w:rFonts w:ascii="Times New Roman" w:hAnsi="Times New Roman"/>
                <w:snapToGrid/>
                <w:color w:val="000000"/>
                <w:sz w:val="20"/>
              </w:rPr>
              <w:t>Information Collection (IC) (Obligation to Respond)</w:t>
            </w:r>
          </w:p>
        </w:tc>
        <w:tc>
          <w:tcPr>
            <w:tcW w:w="1600" w:type="dxa"/>
            <w:tcBorders>
              <w:top w:val="nil"/>
              <w:left w:val="nil"/>
              <w:bottom w:val="single" w:sz="8" w:space="0" w:color="auto"/>
              <w:right w:val="single" w:sz="8" w:space="0" w:color="auto"/>
            </w:tcBorders>
            <w:shd w:val="clear" w:color="auto" w:fill="auto"/>
            <w:vAlign w:val="center"/>
            <w:hideMark/>
          </w:tcPr>
          <w:p w:rsidR="00EA1846" w:rsidRPr="00EA1846" w:rsidP="00EA1846" w14:paraId="432D6842"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Type of Burden</w:t>
            </w:r>
            <w:r w:rsidRPr="00EA1846">
              <w:rPr>
                <w:rFonts w:ascii="Times New Roman" w:hAnsi="Times New Roman"/>
                <w:snapToGrid/>
                <w:color w:val="000000"/>
                <w:sz w:val="20"/>
              </w:rPr>
              <w:br/>
              <w:t>(Frequency of Response)</w:t>
            </w:r>
          </w:p>
        </w:tc>
        <w:tc>
          <w:tcPr>
            <w:tcW w:w="1200" w:type="dxa"/>
            <w:tcBorders>
              <w:top w:val="nil"/>
              <w:left w:val="nil"/>
              <w:bottom w:val="single" w:sz="8" w:space="0" w:color="auto"/>
              <w:right w:val="single" w:sz="8" w:space="0" w:color="auto"/>
            </w:tcBorders>
            <w:shd w:val="clear" w:color="auto" w:fill="auto"/>
            <w:vAlign w:val="center"/>
            <w:hideMark/>
          </w:tcPr>
          <w:p w:rsidR="00EA1846" w:rsidRPr="00EA1846" w:rsidP="00EA1846" w14:paraId="40057AA7"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 xml:space="preserve"> Number of Respondents</w:t>
            </w:r>
          </w:p>
        </w:tc>
        <w:tc>
          <w:tcPr>
            <w:tcW w:w="1660" w:type="dxa"/>
            <w:tcBorders>
              <w:top w:val="nil"/>
              <w:left w:val="nil"/>
              <w:bottom w:val="single" w:sz="8" w:space="0" w:color="auto"/>
              <w:right w:val="single" w:sz="8" w:space="0" w:color="auto"/>
            </w:tcBorders>
            <w:shd w:val="clear" w:color="auto" w:fill="auto"/>
            <w:vAlign w:val="center"/>
            <w:hideMark/>
          </w:tcPr>
          <w:p w:rsidR="00EA1846" w:rsidRPr="00EA1846" w:rsidP="00EA1846" w14:paraId="2D3F27DE"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 xml:space="preserve"> Number of Responses per Respondent</w:t>
            </w:r>
          </w:p>
        </w:tc>
        <w:tc>
          <w:tcPr>
            <w:tcW w:w="1100" w:type="dxa"/>
            <w:tcBorders>
              <w:top w:val="nil"/>
              <w:left w:val="nil"/>
              <w:bottom w:val="single" w:sz="8" w:space="0" w:color="auto"/>
              <w:right w:val="single" w:sz="8" w:space="0" w:color="auto"/>
            </w:tcBorders>
            <w:shd w:val="clear" w:color="auto" w:fill="auto"/>
            <w:vAlign w:val="center"/>
            <w:hideMark/>
          </w:tcPr>
          <w:p w:rsidR="00EA1846" w:rsidRPr="00EA1846" w:rsidP="00EA1846" w14:paraId="6AE94943"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Time per Response (HH:MM)</w:t>
            </w:r>
          </w:p>
        </w:tc>
        <w:tc>
          <w:tcPr>
            <w:tcW w:w="1120" w:type="dxa"/>
            <w:tcBorders>
              <w:top w:val="nil"/>
              <w:left w:val="nil"/>
              <w:bottom w:val="single" w:sz="8" w:space="0" w:color="auto"/>
              <w:right w:val="single" w:sz="8" w:space="0" w:color="auto"/>
            </w:tcBorders>
            <w:shd w:val="clear" w:color="auto" w:fill="auto"/>
            <w:vAlign w:val="center"/>
            <w:hideMark/>
          </w:tcPr>
          <w:p w:rsidR="00EA1846" w:rsidRPr="00EA1846" w:rsidP="00EA1846" w14:paraId="12AC7279"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Annual Burden (Hours)</w:t>
            </w:r>
          </w:p>
        </w:tc>
      </w:tr>
      <w:tr w14:paraId="71113C05" w14:textId="77777777" w:rsidTr="00E50952">
        <w:tblPrEx>
          <w:tblW w:w="9060" w:type="dxa"/>
          <w:tblLook w:val="04A0"/>
        </w:tblPrEx>
        <w:trPr>
          <w:trHeight w:val="555"/>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EA1846" w:rsidRPr="00EA1846" w:rsidP="00EA1846" w14:paraId="124A424F" w14:textId="77777777">
            <w:pPr>
              <w:widowControl/>
              <w:rPr>
                <w:rFonts w:ascii="Times New Roman" w:hAnsi="Times New Roman"/>
                <w:snapToGrid/>
                <w:color w:val="000000"/>
                <w:sz w:val="20"/>
              </w:rPr>
            </w:pPr>
            <w:r w:rsidRPr="00EA1846">
              <w:rPr>
                <w:rFonts w:ascii="Times New Roman" w:hAnsi="Times New Roman"/>
                <w:snapToGrid/>
                <w:color w:val="000000"/>
                <w:sz w:val="20"/>
              </w:rPr>
              <w:t>1. Visitor Notification Form,</w:t>
            </w:r>
            <w:r w:rsidRPr="00EA1846">
              <w:rPr>
                <w:rFonts w:ascii="Times New Roman" w:hAnsi="Times New Roman"/>
                <w:snapToGrid/>
                <w:color w:val="000000"/>
                <w:sz w:val="20"/>
              </w:rPr>
              <w:br/>
              <w:t>(Mandatory)</w:t>
            </w:r>
          </w:p>
        </w:tc>
        <w:tc>
          <w:tcPr>
            <w:tcW w:w="1600" w:type="dxa"/>
            <w:tcBorders>
              <w:top w:val="nil"/>
              <w:left w:val="nil"/>
              <w:bottom w:val="single" w:sz="8" w:space="0" w:color="auto"/>
              <w:right w:val="single" w:sz="8" w:space="0" w:color="auto"/>
            </w:tcBorders>
            <w:shd w:val="clear" w:color="auto" w:fill="auto"/>
            <w:vAlign w:val="center"/>
            <w:hideMark/>
          </w:tcPr>
          <w:p w:rsidR="00EA1846" w:rsidRPr="00EA1846" w:rsidP="00EA1846" w14:paraId="45DE7CAF"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Reporting</w:t>
            </w:r>
            <w:r w:rsidRPr="00EA1846">
              <w:rPr>
                <w:rFonts w:ascii="Times New Roman" w:hAnsi="Times New Roman"/>
                <w:snapToGrid/>
                <w:color w:val="000000"/>
                <w:sz w:val="20"/>
              </w:rPr>
              <w:br/>
              <w:t>(On occasion)</w:t>
            </w:r>
          </w:p>
        </w:tc>
        <w:tc>
          <w:tcPr>
            <w:tcW w:w="1200" w:type="dxa"/>
            <w:tcBorders>
              <w:top w:val="nil"/>
              <w:left w:val="nil"/>
              <w:bottom w:val="single" w:sz="8" w:space="0" w:color="auto"/>
              <w:right w:val="single" w:sz="8" w:space="0" w:color="auto"/>
            </w:tcBorders>
            <w:shd w:val="clear" w:color="auto" w:fill="auto"/>
            <w:noWrap/>
            <w:vAlign w:val="center"/>
            <w:hideMark/>
          </w:tcPr>
          <w:p w:rsidR="00EA1846" w:rsidRPr="00EA1846" w:rsidP="00EA1846" w14:paraId="036210F5" w14:textId="77777777">
            <w:pPr>
              <w:widowControl/>
              <w:jc w:val="right"/>
              <w:rPr>
                <w:rFonts w:ascii="Times New Roman" w:hAnsi="Times New Roman"/>
                <w:snapToGrid/>
                <w:color w:val="000000"/>
                <w:sz w:val="20"/>
              </w:rPr>
            </w:pPr>
            <w:r w:rsidRPr="00EA1846">
              <w:rPr>
                <w:rFonts w:ascii="Times New Roman" w:hAnsi="Times New Roman"/>
                <w:snapToGrid/>
                <w:color w:val="000000"/>
                <w:sz w:val="20"/>
              </w:rPr>
              <w:t>374</w:t>
            </w:r>
          </w:p>
        </w:tc>
        <w:tc>
          <w:tcPr>
            <w:tcW w:w="1660" w:type="dxa"/>
            <w:tcBorders>
              <w:top w:val="nil"/>
              <w:left w:val="nil"/>
              <w:bottom w:val="single" w:sz="8" w:space="0" w:color="auto"/>
              <w:right w:val="single" w:sz="8" w:space="0" w:color="auto"/>
            </w:tcBorders>
            <w:shd w:val="clear" w:color="auto" w:fill="auto"/>
            <w:noWrap/>
            <w:vAlign w:val="center"/>
            <w:hideMark/>
          </w:tcPr>
          <w:p w:rsidR="00EA1846" w:rsidRPr="00EA1846" w:rsidP="00EA1846" w14:paraId="64313023" w14:textId="77777777">
            <w:pPr>
              <w:widowControl/>
              <w:jc w:val="right"/>
              <w:rPr>
                <w:rFonts w:ascii="Times New Roman" w:hAnsi="Times New Roman"/>
                <w:snapToGrid/>
                <w:color w:val="000000"/>
                <w:sz w:val="20"/>
              </w:rPr>
            </w:pPr>
            <w:r w:rsidRPr="00EA1846">
              <w:rPr>
                <w:rFonts w:ascii="Times New Roman" w:hAnsi="Times New Roman"/>
                <w:snapToGrid/>
                <w:color w:val="000000"/>
                <w:sz w:val="20"/>
              </w:rPr>
              <w:t>1.087</w:t>
            </w:r>
          </w:p>
        </w:tc>
        <w:tc>
          <w:tcPr>
            <w:tcW w:w="1100" w:type="dxa"/>
            <w:tcBorders>
              <w:top w:val="nil"/>
              <w:left w:val="nil"/>
              <w:bottom w:val="single" w:sz="8" w:space="0" w:color="auto"/>
              <w:right w:val="nil"/>
            </w:tcBorders>
            <w:shd w:val="clear" w:color="auto" w:fill="auto"/>
            <w:vAlign w:val="center"/>
            <w:hideMark/>
          </w:tcPr>
          <w:p w:rsidR="00EA1846" w:rsidRPr="00EA1846" w:rsidP="00EA1846" w14:paraId="4E10A434" w14:textId="77777777">
            <w:pPr>
              <w:widowControl/>
              <w:jc w:val="right"/>
              <w:rPr>
                <w:rFonts w:ascii="Times New Roman" w:hAnsi="Times New Roman"/>
                <w:snapToGrid/>
                <w:color w:val="000000"/>
                <w:sz w:val="20"/>
              </w:rPr>
            </w:pPr>
            <w:r w:rsidRPr="00EA1846">
              <w:rPr>
                <w:rFonts w:ascii="Times New Roman" w:hAnsi="Times New Roman"/>
                <w:snapToGrid/>
                <w:color w:val="000000"/>
                <w:sz w:val="20"/>
              </w:rPr>
              <w:t>00:15</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EA1846" w:rsidRPr="00EA1846" w:rsidP="00EA1846" w14:paraId="6F783189" w14:textId="77777777">
            <w:pPr>
              <w:widowControl/>
              <w:jc w:val="right"/>
              <w:rPr>
                <w:rFonts w:ascii="Times New Roman" w:hAnsi="Times New Roman"/>
                <w:snapToGrid/>
                <w:color w:val="000000"/>
                <w:sz w:val="20"/>
              </w:rPr>
            </w:pPr>
            <w:r w:rsidRPr="00EA1846">
              <w:rPr>
                <w:rFonts w:ascii="Times New Roman" w:hAnsi="Times New Roman"/>
                <w:snapToGrid/>
                <w:color w:val="000000"/>
                <w:sz w:val="20"/>
              </w:rPr>
              <w:t>102</w:t>
            </w:r>
          </w:p>
        </w:tc>
      </w:tr>
      <w:tr w14:paraId="5D6CCC98" w14:textId="77777777" w:rsidTr="00E50952">
        <w:tblPrEx>
          <w:tblW w:w="9060" w:type="dxa"/>
          <w:tblLook w:val="04A0"/>
        </w:tblPrEx>
        <w:trPr>
          <w:trHeight w:val="960"/>
        </w:trPr>
        <w:tc>
          <w:tcPr>
            <w:tcW w:w="794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A1846" w:rsidRPr="00EA1846" w:rsidP="00EA1846" w14:paraId="3D387158" w14:textId="77777777">
            <w:pPr>
              <w:widowControl/>
              <w:jc w:val="right"/>
              <w:rPr>
                <w:rFonts w:ascii="Times New Roman" w:hAnsi="Times New Roman"/>
                <w:b/>
                <w:bCs/>
                <w:i/>
                <w:iCs/>
                <w:snapToGrid/>
                <w:color w:val="000000"/>
                <w:sz w:val="22"/>
                <w:szCs w:val="22"/>
              </w:rPr>
            </w:pPr>
            <w:r w:rsidRPr="00EA1846">
              <w:rPr>
                <w:rFonts w:ascii="Times New Roman" w:hAnsi="Times New Roman"/>
                <w:b/>
                <w:bCs/>
                <w:i/>
                <w:iCs/>
                <w:snapToGrid/>
                <w:color w:val="000000"/>
                <w:sz w:val="22"/>
                <w:szCs w:val="22"/>
              </w:rPr>
              <w:t>Total Annual Burden (Hours):</w:t>
            </w:r>
          </w:p>
        </w:tc>
        <w:tc>
          <w:tcPr>
            <w:tcW w:w="1120" w:type="dxa"/>
            <w:tcBorders>
              <w:top w:val="nil"/>
              <w:left w:val="nil"/>
              <w:bottom w:val="single" w:sz="8" w:space="0" w:color="auto"/>
              <w:right w:val="single" w:sz="8" w:space="0" w:color="auto"/>
            </w:tcBorders>
            <w:shd w:val="clear" w:color="auto" w:fill="auto"/>
            <w:noWrap/>
            <w:vAlign w:val="bottom"/>
            <w:hideMark/>
          </w:tcPr>
          <w:p w:rsidR="00EA1846" w:rsidRPr="00EA1846" w:rsidP="00EA1846" w14:paraId="39611B9B" w14:textId="77777777">
            <w:pPr>
              <w:widowControl/>
              <w:jc w:val="right"/>
              <w:rPr>
                <w:rFonts w:ascii="Times New Roman" w:hAnsi="Times New Roman"/>
                <w:b/>
                <w:bCs/>
                <w:i/>
                <w:iCs/>
                <w:snapToGrid/>
                <w:color w:val="000000"/>
                <w:sz w:val="22"/>
                <w:szCs w:val="22"/>
              </w:rPr>
            </w:pPr>
            <w:r w:rsidRPr="00EA1846">
              <w:rPr>
                <w:rFonts w:ascii="Times New Roman" w:hAnsi="Times New Roman"/>
                <w:b/>
                <w:bCs/>
                <w:i/>
                <w:iCs/>
                <w:snapToGrid/>
                <w:color w:val="000000"/>
                <w:sz w:val="22"/>
                <w:szCs w:val="22"/>
              </w:rPr>
              <w:t>102</w:t>
            </w:r>
          </w:p>
        </w:tc>
      </w:tr>
      <w:tr w14:paraId="2295729F" w14:textId="77777777" w:rsidTr="00E50952">
        <w:tblPrEx>
          <w:tblW w:w="9060" w:type="dxa"/>
          <w:tblLook w:val="04A0"/>
        </w:tblPrEx>
        <w:trPr>
          <w:trHeight w:val="315"/>
        </w:trPr>
        <w:tc>
          <w:tcPr>
            <w:tcW w:w="9060" w:type="dxa"/>
            <w:gridSpan w:val="6"/>
            <w:tcBorders>
              <w:top w:val="single" w:sz="8" w:space="0" w:color="auto"/>
              <w:left w:val="single" w:sz="8" w:space="0" w:color="auto"/>
              <w:bottom w:val="nil"/>
              <w:right w:val="single" w:sz="8" w:space="0" w:color="000000"/>
            </w:tcBorders>
            <w:shd w:val="clear" w:color="auto" w:fill="auto"/>
            <w:noWrap/>
            <w:hideMark/>
          </w:tcPr>
          <w:p w:rsidR="00EA1846" w:rsidRPr="00EA1846" w:rsidP="00EA1846" w14:paraId="31F1C168" w14:textId="77777777">
            <w:pPr>
              <w:widowControl/>
              <w:rPr>
                <w:rFonts w:ascii="Times New Roman" w:hAnsi="Times New Roman"/>
                <w:snapToGrid/>
                <w:color w:val="000000"/>
                <w:sz w:val="18"/>
                <w:szCs w:val="18"/>
              </w:rPr>
            </w:pPr>
            <w:r w:rsidRPr="00EA1846">
              <w:rPr>
                <w:rFonts w:ascii="Times New Roman" w:hAnsi="Times New Roman"/>
                <w:snapToGrid/>
                <w:color w:val="000000"/>
                <w:sz w:val="18"/>
                <w:szCs w:val="18"/>
              </w:rPr>
              <w:t>Source: FDIC.</w:t>
            </w:r>
          </w:p>
        </w:tc>
      </w:tr>
      <w:tr w14:paraId="7240D0A7" w14:textId="77777777" w:rsidTr="00E50952">
        <w:tblPrEx>
          <w:tblW w:w="9060" w:type="dxa"/>
          <w:tblLook w:val="04A0"/>
        </w:tblPrEx>
        <w:trPr>
          <w:trHeight w:val="315"/>
        </w:trPr>
        <w:tc>
          <w:tcPr>
            <w:tcW w:w="906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EA1846" w:rsidRPr="00EA1846" w:rsidP="00EA1846" w14:paraId="5A5B0E4F" w14:textId="77777777">
            <w:pPr>
              <w:widowControl/>
              <w:rPr>
                <w:rFonts w:ascii="Times New Roman" w:hAnsi="Times New Roman"/>
                <w:snapToGrid/>
                <w:color w:val="000000"/>
                <w:sz w:val="18"/>
                <w:szCs w:val="18"/>
              </w:rPr>
            </w:pPr>
            <w:r w:rsidRPr="00EA1846">
              <w:rPr>
                <w:rFonts w:ascii="Times New Roman" w:hAnsi="Times New Roman"/>
                <w:snapToGrid/>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575C288A" w14:textId="77777777" w:rsidTr="00E50952">
        <w:tblPrEx>
          <w:tblW w:w="9060" w:type="dxa"/>
          <w:tblLook w:val="04A0"/>
        </w:tblPrEx>
        <w:trPr>
          <w:trHeight w:val="315"/>
        </w:trPr>
        <w:tc>
          <w:tcPr>
            <w:tcW w:w="9060" w:type="dxa"/>
            <w:gridSpan w:val="6"/>
            <w:vMerge/>
            <w:tcBorders>
              <w:top w:val="nil"/>
              <w:left w:val="single" w:sz="8" w:space="0" w:color="auto"/>
              <w:bottom w:val="single" w:sz="8" w:space="0" w:color="000000"/>
              <w:right w:val="single" w:sz="8" w:space="0" w:color="000000"/>
            </w:tcBorders>
            <w:vAlign w:val="center"/>
            <w:hideMark/>
          </w:tcPr>
          <w:p w:rsidR="00EA1846" w:rsidRPr="00EA1846" w:rsidP="00EA1846" w14:paraId="3B917C59" w14:textId="77777777">
            <w:pPr>
              <w:widowControl/>
              <w:rPr>
                <w:rFonts w:ascii="Times New Roman" w:hAnsi="Times New Roman"/>
                <w:snapToGrid/>
                <w:color w:val="000000"/>
                <w:sz w:val="18"/>
                <w:szCs w:val="18"/>
              </w:rPr>
            </w:pPr>
          </w:p>
        </w:tc>
      </w:tr>
      <w:tr w14:paraId="6A6FE811" w14:textId="77777777" w:rsidTr="00E50952">
        <w:tblPrEx>
          <w:tblW w:w="9060" w:type="dxa"/>
          <w:tblLook w:val="04A0"/>
        </w:tblPrEx>
        <w:trPr>
          <w:trHeight w:val="315"/>
        </w:trPr>
        <w:tc>
          <w:tcPr>
            <w:tcW w:w="9060" w:type="dxa"/>
            <w:gridSpan w:val="6"/>
            <w:vMerge/>
            <w:tcBorders>
              <w:top w:val="nil"/>
              <w:left w:val="single" w:sz="8" w:space="0" w:color="auto"/>
              <w:bottom w:val="single" w:sz="8" w:space="0" w:color="000000"/>
              <w:right w:val="single" w:sz="8" w:space="0" w:color="000000"/>
            </w:tcBorders>
            <w:vAlign w:val="center"/>
            <w:hideMark/>
          </w:tcPr>
          <w:p w:rsidR="00EA1846" w:rsidRPr="00EA1846" w:rsidP="00EA1846" w14:paraId="058C178B" w14:textId="77777777">
            <w:pPr>
              <w:widowControl/>
              <w:rPr>
                <w:rFonts w:ascii="Times New Roman" w:hAnsi="Times New Roman"/>
                <w:snapToGrid/>
                <w:color w:val="000000"/>
                <w:sz w:val="18"/>
                <w:szCs w:val="18"/>
              </w:rPr>
            </w:pPr>
          </w:p>
        </w:tc>
      </w:tr>
      <w:tr w14:paraId="01BAB7F2" w14:textId="77777777" w:rsidTr="00E50952">
        <w:tblPrEx>
          <w:tblW w:w="9060" w:type="dxa"/>
          <w:tblLook w:val="04A0"/>
        </w:tblPrEx>
        <w:trPr>
          <w:trHeight w:val="315"/>
        </w:trPr>
        <w:tc>
          <w:tcPr>
            <w:tcW w:w="9060" w:type="dxa"/>
            <w:gridSpan w:val="6"/>
            <w:vMerge/>
            <w:tcBorders>
              <w:top w:val="nil"/>
              <w:left w:val="single" w:sz="8" w:space="0" w:color="auto"/>
              <w:bottom w:val="single" w:sz="8" w:space="0" w:color="000000"/>
              <w:right w:val="single" w:sz="8" w:space="0" w:color="000000"/>
            </w:tcBorders>
            <w:vAlign w:val="center"/>
            <w:hideMark/>
          </w:tcPr>
          <w:p w:rsidR="00EA1846" w:rsidRPr="00EA1846" w:rsidP="00EA1846" w14:paraId="6226B355" w14:textId="77777777">
            <w:pPr>
              <w:widowControl/>
              <w:rPr>
                <w:rFonts w:ascii="Times New Roman" w:hAnsi="Times New Roman"/>
                <w:snapToGrid/>
                <w:color w:val="000000"/>
                <w:sz w:val="18"/>
                <w:szCs w:val="18"/>
              </w:rPr>
            </w:pPr>
          </w:p>
        </w:tc>
      </w:tr>
    </w:tbl>
    <w:p w:rsidR="00EA1846" w:rsidP="00EA1846" w14:paraId="7D606AD2" w14:textId="77777777">
      <w:pPr>
        <w:rPr>
          <w:rFonts w:ascii="Times New Roman" w:hAnsi="Times New Roman"/>
        </w:rPr>
      </w:pPr>
    </w:p>
    <w:p w:rsidR="00EA1846" w:rsidRPr="00EA1846" w:rsidP="00EA1846" w14:paraId="0281ACB8" w14:textId="77777777">
      <w:pPr>
        <w:suppressAutoHyphens/>
        <w:autoSpaceDE w:val="0"/>
        <w:autoSpaceDN w:val="0"/>
        <w:spacing w:after="240" w:line="260" w:lineRule="exact"/>
        <w:rPr>
          <w:rFonts w:ascii="Times New Roman" w:eastAsia="Source Sans Pro" w:hAnsi="Times New Roman"/>
          <w:snapToGrid/>
          <w:sz w:val="20"/>
          <w:lang w:bidi="en-US"/>
        </w:rPr>
      </w:pPr>
      <w:r w:rsidRPr="00EA1846">
        <w:rPr>
          <w:rFonts w:ascii="Times New Roman" w:eastAsia="Source Sans Pro" w:hAnsi="Times New Roman"/>
          <w:snapToGrid/>
          <w:sz w:val="20"/>
          <w:lang w:bidi="en-US"/>
        </w:rPr>
        <w:t>As shown in Table 3, the estimated annual cost associated with this ICR is $11,769, which is the product of the estimated annual burden hours shown in Table 1 and the estimated hourly cost shown in Table 2.</w:t>
      </w:r>
    </w:p>
    <w:tbl>
      <w:tblPr>
        <w:tblW w:w="8990" w:type="dxa"/>
        <w:tblLook w:val="04A0"/>
      </w:tblPr>
      <w:tblGrid>
        <w:gridCol w:w="2150"/>
        <w:gridCol w:w="1620"/>
        <w:gridCol w:w="1980"/>
        <w:gridCol w:w="3240"/>
      </w:tblGrid>
      <w:tr w14:paraId="799A4497" w14:textId="77777777" w:rsidTr="00E50952">
        <w:tblPrEx>
          <w:tblW w:w="8990" w:type="dxa"/>
          <w:tblLook w:val="04A0"/>
        </w:tblPrEx>
        <w:trPr>
          <w:trHeight w:val="332"/>
        </w:trPr>
        <w:tc>
          <w:tcPr>
            <w:tcW w:w="89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A1846" w:rsidRPr="00EA1846" w:rsidP="00EA1846" w14:paraId="43CBB98E" w14:textId="77777777">
            <w:pPr>
              <w:widowControl/>
              <w:jc w:val="center"/>
              <w:rPr>
                <w:rFonts w:ascii="Times New Roman" w:hAnsi="Times New Roman"/>
                <w:snapToGrid/>
                <w:color w:val="000000"/>
                <w:szCs w:val="24"/>
              </w:rPr>
            </w:pPr>
            <w:r w:rsidRPr="00EA1846">
              <w:rPr>
                <w:rFonts w:ascii="Times New Roman" w:hAnsi="Times New Roman"/>
                <w:snapToGrid/>
                <w:color w:val="000000"/>
                <w:szCs w:val="24"/>
              </w:rPr>
              <w:t>Table 3. Total Estimated Cost Burden (OMB No. 3064-NEW)</w:t>
            </w:r>
          </w:p>
        </w:tc>
      </w:tr>
      <w:tr w14:paraId="5AE866AA" w14:textId="77777777" w:rsidTr="00E50952">
        <w:tblPrEx>
          <w:tblW w:w="8990" w:type="dxa"/>
          <w:tblLook w:val="04A0"/>
        </w:tblPrEx>
        <w:trPr>
          <w:trHeight w:val="600"/>
        </w:trPr>
        <w:tc>
          <w:tcPr>
            <w:tcW w:w="2150" w:type="dxa"/>
            <w:tcBorders>
              <w:top w:val="nil"/>
              <w:left w:val="single" w:sz="8" w:space="0" w:color="auto"/>
              <w:bottom w:val="single" w:sz="8" w:space="0" w:color="auto"/>
              <w:right w:val="single" w:sz="8" w:space="0" w:color="auto"/>
            </w:tcBorders>
            <w:shd w:val="clear" w:color="auto" w:fill="auto"/>
            <w:vAlign w:val="center"/>
            <w:hideMark/>
          </w:tcPr>
          <w:p w:rsidR="00EA1846" w:rsidRPr="00EA1846" w:rsidP="00EA1846" w14:paraId="2E465B0E" w14:textId="77777777">
            <w:pPr>
              <w:widowControl/>
              <w:rPr>
                <w:rFonts w:ascii="Times New Roman" w:hAnsi="Times New Roman"/>
                <w:snapToGrid/>
                <w:color w:val="000000"/>
                <w:sz w:val="20"/>
              </w:rPr>
            </w:pPr>
            <w:r w:rsidRPr="00EA1846">
              <w:rPr>
                <w:rFonts w:ascii="Times New Roman" w:hAnsi="Times New Roman"/>
                <w:snapToGrid/>
                <w:color w:val="000000"/>
                <w:sz w:val="20"/>
              </w:rPr>
              <w:t>Information Collection Request</w:t>
            </w:r>
          </w:p>
        </w:tc>
        <w:tc>
          <w:tcPr>
            <w:tcW w:w="1620" w:type="dxa"/>
            <w:tcBorders>
              <w:top w:val="nil"/>
              <w:left w:val="nil"/>
              <w:bottom w:val="single" w:sz="8" w:space="0" w:color="auto"/>
              <w:right w:val="single" w:sz="8" w:space="0" w:color="auto"/>
            </w:tcBorders>
            <w:shd w:val="clear" w:color="auto" w:fill="auto"/>
            <w:vAlign w:val="center"/>
            <w:hideMark/>
          </w:tcPr>
          <w:p w:rsidR="00EA1846" w:rsidRPr="00EA1846" w:rsidP="00EA1846" w14:paraId="5C1FE7D9"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Annual Burden (Hours)</w:t>
            </w:r>
          </w:p>
        </w:tc>
        <w:tc>
          <w:tcPr>
            <w:tcW w:w="1980" w:type="dxa"/>
            <w:tcBorders>
              <w:top w:val="nil"/>
              <w:left w:val="nil"/>
              <w:bottom w:val="single" w:sz="8" w:space="0" w:color="auto"/>
              <w:right w:val="single" w:sz="8" w:space="0" w:color="auto"/>
            </w:tcBorders>
            <w:shd w:val="clear" w:color="auto" w:fill="auto"/>
            <w:vAlign w:val="center"/>
            <w:hideMark/>
          </w:tcPr>
          <w:p w:rsidR="00EA1846" w:rsidRPr="00EA1846" w:rsidP="00EA1846" w14:paraId="4F0E5FC6"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Weighted Average Hourly Compensation Rate</w:t>
            </w:r>
          </w:p>
        </w:tc>
        <w:tc>
          <w:tcPr>
            <w:tcW w:w="3240" w:type="dxa"/>
            <w:tcBorders>
              <w:top w:val="nil"/>
              <w:left w:val="nil"/>
              <w:bottom w:val="single" w:sz="8" w:space="0" w:color="auto"/>
              <w:right w:val="single" w:sz="8" w:space="0" w:color="auto"/>
            </w:tcBorders>
            <w:shd w:val="clear" w:color="auto" w:fill="auto"/>
            <w:vAlign w:val="center"/>
            <w:hideMark/>
          </w:tcPr>
          <w:p w:rsidR="00EA1846" w:rsidRPr="00EA1846" w:rsidP="00EA1846" w14:paraId="757D1701" w14:textId="77777777">
            <w:pPr>
              <w:widowControl/>
              <w:jc w:val="center"/>
              <w:rPr>
                <w:rFonts w:ascii="Times New Roman" w:hAnsi="Times New Roman"/>
                <w:snapToGrid/>
                <w:color w:val="000000"/>
                <w:sz w:val="20"/>
              </w:rPr>
            </w:pPr>
            <w:r w:rsidRPr="00EA1846">
              <w:rPr>
                <w:rFonts w:ascii="Times New Roman" w:hAnsi="Times New Roman"/>
                <w:snapToGrid/>
                <w:color w:val="000000"/>
                <w:sz w:val="20"/>
              </w:rPr>
              <w:t>Annual Respondent Cost</w:t>
            </w:r>
          </w:p>
        </w:tc>
      </w:tr>
      <w:tr w14:paraId="1FE890D5" w14:textId="77777777" w:rsidTr="00E50952">
        <w:tblPrEx>
          <w:tblW w:w="8990" w:type="dxa"/>
          <w:tblLook w:val="04A0"/>
        </w:tblPrEx>
        <w:trPr>
          <w:trHeight w:val="865"/>
        </w:trPr>
        <w:tc>
          <w:tcPr>
            <w:tcW w:w="2150" w:type="dxa"/>
            <w:tcBorders>
              <w:top w:val="nil"/>
              <w:left w:val="single" w:sz="8" w:space="0" w:color="auto"/>
              <w:bottom w:val="single" w:sz="8" w:space="0" w:color="auto"/>
              <w:right w:val="single" w:sz="8" w:space="0" w:color="auto"/>
            </w:tcBorders>
            <w:shd w:val="clear" w:color="auto" w:fill="auto"/>
            <w:vAlign w:val="center"/>
            <w:hideMark/>
          </w:tcPr>
          <w:p w:rsidR="00EA1846" w:rsidRPr="00EA1846" w:rsidP="00EA1846" w14:paraId="20B777C7" w14:textId="77777777">
            <w:pPr>
              <w:widowControl/>
              <w:rPr>
                <w:rFonts w:ascii="Times New Roman" w:hAnsi="Times New Roman"/>
                <w:snapToGrid/>
                <w:color w:val="000000"/>
                <w:sz w:val="20"/>
              </w:rPr>
            </w:pPr>
            <w:r w:rsidRPr="00EA1846">
              <w:rPr>
                <w:rFonts w:ascii="Times New Roman" w:hAnsi="Times New Roman"/>
                <w:snapToGrid/>
                <w:color w:val="000000"/>
                <w:sz w:val="20"/>
              </w:rPr>
              <w:t>Visitor Notification form</w:t>
            </w:r>
          </w:p>
        </w:tc>
        <w:tc>
          <w:tcPr>
            <w:tcW w:w="1620" w:type="dxa"/>
            <w:tcBorders>
              <w:top w:val="nil"/>
              <w:left w:val="nil"/>
              <w:bottom w:val="single" w:sz="8" w:space="0" w:color="auto"/>
              <w:right w:val="single" w:sz="8" w:space="0" w:color="auto"/>
            </w:tcBorders>
            <w:shd w:val="clear" w:color="auto" w:fill="auto"/>
            <w:noWrap/>
            <w:vAlign w:val="center"/>
            <w:hideMark/>
          </w:tcPr>
          <w:p w:rsidR="00EA1846" w:rsidRPr="00EA1846" w:rsidP="00EA1846" w14:paraId="397AD5F9" w14:textId="77777777">
            <w:pPr>
              <w:widowControl/>
              <w:ind w:firstLine="400" w:firstLineChars="200"/>
              <w:jc w:val="right"/>
              <w:rPr>
                <w:rFonts w:ascii="Times New Roman" w:hAnsi="Times New Roman"/>
                <w:snapToGrid/>
                <w:color w:val="000000"/>
                <w:sz w:val="20"/>
              </w:rPr>
            </w:pPr>
            <w:r w:rsidRPr="00EA1846">
              <w:rPr>
                <w:rFonts w:ascii="Times New Roman" w:hAnsi="Times New Roman"/>
                <w:snapToGrid/>
                <w:color w:val="000000"/>
                <w:sz w:val="20"/>
              </w:rPr>
              <w:t xml:space="preserve">                                             102 </w:t>
            </w:r>
          </w:p>
        </w:tc>
        <w:tc>
          <w:tcPr>
            <w:tcW w:w="1980" w:type="dxa"/>
            <w:tcBorders>
              <w:top w:val="nil"/>
              <w:left w:val="nil"/>
              <w:bottom w:val="single" w:sz="8" w:space="0" w:color="auto"/>
              <w:right w:val="single" w:sz="8" w:space="0" w:color="auto"/>
            </w:tcBorders>
            <w:shd w:val="clear" w:color="auto" w:fill="auto"/>
            <w:noWrap/>
            <w:vAlign w:val="center"/>
            <w:hideMark/>
          </w:tcPr>
          <w:p w:rsidR="00EA1846" w:rsidRPr="00EA1846" w:rsidP="00EA1846" w14:paraId="386F92A4" w14:textId="77777777">
            <w:pPr>
              <w:widowControl/>
              <w:ind w:firstLine="200" w:firstLineChars="100"/>
              <w:jc w:val="right"/>
              <w:rPr>
                <w:rFonts w:ascii="Times New Roman" w:hAnsi="Times New Roman"/>
                <w:snapToGrid/>
                <w:color w:val="000000"/>
                <w:sz w:val="20"/>
              </w:rPr>
            </w:pPr>
            <w:r w:rsidRPr="00EA1846">
              <w:rPr>
                <w:rFonts w:ascii="Times New Roman" w:hAnsi="Times New Roman"/>
                <w:snapToGrid/>
                <w:color w:val="000000"/>
                <w:sz w:val="20"/>
              </w:rPr>
              <w:t>$115.38</w:t>
            </w:r>
          </w:p>
        </w:tc>
        <w:tc>
          <w:tcPr>
            <w:tcW w:w="3240" w:type="dxa"/>
            <w:tcBorders>
              <w:top w:val="nil"/>
              <w:left w:val="nil"/>
              <w:bottom w:val="single" w:sz="8" w:space="0" w:color="auto"/>
              <w:right w:val="single" w:sz="8" w:space="0" w:color="auto"/>
            </w:tcBorders>
            <w:shd w:val="clear" w:color="auto" w:fill="auto"/>
            <w:noWrap/>
            <w:vAlign w:val="center"/>
            <w:hideMark/>
          </w:tcPr>
          <w:p w:rsidR="00EA1846" w:rsidRPr="00EA1846" w:rsidP="00EA1846" w14:paraId="2B59679C" w14:textId="77777777">
            <w:pPr>
              <w:widowControl/>
              <w:ind w:firstLine="200" w:firstLineChars="100"/>
              <w:jc w:val="right"/>
              <w:rPr>
                <w:rFonts w:ascii="Times New Roman" w:hAnsi="Times New Roman"/>
                <w:snapToGrid/>
                <w:color w:val="000000"/>
                <w:sz w:val="20"/>
              </w:rPr>
            </w:pPr>
            <w:r w:rsidRPr="00EA1846">
              <w:rPr>
                <w:rFonts w:ascii="Times New Roman" w:hAnsi="Times New Roman"/>
                <w:snapToGrid/>
                <w:color w:val="000000"/>
                <w:sz w:val="20"/>
              </w:rPr>
              <w:t>$11,769</w:t>
            </w:r>
          </w:p>
        </w:tc>
      </w:tr>
      <w:tr w14:paraId="37B95732" w14:textId="77777777" w:rsidTr="00E50952">
        <w:tblPrEx>
          <w:tblW w:w="8990" w:type="dxa"/>
          <w:tblLook w:val="04A0"/>
        </w:tblPrEx>
        <w:trPr>
          <w:trHeight w:val="360"/>
        </w:trPr>
        <w:tc>
          <w:tcPr>
            <w:tcW w:w="575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EA1846" w:rsidRPr="00EA1846" w:rsidP="00EA1846" w14:paraId="380907F5" w14:textId="77777777">
            <w:pPr>
              <w:widowControl/>
              <w:jc w:val="right"/>
              <w:rPr>
                <w:rFonts w:ascii="Times New Roman" w:hAnsi="Times New Roman"/>
                <w:b/>
                <w:bCs/>
                <w:i/>
                <w:iCs/>
                <w:snapToGrid/>
                <w:color w:val="000000"/>
                <w:sz w:val="22"/>
                <w:szCs w:val="22"/>
              </w:rPr>
            </w:pPr>
            <w:r w:rsidRPr="00EA1846">
              <w:rPr>
                <w:rFonts w:ascii="Times New Roman" w:hAnsi="Times New Roman"/>
                <w:b/>
                <w:bCs/>
                <w:i/>
                <w:iCs/>
                <w:snapToGrid/>
                <w:color w:val="000000"/>
                <w:sz w:val="22"/>
                <w:szCs w:val="22"/>
              </w:rPr>
              <w:t>Total Annual Respondent Cost:</w:t>
            </w:r>
          </w:p>
        </w:tc>
        <w:tc>
          <w:tcPr>
            <w:tcW w:w="3240" w:type="dxa"/>
            <w:tcBorders>
              <w:top w:val="nil"/>
              <w:left w:val="nil"/>
              <w:bottom w:val="single" w:sz="8" w:space="0" w:color="auto"/>
              <w:right w:val="single" w:sz="8" w:space="0" w:color="auto"/>
            </w:tcBorders>
            <w:shd w:val="clear" w:color="000000" w:fill="FFFFFF"/>
            <w:vAlign w:val="center"/>
            <w:hideMark/>
          </w:tcPr>
          <w:p w:rsidR="00EA1846" w:rsidRPr="00EA1846" w:rsidP="00EA1846" w14:paraId="4D830DE8" w14:textId="77777777">
            <w:pPr>
              <w:widowControl/>
              <w:ind w:firstLine="220" w:firstLineChars="100"/>
              <w:jc w:val="right"/>
              <w:rPr>
                <w:rFonts w:ascii="Times New Roman" w:hAnsi="Times New Roman"/>
                <w:b/>
                <w:bCs/>
                <w:i/>
                <w:iCs/>
                <w:snapToGrid/>
                <w:color w:val="000000"/>
                <w:sz w:val="22"/>
                <w:szCs w:val="22"/>
              </w:rPr>
            </w:pPr>
            <w:r w:rsidRPr="00EA1846">
              <w:rPr>
                <w:rFonts w:ascii="Times New Roman" w:hAnsi="Times New Roman"/>
                <w:b/>
                <w:bCs/>
                <w:i/>
                <w:iCs/>
                <w:snapToGrid/>
                <w:color w:val="000000"/>
                <w:sz w:val="22"/>
                <w:szCs w:val="22"/>
              </w:rPr>
              <w:t xml:space="preserve">$11,769 </w:t>
            </w:r>
          </w:p>
        </w:tc>
      </w:tr>
      <w:tr w14:paraId="7513411A" w14:textId="77777777" w:rsidTr="00E50952">
        <w:tblPrEx>
          <w:tblW w:w="8990" w:type="dxa"/>
          <w:tblLook w:val="04A0"/>
        </w:tblPrEx>
        <w:trPr>
          <w:trHeight w:val="439"/>
        </w:trPr>
        <w:tc>
          <w:tcPr>
            <w:tcW w:w="899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EA1846" w:rsidRPr="00EA1846" w:rsidP="00EA1846" w14:paraId="5C52F1CE" w14:textId="77777777">
            <w:pPr>
              <w:widowControl/>
              <w:rPr>
                <w:rFonts w:ascii="Times New Roman" w:hAnsi="Times New Roman"/>
                <w:snapToGrid/>
                <w:color w:val="000000"/>
                <w:sz w:val="18"/>
                <w:szCs w:val="18"/>
              </w:rPr>
            </w:pPr>
            <w:r w:rsidRPr="00EA1846">
              <w:rPr>
                <w:rFonts w:ascii="Times New Roman" w:hAnsi="Times New Roman"/>
                <w:snapToGrid/>
                <w:color w:val="000000"/>
                <w:sz w:val="18"/>
                <w:szCs w:val="18"/>
              </w:rPr>
              <w:t>Source: FDIC.</w:t>
            </w:r>
          </w:p>
        </w:tc>
      </w:tr>
    </w:tbl>
    <w:p w:rsidR="00EA1846" w:rsidRPr="00EA1846" w:rsidP="00EA1846" w14:paraId="7EB57768" w14:textId="77777777">
      <w:pPr>
        <w:suppressAutoHyphens/>
        <w:autoSpaceDE w:val="0"/>
        <w:autoSpaceDN w:val="0"/>
        <w:spacing w:after="240" w:line="260" w:lineRule="exact"/>
        <w:ind w:right="-86"/>
        <w:rPr>
          <w:rFonts w:ascii="Times New Roman" w:eastAsia="Source Sans Pro" w:hAnsi="Times New Roman"/>
          <w:snapToGrid/>
          <w:sz w:val="20"/>
          <w:lang w:bidi="en-US"/>
        </w:rPr>
      </w:pPr>
    </w:p>
    <w:p w:rsidR="00EA1846" w14:paraId="3250DAEC" w14:textId="77777777">
      <w:pPr>
        <w:ind w:firstLine="720"/>
        <w:rPr>
          <w:rFonts w:ascii="Times New Roman" w:hAnsi="Times New Roman"/>
        </w:rPr>
      </w:pPr>
    </w:p>
    <w:p w:rsidR="00EA1846" w14:paraId="7D18743E" w14:textId="77777777">
      <w:pPr>
        <w:ind w:firstLine="720"/>
        <w:rPr>
          <w:rFonts w:ascii="Times New Roman" w:hAnsi="Times New Roman"/>
        </w:rPr>
      </w:pPr>
    </w:p>
    <w:p w:rsidR="00731A90" w:rsidP="00A104B7" w14:paraId="48EBCFEA" w14:textId="77777777">
      <w:pPr>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14:paraId="19942604" w14:textId="77777777">
      <w:pPr>
        <w:rPr>
          <w:rFonts w:ascii="Times New Roman" w:hAnsi="Times New Roman"/>
        </w:rPr>
      </w:pPr>
    </w:p>
    <w:p w:rsidR="00731A90" w:rsidP="008932AC" w14:paraId="63833168" w14:textId="77777777">
      <w:pPr>
        <w:ind w:left="720"/>
        <w:rPr>
          <w:rFonts w:ascii="Times New Roman" w:hAnsi="Times New Roman"/>
        </w:rPr>
      </w:pPr>
      <w:r>
        <w:rPr>
          <w:rFonts w:ascii="Times New Roman" w:hAnsi="Times New Roman"/>
        </w:rPr>
        <w:t xml:space="preserve">None. </w:t>
      </w:r>
    </w:p>
    <w:p w:rsidR="00731A90" w14:paraId="3B0B4756" w14:textId="77777777">
      <w:pPr>
        <w:rPr>
          <w:rFonts w:ascii="Times New Roman" w:hAnsi="Times New Roman"/>
        </w:rPr>
      </w:pPr>
    </w:p>
    <w:p w:rsidR="00731A90" w14:paraId="3ABC7EF1" w14:textId="77777777">
      <w:pPr>
        <w:rPr>
          <w:rFonts w:ascii="Times New Roman" w:hAnsi="Times New Roman"/>
        </w:rPr>
      </w:pPr>
    </w:p>
    <w:p w:rsidR="00731A90" w:rsidP="00A104B7" w14:paraId="6C5EAF13" w14:textId="77777777">
      <w:pPr>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Estimate of annualized costs to the government:</w:t>
      </w:r>
    </w:p>
    <w:p w:rsidR="00731A90" w14:paraId="076F6FB4" w14:textId="77777777">
      <w:pPr>
        <w:rPr>
          <w:rFonts w:ascii="Times New Roman" w:hAnsi="Times New Roman"/>
        </w:rPr>
      </w:pPr>
    </w:p>
    <w:p w:rsidR="00731A90" w:rsidP="008932AC" w14:paraId="591D1359" w14:textId="77777777">
      <w:pPr>
        <w:ind w:left="720"/>
        <w:rPr>
          <w:rFonts w:ascii="Times New Roman" w:hAnsi="Times New Roman"/>
        </w:rPr>
      </w:pPr>
      <w:r>
        <w:rPr>
          <w:rFonts w:ascii="Times New Roman" w:hAnsi="Times New Roman"/>
        </w:rPr>
        <w:t>None.</w:t>
      </w:r>
    </w:p>
    <w:p w:rsidR="007C1599" w14:paraId="4B7C17B2" w14:textId="77777777">
      <w:pPr>
        <w:rPr>
          <w:rFonts w:ascii="Times New Roman" w:hAnsi="Times New Roman"/>
        </w:rPr>
      </w:pPr>
    </w:p>
    <w:p w:rsidR="00731A90" w:rsidP="00A104B7" w14:paraId="72A5E3C0" w14:textId="77777777">
      <w:pPr>
        <w:rPr>
          <w:rFonts w:ascii="Times New Roman" w:hAnsi="Times New Roman"/>
        </w:rPr>
      </w:pPr>
      <w:r>
        <w:rPr>
          <w:rFonts w:ascii="Times New Roman" w:hAnsi="Times New Roman"/>
        </w:rPr>
        <w:t>15.</w:t>
      </w:r>
      <w:r>
        <w:rPr>
          <w:rFonts w:ascii="Times New Roman" w:hAnsi="Times New Roman"/>
        </w:rPr>
        <w:tab/>
      </w:r>
      <w:r w:rsidRPr="00817DAE" w:rsidR="00817DAE">
        <w:rPr>
          <w:rFonts w:ascii="Times New Roman" w:hAnsi="Times New Roman"/>
          <w:u w:val="single"/>
        </w:rPr>
        <w:t>Analysis of change in burden:</w:t>
      </w:r>
      <w:r>
        <w:rPr>
          <w:rFonts w:ascii="Times New Roman" w:hAnsi="Times New Roman"/>
          <w:u w:val="single"/>
        </w:rPr>
        <w:t xml:space="preserve"> </w:t>
      </w:r>
    </w:p>
    <w:p w:rsidR="00731A90" w14:paraId="611F1FA7" w14:textId="77777777">
      <w:pPr>
        <w:rPr>
          <w:rFonts w:ascii="Times New Roman" w:hAnsi="Times New Roman"/>
        </w:rPr>
      </w:pPr>
    </w:p>
    <w:p w:rsidR="00731A90" w:rsidP="008932AC" w14:paraId="020E40E2" w14:textId="77777777">
      <w:pPr>
        <w:ind w:left="720"/>
        <w:rPr>
          <w:rFonts w:ascii="Times New Roman" w:hAnsi="Times New Roman"/>
        </w:rPr>
      </w:pPr>
      <w:r>
        <w:rPr>
          <w:rFonts w:ascii="Times New Roman" w:hAnsi="Times New Roman"/>
        </w:rPr>
        <w:t>This is a new information collection.</w:t>
      </w:r>
    </w:p>
    <w:p w:rsidR="00731A90" w14:paraId="77DBD133" w14:textId="77777777">
      <w:pPr>
        <w:rPr>
          <w:rFonts w:ascii="Times New Roman" w:hAnsi="Times New Roman"/>
        </w:rPr>
      </w:pPr>
    </w:p>
    <w:p w:rsidR="00731A90" w:rsidP="00A104B7" w14:paraId="46F58D16" w14:textId="77777777">
      <w:pPr>
        <w:ind w:left="72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553263A0" w14:textId="77777777">
      <w:pPr>
        <w:rPr>
          <w:rFonts w:ascii="Times New Roman" w:hAnsi="Times New Roman"/>
        </w:rPr>
      </w:pPr>
    </w:p>
    <w:p w:rsidR="00731A90" w:rsidP="008932AC" w14:paraId="0924DAC7" w14:textId="77777777">
      <w:pPr>
        <w:ind w:left="720"/>
        <w:rPr>
          <w:rFonts w:ascii="Times New Roman" w:hAnsi="Times New Roman"/>
        </w:rPr>
      </w:pPr>
      <w:r w:rsidRPr="00817DAE">
        <w:rPr>
          <w:rFonts w:ascii="Times New Roman" w:hAnsi="Times New Roman"/>
        </w:rPr>
        <w:t xml:space="preserve">The </w:t>
      </w:r>
      <w:r w:rsidRPr="00A104B7">
        <w:rPr>
          <w:rFonts w:ascii="Times New Roman" w:eastAsia="Source Sans Pro" w:hAnsi="Times New Roman"/>
          <w:snapToGrid/>
          <w:szCs w:val="24"/>
          <w:lang w:bidi="en-US"/>
        </w:rPr>
        <w:t>results</w:t>
      </w:r>
      <w:r w:rsidRPr="00817DAE">
        <w:rPr>
          <w:rFonts w:ascii="Times New Roman" w:hAnsi="Times New Roman"/>
        </w:rPr>
        <w:t xml:space="preserve"> of this collection will not be published for statistical use.</w:t>
      </w:r>
    </w:p>
    <w:p w:rsidR="00731A90" w14:paraId="65E9BC1D" w14:textId="77777777">
      <w:pPr>
        <w:rPr>
          <w:rFonts w:ascii="Times New Roman" w:hAnsi="Times New Roman"/>
        </w:rPr>
      </w:pPr>
    </w:p>
    <w:p w:rsidR="00731A90" w:rsidP="00A104B7" w14:paraId="52E28ABD" w14:textId="77777777">
      <w:pPr>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14:paraId="57F14535" w14:textId="77777777">
      <w:pPr>
        <w:rPr>
          <w:rFonts w:ascii="Times New Roman" w:hAnsi="Times New Roman"/>
        </w:rPr>
      </w:pPr>
    </w:p>
    <w:p w:rsidR="00731A90" w:rsidP="008932AC" w14:paraId="5DF8E635"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731A90" w14:paraId="30A464EF" w14:textId="77777777">
      <w:pPr>
        <w:rPr>
          <w:rFonts w:ascii="Times New Roman" w:hAnsi="Times New Roman"/>
        </w:rPr>
      </w:pPr>
    </w:p>
    <w:p w:rsidR="00731A90" w14:paraId="2DC0EAF5" w14:textId="77777777">
      <w:pPr>
        <w:rPr>
          <w:rFonts w:ascii="Times New Roman" w:hAnsi="Times New Roman"/>
        </w:rPr>
      </w:pPr>
    </w:p>
    <w:p w:rsidR="00731A90" w14:paraId="5D029371"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46DF391B" w14:textId="77777777">
      <w:pPr>
        <w:rPr>
          <w:rFonts w:ascii="Times New Roman" w:hAnsi="Times New Roman"/>
          <w:u w:val="single"/>
        </w:rPr>
      </w:pPr>
    </w:p>
    <w:p w:rsidR="00731A90" w:rsidP="008932AC" w14:paraId="7C9E9F97"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p>
    <w:p w:rsidR="00731A90" w14:paraId="6C5D5B70" w14:textId="77777777">
      <w:pPr>
        <w:rPr>
          <w:rFonts w:ascii="Times New Roman" w:hAnsi="Times New Roman"/>
        </w:rPr>
      </w:pPr>
    </w:p>
    <w:p w:rsidR="00731A90" w14:paraId="5489D3FE" w14:textId="77777777">
      <w:pPr>
        <w:rPr>
          <w:rFonts w:ascii="Times New Roman" w:hAnsi="Times New Roman"/>
        </w:rPr>
      </w:pPr>
    </w:p>
    <w:p w:rsidR="00731A90" w14:paraId="46969E4D" w14:textId="77777777">
      <w:pPr>
        <w:rPr>
          <w:rFonts w:ascii="Times New Roman" w:hAnsi="Times New Roman"/>
        </w:rPr>
      </w:pPr>
    </w:p>
    <w:p w:rsidR="00731A90" w14:paraId="1B43C073" w14:textId="77777777"/>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9E1C6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621407F4" w14:textId="77777777">
    <w:pPr>
      <w:spacing w:line="240" w:lineRule="exact"/>
    </w:pPr>
  </w:p>
  <w:p w:rsidR="000D7176" w14:paraId="35820D02"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566DB">
      <w:rPr>
        <w:rFonts w:ascii="Times New Roman" w:hAnsi="Times New Roman"/>
        <w:noProof/>
      </w:rPr>
      <w:t>2</w:t>
    </w:r>
    <w:r>
      <w:rPr>
        <w:rFonts w:ascii="Times New Roman" w:hAnsi="Times New Roman"/>
      </w:rPr>
      <w:fldChar w:fldCharType="end"/>
    </w:r>
  </w:p>
  <w:p w:rsidR="000D7176" w14:paraId="5939D8B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38FA9C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2A3" w14:paraId="13DADCDB" w14:textId="77777777">
      <w:r>
        <w:separator/>
      </w:r>
    </w:p>
  </w:footnote>
  <w:footnote w:type="continuationSeparator" w:id="1">
    <w:p w:rsidR="00A572A3" w14:paraId="0E559864" w14:textId="77777777">
      <w:r>
        <w:continuationSeparator/>
      </w:r>
    </w:p>
  </w:footnote>
  <w:footnote w:id="2">
    <w:p w:rsidR="00B63858" w:rsidP="00B63858" w14:paraId="0BB848FC" w14:textId="77777777">
      <w:pPr>
        <w:pStyle w:val="FootnoteText"/>
      </w:pPr>
      <w:r>
        <w:rPr>
          <w:rStyle w:val="FootnoteReference"/>
        </w:rPr>
        <w:footnoteRef/>
      </w:r>
      <w:r>
        <w:t xml:space="preserve"> Excluding U.S. Government, state, local, tribal or territorial employees and those who hold a national security clearance.</w:t>
      </w:r>
    </w:p>
  </w:footnote>
  <w:footnote w:id="3">
    <w:p w:rsidR="00755A4C" w:rsidP="00755A4C" w14:paraId="0A036BA2" w14:textId="77777777">
      <w:pPr>
        <w:pStyle w:val="FootnoteText"/>
      </w:pPr>
      <w:r>
        <w:rPr>
          <w:rStyle w:val="FootnoteReference"/>
        </w:rPr>
        <w:footnoteRef/>
      </w:r>
      <w:r>
        <w:t xml:space="preserve"> Excluding U.S. Government, state, local, tribal or territorial employees and those who hold a national security clearance.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436F0B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2A8FC2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D7A7E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nsid w:val="4639474A"/>
    <w:multiLevelType w:val="hybridMultilevel"/>
    <w:tmpl w:val="09FA3322"/>
    <w:lvl w:ilvl="0">
      <w:start w:val="1"/>
      <w:numFmt w:val="decimal"/>
      <w:lvlText w:val="%1."/>
      <w:lvlJc w:val="left"/>
      <w:pPr>
        <w:ind w:left="720" w:hanging="360"/>
      </w:pPr>
      <w:rPr>
        <w:rFonts w:ascii="Source Sans Pro" w:hAnsi="Source Sans Pro"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16cid:durableId="1020471044">
    <w:abstractNumId w:val="3"/>
  </w:num>
  <w:num w:numId="2" w16cid:durableId="2111470246">
    <w:abstractNumId w:val="0"/>
  </w:num>
  <w:num w:numId="3" w16cid:durableId="912083337">
    <w:abstractNumId w:val="1"/>
  </w:num>
  <w:num w:numId="4" w16cid:durableId="213570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22B74"/>
    <w:rsid w:val="000B634B"/>
    <w:rsid w:val="000D7176"/>
    <w:rsid w:val="000E495A"/>
    <w:rsid w:val="001B4291"/>
    <w:rsid w:val="001D73DB"/>
    <w:rsid w:val="00224DA0"/>
    <w:rsid w:val="00243D1D"/>
    <w:rsid w:val="002566DB"/>
    <w:rsid w:val="002C1240"/>
    <w:rsid w:val="003037F5"/>
    <w:rsid w:val="003E2C64"/>
    <w:rsid w:val="004472AE"/>
    <w:rsid w:val="00565D70"/>
    <w:rsid w:val="00573771"/>
    <w:rsid w:val="005D1C81"/>
    <w:rsid w:val="005E1C4C"/>
    <w:rsid w:val="0061644F"/>
    <w:rsid w:val="00647F97"/>
    <w:rsid w:val="006769C3"/>
    <w:rsid w:val="00722F22"/>
    <w:rsid w:val="00731A90"/>
    <w:rsid w:val="007371E1"/>
    <w:rsid w:val="00754C1A"/>
    <w:rsid w:val="00755A4C"/>
    <w:rsid w:val="0078042F"/>
    <w:rsid w:val="007C1599"/>
    <w:rsid w:val="00817DAE"/>
    <w:rsid w:val="008932AC"/>
    <w:rsid w:val="008E4B9A"/>
    <w:rsid w:val="00902332"/>
    <w:rsid w:val="00916A82"/>
    <w:rsid w:val="00917501"/>
    <w:rsid w:val="009E4FE6"/>
    <w:rsid w:val="00A104B7"/>
    <w:rsid w:val="00A572A3"/>
    <w:rsid w:val="00AB3456"/>
    <w:rsid w:val="00AE7995"/>
    <w:rsid w:val="00B63858"/>
    <w:rsid w:val="00BE2CC7"/>
    <w:rsid w:val="00BF02F6"/>
    <w:rsid w:val="00C43F48"/>
    <w:rsid w:val="00C82C81"/>
    <w:rsid w:val="00D27BBA"/>
    <w:rsid w:val="00D664A3"/>
    <w:rsid w:val="00DF3C8F"/>
    <w:rsid w:val="00E612F9"/>
    <w:rsid w:val="00E86C42"/>
    <w:rsid w:val="00EA1846"/>
    <w:rsid w:val="00EE6E53"/>
    <w:rsid w:val="00F67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50B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6">
    <w:name w:val="heading 6"/>
    <w:basedOn w:val="Normal"/>
    <w:next w:val="Normal"/>
    <w:link w:val="Heading6Char"/>
    <w:unhideWhenUsed/>
    <w:qFormat/>
    <w:rsid w:val="00B6385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 Char,ALTS FOOTNOTE,Car,Char,Footnote Text Char Char,Footnote Text Char Char Char,Footnote Text Char Char Char Char Char Char Char Char Char Char Char Char Char Char Char Char Char,Fußnote,Style 15,Style 40 Char,Style 40 Char Char,fn,ft"/>
    <w:basedOn w:val="Normal"/>
    <w:link w:val="FootnoteTextChar"/>
    <w:unhideWhenUsed/>
    <w:qFormat/>
    <w:rsid w:val="001B4291"/>
    <w:pPr>
      <w:widowControl/>
    </w:pPr>
    <w:rPr>
      <w:rFonts w:ascii="Times New Roman" w:hAnsi="Times New Roman"/>
      <w:snapToGrid/>
      <w:sz w:val="20"/>
    </w:rPr>
  </w:style>
  <w:style w:type="character" w:customStyle="1" w:styleId="FootnoteTextChar">
    <w:name w:val="Footnote Text Char"/>
    <w:aliases w:val=" Char Char,ALTS FOOTNOTE Char,Car Char,Char Char,Footnote Text Char Char Char Char,Footnote Text Char Char Char1,Fußnote Char,Style 15 Char,Style 40 Char Char Char,Style 40 Char Char1,fn Char,ft Char"/>
    <w:basedOn w:val="DefaultParagraphFont"/>
    <w:link w:val="FootnoteText"/>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3456"/>
    <w:pPr>
      <w:autoSpaceDE w:val="0"/>
      <w:autoSpaceDN w:val="0"/>
    </w:pPr>
    <w:rPr>
      <w:rFonts w:ascii="Times New Roman" w:hAnsi="Times New Roman"/>
      <w:snapToGrid/>
      <w:sz w:val="20"/>
    </w:rPr>
  </w:style>
  <w:style w:type="character" w:customStyle="1" w:styleId="BodyTextChar">
    <w:name w:val="Body Text Char"/>
    <w:basedOn w:val="DefaultParagraphFont"/>
    <w:link w:val="BodyText"/>
    <w:uiPriority w:val="1"/>
    <w:rsid w:val="00AB3456"/>
  </w:style>
  <w:style w:type="character" w:styleId="Emphasis">
    <w:name w:val="Emphasis"/>
    <w:basedOn w:val="DefaultParagraphFont"/>
    <w:uiPriority w:val="20"/>
    <w:qFormat/>
    <w:rsid w:val="00224DA0"/>
    <w:rPr>
      <w:i/>
      <w:iCs/>
    </w:rPr>
  </w:style>
  <w:style w:type="character" w:customStyle="1" w:styleId="Heading6Char">
    <w:name w:val="Heading 6 Char"/>
    <w:basedOn w:val="DefaultParagraphFont"/>
    <w:link w:val="Heading6"/>
    <w:rsid w:val="00B63858"/>
    <w:rPr>
      <w:rFonts w:asciiTheme="majorHAnsi" w:eastAsiaTheme="majorEastAsia" w:hAnsiTheme="majorHAnsi" w:cstheme="majorBidi"/>
      <w:snapToGrid w:val="0"/>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A83F1-99D0-4094-8F87-22CE0B7A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2025-03-06T17:47:00Z</dcterms:created>
  <dcterms:modified xsi:type="dcterms:W3CDTF">2025-03-06T18:03:00Z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919e8f3a-da22-4104-83fe-9dcfb1a947e3</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2025-03-06T17:42:58Z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