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B4C3A" w:rsidRPr="006B4C3A" w:rsidP="006B4C3A" w14:paraId="2B24C037" w14:textId="77777777">
      <w:pPr>
        <w:spacing w:after="0" w:line="240" w:lineRule="auto"/>
        <w:rPr>
          <w:rFonts w:ascii="Times New Roman" w:eastAsia="Times New Roman" w:hAnsi="Times New Roman" w:cs="Times New Roman"/>
          <w:kern w:val="0"/>
          <w:sz w:val="24"/>
          <w:szCs w:val="24"/>
          <w14:ligatures w14:val="none"/>
        </w:rPr>
      </w:pPr>
      <w:r w:rsidRPr="006B4C3A">
        <w:rPr>
          <w:rFonts w:ascii="Times New Roman" w:eastAsia="Times New Roman" w:hAnsi="Times New Roman" w:cs="Times New Roman"/>
          <w:kern w:val="0"/>
          <w:sz w:val="24"/>
          <w:szCs w:val="24"/>
          <w14:ligatures w14:val="none"/>
        </w:rPr>
        <w:t> </w:t>
      </w:r>
    </w:p>
    <w:p w:rsidR="006B4C3A" w:rsidRPr="006B4C3A" w:rsidP="006B4C3A" w14:paraId="3BEEBFD8" w14:textId="77777777">
      <w:pPr>
        <w:spacing w:after="0" w:line="240" w:lineRule="auto"/>
        <w:textAlignment w:val="bottom"/>
        <w:rPr>
          <w:rFonts w:ascii="Times New Roman" w:eastAsia="Times New Roman" w:hAnsi="Times New Roman" w:cs="Times New Roman"/>
          <w:b/>
          <w:bCs/>
          <w:color w:val="666666"/>
          <w:kern w:val="0"/>
          <w:sz w:val="19"/>
          <w:szCs w:val="19"/>
          <w14:ligatures w14:val="none"/>
        </w:rPr>
      </w:pPr>
      <w:r w:rsidRPr="006B4C3A">
        <w:rPr>
          <w:rFonts w:ascii="Times New Roman" w:eastAsia="Times New Roman" w:hAnsi="Times New Roman" w:cs="Times New Roman"/>
          <w:b/>
          <w:bCs/>
          <w:caps/>
          <w:color w:val="666666"/>
          <w:kern w:val="0"/>
          <w:sz w:val="19"/>
          <w:szCs w:val="19"/>
          <w14:ligatures w14:val="none"/>
        </w:rPr>
        <w:t>Public Submission</w:t>
      </w:r>
    </w:p>
    <w:p w:rsidR="006B4C3A" w:rsidRPr="006B4C3A" w:rsidP="006B4C3A" w14:paraId="51428E58" w14:textId="77777777">
      <w:pPr>
        <w:spacing w:after="100" w:afterAutospacing="1" w:line="240" w:lineRule="auto"/>
        <w:outlineLvl w:val="0"/>
        <w:rPr>
          <w:rFonts w:ascii="inherit" w:eastAsia="Times New Roman" w:hAnsi="inherit" w:cs="Times New Roman"/>
          <w:b/>
          <w:bCs/>
          <w:kern w:val="36"/>
          <w:sz w:val="36"/>
          <w:szCs w:val="36"/>
          <w14:ligatures w14:val="none"/>
        </w:rPr>
      </w:pPr>
      <w:r w:rsidRPr="006B4C3A">
        <w:rPr>
          <w:rFonts w:ascii="inherit" w:eastAsia="Times New Roman" w:hAnsi="inherit" w:cs="Times New Roman"/>
          <w:b/>
          <w:bCs/>
          <w:kern w:val="36"/>
          <w:sz w:val="36"/>
          <w:szCs w:val="36"/>
          <w14:ligatures w14:val="none"/>
        </w:rPr>
        <w:t>Comment from Professional Services Council</w:t>
      </w:r>
    </w:p>
    <w:p w:rsidR="006B4C3A" w:rsidRPr="006B4C3A" w:rsidP="006B4C3A" w14:paraId="015BADC0" w14:textId="77777777">
      <w:pPr>
        <w:spacing w:after="100" w:afterAutospacing="1" w:line="240" w:lineRule="auto"/>
        <w:rPr>
          <w:rFonts w:ascii="Times New Roman" w:eastAsia="Times New Roman" w:hAnsi="Times New Roman" w:cs="Times New Roman"/>
          <w:color w:val="666666"/>
          <w:kern w:val="0"/>
          <w:sz w:val="27"/>
          <w:szCs w:val="27"/>
          <w14:ligatures w14:val="none"/>
        </w:rPr>
      </w:pPr>
      <w:r w:rsidRPr="006B4C3A">
        <w:rPr>
          <w:rFonts w:ascii="Times New Roman" w:eastAsia="Times New Roman" w:hAnsi="Times New Roman" w:cs="Times New Roman"/>
          <w:color w:val="666666"/>
          <w:kern w:val="0"/>
          <w:sz w:val="27"/>
          <w:szCs w:val="27"/>
          <w14:ligatures w14:val="none"/>
        </w:rPr>
        <w:t>Posted by the </w:t>
      </w:r>
      <w:r w:rsidRPr="006B4C3A">
        <w:rPr>
          <w:rFonts w:ascii="Times New Roman" w:eastAsia="Times New Roman" w:hAnsi="Times New Roman" w:cs="Times New Roman"/>
          <w:b/>
          <w:bCs/>
          <w:color w:val="666666"/>
          <w:kern w:val="0"/>
          <w:sz w:val="27"/>
          <w:szCs w:val="27"/>
          <w14:ligatures w14:val="none"/>
        </w:rPr>
        <w:t>Federal Trade Commission</w:t>
      </w:r>
      <w:r w:rsidRPr="006B4C3A">
        <w:rPr>
          <w:rFonts w:ascii="Times New Roman" w:eastAsia="Times New Roman" w:hAnsi="Times New Roman" w:cs="Times New Roman"/>
          <w:color w:val="666666"/>
          <w:kern w:val="0"/>
          <w:sz w:val="27"/>
          <w:szCs w:val="27"/>
          <w14:ligatures w14:val="none"/>
        </w:rPr>
        <w:t> on Aug 29, 2023</w:t>
      </w:r>
    </w:p>
    <w:p w:rsidR="006B4C3A" w:rsidRPr="006B4C3A" w:rsidP="006B4C3A" w14:paraId="352541D1" w14:textId="77777777">
      <w:pPr>
        <w:spacing w:after="0" w:line="240" w:lineRule="auto"/>
        <w:rPr>
          <w:rFonts w:ascii="Helvetica" w:eastAsia="Times New Roman" w:hAnsi="Helvetica" w:cs="Times New Roman"/>
          <w:color w:val="333333"/>
          <w:kern w:val="0"/>
          <w:sz w:val="21"/>
          <w:szCs w:val="21"/>
          <w14:ligatures w14:val="none"/>
        </w:rPr>
      </w:pPr>
      <w:hyperlink r:id="rId4" w:history="1">
        <w:r w:rsidRPr="006B4C3A">
          <w:rPr>
            <w:rFonts w:ascii="Helvetica" w:eastAsia="Times New Roman" w:hAnsi="Helvetica" w:cs="Times New Roman"/>
            <w:color w:val="3071A9"/>
            <w:kern w:val="0"/>
            <w:sz w:val="21"/>
            <w:szCs w:val="21"/>
            <w14:ligatures w14:val="none"/>
          </w:rPr>
          <w:t>Docket</w:t>
        </w:r>
      </w:hyperlink>
      <w:r w:rsidRPr="006B4C3A">
        <w:rPr>
          <w:rFonts w:ascii="Helvetica" w:eastAsia="Times New Roman" w:hAnsi="Helvetica" w:cs="Times New Roman"/>
          <w:color w:val="333333"/>
          <w:kern w:val="0"/>
          <w:sz w:val="21"/>
          <w:szCs w:val="21"/>
          <w14:ligatures w14:val="none"/>
        </w:rPr>
        <w:t> </w:t>
      </w:r>
      <w:hyperlink r:id="rId5" w:history="1">
        <w:r w:rsidRPr="006B4C3A">
          <w:rPr>
            <w:rFonts w:ascii="Helvetica" w:eastAsia="Times New Roman" w:hAnsi="Helvetica" w:cs="Times New Roman"/>
            <w:color w:val="3071A9"/>
            <w:kern w:val="0"/>
            <w:sz w:val="21"/>
            <w:szCs w:val="21"/>
            <w14:ligatures w14:val="none"/>
          </w:rPr>
          <w:t>Document (FTC-2023-0040-0001)</w:t>
        </w:r>
      </w:hyperlink>
      <w:r w:rsidRPr="006B4C3A">
        <w:rPr>
          <w:rFonts w:ascii="Helvetica" w:eastAsia="Times New Roman" w:hAnsi="Helvetica" w:cs="Times New Roman"/>
          <w:color w:val="333333"/>
          <w:kern w:val="0"/>
          <w:sz w:val="21"/>
          <w:szCs w:val="21"/>
          <w14:ligatures w14:val="none"/>
        </w:rPr>
        <w:t> Comment</w:t>
      </w:r>
    </w:p>
    <w:p w:rsidR="006B4C3A" w:rsidRPr="006B4C3A" w:rsidP="006B4C3A" w14:paraId="715AC910" w14:textId="77777777">
      <w:pPr>
        <w:pBdr>
          <w:top w:val="single" w:sz="6" w:space="5" w:color="CCCCCC"/>
          <w:left w:val="single" w:sz="6" w:space="9" w:color="CCCCCC"/>
          <w:bottom w:val="single" w:sz="6" w:space="5" w:color="CCCCCC"/>
          <w:right w:val="single" w:sz="6" w:space="9" w:color="CCCCCC"/>
        </w:pBdr>
        <w:shd w:val="clear" w:color="auto" w:fill="F1F1F1"/>
        <w:spacing w:after="100" w:afterAutospacing="1" w:line="240" w:lineRule="auto"/>
        <w:outlineLvl w:val="1"/>
        <w:rPr>
          <w:rFonts w:ascii="inherit" w:eastAsia="Times New Roman" w:hAnsi="inherit" w:cs="Times New Roman"/>
          <w:color w:val="666666"/>
          <w:kern w:val="0"/>
          <w:sz w:val="18"/>
          <w:szCs w:val="18"/>
          <w14:ligatures w14:val="none"/>
        </w:rPr>
      </w:pPr>
      <w:r w:rsidRPr="006B4C3A">
        <w:rPr>
          <w:rFonts w:ascii="inherit" w:eastAsia="Times New Roman" w:hAnsi="inherit" w:cs="Times New Roman"/>
          <w:color w:val="666666"/>
          <w:kern w:val="0"/>
          <w:sz w:val="18"/>
          <w:szCs w:val="18"/>
          <w14:ligatures w14:val="none"/>
        </w:rPr>
        <w:t>Comment</w:t>
      </w:r>
    </w:p>
    <w:p w:rsidR="006B4C3A" w:rsidRPr="006B4C3A" w:rsidP="006B4C3A" w14:paraId="42E063DC" w14:textId="77777777">
      <w:pPr>
        <w:spacing w:after="0" w:line="240" w:lineRule="auto"/>
        <w:rPr>
          <w:rFonts w:ascii="Times New Roman" w:eastAsia="Times New Roman" w:hAnsi="Times New Roman" w:cs="Times New Roman"/>
          <w:kern w:val="0"/>
          <w:sz w:val="24"/>
          <w:szCs w:val="24"/>
          <w14:ligatures w14:val="none"/>
        </w:rPr>
      </w:pPr>
      <w:r w:rsidRPr="006B4C3A">
        <w:rPr>
          <w:rFonts w:ascii="Times New Roman" w:eastAsia="Times New Roman" w:hAnsi="Times New Roman" w:cs="Times New Roman"/>
          <w:kern w:val="0"/>
          <w:sz w:val="24"/>
          <w:szCs w:val="24"/>
          <w14:ligatures w14:val="none"/>
        </w:rPr>
        <w:t>The Professional Services Council (PSC) appreciates the opportunity to submit comments in response to the Federal Trade Commission’s (FTC’s) notice of proposed rulemaking (NPRM), “Premerger Notification; Reporting and Waiting Period Requirements,” published in the Federal Register on June 29, 2023, as RIN 3084-AB46. This proposed rule would (1) amend the premerger notification rules that implement the Hart-Scott-Rodino Antitrust Improvements Act (HSR) and (2) implement the Merger Filing Fee Modernization Act of 2022. According to the FTC notice, the proposed rule “would result in a redesign of the premerger notification process through both a reorganization of the information currently required and the addition of new information and document requirements.”</w:t>
      </w:r>
      <w:r w:rsidRPr="006B4C3A">
        <w:rPr>
          <w:rFonts w:ascii="Times New Roman" w:eastAsia="Times New Roman" w:hAnsi="Times New Roman" w:cs="Times New Roman"/>
          <w:kern w:val="0"/>
          <w:sz w:val="24"/>
          <w:szCs w:val="24"/>
          <w14:ligatures w14:val="none"/>
        </w:rPr>
        <w:br/>
      </w:r>
      <w:r w:rsidRPr="006B4C3A">
        <w:rPr>
          <w:rFonts w:ascii="Times New Roman" w:eastAsia="Times New Roman" w:hAnsi="Times New Roman" w:cs="Times New Roman"/>
          <w:kern w:val="0"/>
          <w:sz w:val="24"/>
          <w:szCs w:val="24"/>
          <w14:ligatures w14:val="none"/>
        </w:rPr>
        <w:br/>
        <w:t>As you may know, PSC is an industry association with more than 400 member companies—small, mid-sized, and large—that provide much-needed technology and professional services to all Federal agencies. These companies and their workers throughout America and around the world are equally as committed to U.S. Government missions as federal civilian and uniformed personnel. PSC supports our members and their Federal Government customers by promoting effective government practices and policies, improvements in federal contracting, and constructive dialogue between Government and industry. While PSC often aligns itself with comments submitted by other trade associations on behalf of companies in the broader national commercial market, PSC comments frequently focus on the unique, vital interests of the entire Federal Government in the financial health and stability of government services contractors.</w:t>
      </w:r>
      <w:r w:rsidRPr="006B4C3A">
        <w:rPr>
          <w:rFonts w:ascii="Times New Roman" w:eastAsia="Times New Roman" w:hAnsi="Times New Roman" w:cs="Times New Roman"/>
          <w:kern w:val="0"/>
          <w:sz w:val="24"/>
          <w:szCs w:val="24"/>
          <w14:ligatures w14:val="none"/>
        </w:rPr>
        <w:br/>
      </w:r>
      <w:r w:rsidRPr="006B4C3A">
        <w:rPr>
          <w:rFonts w:ascii="Times New Roman" w:eastAsia="Times New Roman" w:hAnsi="Times New Roman" w:cs="Times New Roman"/>
          <w:kern w:val="0"/>
          <w:sz w:val="24"/>
          <w:szCs w:val="24"/>
          <w14:ligatures w14:val="none"/>
        </w:rPr>
        <w:br/>
        <w:t>Regarding the FTC’s proposed rule on amending the premerger notification rules that implement HSR requirements, PSC reached out to member companies for their perspectives. The comments and recommendations below (attached) reflect concerns regarding the potential impact of the FTC’s proposed rule on government services contractors specifically.</w:t>
      </w:r>
    </w:p>
    <w:p w:rsidR="006B4C3A" w:rsidRPr="006B4C3A" w:rsidP="006B4C3A" w14:paraId="3563C684" w14:textId="77777777">
      <w:pPr>
        <w:pBdr>
          <w:top w:val="single" w:sz="6" w:space="5" w:color="CCCCCC"/>
          <w:left w:val="single" w:sz="6" w:space="9" w:color="CCCCCC"/>
          <w:bottom w:val="single" w:sz="6" w:space="5" w:color="CCCCCC"/>
          <w:right w:val="single" w:sz="6" w:space="9" w:color="CCCCCC"/>
        </w:pBdr>
        <w:shd w:val="clear" w:color="auto" w:fill="F1F1F1"/>
        <w:spacing w:after="100" w:afterAutospacing="1" w:line="240" w:lineRule="auto"/>
        <w:outlineLvl w:val="1"/>
        <w:rPr>
          <w:rFonts w:ascii="inherit" w:eastAsia="Times New Roman" w:hAnsi="inherit" w:cs="Times New Roman"/>
          <w:color w:val="666666"/>
          <w:kern w:val="0"/>
          <w:sz w:val="18"/>
          <w:szCs w:val="18"/>
          <w14:ligatures w14:val="none"/>
        </w:rPr>
      </w:pPr>
      <w:r w:rsidRPr="006B4C3A">
        <w:rPr>
          <w:rFonts w:ascii="inherit" w:eastAsia="Times New Roman" w:hAnsi="inherit" w:cs="Times New Roman"/>
          <w:color w:val="666666"/>
          <w:kern w:val="0"/>
          <w:sz w:val="18"/>
          <w:szCs w:val="18"/>
          <w14:ligatures w14:val="none"/>
        </w:rPr>
        <w:t>Attachments</w:t>
      </w:r>
      <w:r w:rsidRPr="006B4C3A">
        <w:rPr>
          <w:rFonts w:ascii="inherit" w:eastAsia="Times New Roman" w:hAnsi="inherit" w:cs="Times New Roman"/>
          <w:color w:val="3071A9"/>
          <w:kern w:val="0"/>
          <w:sz w:val="20"/>
          <w:szCs w:val="20"/>
          <w:bdr w:val="single" w:sz="6" w:space="4" w:color="DDDDDD" w:frame="1"/>
          <w:shd w:val="clear" w:color="auto" w:fill="FFFFFF"/>
          <w14:ligatures w14:val="none"/>
        </w:rPr>
        <w:t>1</w:t>
      </w:r>
    </w:p>
    <w:p w:rsidR="006B4C3A" w14:paraId="05DE841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3A"/>
    <w:rsid w:val="006B4C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14E5EF"/>
  <w15:chartTrackingRefBased/>
  <w15:docId w15:val="{557EBBD0-CB80-4AEB-B154-3BBBEBFF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gulations.gov/docket/FTC-2023-0040" TargetMode="External" /><Relationship Id="rId5" Type="http://schemas.openxmlformats.org/officeDocument/2006/relationships/hyperlink" Target="https://www.regulations.gov/document/FTC-2023-0040-0001"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1992</Characters>
  <Application>Microsoft Office Word</Application>
  <DocSecurity>0</DocSecurity>
  <Lines>16</Lines>
  <Paragraphs>4</Paragraphs>
  <ScaleCrop>false</ScaleCrop>
  <Company>Federal Trade Commission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 Richard</dc:creator>
  <cp:lastModifiedBy>Gold, Richard</cp:lastModifiedBy>
  <cp:revision>1</cp:revision>
  <dcterms:created xsi:type="dcterms:W3CDTF">2024-11-06T20:58:00Z</dcterms:created>
  <dcterms:modified xsi:type="dcterms:W3CDTF">2024-11-06T20:59:00Z</dcterms:modified>
</cp:coreProperties>
</file>