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61B9" w14:paraId="31C94588" w14:textId="551FC377">
      <w:pPr>
        <w:widowControl w:val="0"/>
        <w:tabs>
          <w:tab w:val="left" w:pos="7148"/>
        </w:tabs>
        <w:jc w:val="center"/>
        <w:rPr>
          <w:rFonts w:ascii="Arial" w:eastAsia="Arial" w:hAnsi="Arial" w:cs="Arial"/>
          <w:b/>
          <w:sz w:val="24"/>
          <w:szCs w:val="24"/>
        </w:rPr>
      </w:pPr>
      <w:r>
        <w:rPr>
          <w:rFonts w:ascii="Arial" w:eastAsia="Arial" w:hAnsi="Arial" w:cs="Arial"/>
          <w:b/>
          <w:sz w:val="24"/>
          <w:szCs w:val="24"/>
        </w:rPr>
        <w:t xml:space="preserve">Hazardous Material Information  </w:t>
      </w:r>
    </w:p>
    <w:p w:rsidR="00FB61B9" w14:paraId="117D3984" w14:textId="77777777">
      <w:pPr>
        <w:widowControl w:val="0"/>
        <w:tabs>
          <w:tab w:val="left" w:pos="7148"/>
        </w:tabs>
        <w:jc w:val="center"/>
        <w:rPr>
          <w:rFonts w:ascii="Arial" w:eastAsia="Arial" w:hAnsi="Arial" w:cs="Arial"/>
          <w:b/>
          <w:sz w:val="24"/>
          <w:szCs w:val="24"/>
        </w:rPr>
      </w:pPr>
      <w:r>
        <w:rPr>
          <w:rFonts w:ascii="Arial" w:eastAsia="Arial" w:hAnsi="Arial" w:cs="Arial"/>
          <w:b/>
          <w:sz w:val="24"/>
          <w:szCs w:val="24"/>
        </w:rPr>
        <w:t>GSAR Clause Affected: 552.223-72</w:t>
      </w:r>
    </w:p>
    <w:p w:rsidR="00FB61B9" w14:paraId="0C143EE5" w14:textId="77777777">
      <w:pPr>
        <w:pBdr>
          <w:top w:val="nil"/>
          <w:left w:val="nil"/>
          <w:bottom w:val="nil"/>
          <w:right w:val="nil"/>
          <w:between w:val="nil"/>
        </w:pBdr>
        <w:rPr>
          <w:rFonts w:ascii="Arial" w:eastAsia="Arial" w:hAnsi="Arial" w:cs="Arial"/>
          <w:b/>
          <w:sz w:val="24"/>
          <w:szCs w:val="24"/>
        </w:rPr>
      </w:pPr>
    </w:p>
    <w:p w:rsidR="00FB61B9" w14:paraId="7FBD84AB" w14:textId="77777777">
      <w:pPr>
        <w:tabs>
          <w:tab w:val="left" w:pos="360"/>
        </w:tabs>
        <w:rPr>
          <w:rFonts w:ascii="Arial" w:eastAsia="Arial" w:hAnsi="Arial" w:cs="Arial"/>
          <w:b/>
          <w:sz w:val="24"/>
          <w:szCs w:val="24"/>
        </w:rPr>
      </w:pPr>
      <w:r>
        <w:rPr>
          <w:rFonts w:ascii="Arial" w:eastAsia="Arial" w:hAnsi="Arial" w:cs="Arial"/>
          <w:b/>
          <w:sz w:val="24"/>
          <w:szCs w:val="24"/>
        </w:rPr>
        <w:t>Overview of Information Collection</w:t>
      </w:r>
    </w:p>
    <w:p w:rsidR="00FB61B9" w14:paraId="24979E24" w14:textId="77777777">
      <w:pPr>
        <w:tabs>
          <w:tab w:val="left" w:pos="360"/>
        </w:tabs>
        <w:rPr>
          <w:rFonts w:ascii="Arial" w:eastAsia="Arial" w:hAnsi="Arial" w:cs="Arial"/>
          <w:b/>
          <w:sz w:val="24"/>
          <w:szCs w:val="24"/>
        </w:rPr>
      </w:pPr>
    </w:p>
    <w:p w:rsidR="00FB61B9" w14:paraId="679A9508" w14:textId="77777777">
      <w:pPr>
        <w:widowControl w:val="0"/>
        <w:tabs>
          <w:tab w:val="left" w:pos="820"/>
          <w:tab w:val="left" w:pos="821"/>
        </w:tabs>
        <w:ind w:right="195"/>
        <w:rPr>
          <w:rFonts w:ascii="Arial" w:eastAsia="Arial" w:hAnsi="Arial" w:cs="Arial"/>
          <w:b/>
          <w:color w:val="000000"/>
          <w:sz w:val="24"/>
          <w:szCs w:val="24"/>
        </w:rPr>
      </w:pPr>
      <w:r>
        <w:rPr>
          <w:rFonts w:ascii="Arial" w:eastAsia="Arial" w:hAnsi="Arial" w:cs="Arial"/>
          <w:sz w:val="24"/>
          <w:szCs w:val="24"/>
        </w:rPr>
        <w:t xml:space="preserve">This is a request for approval of an extension to an existing information collection. This information collection applies to General Services Administration (GSA) contracts requiring contractors to identify products with hazardous material information. </w:t>
      </w:r>
    </w:p>
    <w:p w:rsidR="00FB61B9" w14:paraId="30543876" w14:textId="77777777">
      <w:pPr>
        <w:pBdr>
          <w:top w:val="nil"/>
          <w:left w:val="nil"/>
          <w:bottom w:val="nil"/>
          <w:right w:val="nil"/>
          <w:between w:val="nil"/>
        </w:pBdr>
        <w:rPr>
          <w:rFonts w:ascii="Arial" w:eastAsia="Arial" w:hAnsi="Arial" w:cs="Arial"/>
          <w:color w:val="000000"/>
          <w:sz w:val="24"/>
          <w:szCs w:val="24"/>
        </w:rPr>
      </w:pPr>
    </w:p>
    <w:p w:rsidR="00FB61B9" w14:paraId="2A06D791"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Federal Hazardous Substance Act (Pub. L. 86-613) and Hazardous Material Transportation Act (Pub. L. 93-633) prescribe standards for packaging of hazardous substances. To meet the requirements of the Acts, the General Services Administration Regulation prescribes </w:t>
      </w:r>
      <w:r>
        <w:rPr>
          <w:rFonts w:ascii="Arial" w:eastAsia="Arial" w:hAnsi="Arial" w:cs="Arial"/>
          <w:sz w:val="24"/>
          <w:szCs w:val="24"/>
        </w:rPr>
        <w:t xml:space="preserve">clause </w:t>
      </w:r>
      <w:r>
        <w:rPr>
          <w:rFonts w:ascii="Arial" w:eastAsia="Arial" w:hAnsi="Arial" w:cs="Arial"/>
          <w:color w:val="000000"/>
          <w:sz w:val="24"/>
          <w:szCs w:val="24"/>
        </w:rPr>
        <w:t xml:space="preserve">552.223-72, Hazardous Material Information, to be inserted in </w:t>
      </w:r>
      <w:r>
        <w:rPr>
          <w:rFonts w:ascii="Arial" w:eastAsia="Arial" w:hAnsi="Arial" w:cs="Arial"/>
          <w:sz w:val="24"/>
          <w:szCs w:val="24"/>
        </w:rPr>
        <w:t>contract</w:t>
      </w:r>
      <w:r>
        <w:rPr>
          <w:rFonts w:ascii="Arial" w:eastAsia="Arial" w:hAnsi="Arial" w:cs="Arial"/>
          <w:color w:val="000000"/>
          <w:sz w:val="24"/>
          <w:szCs w:val="24"/>
        </w:rPr>
        <w:t xml:space="preserve">s that provides for delivery of hazardous materials on a f.o.b. origin basis. The </w:t>
      </w:r>
      <w:r>
        <w:rPr>
          <w:rFonts w:ascii="Arial" w:eastAsia="Arial" w:hAnsi="Arial" w:cs="Arial"/>
          <w:sz w:val="24"/>
          <w:szCs w:val="24"/>
        </w:rPr>
        <w:t>clause</w:t>
      </w:r>
      <w:r>
        <w:rPr>
          <w:rFonts w:ascii="Arial" w:eastAsia="Arial" w:hAnsi="Arial" w:cs="Arial"/>
          <w:color w:val="000000"/>
          <w:sz w:val="24"/>
          <w:szCs w:val="24"/>
        </w:rPr>
        <w:t xml:space="preserve"> requires the contractor to identify for each National Stock Number (NSN) the Department of Transportation (DOT) Shipping Name, DOT Hazards Class, and whether the item requires a DOT label.  </w:t>
      </w:r>
    </w:p>
    <w:p w:rsidR="00FB61B9" w14:paraId="6388A134" w14:textId="77777777">
      <w:pPr>
        <w:pBdr>
          <w:top w:val="nil"/>
          <w:left w:val="nil"/>
          <w:bottom w:val="nil"/>
          <w:right w:val="nil"/>
          <w:between w:val="nil"/>
        </w:pBdr>
        <w:rPr>
          <w:rFonts w:ascii="Arial" w:eastAsia="Arial" w:hAnsi="Arial" w:cs="Arial"/>
          <w:sz w:val="24"/>
          <w:szCs w:val="24"/>
        </w:rPr>
      </w:pPr>
    </w:p>
    <w:p w:rsidR="00FB61B9" w14:paraId="0B9D2554" w14:textId="7777777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General Services Administration Acquisition Regulation (GSAR) sections covered by this information collection include:</w:t>
      </w:r>
    </w:p>
    <w:p w:rsidR="00FB61B9" w14:paraId="26ADCE66" w14:textId="77777777">
      <w:pPr>
        <w:pBdr>
          <w:top w:val="nil"/>
          <w:left w:val="nil"/>
          <w:bottom w:val="nil"/>
          <w:right w:val="nil"/>
          <w:between w:val="nil"/>
        </w:pBdr>
        <w:rPr>
          <w:rFonts w:ascii="Arial" w:eastAsia="Arial" w:hAnsi="Arial" w:cs="Arial"/>
          <w:sz w:val="24"/>
          <w:szCs w:val="24"/>
        </w:rPr>
      </w:pPr>
    </w:p>
    <w:p w:rsidR="00FB61B9" w14:paraId="74D3F272" w14:textId="77777777">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552.223-72, Hazardous Material Information</w:t>
      </w:r>
    </w:p>
    <w:p w:rsidR="00FB61B9" w14:paraId="020905FD" w14:textId="77777777">
      <w:pPr>
        <w:pBdr>
          <w:top w:val="nil"/>
          <w:left w:val="nil"/>
          <w:bottom w:val="nil"/>
          <w:right w:val="nil"/>
          <w:between w:val="nil"/>
        </w:pBdr>
        <w:rPr>
          <w:rFonts w:ascii="Arial" w:eastAsia="Arial" w:hAnsi="Arial" w:cs="Arial"/>
          <w:sz w:val="24"/>
          <w:szCs w:val="24"/>
        </w:rPr>
      </w:pPr>
    </w:p>
    <w:p w:rsidR="00FB61B9" w14:paraId="2F377714" w14:textId="7777777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following are changes of importance that have occurred since the last extension approval:</w:t>
      </w:r>
    </w:p>
    <w:p w:rsidR="00FB61B9" w14:paraId="7DE00EA2" w14:textId="77777777">
      <w:pPr>
        <w:pBdr>
          <w:top w:val="nil"/>
          <w:left w:val="nil"/>
          <w:bottom w:val="nil"/>
          <w:right w:val="nil"/>
          <w:between w:val="nil"/>
        </w:pBdr>
        <w:rPr>
          <w:rFonts w:ascii="Arial" w:eastAsia="Arial" w:hAnsi="Arial" w:cs="Arial"/>
          <w:sz w:val="24"/>
          <w:szCs w:val="24"/>
        </w:rPr>
      </w:pPr>
    </w:p>
    <w:p w:rsidR="00FB61B9" w14:paraId="179E61ED" w14:textId="7777777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total estimated respondents per year remained the same at 563, but the time to respond went from 40 minutes per respondent to 30 minutes to account for efficiencies in reporting. </w:t>
      </w:r>
    </w:p>
    <w:p w:rsidR="00FB61B9" w14:paraId="321F8B5A" w14:textId="77777777">
      <w:pPr>
        <w:pBdr>
          <w:top w:val="nil"/>
          <w:left w:val="nil"/>
          <w:bottom w:val="nil"/>
          <w:right w:val="nil"/>
          <w:between w:val="nil"/>
        </w:pBdr>
        <w:rPr>
          <w:rFonts w:ascii="Arial" w:eastAsia="Arial" w:hAnsi="Arial" w:cs="Arial"/>
          <w:sz w:val="24"/>
          <w:szCs w:val="24"/>
        </w:rPr>
      </w:pPr>
    </w:p>
    <w:p w:rsidR="00FB61B9" w14:paraId="7F31D5C1" w14:textId="7777777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total estimated annual public cost burden decreased due to the use of updated data. The total estimated annual public cost burden changed-</w:t>
      </w:r>
    </w:p>
    <w:p w:rsidR="00FB61B9" w14:paraId="35E25A0E" w14:textId="77777777">
      <w:pPr>
        <w:pBdr>
          <w:top w:val="nil"/>
          <w:left w:val="nil"/>
          <w:bottom w:val="nil"/>
          <w:right w:val="nil"/>
          <w:between w:val="nil"/>
        </w:pBdr>
        <w:rPr>
          <w:rFonts w:ascii="Arial" w:eastAsia="Arial" w:hAnsi="Arial" w:cs="Arial"/>
          <w:sz w:val="24"/>
          <w:szCs w:val="24"/>
        </w:rPr>
      </w:pPr>
    </w:p>
    <w:p w:rsidR="00FB61B9" w14:paraId="47A59830" w14:textId="77777777">
      <w:pPr>
        <w:numPr>
          <w:ilvl w:val="0"/>
          <w:numId w:val="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From: $64,898</w:t>
      </w:r>
    </w:p>
    <w:p w:rsidR="00FB61B9" w14:paraId="36CC3FC1" w14:textId="77777777">
      <w:pPr>
        <w:numPr>
          <w:ilvl w:val="0"/>
          <w:numId w:val="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To: $54,335</w:t>
      </w:r>
    </w:p>
    <w:p w:rsidR="00FB61B9" w14:paraId="54B6B28B" w14:textId="77777777">
      <w:pPr>
        <w:pBdr>
          <w:top w:val="nil"/>
          <w:left w:val="nil"/>
          <w:bottom w:val="nil"/>
          <w:right w:val="nil"/>
          <w:between w:val="nil"/>
        </w:pBdr>
        <w:rPr>
          <w:rFonts w:ascii="Arial" w:eastAsia="Arial" w:hAnsi="Arial" w:cs="Arial"/>
          <w:sz w:val="24"/>
          <w:szCs w:val="24"/>
        </w:rPr>
      </w:pPr>
    </w:p>
    <w:p w:rsidR="00FB61B9" w14:paraId="7FEC59C1" w14:textId="77777777">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1. Need and Method for the Information Collection.</w:t>
      </w:r>
    </w:p>
    <w:p w:rsidR="00FB61B9" w14:paraId="293C4A75" w14:textId="77777777">
      <w:pPr>
        <w:pBdr>
          <w:top w:val="nil"/>
          <w:left w:val="nil"/>
          <w:bottom w:val="nil"/>
          <w:right w:val="nil"/>
          <w:between w:val="nil"/>
        </w:pBdr>
        <w:rPr>
          <w:rFonts w:ascii="Arial" w:eastAsia="Arial" w:hAnsi="Arial" w:cs="Arial"/>
          <w:sz w:val="24"/>
          <w:szCs w:val="24"/>
        </w:rPr>
      </w:pPr>
    </w:p>
    <w:p w:rsidR="00FB61B9" w14:paraId="09014266" w14:textId="77777777">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This justification supports a request for renewal of a currently approved collection under OMB Control Number 3090-0205 for GSA’s GSAR Clause 552.223-72 </w:t>
      </w:r>
      <w:r>
        <w:rPr>
          <w:rFonts w:ascii="Arial" w:eastAsia="Arial" w:hAnsi="Arial" w:cs="Arial"/>
          <w:i/>
          <w:sz w:val="24"/>
          <w:szCs w:val="24"/>
        </w:rPr>
        <w:t>Hazardous Material Information</w:t>
      </w:r>
      <w:r>
        <w:rPr>
          <w:rFonts w:ascii="Arial" w:eastAsia="Arial" w:hAnsi="Arial" w:cs="Arial"/>
          <w:sz w:val="24"/>
          <w:szCs w:val="24"/>
        </w:rPr>
        <w:t>.</w:t>
      </w:r>
    </w:p>
    <w:p w:rsidR="00FB61B9" w14:paraId="105CF902" w14:textId="77777777">
      <w:pPr>
        <w:pBdr>
          <w:top w:val="nil"/>
          <w:left w:val="nil"/>
          <w:bottom w:val="nil"/>
          <w:right w:val="nil"/>
          <w:between w:val="nil"/>
        </w:pBdr>
        <w:rPr>
          <w:rFonts w:ascii="Arial" w:eastAsia="Arial" w:hAnsi="Arial" w:cs="Arial"/>
          <w:sz w:val="24"/>
          <w:szCs w:val="24"/>
        </w:rPr>
      </w:pPr>
    </w:p>
    <w:p w:rsidR="00FB61B9" w14:paraId="59C96CCF" w14:textId="77777777">
      <w:pPr>
        <w:widowControl w:val="0"/>
        <w:tabs>
          <w:tab w:val="left" w:pos="657"/>
        </w:tabs>
        <w:rPr>
          <w:rFonts w:ascii="Arial" w:eastAsia="Arial" w:hAnsi="Arial" w:cs="Arial"/>
          <w:sz w:val="24"/>
          <w:szCs w:val="24"/>
        </w:rPr>
      </w:pPr>
      <w:r>
        <w:rPr>
          <w:rFonts w:ascii="Arial" w:eastAsia="Arial" w:hAnsi="Arial" w:cs="Arial"/>
          <w:sz w:val="24"/>
          <w:szCs w:val="24"/>
        </w:rPr>
        <w:t>The information collected is submitted electronically (to the maximum extent possible).</w:t>
      </w:r>
    </w:p>
    <w:p w:rsidR="00FB61B9" w14:paraId="1F602C0D" w14:textId="77777777">
      <w:pPr>
        <w:widowControl w:val="0"/>
        <w:tabs>
          <w:tab w:val="left" w:pos="657"/>
        </w:tabs>
        <w:rPr>
          <w:rFonts w:ascii="Arial" w:eastAsia="Arial" w:hAnsi="Arial" w:cs="Arial"/>
          <w:sz w:val="24"/>
          <w:szCs w:val="24"/>
        </w:rPr>
      </w:pPr>
    </w:p>
    <w:p w:rsidR="00FB61B9" w14:paraId="4786A2F3" w14:textId="77777777">
      <w:pPr>
        <w:widowControl w:val="0"/>
        <w:tabs>
          <w:tab w:val="left" w:pos="657"/>
        </w:tabs>
        <w:rPr>
          <w:rFonts w:ascii="Arial" w:eastAsia="Arial" w:hAnsi="Arial" w:cs="Arial"/>
          <w:sz w:val="24"/>
          <w:szCs w:val="24"/>
        </w:rPr>
      </w:pPr>
      <w:r>
        <w:rPr>
          <w:rFonts w:ascii="Arial" w:eastAsia="Arial" w:hAnsi="Arial" w:cs="Arial"/>
          <w:sz w:val="24"/>
          <w:szCs w:val="24"/>
        </w:rPr>
        <w:t xml:space="preserve">See Item 6 below for the consequences if the information collection is not conducted or conducted less frequently.  </w:t>
      </w:r>
    </w:p>
    <w:p w:rsidR="00FB61B9" w14:paraId="13260EE9" w14:textId="77777777">
      <w:pPr>
        <w:pBdr>
          <w:top w:val="nil"/>
          <w:left w:val="nil"/>
          <w:bottom w:val="nil"/>
          <w:right w:val="nil"/>
          <w:between w:val="nil"/>
        </w:pBdr>
        <w:rPr>
          <w:rFonts w:ascii="Arial" w:eastAsia="Arial" w:hAnsi="Arial" w:cs="Arial"/>
          <w:sz w:val="24"/>
          <w:szCs w:val="24"/>
        </w:rPr>
      </w:pPr>
    </w:p>
    <w:p w:rsidR="00FB61B9" w14:paraId="3616B0D3" w14:textId="77777777">
      <w:pPr>
        <w:rPr>
          <w:rFonts w:ascii="Arial" w:eastAsia="Arial" w:hAnsi="Arial" w:cs="Arial"/>
          <w:sz w:val="24"/>
          <w:szCs w:val="24"/>
        </w:rPr>
      </w:pPr>
      <w:r>
        <w:br w:type="page"/>
      </w:r>
    </w:p>
    <w:p w:rsidR="00FB61B9" w14:paraId="1F8A60A0" w14:textId="77777777">
      <w:pPr>
        <w:rPr>
          <w:rFonts w:ascii="Arial" w:eastAsia="Arial" w:hAnsi="Arial" w:cs="Arial"/>
          <w:b/>
          <w:sz w:val="24"/>
          <w:szCs w:val="24"/>
        </w:rPr>
      </w:pPr>
      <w:r>
        <w:rPr>
          <w:rFonts w:ascii="Arial" w:eastAsia="Arial" w:hAnsi="Arial" w:cs="Arial"/>
          <w:b/>
          <w:sz w:val="24"/>
          <w:szCs w:val="24"/>
        </w:rPr>
        <w:t xml:space="preserve">2. Use of Information </w:t>
      </w:r>
    </w:p>
    <w:p w:rsidR="00FB61B9" w14:paraId="1AA9A907" w14:textId="77777777">
      <w:pPr>
        <w:rPr>
          <w:rFonts w:ascii="Arial" w:eastAsia="Arial" w:hAnsi="Arial" w:cs="Arial"/>
          <w:sz w:val="24"/>
          <w:szCs w:val="24"/>
        </w:rPr>
      </w:pPr>
    </w:p>
    <w:p w:rsidR="00FB61B9" w14:paraId="79C62F48"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Contracting Officers and technical personnel use the information to monitor and ensure contract requirements are based on law and regulation.  Properly identified and labeled items of hazardous material allows for appropriate handling of such items throughout GSA’s supply chain system. The information is used by GSA, stored in an NSN database, and provided to GSA customers.  </w:t>
      </w:r>
    </w:p>
    <w:p w:rsidR="00FB61B9" w14:paraId="4310D0C5" w14:textId="77777777">
      <w:pPr>
        <w:rPr>
          <w:rFonts w:ascii="Arial" w:eastAsia="Arial" w:hAnsi="Arial" w:cs="Arial"/>
          <w:sz w:val="24"/>
          <w:szCs w:val="24"/>
        </w:rPr>
      </w:pPr>
    </w:p>
    <w:p w:rsidR="00FB61B9" w14:paraId="7725F9E4" w14:textId="77777777">
      <w:pPr>
        <w:rPr>
          <w:rFonts w:ascii="Arial" w:eastAsia="Arial" w:hAnsi="Arial" w:cs="Arial"/>
          <w:b/>
          <w:sz w:val="24"/>
          <w:szCs w:val="24"/>
        </w:rPr>
      </w:pPr>
      <w:r>
        <w:rPr>
          <w:rFonts w:ascii="Arial" w:eastAsia="Arial" w:hAnsi="Arial" w:cs="Arial"/>
          <w:b/>
          <w:sz w:val="24"/>
          <w:szCs w:val="24"/>
        </w:rPr>
        <w:t>3.  Use of Information Technology</w:t>
      </w:r>
    </w:p>
    <w:p w:rsidR="00FB61B9" w14:paraId="06F0A85A" w14:textId="77777777">
      <w:pPr>
        <w:rPr>
          <w:rFonts w:ascii="Arial" w:eastAsia="Arial" w:hAnsi="Arial" w:cs="Arial"/>
          <w:b/>
          <w:sz w:val="24"/>
          <w:szCs w:val="24"/>
        </w:rPr>
      </w:pPr>
    </w:p>
    <w:p w:rsidR="00FB61B9" w14:paraId="5977365F"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GSA uses information technology to the maximum extent practicable.  Electronic communications and submissions between the Government agency and contractors are encouraged; contractors may submit this information collection requirement electronically, when possible. </w:t>
      </w:r>
    </w:p>
    <w:p w:rsidR="00FB61B9" w14:paraId="4D6DC4C2" w14:textId="77777777">
      <w:pPr>
        <w:rPr>
          <w:rFonts w:ascii="Arial" w:eastAsia="Arial" w:hAnsi="Arial" w:cs="Arial"/>
          <w:sz w:val="24"/>
          <w:szCs w:val="24"/>
        </w:rPr>
      </w:pPr>
    </w:p>
    <w:p w:rsidR="00FB61B9" w14:paraId="0722360C" w14:textId="77777777">
      <w:pPr>
        <w:rPr>
          <w:rFonts w:ascii="Arial" w:eastAsia="Arial" w:hAnsi="Arial" w:cs="Arial"/>
          <w:sz w:val="24"/>
          <w:szCs w:val="24"/>
        </w:rPr>
      </w:pPr>
      <w:r>
        <w:rPr>
          <w:rFonts w:ascii="Arial" w:eastAsia="Arial" w:hAnsi="Arial" w:cs="Arial"/>
          <w:b/>
          <w:sz w:val="24"/>
          <w:szCs w:val="24"/>
        </w:rPr>
        <w:t>4. Non-Duplication</w:t>
      </w:r>
    </w:p>
    <w:p w:rsidR="00FB61B9" w14:paraId="46802F98" w14:textId="77777777">
      <w:pPr>
        <w:pBdr>
          <w:top w:val="nil"/>
          <w:left w:val="nil"/>
          <w:bottom w:val="nil"/>
          <w:right w:val="nil"/>
          <w:between w:val="nil"/>
        </w:pBdr>
        <w:rPr>
          <w:rFonts w:ascii="Arial" w:eastAsia="Arial" w:hAnsi="Arial" w:cs="Arial"/>
          <w:color w:val="000000"/>
          <w:sz w:val="24"/>
          <w:szCs w:val="24"/>
        </w:rPr>
      </w:pPr>
    </w:p>
    <w:p w:rsidR="00FB61B9" w14:paraId="3EAEADC4"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General Services Administration Acquisition Manual was reviewed for duplicative actions regarding hazardous materials.  No duplication has been identified</w:t>
      </w:r>
      <w:r>
        <w:rPr>
          <w:rFonts w:ascii="Arial" w:eastAsia="Arial" w:hAnsi="Arial" w:cs="Arial"/>
          <w:sz w:val="24"/>
          <w:szCs w:val="24"/>
        </w:rPr>
        <w:t xml:space="preserve"> by an OMB Control Number specific to a similar FAR provision or requirement.</w:t>
      </w:r>
    </w:p>
    <w:p w:rsidR="00FB61B9" w14:paraId="4E4CFFFC" w14:textId="77777777">
      <w:pPr>
        <w:rPr>
          <w:rFonts w:ascii="Arial" w:eastAsia="Arial" w:hAnsi="Arial" w:cs="Arial"/>
          <w:sz w:val="24"/>
          <w:szCs w:val="24"/>
        </w:rPr>
      </w:pPr>
    </w:p>
    <w:p w:rsidR="00FB61B9" w14:paraId="7B0540D5" w14:textId="77777777">
      <w:pPr>
        <w:rPr>
          <w:rFonts w:ascii="Arial" w:eastAsia="Arial" w:hAnsi="Arial" w:cs="Arial"/>
          <w:b/>
          <w:sz w:val="24"/>
          <w:szCs w:val="24"/>
        </w:rPr>
      </w:pPr>
      <w:r>
        <w:rPr>
          <w:rFonts w:ascii="Arial" w:eastAsia="Arial" w:hAnsi="Arial" w:cs="Arial"/>
          <w:b/>
          <w:sz w:val="24"/>
          <w:szCs w:val="24"/>
        </w:rPr>
        <w:t>5.  Burden on Small Business</w:t>
      </w:r>
    </w:p>
    <w:p w:rsidR="00FB61B9" w14:paraId="139526DD" w14:textId="77777777">
      <w:pPr>
        <w:pBdr>
          <w:top w:val="nil"/>
          <w:left w:val="nil"/>
          <w:bottom w:val="nil"/>
          <w:right w:val="nil"/>
          <w:between w:val="nil"/>
        </w:pBdr>
        <w:rPr>
          <w:rFonts w:ascii="Arial" w:eastAsia="Arial" w:hAnsi="Arial" w:cs="Arial"/>
          <w:color w:val="000000"/>
          <w:sz w:val="24"/>
          <w:szCs w:val="24"/>
          <w:highlight w:val="yellow"/>
        </w:rPr>
      </w:pPr>
    </w:p>
    <w:p w:rsidR="00FB61B9" w14:paraId="5C00ACF2"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burden applies equally to small businesses that want to do business with GSA, but the burden is the minimum consistent with applicable laws, executive orders, regulations, and prudent business practices.</w:t>
      </w:r>
    </w:p>
    <w:p w:rsidR="00FB61B9" w14:paraId="20F7B6C1" w14:textId="77777777">
      <w:pPr>
        <w:rPr>
          <w:rFonts w:ascii="Arial" w:eastAsia="Arial" w:hAnsi="Arial" w:cs="Arial"/>
          <w:sz w:val="24"/>
          <w:szCs w:val="24"/>
        </w:rPr>
      </w:pPr>
    </w:p>
    <w:p w:rsidR="00FB61B9" w14:paraId="5A2AC0BC" w14:textId="77777777">
      <w:pPr>
        <w:rPr>
          <w:rFonts w:ascii="Arial" w:eastAsia="Arial" w:hAnsi="Arial" w:cs="Arial"/>
          <w:b/>
          <w:sz w:val="24"/>
          <w:szCs w:val="24"/>
        </w:rPr>
      </w:pPr>
      <w:r>
        <w:rPr>
          <w:rFonts w:ascii="Arial" w:eastAsia="Arial" w:hAnsi="Arial" w:cs="Arial"/>
          <w:b/>
          <w:sz w:val="24"/>
          <w:szCs w:val="24"/>
        </w:rPr>
        <w:t>6.  Less Frequent Collection</w:t>
      </w:r>
    </w:p>
    <w:p w:rsidR="00FB61B9" w14:paraId="3530D619" w14:textId="77777777">
      <w:pPr>
        <w:pBdr>
          <w:top w:val="nil"/>
          <w:left w:val="nil"/>
          <w:bottom w:val="nil"/>
          <w:right w:val="nil"/>
          <w:between w:val="nil"/>
        </w:pBdr>
        <w:rPr>
          <w:rFonts w:ascii="Arial" w:eastAsia="Arial" w:hAnsi="Arial" w:cs="Arial"/>
          <w:color w:val="000000"/>
          <w:sz w:val="24"/>
          <w:szCs w:val="24"/>
        </w:rPr>
      </w:pPr>
    </w:p>
    <w:p w:rsidR="00FB61B9" w14:paraId="2D9242D7"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Non-Collection and/or a less frequently conducted collection of the information resulting from provision 552.223-72 would prevent the Government from being properly notified.   </w:t>
      </w:r>
      <w:r>
        <w:rPr>
          <w:rFonts w:ascii="Arial" w:eastAsia="Arial" w:hAnsi="Arial" w:cs="Arial"/>
          <w:sz w:val="24"/>
          <w:szCs w:val="24"/>
        </w:rPr>
        <w:t>GSA</w:t>
      </w:r>
      <w:r>
        <w:rPr>
          <w:rFonts w:ascii="Arial" w:eastAsia="Arial" w:hAnsi="Arial" w:cs="Arial"/>
          <w:color w:val="000000"/>
          <w:sz w:val="24"/>
          <w:szCs w:val="24"/>
        </w:rPr>
        <w:t xml:space="preserve"> may be hindered from apprising employees of; (1) All hazards to which they may be exposed; (2) Relative symptoms and appropriate emergency treatment; and (3) Proper conditions and precautions for safe use and exposure. </w:t>
      </w:r>
    </w:p>
    <w:p w:rsidR="00FB61B9" w14:paraId="5F1B1010" w14:textId="77777777">
      <w:pPr>
        <w:pBdr>
          <w:top w:val="nil"/>
          <w:left w:val="nil"/>
          <w:bottom w:val="nil"/>
          <w:right w:val="nil"/>
          <w:between w:val="nil"/>
        </w:pBdr>
        <w:rPr>
          <w:rFonts w:ascii="Arial" w:eastAsia="Arial" w:hAnsi="Arial" w:cs="Arial"/>
          <w:color w:val="000000"/>
          <w:sz w:val="24"/>
          <w:szCs w:val="24"/>
        </w:rPr>
      </w:pPr>
    </w:p>
    <w:p w:rsidR="00FB61B9" w14:paraId="2C442D79" w14:textId="77777777">
      <w:pPr>
        <w:rPr>
          <w:rFonts w:ascii="Arial" w:eastAsia="Arial" w:hAnsi="Arial" w:cs="Arial"/>
          <w:b/>
          <w:sz w:val="24"/>
          <w:szCs w:val="24"/>
        </w:rPr>
      </w:pPr>
      <w:r>
        <w:rPr>
          <w:rFonts w:ascii="Arial" w:eastAsia="Arial" w:hAnsi="Arial" w:cs="Arial"/>
          <w:b/>
          <w:sz w:val="24"/>
          <w:szCs w:val="24"/>
        </w:rPr>
        <w:t>7. Paperwork Reduction Act Guidelines.</w:t>
      </w:r>
    </w:p>
    <w:p w:rsidR="00FB61B9" w14:paraId="4E9157DE" w14:textId="77777777">
      <w:pPr>
        <w:ind w:left="720"/>
        <w:rPr>
          <w:rFonts w:ascii="Arial" w:eastAsia="Arial" w:hAnsi="Arial" w:cs="Arial"/>
          <w:sz w:val="24"/>
          <w:szCs w:val="24"/>
        </w:rPr>
      </w:pPr>
    </w:p>
    <w:p w:rsidR="00FB61B9" w14:paraId="38E4C27B"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Collection does not require any of the special circumstances at 5 CFR 1320.5(d)(2)</w:t>
      </w:r>
      <w:r>
        <w:rPr>
          <w:rFonts w:ascii="Arial" w:eastAsia="Arial" w:hAnsi="Arial" w:cs="Arial"/>
          <w:color w:val="000000"/>
          <w:sz w:val="24"/>
          <w:szCs w:val="24"/>
        </w:rPr>
        <w:t>.</w:t>
      </w:r>
    </w:p>
    <w:p w:rsidR="00FB61B9" w14:paraId="3B05B290" w14:textId="77777777">
      <w:pPr>
        <w:ind w:left="720"/>
        <w:rPr>
          <w:rFonts w:ascii="Arial" w:eastAsia="Arial" w:hAnsi="Arial" w:cs="Arial"/>
          <w:sz w:val="24"/>
          <w:szCs w:val="24"/>
        </w:rPr>
      </w:pPr>
    </w:p>
    <w:p w:rsidR="00FB61B9" w14:paraId="64A01BE5"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8.  </w:t>
      </w:r>
      <w:r>
        <w:rPr>
          <w:rFonts w:ascii="Arial" w:eastAsia="Arial" w:hAnsi="Arial" w:cs="Arial"/>
          <w:b/>
          <w:sz w:val="24"/>
          <w:szCs w:val="24"/>
        </w:rPr>
        <w:t>Consultation with Public Comment</w:t>
      </w:r>
    </w:p>
    <w:p w:rsidR="00FB61B9" w14:paraId="6D5B1B5F" w14:textId="77777777">
      <w:pPr>
        <w:rPr>
          <w:rFonts w:ascii="Arial" w:eastAsia="Arial" w:hAnsi="Arial" w:cs="Arial"/>
          <w:sz w:val="24"/>
          <w:szCs w:val="24"/>
        </w:rPr>
      </w:pPr>
    </w:p>
    <w:p w:rsidR="00BB3461" w:rsidRPr="00BB3461" w:rsidP="00BB3461" w14:paraId="00340CC3" w14:textId="6EEEECC6">
      <w:pPr>
        <w:pBdr>
          <w:top w:val="nil"/>
          <w:left w:val="nil"/>
          <w:bottom w:val="nil"/>
          <w:right w:val="nil"/>
          <w:between w:val="nil"/>
        </w:pBdr>
        <w:tabs>
          <w:tab w:val="left" w:pos="8100"/>
        </w:tabs>
        <w:rPr>
          <w:rFonts w:ascii="Arial" w:eastAsia="Arial" w:hAnsi="Arial" w:cs="Arial"/>
          <w:color w:val="000000"/>
          <w:sz w:val="24"/>
          <w:szCs w:val="24"/>
        </w:rPr>
      </w:pPr>
      <w:r>
        <w:rPr>
          <w:rFonts w:ascii="Arial" w:eastAsia="Arial" w:hAnsi="Arial" w:cs="Arial"/>
          <w:color w:val="000000"/>
          <w:sz w:val="24"/>
          <w:szCs w:val="24"/>
        </w:rPr>
        <w:t xml:space="preserve">A 60-day notice published in </w:t>
      </w:r>
      <w:r w:rsidRPr="00BB3461">
        <w:rPr>
          <w:rFonts w:ascii="Arial" w:eastAsia="Arial" w:hAnsi="Arial" w:cs="Arial"/>
          <w:color w:val="000000"/>
          <w:sz w:val="24"/>
          <w:szCs w:val="24"/>
        </w:rPr>
        <w:t xml:space="preserve">the </w:t>
      </w:r>
      <w:r w:rsidRPr="00BB3461">
        <w:rPr>
          <w:rFonts w:ascii="Arial" w:eastAsia="Arial" w:hAnsi="Arial" w:cs="Arial"/>
          <w:i/>
          <w:iCs/>
          <w:color w:val="000000"/>
          <w:sz w:val="24"/>
          <w:szCs w:val="24"/>
        </w:rPr>
        <w:t>Federal Register</w:t>
      </w:r>
      <w:r w:rsidRPr="00BB3461">
        <w:rPr>
          <w:rFonts w:ascii="Arial" w:eastAsia="Arial" w:hAnsi="Arial" w:cs="Arial"/>
          <w:color w:val="000000"/>
          <w:sz w:val="24"/>
          <w:szCs w:val="24"/>
        </w:rPr>
        <w:t xml:space="preserve"> at</w:t>
      </w:r>
      <w:r>
        <w:rPr>
          <w:rFonts w:ascii="Arial" w:eastAsia="Arial" w:hAnsi="Arial" w:cs="Arial"/>
          <w:color w:val="000000"/>
          <w:sz w:val="24"/>
          <w:szCs w:val="24"/>
        </w:rPr>
        <w:t xml:space="preserve"> </w:t>
      </w:r>
      <w:r w:rsidRPr="00BB3461">
        <w:rPr>
          <w:rFonts w:ascii="Arial" w:eastAsia="Arial" w:hAnsi="Arial" w:cs="Arial"/>
          <w:color w:val="000000"/>
          <w:sz w:val="24"/>
          <w:szCs w:val="24"/>
        </w:rPr>
        <w:t xml:space="preserve">89 FR 68616 on August 27, 2024. No comments were received. </w:t>
      </w:r>
      <w:r w:rsidR="00FF7B8B">
        <w:rPr>
          <w:rFonts w:ascii="Arial" w:eastAsia="Arial" w:hAnsi="Arial" w:cs="Arial"/>
          <w:color w:val="000000"/>
          <w:sz w:val="24"/>
          <w:szCs w:val="24"/>
        </w:rPr>
        <w:t xml:space="preserve">A 30-day notice published in the </w:t>
      </w:r>
      <w:r w:rsidRPr="00FF7B8B" w:rsidR="00FF7B8B">
        <w:rPr>
          <w:rFonts w:ascii="Arial" w:eastAsia="Arial" w:hAnsi="Arial" w:cs="Arial"/>
          <w:i/>
          <w:iCs/>
          <w:color w:val="000000"/>
          <w:sz w:val="24"/>
          <w:szCs w:val="24"/>
        </w:rPr>
        <w:t>Federal Register</w:t>
      </w:r>
      <w:r w:rsidR="00FF7B8B">
        <w:rPr>
          <w:rFonts w:ascii="Arial" w:eastAsia="Arial" w:hAnsi="Arial" w:cs="Arial"/>
          <w:color w:val="000000"/>
          <w:sz w:val="24"/>
          <w:szCs w:val="24"/>
        </w:rPr>
        <w:t xml:space="preserve"> at 89 FR 89643 on November 13, 2024.</w:t>
      </w:r>
    </w:p>
    <w:p w:rsidR="00FB61B9" w:rsidP="00BB3461" w14:paraId="4138D693" w14:textId="67DA4039">
      <w:pPr>
        <w:pBdr>
          <w:top w:val="nil"/>
          <w:left w:val="nil"/>
          <w:bottom w:val="nil"/>
          <w:right w:val="nil"/>
          <w:between w:val="nil"/>
        </w:pBdr>
        <w:tabs>
          <w:tab w:val="left" w:pos="8100"/>
        </w:tabs>
        <w:rPr>
          <w:rFonts w:ascii="Arial" w:eastAsia="Arial" w:hAnsi="Arial" w:cs="Arial"/>
          <w:b/>
          <w:sz w:val="24"/>
          <w:szCs w:val="24"/>
        </w:rPr>
      </w:pPr>
    </w:p>
    <w:p w:rsidR="00FB61B9" w14:paraId="3C8CA7DC" w14:textId="77777777">
      <w:pPr>
        <w:rPr>
          <w:rFonts w:ascii="Arial" w:eastAsia="Arial" w:hAnsi="Arial" w:cs="Arial"/>
          <w:b/>
          <w:sz w:val="24"/>
          <w:szCs w:val="24"/>
        </w:rPr>
      </w:pPr>
      <w:r>
        <w:rPr>
          <w:rFonts w:ascii="Arial" w:eastAsia="Arial" w:hAnsi="Arial" w:cs="Arial"/>
          <w:b/>
          <w:sz w:val="24"/>
          <w:szCs w:val="24"/>
        </w:rPr>
        <w:t>9.  Gifts or Payment</w:t>
      </w:r>
    </w:p>
    <w:p w:rsidR="00FB61B9" w14:paraId="7B107052" w14:textId="77777777">
      <w:pPr>
        <w:rPr>
          <w:rFonts w:ascii="Arial" w:eastAsia="Arial" w:hAnsi="Arial" w:cs="Arial"/>
          <w:sz w:val="24"/>
          <w:szCs w:val="24"/>
        </w:rPr>
      </w:pPr>
    </w:p>
    <w:p w:rsidR="00FB61B9" w14:paraId="40B1EBFB" w14:textId="77777777">
      <w:pPr>
        <w:widowControl w:val="0"/>
        <w:tabs>
          <w:tab w:val="left" w:pos="657"/>
        </w:tabs>
        <w:rPr>
          <w:rFonts w:ascii="Arial" w:eastAsia="Arial" w:hAnsi="Arial" w:cs="Arial"/>
          <w:color w:val="000000"/>
          <w:sz w:val="24"/>
          <w:szCs w:val="24"/>
        </w:rPr>
      </w:pPr>
      <w:r>
        <w:rPr>
          <w:rFonts w:ascii="Arial" w:eastAsia="Arial" w:hAnsi="Arial" w:cs="Arial"/>
          <w:sz w:val="24"/>
          <w:szCs w:val="24"/>
        </w:rPr>
        <w:t>Not applicable, GSA makes no such payments or gifts to respondents under this information collection.</w:t>
      </w:r>
    </w:p>
    <w:p w:rsidR="00FB61B9" w14:paraId="04B6CF22" w14:textId="77777777">
      <w:pPr>
        <w:rPr>
          <w:rFonts w:ascii="Arial" w:eastAsia="Arial" w:hAnsi="Arial" w:cs="Arial"/>
          <w:sz w:val="24"/>
          <w:szCs w:val="24"/>
        </w:rPr>
      </w:pPr>
    </w:p>
    <w:p w:rsidR="00FB61B9" w14:paraId="743501BF" w14:textId="77777777">
      <w:pPr>
        <w:rPr>
          <w:rFonts w:ascii="Arial" w:eastAsia="Arial" w:hAnsi="Arial" w:cs="Arial"/>
          <w:b/>
          <w:sz w:val="24"/>
          <w:szCs w:val="24"/>
        </w:rPr>
      </w:pPr>
      <w:r>
        <w:rPr>
          <w:rFonts w:ascii="Arial" w:eastAsia="Arial" w:hAnsi="Arial" w:cs="Arial"/>
          <w:b/>
          <w:sz w:val="24"/>
          <w:szCs w:val="24"/>
        </w:rPr>
        <w:t>10.  Privacy and Confidentiality</w:t>
      </w:r>
    </w:p>
    <w:p w:rsidR="00FB61B9" w14:paraId="3090F7A5" w14:textId="77777777">
      <w:pPr>
        <w:rPr>
          <w:rFonts w:ascii="Arial" w:eastAsia="Arial" w:hAnsi="Arial" w:cs="Arial"/>
          <w:b/>
          <w:sz w:val="24"/>
          <w:szCs w:val="24"/>
        </w:rPr>
      </w:pPr>
    </w:p>
    <w:p w:rsidR="00FB61B9" w14:paraId="44794723" w14:textId="77777777">
      <w:pPr>
        <w:widowControl w:val="0"/>
        <w:tabs>
          <w:tab w:val="left" w:pos="657"/>
        </w:tabs>
        <w:rPr>
          <w:rFonts w:ascii="Arial" w:eastAsia="Arial" w:hAnsi="Arial" w:cs="Arial"/>
          <w:color w:val="000000"/>
          <w:sz w:val="24"/>
          <w:szCs w:val="24"/>
        </w:rPr>
      </w:pPr>
      <w:r>
        <w:rPr>
          <w:rFonts w:ascii="Arial" w:eastAsia="Arial" w:hAnsi="Arial" w:cs="Arial"/>
          <w:sz w:val="24"/>
          <w:szCs w:val="24"/>
        </w:rPr>
        <w:t>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w:t>
      </w:r>
    </w:p>
    <w:p w:rsidR="00FB61B9" w14:paraId="7BAAED84" w14:textId="77777777">
      <w:pPr>
        <w:rPr>
          <w:rFonts w:ascii="Arial" w:eastAsia="Arial" w:hAnsi="Arial" w:cs="Arial"/>
          <w:b/>
          <w:sz w:val="24"/>
          <w:szCs w:val="24"/>
        </w:rPr>
      </w:pPr>
    </w:p>
    <w:p w:rsidR="00FB61B9" w14:paraId="6766DF0E" w14:textId="7777777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11.  </w:t>
      </w:r>
      <w:r>
        <w:rPr>
          <w:rFonts w:ascii="Arial" w:eastAsia="Arial" w:hAnsi="Arial" w:cs="Arial"/>
          <w:b/>
          <w:sz w:val="24"/>
          <w:szCs w:val="24"/>
        </w:rPr>
        <w:t>Sensitive Questions</w:t>
      </w:r>
    </w:p>
    <w:p w:rsidR="00FB61B9" w14:paraId="708810E6" w14:textId="77777777">
      <w:pPr>
        <w:rPr>
          <w:rFonts w:ascii="Arial" w:eastAsia="Arial" w:hAnsi="Arial" w:cs="Arial"/>
          <w:sz w:val="24"/>
          <w:szCs w:val="24"/>
        </w:rPr>
      </w:pPr>
    </w:p>
    <w:p w:rsidR="00FB61B9" w14:paraId="2EFD2837"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 sensitive questions are involved.</w:t>
      </w:r>
    </w:p>
    <w:p w:rsidR="00FB61B9" w14:paraId="40FC85BF" w14:textId="77777777">
      <w:pPr>
        <w:rPr>
          <w:rFonts w:ascii="Arial" w:eastAsia="Arial" w:hAnsi="Arial" w:cs="Arial"/>
          <w:sz w:val="24"/>
          <w:szCs w:val="24"/>
        </w:rPr>
      </w:pPr>
    </w:p>
    <w:p w:rsidR="00FB61B9" w14:paraId="32A3B9F8" w14:textId="77777777">
      <w:pPr>
        <w:rPr>
          <w:rFonts w:ascii="Arial" w:eastAsia="Arial" w:hAnsi="Arial" w:cs="Arial"/>
          <w:b/>
          <w:sz w:val="24"/>
          <w:szCs w:val="24"/>
        </w:rPr>
      </w:pPr>
      <w:r>
        <w:rPr>
          <w:rFonts w:ascii="Arial" w:eastAsia="Arial" w:hAnsi="Arial" w:cs="Arial"/>
          <w:b/>
          <w:sz w:val="24"/>
          <w:szCs w:val="24"/>
        </w:rPr>
        <w:t>12  Burden</w:t>
      </w:r>
      <w:r>
        <w:rPr>
          <w:rFonts w:ascii="Arial" w:eastAsia="Arial" w:hAnsi="Arial" w:cs="Arial"/>
          <w:b/>
          <w:sz w:val="24"/>
          <w:szCs w:val="24"/>
        </w:rPr>
        <w:t xml:space="preserve"> Estimate</w:t>
      </w:r>
    </w:p>
    <w:p w:rsidR="00FB61B9" w14:paraId="4E2220CE" w14:textId="77777777">
      <w:pPr>
        <w:pBdr>
          <w:top w:val="nil"/>
          <w:left w:val="nil"/>
          <w:bottom w:val="nil"/>
          <w:right w:val="nil"/>
          <w:between w:val="nil"/>
        </w:pBdr>
        <w:rPr>
          <w:rFonts w:ascii="Arial" w:eastAsia="Arial" w:hAnsi="Arial" w:cs="Arial"/>
          <w:color w:val="000000"/>
          <w:sz w:val="24"/>
          <w:szCs w:val="24"/>
        </w:rPr>
      </w:pPr>
    </w:p>
    <w:p w:rsidR="00FB61B9" w14:paraId="0E516424" w14:textId="77777777">
      <w:pPr>
        <w:rPr>
          <w:rFonts w:ascii="Arial" w:eastAsia="Arial" w:hAnsi="Arial" w:cs="Arial"/>
          <w:sz w:val="24"/>
          <w:szCs w:val="24"/>
        </w:rPr>
      </w:pPr>
      <w:r>
        <w:rPr>
          <w:rFonts w:ascii="Arial" w:eastAsia="Arial" w:hAnsi="Arial" w:cs="Arial"/>
          <w:sz w:val="24"/>
          <w:szCs w:val="24"/>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The annual reporting burden is estimated as follows:</w:t>
      </w:r>
      <w:r>
        <w:rPr>
          <w:rFonts w:ascii="Arial" w:eastAsia="Arial" w:hAnsi="Arial" w:cs="Arial"/>
          <w:sz w:val="24"/>
          <w:szCs w:val="24"/>
        </w:rPr>
        <w:tab/>
      </w:r>
    </w:p>
    <w:p w:rsidR="00FB61B9" w14:paraId="637B82BB" w14:textId="77777777">
      <w:pPr>
        <w:tabs>
          <w:tab w:val="left" w:pos="1260"/>
        </w:tabs>
        <w:rPr>
          <w:rFonts w:ascii="Arial" w:eastAsia="Arial" w:hAnsi="Arial" w:cs="Arial"/>
          <w:sz w:val="24"/>
          <w:szCs w:val="24"/>
        </w:rPr>
      </w:pPr>
    </w:p>
    <w:p w:rsidR="00FB61B9" w14:paraId="14532EFB" w14:textId="77777777">
      <w:pPr>
        <w:tabs>
          <w:tab w:val="left" w:pos="1260"/>
          <w:tab w:val="right" w:pos="7740"/>
        </w:tabs>
        <w:rPr>
          <w:rFonts w:ascii="Arial" w:eastAsia="Arial" w:hAnsi="Arial" w:cs="Arial"/>
          <w:sz w:val="24"/>
          <w:szCs w:val="24"/>
        </w:rPr>
      </w:pPr>
      <w:r>
        <w:rPr>
          <w:rFonts w:ascii="Arial" w:eastAsia="Arial" w:hAnsi="Arial" w:cs="Arial"/>
          <w:sz w:val="24"/>
          <w:szCs w:val="24"/>
        </w:rPr>
        <w:t>Respondents</w:t>
      </w:r>
      <w:r>
        <w:rPr>
          <w:rFonts w:ascii="Arial" w:eastAsia="Arial" w:hAnsi="Arial" w:cs="Arial"/>
          <w:sz w:val="24"/>
          <w:szCs w:val="24"/>
        </w:rPr>
        <w:tab/>
        <w:t xml:space="preserve">                                                                                                                 563</w:t>
      </w:r>
    </w:p>
    <w:p w:rsidR="00FB61B9" w14:paraId="563E0E00" w14:textId="77777777">
      <w:pPr>
        <w:tabs>
          <w:tab w:val="left" w:pos="1260"/>
          <w:tab w:val="right" w:pos="7740"/>
        </w:tabs>
        <w:rPr>
          <w:rFonts w:ascii="Arial" w:eastAsia="Arial" w:hAnsi="Arial" w:cs="Arial"/>
          <w:sz w:val="24"/>
          <w:szCs w:val="24"/>
        </w:rPr>
      </w:pPr>
      <w:r>
        <w:rPr>
          <w:rFonts w:ascii="Arial" w:eastAsia="Arial" w:hAnsi="Arial" w:cs="Arial"/>
          <w:sz w:val="24"/>
          <w:szCs w:val="24"/>
        </w:rPr>
        <w:t>Responses per respondent</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u w:val="single"/>
        </w:rPr>
        <w:t>x       3</w:t>
      </w:r>
    </w:p>
    <w:p w:rsidR="00FB61B9" w14:paraId="25AC0665" w14:textId="77777777">
      <w:pPr>
        <w:tabs>
          <w:tab w:val="left" w:pos="1260"/>
          <w:tab w:val="right" w:pos="7740"/>
        </w:tabs>
        <w:rPr>
          <w:rFonts w:ascii="Arial" w:eastAsia="Arial" w:hAnsi="Arial" w:cs="Arial"/>
          <w:sz w:val="24"/>
          <w:szCs w:val="24"/>
        </w:rPr>
      </w:pPr>
      <w:r>
        <w:rPr>
          <w:rFonts w:ascii="Arial" w:eastAsia="Arial" w:hAnsi="Arial" w:cs="Arial"/>
          <w:sz w:val="24"/>
          <w:szCs w:val="24"/>
        </w:rPr>
        <w:t>Total annual responses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1,689</w:t>
      </w:r>
    </w:p>
    <w:p w:rsidR="00FB61B9" w14:paraId="537E15D9" w14:textId="77777777">
      <w:pPr>
        <w:tabs>
          <w:tab w:val="left" w:pos="1260"/>
          <w:tab w:val="right" w:pos="7740"/>
        </w:tabs>
        <w:rPr>
          <w:rFonts w:ascii="Arial" w:eastAsia="Arial" w:hAnsi="Arial" w:cs="Arial"/>
          <w:sz w:val="24"/>
          <w:szCs w:val="24"/>
        </w:rPr>
      </w:pPr>
      <w:r>
        <w:rPr>
          <w:rFonts w:ascii="Arial" w:eastAsia="Arial" w:hAnsi="Arial" w:cs="Arial"/>
          <w:sz w:val="24"/>
          <w:szCs w:val="24"/>
        </w:rPr>
        <w:t>Preparation time per response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u w:val="single"/>
        </w:rPr>
        <w:t>x  .</w:t>
      </w:r>
      <w:r>
        <w:rPr>
          <w:rFonts w:ascii="Arial" w:eastAsia="Arial" w:hAnsi="Arial" w:cs="Arial"/>
          <w:sz w:val="24"/>
          <w:szCs w:val="24"/>
          <w:u w:val="single"/>
        </w:rPr>
        <w:t>5</w:t>
      </w:r>
    </w:p>
    <w:p w:rsidR="00FB61B9" w14:paraId="271918C6" w14:textId="77777777">
      <w:pPr>
        <w:tabs>
          <w:tab w:val="left" w:pos="1260"/>
          <w:tab w:val="right" w:pos="7740"/>
        </w:tabs>
        <w:rPr>
          <w:rFonts w:ascii="Arial" w:eastAsia="Arial" w:hAnsi="Arial" w:cs="Arial"/>
          <w:sz w:val="24"/>
          <w:szCs w:val="24"/>
        </w:rPr>
      </w:pPr>
      <w:r>
        <w:rPr>
          <w:rFonts w:ascii="Arial" w:eastAsia="Arial" w:hAnsi="Arial" w:cs="Arial"/>
          <w:sz w:val="24"/>
          <w:szCs w:val="24"/>
        </w:rPr>
        <w:t>Total response burden hours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844.5</w:t>
      </w:r>
    </w:p>
    <w:p w:rsidR="00FB61B9" w14:paraId="08D82FD6" w14:textId="77777777">
      <w:pPr>
        <w:tabs>
          <w:tab w:val="left" w:pos="1260"/>
          <w:tab w:val="right" w:pos="7740"/>
        </w:tabs>
        <w:rPr>
          <w:rFonts w:ascii="Arial" w:eastAsia="Arial" w:hAnsi="Arial" w:cs="Arial"/>
          <w:sz w:val="24"/>
          <w:szCs w:val="24"/>
          <w:u w:val="single"/>
        </w:rPr>
      </w:pPr>
      <w:r>
        <w:rPr>
          <w:rFonts w:ascii="Arial" w:eastAsia="Arial" w:hAnsi="Arial" w:cs="Arial"/>
          <w:sz w:val="24"/>
          <w:szCs w:val="24"/>
        </w:rPr>
        <w:t>Cost per hour*</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u w:val="single"/>
        </w:rPr>
        <w:t>x   $64.34*</w:t>
      </w:r>
    </w:p>
    <w:p w:rsidR="00FB61B9" w14:paraId="68AFD84A" w14:textId="77777777">
      <w:pPr>
        <w:tabs>
          <w:tab w:val="left" w:pos="1260"/>
          <w:tab w:val="right" w:pos="7740"/>
        </w:tabs>
        <w:rPr>
          <w:rFonts w:ascii="Arial" w:eastAsia="Arial" w:hAnsi="Arial" w:cs="Arial"/>
          <w:sz w:val="24"/>
          <w:szCs w:val="24"/>
        </w:rPr>
      </w:pPr>
      <w:r>
        <w:rPr>
          <w:rFonts w:ascii="Arial" w:eastAsia="Arial" w:hAnsi="Arial" w:cs="Arial"/>
          <w:sz w:val="24"/>
          <w:szCs w:val="24"/>
        </w:rPr>
        <w:t>Estimated Cost Burden to the Public</w:t>
      </w:r>
      <w:r>
        <w:rPr>
          <w:rFonts w:ascii="Arial" w:eastAsia="Arial" w:hAnsi="Arial" w:cs="Arial"/>
          <w:sz w:val="24"/>
          <w:szCs w:val="24"/>
        </w:rPr>
        <w:tab/>
      </w:r>
      <w:r>
        <w:rPr>
          <w:rFonts w:ascii="Arial" w:eastAsia="Arial" w:hAnsi="Arial" w:cs="Arial"/>
          <w:sz w:val="24"/>
          <w:szCs w:val="24"/>
        </w:rPr>
        <w:tab/>
        <w:t xml:space="preserve">         $54,335</w:t>
      </w:r>
    </w:p>
    <w:p w:rsidR="00FB61B9" w14:paraId="3D098DE3" w14:textId="77777777">
      <w:pPr>
        <w:rPr>
          <w:rFonts w:ascii="Arial" w:eastAsia="Arial" w:hAnsi="Arial" w:cs="Arial"/>
          <w:sz w:val="24"/>
          <w:szCs w:val="24"/>
        </w:rPr>
      </w:pPr>
    </w:p>
    <w:p w:rsidR="00FB61B9" w14:paraId="329512BC" w14:textId="77777777">
      <w:pPr>
        <w:rPr>
          <w:rFonts w:ascii="Arial" w:eastAsia="Arial" w:hAnsi="Arial" w:cs="Arial"/>
          <w:sz w:val="24"/>
          <w:szCs w:val="24"/>
        </w:rPr>
      </w:pPr>
    </w:p>
    <w:p w:rsidR="00FB61B9" w14:paraId="1BFC84E6" w14:textId="77777777">
      <w:pPr>
        <w:rPr>
          <w:rFonts w:ascii="Arial" w:eastAsia="Arial" w:hAnsi="Arial" w:cs="Arial"/>
          <w:sz w:val="24"/>
          <w:szCs w:val="24"/>
        </w:rPr>
      </w:pPr>
      <w:r>
        <w:rPr>
          <w:rFonts w:ascii="Arial" w:eastAsia="Arial" w:hAnsi="Arial" w:cs="Arial"/>
          <w:sz w:val="24"/>
          <w:szCs w:val="24"/>
        </w:rPr>
        <w:t>*The estimated cost of $64.34 per hour is based on the task being accomplished by mid-level personnel equivalent to a GS-12, Step 5 salary (Base Pay and Rest of US Locality Pay) (Salary Table 2024-GS, Effective January 2024 at a rate of $47.22), with fringe of 36.25% (OMB Memo M-08-13).</w:t>
      </w:r>
    </w:p>
    <w:p w:rsidR="00FB61B9" w14:paraId="418333C9" w14:textId="77777777">
      <w:pPr>
        <w:rPr>
          <w:rFonts w:ascii="Arial" w:eastAsia="Arial" w:hAnsi="Arial" w:cs="Arial"/>
          <w:sz w:val="24"/>
          <w:szCs w:val="24"/>
        </w:rPr>
      </w:pPr>
    </w:p>
    <w:p w:rsidR="00FB61B9" w14:paraId="616683C1" w14:textId="77777777">
      <w:pPr>
        <w:rPr>
          <w:rFonts w:ascii="Arial" w:eastAsia="Arial" w:hAnsi="Arial" w:cs="Arial"/>
          <w:sz w:val="24"/>
          <w:szCs w:val="24"/>
        </w:rPr>
      </w:pPr>
    </w:p>
    <w:p w:rsidR="00FB61B9" w14:paraId="34D965DF" w14:textId="77777777">
      <w:pPr>
        <w:widowControl w:val="0"/>
        <w:spacing w:line="276" w:lineRule="auto"/>
        <w:rPr>
          <w:rFonts w:ascii="Arial" w:eastAsia="Arial" w:hAnsi="Arial" w:cs="Arial"/>
          <w:sz w:val="24"/>
          <w:szCs w:val="24"/>
        </w:rPr>
      </w:pPr>
    </w:p>
    <w:tbl>
      <w:tblPr>
        <w:tblStyle w:val="a"/>
        <w:tblW w:w="9315" w:type="dxa"/>
        <w:tblBorders>
          <w:top w:val="single" w:sz="6" w:space="0" w:color="000000"/>
          <w:left w:val="single" w:sz="6" w:space="0" w:color="000000"/>
          <w:bottom w:val="single" w:sz="6" w:space="0" w:color="000000"/>
          <w:right w:val="single" w:sz="6" w:space="0" w:color="000000"/>
        </w:tblBorders>
        <w:tblLayout w:type="fixed"/>
        <w:tblLook w:val="0400"/>
      </w:tblPr>
      <w:tblGrid>
        <w:gridCol w:w="1800"/>
        <w:gridCol w:w="1335"/>
        <w:gridCol w:w="1215"/>
        <w:gridCol w:w="1200"/>
        <w:gridCol w:w="1350"/>
        <w:gridCol w:w="1110"/>
        <w:gridCol w:w="1305"/>
      </w:tblGrid>
      <w:tr w14:paraId="412EEBD2" w14:textId="77777777">
        <w:tblPrEx>
          <w:tblW w:w="9315" w:type="dxa"/>
          <w:tblBorders>
            <w:top w:val="single" w:sz="6" w:space="0" w:color="000000"/>
            <w:left w:val="single" w:sz="6" w:space="0" w:color="000000"/>
            <w:bottom w:val="single" w:sz="6" w:space="0" w:color="000000"/>
            <w:right w:val="single" w:sz="6" w:space="0" w:color="000000"/>
          </w:tblBorders>
          <w:tblLayout w:type="fixed"/>
          <w:tblLook w:val="0400"/>
        </w:tblPrEx>
        <w:tc>
          <w:tcPr>
            <w:tcW w:w="1800"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1325DEED" w14:textId="77777777">
            <w:pPr>
              <w:widowControl w:val="0"/>
              <w:rPr>
                <w:rFonts w:ascii="Arial" w:eastAsia="Arial" w:hAnsi="Arial" w:cs="Arial"/>
                <w:b/>
                <w:sz w:val="24"/>
                <w:szCs w:val="24"/>
              </w:rPr>
            </w:pPr>
          </w:p>
        </w:tc>
        <w:tc>
          <w:tcPr>
            <w:tcW w:w="1335"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2EE5E571" w14:textId="77777777">
            <w:pPr>
              <w:widowControl w:val="0"/>
              <w:rPr>
                <w:rFonts w:ascii="Arial" w:eastAsia="Arial" w:hAnsi="Arial" w:cs="Arial"/>
                <w:b/>
                <w:sz w:val="24"/>
                <w:szCs w:val="24"/>
              </w:rPr>
            </w:pPr>
            <w:r>
              <w:rPr>
                <w:rFonts w:ascii="Arial" w:eastAsia="Arial" w:hAnsi="Arial" w:cs="Arial"/>
                <w:b/>
                <w:sz w:val="24"/>
                <w:szCs w:val="24"/>
              </w:rPr>
              <w:t>Requested</w:t>
            </w:r>
          </w:p>
        </w:tc>
        <w:tc>
          <w:tcPr>
            <w:tcW w:w="1215"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449FF47F" w14:textId="77777777">
            <w:pPr>
              <w:widowControl w:val="0"/>
              <w:rPr>
                <w:rFonts w:ascii="Arial" w:eastAsia="Arial" w:hAnsi="Arial" w:cs="Arial"/>
                <w:b/>
                <w:sz w:val="24"/>
                <w:szCs w:val="24"/>
              </w:rPr>
            </w:pPr>
            <w:r>
              <w:rPr>
                <w:rFonts w:ascii="Arial" w:eastAsia="Arial" w:hAnsi="Arial" w:cs="Arial"/>
                <w:b/>
                <w:sz w:val="24"/>
                <w:szCs w:val="24"/>
              </w:rPr>
              <w:t>Program Change Due to New Policy</w:t>
            </w:r>
          </w:p>
        </w:tc>
        <w:tc>
          <w:tcPr>
            <w:tcW w:w="1200"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47737AD0" w14:textId="77777777">
            <w:pPr>
              <w:widowControl w:val="0"/>
              <w:rPr>
                <w:rFonts w:ascii="Arial" w:eastAsia="Arial" w:hAnsi="Arial" w:cs="Arial"/>
                <w:b/>
                <w:sz w:val="24"/>
                <w:szCs w:val="24"/>
              </w:rPr>
            </w:pPr>
            <w:r>
              <w:rPr>
                <w:rFonts w:ascii="Arial" w:eastAsia="Arial" w:hAnsi="Arial" w:cs="Arial"/>
                <w:b/>
                <w:sz w:val="24"/>
                <w:szCs w:val="24"/>
              </w:rPr>
              <w:t>Program Change Due to Agency Discretion</w:t>
            </w:r>
          </w:p>
        </w:tc>
        <w:tc>
          <w:tcPr>
            <w:tcW w:w="1350"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343B4CC3" w14:textId="77777777">
            <w:pPr>
              <w:widowControl w:val="0"/>
              <w:rPr>
                <w:rFonts w:ascii="Arial" w:eastAsia="Arial" w:hAnsi="Arial" w:cs="Arial"/>
                <w:b/>
                <w:sz w:val="24"/>
                <w:szCs w:val="24"/>
              </w:rPr>
            </w:pPr>
            <w:r>
              <w:rPr>
                <w:rFonts w:ascii="Arial" w:eastAsia="Arial" w:hAnsi="Arial" w:cs="Arial"/>
                <w:b/>
                <w:sz w:val="24"/>
                <w:szCs w:val="24"/>
              </w:rPr>
              <w:t>Change Due to Adjustment in Agency Estimate</w:t>
            </w:r>
          </w:p>
        </w:tc>
        <w:tc>
          <w:tcPr>
            <w:tcW w:w="1110"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61FCAE74" w14:textId="77777777">
            <w:pPr>
              <w:widowControl w:val="0"/>
              <w:rPr>
                <w:rFonts w:ascii="Arial" w:eastAsia="Arial" w:hAnsi="Arial" w:cs="Arial"/>
                <w:b/>
                <w:sz w:val="24"/>
                <w:szCs w:val="24"/>
              </w:rPr>
            </w:pPr>
            <w:r>
              <w:rPr>
                <w:rFonts w:ascii="Arial" w:eastAsia="Arial" w:hAnsi="Arial" w:cs="Arial"/>
                <w:b/>
                <w:sz w:val="24"/>
                <w:szCs w:val="24"/>
              </w:rPr>
              <w:t>Change Due to Potential Violation of the PRA</w:t>
            </w:r>
          </w:p>
        </w:tc>
        <w:tc>
          <w:tcPr>
            <w:tcW w:w="1305"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35BD7B46" w14:textId="77777777">
            <w:pPr>
              <w:widowControl w:val="0"/>
              <w:rPr>
                <w:rFonts w:ascii="Arial" w:eastAsia="Arial" w:hAnsi="Arial" w:cs="Arial"/>
                <w:b/>
                <w:sz w:val="24"/>
                <w:szCs w:val="24"/>
              </w:rPr>
            </w:pPr>
            <w:r>
              <w:rPr>
                <w:rFonts w:ascii="Arial" w:eastAsia="Arial" w:hAnsi="Arial" w:cs="Arial"/>
                <w:b/>
                <w:sz w:val="24"/>
                <w:szCs w:val="24"/>
              </w:rPr>
              <w:t>Previously Approved</w:t>
            </w:r>
          </w:p>
        </w:tc>
      </w:tr>
      <w:tr w14:paraId="0E3E877C" w14:textId="77777777">
        <w:tblPrEx>
          <w:tblW w:w="9315" w:type="dxa"/>
          <w:tblLayout w:type="fixed"/>
          <w:tblLook w:val="0400"/>
        </w:tblPrEx>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4019A464" w14:textId="77777777">
            <w:pPr>
              <w:widowControl w:val="0"/>
              <w:rPr>
                <w:rFonts w:ascii="Arial" w:eastAsia="Arial" w:hAnsi="Arial" w:cs="Arial"/>
                <w:sz w:val="24"/>
                <w:szCs w:val="24"/>
              </w:rPr>
            </w:pPr>
            <w:r>
              <w:rPr>
                <w:rFonts w:ascii="Arial" w:eastAsia="Arial" w:hAnsi="Arial" w:cs="Arial"/>
                <w:sz w:val="24"/>
                <w:szCs w:val="24"/>
              </w:rPr>
              <w:t>Annual Number of Responses for this IC</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32C466A6" w14:textId="77777777">
            <w:pPr>
              <w:widowControl w:val="0"/>
              <w:rPr>
                <w:rFonts w:ascii="Arial" w:eastAsia="Arial" w:hAnsi="Arial" w:cs="Arial"/>
                <w:sz w:val="24"/>
                <w:szCs w:val="24"/>
              </w:rPr>
            </w:pPr>
            <w:r>
              <w:rPr>
                <w:rFonts w:ascii="Arial" w:eastAsia="Arial" w:hAnsi="Arial" w:cs="Arial"/>
                <w:sz w:val="24"/>
                <w:szCs w:val="24"/>
              </w:rPr>
              <w:t>1689</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33A2AB5F" w14:textId="77777777">
            <w:pPr>
              <w:widowControl w:val="0"/>
              <w:rPr>
                <w:rFonts w:ascii="Arial" w:eastAsia="Arial" w:hAnsi="Arial" w:cs="Arial"/>
                <w:sz w:val="24"/>
                <w:szCs w:val="24"/>
              </w:rPr>
            </w:pPr>
            <w:r>
              <w:rPr>
                <w:rFonts w:ascii="Arial" w:eastAsia="Arial" w:hAnsi="Arial" w:cs="Arial"/>
                <w:sz w:val="24"/>
                <w:szCs w:val="24"/>
              </w:rPr>
              <w:t>N/A</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029536C7" w14:textId="77777777">
            <w:pPr>
              <w:widowControl w:val="0"/>
              <w:rPr>
                <w:rFonts w:ascii="Arial" w:eastAsia="Arial" w:hAnsi="Arial" w:cs="Arial"/>
                <w:sz w:val="24"/>
                <w:szCs w:val="24"/>
              </w:rPr>
            </w:pPr>
            <w:r>
              <w:rPr>
                <w:rFonts w:ascii="Arial" w:eastAsia="Arial" w:hAnsi="Arial" w:cs="Arial"/>
                <w:sz w:val="24"/>
                <w:szCs w:val="24"/>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31632CE9" w14:textId="77777777">
            <w:pPr>
              <w:widowControl w:val="0"/>
              <w:rPr>
                <w:rFonts w:ascii="Arial" w:eastAsia="Arial" w:hAnsi="Arial" w:cs="Arial"/>
                <w:sz w:val="24"/>
                <w:szCs w:val="24"/>
              </w:rPr>
            </w:pPr>
            <w:r>
              <w:rPr>
                <w:rFonts w:ascii="Arial" w:eastAsia="Arial" w:hAnsi="Arial" w:cs="Arial"/>
                <w:sz w:val="24"/>
                <w:szCs w:val="24"/>
              </w:rPr>
              <w:t>N/A</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44BEBE76" w14:textId="77777777">
            <w:pPr>
              <w:widowControl w:val="0"/>
              <w:rPr>
                <w:rFonts w:ascii="Arial" w:eastAsia="Arial" w:hAnsi="Arial" w:cs="Arial"/>
                <w:sz w:val="24"/>
                <w:szCs w:val="24"/>
              </w:rPr>
            </w:pPr>
            <w:r>
              <w:rPr>
                <w:rFonts w:ascii="Arial" w:eastAsia="Arial" w:hAnsi="Arial" w:cs="Arial"/>
                <w:sz w:val="24"/>
                <w:szCs w:val="24"/>
              </w:rPr>
              <w:t>N/A</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649DA136" w14:textId="77777777">
            <w:pPr>
              <w:widowControl w:val="0"/>
              <w:rPr>
                <w:rFonts w:ascii="Arial" w:eastAsia="Arial" w:hAnsi="Arial" w:cs="Arial"/>
                <w:sz w:val="24"/>
                <w:szCs w:val="24"/>
              </w:rPr>
            </w:pPr>
            <w:r>
              <w:rPr>
                <w:rFonts w:ascii="Arial" w:eastAsia="Arial" w:hAnsi="Arial" w:cs="Arial"/>
                <w:sz w:val="24"/>
                <w:szCs w:val="24"/>
              </w:rPr>
              <w:t>1689</w:t>
            </w:r>
          </w:p>
        </w:tc>
      </w:tr>
      <w:tr w14:paraId="6B61C4A1" w14:textId="77777777">
        <w:tblPrEx>
          <w:tblW w:w="9315" w:type="dxa"/>
          <w:tblLayout w:type="fixed"/>
          <w:tblLook w:val="0400"/>
        </w:tblPrEx>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0FE064FC" w14:textId="77777777">
            <w:pPr>
              <w:widowControl w:val="0"/>
              <w:rPr>
                <w:rFonts w:ascii="Arial" w:eastAsia="Arial" w:hAnsi="Arial" w:cs="Arial"/>
                <w:sz w:val="24"/>
                <w:szCs w:val="24"/>
              </w:rPr>
            </w:pPr>
            <w:r>
              <w:rPr>
                <w:rFonts w:ascii="Arial" w:eastAsia="Arial" w:hAnsi="Arial" w:cs="Arial"/>
                <w:sz w:val="24"/>
                <w:szCs w:val="24"/>
              </w:rPr>
              <w:t>Annual IC Time Burden (Hour)</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E8ECF38" w14:textId="77777777">
            <w:pPr>
              <w:widowControl w:val="0"/>
              <w:rPr>
                <w:rFonts w:ascii="Arial" w:eastAsia="Arial" w:hAnsi="Arial" w:cs="Arial"/>
                <w:sz w:val="24"/>
                <w:szCs w:val="24"/>
              </w:rPr>
            </w:pPr>
            <w:r>
              <w:rPr>
                <w:rFonts w:ascii="Arial" w:eastAsia="Arial" w:hAnsi="Arial" w:cs="Arial"/>
                <w:sz w:val="24"/>
                <w:szCs w:val="24"/>
              </w:rPr>
              <w:t>.5</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37B06F9C" w14:textId="77777777">
            <w:pPr>
              <w:widowControl w:val="0"/>
              <w:rPr>
                <w:rFonts w:ascii="Arial" w:eastAsia="Arial" w:hAnsi="Arial" w:cs="Arial"/>
                <w:sz w:val="24"/>
                <w:szCs w:val="24"/>
              </w:rPr>
            </w:pPr>
            <w:r>
              <w:rPr>
                <w:rFonts w:ascii="Arial" w:eastAsia="Arial" w:hAnsi="Arial" w:cs="Arial"/>
                <w:sz w:val="24"/>
                <w:szCs w:val="24"/>
              </w:rPr>
              <w:t>N/A</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06B68C77" w14:textId="77777777">
            <w:pPr>
              <w:widowControl w:val="0"/>
              <w:rPr>
                <w:rFonts w:ascii="Arial" w:eastAsia="Arial" w:hAnsi="Arial" w:cs="Arial"/>
                <w:sz w:val="24"/>
                <w:szCs w:val="24"/>
              </w:rPr>
            </w:pPr>
            <w:r>
              <w:rPr>
                <w:rFonts w:ascii="Arial" w:eastAsia="Arial" w:hAnsi="Arial" w:cs="Arial"/>
                <w:sz w:val="24"/>
                <w:szCs w:val="24"/>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4376E13" w14:textId="77777777">
            <w:pPr>
              <w:widowControl w:val="0"/>
              <w:rPr>
                <w:rFonts w:ascii="Arial" w:eastAsia="Arial" w:hAnsi="Arial" w:cs="Arial"/>
                <w:sz w:val="24"/>
                <w:szCs w:val="24"/>
              </w:rPr>
            </w:pPr>
            <w:r>
              <w:rPr>
                <w:rFonts w:ascii="Arial" w:eastAsia="Arial" w:hAnsi="Arial" w:cs="Arial"/>
                <w:sz w:val="24"/>
                <w:szCs w:val="24"/>
              </w:rPr>
              <w:t>1689</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7D869542" w14:textId="77777777">
            <w:pPr>
              <w:widowControl w:val="0"/>
              <w:rPr>
                <w:rFonts w:ascii="Arial" w:eastAsia="Arial" w:hAnsi="Arial" w:cs="Arial"/>
                <w:sz w:val="24"/>
                <w:szCs w:val="24"/>
              </w:rPr>
            </w:pPr>
            <w:r>
              <w:rPr>
                <w:rFonts w:ascii="Arial" w:eastAsia="Arial" w:hAnsi="Arial" w:cs="Arial"/>
                <w:sz w:val="24"/>
                <w:szCs w:val="24"/>
              </w:rPr>
              <w:t>N/A</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F18F452" w14:textId="77777777">
            <w:pPr>
              <w:widowControl w:val="0"/>
              <w:rPr>
                <w:rFonts w:ascii="Arial" w:eastAsia="Arial" w:hAnsi="Arial" w:cs="Arial"/>
                <w:sz w:val="24"/>
                <w:szCs w:val="24"/>
              </w:rPr>
            </w:pPr>
            <w:r>
              <w:rPr>
                <w:rFonts w:ascii="Arial" w:eastAsia="Arial" w:hAnsi="Arial" w:cs="Arial"/>
                <w:sz w:val="24"/>
                <w:szCs w:val="24"/>
              </w:rPr>
              <w:t>.67</w:t>
            </w:r>
          </w:p>
        </w:tc>
      </w:tr>
      <w:tr w14:paraId="0497C13A" w14:textId="77777777">
        <w:tblPrEx>
          <w:tblW w:w="9315" w:type="dxa"/>
          <w:tblLayout w:type="fixed"/>
          <w:tblLook w:val="0400"/>
        </w:tblPrEx>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0C14256" w14:textId="77777777">
            <w:pPr>
              <w:widowControl w:val="0"/>
              <w:rPr>
                <w:rFonts w:ascii="Arial" w:eastAsia="Arial" w:hAnsi="Arial" w:cs="Arial"/>
                <w:sz w:val="24"/>
                <w:szCs w:val="24"/>
              </w:rPr>
            </w:pPr>
            <w:r>
              <w:rPr>
                <w:rFonts w:ascii="Arial" w:eastAsia="Arial" w:hAnsi="Arial" w:cs="Arial"/>
                <w:sz w:val="24"/>
                <w:szCs w:val="24"/>
              </w:rPr>
              <w:t>Annual IC Cost Burden (Dollars)</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311A9BCF" w14:textId="77777777">
            <w:pPr>
              <w:widowControl w:val="0"/>
              <w:rPr>
                <w:rFonts w:ascii="Arial" w:eastAsia="Arial" w:hAnsi="Arial" w:cs="Arial"/>
                <w:sz w:val="24"/>
                <w:szCs w:val="24"/>
              </w:rPr>
            </w:pPr>
            <w:r>
              <w:rPr>
                <w:rFonts w:ascii="Arial" w:eastAsia="Arial" w:hAnsi="Arial" w:cs="Arial"/>
                <w:sz w:val="24"/>
                <w:szCs w:val="24"/>
              </w:rPr>
              <w:t>$54,335</w:t>
            </w:r>
          </w:p>
        </w:tc>
        <w:tc>
          <w:tcPr>
            <w:tcW w:w="121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64D82160" w14:textId="77777777">
            <w:pPr>
              <w:widowControl w:val="0"/>
              <w:rPr>
                <w:rFonts w:ascii="Arial" w:eastAsia="Arial" w:hAnsi="Arial" w:cs="Arial"/>
                <w:sz w:val="24"/>
                <w:szCs w:val="24"/>
              </w:rPr>
            </w:pPr>
            <w:r>
              <w:rPr>
                <w:rFonts w:ascii="Arial" w:eastAsia="Arial" w:hAnsi="Arial" w:cs="Arial"/>
                <w:sz w:val="24"/>
                <w:szCs w:val="24"/>
              </w:rPr>
              <w:t>N/A</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52853D29" w14:textId="77777777">
            <w:pPr>
              <w:widowControl w:val="0"/>
              <w:rPr>
                <w:rFonts w:ascii="Arial" w:eastAsia="Arial" w:hAnsi="Arial" w:cs="Arial"/>
                <w:sz w:val="24"/>
                <w:szCs w:val="24"/>
              </w:rPr>
            </w:pPr>
            <w:r>
              <w:rPr>
                <w:rFonts w:ascii="Arial" w:eastAsia="Arial" w:hAnsi="Arial" w:cs="Arial"/>
                <w:sz w:val="24"/>
                <w:szCs w:val="24"/>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5C882D34" w14:textId="77777777">
            <w:pPr>
              <w:widowControl w:val="0"/>
              <w:rPr>
                <w:rFonts w:ascii="Arial" w:eastAsia="Arial" w:hAnsi="Arial" w:cs="Arial"/>
                <w:sz w:val="24"/>
                <w:szCs w:val="24"/>
              </w:rPr>
            </w:pPr>
            <w:r>
              <w:rPr>
                <w:rFonts w:ascii="Arial" w:eastAsia="Arial" w:hAnsi="Arial" w:cs="Arial"/>
                <w:sz w:val="24"/>
                <w:szCs w:val="24"/>
              </w:rPr>
              <w:t>N/A</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6F3AFF86" w14:textId="77777777">
            <w:pPr>
              <w:widowControl w:val="0"/>
              <w:rPr>
                <w:rFonts w:ascii="Arial" w:eastAsia="Arial" w:hAnsi="Arial" w:cs="Arial"/>
                <w:sz w:val="24"/>
                <w:szCs w:val="24"/>
              </w:rPr>
            </w:pPr>
            <w:r>
              <w:rPr>
                <w:rFonts w:ascii="Arial" w:eastAsia="Arial" w:hAnsi="Arial" w:cs="Arial"/>
                <w:sz w:val="24"/>
                <w:szCs w:val="24"/>
              </w:rPr>
              <w:t>N/A</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4569BD80" w14:textId="77777777">
            <w:pPr>
              <w:widowControl w:val="0"/>
              <w:rPr>
                <w:rFonts w:ascii="Arial" w:eastAsia="Arial" w:hAnsi="Arial" w:cs="Arial"/>
                <w:sz w:val="24"/>
                <w:szCs w:val="24"/>
              </w:rPr>
            </w:pPr>
            <w:r>
              <w:rPr>
                <w:rFonts w:ascii="Arial" w:eastAsia="Arial" w:hAnsi="Arial" w:cs="Arial"/>
                <w:sz w:val="24"/>
                <w:szCs w:val="24"/>
              </w:rPr>
              <w:t>$64,898</w:t>
            </w:r>
          </w:p>
        </w:tc>
      </w:tr>
    </w:tbl>
    <w:p w:rsidR="00FB61B9" w14:paraId="4CDC8CDC" w14:textId="77777777">
      <w:pPr>
        <w:widowControl w:val="0"/>
        <w:rPr>
          <w:rFonts w:ascii="Arial" w:eastAsia="Arial" w:hAnsi="Arial" w:cs="Arial"/>
          <w:sz w:val="24"/>
          <w:szCs w:val="24"/>
        </w:rPr>
      </w:pPr>
    </w:p>
    <w:p w:rsidR="00FB61B9" w14:paraId="4414B601" w14:textId="77777777">
      <w:pPr>
        <w:widowControl w:val="0"/>
        <w:rPr>
          <w:rFonts w:ascii="Arial" w:eastAsia="Arial" w:hAnsi="Arial" w:cs="Arial"/>
          <w:sz w:val="24"/>
          <w:szCs w:val="24"/>
        </w:rPr>
      </w:pPr>
      <w:r>
        <w:rPr>
          <w:rFonts w:ascii="Arial" w:eastAsia="Arial" w:hAnsi="Arial" w:cs="Arial"/>
          <w:sz w:val="24"/>
          <w:szCs w:val="24"/>
        </w:rPr>
        <w:t xml:space="preserve">Burden per Response: </w:t>
      </w:r>
    </w:p>
    <w:tbl>
      <w:tblPr>
        <w:tblStyle w:val="a0"/>
        <w:tblW w:w="10080" w:type="dxa"/>
        <w:tblBorders>
          <w:top w:val="single" w:sz="6" w:space="0" w:color="000000"/>
          <w:left w:val="single" w:sz="6" w:space="0" w:color="000000"/>
          <w:bottom w:val="single" w:sz="6" w:space="0" w:color="000000"/>
          <w:right w:val="single" w:sz="6" w:space="0" w:color="000000"/>
        </w:tblBorders>
        <w:tblLayout w:type="fixed"/>
        <w:tblLook w:val="0400"/>
      </w:tblPr>
      <w:tblGrid>
        <w:gridCol w:w="1348"/>
        <w:gridCol w:w="4366"/>
        <w:gridCol w:w="4366"/>
      </w:tblGrid>
      <w:tr w14:paraId="4D96C63D" w14:textId="77777777">
        <w:tblPrEx>
          <w:tblW w:w="10080" w:type="dxa"/>
          <w:tblBorders>
            <w:top w:val="single" w:sz="6" w:space="0" w:color="000000"/>
            <w:left w:val="single" w:sz="6" w:space="0" w:color="000000"/>
            <w:bottom w:val="single" w:sz="6" w:space="0" w:color="000000"/>
            <w:right w:val="single" w:sz="6" w:space="0" w:color="000000"/>
          </w:tblBorders>
          <w:tblLayout w:type="fixed"/>
          <w:tblLook w:val="0400"/>
        </w:tblPrEx>
        <w:trPr>
          <w:trHeight w:val="510"/>
        </w:trPr>
        <w:tc>
          <w:tcPr>
            <w:tcW w:w="1348"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69971549" w14:textId="77777777">
            <w:pPr>
              <w:widowControl w:val="0"/>
              <w:jc w:val="center"/>
              <w:rPr>
                <w:rFonts w:ascii="Arial" w:eastAsia="Arial" w:hAnsi="Arial" w:cs="Arial"/>
                <w:b/>
                <w:sz w:val="24"/>
                <w:szCs w:val="24"/>
              </w:rPr>
            </w:pPr>
            <w:r>
              <w:rPr>
                <w:rFonts w:ascii="Arial" w:eastAsia="Arial" w:hAnsi="Arial" w:cs="Arial"/>
                <w:b/>
                <w:sz w:val="24"/>
                <w:szCs w:val="24"/>
              </w:rPr>
              <w:t xml:space="preserve">  </w:t>
            </w:r>
          </w:p>
        </w:tc>
        <w:tc>
          <w:tcPr>
            <w:tcW w:w="4366"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641871F3" w14:textId="77777777">
            <w:pPr>
              <w:widowControl w:val="0"/>
              <w:jc w:val="center"/>
              <w:rPr>
                <w:rFonts w:ascii="Arial" w:eastAsia="Arial" w:hAnsi="Arial" w:cs="Arial"/>
                <w:b/>
                <w:sz w:val="24"/>
                <w:szCs w:val="24"/>
              </w:rPr>
            </w:pPr>
            <w:r>
              <w:rPr>
                <w:rFonts w:ascii="Arial" w:eastAsia="Arial" w:hAnsi="Arial" w:cs="Arial"/>
                <w:b/>
                <w:sz w:val="24"/>
                <w:szCs w:val="24"/>
              </w:rPr>
              <w:t xml:space="preserve">Time Per Response (Hours)  </w:t>
            </w:r>
          </w:p>
        </w:tc>
        <w:tc>
          <w:tcPr>
            <w:tcW w:w="4366"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18D86EB7" w14:textId="77777777">
            <w:pPr>
              <w:widowControl w:val="0"/>
              <w:jc w:val="center"/>
              <w:rPr>
                <w:rFonts w:ascii="Arial" w:eastAsia="Arial" w:hAnsi="Arial" w:cs="Arial"/>
                <w:b/>
                <w:sz w:val="24"/>
                <w:szCs w:val="24"/>
              </w:rPr>
            </w:pPr>
            <w:r>
              <w:rPr>
                <w:rFonts w:ascii="Arial" w:eastAsia="Arial" w:hAnsi="Arial" w:cs="Arial"/>
                <w:b/>
                <w:sz w:val="24"/>
                <w:szCs w:val="24"/>
              </w:rPr>
              <w:t xml:space="preserve">Cost Per Response </w:t>
            </w:r>
          </w:p>
          <w:p w:rsidR="00FB61B9" w14:paraId="421C2A7D" w14:textId="77777777">
            <w:pPr>
              <w:widowControl w:val="0"/>
              <w:jc w:val="center"/>
              <w:rPr>
                <w:rFonts w:ascii="Arial" w:eastAsia="Arial" w:hAnsi="Arial" w:cs="Arial"/>
                <w:b/>
                <w:sz w:val="24"/>
                <w:szCs w:val="24"/>
              </w:rPr>
            </w:pPr>
            <w:r>
              <w:rPr>
                <w:rFonts w:ascii="Arial" w:eastAsia="Arial" w:hAnsi="Arial" w:cs="Arial"/>
                <w:b/>
                <w:sz w:val="24"/>
                <w:szCs w:val="24"/>
              </w:rPr>
              <w:t xml:space="preserve">(Dollars) </w:t>
            </w:r>
          </w:p>
        </w:tc>
      </w:tr>
      <w:tr w14:paraId="5075D12F" w14:textId="77777777">
        <w:tblPrEx>
          <w:tblW w:w="10080"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C400148" w14:textId="77777777">
            <w:pPr>
              <w:widowControl w:val="0"/>
              <w:rPr>
                <w:rFonts w:ascii="Arial" w:eastAsia="Arial" w:hAnsi="Arial" w:cs="Arial"/>
                <w:sz w:val="24"/>
                <w:szCs w:val="24"/>
              </w:rPr>
            </w:pPr>
            <w:r>
              <w:rPr>
                <w:rFonts w:ascii="Arial" w:eastAsia="Arial" w:hAnsi="Arial" w:cs="Arial"/>
                <w:sz w:val="24"/>
                <w:szCs w:val="24"/>
              </w:rPr>
              <w:t xml:space="preserve">Reporting </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E7DE8F2" w14:textId="77777777">
            <w:pPr>
              <w:widowControl w:val="0"/>
              <w:jc w:val="center"/>
              <w:rPr>
                <w:rFonts w:ascii="Arial" w:eastAsia="Arial" w:hAnsi="Arial" w:cs="Arial"/>
                <w:sz w:val="24"/>
                <w:szCs w:val="24"/>
              </w:rPr>
            </w:pPr>
            <w:r>
              <w:rPr>
                <w:rFonts w:ascii="Arial" w:eastAsia="Arial" w:hAnsi="Arial" w:cs="Arial"/>
                <w:sz w:val="24"/>
                <w:szCs w:val="24"/>
              </w:rPr>
              <w:t>0.5</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F5E51D3" w14:textId="77777777">
            <w:pPr>
              <w:widowControl w:val="0"/>
              <w:jc w:val="center"/>
              <w:rPr>
                <w:rFonts w:ascii="Arial" w:eastAsia="Arial" w:hAnsi="Arial" w:cs="Arial"/>
                <w:sz w:val="24"/>
                <w:szCs w:val="24"/>
              </w:rPr>
            </w:pPr>
            <w:r>
              <w:rPr>
                <w:rFonts w:ascii="Arial" w:eastAsia="Arial" w:hAnsi="Arial" w:cs="Arial"/>
                <w:sz w:val="24"/>
                <w:szCs w:val="24"/>
              </w:rPr>
              <w:t>$33</w:t>
            </w:r>
          </w:p>
        </w:tc>
      </w:tr>
      <w:tr w14:paraId="7A665FA4" w14:textId="77777777">
        <w:tblPrEx>
          <w:tblW w:w="10080"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52E6E77E" w14:textId="77777777">
            <w:pPr>
              <w:widowControl w:val="0"/>
              <w:rPr>
                <w:rFonts w:ascii="Arial" w:eastAsia="Arial" w:hAnsi="Arial" w:cs="Arial"/>
                <w:sz w:val="24"/>
                <w:szCs w:val="24"/>
              </w:rPr>
            </w:pPr>
            <w:r>
              <w:rPr>
                <w:rFonts w:ascii="Arial" w:eastAsia="Arial" w:hAnsi="Arial" w:cs="Arial"/>
                <w:sz w:val="24"/>
                <w:szCs w:val="24"/>
              </w:rPr>
              <w:t xml:space="preserve">Record Keeping </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7F4BAA6E" w14:textId="77777777">
            <w:pPr>
              <w:widowControl w:val="0"/>
              <w:jc w:val="center"/>
              <w:rPr>
                <w:rFonts w:ascii="Arial" w:eastAsia="Arial" w:hAnsi="Arial" w:cs="Arial"/>
                <w:sz w:val="24"/>
                <w:szCs w:val="24"/>
              </w:rPr>
            </w:pPr>
            <w:r>
              <w:rPr>
                <w:rFonts w:ascii="Arial" w:eastAsia="Arial" w:hAnsi="Arial" w:cs="Arial"/>
                <w:sz w:val="24"/>
                <w:szCs w:val="24"/>
              </w:rPr>
              <w:t>N/A</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14D6401D" w14:textId="77777777">
            <w:pPr>
              <w:widowControl w:val="0"/>
              <w:jc w:val="center"/>
              <w:rPr>
                <w:rFonts w:ascii="Arial" w:eastAsia="Arial" w:hAnsi="Arial" w:cs="Arial"/>
                <w:sz w:val="24"/>
                <w:szCs w:val="24"/>
              </w:rPr>
            </w:pPr>
            <w:r>
              <w:rPr>
                <w:rFonts w:ascii="Arial" w:eastAsia="Arial" w:hAnsi="Arial" w:cs="Arial"/>
                <w:sz w:val="24"/>
                <w:szCs w:val="24"/>
              </w:rPr>
              <w:t>N/A</w:t>
            </w:r>
          </w:p>
        </w:tc>
      </w:tr>
      <w:tr w14:paraId="48E9FCD3" w14:textId="77777777">
        <w:tblPrEx>
          <w:tblW w:w="10080"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446FFEE1" w14:textId="77777777">
            <w:pPr>
              <w:widowControl w:val="0"/>
              <w:rPr>
                <w:rFonts w:ascii="Arial" w:eastAsia="Arial" w:hAnsi="Arial" w:cs="Arial"/>
                <w:sz w:val="24"/>
                <w:szCs w:val="24"/>
              </w:rPr>
            </w:pPr>
            <w:r>
              <w:rPr>
                <w:rFonts w:ascii="Arial" w:eastAsia="Arial" w:hAnsi="Arial" w:cs="Arial"/>
                <w:sz w:val="24"/>
                <w:szCs w:val="24"/>
              </w:rPr>
              <w:t xml:space="preserve">Third Party Disclosure </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1791D196" w14:textId="77777777">
            <w:pPr>
              <w:widowControl w:val="0"/>
              <w:jc w:val="center"/>
              <w:rPr>
                <w:rFonts w:ascii="Arial" w:eastAsia="Arial" w:hAnsi="Arial" w:cs="Arial"/>
                <w:sz w:val="24"/>
                <w:szCs w:val="24"/>
              </w:rPr>
            </w:pPr>
            <w:r>
              <w:rPr>
                <w:rFonts w:ascii="Arial" w:eastAsia="Arial" w:hAnsi="Arial" w:cs="Arial"/>
                <w:sz w:val="24"/>
                <w:szCs w:val="24"/>
              </w:rPr>
              <w:t>N/A</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502224C8" w14:textId="77777777">
            <w:pPr>
              <w:widowControl w:val="0"/>
              <w:jc w:val="center"/>
              <w:rPr>
                <w:rFonts w:ascii="Arial" w:eastAsia="Arial" w:hAnsi="Arial" w:cs="Arial"/>
                <w:sz w:val="24"/>
                <w:szCs w:val="24"/>
              </w:rPr>
            </w:pPr>
            <w:r>
              <w:rPr>
                <w:rFonts w:ascii="Arial" w:eastAsia="Arial" w:hAnsi="Arial" w:cs="Arial"/>
                <w:sz w:val="24"/>
                <w:szCs w:val="24"/>
              </w:rPr>
              <w:t>N/A</w:t>
            </w:r>
          </w:p>
        </w:tc>
      </w:tr>
      <w:tr w14:paraId="71A14957" w14:textId="77777777">
        <w:tblPrEx>
          <w:tblW w:w="10080"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53950145" w14:textId="77777777">
            <w:pPr>
              <w:widowControl w:val="0"/>
              <w:rPr>
                <w:rFonts w:ascii="Arial" w:eastAsia="Arial" w:hAnsi="Arial" w:cs="Arial"/>
                <w:sz w:val="24"/>
                <w:szCs w:val="24"/>
              </w:rPr>
            </w:pPr>
            <w:r>
              <w:rPr>
                <w:rFonts w:ascii="Arial" w:eastAsia="Arial" w:hAnsi="Arial" w:cs="Arial"/>
                <w:sz w:val="24"/>
                <w:szCs w:val="24"/>
              </w:rPr>
              <w:t xml:space="preserve">Total </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165E8D02" w14:textId="77777777">
            <w:pPr>
              <w:widowControl w:val="0"/>
              <w:rPr>
                <w:rFonts w:ascii="Arial" w:eastAsia="Arial" w:hAnsi="Arial" w:cs="Arial"/>
                <w:sz w:val="24"/>
                <w:szCs w:val="24"/>
              </w:rPr>
            </w:pPr>
            <w:r>
              <w:rPr>
                <w:rFonts w:ascii="Arial" w:eastAsia="Arial" w:hAnsi="Arial" w:cs="Arial"/>
                <w:sz w:val="24"/>
                <w:szCs w:val="24"/>
              </w:rPr>
              <w:t xml:space="preserve">                              0.5</w:t>
            </w:r>
          </w:p>
        </w:tc>
        <w:tc>
          <w:tcPr>
            <w:tcW w:w="4366"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44545081" w14:textId="77777777">
            <w:pPr>
              <w:widowControl w:val="0"/>
              <w:jc w:val="center"/>
              <w:rPr>
                <w:rFonts w:ascii="Arial" w:eastAsia="Arial" w:hAnsi="Arial" w:cs="Arial"/>
                <w:sz w:val="24"/>
                <w:szCs w:val="24"/>
              </w:rPr>
            </w:pPr>
            <w:r>
              <w:rPr>
                <w:rFonts w:ascii="Arial" w:eastAsia="Arial" w:hAnsi="Arial" w:cs="Arial"/>
                <w:sz w:val="24"/>
                <w:szCs w:val="24"/>
              </w:rPr>
              <w:t>$33</w:t>
            </w:r>
          </w:p>
        </w:tc>
      </w:tr>
    </w:tbl>
    <w:p w:rsidR="00FB61B9" w14:paraId="53877EB3" w14:textId="77777777">
      <w:pPr>
        <w:widowControl w:val="0"/>
        <w:rPr>
          <w:rFonts w:ascii="Arial" w:eastAsia="Arial" w:hAnsi="Arial" w:cs="Arial"/>
          <w:sz w:val="24"/>
          <w:szCs w:val="24"/>
        </w:rPr>
      </w:pPr>
    </w:p>
    <w:p w:rsidR="00FB61B9" w14:paraId="101468AE" w14:textId="77777777">
      <w:pPr>
        <w:widowControl w:val="0"/>
        <w:rPr>
          <w:rFonts w:ascii="Arial" w:eastAsia="Arial" w:hAnsi="Arial" w:cs="Arial"/>
          <w:sz w:val="24"/>
          <w:szCs w:val="24"/>
        </w:rPr>
      </w:pPr>
      <w:r>
        <w:rPr>
          <w:rFonts w:ascii="Arial" w:eastAsia="Arial" w:hAnsi="Arial" w:cs="Arial"/>
          <w:sz w:val="24"/>
          <w:szCs w:val="24"/>
        </w:rPr>
        <w:t xml:space="preserve">Annual Burden: </w:t>
      </w:r>
    </w:p>
    <w:tbl>
      <w:tblPr>
        <w:tblStyle w:val="a1"/>
        <w:tblW w:w="10080" w:type="dxa"/>
        <w:tblBorders>
          <w:top w:val="single" w:sz="6" w:space="0" w:color="000000"/>
          <w:left w:val="single" w:sz="6" w:space="0" w:color="000000"/>
          <w:bottom w:val="single" w:sz="6" w:space="0" w:color="000000"/>
          <w:right w:val="single" w:sz="6" w:space="0" w:color="000000"/>
        </w:tblBorders>
        <w:tblLayout w:type="fixed"/>
        <w:tblLook w:val="0400"/>
      </w:tblPr>
      <w:tblGrid>
        <w:gridCol w:w="1666"/>
        <w:gridCol w:w="4207"/>
        <w:gridCol w:w="4207"/>
      </w:tblGrid>
      <w:tr w14:paraId="2D7C4A39" w14:textId="77777777">
        <w:tblPrEx>
          <w:tblW w:w="10080" w:type="dxa"/>
          <w:tblBorders>
            <w:top w:val="single" w:sz="6" w:space="0" w:color="000000"/>
            <w:left w:val="single" w:sz="6" w:space="0" w:color="000000"/>
            <w:bottom w:val="single" w:sz="6" w:space="0" w:color="000000"/>
            <w:right w:val="single" w:sz="6" w:space="0" w:color="000000"/>
          </w:tblBorders>
          <w:tblLayout w:type="fixed"/>
          <w:tblLook w:val="0400"/>
        </w:tblPrEx>
        <w:tc>
          <w:tcPr>
            <w:tcW w:w="1665"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7A0091E8" w14:textId="77777777">
            <w:pPr>
              <w:widowControl w:val="0"/>
              <w:jc w:val="center"/>
              <w:rPr>
                <w:rFonts w:ascii="Arial" w:eastAsia="Arial" w:hAnsi="Arial" w:cs="Arial"/>
                <w:b/>
                <w:sz w:val="24"/>
                <w:szCs w:val="24"/>
              </w:rPr>
            </w:pPr>
            <w:r>
              <w:rPr>
                <w:rFonts w:ascii="Arial" w:eastAsia="Arial" w:hAnsi="Arial" w:cs="Arial"/>
                <w:b/>
                <w:sz w:val="24"/>
                <w:szCs w:val="24"/>
              </w:rPr>
              <w:t xml:space="preserve">  </w:t>
            </w:r>
          </w:p>
        </w:tc>
        <w:tc>
          <w:tcPr>
            <w:tcW w:w="4207"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02EA620D" w14:textId="77777777">
            <w:pPr>
              <w:widowControl w:val="0"/>
              <w:jc w:val="center"/>
              <w:rPr>
                <w:rFonts w:ascii="Arial" w:eastAsia="Arial" w:hAnsi="Arial" w:cs="Arial"/>
                <w:b/>
                <w:sz w:val="24"/>
                <w:szCs w:val="24"/>
              </w:rPr>
            </w:pPr>
            <w:r>
              <w:rPr>
                <w:rFonts w:ascii="Arial" w:eastAsia="Arial" w:hAnsi="Arial" w:cs="Arial"/>
                <w:b/>
                <w:sz w:val="24"/>
                <w:szCs w:val="24"/>
              </w:rPr>
              <w:t xml:space="preserve">Annual Time Burden (Hours) </w:t>
            </w:r>
          </w:p>
        </w:tc>
        <w:tc>
          <w:tcPr>
            <w:tcW w:w="4207" w:type="dxa"/>
            <w:tcBorders>
              <w:top w:val="single" w:sz="6" w:space="0" w:color="000000"/>
              <w:left w:val="single" w:sz="6" w:space="0" w:color="000000"/>
              <w:bottom w:val="single" w:sz="6" w:space="0" w:color="000000"/>
              <w:right w:val="single" w:sz="6" w:space="0" w:color="000000"/>
            </w:tcBorders>
            <w:shd w:val="clear" w:color="auto" w:fill="3D85C6"/>
            <w:vAlign w:val="center"/>
          </w:tcPr>
          <w:p w:rsidR="00FB61B9" w14:paraId="74C04E6F" w14:textId="77777777">
            <w:pPr>
              <w:widowControl w:val="0"/>
              <w:jc w:val="center"/>
              <w:rPr>
                <w:rFonts w:ascii="Arial" w:eastAsia="Arial" w:hAnsi="Arial" w:cs="Arial"/>
                <w:b/>
                <w:sz w:val="24"/>
                <w:szCs w:val="24"/>
              </w:rPr>
            </w:pPr>
            <w:r>
              <w:rPr>
                <w:rFonts w:ascii="Arial" w:eastAsia="Arial" w:hAnsi="Arial" w:cs="Arial"/>
                <w:b/>
                <w:sz w:val="24"/>
                <w:szCs w:val="24"/>
              </w:rPr>
              <w:t>Annual Cost Burden</w:t>
            </w:r>
          </w:p>
          <w:p w:rsidR="00FB61B9" w14:paraId="108DDDA2" w14:textId="77777777">
            <w:pPr>
              <w:widowControl w:val="0"/>
              <w:jc w:val="center"/>
              <w:rPr>
                <w:rFonts w:ascii="Arial" w:eastAsia="Arial" w:hAnsi="Arial" w:cs="Arial"/>
                <w:b/>
                <w:sz w:val="24"/>
                <w:szCs w:val="24"/>
              </w:rPr>
            </w:pPr>
            <w:r>
              <w:rPr>
                <w:rFonts w:ascii="Arial" w:eastAsia="Arial" w:hAnsi="Arial" w:cs="Arial"/>
                <w:b/>
                <w:sz w:val="24"/>
                <w:szCs w:val="24"/>
              </w:rPr>
              <w:t xml:space="preserve">(Dollars) </w:t>
            </w:r>
          </w:p>
        </w:tc>
      </w:tr>
      <w:tr w14:paraId="182B783A" w14:textId="77777777">
        <w:tblPrEx>
          <w:tblW w:w="10080" w:type="dxa"/>
          <w:tblLayout w:type="fixed"/>
          <w:tblLook w:val="0400"/>
        </w:tblPrEx>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1438334B" w14:textId="77777777">
            <w:pPr>
              <w:widowControl w:val="0"/>
              <w:rPr>
                <w:rFonts w:ascii="Arial" w:eastAsia="Arial" w:hAnsi="Arial" w:cs="Arial"/>
                <w:sz w:val="24"/>
                <w:szCs w:val="24"/>
              </w:rPr>
            </w:pPr>
            <w:r>
              <w:rPr>
                <w:rFonts w:ascii="Arial" w:eastAsia="Arial" w:hAnsi="Arial" w:cs="Arial"/>
                <w:sz w:val="24"/>
                <w:szCs w:val="24"/>
              </w:rPr>
              <w:t xml:space="preserve">Reporting </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4B147BC5" w14:textId="77777777">
            <w:pPr>
              <w:widowControl w:val="0"/>
              <w:jc w:val="center"/>
              <w:rPr>
                <w:rFonts w:ascii="Arial" w:eastAsia="Arial" w:hAnsi="Arial" w:cs="Arial"/>
                <w:sz w:val="24"/>
                <w:szCs w:val="24"/>
              </w:rPr>
            </w:pPr>
            <w:r>
              <w:rPr>
                <w:rFonts w:ascii="Arial" w:eastAsia="Arial" w:hAnsi="Arial" w:cs="Arial"/>
                <w:sz w:val="24"/>
                <w:szCs w:val="24"/>
              </w:rPr>
              <w:t>1</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6BDCFEE5" w14:textId="77777777">
            <w:pPr>
              <w:widowControl w:val="0"/>
              <w:jc w:val="center"/>
              <w:rPr>
                <w:rFonts w:ascii="Arial" w:eastAsia="Arial" w:hAnsi="Arial" w:cs="Arial"/>
                <w:sz w:val="24"/>
                <w:szCs w:val="24"/>
                <w:highlight w:val="yellow"/>
              </w:rPr>
            </w:pPr>
            <w:r>
              <w:rPr>
                <w:rFonts w:ascii="Arial" w:eastAsia="Arial" w:hAnsi="Arial" w:cs="Arial"/>
                <w:sz w:val="24"/>
                <w:szCs w:val="24"/>
              </w:rPr>
              <w:t>$64.34</w:t>
            </w:r>
          </w:p>
        </w:tc>
      </w:tr>
      <w:tr w14:paraId="3AE2E1DB" w14:textId="77777777">
        <w:tblPrEx>
          <w:tblW w:w="10080" w:type="dxa"/>
          <w:tblLayout w:type="fixed"/>
          <w:tblLook w:val="0400"/>
        </w:tblPrEx>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56B0053D" w14:textId="77777777">
            <w:pPr>
              <w:widowControl w:val="0"/>
              <w:rPr>
                <w:rFonts w:ascii="Arial" w:eastAsia="Arial" w:hAnsi="Arial" w:cs="Arial"/>
                <w:sz w:val="24"/>
                <w:szCs w:val="24"/>
              </w:rPr>
            </w:pPr>
            <w:r>
              <w:rPr>
                <w:rFonts w:ascii="Arial" w:eastAsia="Arial" w:hAnsi="Arial" w:cs="Arial"/>
                <w:sz w:val="24"/>
                <w:szCs w:val="24"/>
              </w:rPr>
              <w:t xml:space="preserve">Record Keeping </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39C5C988" w14:textId="77777777">
            <w:pPr>
              <w:widowControl w:val="0"/>
              <w:jc w:val="center"/>
              <w:rPr>
                <w:rFonts w:ascii="Arial" w:eastAsia="Arial" w:hAnsi="Arial" w:cs="Arial"/>
                <w:sz w:val="24"/>
                <w:szCs w:val="24"/>
              </w:rPr>
            </w:pPr>
            <w:r>
              <w:rPr>
                <w:rFonts w:ascii="Arial" w:eastAsia="Arial" w:hAnsi="Arial" w:cs="Arial"/>
                <w:sz w:val="24"/>
                <w:szCs w:val="24"/>
              </w:rPr>
              <w:t>N/A</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73D12E1C" w14:textId="77777777">
            <w:pPr>
              <w:widowControl w:val="0"/>
              <w:jc w:val="center"/>
              <w:rPr>
                <w:rFonts w:ascii="Arial" w:eastAsia="Arial" w:hAnsi="Arial" w:cs="Arial"/>
                <w:sz w:val="24"/>
                <w:szCs w:val="24"/>
              </w:rPr>
            </w:pPr>
            <w:r>
              <w:rPr>
                <w:rFonts w:ascii="Arial" w:eastAsia="Arial" w:hAnsi="Arial" w:cs="Arial"/>
                <w:sz w:val="24"/>
                <w:szCs w:val="24"/>
              </w:rPr>
              <w:t>N/A </w:t>
            </w:r>
          </w:p>
        </w:tc>
      </w:tr>
      <w:tr w14:paraId="7A6973F8" w14:textId="77777777">
        <w:tblPrEx>
          <w:tblW w:w="10080" w:type="dxa"/>
          <w:tblLayout w:type="fixed"/>
          <w:tblLook w:val="0400"/>
        </w:tblPrEx>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CFF67CD" w14:textId="77777777">
            <w:pPr>
              <w:widowControl w:val="0"/>
              <w:rPr>
                <w:rFonts w:ascii="Arial" w:eastAsia="Arial" w:hAnsi="Arial" w:cs="Arial"/>
                <w:sz w:val="24"/>
                <w:szCs w:val="24"/>
              </w:rPr>
            </w:pPr>
            <w:r>
              <w:rPr>
                <w:rFonts w:ascii="Arial" w:eastAsia="Arial" w:hAnsi="Arial" w:cs="Arial"/>
                <w:sz w:val="24"/>
                <w:szCs w:val="24"/>
              </w:rPr>
              <w:t xml:space="preserve">Third Party Disclosure </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5D3DE3C2" w14:textId="77777777">
            <w:pPr>
              <w:widowControl w:val="0"/>
              <w:jc w:val="center"/>
              <w:rPr>
                <w:rFonts w:ascii="Arial" w:eastAsia="Arial" w:hAnsi="Arial" w:cs="Arial"/>
                <w:sz w:val="24"/>
                <w:szCs w:val="24"/>
              </w:rPr>
            </w:pPr>
            <w:r>
              <w:rPr>
                <w:rFonts w:ascii="Arial" w:eastAsia="Arial" w:hAnsi="Arial" w:cs="Arial"/>
                <w:sz w:val="24"/>
                <w:szCs w:val="24"/>
              </w:rPr>
              <w:t>N/A</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A5783D6" w14:textId="77777777">
            <w:pPr>
              <w:widowControl w:val="0"/>
              <w:jc w:val="center"/>
              <w:rPr>
                <w:rFonts w:ascii="Arial" w:eastAsia="Arial" w:hAnsi="Arial" w:cs="Arial"/>
                <w:sz w:val="24"/>
                <w:szCs w:val="24"/>
              </w:rPr>
            </w:pPr>
            <w:r>
              <w:rPr>
                <w:rFonts w:ascii="Arial" w:eastAsia="Arial" w:hAnsi="Arial" w:cs="Arial"/>
                <w:sz w:val="24"/>
                <w:szCs w:val="24"/>
              </w:rPr>
              <w:t>N/A </w:t>
            </w:r>
          </w:p>
        </w:tc>
      </w:tr>
      <w:tr w14:paraId="7AE43A47" w14:textId="77777777">
        <w:tblPrEx>
          <w:tblW w:w="10080" w:type="dxa"/>
          <w:tblLayout w:type="fixed"/>
          <w:tblLook w:val="0400"/>
        </w:tblPrEx>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3A92D905" w14:textId="77777777">
            <w:pPr>
              <w:widowControl w:val="0"/>
              <w:rPr>
                <w:rFonts w:ascii="Arial" w:eastAsia="Arial" w:hAnsi="Arial" w:cs="Arial"/>
                <w:sz w:val="24"/>
                <w:szCs w:val="24"/>
              </w:rPr>
            </w:pPr>
            <w:r>
              <w:rPr>
                <w:rFonts w:ascii="Arial" w:eastAsia="Arial" w:hAnsi="Arial" w:cs="Arial"/>
                <w:sz w:val="24"/>
                <w:szCs w:val="24"/>
              </w:rPr>
              <w:t xml:space="preserve">Total </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2E9C6C42" w14:textId="77777777">
            <w:pPr>
              <w:widowControl w:val="0"/>
              <w:jc w:val="center"/>
              <w:rPr>
                <w:rFonts w:ascii="Arial" w:eastAsia="Arial" w:hAnsi="Arial" w:cs="Arial"/>
                <w:sz w:val="24"/>
                <w:szCs w:val="24"/>
              </w:rPr>
            </w:pPr>
            <w:r>
              <w:rPr>
                <w:rFonts w:ascii="Arial" w:eastAsia="Arial" w:hAnsi="Arial" w:cs="Arial"/>
                <w:sz w:val="24"/>
                <w:szCs w:val="24"/>
              </w:rPr>
              <w:t>844.5</w:t>
            </w:r>
          </w:p>
        </w:tc>
        <w:tc>
          <w:tcPr>
            <w:tcW w:w="42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B61B9" w14:paraId="41F1F8D7" w14:textId="77777777">
            <w:pPr>
              <w:widowControl w:val="0"/>
              <w:jc w:val="center"/>
              <w:rPr>
                <w:rFonts w:ascii="Arial" w:eastAsia="Arial" w:hAnsi="Arial" w:cs="Arial"/>
                <w:sz w:val="24"/>
                <w:szCs w:val="24"/>
                <w:highlight w:val="yellow"/>
              </w:rPr>
            </w:pPr>
            <w:r>
              <w:rPr>
                <w:rFonts w:ascii="Arial" w:eastAsia="Arial" w:hAnsi="Arial" w:cs="Arial"/>
                <w:sz w:val="24"/>
                <w:szCs w:val="24"/>
              </w:rPr>
              <w:t xml:space="preserve">  $54,335</w:t>
            </w:r>
          </w:p>
        </w:tc>
      </w:tr>
    </w:tbl>
    <w:p w:rsidR="00FB61B9" w14:paraId="209C9E65" w14:textId="77777777">
      <w:pPr>
        <w:widowControl w:val="0"/>
        <w:rPr>
          <w:rFonts w:ascii="Arial" w:eastAsia="Arial" w:hAnsi="Arial" w:cs="Arial"/>
          <w:sz w:val="24"/>
          <w:szCs w:val="24"/>
        </w:rPr>
      </w:pPr>
    </w:p>
    <w:p w:rsidR="00FB61B9" w14:paraId="3375520C" w14:textId="77777777">
      <w:pPr>
        <w:rPr>
          <w:rFonts w:ascii="Arial" w:eastAsia="Arial" w:hAnsi="Arial" w:cs="Arial"/>
          <w:b/>
          <w:sz w:val="24"/>
          <w:szCs w:val="24"/>
        </w:rPr>
      </w:pPr>
      <w:r>
        <w:rPr>
          <w:rFonts w:ascii="Arial" w:eastAsia="Arial" w:hAnsi="Arial" w:cs="Arial"/>
          <w:b/>
          <w:sz w:val="24"/>
          <w:szCs w:val="24"/>
        </w:rPr>
        <w:t xml:space="preserve">13. Estimated Non-Recurring Costs: </w:t>
      </w:r>
    </w:p>
    <w:p w:rsidR="00FB61B9" w14:paraId="36D96988" w14:textId="77777777">
      <w:pPr>
        <w:rPr>
          <w:rFonts w:ascii="Arial" w:eastAsia="Arial" w:hAnsi="Arial" w:cs="Arial"/>
          <w:sz w:val="24"/>
          <w:szCs w:val="24"/>
        </w:rPr>
      </w:pPr>
    </w:p>
    <w:p w:rsidR="00FB61B9" w14:paraId="4DB251B5" w14:textId="77777777">
      <w:pPr>
        <w:rPr>
          <w:rFonts w:ascii="Arial" w:eastAsia="Arial" w:hAnsi="Arial" w:cs="Arial"/>
          <w:sz w:val="24"/>
          <w:szCs w:val="24"/>
        </w:rPr>
      </w:pPr>
      <w:r>
        <w:rPr>
          <w:rFonts w:ascii="Arial" w:eastAsia="Arial" w:hAnsi="Arial" w:cs="Arial"/>
          <w:sz w:val="24"/>
          <w:szCs w:val="24"/>
        </w:rPr>
        <w:t xml:space="preserve">Not applicable to this Information Collection </w:t>
      </w:r>
    </w:p>
    <w:p w:rsidR="00FB61B9" w14:paraId="4CF57BA6" w14:textId="77777777">
      <w:pPr>
        <w:rPr>
          <w:rFonts w:ascii="Arial" w:eastAsia="Arial" w:hAnsi="Arial" w:cs="Arial"/>
          <w:sz w:val="24"/>
          <w:szCs w:val="24"/>
        </w:rPr>
      </w:pPr>
    </w:p>
    <w:p w:rsidR="00FB61B9" w14:paraId="0095628E" w14:textId="77777777">
      <w:pPr>
        <w:rPr>
          <w:rFonts w:ascii="Arial" w:eastAsia="Arial" w:hAnsi="Arial" w:cs="Arial"/>
          <w:b/>
          <w:sz w:val="24"/>
          <w:szCs w:val="24"/>
        </w:rPr>
      </w:pPr>
      <w:r>
        <w:rPr>
          <w:rFonts w:ascii="Arial" w:eastAsia="Arial" w:hAnsi="Arial" w:cs="Arial"/>
          <w:b/>
          <w:sz w:val="24"/>
          <w:szCs w:val="24"/>
        </w:rPr>
        <w:t xml:space="preserve">14.  Provide estimates of annualized costs to the Federal Government. </w:t>
      </w:r>
    </w:p>
    <w:p w:rsidR="00FB61B9" w14:paraId="7DF28D7E" w14:textId="77777777">
      <w:pPr>
        <w:rPr>
          <w:rFonts w:ascii="Arial" w:eastAsia="Arial" w:hAnsi="Arial" w:cs="Arial"/>
          <w:sz w:val="24"/>
          <w:szCs w:val="24"/>
        </w:rPr>
      </w:pPr>
    </w:p>
    <w:p w:rsidR="00FB61B9" w14:paraId="5D2B058C" w14:textId="0850AFC0">
      <w:pPr>
        <w:rPr>
          <w:rFonts w:ascii="Arial" w:eastAsia="Arial" w:hAnsi="Arial" w:cs="Arial"/>
          <w:color w:val="000000"/>
          <w:sz w:val="24"/>
          <w:szCs w:val="24"/>
        </w:rPr>
      </w:pPr>
      <w:r>
        <w:rPr>
          <w:rFonts w:ascii="Arial" w:eastAsia="Arial" w:hAnsi="Arial" w:cs="Arial"/>
          <w:sz w:val="24"/>
          <w:szCs w:val="24"/>
        </w:rPr>
        <w:t xml:space="preserve">Government burden for this information collection is estimated based on the time required to review and evaluate the reported information. </w:t>
      </w:r>
      <w:r>
        <w:rPr>
          <w:rFonts w:ascii="Arial" w:eastAsia="Arial" w:hAnsi="Arial" w:cs="Arial"/>
          <w:color w:val="000000"/>
          <w:sz w:val="24"/>
          <w:szCs w:val="24"/>
        </w:rPr>
        <w:t>Reviewing and processing each response should take approximately</w:t>
      </w:r>
      <w:r>
        <w:rPr>
          <w:rFonts w:ascii="Arial" w:eastAsia="Arial" w:hAnsi="Arial" w:cs="Arial"/>
          <w:sz w:val="24"/>
          <w:szCs w:val="24"/>
        </w:rPr>
        <w:t xml:space="preserve"> 30 minutes. </w:t>
      </w:r>
    </w:p>
    <w:p w:rsidR="00FB61B9" w14:paraId="5680AB18" w14:textId="77777777">
      <w:pPr>
        <w:rPr>
          <w:rFonts w:ascii="Arial" w:eastAsia="Arial" w:hAnsi="Arial" w:cs="Arial"/>
          <w:sz w:val="24"/>
          <w:szCs w:val="24"/>
        </w:rPr>
      </w:pPr>
    </w:p>
    <w:p w:rsidR="00FB61B9" w14:paraId="21308C64" w14:textId="77777777">
      <w:pPr>
        <w:tabs>
          <w:tab w:val="left" w:pos="1260"/>
          <w:tab w:val="right" w:pos="7740"/>
        </w:tabs>
        <w:rPr>
          <w:rFonts w:ascii="Arial" w:eastAsia="Arial" w:hAnsi="Arial" w:cs="Arial"/>
          <w:sz w:val="24"/>
          <w:szCs w:val="24"/>
        </w:rPr>
      </w:pPr>
      <w:r>
        <w:rPr>
          <w:rFonts w:ascii="Arial" w:eastAsia="Arial" w:hAnsi="Arial" w:cs="Arial"/>
          <w:sz w:val="24"/>
          <w:szCs w:val="24"/>
        </w:rPr>
        <w:t>Total annual responses</w:t>
      </w:r>
      <w:r>
        <w:rPr>
          <w:rFonts w:ascii="Arial" w:eastAsia="Arial" w:hAnsi="Arial" w:cs="Arial"/>
          <w:sz w:val="24"/>
          <w:szCs w:val="24"/>
        </w:rPr>
        <w:tab/>
        <w:t>1,689</w:t>
      </w:r>
    </w:p>
    <w:p w:rsidR="00FB61B9" w14:paraId="5E86958B" w14:textId="77777777">
      <w:pPr>
        <w:tabs>
          <w:tab w:val="left" w:pos="1260"/>
          <w:tab w:val="right" w:pos="7740"/>
        </w:tabs>
        <w:rPr>
          <w:rFonts w:ascii="Arial" w:eastAsia="Arial" w:hAnsi="Arial" w:cs="Arial"/>
          <w:sz w:val="24"/>
          <w:szCs w:val="24"/>
        </w:rPr>
      </w:pPr>
      <w:r>
        <w:rPr>
          <w:rFonts w:ascii="Arial" w:eastAsia="Arial" w:hAnsi="Arial" w:cs="Arial"/>
          <w:sz w:val="24"/>
          <w:szCs w:val="24"/>
        </w:rPr>
        <w:t>Review time per response</w:t>
      </w:r>
      <w:r>
        <w:rPr>
          <w:rFonts w:ascii="Arial" w:eastAsia="Arial" w:hAnsi="Arial" w:cs="Arial"/>
          <w:sz w:val="24"/>
          <w:szCs w:val="24"/>
        </w:rPr>
        <w:tab/>
      </w:r>
      <w:r>
        <w:rPr>
          <w:rFonts w:ascii="Arial" w:eastAsia="Arial" w:hAnsi="Arial" w:cs="Arial"/>
          <w:sz w:val="24"/>
          <w:szCs w:val="24"/>
          <w:u w:val="single"/>
        </w:rPr>
        <w:t>x     .5</w:t>
      </w:r>
    </w:p>
    <w:p w:rsidR="00FB61B9" w14:paraId="6C23DEB1" w14:textId="77777777">
      <w:pPr>
        <w:tabs>
          <w:tab w:val="left" w:pos="1260"/>
          <w:tab w:val="right" w:pos="7740"/>
        </w:tabs>
        <w:rPr>
          <w:rFonts w:ascii="Arial" w:eastAsia="Arial" w:hAnsi="Arial" w:cs="Arial"/>
          <w:sz w:val="24"/>
          <w:szCs w:val="24"/>
        </w:rPr>
      </w:pPr>
      <w:r>
        <w:rPr>
          <w:rFonts w:ascii="Arial" w:eastAsia="Arial" w:hAnsi="Arial" w:cs="Arial"/>
          <w:sz w:val="24"/>
          <w:szCs w:val="24"/>
        </w:rPr>
        <w:t>Total response burden hours</w:t>
      </w:r>
      <w:r>
        <w:rPr>
          <w:rFonts w:ascii="Arial" w:eastAsia="Arial" w:hAnsi="Arial" w:cs="Arial"/>
          <w:sz w:val="24"/>
          <w:szCs w:val="24"/>
        </w:rPr>
        <w:tab/>
        <w:t>844.5</w:t>
      </w:r>
    </w:p>
    <w:p w:rsidR="00FB61B9" w14:paraId="37232D67" w14:textId="77777777">
      <w:pPr>
        <w:tabs>
          <w:tab w:val="left" w:pos="1260"/>
          <w:tab w:val="right" w:pos="7740"/>
        </w:tabs>
        <w:rPr>
          <w:rFonts w:ascii="Arial" w:eastAsia="Arial" w:hAnsi="Arial" w:cs="Arial"/>
          <w:sz w:val="24"/>
          <w:szCs w:val="24"/>
          <w:u w:val="single"/>
        </w:rPr>
      </w:pPr>
      <w:r>
        <w:rPr>
          <w:rFonts w:ascii="Arial" w:eastAsia="Arial" w:hAnsi="Arial" w:cs="Arial"/>
          <w:sz w:val="24"/>
          <w:szCs w:val="24"/>
        </w:rPr>
        <w:t>Cost per hour*</w:t>
      </w:r>
      <w:r>
        <w:rPr>
          <w:rFonts w:ascii="Arial" w:eastAsia="Arial" w:hAnsi="Arial" w:cs="Arial"/>
          <w:sz w:val="24"/>
          <w:szCs w:val="24"/>
        </w:rPr>
        <w:tab/>
      </w:r>
      <w:r>
        <w:rPr>
          <w:rFonts w:ascii="Arial" w:eastAsia="Arial" w:hAnsi="Arial" w:cs="Arial"/>
          <w:sz w:val="24"/>
          <w:szCs w:val="24"/>
          <w:u w:val="single"/>
        </w:rPr>
        <w:t>x   $64.34</w:t>
      </w:r>
    </w:p>
    <w:p w:rsidR="00FB61B9" w14:paraId="5B91A10F" w14:textId="77777777">
      <w:pPr>
        <w:tabs>
          <w:tab w:val="left" w:pos="1260"/>
          <w:tab w:val="right" w:pos="7740"/>
        </w:tabs>
        <w:rPr>
          <w:rFonts w:ascii="Arial" w:eastAsia="Arial" w:hAnsi="Arial" w:cs="Arial"/>
          <w:sz w:val="24"/>
          <w:szCs w:val="24"/>
        </w:rPr>
      </w:pPr>
      <w:r>
        <w:rPr>
          <w:rFonts w:ascii="Arial" w:eastAsia="Arial" w:hAnsi="Arial" w:cs="Arial"/>
          <w:sz w:val="24"/>
          <w:szCs w:val="24"/>
        </w:rPr>
        <w:t>Estimated Cost Burden to the Government</w:t>
      </w:r>
      <w:r>
        <w:rPr>
          <w:rFonts w:ascii="Arial" w:eastAsia="Arial" w:hAnsi="Arial" w:cs="Arial"/>
          <w:sz w:val="24"/>
          <w:szCs w:val="24"/>
        </w:rPr>
        <w:tab/>
        <w:t xml:space="preserve">$54,335 </w:t>
      </w:r>
    </w:p>
    <w:p w:rsidR="00FB61B9" w14:paraId="7CDC91B7" w14:textId="77777777">
      <w:pPr>
        <w:tabs>
          <w:tab w:val="left" w:pos="1260"/>
          <w:tab w:val="right" w:pos="7740"/>
        </w:tabs>
        <w:rPr>
          <w:rFonts w:ascii="Arial" w:eastAsia="Arial" w:hAnsi="Arial" w:cs="Arial"/>
          <w:sz w:val="24"/>
          <w:szCs w:val="24"/>
        </w:rPr>
      </w:pPr>
    </w:p>
    <w:p w:rsidR="00FB61B9" w14:paraId="34CF0E72" w14:textId="77777777">
      <w:pPr>
        <w:rPr>
          <w:rFonts w:ascii="Arial" w:eastAsia="Arial" w:hAnsi="Arial" w:cs="Arial"/>
          <w:sz w:val="24"/>
          <w:szCs w:val="24"/>
        </w:rPr>
      </w:pPr>
      <w:r>
        <w:rPr>
          <w:rFonts w:ascii="Arial" w:eastAsia="Arial" w:hAnsi="Arial" w:cs="Arial"/>
          <w:sz w:val="24"/>
          <w:szCs w:val="24"/>
        </w:rPr>
        <w:t>*The estimated cost of $64.34 per hour is based on the task being accomplished by mid-level personnel equivalent to a GS-12, Step 5 salary (Base Pay and Rest of US Locality Pay) (Salary Table 2024-GS, Effective January 2024), with fringe of 36.25% (OMB Memo M-08-13).</w:t>
      </w:r>
    </w:p>
    <w:p w:rsidR="00FB61B9" w14:paraId="0669F3B9" w14:textId="77777777">
      <w:pPr>
        <w:rPr>
          <w:rFonts w:ascii="Arial" w:eastAsia="Arial" w:hAnsi="Arial" w:cs="Arial"/>
          <w:sz w:val="24"/>
          <w:szCs w:val="24"/>
        </w:rPr>
      </w:pPr>
    </w:p>
    <w:p w:rsidR="00FB61B9" w14:paraId="29B7BE8D" w14:textId="77777777">
      <w:pPr>
        <w:rPr>
          <w:rFonts w:ascii="Arial" w:eastAsia="Arial" w:hAnsi="Arial" w:cs="Arial"/>
          <w:b/>
          <w:sz w:val="24"/>
          <w:szCs w:val="24"/>
        </w:rPr>
      </w:pPr>
      <w:r>
        <w:rPr>
          <w:rFonts w:ascii="Arial" w:eastAsia="Arial" w:hAnsi="Arial" w:cs="Arial"/>
          <w:b/>
          <w:sz w:val="24"/>
          <w:szCs w:val="24"/>
        </w:rPr>
        <w:t>15</w:t>
      </w:r>
      <w:r>
        <w:rPr>
          <w:rFonts w:ascii="Arial" w:eastAsia="Arial" w:hAnsi="Arial" w:cs="Arial"/>
          <w:sz w:val="24"/>
          <w:szCs w:val="24"/>
        </w:rPr>
        <w:t>.</w:t>
      </w:r>
      <w:r>
        <w:rPr>
          <w:rFonts w:ascii="Arial" w:eastAsia="Arial" w:hAnsi="Arial" w:cs="Arial"/>
          <w:b/>
          <w:sz w:val="24"/>
          <w:szCs w:val="24"/>
        </w:rPr>
        <w:t xml:space="preserve">  Reasons for Changes: </w:t>
      </w:r>
    </w:p>
    <w:p w:rsidR="00FB61B9" w14:paraId="0915DF7F" w14:textId="77777777">
      <w:pPr>
        <w:rPr>
          <w:rFonts w:ascii="Arial" w:eastAsia="Arial" w:hAnsi="Arial" w:cs="Arial"/>
          <w:sz w:val="24"/>
          <w:szCs w:val="24"/>
        </w:rPr>
      </w:pPr>
      <w:r>
        <w:rPr>
          <w:rFonts w:ascii="Arial" w:eastAsia="Arial" w:hAnsi="Arial" w:cs="Arial"/>
          <w:sz w:val="24"/>
          <w:szCs w:val="24"/>
        </w:rPr>
        <w:t xml:space="preserve">The General Schedule annual and hourly amounts in Items 12 and 14 have been updated to reflect the 2024 Salary Tables, published by the Office of Personnel Management, with 36.25% fringe per OMB Memo </w:t>
      </w:r>
      <w:r>
        <w:rPr>
          <w:rFonts w:ascii="Arial" w:eastAsia="Arial" w:hAnsi="Arial" w:cs="Arial"/>
          <w:color w:val="000000"/>
          <w:sz w:val="24"/>
          <w:szCs w:val="24"/>
          <w:highlight w:val="white"/>
        </w:rPr>
        <w:t xml:space="preserve">M-08-13. The time needed to complete the response has been </w:t>
      </w:r>
      <w:r>
        <w:rPr>
          <w:rFonts w:ascii="Arial" w:eastAsia="Arial" w:hAnsi="Arial" w:cs="Arial"/>
          <w:sz w:val="24"/>
          <w:szCs w:val="24"/>
          <w:highlight w:val="white"/>
        </w:rPr>
        <w:t>decreased</w:t>
      </w:r>
      <w:r>
        <w:rPr>
          <w:rFonts w:ascii="Arial" w:eastAsia="Arial" w:hAnsi="Arial" w:cs="Arial"/>
          <w:color w:val="000000"/>
          <w:sz w:val="24"/>
          <w:szCs w:val="24"/>
          <w:highlight w:val="white"/>
        </w:rPr>
        <w:t xml:space="preserve"> from 40 minutes to </w:t>
      </w:r>
      <w:r>
        <w:rPr>
          <w:rFonts w:ascii="Arial" w:eastAsia="Arial" w:hAnsi="Arial" w:cs="Arial"/>
          <w:sz w:val="24"/>
          <w:szCs w:val="24"/>
          <w:highlight w:val="white"/>
        </w:rPr>
        <w:t xml:space="preserve">30 minutes per response. This information collection has been utilized for several years, without changes to the respondents; it is logical that there are efficiencies in reporting and that the response time can be reduced to 30 minutes. </w:t>
      </w:r>
    </w:p>
    <w:p w:rsidR="00FB61B9" w14:paraId="272BCE6D" w14:textId="77777777">
      <w:pPr>
        <w:rPr>
          <w:rFonts w:ascii="Arial" w:eastAsia="Arial" w:hAnsi="Arial" w:cs="Arial"/>
          <w:sz w:val="24"/>
          <w:szCs w:val="24"/>
        </w:rPr>
      </w:pPr>
    </w:p>
    <w:p w:rsidR="00FB61B9" w14:paraId="569AE36B" w14:textId="77777777">
      <w:pPr>
        <w:rPr>
          <w:rFonts w:ascii="Arial" w:eastAsia="Arial" w:hAnsi="Arial" w:cs="Arial"/>
          <w:sz w:val="24"/>
          <w:szCs w:val="24"/>
        </w:rPr>
      </w:pPr>
      <w:r>
        <w:rPr>
          <w:rFonts w:ascii="Arial" w:eastAsia="Arial" w:hAnsi="Arial" w:cs="Arial"/>
          <w:b/>
          <w:sz w:val="24"/>
          <w:szCs w:val="24"/>
        </w:rPr>
        <w:t xml:space="preserve">16.  Publicizing Results </w:t>
      </w:r>
    </w:p>
    <w:p w:rsidR="00FB61B9" w14:paraId="0F136614" w14:textId="77777777">
      <w:pPr>
        <w:pBdr>
          <w:top w:val="nil"/>
          <w:left w:val="nil"/>
          <w:bottom w:val="nil"/>
          <w:right w:val="nil"/>
          <w:between w:val="nil"/>
        </w:pBdr>
        <w:rPr>
          <w:rFonts w:ascii="Arial" w:eastAsia="Arial" w:hAnsi="Arial" w:cs="Arial"/>
          <w:sz w:val="24"/>
          <w:szCs w:val="24"/>
        </w:rPr>
      </w:pPr>
    </w:p>
    <w:p w:rsidR="00FB61B9" w14:paraId="763FB773"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Results will not be tabulated or published.  Data collected will be used for internal administration of contracts.  </w:t>
      </w:r>
    </w:p>
    <w:p w:rsidR="00FB61B9" w14:paraId="056D9ABC" w14:textId="77777777">
      <w:pPr>
        <w:rPr>
          <w:rFonts w:ascii="Arial" w:eastAsia="Arial" w:hAnsi="Arial" w:cs="Arial"/>
          <w:b/>
          <w:sz w:val="24"/>
          <w:szCs w:val="24"/>
        </w:rPr>
      </w:pPr>
    </w:p>
    <w:p w:rsidR="00FB61B9" w14:paraId="58D5DDC3" w14:textId="77777777">
      <w:pPr>
        <w:rPr>
          <w:rFonts w:ascii="Arial" w:eastAsia="Arial" w:hAnsi="Arial" w:cs="Arial"/>
          <w:b/>
          <w:sz w:val="24"/>
          <w:szCs w:val="24"/>
        </w:rPr>
      </w:pPr>
      <w:r>
        <w:rPr>
          <w:rFonts w:ascii="Arial" w:eastAsia="Arial" w:hAnsi="Arial" w:cs="Arial"/>
          <w:b/>
          <w:sz w:val="24"/>
          <w:szCs w:val="24"/>
        </w:rPr>
        <w:t xml:space="preserve">17. OMB Not to Display Approval </w:t>
      </w:r>
    </w:p>
    <w:p w:rsidR="00FB61B9" w14:paraId="1FA955E9" w14:textId="77777777">
      <w:pPr>
        <w:rPr>
          <w:rFonts w:ascii="Arial" w:eastAsia="Arial" w:hAnsi="Arial" w:cs="Arial"/>
          <w:sz w:val="24"/>
          <w:szCs w:val="24"/>
        </w:rPr>
      </w:pPr>
    </w:p>
    <w:p w:rsidR="00FB61B9" w14:paraId="3E519DD7"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Not applicable.</w:t>
      </w:r>
    </w:p>
    <w:p w:rsidR="00FB61B9" w14:paraId="5C2124E9" w14:textId="77777777">
      <w:pPr>
        <w:rPr>
          <w:rFonts w:ascii="Arial" w:eastAsia="Arial" w:hAnsi="Arial" w:cs="Arial"/>
          <w:sz w:val="24"/>
          <w:szCs w:val="24"/>
        </w:rPr>
      </w:pPr>
    </w:p>
    <w:p w:rsidR="00FB61B9" w14:paraId="7E91D662" w14:textId="77777777">
      <w:pPr>
        <w:rPr>
          <w:rFonts w:ascii="Arial" w:eastAsia="Arial" w:hAnsi="Arial" w:cs="Arial"/>
          <w:b/>
          <w:sz w:val="24"/>
          <w:szCs w:val="24"/>
        </w:rPr>
      </w:pPr>
      <w:r>
        <w:rPr>
          <w:rFonts w:ascii="Arial" w:eastAsia="Arial" w:hAnsi="Arial" w:cs="Arial"/>
          <w:b/>
          <w:sz w:val="24"/>
          <w:szCs w:val="24"/>
        </w:rPr>
        <w:t xml:space="preserve">18.  Explain each exception to the certification statement identified in Item 19, </w:t>
      </w:r>
    </w:p>
    <w:p w:rsidR="00FB61B9" w14:paraId="3BDA6257" w14:textId="77777777">
      <w:pPr>
        <w:rPr>
          <w:rFonts w:ascii="Arial" w:eastAsia="Arial" w:hAnsi="Arial" w:cs="Arial"/>
          <w:b/>
          <w:sz w:val="24"/>
          <w:szCs w:val="24"/>
        </w:rPr>
      </w:pPr>
      <w:r>
        <w:rPr>
          <w:rFonts w:ascii="Arial" w:eastAsia="Arial" w:hAnsi="Arial" w:cs="Arial"/>
          <w:b/>
          <w:sz w:val="24"/>
          <w:szCs w:val="24"/>
        </w:rPr>
        <w:t>“Certification for Paperwork Reduction Act Submissions”.</w:t>
      </w:r>
    </w:p>
    <w:p w:rsidR="00FB61B9" w14:paraId="43FB7D72" w14:textId="77777777">
      <w:pPr>
        <w:rPr>
          <w:rFonts w:ascii="Arial" w:eastAsia="Arial" w:hAnsi="Arial" w:cs="Arial"/>
          <w:b/>
          <w:sz w:val="24"/>
          <w:szCs w:val="24"/>
        </w:rPr>
      </w:pPr>
    </w:p>
    <w:p w:rsidR="00FB61B9" w14:paraId="22085017"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Not applicable.</w:t>
      </w:r>
    </w:p>
    <w:p w:rsidR="00FB61B9" w14:paraId="33F53562" w14:textId="77777777">
      <w:pPr>
        <w:pBdr>
          <w:top w:val="nil"/>
          <w:left w:val="nil"/>
          <w:bottom w:val="nil"/>
          <w:right w:val="nil"/>
          <w:between w:val="nil"/>
        </w:pBdr>
        <w:rPr>
          <w:rFonts w:ascii="Arial" w:eastAsia="Arial" w:hAnsi="Arial" w:cs="Arial"/>
          <w:sz w:val="24"/>
          <w:szCs w:val="24"/>
        </w:rPr>
      </w:pPr>
    </w:p>
    <w:p w:rsidR="00FB61B9" w14:paraId="610DBED3" w14:textId="77777777">
      <w:pPr>
        <w:widowControl w:val="0"/>
        <w:tabs>
          <w:tab w:val="left" w:pos="657"/>
        </w:tabs>
        <w:rPr>
          <w:rFonts w:ascii="Arial" w:eastAsia="Arial" w:hAnsi="Arial" w:cs="Arial"/>
          <w:sz w:val="24"/>
          <w:szCs w:val="24"/>
        </w:rPr>
      </w:pPr>
      <w:r>
        <w:rPr>
          <w:rFonts w:ascii="Arial" w:eastAsia="Arial" w:hAnsi="Arial" w:cs="Arial"/>
          <w:b/>
          <w:sz w:val="24"/>
          <w:szCs w:val="24"/>
        </w:rPr>
        <w:t>19. Surveys, Censuses, and Other Collections that Employ Statistical Methods.</w:t>
      </w:r>
    </w:p>
    <w:p w:rsidR="00FB61B9" w14:paraId="675E96C4" w14:textId="77777777">
      <w:pPr>
        <w:widowControl w:val="0"/>
        <w:tabs>
          <w:tab w:val="left" w:pos="657"/>
        </w:tabs>
        <w:rPr>
          <w:rFonts w:ascii="Arial" w:eastAsia="Arial" w:hAnsi="Arial" w:cs="Arial"/>
          <w:sz w:val="24"/>
          <w:szCs w:val="24"/>
        </w:rPr>
      </w:pPr>
    </w:p>
    <w:p w:rsidR="00FB61B9" w14:paraId="32CACF8B" w14:textId="77777777">
      <w:pPr>
        <w:widowControl w:val="0"/>
        <w:tabs>
          <w:tab w:val="left" w:pos="657"/>
        </w:tabs>
        <w:rPr>
          <w:rFonts w:ascii="Arial" w:eastAsia="Arial" w:hAnsi="Arial" w:cs="Arial"/>
          <w:sz w:val="24"/>
          <w:szCs w:val="24"/>
        </w:rPr>
      </w:pPr>
      <w:r>
        <w:rPr>
          <w:rFonts w:ascii="Arial" w:eastAsia="Arial" w:hAnsi="Arial" w:cs="Arial"/>
          <w:sz w:val="24"/>
          <w:szCs w:val="24"/>
        </w:rPr>
        <w:t>Surveys, censuses or statistical methods are not used for this information collection.</w:t>
      </w:r>
    </w:p>
    <w:sectPr>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1B9" w14:paraId="5020ED59"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1B9" w14:paraId="65F3C757"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r>
      <w:rPr>
        <w:color w:val="000000"/>
      </w:rPr>
      <w:t xml:space="preserve"> </w:t>
    </w:r>
  </w:p>
  <w:p w:rsidR="00FB61B9" w14:paraId="54333B2E" w14:textId="77777777">
    <w:pPr>
      <w:pBdr>
        <w:top w:val="nil"/>
        <w:left w:val="nil"/>
        <w:bottom w:val="nil"/>
        <w:right w:val="nil"/>
        <w:between w:val="nil"/>
      </w:pBdr>
      <w:tabs>
        <w:tab w:val="center" w:pos="4320"/>
        <w:tab w:val="right" w:pos="864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1B9" w14:paraId="13DC1C80"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1B9" w14:paraId="3BA6805C"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1B9" w14:paraId="27C68ED2" w14:textId="77777777">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Supporting Statement for Information Collection Submission</w:t>
    </w:r>
  </w:p>
  <w:p w:rsidR="00FB61B9" w14:paraId="0761C511" w14:textId="77777777">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Hazardous Material Information (3090-0205)</w:t>
    </w:r>
  </w:p>
  <w:p w:rsidR="00FB61B9" w14:paraId="4CD1C82F" w14:textId="77777777">
    <w:pPr>
      <w:pBdr>
        <w:top w:val="nil"/>
        <w:left w:val="nil"/>
        <w:bottom w:val="nil"/>
        <w:right w:val="nil"/>
        <w:between w:val="nil"/>
      </w:pBdr>
      <w:tabs>
        <w:tab w:val="center" w:pos="4320"/>
        <w:tab w:val="right" w:pos="8640"/>
      </w:tabs>
      <w:jc w:val="center"/>
      <w:rPr>
        <w:b/>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1B9" w14:paraId="571E7FCB"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45115"/>
    <w:multiLevelType w:val="multilevel"/>
    <w:tmpl w:val="D05E2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D10E81"/>
    <w:multiLevelType w:val="multilevel"/>
    <w:tmpl w:val="35903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117167">
    <w:abstractNumId w:val="0"/>
  </w:num>
  <w:num w:numId="2" w16cid:durableId="50320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B9"/>
    <w:rsid w:val="000B73C3"/>
    <w:rsid w:val="00AD1D4C"/>
    <w:rsid w:val="00BB3461"/>
    <w:rsid w:val="00D72E2F"/>
    <w:rsid w:val="00FB61B9"/>
    <w:rsid w:val="00FF7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C0A39F"/>
  <w15:docId w15:val="{A3C62084-AF1F-4064-BBC8-680E7670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2024-10-29T17:31:00Z</dcterms:created>
  <dcterms:modified xsi:type="dcterms:W3CDTF">2024-11-13T18:19:00Z</dcterms:modified>
</cp:coreProperties>
</file>