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4AD8" w14:paraId="217C8D42" w14:textId="77777777">
      <w:pPr>
        <w:widowControl w:val="0"/>
        <w:jc w:val="center"/>
      </w:pPr>
      <w:r>
        <w:t>Support Statement for Information Collection</w:t>
      </w:r>
    </w:p>
    <w:p w:rsidR="000C4AD8" w14:paraId="4243EDD3" w14:textId="77777777">
      <w:pPr>
        <w:widowControl w:val="0"/>
        <w:jc w:val="center"/>
      </w:pPr>
      <w:r>
        <w:t>OMB Control Number, 3090-0248</w:t>
      </w:r>
    </w:p>
    <w:p w:rsidR="000C4AD8" w14:paraId="4307911E" w14:textId="77777777">
      <w:pPr>
        <w:widowControl w:val="0"/>
        <w:jc w:val="center"/>
      </w:pPr>
    </w:p>
    <w:p w:rsidR="000C4AD8" w14:paraId="14570118" w14:textId="55FF6B40">
      <w:pPr>
        <w:widowControl w:val="0"/>
        <w:jc w:val="center"/>
      </w:pPr>
      <w:r>
        <w:t>Electronic Data Interchange (EDI) Information</w:t>
      </w:r>
    </w:p>
    <w:p w:rsidR="000C4AD8" w14:paraId="68D1BD59" w14:textId="77777777">
      <w:pPr>
        <w:widowControl w:val="0"/>
        <w:jc w:val="center"/>
      </w:pPr>
      <w:r>
        <w:t>GSAR Information Affected: Solicitation Provisions and Contract Clauses; 552.216-72, Placement of Orders; and 552.216-73, Ordering Information</w:t>
      </w:r>
    </w:p>
    <w:p w:rsidR="000C4AD8" w14:paraId="5159F20C" w14:textId="77777777">
      <w:pPr>
        <w:widowControl w:val="0"/>
      </w:pPr>
    </w:p>
    <w:p w:rsidR="000C4AD8" w14:paraId="02A793B9" w14:textId="77777777">
      <w:pPr>
        <w:widowControl w:val="0"/>
        <w:rPr>
          <w:color w:val="000000"/>
          <w:highlight w:val="red"/>
        </w:rPr>
      </w:pPr>
      <w:r>
        <w:rPr>
          <w:u w:val="single"/>
        </w:rPr>
        <w:t xml:space="preserve">Overview of Information Collection: </w:t>
      </w:r>
    </w:p>
    <w:p w:rsidR="000C4AD8" w14:paraId="71DAE01E" w14:textId="77777777">
      <w:pPr>
        <w:widowControl w:val="0"/>
        <w:pBdr>
          <w:top w:val="nil"/>
          <w:left w:val="nil"/>
          <w:bottom w:val="nil"/>
          <w:right w:val="nil"/>
          <w:between w:val="nil"/>
        </w:pBdr>
        <w:tabs>
          <w:tab w:val="left" w:pos="820"/>
          <w:tab w:val="left" w:pos="821"/>
        </w:tabs>
        <w:ind w:right="195"/>
        <w:rPr>
          <w:highlight w:val="red"/>
        </w:rPr>
      </w:pPr>
    </w:p>
    <w:p w:rsidR="000C4AD8" w14:paraId="74D4DCC7" w14:textId="77777777">
      <w:pPr>
        <w:widowControl w:val="0"/>
        <w:tabs>
          <w:tab w:val="left" w:pos="820"/>
          <w:tab w:val="left" w:pos="821"/>
        </w:tabs>
        <w:ind w:right="-720"/>
      </w:pPr>
      <w:r>
        <w:t xml:space="preserve">This is a request for approval of an extension to an existing information collection. </w:t>
      </w:r>
    </w:p>
    <w:p w:rsidR="000C4AD8" w14:paraId="2526B535" w14:textId="77777777">
      <w:pPr>
        <w:tabs>
          <w:tab w:val="center" w:pos="4320"/>
          <w:tab w:val="right" w:pos="8640"/>
        </w:tabs>
        <w:ind w:right="-720"/>
        <w:rPr>
          <w:b/>
        </w:rPr>
      </w:pPr>
    </w:p>
    <w:p w:rsidR="000C4AD8" w14:paraId="59026FEB" w14:textId="77777777">
      <w:pPr>
        <w:ind w:right="-720"/>
        <w:rPr>
          <w:rFonts w:ascii="Courier New" w:eastAsia="Courier New" w:hAnsi="Courier New" w:cs="Courier New"/>
        </w:rPr>
      </w:pPr>
      <w:r>
        <w:t>This information collection applies to General Services Administration (GSA) contracts with delivery and task orders where there is a requirement for Offerors to receive electronic orders through computer-to-computer Electronic Data Interchange (EDI)</w:t>
      </w:r>
      <w:r>
        <w:rPr>
          <w:rFonts w:ascii="Courier New" w:eastAsia="Courier New" w:hAnsi="Courier New" w:cs="Courier New"/>
        </w:rPr>
        <w:t>.</w:t>
      </w:r>
    </w:p>
    <w:p w:rsidR="000C4AD8" w14:paraId="4D8C7704" w14:textId="77777777">
      <w:pPr>
        <w:ind w:right="-720"/>
      </w:pPr>
    </w:p>
    <w:p w:rsidR="000C4AD8" w14:paraId="20BEBCD5" w14:textId="77777777">
      <w:pPr>
        <w:ind w:right="-720"/>
      </w:pPr>
      <w:r>
        <w:t>The General Services Administration Acquisition Regulation (GSAR) sections covered by this information collection include:</w:t>
      </w:r>
    </w:p>
    <w:p w:rsidR="000C4AD8" w14:paraId="505EEBD4" w14:textId="77777777">
      <w:pPr>
        <w:ind w:left="720"/>
      </w:pPr>
    </w:p>
    <w:p w:rsidR="000C4AD8" w14:paraId="648A038C" w14:textId="77777777">
      <w:pPr>
        <w:numPr>
          <w:ilvl w:val="0"/>
          <w:numId w:val="2"/>
        </w:numPr>
      </w:pPr>
      <w:r>
        <w:rPr>
          <w:highlight w:val="white"/>
        </w:rPr>
        <w:t>552.216-72, Placement of Orders</w:t>
      </w:r>
    </w:p>
    <w:p w:rsidR="000C4AD8" w14:paraId="1DB70267" w14:textId="77777777">
      <w:pPr>
        <w:numPr>
          <w:ilvl w:val="0"/>
          <w:numId w:val="2"/>
        </w:numPr>
      </w:pPr>
      <w:r>
        <w:rPr>
          <w:highlight w:val="white"/>
        </w:rPr>
        <w:t>552.216-73, Ordering Information</w:t>
      </w:r>
    </w:p>
    <w:p w:rsidR="000C4AD8" w14:paraId="10E3FC84" w14:textId="77777777">
      <w:pPr>
        <w:rPr>
          <w:highlight w:val="white"/>
        </w:rPr>
      </w:pPr>
    </w:p>
    <w:p w:rsidR="000C4AD8" w14:paraId="155B184A" w14:textId="77777777">
      <w:pPr>
        <w:ind w:right="-720"/>
      </w:pPr>
      <w:r>
        <w:t>The following are changes of importance that have occurred since the last extension approval:</w:t>
      </w:r>
    </w:p>
    <w:p w:rsidR="000C4AD8" w14:paraId="62BF9B88" w14:textId="77777777">
      <w:pPr>
        <w:ind w:right="-720"/>
      </w:pPr>
    </w:p>
    <w:p w:rsidR="000C4AD8" w14:paraId="6BBEA9A3" w14:textId="77777777">
      <w:pPr>
        <w:numPr>
          <w:ilvl w:val="0"/>
          <w:numId w:val="3"/>
        </w:numPr>
        <w:ind w:right="-720"/>
      </w:pPr>
      <w:r>
        <w:t>The total estimated annual public cost burden increased due to the use of updated salary data and upwards adjustments of the time to complete. The total estimated annual public cost burden changed-</w:t>
      </w:r>
    </w:p>
    <w:p w:rsidR="000C4AD8" w14:paraId="0C7ECE60" w14:textId="77777777">
      <w:pPr>
        <w:numPr>
          <w:ilvl w:val="1"/>
          <w:numId w:val="3"/>
        </w:numPr>
        <w:ind w:right="-720"/>
      </w:pPr>
      <w:r>
        <w:t>From: $150,223</w:t>
      </w:r>
    </w:p>
    <w:p w:rsidR="000C4AD8" w14:paraId="77BFEB99" w14:textId="77777777">
      <w:pPr>
        <w:numPr>
          <w:ilvl w:val="1"/>
          <w:numId w:val="3"/>
        </w:numPr>
        <w:ind w:right="-720"/>
      </w:pPr>
      <w:r>
        <w:t>To: $337,130</w:t>
      </w:r>
    </w:p>
    <w:p w:rsidR="000C4AD8" w14:paraId="18BE4BAA" w14:textId="77777777">
      <w:pPr>
        <w:ind w:left="1440" w:right="-720"/>
      </w:pPr>
    </w:p>
    <w:p w:rsidR="000C4AD8" w14:paraId="57696EA1" w14:textId="77777777">
      <w:pPr>
        <w:numPr>
          <w:ilvl w:val="0"/>
          <w:numId w:val="3"/>
        </w:numPr>
        <w:ind w:right="-720"/>
      </w:pPr>
      <w:r>
        <w:t>The total estimated annual cost burden to the Government increased due to the use of updated data regarding salary and upwards adjustments of the time to review. The total estimated annual cost to the Government changed-</w:t>
      </w:r>
    </w:p>
    <w:p w:rsidR="000C4AD8" w14:paraId="02C60756" w14:textId="77777777">
      <w:pPr>
        <w:numPr>
          <w:ilvl w:val="1"/>
          <w:numId w:val="3"/>
        </w:numPr>
        <w:ind w:right="-720"/>
      </w:pPr>
      <w:r>
        <w:t>From: $150,233</w:t>
      </w:r>
    </w:p>
    <w:p w:rsidR="000C4AD8" w14:paraId="0214107D" w14:textId="77777777">
      <w:pPr>
        <w:numPr>
          <w:ilvl w:val="1"/>
          <w:numId w:val="3"/>
        </w:numPr>
      </w:pPr>
      <w:r>
        <w:t>To: $337,130</w:t>
      </w:r>
    </w:p>
    <w:p w:rsidR="000C4AD8" w14:paraId="56C93F43" w14:textId="77777777">
      <w:pPr>
        <w:widowControl w:val="0"/>
      </w:pPr>
    </w:p>
    <w:p w:rsidR="000C4AD8" w14:paraId="018CD27E" w14:textId="77777777">
      <w:pPr>
        <w:widowControl w:val="0"/>
      </w:pPr>
    </w:p>
    <w:p w:rsidR="000C4AD8" w14:paraId="1273DFDA" w14:textId="77777777">
      <w:pPr>
        <w:widowControl w:val="0"/>
        <w:numPr>
          <w:ilvl w:val="0"/>
          <w:numId w:val="4"/>
        </w:numPr>
        <w:pBdr>
          <w:top w:val="nil"/>
          <w:left w:val="nil"/>
          <w:bottom w:val="nil"/>
          <w:right w:val="nil"/>
          <w:between w:val="nil"/>
        </w:pBdr>
        <w:tabs>
          <w:tab w:val="left" w:pos="360"/>
          <w:tab w:val="left" w:pos="630"/>
          <w:tab w:val="left" w:pos="720"/>
          <w:tab w:val="left" w:pos="1080"/>
        </w:tabs>
        <w:ind w:left="0"/>
        <w:rPr>
          <w:color w:val="000000"/>
        </w:rPr>
      </w:pPr>
      <w:r>
        <w:rPr>
          <w:color w:val="000000"/>
          <w:u w:val="single"/>
        </w:rPr>
        <w:t xml:space="preserve">Need &amp; Method for the Information Collection. </w:t>
      </w:r>
    </w:p>
    <w:p w:rsidR="000C4AD8" w14:paraId="025F6AE4" w14:textId="77777777">
      <w:pPr>
        <w:widowControl w:val="0"/>
        <w:tabs>
          <w:tab w:val="left" w:pos="360"/>
          <w:tab w:val="left" w:pos="630"/>
          <w:tab w:val="left" w:pos="720"/>
          <w:tab w:val="left" w:pos="1080"/>
        </w:tabs>
        <w:rPr>
          <w:u w:val="single"/>
        </w:rPr>
      </w:pPr>
    </w:p>
    <w:p w:rsidR="000C4AD8" w14:paraId="219470C1" w14:textId="77777777">
      <w:r>
        <w:t>For many years, the General Services Administration (GSA), Federal Acquisition Service (FAS), has had the capability to place orders under contracts electronically using Electronic Data Interchange (EDI), XML, json, and internally developed applications.  The GSAR has prescribed in 516.506 the use of GSAR clauses 552.216-72, Placement of Orders, and 552.216-73, Ordering Information, in solicitations and contracts for contracts to provide requirements for Offerors to receive electronic orders.</w:t>
      </w:r>
    </w:p>
    <w:p w:rsidR="000C4AD8" w14:paraId="56B6559F" w14:textId="77777777"/>
    <w:p w:rsidR="000C4AD8" w14:paraId="2BFFA21F" w14:textId="77777777">
      <w:pPr>
        <w:rPr>
          <w:u w:val="single"/>
        </w:rPr>
      </w:pPr>
      <w:r>
        <w:t>To accomplish EDI, XML and json, a company enters into a Trading Partner Agreement (TPA) with FAS.   The use of electronic means furthers congressional and executive branch policies that Federal agencies provide leadership in advancing environmental objectives through technology and the expanded use of electronic commerce.</w:t>
      </w:r>
    </w:p>
    <w:p w:rsidR="000C4AD8" w14:paraId="08FB49E5" w14:textId="77777777">
      <w:pPr>
        <w:widowControl w:val="0"/>
        <w:tabs>
          <w:tab w:val="left" w:pos="360"/>
          <w:tab w:val="left" w:pos="630"/>
          <w:tab w:val="left" w:pos="720"/>
          <w:tab w:val="left" w:pos="1080"/>
        </w:tabs>
        <w:rPr>
          <w:u w:val="single"/>
        </w:rPr>
      </w:pPr>
    </w:p>
    <w:p w:rsidR="000C4AD8" w14:paraId="2B4E865F" w14:textId="77777777">
      <w:pPr>
        <w:widowControl w:val="0"/>
        <w:numPr>
          <w:ilvl w:val="0"/>
          <w:numId w:val="4"/>
        </w:numPr>
        <w:pBdr>
          <w:top w:val="nil"/>
          <w:left w:val="nil"/>
          <w:bottom w:val="nil"/>
          <w:right w:val="nil"/>
          <w:between w:val="nil"/>
        </w:pBdr>
        <w:tabs>
          <w:tab w:val="left" w:pos="360"/>
          <w:tab w:val="left" w:pos="630"/>
          <w:tab w:val="left" w:pos="720"/>
          <w:tab w:val="left" w:pos="1080"/>
        </w:tabs>
        <w:ind w:left="0"/>
        <w:rPr>
          <w:color w:val="000000"/>
        </w:rPr>
      </w:pPr>
      <w:r>
        <w:rPr>
          <w:color w:val="000000"/>
          <w:u w:val="single"/>
        </w:rPr>
        <w:t>Use of the Information.</w:t>
      </w:r>
      <w:r>
        <w:rPr>
          <w:color w:val="000000"/>
        </w:rPr>
        <w:t xml:space="preserve"> </w:t>
      </w:r>
    </w:p>
    <w:p w:rsidR="000C4AD8" w14:paraId="7E85BC7B" w14:textId="77777777">
      <w:pPr>
        <w:widowControl w:val="0"/>
        <w:pBdr>
          <w:top w:val="nil"/>
          <w:left w:val="nil"/>
          <w:bottom w:val="nil"/>
          <w:right w:val="nil"/>
          <w:between w:val="nil"/>
        </w:pBdr>
        <w:tabs>
          <w:tab w:val="left" w:pos="360"/>
          <w:tab w:val="left" w:pos="630"/>
          <w:tab w:val="left" w:pos="720"/>
          <w:tab w:val="left" w:pos="1080"/>
        </w:tabs>
        <w:ind w:left="360"/>
      </w:pPr>
    </w:p>
    <w:p w:rsidR="000C4AD8" w14:paraId="6B9CAFF2" w14:textId="77777777">
      <w:pPr>
        <w:rPr>
          <w:u w:val="single"/>
        </w:rPr>
      </w:pPr>
      <w:r>
        <w:t>Establishing TPAs with contractors ensures compatibility of Government and contractor equipment and that each party understands the responsibility associated with placing orders using the electronic methods.</w:t>
      </w:r>
    </w:p>
    <w:p w:rsidR="000C4AD8" w14:paraId="7516BB17" w14:textId="77777777">
      <w:pPr>
        <w:widowControl w:val="0"/>
        <w:tabs>
          <w:tab w:val="left" w:pos="360"/>
          <w:tab w:val="left" w:pos="630"/>
          <w:tab w:val="left" w:pos="720"/>
          <w:tab w:val="left" w:pos="1080"/>
        </w:tabs>
        <w:rPr>
          <w:u w:val="single"/>
        </w:rPr>
      </w:pPr>
    </w:p>
    <w:p w:rsidR="000C4AD8" w14:paraId="04145C04"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 xml:space="preserve">Use of Information Technology. </w:t>
      </w:r>
    </w:p>
    <w:p w:rsidR="000C4AD8" w14:paraId="1C1AC645" w14:textId="77777777">
      <w:pPr>
        <w:widowControl w:val="0"/>
        <w:pBdr>
          <w:top w:val="nil"/>
          <w:left w:val="nil"/>
          <w:bottom w:val="nil"/>
          <w:right w:val="nil"/>
          <w:between w:val="nil"/>
        </w:pBdr>
        <w:tabs>
          <w:tab w:val="left" w:pos="360"/>
          <w:tab w:val="left" w:pos="720"/>
          <w:tab w:val="left" w:pos="1080"/>
        </w:tabs>
        <w:ind w:left="360"/>
      </w:pPr>
    </w:p>
    <w:p w:rsidR="000C4AD8" w14:paraId="4A34FD1D" w14:textId="77777777">
      <w:pPr>
        <w:tabs>
          <w:tab w:val="left" w:pos="90"/>
        </w:tabs>
        <w:ind w:right="-720"/>
      </w:pPr>
      <w:r>
        <w:t xml:space="preserve">GSA continues to improve and expand the use of information technology to the maximum extent practicable. Where both the Government and the contractor are capable of electronic interchange, these information collection requirements may be submitted electronically. </w:t>
      </w:r>
    </w:p>
    <w:p w:rsidR="000C4AD8" w14:paraId="6DDF1647" w14:textId="77777777">
      <w:pPr>
        <w:widowControl w:val="0"/>
        <w:tabs>
          <w:tab w:val="left" w:pos="360"/>
          <w:tab w:val="left" w:pos="720"/>
          <w:tab w:val="left" w:pos="1080"/>
        </w:tabs>
      </w:pPr>
    </w:p>
    <w:p w:rsidR="000C4AD8" w14:paraId="22668C58"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 xml:space="preserve">Non-duplication. </w:t>
      </w:r>
      <w:r>
        <w:rPr>
          <w:color w:val="000000"/>
        </w:rPr>
        <w:t xml:space="preserve"> </w:t>
      </w:r>
    </w:p>
    <w:p w:rsidR="000C4AD8" w14:paraId="5322CAD5" w14:textId="77777777">
      <w:pPr>
        <w:widowControl w:val="0"/>
        <w:pBdr>
          <w:top w:val="nil"/>
          <w:left w:val="nil"/>
          <w:bottom w:val="nil"/>
          <w:right w:val="nil"/>
          <w:between w:val="nil"/>
        </w:pBdr>
        <w:tabs>
          <w:tab w:val="left" w:pos="820"/>
          <w:tab w:val="left" w:pos="821"/>
        </w:tabs>
      </w:pPr>
    </w:p>
    <w:p w:rsidR="000C4AD8" w14:paraId="78CC366D" w14:textId="77777777">
      <w:pPr>
        <w:widowControl w:val="0"/>
        <w:tabs>
          <w:tab w:val="left" w:pos="657"/>
        </w:tabs>
        <w:rPr>
          <w:color w:val="000000"/>
        </w:rPr>
      </w:pPr>
      <w:r>
        <w:t>GSA did not identify any duplication of information being collected. GSA’s review did not identify any similar data.</w:t>
      </w:r>
    </w:p>
    <w:p w:rsidR="000C4AD8" w14:paraId="4D50E6C3"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0C4AD8" w14:paraId="33B1A7B9"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 xml:space="preserve">Burden on Small Business. </w:t>
      </w:r>
    </w:p>
    <w:p w:rsidR="000C4AD8" w14:paraId="417C38BA" w14:textId="77777777">
      <w:pPr>
        <w:widowControl w:val="0"/>
        <w:pBdr>
          <w:top w:val="nil"/>
          <w:left w:val="nil"/>
          <w:bottom w:val="nil"/>
          <w:right w:val="nil"/>
          <w:between w:val="nil"/>
        </w:pBdr>
        <w:tabs>
          <w:tab w:val="left" w:pos="360"/>
          <w:tab w:val="left" w:pos="720"/>
          <w:tab w:val="left" w:pos="1080"/>
          <w:tab w:val="left" w:pos="1440"/>
        </w:tabs>
        <w:ind w:left="360"/>
      </w:pPr>
    </w:p>
    <w:p w:rsidR="000C4AD8" w14:paraId="55990D36" w14:textId="77777777">
      <w:pPr>
        <w:widowControl w:val="0"/>
        <w:tabs>
          <w:tab w:val="left" w:pos="657"/>
        </w:tabs>
        <w:rPr>
          <w:color w:val="000000"/>
        </w:rPr>
      </w:pPr>
      <w:r>
        <w:t>The collections associated with small businesses are the minimum consistent with applicable laws, executive orders, and prudent business practices. The nature of the reporting requirements precludes reducing the information collection burden for small businesses.</w:t>
      </w:r>
    </w:p>
    <w:p w:rsidR="000C4AD8" w14:paraId="6B9CC20E"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0C4AD8" w14:paraId="77CD936F"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 xml:space="preserve">Less Frequent Collection. </w:t>
      </w:r>
    </w:p>
    <w:p w:rsidR="000C4AD8" w14:paraId="249E0F5F" w14:textId="77777777">
      <w:pPr>
        <w:widowControl w:val="0"/>
        <w:pBdr>
          <w:top w:val="nil"/>
          <w:left w:val="nil"/>
          <w:bottom w:val="nil"/>
          <w:right w:val="nil"/>
          <w:between w:val="nil"/>
        </w:pBdr>
        <w:tabs>
          <w:tab w:val="left" w:pos="360"/>
          <w:tab w:val="left" w:pos="720"/>
          <w:tab w:val="left" w:pos="1080"/>
        </w:tabs>
        <w:ind w:left="360"/>
      </w:pPr>
    </w:p>
    <w:p w:rsidR="000C4AD8" w14:paraId="5EC087B3" w14:textId="77777777">
      <w:pPr>
        <w:rPr>
          <w:u w:val="single"/>
        </w:rPr>
      </w:pPr>
      <w:r>
        <w:t>Unless a contractor establishes a TPA with FAS to use the EDI procedures, it will not receive delivery orders through this manner.  Otherwise, orders will be mailed to the contractor.</w:t>
      </w:r>
    </w:p>
    <w:p w:rsidR="000C4AD8" w14:paraId="1B22D637" w14:textId="77777777">
      <w:pPr>
        <w:widowControl w:val="0"/>
        <w:tabs>
          <w:tab w:val="left" w:pos="360"/>
          <w:tab w:val="left" w:pos="720"/>
          <w:tab w:val="left" w:pos="1080"/>
        </w:tabs>
        <w:rPr>
          <w:u w:val="single"/>
        </w:rPr>
      </w:pPr>
    </w:p>
    <w:p w:rsidR="000C4AD8" w14:paraId="2280BCF2"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 xml:space="preserve">Paperwork Reduction Act Guidelines. </w:t>
      </w:r>
    </w:p>
    <w:p w:rsidR="000C4AD8" w14:paraId="3FDD55E6" w14:textId="77777777">
      <w:pPr>
        <w:widowControl w:val="0"/>
        <w:pBdr>
          <w:top w:val="nil"/>
          <w:left w:val="nil"/>
          <w:bottom w:val="nil"/>
          <w:right w:val="nil"/>
          <w:between w:val="nil"/>
        </w:pBdr>
        <w:tabs>
          <w:tab w:val="left" w:pos="820"/>
          <w:tab w:val="left" w:pos="821"/>
        </w:tabs>
        <w:ind w:right="195"/>
      </w:pPr>
    </w:p>
    <w:p w:rsidR="000C4AD8" w14:paraId="2935250F" w14:textId="77777777">
      <w:pPr>
        <w:widowControl w:val="0"/>
        <w:tabs>
          <w:tab w:val="left" w:pos="657"/>
        </w:tabs>
      </w:pPr>
      <w:r>
        <w:t>Not applicable, no special circumstances exist for this information collection.</w:t>
      </w:r>
    </w:p>
    <w:p w:rsidR="000C4AD8" w14:paraId="76DB7561" w14:textId="77777777">
      <w:pPr>
        <w:widowControl w:val="0"/>
        <w:tabs>
          <w:tab w:val="left" w:pos="657"/>
        </w:tabs>
      </w:pPr>
    </w:p>
    <w:p w:rsidR="000C4AD8" w14:paraId="5C330EA3" w14:textId="77777777">
      <w:pPr>
        <w:widowControl w:val="0"/>
        <w:numPr>
          <w:ilvl w:val="0"/>
          <w:numId w:val="4"/>
        </w:numPr>
        <w:tabs>
          <w:tab w:val="left" w:pos="360"/>
          <w:tab w:val="left" w:pos="720"/>
          <w:tab w:val="left" w:pos="1080"/>
          <w:tab w:val="left" w:pos="1440"/>
        </w:tabs>
      </w:pPr>
      <w:r>
        <w:rPr>
          <w:u w:val="single"/>
        </w:rPr>
        <w:t xml:space="preserve">Consultation and Public Comments. </w:t>
      </w:r>
    </w:p>
    <w:p w:rsidR="000C4AD8" w14:paraId="2DC55B8F" w14:textId="77777777">
      <w:pPr>
        <w:widowControl w:val="0"/>
        <w:tabs>
          <w:tab w:val="left" w:pos="820"/>
          <w:tab w:val="left" w:pos="821"/>
        </w:tabs>
        <w:ind w:right="195"/>
      </w:pPr>
    </w:p>
    <w:p w:rsidR="000C4AD8" w14:paraId="116FAD0E" w14:textId="14CE7A0F">
      <w:pPr>
        <w:widowControl w:val="0"/>
        <w:pBdr>
          <w:top w:val="nil"/>
          <w:left w:val="nil"/>
          <w:bottom w:val="nil"/>
          <w:right w:val="nil"/>
          <w:between w:val="nil"/>
        </w:pBdr>
        <w:tabs>
          <w:tab w:val="left" w:pos="360"/>
          <w:tab w:val="left" w:pos="720"/>
          <w:tab w:val="left" w:pos="1080"/>
          <w:tab w:val="left" w:pos="1440"/>
        </w:tabs>
      </w:pPr>
      <w:r w:rsidRPr="00A06C12">
        <w:t xml:space="preserve">A 60-day notice published in the </w:t>
      </w:r>
      <w:r w:rsidRPr="00A06C12">
        <w:rPr>
          <w:i/>
          <w:iCs/>
        </w:rPr>
        <w:t>Federal Register</w:t>
      </w:r>
      <w:r w:rsidRPr="00A06C12">
        <w:t xml:space="preserve"> at 89 FR 76831 on September 19, 2024.</w:t>
      </w:r>
      <w:r w:rsidR="00C72096">
        <w:t xml:space="preserve"> No comments were received. </w:t>
      </w:r>
      <w:r w:rsidRPr="00A06C12" w:rsidR="00C72096">
        <w:t xml:space="preserve">A </w:t>
      </w:r>
      <w:r w:rsidR="00C72096">
        <w:t>3</w:t>
      </w:r>
      <w:r w:rsidRPr="00A06C12" w:rsidR="00C72096">
        <w:t xml:space="preserve">0-day notice published in the </w:t>
      </w:r>
      <w:r w:rsidRPr="00A06C12" w:rsidR="00C72096">
        <w:rPr>
          <w:i/>
          <w:iCs/>
        </w:rPr>
        <w:t>Federal Register</w:t>
      </w:r>
      <w:r w:rsidRPr="00A06C12" w:rsidR="00C72096">
        <w:t xml:space="preserve"> at 89 FR </w:t>
      </w:r>
      <w:r w:rsidR="00193E03">
        <w:t>92689</w:t>
      </w:r>
      <w:r w:rsidRPr="00A06C12" w:rsidR="00C72096">
        <w:t xml:space="preserve"> on </w:t>
      </w:r>
      <w:r w:rsidR="00C72096">
        <w:t>November 22</w:t>
      </w:r>
      <w:r w:rsidRPr="00A06C12" w:rsidR="00C72096">
        <w:t>, 2024</w:t>
      </w:r>
      <w:r w:rsidR="00C72096">
        <w:t>.</w:t>
      </w:r>
    </w:p>
    <w:p w:rsidR="00A06C12" w14:paraId="4D28E921"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0C4AD8" w14:paraId="044EB8D2"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 xml:space="preserve">Gifts or Payment. </w:t>
      </w:r>
    </w:p>
    <w:p w:rsidR="000C4AD8" w14:paraId="5B1515BF" w14:textId="77777777">
      <w:pPr>
        <w:widowControl w:val="0"/>
        <w:pBdr>
          <w:top w:val="nil"/>
          <w:left w:val="nil"/>
          <w:bottom w:val="nil"/>
          <w:right w:val="nil"/>
          <w:between w:val="nil"/>
        </w:pBdr>
        <w:tabs>
          <w:tab w:val="left" w:pos="360"/>
          <w:tab w:val="left" w:pos="720"/>
          <w:tab w:val="left" w:pos="820"/>
          <w:tab w:val="left" w:pos="821"/>
          <w:tab w:val="left" w:pos="1080"/>
          <w:tab w:val="left" w:pos="1440"/>
        </w:tabs>
        <w:ind w:right="183"/>
      </w:pPr>
    </w:p>
    <w:p w:rsidR="000C4AD8" w14:paraId="52F028D6" w14:textId="77777777">
      <w:pPr>
        <w:widowControl w:val="0"/>
        <w:tabs>
          <w:tab w:val="left" w:pos="657"/>
        </w:tabs>
        <w:rPr>
          <w:color w:val="000000"/>
        </w:rPr>
      </w:pPr>
      <w:r>
        <w:t xml:space="preserve">Not applicable, GSA makes no such payments or gifts to respondents under this information </w:t>
      </w:r>
      <w:r>
        <w:t>collection.</w:t>
      </w:r>
    </w:p>
    <w:p w:rsidR="000C4AD8" w14:paraId="625B7B86"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0C4AD8" w14:paraId="6A9E9F17"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 xml:space="preserve">Privacy &amp; Confidentiality.  </w:t>
      </w:r>
    </w:p>
    <w:p w:rsidR="000C4AD8" w14:paraId="624A2645" w14:textId="77777777">
      <w:pPr>
        <w:widowControl w:val="0"/>
        <w:pBdr>
          <w:top w:val="nil"/>
          <w:left w:val="nil"/>
          <w:bottom w:val="nil"/>
          <w:right w:val="nil"/>
          <w:between w:val="nil"/>
        </w:pBdr>
        <w:tabs>
          <w:tab w:val="left" w:pos="360"/>
          <w:tab w:val="left" w:pos="720"/>
          <w:tab w:val="left" w:pos="820"/>
          <w:tab w:val="left" w:pos="821"/>
          <w:tab w:val="left" w:pos="1080"/>
          <w:tab w:val="left" w:pos="1440"/>
        </w:tabs>
        <w:ind w:right="183"/>
      </w:pPr>
    </w:p>
    <w:p w:rsidR="000C4AD8" w14:paraId="51AB1B01" w14:textId="77777777">
      <w:pPr>
        <w:widowControl w:val="0"/>
        <w:tabs>
          <w:tab w:val="left" w:pos="657"/>
        </w:tabs>
      </w:pPr>
      <w:r>
        <w:t>Not applicable. GSA makes no additional assurances under this information collection beyond what is already applicable to contract information (i.e., information collected is disclosed only to the extent consistent with prudent business practices, agency regulations, and applicable statutes).</w:t>
      </w:r>
    </w:p>
    <w:p w:rsidR="000C4AD8" w14:paraId="2C37CB75" w14:textId="77777777">
      <w:pPr>
        <w:widowControl w:val="0"/>
        <w:tabs>
          <w:tab w:val="left" w:pos="360"/>
          <w:tab w:val="left" w:pos="720"/>
          <w:tab w:val="left" w:pos="820"/>
          <w:tab w:val="left" w:pos="821"/>
          <w:tab w:val="left" w:pos="1080"/>
          <w:tab w:val="left" w:pos="1440"/>
        </w:tabs>
        <w:ind w:right="183"/>
      </w:pPr>
    </w:p>
    <w:p w:rsidR="000C4AD8" w14:paraId="73851607"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 xml:space="preserve">Sensitive Questions.  </w:t>
      </w:r>
    </w:p>
    <w:p w:rsidR="000C4AD8" w14:paraId="53AAF22B" w14:textId="77777777">
      <w:pPr>
        <w:widowControl w:val="0"/>
        <w:pBdr>
          <w:top w:val="nil"/>
          <w:left w:val="nil"/>
          <w:bottom w:val="nil"/>
          <w:right w:val="nil"/>
          <w:between w:val="nil"/>
        </w:pBdr>
        <w:tabs>
          <w:tab w:val="left" w:pos="360"/>
          <w:tab w:val="left" w:pos="720"/>
          <w:tab w:val="left" w:pos="1080"/>
          <w:tab w:val="left" w:pos="1440"/>
        </w:tabs>
      </w:pPr>
    </w:p>
    <w:p w:rsidR="000C4AD8" w14:paraId="60193D8D" w14:textId="77777777">
      <w:pPr>
        <w:widowControl w:val="0"/>
        <w:tabs>
          <w:tab w:val="left" w:pos="657"/>
        </w:tabs>
      </w:pPr>
      <w:r>
        <w:t>Not applicable. No sensitive questions are involved under this information collection.</w:t>
      </w:r>
    </w:p>
    <w:p w:rsidR="000C4AD8" w14:paraId="435B3392"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0C4AD8" w14:paraId="1CD650B7"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rPr>
          <w:color w:val="000000"/>
        </w:rPr>
      </w:pPr>
      <w:r>
        <w:rPr>
          <w:color w:val="000000"/>
          <w:u w:val="single"/>
        </w:rPr>
        <w:t xml:space="preserve">Burden Estimate. </w:t>
      </w:r>
    </w:p>
    <w:p w:rsidR="000C4AD8" w14:paraId="64E34CCD" w14:textId="77777777">
      <w:pPr>
        <w:widowControl w:val="0"/>
        <w:pBdr>
          <w:top w:val="nil"/>
          <w:left w:val="nil"/>
          <w:bottom w:val="nil"/>
          <w:right w:val="nil"/>
          <w:between w:val="nil"/>
        </w:pBdr>
        <w:tabs>
          <w:tab w:val="left" w:pos="360"/>
          <w:tab w:val="left" w:pos="720"/>
          <w:tab w:val="left" w:pos="1080"/>
          <w:tab w:val="left" w:pos="1440"/>
        </w:tabs>
        <w:rPr>
          <w:highlight w:val="red"/>
        </w:rPr>
      </w:pPr>
    </w:p>
    <w:p w:rsidR="000C4AD8" w14:paraId="7F0649E2" w14:textId="77777777">
      <w:pPr>
        <w:rPr>
          <w:highlight w:val="red"/>
        </w:rPr>
      </w:pPr>
      <w:r>
        <w:t xml:space="preserve">GSA based the estimated burden on information obtained from subject matter experts familiar with the approximate number of vendors electing to receive orders via computer-to-computer Electronic Data Interchange or other electronic means, and the range of processing times, depending on the complexity of the contract.  The burden reflected is the burden of submitting the required information. </w:t>
      </w:r>
    </w:p>
    <w:p w:rsidR="000C4AD8" w14:paraId="2F4D5525" w14:textId="77777777">
      <w:pPr>
        <w:widowControl w:val="0"/>
        <w:spacing w:before="240" w:after="240"/>
      </w:pPr>
      <w:r>
        <w:t xml:space="preserve">The burden addressed in this information collection requirement is the burden of submitting the required information.  </w:t>
      </w:r>
    </w:p>
    <w:p w:rsidR="000C4AD8" w14:paraId="44C8319A" w14:textId="77777777">
      <w:pPr>
        <w:widowControl w:val="0"/>
        <w:spacing w:before="240" w:after="240"/>
        <w:ind w:left="720"/>
      </w:pPr>
      <w:r>
        <w:t xml:space="preserve">Number of respondents:                                          </w:t>
      </w:r>
      <w:r>
        <w:tab/>
        <w:t xml:space="preserve">   18,590</w:t>
      </w:r>
    </w:p>
    <w:p w:rsidR="000C4AD8" w14:paraId="4F23AD85" w14:textId="77777777">
      <w:pPr>
        <w:widowControl w:val="0"/>
        <w:spacing w:before="240" w:after="240"/>
        <w:ind w:left="720"/>
        <w:rPr>
          <w:u w:val="single"/>
        </w:rPr>
      </w:pPr>
      <w:r>
        <w:t xml:space="preserve">Responses per respondent:                                      </w:t>
      </w:r>
      <w:r>
        <w:tab/>
      </w:r>
      <w:r>
        <w:rPr>
          <w:u w:val="single"/>
        </w:rPr>
        <w:t xml:space="preserve">x   </w:t>
      </w:r>
      <w:r>
        <w:rPr>
          <w:u w:val="single"/>
        </w:rPr>
        <w:tab/>
        <w:t>1</w:t>
      </w:r>
    </w:p>
    <w:p w:rsidR="000C4AD8" w14:paraId="26C4B995" w14:textId="77777777">
      <w:pPr>
        <w:widowControl w:val="0"/>
        <w:spacing w:before="240" w:after="240"/>
        <w:ind w:left="720"/>
      </w:pPr>
      <w:r>
        <w:t xml:space="preserve">Number of responses:                                              </w:t>
      </w:r>
      <w:r>
        <w:tab/>
        <w:t xml:space="preserve">   18,590</w:t>
      </w:r>
    </w:p>
    <w:p w:rsidR="000C4AD8" w14:paraId="6410630A" w14:textId="77777777">
      <w:pPr>
        <w:widowControl w:val="0"/>
        <w:spacing w:before="240" w:after="240"/>
        <w:ind w:left="720"/>
        <w:rPr>
          <w:u w:val="single"/>
        </w:rPr>
      </w:pPr>
      <w:r>
        <w:t xml:space="preserve">Avg. hours per response:                                            </w:t>
      </w:r>
      <w:r>
        <w:tab/>
      </w:r>
      <w:r>
        <w:rPr>
          <w:u w:val="single"/>
        </w:rPr>
        <w:t>x       .50</w:t>
      </w:r>
    </w:p>
    <w:p w:rsidR="000C4AD8" w14:paraId="63B475A2" w14:textId="77777777">
      <w:pPr>
        <w:widowControl w:val="0"/>
        <w:spacing w:before="240" w:after="240"/>
        <w:ind w:left="720"/>
      </w:pPr>
      <w:r>
        <w:t>Estimated burden hours:                                                   9,295</w:t>
      </w:r>
    </w:p>
    <w:p w:rsidR="000C4AD8" w14:paraId="1D11C37C" w14:textId="77777777">
      <w:pPr>
        <w:tabs>
          <w:tab w:val="left" w:pos="6570"/>
        </w:tabs>
        <w:ind w:right="-720"/>
        <w:rPr>
          <w:u w:val="single"/>
        </w:rPr>
      </w:pPr>
      <w:r>
        <w:rPr>
          <w:rFonts w:ascii="Arial" w:eastAsia="Arial" w:hAnsi="Arial" w:cs="Arial"/>
        </w:rPr>
        <w:t xml:space="preserve">   </w:t>
      </w:r>
      <w:r>
        <w:t xml:space="preserve">       Estimated Cost Per Hour: ($26.62 + 36.25%)            </w:t>
      </w:r>
      <w:r>
        <w:rPr>
          <w:u w:val="single"/>
        </w:rPr>
        <w:t>x $36.27*</w:t>
      </w:r>
    </w:p>
    <w:p w:rsidR="000C4AD8" w14:paraId="4D853AA5" w14:textId="77777777">
      <w:pPr>
        <w:pStyle w:val="Heading4"/>
        <w:keepNext w:val="0"/>
        <w:keepLines w:val="0"/>
        <w:tabs>
          <w:tab w:val="left" w:pos="6570"/>
        </w:tabs>
        <w:spacing w:before="0" w:after="0"/>
        <w:ind w:right="-720"/>
        <w:rPr>
          <w:b w:val="0"/>
        </w:rPr>
      </w:pPr>
      <w:bookmarkStart w:id="0" w:name="_gjdgxs" w:colFirst="0" w:colLast="0"/>
      <w:bookmarkEnd w:id="0"/>
      <w:r>
        <w:rPr>
          <w:b w:val="0"/>
        </w:rPr>
        <w:t xml:space="preserve">          Total Estimated Annual Cost Burden:                        $337,130</w:t>
      </w:r>
    </w:p>
    <w:p w:rsidR="000C4AD8" w14:paraId="0B27BA8A" w14:textId="77777777">
      <w:pPr>
        <w:ind w:right="-720"/>
        <w:rPr>
          <w:rFonts w:ascii="Arial" w:eastAsia="Arial" w:hAnsi="Arial" w:cs="Arial"/>
        </w:rPr>
      </w:pPr>
    </w:p>
    <w:p w:rsidR="000C4AD8" w14:paraId="0E2BF782" w14:textId="77777777">
      <w:pPr>
        <w:spacing w:before="240" w:after="240"/>
      </w:pPr>
      <w:r>
        <w:t>*The estimated cost of $36.27 per hour is based on the task being accomplished by personnel equivalent to a GS-7, Step 5 salary (Base Pay with Rest of US Locality Pay) (Salary Table 2024-RUS, Effective January 2024), with fringe of 36.25% (OMB Memo M-08-13).</w:t>
      </w:r>
    </w:p>
    <w:tbl>
      <w:tblPr>
        <w:tblStyle w:val="a"/>
        <w:tblW w:w="8840" w:type="dxa"/>
        <w:tblLayout w:type="fixed"/>
        <w:tblLook w:val="0400"/>
      </w:tblPr>
      <w:tblGrid>
        <w:gridCol w:w="8840"/>
      </w:tblGrid>
      <w:tr w14:paraId="6C4F7EDB" w14:textId="77777777">
        <w:tblPrEx>
          <w:tblW w:w="8840" w:type="dxa"/>
          <w:tblLayout w:type="fixed"/>
          <w:tblLook w:val="0400"/>
        </w:tblPrEx>
        <w:tc>
          <w:tcPr>
            <w:tcW w:w="8840" w:type="dxa"/>
            <w:tcMar>
              <w:top w:w="15" w:type="dxa"/>
              <w:left w:w="15" w:type="dxa"/>
              <w:bottom w:w="15" w:type="dxa"/>
              <w:right w:w="15" w:type="dxa"/>
            </w:tcMar>
            <w:vAlign w:val="bottom"/>
          </w:tcPr>
          <w:p w:rsidR="000C4AD8" w14:paraId="47C2F29E" w14:textId="77777777">
            <w:pPr>
              <w:widowControl w:val="0"/>
              <w:pBdr>
                <w:top w:val="nil"/>
                <w:left w:val="nil"/>
                <w:bottom w:val="nil"/>
                <w:right w:val="nil"/>
                <w:between w:val="nil"/>
              </w:pBdr>
              <w:spacing w:line="276" w:lineRule="auto"/>
              <w:jc w:val="center"/>
              <w:rPr>
                <w:color w:val="000000"/>
              </w:rPr>
            </w:pPr>
          </w:p>
          <w:tbl>
            <w:tblPr>
              <w:tblStyle w:val="a0"/>
              <w:tblW w:w="8706" w:type="dxa"/>
              <w:tblBorders>
                <w:top w:val="single" w:sz="6" w:space="0" w:color="000000"/>
                <w:left w:val="single" w:sz="6" w:space="0" w:color="000000"/>
                <w:bottom w:val="single" w:sz="6" w:space="0" w:color="000000"/>
                <w:right w:val="single" w:sz="6" w:space="0" w:color="000000"/>
              </w:tblBorders>
              <w:tblLayout w:type="fixed"/>
              <w:tblLook w:val="0400"/>
            </w:tblPr>
            <w:tblGrid>
              <w:gridCol w:w="1668"/>
              <w:gridCol w:w="1233"/>
              <w:gridCol w:w="1237"/>
              <w:gridCol w:w="1237"/>
              <w:gridCol w:w="1244"/>
              <w:gridCol w:w="977"/>
              <w:gridCol w:w="1110"/>
            </w:tblGrid>
            <w:tr w14:paraId="63927091" w14:textId="77777777">
              <w:tblPrEx>
                <w:tblW w:w="8706" w:type="dxa"/>
                <w:tblBorders>
                  <w:top w:val="single" w:sz="6" w:space="0" w:color="000000"/>
                  <w:left w:val="single" w:sz="6" w:space="0" w:color="000000"/>
                  <w:bottom w:val="single" w:sz="6" w:space="0" w:color="000000"/>
                  <w:right w:val="single" w:sz="6" w:space="0" w:color="000000"/>
                </w:tblBorders>
                <w:tblLayout w:type="fixed"/>
                <w:tblLook w:val="0400"/>
              </w:tblPrEx>
              <w:tc>
                <w:tcPr>
                  <w:tcW w:w="1668"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0C4AD8" w14:paraId="1CE280AD" w14:textId="77777777">
                  <w:pPr>
                    <w:widowControl w:val="0"/>
                    <w:jc w:val="center"/>
                    <w:rPr>
                      <w:b/>
                    </w:rPr>
                  </w:pPr>
                </w:p>
              </w:tc>
              <w:tc>
                <w:tcPr>
                  <w:tcW w:w="1233"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0C4AD8" w14:paraId="386F2831" w14:textId="77777777">
                  <w:pPr>
                    <w:widowControl w:val="0"/>
                    <w:jc w:val="center"/>
                    <w:rPr>
                      <w:b/>
                      <w:color w:val="FFFFFF"/>
                    </w:rPr>
                  </w:pPr>
                  <w:r>
                    <w:rPr>
                      <w:b/>
                      <w:color w:val="FFFFFF"/>
                    </w:rPr>
                    <w:t>Requested</w:t>
                  </w:r>
                </w:p>
              </w:tc>
              <w:tc>
                <w:tcPr>
                  <w:tcW w:w="1237"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0C4AD8" w14:paraId="1B65B43F" w14:textId="77777777">
                  <w:pPr>
                    <w:widowControl w:val="0"/>
                    <w:jc w:val="center"/>
                    <w:rPr>
                      <w:b/>
                      <w:color w:val="FFFFFF"/>
                    </w:rPr>
                  </w:pPr>
                  <w:r>
                    <w:rPr>
                      <w:b/>
                      <w:color w:val="FFFFFF"/>
                    </w:rPr>
                    <w:t>Program Change Due to New Statute</w:t>
                  </w:r>
                </w:p>
              </w:tc>
              <w:tc>
                <w:tcPr>
                  <w:tcW w:w="1237"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0C4AD8" w14:paraId="27C0A390" w14:textId="77777777">
                  <w:pPr>
                    <w:widowControl w:val="0"/>
                    <w:jc w:val="center"/>
                    <w:rPr>
                      <w:b/>
                      <w:color w:val="FFFFFF"/>
                    </w:rPr>
                  </w:pPr>
                  <w:r>
                    <w:rPr>
                      <w:b/>
                      <w:color w:val="FFFFFF"/>
                    </w:rPr>
                    <w:t xml:space="preserve">Program Change Due to Agency </w:t>
                  </w:r>
                  <w:r>
                    <w:rPr>
                      <w:b/>
                      <w:color w:val="FFFFFF"/>
                    </w:rPr>
                    <w:t>Discretion</w:t>
                  </w:r>
                </w:p>
              </w:tc>
              <w:tc>
                <w:tcPr>
                  <w:tcW w:w="1244"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0C4AD8" w14:paraId="244F9A84" w14:textId="77777777">
                  <w:pPr>
                    <w:widowControl w:val="0"/>
                    <w:jc w:val="center"/>
                    <w:rPr>
                      <w:b/>
                      <w:color w:val="FFFFFF"/>
                    </w:rPr>
                  </w:pPr>
                  <w:r>
                    <w:rPr>
                      <w:b/>
                      <w:color w:val="FFFFFF"/>
                    </w:rPr>
                    <w:t xml:space="preserve">Change Due to Adjustment in Agency </w:t>
                  </w:r>
                  <w:r>
                    <w:rPr>
                      <w:b/>
                      <w:color w:val="FFFFFF"/>
                    </w:rPr>
                    <w:t>Estimate</w:t>
                  </w:r>
                </w:p>
              </w:tc>
              <w:tc>
                <w:tcPr>
                  <w:tcW w:w="977"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0C4AD8" w14:paraId="1CE76D35" w14:textId="77777777">
                  <w:pPr>
                    <w:widowControl w:val="0"/>
                    <w:jc w:val="center"/>
                    <w:rPr>
                      <w:b/>
                      <w:color w:val="FFFFFF"/>
                    </w:rPr>
                  </w:pPr>
                  <w:r>
                    <w:rPr>
                      <w:b/>
                      <w:color w:val="FFFFFF"/>
                    </w:rPr>
                    <w:t xml:space="preserve">Change Due to Potential Violation </w:t>
                  </w:r>
                  <w:r>
                    <w:rPr>
                      <w:b/>
                      <w:color w:val="FFFFFF"/>
                    </w:rPr>
                    <w:t>of the PRA</w:t>
                  </w:r>
                </w:p>
              </w:tc>
              <w:tc>
                <w:tcPr>
                  <w:tcW w:w="1110"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0C4AD8" w14:paraId="75554705" w14:textId="77777777">
                  <w:pPr>
                    <w:widowControl w:val="0"/>
                    <w:jc w:val="center"/>
                    <w:rPr>
                      <w:b/>
                      <w:color w:val="FFFFFF"/>
                    </w:rPr>
                  </w:pPr>
                  <w:r>
                    <w:rPr>
                      <w:b/>
                      <w:color w:val="FFFFFF"/>
                    </w:rPr>
                    <w:t>Previously Approved</w:t>
                  </w:r>
                </w:p>
              </w:tc>
            </w:tr>
            <w:tr w14:paraId="26E4BD4D" w14:textId="77777777">
              <w:tblPrEx>
                <w:tblW w:w="8706" w:type="dxa"/>
                <w:tblLayout w:type="fixed"/>
                <w:tblLook w:val="0400"/>
              </w:tblPrEx>
              <w:tc>
                <w:tcPr>
                  <w:tcW w:w="166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03F55E4B" w14:textId="77777777">
                  <w:pPr>
                    <w:widowControl w:val="0"/>
                    <w:jc w:val="center"/>
                  </w:pPr>
                  <w:r>
                    <w:t>Annual Number of Responses for this IC</w:t>
                  </w:r>
                </w:p>
              </w:tc>
              <w:tc>
                <w:tcPr>
                  <w:tcW w:w="123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772F2122" w14:textId="77777777">
                  <w:pPr>
                    <w:widowControl w:val="0"/>
                    <w:jc w:val="center"/>
                  </w:pPr>
                  <w:r>
                    <w:t>18590</w:t>
                  </w:r>
                </w:p>
              </w:tc>
              <w:tc>
                <w:tcPr>
                  <w:tcW w:w="123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661716E7" w14:textId="77777777">
                  <w:pPr>
                    <w:widowControl w:val="0"/>
                    <w:jc w:val="center"/>
                  </w:pPr>
                  <w:r>
                    <w:t>N/A</w:t>
                  </w:r>
                </w:p>
              </w:tc>
              <w:tc>
                <w:tcPr>
                  <w:tcW w:w="123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1ED67802" w14:textId="77777777">
                  <w:pPr>
                    <w:widowControl w:val="0"/>
                    <w:jc w:val="center"/>
                  </w:pPr>
                  <w:r>
                    <w:t>N/A</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24C6A145" w14:textId="77777777">
                  <w:pPr>
                    <w:widowControl w:val="0"/>
                    <w:jc w:val="center"/>
                  </w:pPr>
                  <w:r>
                    <w:t>0</w:t>
                  </w:r>
                </w:p>
              </w:tc>
              <w:tc>
                <w:tcPr>
                  <w:tcW w:w="97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7325A4E9" w14:textId="77777777">
                  <w:pPr>
                    <w:widowControl w:val="0"/>
                    <w:jc w:val="center"/>
                  </w:pPr>
                  <w:r>
                    <w:t>N/A</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06347E7A" w14:textId="77777777">
                  <w:pPr>
                    <w:widowControl w:val="0"/>
                    <w:jc w:val="center"/>
                  </w:pPr>
                  <w:r>
                    <w:t>18590</w:t>
                  </w:r>
                </w:p>
              </w:tc>
            </w:tr>
            <w:tr w14:paraId="4592E9DA" w14:textId="77777777">
              <w:tblPrEx>
                <w:tblW w:w="8706" w:type="dxa"/>
                <w:tblLayout w:type="fixed"/>
                <w:tblLook w:val="0400"/>
              </w:tblPrEx>
              <w:tc>
                <w:tcPr>
                  <w:tcW w:w="166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303F088B" w14:textId="77777777">
                  <w:pPr>
                    <w:widowControl w:val="0"/>
                    <w:jc w:val="center"/>
                  </w:pPr>
                  <w:r>
                    <w:t>Annual IC Time Burden (Hour)</w:t>
                  </w:r>
                </w:p>
              </w:tc>
              <w:tc>
                <w:tcPr>
                  <w:tcW w:w="123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7D37809A" w14:textId="77777777">
                  <w:pPr>
                    <w:widowControl w:val="0"/>
                    <w:jc w:val="center"/>
                  </w:pPr>
                  <w:r>
                    <w:t>9295</w:t>
                  </w:r>
                </w:p>
              </w:tc>
              <w:tc>
                <w:tcPr>
                  <w:tcW w:w="123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554D986B" w14:textId="77777777">
                  <w:pPr>
                    <w:widowControl w:val="0"/>
                    <w:jc w:val="center"/>
                  </w:pPr>
                  <w:r>
                    <w:t>N/A</w:t>
                  </w:r>
                </w:p>
              </w:tc>
              <w:tc>
                <w:tcPr>
                  <w:tcW w:w="123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1CDD201C" w14:textId="77777777">
                  <w:pPr>
                    <w:widowControl w:val="0"/>
                    <w:jc w:val="center"/>
                  </w:pPr>
                  <w:r>
                    <w:t>N/A</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6A25807A" w14:textId="77777777">
                  <w:pPr>
                    <w:widowControl w:val="0"/>
                    <w:jc w:val="center"/>
                  </w:pPr>
                  <w:r>
                    <w:t>0</w:t>
                  </w:r>
                </w:p>
              </w:tc>
              <w:tc>
                <w:tcPr>
                  <w:tcW w:w="97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3BBEABE7" w14:textId="77777777">
                  <w:pPr>
                    <w:widowControl w:val="0"/>
                    <w:jc w:val="center"/>
                  </w:pPr>
                  <w:r>
                    <w:t>N/A</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1CD57FC2" w14:textId="77777777">
                  <w:pPr>
                    <w:widowControl w:val="0"/>
                    <w:jc w:val="center"/>
                  </w:pPr>
                  <w:r>
                    <w:t>4648</w:t>
                  </w:r>
                </w:p>
              </w:tc>
            </w:tr>
            <w:tr w14:paraId="512BEB73" w14:textId="77777777">
              <w:tblPrEx>
                <w:tblW w:w="8706" w:type="dxa"/>
                <w:tblLayout w:type="fixed"/>
                <w:tblLook w:val="0400"/>
              </w:tblPrEx>
              <w:tc>
                <w:tcPr>
                  <w:tcW w:w="166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302228C3" w14:textId="77777777">
                  <w:pPr>
                    <w:widowControl w:val="0"/>
                    <w:jc w:val="center"/>
                  </w:pPr>
                  <w:r>
                    <w:t>Annual IC Cost Burden (Dollars)</w:t>
                  </w:r>
                </w:p>
              </w:tc>
              <w:tc>
                <w:tcPr>
                  <w:tcW w:w="123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29828F24" w14:textId="77777777">
                  <w:pPr>
                    <w:widowControl w:val="0"/>
                    <w:jc w:val="center"/>
                  </w:pPr>
                  <w:r>
                    <w:t>$337,130</w:t>
                  </w:r>
                </w:p>
              </w:tc>
              <w:tc>
                <w:tcPr>
                  <w:tcW w:w="123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10BA2ACD" w14:textId="77777777">
                  <w:pPr>
                    <w:widowControl w:val="0"/>
                    <w:jc w:val="center"/>
                  </w:pPr>
                  <w:r>
                    <w:t>N/A</w:t>
                  </w:r>
                </w:p>
              </w:tc>
              <w:tc>
                <w:tcPr>
                  <w:tcW w:w="123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5108C254" w14:textId="77777777">
                  <w:pPr>
                    <w:widowControl w:val="0"/>
                    <w:jc w:val="center"/>
                  </w:pPr>
                  <w:r>
                    <w:t>N/A</w:t>
                  </w:r>
                </w:p>
              </w:tc>
              <w:tc>
                <w:tcPr>
                  <w:tcW w:w="1244"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5813F1C5" w14:textId="77777777">
                  <w:pPr>
                    <w:widowControl w:val="0"/>
                    <w:jc w:val="center"/>
                  </w:pPr>
                  <w:r>
                    <w:t>$186,907</w:t>
                  </w:r>
                </w:p>
              </w:tc>
              <w:tc>
                <w:tcPr>
                  <w:tcW w:w="97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102F09EE" w14:textId="77777777">
                  <w:pPr>
                    <w:widowControl w:val="0"/>
                    <w:jc w:val="center"/>
                  </w:pPr>
                  <w:r>
                    <w:t>N/A</w:t>
                  </w:r>
                </w:p>
              </w:tc>
              <w:tc>
                <w:tcPr>
                  <w:tcW w:w="1110"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779CB07F" w14:textId="77777777">
                  <w:pPr>
                    <w:widowControl w:val="0"/>
                    <w:jc w:val="center"/>
                  </w:pPr>
                  <w:r>
                    <w:t>$150,223</w:t>
                  </w:r>
                </w:p>
              </w:tc>
            </w:tr>
          </w:tbl>
          <w:p w:rsidR="000C4AD8" w14:paraId="1CF48999" w14:textId="77777777">
            <w:pPr>
              <w:widowControl w:val="0"/>
              <w:jc w:val="center"/>
            </w:pPr>
          </w:p>
        </w:tc>
      </w:tr>
    </w:tbl>
    <w:p w:rsidR="000C4AD8" w14:paraId="40C29451" w14:textId="77777777">
      <w:pPr>
        <w:widowControl w:val="0"/>
        <w:pBdr>
          <w:top w:val="nil"/>
          <w:left w:val="nil"/>
          <w:bottom w:val="nil"/>
          <w:right w:val="nil"/>
          <w:between w:val="nil"/>
        </w:pBdr>
        <w:jc w:val="center"/>
        <w:rPr>
          <w:color w:val="000000"/>
        </w:rPr>
      </w:pPr>
    </w:p>
    <w:tbl>
      <w:tblPr>
        <w:tblStyle w:val="a1"/>
        <w:tblW w:w="8840" w:type="dxa"/>
        <w:tblLayout w:type="fixed"/>
        <w:tblLook w:val="0400"/>
      </w:tblPr>
      <w:tblGrid>
        <w:gridCol w:w="8730"/>
        <w:gridCol w:w="110"/>
      </w:tblGrid>
      <w:tr w14:paraId="7D56882C" w14:textId="77777777">
        <w:tblPrEx>
          <w:tblW w:w="8840" w:type="dxa"/>
          <w:tblLayout w:type="fixed"/>
          <w:tblLook w:val="0400"/>
        </w:tblPrEx>
        <w:trPr>
          <w:gridAfter w:val="1"/>
          <w:wAfter w:w="110" w:type="dxa"/>
        </w:trPr>
        <w:tc>
          <w:tcPr>
            <w:tcW w:w="8730" w:type="dxa"/>
            <w:tcMar>
              <w:top w:w="15" w:type="dxa"/>
              <w:left w:w="15" w:type="dxa"/>
              <w:bottom w:w="15" w:type="dxa"/>
              <w:right w:w="15" w:type="dxa"/>
            </w:tcMar>
            <w:vAlign w:val="center"/>
          </w:tcPr>
          <w:p w:rsidR="000C4AD8" w14:paraId="03C0AB8A" w14:textId="77777777">
            <w:pPr>
              <w:widowControl w:val="0"/>
            </w:pPr>
            <w:r>
              <w:t xml:space="preserve">Burden per Response: </w:t>
            </w:r>
          </w:p>
          <w:tbl>
            <w:tblPr>
              <w:tblStyle w:val="a2"/>
              <w:tblW w:w="7395" w:type="dxa"/>
              <w:tblBorders>
                <w:top w:val="single" w:sz="6" w:space="0" w:color="000000"/>
                <w:left w:val="single" w:sz="6" w:space="0" w:color="000000"/>
                <w:bottom w:val="single" w:sz="6" w:space="0" w:color="000000"/>
                <w:right w:val="single" w:sz="6" w:space="0" w:color="000000"/>
              </w:tblBorders>
              <w:tblLayout w:type="fixed"/>
              <w:tblLook w:val="0400"/>
            </w:tblPr>
            <w:tblGrid>
              <w:gridCol w:w="1348"/>
              <w:gridCol w:w="2153"/>
              <w:gridCol w:w="1807"/>
              <w:gridCol w:w="2087"/>
            </w:tblGrid>
            <w:tr w14:paraId="011D0618" w14:textId="77777777">
              <w:tblPrEx>
                <w:tblW w:w="7395" w:type="dxa"/>
                <w:tblBorders>
                  <w:top w:val="single" w:sz="6" w:space="0" w:color="000000"/>
                  <w:left w:val="single" w:sz="6" w:space="0" w:color="000000"/>
                  <w:bottom w:val="single" w:sz="6" w:space="0" w:color="000000"/>
                  <w:right w:val="single" w:sz="6" w:space="0" w:color="000000"/>
                </w:tblBorders>
                <w:tblLayout w:type="fixed"/>
                <w:tblLook w:val="0400"/>
              </w:tblPrEx>
              <w:tc>
                <w:tcPr>
                  <w:tcW w:w="1348"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0C4AD8" w14:paraId="118184E2" w14:textId="77777777">
                  <w:pPr>
                    <w:widowControl w:val="0"/>
                    <w:jc w:val="center"/>
                    <w:rPr>
                      <w:b/>
                    </w:rPr>
                  </w:pPr>
                  <w:r>
                    <w:rPr>
                      <w:b/>
                    </w:rPr>
                    <w:t xml:space="preserve">  </w:t>
                  </w:r>
                </w:p>
              </w:tc>
              <w:tc>
                <w:tcPr>
                  <w:tcW w:w="2153"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0C4AD8" w14:paraId="30D38AF9" w14:textId="77777777">
                  <w:pPr>
                    <w:widowControl w:val="0"/>
                    <w:jc w:val="center"/>
                    <w:rPr>
                      <w:b/>
                      <w:color w:val="FFFFFF"/>
                    </w:rPr>
                  </w:pPr>
                  <w:r>
                    <w:rPr>
                      <w:b/>
                      <w:color w:val="FFFFFF"/>
                    </w:rPr>
                    <w:t xml:space="preserve">Time Per Response </w:t>
                  </w:r>
                </w:p>
              </w:tc>
              <w:tc>
                <w:tcPr>
                  <w:tcW w:w="1807"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0C4AD8" w14:paraId="3E874720" w14:textId="77777777">
                  <w:pPr>
                    <w:widowControl w:val="0"/>
                    <w:jc w:val="center"/>
                    <w:rPr>
                      <w:b/>
                      <w:color w:val="FFFFFF"/>
                    </w:rPr>
                  </w:pPr>
                  <w:r>
                    <w:rPr>
                      <w:b/>
                      <w:color w:val="FFFFFF"/>
                    </w:rPr>
                    <w:t xml:space="preserve">Hours </w:t>
                  </w:r>
                </w:p>
              </w:tc>
              <w:tc>
                <w:tcPr>
                  <w:tcW w:w="2087"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0C4AD8" w14:paraId="66C07A34" w14:textId="77777777">
                  <w:pPr>
                    <w:widowControl w:val="0"/>
                    <w:jc w:val="center"/>
                    <w:rPr>
                      <w:b/>
                      <w:color w:val="FFFFFF"/>
                    </w:rPr>
                  </w:pPr>
                  <w:r>
                    <w:rPr>
                      <w:b/>
                      <w:color w:val="FFFFFF"/>
                    </w:rPr>
                    <w:t xml:space="preserve">Cost Per Response </w:t>
                  </w:r>
                </w:p>
              </w:tc>
            </w:tr>
            <w:tr w14:paraId="3A709138" w14:textId="77777777">
              <w:tblPrEx>
                <w:tblW w:w="7395" w:type="dxa"/>
                <w:tblLayout w:type="fixed"/>
                <w:tblLook w:val="0400"/>
              </w:tblPrEx>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517F7B18" w14:textId="77777777">
                  <w:pPr>
                    <w:widowControl w:val="0"/>
                    <w:jc w:val="center"/>
                  </w:pPr>
                  <w:r>
                    <w:t xml:space="preserve">Reporting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22A2204A" w14:textId="77777777">
                  <w:pPr>
                    <w:widowControl w:val="0"/>
                    <w:jc w:val="center"/>
                  </w:pPr>
                  <w:r>
                    <w:t>.50</w:t>
                  </w:r>
                </w:p>
              </w:tc>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40BD6A49" w14:textId="77777777">
                  <w:pPr>
                    <w:widowControl w:val="0"/>
                    <w:jc w:val="center"/>
                  </w:pPr>
                  <w:r>
                    <w:t>.50</w:t>
                  </w:r>
                </w:p>
              </w:tc>
              <w:tc>
                <w:tcPr>
                  <w:tcW w:w="208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3DA33D39" w14:textId="77777777">
                  <w:pPr>
                    <w:widowControl w:val="0"/>
                    <w:jc w:val="center"/>
                  </w:pPr>
                  <w:r>
                    <w:t>$18</w:t>
                  </w:r>
                </w:p>
              </w:tc>
            </w:tr>
            <w:tr w14:paraId="3C3C9E08" w14:textId="77777777">
              <w:tblPrEx>
                <w:tblW w:w="7395" w:type="dxa"/>
                <w:tblLayout w:type="fixed"/>
                <w:tblLook w:val="0400"/>
              </w:tblPrEx>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0B7FDF33" w14:textId="77777777">
                  <w:pPr>
                    <w:widowControl w:val="0"/>
                    <w:jc w:val="center"/>
                  </w:pPr>
                  <w:r>
                    <w:t xml:space="preserve">Record Keeping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43A25070" w14:textId="77777777">
                  <w:pPr>
                    <w:widowControl w:val="0"/>
                    <w:jc w:val="center"/>
                  </w:pPr>
                  <w:r>
                    <w:t>N/A</w:t>
                  </w:r>
                </w:p>
              </w:tc>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44F4B945" w14:textId="77777777">
                  <w:pPr>
                    <w:widowControl w:val="0"/>
                    <w:jc w:val="center"/>
                  </w:pPr>
                  <w:r>
                    <w:t>N/A</w:t>
                  </w:r>
                </w:p>
              </w:tc>
              <w:tc>
                <w:tcPr>
                  <w:tcW w:w="208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7B746B12" w14:textId="77777777">
                  <w:pPr>
                    <w:widowControl w:val="0"/>
                    <w:jc w:val="center"/>
                  </w:pPr>
                  <w:r>
                    <w:t>N/A</w:t>
                  </w:r>
                </w:p>
              </w:tc>
            </w:tr>
            <w:tr w14:paraId="2E4DD195" w14:textId="77777777">
              <w:tblPrEx>
                <w:tblW w:w="7395" w:type="dxa"/>
                <w:tblLayout w:type="fixed"/>
                <w:tblLook w:val="0400"/>
              </w:tblPrEx>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7C87628F" w14:textId="77777777">
                  <w:pPr>
                    <w:widowControl w:val="0"/>
                    <w:jc w:val="center"/>
                  </w:pPr>
                  <w:r>
                    <w:t xml:space="preserve">Third Party Disclosure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70DCF6FE" w14:textId="77777777">
                  <w:pPr>
                    <w:widowControl w:val="0"/>
                    <w:jc w:val="center"/>
                  </w:pPr>
                  <w:r>
                    <w:t>N/A</w:t>
                  </w:r>
                </w:p>
              </w:tc>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67FC4F9A" w14:textId="77777777">
                  <w:pPr>
                    <w:widowControl w:val="0"/>
                    <w:jc w:val="center"/>
                  </w:pPr>
                  <w:r>
                    <w:t>N/A</w:t>
                  </w:r>
                </w:p>
              </w:tc>
              <w:tc>
                <w:tcPr>
                  <w:tcW w:w="208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5586C559" w14:textId="77777777">
                  <w:pPr>
                    <w:widowControl w:val="0"/>
                    <w:jc w:val="center"/>
                  </w:pPr>
                  <w:r>
                    <w:t>N/A</w:t>
                  </w:r>
                </w:p>
              </w:tc>
            </w:tr>
            <w:tr w14:paraId="3C975740" w14:textId="77777777">
              <w:tblPrEx>
                <w:tblW w:w="7395" w:type="dxa"/>
                <w:tblLayout w:type="fixed"/>
                <w:tblLook w:val="0400"/>
              </w:tblPrEx>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7A6E0A55" w14:textId="77777777">
                  <w:pPr>
                    <w:widowControl w:val="0"/>
                    <w:jc w:val="center"/>
                  </w:pPr>
                  <w:r>
                    <w:t xml:space="preserve">Total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6A8F4A79" w14:textId="77777777">
                  <w:pPr>
                    <w:widowControl w:val="0"/>
                    <w:jc w:val="center"/>
                  </w:pPr>
                  <w:r>
                    <w:t>  .50</w:t>
                  </w:r>
                </w:p>
              </w:tc>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1628FDDE" w14:textId="77777777">
                  <w:pPr>
                    <w:widowControl w:val="0"/>
                    <w:jc w:val="center"/>
                  </w:pPr>
                  <w:r>
                    <w:t> .50</w:t>
                  </w:r>
                </w:p>
              </w:tc>
              <w:tc>
                <w:tcPr>
                  <w:tcW w:w="208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3D9FF56E" w14:textId="77777777">
                  <w:pPr>
                    <w:widowControl w:val="0"/>
                    <w:jc w:val="center"/>
                  </w:pPr>
                  <w:r>
                    <w:t>$18</w:t>
                  </w:r>
                </w:p>
              </w:tc>
            </w:tr>
          </w:tbl>
          <w:p w:rsidR="000C4AD8" w14:paraId="14FB075F" w14:textId="77777777">
            <w:pPr>
              <w:widowControl w:val="0"/>
              <w:jc w:val="center"/>
            </w:pPr>
          </w:p>
        </w:tc>
      </w:tr>
      <w:tr w14:paraId="47D9CAB4" w14:textId="77777777">
        <w:tblPrEx>
          <w:tblW w:w="8840" w:type="dxa"/>
          <w:tblLayout w:type="fixed"/>
          <w:tblLook w:val="0400"/>
        </w:tblPrEx>
        <w:tc>
          <w:tcPr>
            <w:tcW w:w="8840" w:type="dxa"/>
            <w:gridSpan w:val="2"/>
            <w:tcMar>
              <w:top w:w="15" w:type="dxa"/>
              <w:left w:w="15" w:type="dxa"/>
              <w:bottom w:w="15" w:type="dxa"/>
              <w:right w:w="15" w:type="dxa"/>
            </w:tcMar>
            <w:vAlign w:val="center"/>
          </w:tcPr>
          <w:p w:rsidR="000C4AD8" w14:paraId="7BB2F6D1" w14:textId="77777777">
            <w:pPr>
              <w:widowControl w:val="0"/>
              <w:jc w:val="center"/>
            </w:pPr>
          </w:p>
          <w:p w:rsidR="000C4AD8" w14:paraId="1BB3B36D" w14:textId="77777777">
            <w:pPr>
              <w:widowControl w:val="0"/>
            </w:pPr>
            <w:r>
              <w:t xml:space="preserve">Annual Burden: </w:t>
            </w:r>
          </w:p>
          <w:tbl>
            <w:tblPr>
              <w:tblStyle w:val="a3"/>
              <w:tblW w:w="7698" w:type="dxa"/>
              <w:tblBorders>
                <w:top w:val="single" w:sz="6" w:space="0" w:color="000000"/>
                <w:left w:val="single" w:sz="6" w:space="0" w:color="000000"/>
                <w:bottom w:val="single" w:sz="6" w:space="0" w:color="000000"/>
                <w:right w:val="single" w:sz="6" w:space="0" w:color="000000"/>
              </w:tblBorders>
              <w:tblLayout w:type="fixed"/>
              <w:tblLook w:val="0400"/>
            </w:tblPr>
            <w:tblGrid>
              <w:gridCol w:w="1567"/>
              <w:gridCol w:w="3047"/>
              <w:gridCol w:w="3084"/>
            </w:tblGrid>
            <w:tr w14:paraId="07B096D0" w14:textId="77777777">
              <w:tblPrEx>
                <w:tblW w:w="7698" w:type="dxa"/>
                <w:tblBorders>
                  <w:top w:val="single" w:sz="6" w:space="0" w:color="000000"/>
                  <w:left w:val="single" w:sz="6" w:space="0" w:color="000000"/>
                  <w:bottom w:val="single" w:sz="6" w:space="0" w:color="000000"/>
                  <w:right w:val="single" w:sz="6" w:space="0" w:color="000000"/>
                </w:tblBorders>
                <w:tblLayout w:type="fixed"/>
                <w:tblLook w:val="0400"/>
              </w:tblPrEx>
              <w:tc>
                <w:tcPr>
                  <w:tcW w:w="1567"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0C4AD8" w14:paraId="57F72E0B" w14:textId="77777777">
                  <w:pPr>
                    <w:widowControl w:val="0"/>
                    <w:jc w:val="center"/>
                    <w:rPr>
                      <w:b/>
                    </w:rPr>
                  </w:pPr>
                  <w:r>
                    <w:rPr>
                      <w:b/>
                    </w:rPr>
                    <w:t xml:space="preserve">  </w:t>
                  </w:r>
                </w:p>
              </w:tc>
              <w:tc>
                <w:tcPr>
                  <w:tcW w:w="3047"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0C4AD8" w14:paraId="40AE46D8" w14:textId="77777777">
                  <w:pPr>
                    <w:widowControl w:val="0"/>
                    <w:jc w:val="center"/>
                    <w:rPr>
                      <w:b/>
                      <w:color w:val="FFFFFF"/>
                    </w:rPr>
                  </w:pPr>
                  <w:r>
                    <w:rPr>
                      <w:b/>
                      <w:color w:val="FFFFFF"/>
                    </w:rPr>
                    <w:t xml:space="preserve">Annual Time Burden (Hours) </w:t>
                  </w:r>
                </w:p>
              </w:tc>
              <w:tc>
                <w:tcPr>
                  <w:tcW w:w="3084"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0C4AD8" w14:paraId="78E0A70E" w14:textId="77777777">
                  <w:pPr>
                    <w:widowControl w:val="0"/>
                    <w:jc w:val="center"/>
                    <w:rPr>
                      <w:b/>
                      <w:color w:val="FFFFFF"/>
                    </w:rPr>
                  </w:pPr>
                  <w:r>
                    <w:rPr>
                      <w:b/>
                      <w:color w:val="FFFFFF"/>
                    </w:rPr>
                    <w:t>Annual Cost Burden</w:t>
                  </w:r>
                </w:p>
                <w:p w:rsidR="000C4AD8" w14:paraId="5D75B514" w14:textId="77777777">
                  <w:pPr>
                    <w:widowControl w:val="0"/>
                    <w:jc w:val="center"/>
                    <w:rPr>
                      <w:b/>
                      <w:color w:val="FFFFFF"/>
                    </w:rPr>
                  </w:pPr>
                  <w:r>
                    <w:rPr>
                      <w:b/>
                      <w:color w:val="FFFFFF"/>
                    </w:rPr>
                    <w:t xml:space="preserve">(Dollars) </w:t>
                  </w:r>
                </w:p>
              </w:tc>
            </w:tr>
            <w:tr w14:paraId="2ABDF782" w14:textId="77777777">
              <w:tblPrEx>
                <w:tblW w:w="7698" w:type="dxa"/>
                <w:tblLayout w:type="fixed"/>
                <w:tblLook w:val="0400"/>
              </w:tblPrEx>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1C96552C" w14:textId="77777777">
                  <w:pPr>
                    <w:widowControl w:val="0"/>
                    <w:jc w:val="center"/>
                  </w:pPr>
                  <w:r>
                    <w:t xml:space="preserve">Reporting </w:t>
                  </w:r>
                </w:p>
              </w:tc>
              <w:tc>
                <w:tcPr>
                  <w:tcW w:w="304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4E4E47E2" w14:textId="77777777">
                  <w:pPr>
                    <w:widowControl w:val="0"/>
                    <w:jc w:val="center"/>
                  </w:pPr>
                  <w:r>
                    <w:t>18,590</w:t>
                  </w:r>
                </w:p>
              </w:tc>
              <w:tc>
                <w:tcPr>
                  <w:tcW w:w="3084"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2C288D35" w14:textId="77777777">
                  <w:pPr>
                    <w:widowControl w:val="0"/>
                    <w:jc w:val="center"/>
                  </w:pPr>
                  <w:r>
                    <w:t>$337,130</w:t>
                  </w:r>
                </w:p>
              </w:tc>
            </w:tr>
            <w:tr w14:paraId="6E8DF84C" w14:textId="77777777">
              <w:tblPrEx>
                <w:tblW w:w="7698" w:type="dxa"/>
                <w:tblLayout w:type="fixed"/>
                <w:tblLook w:val="0400"/>
              </w:tblPrEx>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54CCF41E" w14:textId="77777777">
                  <w:pPr>
                    <w:widowControl w:val="0"/>
                    <w:jc w:val="center"/>
                  </w:pPr>
                  <w:r>
                    <w:t xml:space="preserve">Record Keeping </w:t>
                  </w:r>
                </w:p>
              </w:tc>
              <w:tc>
                <w:tcPr>
                  <w:tcW w:w="304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55BDFE16" w14:textId="77777777">
                  <w:pPr>
                    <w:widowControl w:val="0"/>
                    <w:jc w:val="center"/>
                  </w:pPr>
                  <w:r>
                    <w:t>N/A</w:t>
                  </w:r>
                </w:p>
              </w:tc>
              <w:tc>
                <w:tcPr>
                  <w:tcW w:w="3084"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74C96E00" w14:textId="77777777">
                  <w:pPr>
                    <w:widowControl w:val="0"/>
                    <w:jc w:val="center"/>
                  </w:pPr>
                  <w:r>
                    <w:t>N/A </w:t>
                  </w:r>
                </w:p>
              </w:tc>
            </w:tr>
            <w:tr w14:paraId="6BF38393" w14:textId="77777777">
              <w:tblPrEx>
                <w:tblW w:w="7698" w:type="dxa"/>
                <w:tblLayout w:type="fixed"/>
                <w:tblLook w:val="0400"/>
              </w:tblPrEx>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577B7704" w14:textId="77777777">
                  <w:pPr>
                    <w:widowControl w:val="0"/>
                    <w:jc w:val="center"/>
                  </w:pPr>
                  <w:r>
                    <w:t xml:space="preserve">Third Party Disclosure </w:t>
                  </w:r>
                </w:p>
              </w:tc>
              <w:tc>
                <w:tcPr>
                  <w:tcW w:w="304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3691B496" w14:textId="77777777">
                  <w:pPr>
                    <w:widowControl w:val="0"/>
                    <w:jc w:val="center"/>
                  </w:pPr>
                  <w:r>
                    <w:t>N/A</w:t>
                  </w:r>
                </w:p>
              </w:tc>
              <w:tc>
                <w:tcPr>
                  <w:tcW w:w="3084"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0EC9BA0F" w14:textId="77777777">
                  <w:pPr>
                    <w:widowControl w:val="0"/>
                    <w:jc w:val="center"/>
                  </w:pPr>
                  <w:r>
                    <w:t>N/A </w:t>
                  </w:r>
                </w:p>
              </w:tc>
            </w:tr>
            <w:tr w14:paraId="1172EA7E" w14:textId="77777777">
              <w:tblPrEx>
                <w:tblW w:w="7698" w:type="dxa"/>
                <w:tblLayout w:type="fixed"/>
                <w:tblLook w:val="0400"/>
              </w:tblPrEx>
              <w:tc>
                <w:tcPr>
                  <w:tcW w:w="156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780B8C18" w14:textId="77777777">
                  <w:pPr>
                    <w:widowControl w:val="0"/>
                    <w:jc w:val="center"/>
                  </w:pPr>
                  <w:r>
                    <w:t xml:space="preserve">Total </w:t>
                  </w:r>
                </w:p>
              </w:tc>
              <w:tc>
                <w:tcPr>
                  <w:tcW w:w="304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6E0A71EC" w14:textId="77777777">
                  <w:pPr>
                    <w:widowControl w:val="0"/>
                    <w:jc w:val="center"/>
                  </w:pPr>
                  <w:r>
                    <w:t>18,590</w:t>
                  </w:r>
                </w:p>
              </w:tc>
              <w:tc>
                <w:tcPr>
                  <w:tcW w:w="3084"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0C4AD8" w14:paraId="21C158A8" w14:textId="77777777">
                  <w:pPr>
                    <w:widowControl w:val="0"/>
                    <w:jc w:val="center"/>
                  </w:pPr>
                  <w:r>
                    <w:t>$337,130</w:t>
                  </w:r>
                </w:p>
              </w:tc>
            </w:tr>
          </w:tbl>
          <w:p w:rsidR="000C4AD8" w14:paraId="009AA5DD" w14:textId="77777777">
            <w:pPr>
              <w:widowControl w:val="0"/>
              <w:jc w:val="center"/>
            </w:pPr>
          </w:p>
        </w:tc>
      </w:tr>
    </w:tbl>
    <w:p w:rsidR="000C4AD8" w14:paraId="094236CF" w14:textId="77777777">
      <w:pPr>
        <w:widowControl w:val="0"/>
        <w:pBdr>
          <w:top w:val="nil"/>
          <w:left w:val="nil"/>
          <w:bottom w:val="nil"/>
          <w:right w:val="nil"/>
          <w:between w:val="nil"/>
        </w:pBdr>
        <w:tabs>
          <w:tab w:val="left" w:pos="360"/>
          <w:tab w:val="left" w:pos="720"/>
          <w:tab w:val="left" w:pos="1080"/>
          <w:tab w:val="left" w:pos="1440"/>
        </w:tabs>
        <w:rPr>
          <w:color w:val="000000"/>
          <w:u w:val="single"/>
        </w:rPr>
      </w:pPr>
    </w:p>
    <w:p w:rsidR="000C4AD8" w14:paraId="4C3D52DA"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Estimated nonrecurring costs</w:t>
      </w:r>
      <w:r>
        <w:rPr>
          <w:color w:val="000000"/>
        </w:rPr>
        <w:t xml:space="preserve">. </w:t>
      </w:r>
    </w:p>
    <w:p w:rsidR="000C4AD8" w14:paraId="67A0631D" w14:textId="77777777">
      <w:pPr>
        <w:widowControl w:val="0"/>
        <w:pBdr>
          <w:top w:val="nil"/>
          <w:left w:val="nil"/>
          <w:bottom w:val="nil"/>
          <w:right w:val="nil"/>
          <w:between w:val="nil"/>
        </w:pBdr>
        <w:tabs>
          <w:tab w:val="left" w:pos="360"/>
          <w:tab w:val="left" w:pos="720"/>
          <w:tab w:val="left" w:pos="1080"/>
        </w:tabs>
      </w:pPr>
    </w:p>
    <w:p w:rsidR="000C4AD8" w14:paraId="0F073B49" w14:textId="77777777">
      <w:pPr>
        <w:widowControl w:val="0"/>
        <w:pBdr>
          <w:top w:val="nil"/>
          <w:left w:val="nil"/>
          <w:bottom w:val="nil"/>
          <w:right w:val="nil"/>
          <w:between w:val="nil"/>
        </w:pBdr>
        <w:tabs>
          <w:tab w:val="left" w:pos="360"/>
          <w:tab w:val="left" w:pos="720"/>
          <w:tab w:val="left" w:pos="1080"/>
        </w:tabs>
      </w:pPr>
      <w:r>
        <w:t xml:space="preserve">Not applicable to this information collection. </w:t>
      </w:r>
    </w:p>
    <w:p w:rsidR="000C4AD8" w14:paraId="237A1AA4" w14:textId="77777777">
      <w:pPr>
        <w:widowControl w:val="0"/>
        <w:pBdr>
          <w:top w:val="nil"/>
          <w:left w:val="nil"/>
          <w:bottom w:val="nil"/>
          <w:right w:val="nil"/>
          <w:between w:val="nil"/>
        </w:pBdr>
        <w:tabs>
          <w:tab w:val="left" w:pos="360"/>
          <w:tab w:val="left" w:pos="720"/>
          <w:tab w:val="left" w:pos="1080"/>
        </w:tabs>
      </w:pPr>
    </w:p>
    <w:p w:rsidR="000C4AD8" w14:paraId="1E5CC51F"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Estimated cost to the Government</w:t>
      </w:r>
      <w:r>
        <w:rPr>
          <w:color w:val="000000"/>
        </w:rPr>
        <w:t xml:space="preserve">. </w:t>
      </w:r>
    </w:p>
    <w:p w:rsidR="000C4AD8" w14:paraId="6802EAEF" w14:textId="77777777">
      <w:pPr>
        <w:widowControl w:val="0"/>
        <w:pBdr>
          <w:top w:val="nil"/>
          <w:left w:val="nil"/>
          <w:bottom w:val="nil"/>
          <w:right w:val="nil"/>
          <w:between w:val="nil"/>
        </w:pBdr>
        <w:tabs>
          <w:tab w:val="left" w:pos="360"/>
          <w:tab w:val="left" w:pos="720"/>
          <w:tab w:val="left" w:pos="1080"/>
        </w:tabs>
      </w:pPr>
    </w:p>
    <w:p w:rsidR="000C4AD8" w14:paraId="52FBC743" w14:textId="77777777">
      <w:r>
        <w:t xml:space="preserve">The annualized cost to the Federal Government is estimated as follows: </w:t>
      </w:r>
    </w:p>
    <w:p w:rsidR="000C4AD8" w14:paraId="20183985" w14:textId="77777777">
      <w:pPr>
        <w:tabs>
          <w:tab w:val="left" w:pos="3959"/>
        </w:tabs>
      </w:pPr>
    </w:p>
    <w:p w:rsidR="000C4AD8" w14:paraId="5C637789" w14:textId="77777777">
      <w:pPr>
        <w:widowControl w:val="0"/>
        <w:tabs>
          <w:tab w:val="right" w:pos="6480"/>
        </w:tabs>
        <w:ind w:left="720"/>
      </w:pPr>
      <w:r>
        <w:t>Number of responses</w:t>
      </w:r>
      <w:r>
        <w:tab/>
        <w:t>18,590</w:t>
      </w:r>
    </w:p>
    <w:p w:rsidR="000C4AD8" w14:paraId="6EEDA2E6" w14:textId="77777777">
      <w:pPr>
        <w:widowControl w:val="0"/>
        <w:tabs>
          <w:tab w:val="right" w:pos="6480"/>
        </w:tabs>
        <w:ind w:left="720"/>
        <w:rPr>
          <w:u w:val="single"/>
        </w:rPr>
      </w:pPr>
      <w:r>
        <w:t xml:space="preserve">Review time per response </w:t>
      </w:r>
      <w:r>
        <w:tab/>
      </w:r>
      <w:r>
        <w:rPr>
          <w:u w:val="single"/>
        </w:rPr>
        <w:t>x  0.50</w:t>
      </w:r>
    </w:p>
    <w:p w:rsidR="000C4AD8" w14:paraId="2D8F537B" w14:textId="77777777">
      <w:pPr>
        <w:widowControl w:val="0"/>
        <w:tabs>
          <w:tab w:val="right" w:pos="6480"/>
        </w:tabs>
        <w:ind w:left="720"/>
      </w:pPr>
      <w:r>
        <w:t>Estimated Hours</w:t>
      </w:r>
      <w:r>
        <w:tab/>
        <w:t>9,295</w:t>
      </w:r>
    </w:p>
    <w:p w:rsidR="000C4AD8" w14:paraId="6E826E52" w14:textId="77777777">
      <w:pPr>
        <w:widowControl w:val="0"/>
        <w:tabs>
          <w:tab w:val="right" w:pos="6480"/>
        </w:tabs>
        <w:ind w:left="720"/>
      </w:pPr>
    </w:p>
    <w:p w:rsidR="000C4AD8" w14:paraId="1CCF3B6C" w14:textId="77777777">
      <w:pPr>
        <w:widowControl w:val="0"/>
        <w:tabs>
          <w:tab w:val="right" w:pos="6480"/>
        </w:tabs>
        <w:ind w:left="720"/>
      </w:pPr>
      <w:r>
        <w:t>Cost per hour*</w:t>
      </w:r>
      <w:r>
        <w:tab/>
        <w:t xml:space="preserve"> </w:t>
      </w:r>
      <w:r>
        <w:rPr>
          <w:u w:val="single"/>
        </w:rPr>
        <w:t>x  $36.27*</w:t>
      </w:r>
    </w:p>
    <w:p w:rsidR="000C4AD8" w14:paraId="55276CFC" w14:textId="77777777">
      <w:pPr>
        <w:widowControl w:val="0"/>
        <w:tabs>
          <w:tab w:val="right" w:pos="6480"/>
        </w:tabs>
        <w:ind w:left="720"/>
      </w:pPr>
      <w:r>
        <w:t>Total annual Government cost</w:t>
      </w:r>
      <w:r>
        <w:tab/>
        <w:t xml:space="preserve"> $337,130</w:t>
      </w:r>
    </w:p>
    <w:p w:rsidR="000C4AD8" w14:paraId="648CD5B6" w14:textId="77777777">
      <w:pPr>
        <w:tabs>
          <w:tab w:val="left" w:pos="3959"/>
        </w:tabs>
        <w:ind w:left="120"/>
      </w:pPr>
    </w:p>
    <w:p w:rsidR="000C4AD8" w14:paraId="09EFA2FA" w14:textId="77777777">
      <w:r>
        <w:t>*The estimated cost of $36.27 per hour is based on the task being accomplished by personnel equivalent to a GS-7, Step 5 salary (Base Pay with Rest of US Locality Pay) (Salary Table 2024-RUS, Effective January 2024), with fringe of 36.25% (OMB Memo M-08-13).</w:t>
      </w:r>
    </w:p>
    <w:p w:rsidR="000C4AD8" w14:paraId="494C0DF6" w14:textId="77777777">
      <w:pPr>
        <w:widowControl w:val="0"/>
        <w:tabs>
          <w:tab w:val="left" w:pos="360"/>
          <w:tab w:val="left" w:pos="720"/>
          <w:tab w:val="left" w:pos="1080"/>
        </w:tabs>
      </w:pPr>
    </w:p>
    <w:p w:rsidR="000C4AD8" w14:paraId="05C0789A"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Reasons for changes</w:t>
      </w:r>
      <w:r>
        <w:rPr>
          <w:color w:val="000000"/>
        </w:rPr>
        <w:t xml:space="preserve">.  </w:t>
      </w:r>
    </w:p>
    <w:p w:rsidR="000C4AD8" w14:paraId="43DF6471" w14:textId="77777777">
      <w:pPr>
        <w:widowControl w:val="0"/>
        <w:pBdr>
          <w:top w:val="nil"/>
          <w:left w:val="nil"/>
          <w:bottom w:val="nil"/>
          <w:right w:val="nil"/>
          <w:between w:val="nil"/>
        </w:pBdr>
        <w:tabs>
          <w:tab w:val="left" w:pos="360"/>
          <w:tab w:val="left" w:pos="720"/>
          <w:tab w:val="left" w:pos="1080"/>
        </w:tabs>
        <w:ind w:left="360"/>
      </w:pPr>
    </w:p>
    <w:p w:rsidR="000C4AD8" w14:paraId="6C1D1B3D" w14:textId="77777777">
      <w:pPr>
        <w:widowControl w:val="0"/>
        <w:numPr>
          <w:ilvl w:val="0"/>
          <w:numId w:val="1"/>
        </w:numPr>
        <w:pBdr>
          <w:top w:val="nil"/>
          <w:left w:val="nil"/>
          <w:bottom w:val="nil"/>
          <w:right w:val="nil"/>
          <w:between w:val="nil"/>
        </w:pBdr>
        <w:tabs>
          <w:tab w:val="left" w:pos="360"/>
          <w:tab w:val="left" w:pos="720"/>
          <w:tab w:val="left" w:pos="1080"/>
        </w:tabs>
        <w:rPr>
          <w:color w:val="000000"/>
        </w:rPr>
      </w:pPr>
      <w:r>
        <w:t xml:space="preserve">The hourly rate (plus fringe) was updated to reflect the rates effective January 2024, as opposed to January 2021 for annual public cost burden. </w:t>
      </w:r>
    </w:p>
    <w:p w:rsidR="000C4AD8" w14:paraId="33AAEB59" w14:textId="77777777">
      <w:pPr>
        <w:widowControl w:val="0"/>
        <w:numPr>
          <w:ilvl w:val="0"/>
          <w:numId w:val="1"/>
        </w:numPr>
        <w:pBdr>
          <w:top w:val="nil"/>
          <w:left w:val="nil"/>
          <w:bottom w:val="nil"/>
          <w:right w:val="nil"/>
          <w:between w:val="nil"/>
        </w:pBdr>
        <w:tabs>
          <w:tab w:val="left" w:pos="360"/>
          <w:tab w:val="left" w:pos="720"/>
          <w:tab w:val="left" w:pos="1080"/>
        </w:tabs>
        <w:rPr>
          <w:color w:val="000000"/>
        </w:rPr>
      </w:pPr>
      <w:r>
        <w:t>The hourly rate (plus fringe) was updated to reflect the rates effective January 2024, as opposed to January 2021 for annual cost burden to the Government.</w:t>
      </w:r>
    </w:p>
    <w:p w:rsidR="000C4AD8" w14:paraId="3F13764C" w14:textId="77777777">
      <w:pPr>
        <w:widowControl w:val="0"/>
        <w:numPr>
          <w:ilvl w:val="0"/>
          <w:numId w:val="1"/>
        </w:numPr>
        <w:tabs>
          <w:tab w:val="left" w:pos="360"/>
          <w:tab w:val="left" w:pos="720"/>
          <w:tab w:val="left" w:pos="1080"/>
        </w:tabs>
      </w:pPr>
      <w:r>
        <w:t xml:space="preserve">An upwards adjustment of the time to review from 15 minutes (.25 of an hour) to 30 minutes (.50 of an hour). </w:t>
      </w:r>
    </w:p>
    <w:p w:rsidR="000C4AD8" w14:paraId="68AE0797" w14:textId="77777777">
      <w:pPr>
        <w:widowControl w:val="0"/>
        <w:pBdr>
          <w:top w:val="nil"/>
          <w:left w:val="nil"/>
          <w:bottom w:val="nil"/>
          <w:right w:val="nil"/>
          <w:between w:val="nil"/>
        </w:pBdr>
        <w:tabs>
          <w:tab w:val="left" w:pos="360"/>
          <w:tab w:val="left" w:pos="720"/>
          <w:tab w:val="left" w:pos="1080"/>
        </w:tabs>
        <w:ind w:left="360"/>
      </w:pPr>
    </w:p>
    <w:p w:rsidR="000C4AD8" w14:paraId="77661EB8"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 xml:space="preserve">Publicizing Results. </w:t>
      </w:r>
    </w:p>
    <w:p w:rsidR="000C4AD8" w14:paraId="23B56425" w14:textId="77777777">
      <w:pPr>
        <w:widowControl w:val="0"/>
        <w:tabs>
          <w:tab w:val="left" w:pos="360"/>
          <w:tab w:val="left" w:pos="720"/>
          <w:tab w:val="left" w:pos="1080"/>
        </w:tabs>
      </w:pPr>
    </w:p>
    <w:p w:rsidR="000C4AD8" w14:paraId="00CF971E" w14:textId="77777777">
      <w:pPr>
        <w:widowControl w:val="0"/>
        <w:tabs>
          <w:tab w:val="left" w:pos="360"/>
          <w:tab w:val="left" w:pos="720"/>
          <w:tab w:val="left" w:pos="1080"/>
        </w:tabs>
      </w:pPr>
      <w:r>
        <w:t>Not applicable, results of this information collection will not be published. Information collected is used for internal purposes only.</w:t>
      </w:r>
    </w:p>
    <w:p w:rsidR="000C4AD8" w14:paraId="36E50BCD" w14:textId="77777777">
      <w:pPr>
        <w:widowControl w:val="0"/>
        <w:tabs>
          <w:tab w:val="left" w:pos="360"/>
          <w:tab w:val="left" w:pos="720"/>
          <w:tab w:val="left" w:pos="1080"/>
        </w:tabs>
      </w:pPr>
    </w:p>
    <w:p w:rsidR="000C4AD8" w14:paraId="0C029044"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OMB Not to Display Approval.</w:t>
      </w:r>
      <w:r>
        <w:rPr>
          <w:color w:val="000000"/>
        </w:rPr>
        <w:t xml:space="preserve"> </w:t>
      </w:r>
    </w:p>
    <w:p w:rsidR="000C4AD8" w14:paraId="59654902" w14:textId="77777777">
      <w:pPr>
        <w:widowControl w:val="0"/>
        <w:pBdr>
          <w:top w:val="nil"/>
          <w:left w:val="nil"/>
          <w:bottom w:val="nil"/>
          <w:right w:val="nil"/>
          <w:between w:val="nil"/>
        </w:pBdr>
        <w:tabs>
          <w:tab w:val="left" w:pos="360"/>
          <w:tab w:val="left" w:pos="720"/>
          <w:tab w:val="left" w:pos="1080"/>
        </w:tabs>
      </w:pPr>
    </w:p>
    <w:p w:rsidR="000C4AD8" w14:paraId="1DAEB66F" w14:textId="77777777">
      <w:pPr>
        <w:tabs>
          <w:tab w:val="left" w:pos="360"/>
          <w:tab w:val="left" w:pos="720"/>
          <w:tab w:val="left" w:pos="1080"/>
        </w:tabs>
      </w:pPr>
      <w:r>
        <w:t>Not applicable, GSA is not seeking such approval for this information collection.</w:t>
      </w:r>
    </w:p>
    <w:p w:rsidR="000C4AD8" w14:paraId="52997898" w14:textId="77777777">
      <w:pPr>
        <w:widowControl w:val="0"/>
        <w:tabs>
          <w:tab w:val="left" w:pos="360"/>
          <w:tab w:val="left" w:pos="720"/>
          <w:tab w:val="left" w:pos="1080"/>
        </w:tabs>
      </w:pPr>
    </w:p>
    <w:p w:rsidR="000C4AD8" w14:paraId="64B448DE"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rPr>
        <w:t xml:space="preserve"> </w:t>
      </w:r>
      <w:r>
        <w:rPr>
          <w:color w:val="000000"/>
          <w:u w:val="single"/>
        </w:rPr>
        <w:t xml:space="preserve">Exceptions to "Certification for Paperwork Reduction Submissions." </w:t>
      </w:r>
    </w:p>
    <w:p w:rsidR="000C4AD8" w14:paraId="735C4AD5" w14:textId="77777777">
      <w:pPr>
        <w:widowControl w:val="0"/>
        <w:pBdr>
          <w:top w:val="nil"/>
          <w:left w:val="nil"/>
          <w:bottom w:val="nil"/>
          <w:right w:val="nil"/>
          <w:between w:val="nil"/>
        </w:pBdr>
        <w:tabs>
          <w:tab w:val="left" w:pos="360"/>
          <w:tab w:val="left" w:pos="720"/>
          <w:tab w:val="left" w:pos="1080"/>
        </w:tabs>
      </w:pPr>
    </w:p>
    <w:p w:rsidR="000C4AD8" w14:paraId="36AFB395" w14:textId="77777777">
      <w:pPr>
        <w:tabs>
          <w:tab w:val="left" w:pos="360"/>
          <w:tab w:val="left" w:pos="720"/>
          <w:tab w:val="left" w:pos="1080"/>
        </w:tabs>
      </w:pPr>
      <w:r>
        <w:t>Not applicable, GSA has no exceptions to the certification statement.</w:t>
      </w:r>
    </w:p>
    <w:p w:rsidR="000C4AD8" w14:paraId="0D892BAE" w14:textId="77777777">
      <w:pPr>
        <w:widowControl w:val="0"/>
        <w:tabs>
          <w:tab w:val="left" w:pos="360"/>
          <w:tab w:val="left" w:pos="720"/>
          <w:tab w:val="left" w:pos="1080"/>
        </w:tabs>
      </w:pPr>
    </w:p>
    <w:p w:rsidR="000C4AD8" w14:paraId="625D6FCD"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Surveys, Censuses, and Other Collections that Employ Statistical Methods.</w:t>
      </w:r>
      <w:r>
        <w:rPr>
          <w:color w:val="000000"/>
        </w:rPr>
        <w:t xml:space="preserve">  </w:t>
      </w:r>
    </w:p>
    <w:p w:rsidR="000C4AD8" w14:paraId="3596F127" w14:textId="77777777">
      <w:pPr>
        <w:widowControl w:val="0"/>
        <w:pBdr>
          <w:top w:val="nil"/>
          <w:left w:val="nil"/>
          <w:bottom w:val="nil"/>
          <w:right w:val="nil"/>
          <w:between w:val="nil"/>
        </w:pBdr>
        <w:tabs>
          <w:tab w:val="left" w:pos="360"/>
          <w:tab w:val="left" w:pos="720"/>
          <w:tab w:val="left" w:pos="1080"/>
        </w:tabs>
      </w:pPr>
    </w:p>
    <w:p w:rsidR="000C4AD8" w14:paraId="7AAE2B4C" w14:textId="77777777">
      <w:pPr>
        <w:tabs>
          <w:tab w:val="left" w:pos="360"/>
          <w:tab w:val="left" w:pos="720"/>
          <w:tab w:val="left" w:pos="1080"/>
        </w:tabs>
      </w:pPr>
      <w:r>
        <w:t xml:space="preserve">Surveys, censuses, or statistical methods are not used for this information collection. </w:t>
      </w:r>
    </w:p>
    <w:sectPr>
      <w:pgSz w:w="12240" w:h="15840"/>
      <w:pgMar w:top="1440" w:right="1440" w:bottom="1440" w:left="1440" w:header="748" w:footer="76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492"/>
    <w:multiLevelType w:val="multilevel"/>
    <w:tmpl w:val="8EBE9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6C501F4"/>
    <w:multiLevelType w:val="multilevel"/>
    <w:tmpl w:val="1CB23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BD83087"/>
    <w:multiLevelType w:val="multilevel"/>
    <w:tmpl w:val="E850030E"/>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0FD716B"/>
    <w:multiLevelType w:val="multilevel"/>
    <w:tmpl w:val="D00288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5208136">
    <w:abstractNumId w:val="0"/>
  </w:num>
  <w:num w:numId="2" w16cid:durableId="537011347">
    <w:abstractNumId w:val="3"/>
  </w:num>
  <w:num w:numId="3" w16cid:durableId="1192494507">
    <w:abstractNumId w:val="1"/>
  </w:num>
  <w:num w:numId="4" w16cid:durableId="1327636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D8"/>
    <w:rsid w:val="000C4AD8"/>
    <w:rsid w:val="00101B3E"/>
    <w:rsid w:val="00193E03"/>
    <w:rsid w:val="008657D0"/>
    <w:rsid w:val="00A06C12"/>
    <w:rsid w:val="00BC7F6A"/>
    <w:rsid w:val="00C720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108130"/>
  <w15:docId w15:val="{4F81F4FD-E26B-42B4-A4AC-465A6646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100"/>
      <w:outlineLvl w:val="0"/>
    </w:pPr>
    <w:rPr>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left w:w="0" w:type="dxa"/>
        <w:right w:w="0" w:type="dxa"/>
      </w:tblCellMar>
    </w:tblPr>
  </w:style>
  <w:style w:type="table" w:customStyle="1" w:styleId="a2">
    <w:name w:val="a2"/>
    <w:basedOn w:val="TableNormal"/>
    <w:tblPr>
      <w:tblStyleRowBandSize w:val="1"/>
      <w:tblStyleColBandSize w:val="1"/>
      <w:tblCellMar>
        <w:left w:w="0" w:type="dxa"/>
        <w:right w:w="0" w:type="dxa"/>
      </w:tblCellMar>
    </w:tblPr>
  </w:style>
  <w:style w:type="table" w:customStyle="1" w:styleId="a3">
    <w:name w:val="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1208</Words>
  <Characters>6889</Characters>
  <Application>Microsoft Office Word</Application>
  <DocSecurity>0</DocSecurity>
  <Lines>57</Lines>
  <Paragraphs>16</Paragraphs>
  <ScaleCrop>false</ScaleCrop>
  <Company>General Services Administration</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4</cp:revision>
  <dcterms:created xsi:type="dcterms:W3CDTF">2024-11-13T18:23:00Z</dcterms:created>
  <dcterms:modified xsi:type="dcterms:W3CDTF">2024-11-22T18:41:00Z</dcterms:modified>
</cp:coreProperties>
</file>