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4BDD" w:rsidP="00DF55DB" w14:paraId="1B1E8ED5" w14:textId="1DC86B76">
      <w:pPr>
        <w:spacing w:after="0"/>
        <w:ind w:left="720" w:hanging="360"/>
        <w:textAlignment w:val="baseline"/>
        <w:rPr>
          <w:b/>
          <w:sz w:val="28"/>
          <w:szCs w:val="28"/>
        </w:rPr>
      </w:pPr>
      <w:r w:rsidRPr="6114FD0C">
        <w:rPr>
          <w:b/>
          <w:sz w:val="28"/>
          <w:szCs w:val="28"/>
        </w:rPr>
        <w:t>Quarterly Report Template</w:t>
      </w:r>
      <w:r>
        <w:rPr>
          <w:rStyle w:val="FootnoteReference"/>
          <w:b/>
          <w:sz w:val="28"/>
          <w:szCs w:val="28"/>
        </w:rPr>
        <w:footnoteReference w:id="3"/>
      </w:r>
    </w:p>
    <w:p w:rsidR="007F5C5F" w:rsidP="007F5C5F" w14:paraId="0C92DF4D" w14:textId="46EEB9BF">
      <w:pPr>
        <w:spacing w:after="0"/>
        <w:ind w:left="720" w:hanging="360"/>
        <w:textAlignment w:val="baseline"/>
        <w:rPr>
          <w:b/>
          <w:sz w:val="28"/>
          <w:szCs w:val="28"/>
        </w:rPr>
      </w:pPr>
      <w:r w:rsidRPr="6114FD0C">
        <w:rPr>
          <w:b/>
          <w:sz w:val="28"/>
          <w:szCs w:val="28"/>
        </w:rPr>
        <w:t>&lt;&lt;</w:t>
      </w:r>
      <w:r w:rsidRPr="6114FD0C" w:rsidR="009A3D32">
        <w:rPr>
          <w:rStyle w:val="normaltextrun"/>
          <w:rFonts w:ascii="Calibri" w:hAnsi="Calibri" w:cs="Calibri"/>
          <w:b/>
          <w:sz w:val="28"/>
          <w:szCs w:val="28"/>
          <w:shd w:val="clear" w:color="auto" w:fill="FFFFFF"/>
        </w:rPr>
        <w:t xml:space="preserve"> </w:t>
      </w:r>
      <w:r w:rsidRPr="6114FD0C" w:rsidR="00201467">
        <w:rPr>
          <w:rStyle w:val="normaltextrun"/>
          <w:rFonts w:ascii="Calibri" w:hAnsi="Calibri" w:cs="Calibri"/>
          <w:b/>
          <w:sz w:val="28"/>
          <w:szCs w:val="28"/>
          <w:shd w:val="clear" w:color="auto" w:fill="FFFFFF"/>
        </w:rPr>
        <w:t>Insert</w:t>
      </w:r>
      <w:r w:rsidRPr="6114FD0C" w:rsidR="009A3D32">
        <w:rPr>
          <w:b/>
          <w:sz w:val="28"/>
          <w:szCs w:val="28"/>
        </w:rPr>
        <w:t xml:space="preserve"> </w:t>
      </w:r>
      <w:r w:rsidRPr="6114FD0C">
        <w:rPr>
          <w:b/>
          <w:sz w:val="28"/>
          <w:szCs w:val="28"/>
        </w:rPr>
        <w:t>NSF Engines Award Title, Proposal ID</w:t>
      </w:r>
      <w:r w:rsidRPr="6114FD0C" w:rsidR="006F0F7B">
        <w:rPr>
          <w:b/>
          <w:sz w:val="28"/>
          <w:szCs w:val="28"/>
        </w:rPr>
        <w:t>&gt;&gt;</w:t>
      </w:r>
    </w:p>
    <w:p w:rsidR="00616E09" w:rsidP="007F5C5F" w14:paraId="55E75D06" w14:textId="4D4D44FA">
      <w:pPr>
        <w:spacing w:after="0"/>
        <w:ind w:left="720" w:hanging="360"/>
        <w:textAlignment w:val="baseline"/>
        <w:rPr>
          <w:b/>
          <w:sz w:val="28"/>
          <w:szCs w:val="28"/>
        </w:rPr>
      </w:pPr>
      <w:r w:rsidRPr="6114FD0C">
        <w:rPr>
          <w:b/>
          <w:sz w:val="28"/>
          <w:szCs w:val="28"/>
        </w:rPr>
        <w:t>&lt;&lt; Insert Month, Year&gt;&gt;</w:t>
      </w:r>
    </w:p>
    <w:p w:rsidR="007F5C5F" w:rsidRPr="00840345" w:rsidP="00DF55DB" w14:paraId="797EB280" w14:textId="77777777">
      <w:pPr>
        <w:spacing w:after="0"/>
        <w:ind w:left="720" w:hanging="360"/>
        <w:textAlignment w:val="baseline"/>
        <w:rPr>
          <w:rFonts w:cstheme="minorHAnsi"/>
        </w:rPr>
      </w:pPr>
    </w:p>
    <w:p w:rsidR="4859BB5A" w:rsidP="1CBCB162" w14:paraId="5C2814AB" w14:textId="424E372B">
      <w:pPr>
        <w:spacing w:after="0"/>
        <w:ind w:left="720" w:hanging="360"/>
      </w:pPr>
      <w:r>
        <w:rPr>
          <w:rStyle w:val="normaltextrun"/>
          <w:rFonts w:ascii="Calibri" w:hAnsi="Calibri" w:cs="Calibri"/>
          <w:shd w:val="clear" w:color="auto" w:fill="FFFFFF"/>
        </w:rPr>
        <w:t>&lt;&lt;</w:t>
      </w:r>
      <w:r w:rsidRPr="00840345" w:rsidR="004B0553">
        <w:rPr>
          <w:rStyle w:val="normaltextrun"/>
          <w:rFonts w:ascii="Calibri" w:hAnsi="Calibri" w:cs="Calibri"/>
          <w:shd w:val="clear" w:color="auto" w:fill="FFFFFF"/>
        </w:rPr>
        <w:t>DELETE this reference text in the final version of report</w:t>
      </w:r>
      <w:r w:rsidR="00842EC9">
        <w:rPr>
          <w:rStyle w:val="normaltextrun"/>
          <w:rFonts w:ascii="Calibri" w:hAnsi="Calibri" w:cs="Calibri"/>
          <w:shd w:val="clear" w:color="auto" w:fill="FFFFFF"/>
        </w:rPr>
        <w:t>.</w:t>
      </w:r>
      <w:r w:rsidRPr="00840345" w:rsidR="004B0553">
        <w:rPr>
          <w:rStyle w:val="normaltextrun"/>
          <w:rFonts w:ascii="Calibri" w:hAnsi="Calibri" w:cs="Calibri"/>
          <w:shd w:val="clear" w:color="auto" w:fill="FFFFFF"/>
        </w:rPr>
        <w:t xml:space="preserve"> The </w:t>
      </w:r>
      <w:r w:rsidR="00840345">
        <w:rPr>
          <w:rStyle w:val="normaltextrun"/>
          <w:rFonts w:ascii="Calibri" w:hAnsi="Calibri" w:cs="Calibri"/>
          <w:shd w:val="clear" w:color="auto" w:fill="FFFFFF"/>
        </w:rPr>
        <w:t>quarterly</w:t>
      </w:r>
      <w:r w:rsidRPr="00840345" w:rsidR="004B0553">
        <w:rPr>
          <w:rStyle w:val="normaltextrun"/>
          <w:rFonts w:ascii="Calibri" w:hAnsi="Calibri" w:cs="Calibri"/>
          <w:shd w:val="clear" w:color="auto" w:fill="FFFFFF"/>
        </w:rPr>
        <w:t xml:space="preserve"> report shall cover the period of the </w:t>
      </w:r>
      <w:r w:rsidR="0039321B">
        <w:rPr>
          <w:rStyle w:val="normaltextrun"/>
          <w:rFonts w:ascii="Calibri" w:hAnsi="Calibri" w:cs="Calibri"/>
          <w:shd w:val="clear" w:color="auto" w:fill="FFFFFF"/>
        </w:rPr>
        <w:t>first</w:t>
      </w:r>
      <w:r w:rsidRPr="00840345" w:rsidR="004B0553">
        <w:rPr>
          <w:rStyle w:val="normaltextrun"/>
          <w:rFonts w:ascii="Calibri" w:hAnsi="Calibri" w:cs="Calibri"/>
          <w:shd w:val="clear" w:color="auto" w:fill="FFFFFF"/>
        </w:rPr>
        <w:t xml:space="preserve"> of the month through the last day of the </w:t>
      </w:r>
      <w:r w:rsidR="00127715">
        <w:rPr>
          <w:rStyle w:val="normaltextrun"/>
          <w:rFonts w:ascii="Calibri" w:hAnsi="Calibri" w:cs="Calibri"/>
          <w:shd w:val="clear" w:color="auto" w:fill="FFFFFF"/>
        </w:rPr>
        <w:t>third</w:t>
      </w:r>
      <w:r w:rsidRPr="00840345" w:rsidR="004B0553">
        <w:rPr>
          <w:rStyle w:val="normaltextrun"/>
          <w:rFonts w:ascii="Calibri" w:hAnsi="Calibri" w:cs="Calibri"/>
          <w:shd w:val="clear" w:color="auto" w:fill="FFFFFF"/>
        </w:rPr>
        <w:t xml:space="preserve"> month. It is due no later than the </w:t>
      </w:r>
      <w:r w:rsidR="0039321B">
        <w:rPr>
          <w:rStyle w:val="normaltextrun"/>
          <w:rFonts w:ascii="Calibri" w:hAnsi="Calibri" w:cs="Calibri"/>
          <w:shd w:val="clear" w:color="auto" w:fill="FFFFFF"/>
        </w:rPr>
        <w:t>fifth</w:t>
      </w:r>
      <w:r w:rsidRPr="00840345" w:rsidR="004B0553">
        <w:rPr>
          <w:rStyle w:val="normaltextrun"/>
          <w:rFonts w:ascii="Calibri" w:hAnsi="Calibri" w:cs="Calibri"/>
          <w:shd w:val="clear" w:color="auto" w:fill="FFFFFF"/>
        </w:rPr>
        <w:t xml:space="preserve"> day of the first month in the following </w:t>
      </w:r>
      <w:r w:rsidR="00BB1B30">
        <w:rPr>
          <w:rStyle w:val="normaltextrun"/>
          <w:rFonts w:ascii="Calibri" w:hAnsi="Calibri" w:cs="Calibri"/>
          <w:shd w:val="clear" w:color="auto" w:fill="FFFFFF"/>
        </w:rPr>
        <w:t>three-m</w:t>
      </w:r>
      <w:r w:rsidRPr="00840345" w:rsidR="004B0553">
        <w:rPr>
          <w:rStyle w:val="normaltextrun"/>
          <w:rFonts w:ascii="Calibri" w:hAnsi="Calibri" w:cs="Calibri"/>
          <w:shd w:val="clear" w:color="auto" w:fill="FFFFFF"/>
        </w:rPr>
        <w:t xml:space="preserve">onth period. If the due date listed above falls on a weekend or </w:t>
      </w:r>
      <w:r w:rsidR="001A0212">
        <w:rPr>
          <w:rStyle w:val="normaltextrun"/>
          <w:rFonts w:ascii="Calibri" w:hAnsi="Calibri" w:cs="Calibri"/>
          <w:shd w:val="clear" w:color="auto" w:fill="FFFFFF"/>
        </w:rPr>
        <w:t>g</w:t>
      </w:r>
      <w:r w:rsidRPr="00840345" w:rsidR="004B0553">
        <w:rPr>
          <w:rStyle w:val="normaltextrun"/>
          <w:rFonts w:ascii="Calibri" w:hAnsi="Calibri" w:cs="Calibri"/>
          <w:shd w:val="clear" w:color="auto" w:fill="FFFFFF"/>
        </w:rPr>
        <w:t>overnment holiday, the report will be due on the following business day.</w:t>
      </w:r>
      <w:r w:rsidRPr="00840345" w:rsidR="004B0553">
        <w:rPr>
          <w:rStyle w:val="eop"/>
          <w:rFonts w:ascii="Calibri" w:hAnsi="Calibri" w:cs="Calibri"/>
          <w:shd w:val="clear" w:color="auto" w:fill="FFFFFF"/>
        </w:rPr>
        <w:t> </w:t>
      </w:r>
      <w:r w:rsidRPr="32C88EEB">
        <w:t xml:space="preserve">Note that </w:t>
      </w:r>
      <w:r w:rsidRPr="32C88EEB" w:rsidR="7D3ECF3E">
        <w:t>the reporting sections listed in this template are</w:t>
      </w:r>
      <w:r w:rsidRPr="32C88EEB">
        <w:t xml:space="preserve"> </w:t>
      </w:r>
      <w:r w:rsidRPr="32C88EEB" w:rsidR="25576FB1">
        <w:t xml:space="preserve">the </w:t>
      </w:r>
      <w:r w:rsidRPr="32C88EEB">
        <w:t xml:space="preserve">required </w:t>
      </w:r>
      <w:r w:rsidRPr="32C88EEB" w:rsidR="679568F4">
        <w:t xml:space="preserve">sections for quarterly reports described in </w:t>
      </w:r>
      <w:r w:rsidRPr="32C88EEB" w:rsidR="00E55D06">
        <w:t>each</w:t>
      </w:r>
      <w:r w:rsidRPr="32C88EEB" w:rsidR="047CD606">
        <w:t xml:space="preserve"> </w:t>
      </w:r>
      <w:r w:rsidRPr="32C88EEB" w:rsidR="00B04A95">
        <w:t xml:space="preserve">Engine </w:t>
      </w:r>
      <w:r w:rsidRPr="32C88EEB" w:rsidR="047CD606">
        <w:t xml:space="preserve">award’s </w:t>
      </w:r>
      <w:r w:rsidRPr="32C88EEB">
        <w:t>Terms and Conditions.</w:t>
      </w:r>
      <w:r w:rsidRPr="32C88EEB" w:rsidR="20BD6356">
        <w:t xml:space="preserve"> The purpose of this template is to provide additional guidance on the requested format for these reports.</w:t>
      </w:r>
      <w:r w:rsidRPr="32C88EEB" w:rsidR="00342D47">
        <w:t xml:space="preserve"> Note that all documents noted as having a template </w:t>
      </w:r>
      <w:r w:rsidRPr="32C88EEB" w:rsidR="00DB576B">
        <w:t xml:space="preserve">are or will be uploaded </w:t>
      </w:r>
      <w:r w:rsidRPr="32C88EEB" w:rsidR="008B3D1B">
        <w:t xml:space="preserve">to each Engine’s SharePoint site. </w:t>
      </w:r>
      <w:r w:rsidRPr="32C88EEB" w:rsidR="00245F35">
        <w:t xml:space="preserve">The </w:t>
      </w:r>
      <w:r w:rsidRPr="32C88EEB" w:rsidR="000D44AF">
        <w:t xml:space="preserve">completed </w:t>
      </w:r>
      <w:r w:rsidRPr="32C88EEB" w:rsidR="00245F35">
        <w:t xml:space="preserve">quarterly report, and accompanying documents noted in this template, should </w:t>
      </w:r>
      <w:r w:rsidRPr="32C88EEB" w:rsidR="005724F8">
        <w:t>be uploaded by the Engine team to the same SharePoint Site within the quarterly report folde</w:t>
      </w:r>
      <w:r w:rsidRPr="32C88EEB" w:rsidR="00987340">
        <w:t xml:space="preserve">r. </w:t>
      </w:r>
      <w:r w:rsidRPr="32C88EEB" w:rsidR="00AA082B">
        <w:t>Q</w:t>
      </w:r>
      <w:r w:rsidRPr="32C88EEB" w:rsidR="009814C8">
        <w:t>uarterly reports should also be uploaded to research.gov</w:t>
      </w:r>
      <w:r w:rsidRPr="32C88EEB" w:rsidR="00BF6748">
        <w:t>&gt;&gt;</w:t>
      </w:r>
    </w:p>
    <w:p w:rsidR="00914E27" w:rsidRPr="009A3D32" w:rsidP="1CBCB162" w14:paraId="425562AB" w14:textId="77777777">
      <w:pPr>
        <w:spacing w:after="0"/>
        <w:ind w:left="720" w:hanging="360"/>
        <w:rPr>
          <w:rFonts w:cstheme="minorHAnsi"/>
        </w:rPr>
      </w:pPr>
    </w:p>
    <w:p w:rsidR="007F4BDD" w:rsidRPr="009A3D32" w:rsidP="00DF55DB" w14:paraId="67D26E66" w14:textId="77777777">
      <w:pPr>
        <w:spacing w:after="0"/>
        <w:ind w:left="720" w:hanging="360"/>
        <w:textAlignment w:val="baseline"/>
        <w:rPr>
          <w:rFonts w:cstheme="minorHAnsi"/>
        </w:rPr>
      </w:pPr>
    </w:p>
    <w:p w:rsidR="1098A58F" w:rsidRPr="00AB30AF" w:rsidP="74AF1011" w14:paraId="1E5BB92C" w14:textId="41F743C9">
      <w:pPr>
        <w:pStyle w:val="ListParagraph"/>
        <w:numPr>
          <w:ilvl w:val="0"/>
          <w:numId w:val="12"/>
        </w:numPr>
        <w:rPr>
          <w:rStyle w:val="normaltextrun"/>
          <w:rFonts w:eastAsia="Times New Roman"/>
          <w:b/>
          <w:bCs/>
        </w:rPr>
      </w:pPr>
      <w:r w:rsidRPr="74AF1011">
        <w:rPr>
          <w:rStyle w:val="normaltextrun"/>
          <w:b/>
          <w:bCs/>
        </w:rPr>
        <w:t>Governance and Management.</w:t>
      </w:r>
      <w:r w:rsidRPr="74AF1011" w:rsidR="004B35E1">
        <w:rPr>
          <w:rStyle w:val="normaltextrun"/>
          <w:b/>
          <w:bCs/>
        </w:rPr>
        <w:t xml:space="preserve"> </w:t>
      </w:r>
      <w:r w:rsidRPr="74AF1011" w:rsidR="004B35E1">
        <w:rPr>
          <w:rStyle w:val="normaltextrun"/>
          <w:rFonts w:eastAsia="Times New Roman"/>
        </w:rPr>
        <w:t>The staffing, activities, and effort associated with Governance and Management, e.g., hiring, restructuring.</w:t>
      </w:r>
    </w:p>
    <w:p w:rsidR="006B5998" w:rsidRPr="009A3D32" w:rsidP="1CBCB162" w14:paraId="583070EC" w14:textId="18C4620B">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9A3D32">
        <w:rPr>
          <w:rStyle w:val="normaltextrun"/>
          <w:rFonts w:asciiTheme="minorHAnsi" w:hAnsiTheme="minorHAnsi" w:cstheme="minorHAnsi"/>
          <w:sz w:val="22"/>
          <w:szCs w:val="22"/>
        </w:rPr>
        <w:t>&lt;&lt;</w:t>
      </w:r>
      <w:r w:rsidRPr="00026CB8" w:rsidR="00026CB8">
        <w:t xml:space="preserve"> </w:t>
      </w:r>
      <w:r w:rsidRPr="00026CB8" w:rsidR="00026CB8">
        <w:rPr>
          <w:rStyle w:val="normaltextrun"/>
          <w:rFonts w:asciiTheme="minorHAnsi" w:hAnsiTheme="minorHAnsi" w:cstheme="minorHAnsi"/>
          <w:sz w:val="22"/>
          <w:szCs w:val="22"/>
        </w:rPr>
        <w:t>DELETE this reference text in the final version of report</w:t>
      </w:r>
      <w:r w:rsidR="00842EC9">
        <w:rPr>
          <w:rStyle w:val="normaltextrun"/>
          <w:rFonts w:asciiTheme="minorHAnsi" w:hAnsiTheme="minorHAnsi" w:cstheme="minorHAnsi"/>
          <w:sz w:val="22"/>
          <w:szCs w:val="22"/>
        </w:rPr>
        <w:t>.</w:t>
      </w:r>
      <w:r w:rsidRPr="00026CB8" w:rsidR="00026CB8">
        <w:rPr>
          <w:rStyle w:val="normaltextrun"/>
          <w:rFonts w:asciiTheme="minorHAnsi" w:hAnsiTheme="minorHAnsi" w:cstheme="minorHAnsi"/>
          <w:sz w:val="22"/>
          <w:szCs w:val="22"/>
        </w:rPr>
        <w:t xml:space="preserve"> </w:t>
      </w:r>
      <w:r w:rsidRPr="009A3D32" w:rsidR="005215F1">
        <w:rPr>
          <w:rStyle w:val="normaltextrun"/>
          <w:rFonts w:asciiTheme="minorHAnsi" w:hAnsiTheme="minorHAnsi" w:cstheme="minorHAnsi"/>
          <w:sz w:val="22"/>
          <w:szCs w:val="22"/>
        </w:rPr>
        <w:t>Engines</w:t>
      </w:r>
      <w:r w:rsidRPr="009A3D32" w:rsidR="4247AE41">
        <w:rPr>
          <w:rStyle w:val="normaltextrun"/>
          <w:rFonts w:asciiTheme="minorHAnsi" w:hAnsiTheme="minorHAnsi" w:cstheme="minorHAnsi"/>
          <w:sz w:val="22"/>
          <w:szCs w:val="22"/>
        </w:rPr>
        <w:t xml:space="preserve"> should s</w:t>
      </w:r>
      <w:r w:rsidRPr="009A3D32" w:rsidR="003941C3">
        <w:rPr>
          <w:rStyle w:val="normaltextrun"/>
          <w:rFonts w:asciiTheme="minorHAnsi" w:hAnsiTheme="minorHAnsi" w:cstheme="minorHAnsi"/>
          <w:sz w:val="22"/>
          <w:szCs w:val="22"/>
        </w:rPr>
        <w:t>ubmit</w:t>
      </w:r>
      <w:r w:rsidRPr="009A3D32" w:rsidR="43BD126C">
        <w:rPr>
          <w:rStyle w:val="normaltextrun"/>
          <w:rFonts w:asciiTheme="minorHAnsi" w:hAnsiTheme="minorHAnsi" w:cstheme="minorHAnsi"/>
          <w:sz w:val="22"/>
          <w:szCs w:val="22"/>
        </w:rPr>
        <w:t xml:space="preserve"> with their first quarterly report a</w:t>
      </w:r>
      <w:r w:rsidRPr="009A3D32" w:rsidR="50860180">
        <w:rPr>
          <w:rStyle w:val="normaltextrun"/>
          <w:rFonts w:asciiTheme="minorHAnsi" w:hAnsiTheme="minorHAnsi" w:cstheme="minorHAnsi"/>
          <w:sz w:val="22"/>
          <w:szCs w:val="22"/>
        </w:rPr>
        <w:t xml:space="preserve"> sprea</w:t>
      </w:r>
      <w:r w:rsidRPr="009A3D32" w:rsidR="004A2119">
        <w:rPr>
          <w:rStyle w:val="normaltextrun"/>
          <w:rFonts w:asciiTheme="minorHAnsi" w:hAnsiTheme="minorHAnsi" w:cstheme="minorHAnsi"/>
          <w:sz w:val="22"/>
          <w:szCs w:val="22"/>
        </w:rPr>
        <w:t>d</w:t>
      </w:r>
      <w:r w:rsidR="00225E23">
        <w:rPr>
          <w:rStyle w:val="normaltextrun"/>
          <w:rFonts w:asciiTheme="minorHAnsi" w:hAnsiTheme="minorHAnsi" w:cstheme="minorHAnsi"/>
          <w:sz w:val="22"/>
          <w:szCs w:val="22"/>
        </w:rPr>
        <w:t>sheet</w:t>
      </w:r>
      <w:r w:rsidRPr="009A3D32" w:rsidR="004A2119">
        <w:rPr>
          <w:rStyle w:val="normaltextrun"/>
          <w:rFonts w:asciiTheme="minorHAnsi" w:hAnsiTheme="minorHAnsi" w:cstheme="minorHAnsi"/>
          <w:sz w:val="22"/>
          <w:szCs w:val="22"/>
        </w:rPr>
        <w:t xml:space="preserve"> </w:t>
      </w:r>
      <w:r w:rsidRPr="009A3D32" w:rsidR="00612F1F">
        <w:rPr>
          <w:rStyle w:val="normaltextrun"/>
          <w:rFonts w:asciiTheme="minorHAnsi" w:hAnsiTheme="minorHAnsi" w:cstheme="minorHAnsi"/>
          <w:sz w:val="22"/>
          <w:szCs w:val="22"/>
        </w:rPr>
        <w:t xml:space="preserve">(template provided) </w:t>
      </w:r>
      <w:r w:rsidRPr="009A3D32" w:rsidR="50860180">
        <w:rPr>
          <w:rStyle w:val="normaltextrun"/>
          <w:rFonts w:asciiTheme="minorHAnsi" w:hAnsiTheme="minorHAnsi" w:cstheme="minorHAnsi"/>
          <w:sz w:val="22"/>
          <w:szCs w:val="22"/>
        </w:rPr>
        <w:t xml:space="preserve">and organizational chart </w:t>
      </w:r>
      <w:r w:rsidRPr="009A3D32" w:rsidR="00B804FB">
        <w:rPr>
          <w:rStyle w:val="normaltextrun"/>
          <w:rFonts w:asciiTheme="minorHAnsi" w:hAnsiTheme="minorHAnsi" w:cstheme="minorHAnsi"/>
          <w:sz w:val="22"/>
          <w:szCs w:val="22"/>
        </w:rPr>
        <w:t>illustration</w:t>
      </w:r>
      <w:r w:rsidRPr="009A3D32" w:rsidR="005A0C73">
        <w:rPr>
          <w:rStyle w:val="normaltextrun"/>
          <w:rFonts w:asciiTheme="minorHAnsi" w:hAnsiTheme="minorHAnsi" w:cstheme="minorHAnsi"/>
          <w:sz w:val="22"/>
          <w:szCs w:val="22"/>
        </w:rPr>
        <w:t>. The organization</w:t>
      </w:r>
      <w:r w:rsidRPr="009A3D32" w:rsidR="00A94FCB">
        <w:rPr>
          <w:rStyle w:val="normaltextrun"/>
          <w:rFonts w:asciiTheme="minorHAnsi" w:hAnsiTheme="minorHAnsi" w:cstheme="minorHAnsi"/>
          <w:sz w:val="22"/>
          <w:szCs w:val="22"/>
        </w:rPr>
        <w:t>al chart illustration should</w:t>
      </w:r>
      <w:r w:rsidRPr="009A3D32" w:rsidR="00BE0B50">
        <w:rPr>
          <w:rStyle w:val="normaltextrun"/>
          <w:rFonts w:asciiTheme="minorHAnsi" w:hAnsiTheme="minorHAnsi" w:cstheme="minorHAnsi"/>
          <w:sz w:val="22"/>
          <w:szCs w:val="22"/>
        </w:rPr>
        <w:t xml:space="preserve"> </w:t>
      </w:r>
      <w:r w:rsidRPr="009A3D32" w:rsidR="006B6EA8">
        <w:rPr>
          <w:rStyle w:val="normaltextrun"/>
          <w:rFonts w:asciiTheme="minorHAnsi" w:hAnsiTheme="minorHAnsi" w:cstheme="minorHAnsi"/>
          <w:sz w:val="22"/>
          <w:szCs w:val="22"/>
        </w:rPr>
        <w:t>outlin</w:t>
      </w:r>
      <w:r w:rsidRPr="009A3D32" w:rsidR="00A94FCB">
        <w:rPr>
          <w:rStyle w:val="normaltextrun"/>
          <w:rFonts w:asciiTheme="minorHAnsi" w:hAnsiTheme="minorHAnsi" w:cstheme="minorHAnsi"/>
          <w:sz w:val="22"/>
          <w:szCs w:val="22"/>
        </w:rPr>
        <w:t>e</w:t>
      </w:r>
      <w:r w:rsidRPr="009A3D32" w:rsidR="006B6EA8">
        <w:rPr>
          <w:rStyle w:val="normaltextrun"/>
          <w:rFonts w:asciiTheme="minorHAnsi" w:hAnsiTheme="minorHAnsi" w:cstheme="minorHAnsi"/>
          <w:sz w:val="22"/>
          <w:szCs w:val="22"/>
        </w:rPr>
        <w:t xml:space="preserve"> </w:t>
      </w:r>
      <w:r w:rsidRPr="009A3D32" w:rsidR="003941C3">
        <w:rPr>
          <w:rStyle w:val="normaltextrun"/>
          <w:rFonts w:asciiTheme="minorHAnsi" w:hAnsiTheme="minorHAnsi" w:cstheme="minorHAnsi"/>
          <w:sz w:val="22"/>
          <w:szCs w:val="22"/>
        </w:rPr>
        <w:t>the</w:t>
      </w:r>
      <w:r w:rsidRPr="009A3D32" w:rsidR="12756AC8">
        <w:rPr>
          <w:rStyle w:val="normaltextrun"/>
          <w:rFonts w:asciiTheme="minorHAnsi" w:hAnsiTheme="minorHAnsi" w:cstheme="minorHAnsi"/>
          <w:sz w:val="22"/>
          <w:szCs w:val="22"/>
        </w:rPr>
        <w:t xml:space="preserve"> </w:t>
      </w:r>
      <w:r w:rsidRPr="009A3D32" w:rsidR="008C3BF7">
        <w:rPr>
          <w:rStyle w:val="normaltextrun"/>
          <w:rFonts w:asciiTheme="minorHAnsi" w:hAnsiTheme="minorHAnsi" w:cstheme="minorHAnsi"/>
          <w:sz w:val="22"/>
          <w:szCs w:val="22"/>
        </w:rPr>
        <w:t>key entities</w:t>
      </w:r>
      <w:r w:rsidRPr="009A3D32" w:rsidR="00D9750A">
        <w:rPr>
          <w:rStyle w:val="normaltextrun"/>
          <w:rFonts w:asciiTheme="minorHAnsi" w:hAnsiTheme="minorHAnsi" w:cstheme="minorHAnsi"/>
          <w:sz w:val="22"/>
          <w:szCs w:val="22"/>
        </w:rPr>
        <w:t xml:space="preserve"> comprising the Engine</w:t>
      </w:r>
      <w:r w:rsidRPr="009A3D32" w:rsidR="00852DBB">
        <w:rPr>
          <w:rStyle w:val="normaltextrun"/>
          <w:rFonts w:asciiTheme="minorHAnsi" w:hAnsiTheme="minorHAnsi" w:cstheme="minorHAnsi"/>
          <w:sz w:val="22"/>
          <w:szCs w:val="22"/>
        </w:rPr>
        <w:t xml:space="preserve"> and at minimum</w:t>
      </w:r>
      <w:r w:rsidRPr="009A3D32" w:rsidR="00B211E4">
        <w:rPr>
          <w:rStyle w:val="normaltextrun"/>
          <w:rFonts w:asciiTheme="minorHAnsi" w:hAnsiTheme="minorHAnsi" w:cstheme="minorHAnsi"/>
          <w:sz w:val="22"/>
          <w:szCs w:val="22"/>
        </w:rPr>
        <w:t xml:space="preserve"> include</w:t>
      </w:r>
      <w:r w:rsidRPr="009A3D32" w:rsidR="00852DBB">
        <w:rPr>
          <w:rStyle w:val="normaltextrun"/>
          <w:rFonts w:asciiTheme="minorHAnsi" w:hAnsiTheme="minorHAnsi" w:cstheme="minorHAnsi"/>
          <w:sz w:val="22"/>
          <w:szCs w:val="22"/>
        </w:rPr>
        <w:t xml:space="preserve"> the Lead </w:t>
      </w:r>
      <w:r w:rsidRPr="009A3D32" w:rsidR="002C5659">
        <w:rPr>
          <w:rStyle w:val="normaltextrun"/>
          <w:rFonts w:asciiTheme="minorHAnsi" w:hAnsiTheme="minorHAnsi" w:cstheme="minorHAnsi"/>
          <w:sz w:val="22"/>
          <w:szCs w:val="22"/>
        </w:rPr>
        <w:t>O</w:t>
      </w:r>
      <w:r w:rsidRPr="009A3D32" w:rsidR="00852DBB">
        <w:rPr>
          <w:rStyle w:val="normaltextrun"/>
          <w:rFonts w:asciiTheme="minorHAnsi" w:hAnsiTheme="minorHAnsi" w:cstheme="minorHAnsi"/>
          <w:sz w:val="22"/>
          <w:szCs w:val="22"/>
        </w:rPr>
        <w:t>rganization, the</w:t>
      </w:r>
      <w:r w:rsidRPr="009A3D32" w:rsidR="00992D2A">
        <w:rPr>
          <w:rStyle w:val="normaltextrun"/>
          <w:rFonts w:asciiTheme="minorHAnsi" w:hAnsiTheme="minorHAnsi" w:cstheme="minorHAnsi"/>
          <w:sz w:val="22"/>
          <w:szCs w:val="22"/>
        </w:rPr>
        <w:t xml:space="preserve"> </w:t>
      </w:r>
      <w:r w:rsidRPr="009A3D32" w:rsidR="12756AC8">
        <w:rPr>
          <w:rStyle w:val="normaltextrun"/>
          <w:rFonts w:asciiTheme="minorHAnsi" w:hAnsiTheme="minorHAnsi" w:cstheme="minorHAnsi"/>
          <w:sz w:val="22"/>
          <w:szCs w:val="22"/>
        </w:rPr>
        <w:t>Engine’s</w:t>
      </w:r>
      <w:r w:rsidRPr="009A3D32" w:rsidR="003941C3">
        <w:rPr>
          <w:rStyle w:val="normaltextrun"/>
          <w:rFonts w:asciiTheme="minorHAnsi" w:hAnsiTheme="minorHAnsi" w:cstheme="minorHAnsi"/>
          <w:sz w:val="22"/>
          <w:szCs w:val="22"/>
        </w:rPr>
        <w:t xml:space="preserve"> Leadership Team, Governance Board, </w:t>
      </w:r>
      <w:r w:rsidRPr="009A3D32" w:rsidR="000D6D70">
        <w:rPr>
          <w:rStyle w:val="normaltextrun"/>
          <w:rFonts w:asciiTheme="minorHAnsi" w:hAnsiTheme="minorHAnsi" w:cstheme="minorHAnsi"/>
          <w:sz w:val="22"/>
          <w:szCs w:val="22"/>
        </w:rPr>
        <w:t xml:space="preserve">and </w:t>
      </w:r>
      <w:r w:rsidRPr="009A3D32" w:rsidR="003941C3">
        <w:rPr>
          <w:rStyle w:val="normaltextrun"/>
          <w:rFonts w:asciiTheme="minorHAnsi" w:hAnsiTheme="minorHAnsi" w:cstheme="minorHAnsi"/>
          <w:sz w:val="22"/>
          <w:szCs w:val="22"/>
        </w:rPr>
        <w:t>Advisory Board</w:t>
      </w:r>
      <w:r w:rsidRPr="009A3D32" w:rsidR="002A596A">
        <w:rPr>
          <w:rStyle w:val="normaltextrun"/>
          <w:rFonts w:asciiTheme="minorHAnsi" w:hAnsiTheme="minorHAnsi" w:cstheme="minorHAnsi"/>
          <w:sz w:val="22"/>
          <w:szCs w:val="22"/>
        </w:rPr>
        <w:t xml:space="preserve">. </w:t>
      </w:r>
      <w:r w:rsidRPr="009A3D32" w:rsidR="0063179A">
        <w:rPr>
          <w:rStyle w:val="normaltextrun"/>
          <w:rFonts w:asciiTheme="minorHAnsi" w:hAnsiTheme="minorHAnsi" w:cstheme="minorHAnsi"/>
          <w:sz w:val="22"/>
          <w:szCs w:val="22"/>
        </w:rPr>
        <w:t>T</w:t>
      </w:r>
      <w:r w:rsidRPr="009A3D32" w:rsidR="00084A0A">
        <w:rPr>
          <w:rStyle w:val="normaltextrun"/>
          <w:rFonts w:asciiTheme="minorHAnsi" w:hAnsiTheme="minorHAnsi" w:cstheme="minorHAnsi"/>
          <w:sz w:val="22"/>
          <w:szCs w:val="22"/>
        </w:rPr>
        <w:t xml:space="preserve">he organizational chart must </w:t>
      </w:r>
      <w:r w:rsidRPr="009A3D32" w:rsidR="0096644B">
        <w:rPr>
          <w:rStyle w:val="normaltextrun"/>
          <w:rFonts w:asciiTheme="minorHAnsi" w:hAnsiTheme="minorHAnsi" w:cstheme="minorHAnsi"/>
          <w:sz w:val="22"/>
          <w:szCs w:val="22"/>
        </w:rPr>
        <w:t>list</w:t>
      </w:r>
      <w:r w:rsidRPr="009A3D32" w:rsidR="00084A0A">
        <w:rPr>
          <w:rStyle w:val="normaltextrun"/>
          <w:rFonts w:asciiTheme="minorHAnsi" w:hAnsiTheme="minorHAnsi" w:cstheme="minorHAnsi"/>
          <w:sz w:val="22"/>
          <w:szCs w:val="22"/>
        </w:rPr>
        <w:t xml:space="preserve"> the individual positions </w:t>
      </w:r>
      <w:r w:rsidRPr="009A3D32" w:rsidR="0063179A">
        <w:rPr>
          <w:rStyle w:val="normaltextrun"/>
          <w:rFonts w:asciiTheme="minorHAnsi" w:hAnsiTheme="minorHAnsi" w:cstheme="minorHAnsi"/>
          <w:sz w:val="22"/>
          <w:szCs w:val="22"/>
        </w:rPr>
        <w:t xml:space="preserve">comprising </w:t>
      </w:r>
      <w:r w:rsidRPr="009A3D32" w:rsidR="00084A0A">
        <w:rPr>
          <w:rStyle w:val="normaltextrun"/>
          <w:rFonts w:asciiTheme="minorHAnsi" w:hAnsiTheme="minorHAnsi" w:cstheme="minorHAnsi"/>
          <w:sz w:val="22"/>
          <w:szCs w:val="22"/>
        </w:rPr>
        <w:t>each entity</w:t>
      </w:r>
      <w:r w:rsidRPr="009A3D32" w:rsidR="00306107">
        <w:rPr>
          <w:rStyle w:val="normaltextrun"/>
          <w:rFonts w:asciiTheme="minorHAnsi" w:hAnsiTheme="minorHAnsi" w:cstheme="minorHAnsi"/>
          <w:sz w:val="22"/>
          <w:szCs w:val="22"/>
        </w:rPr>
        <w:t>, denote if they are full-time or part-time,</w:t>
      </w:r>
      <w:r w:rsidRPr="009A3D32" w:rsidR="00CE4B06">
        <w:rPr>
          <w:rStyle w:val="normaltextrun"/>
          <w:rFonts w:asciiTheme="minorHAnsi" w:hAnsiTheme="minorHAnsi" w:cstheme="minorHAnsi"/>
          <w:sz w:val="22"/>
          <w:szCs w:val="22"/>
        </w:rPr>
        <w:t xml:space="preserve"> and</w:t>
      </w:r>
      <w:r w:rsidRPr="009A3D32" w:rsidR="00660B56">
        <w:rPr>
          <w:rStyle w:val="normaltextrun"/>
          <w:rFonts w:asciiTheme="minorHAnsi" w:hAnsiTheme="minorHAnsi" w:cstheme="minorHAnsi"/>
          <w:sz w:val="22"/>
          <w:szCs w:val="22"/>
        </w:rPr>
        <w:t xml:space="preserve"> </w:t>
      </w:r>
      <w:r w:rsidRPr="009A3D32" w:rsidR="00CE7E95">
        <w:rPr>
          <w:rStyle w:val="normaltextrun"/>
          <w:rFonts w:asciiTheme="minorHAnsi" w:hAnsiTheme="minorHAnsi" w:cstheme="minorHAnsi"/>
          <w:sz w:val="22"/>
          <w:szCs w:val="22"/>
        </w:rPr>
        <w:t xml:space="preserve">show </w:t>
      </w:r>
      <w:r w:rsidRPr="009A3D32" w:rsidR="00660B56">
        <w:rPr>
          <w:rStyle w:val="normaltextrun"/>
          <w:rFonts w:asciiTheme="minorHAnsi" w:hAnsiTheme="minorHAnsi" w:cstheme="minorHAnsi"/>
          <w:sz w:val="22"/>
          <w:szCs w:val="22"/>
        </w:rPr>
        <w:t>the reporting lines</w:t>
      </w:r>
      <w:r w:rsidRPr="009A3D32" w:rsidR="002A384D">
        <w:rPr>
          <w:rStyle w:val="normaltextrun"/>
          <w:rFonts w:asciiTheme="minorHAnsi" w:hAnsiTheme="minorHAnsi" w:cstheme="minorHAnsi"/>
          <w:sz w:val="22"/>
          <w:szCs w:val="22"/>
        </w:rPr>
        <w:t xml:space="preserve"> </w:t>
      </w:r>
      <w:r w:rsidRPr="009A3D32" w:rsidR="00CE4B06">
        <w:rPr>
          <w:rStyle w:val="normaltextrun"/>
          <w:rFonts w:asciiTheme="minorHAnsi" w:hAnsiTheme="minorHAnsi" w:cstheme="minorHAnsi"/>
          <w:sz w:val="22"/>
          <w:szCs w:val="22"/>
        </w:rPr>
        <w:t xml:space="preserve">to </w:t>
      </w:r>
      <w:r w:rsidRPr="009A3D32" w:rsidR="0096644B">
        <w:rPr>
          <w:rStyle w:val="normaltextrun"/>
          <w:rFonts w:asciiTheme="minorHAnsi" w:hAnsiTheme="minorHAnsi" w:cstheme="minorHAnsi"/>
          <w:sz w:val="22"/>
          <w:szCs w:val="22"/>
        </w:rPr>
        <w:t>convey</w:t>
      </w:r>
      <w:r w:rsidRPr="009A3D32" w:rsidR="00CE4B06">
        <w:rPr>
          <w:rStyle w:val="normaltextrun"/>
          <w:rFonts w:asciiTheme="minorHAnsi" w:hAnsiTheme="minorHAnsi" w:cstheme="minorHAnsi"/>
          <w:sz w:val="22"/>
          <w:szCs w:val="22"/>
        </w:rPr>
        <w:t xml:space="preserve"> </w:t>
      </w:r>
      <w:r w:rsidRPr="009A3D32" w:rsidR="00A802FD">
        <w:rPr>
          <w:rStyle w:val="normaltextrun"/>
          <w:rFonts w:asciiTheme="minorHAnsi" w:hAnsiTheme="minorHAnsi" w:cstheme="minorHAnsi"/>
          <w:sz w:val="22"/>
          <w:szCs w:val="22"/>
        </w:rPr>
        <w:t xml:space="preserve">how authority, reporting and </w:t>
      </w:r>
      <w:r w:rsidRPr="009A3D32" w:rsidR="0034588D">
        <w:rPr>
          <w:rStyle w:val="normaltextrun"/>
          <w:rFonts w:asciiTheme="minorHAnsi" w:hAnsiTheme="minorHAnsi" w:cstheme="minorHAnsi"/>
          <w:sz w:val="22"/>
          <w:szCs w:val="22"/>
        </w:rPr>
        <w:t>responsibility are allocated</w:t>
      </w:r>
      <w:r w:rsidRPr="009A3D32" w:rsidR="00334162">
        <w:rPr>
          <w:rStyle w:val="normaltextrun"/>
          <w:rFonts w:asciiTheme="minorHAnsi" w:hAnsiTheme="minorHAnsi" w:cstheme="minorHAnsi"/>
          <w:sz w:val="22"/>
          <w:szCs w:val="22"/>
        </w:rPr>
        <w:t xml:space="preserve"> </w:t>
      </w:r>
      <w:r w:rsidRPr="009A3D32" w:rsidR="00CE7E95">
        <w:rPr>
          <w:rStyle w:val="normaltextrun"/>
          <w:rFonts w:asciiTheme="minorHAnsi" w:hAnsiTheme="minorHAnsi" w:cstheme="minorHAnsi"/>
          <w:sz w:val="22"/>
          <w:szCs w:val="22"/>
        </w:rPr>
        <w:t>across</w:t>
      </w:r>
      <w:r w:rsidRPr="009A3D32" w:rsidR="00334162">
        <w:rPr>
          <w:rStyle w:val="normaltextrun"/>
          <w:rFonts w:asciiTheme="minorHAnsi" w:hAnsiTheme="minorHAnsi" w:cstheme="minorHAnsi"/>
          <w:sz w:val="22"/>
          <w:szCs w:val="22"/>
        </w:rPr>
        <w:t xml:space="preserve"> the Engine</w:t>
      </w:r>
      <w:r w:rsidRPr="009A3D32" w:rsidR="0034588D">
        <w:rPr>
          <w:rStyle w:val="normaltextrun"/>
          <w:rFonts w:asciiTheme="minorHAnsi" w:hAnsiTheme="minorHAnsi" w:cstheme="minorHAnsi"/>
          <w:sz w:val="22"/>
          <w:szCs w:val="22"/>
        </w:rPr>
        <w:t>.</w:t>
      </w:r>
      <w:r w:rsidRPr="009A3D32" w:rsidR="00306107">
        <w:rPr>
          <w:rStyle w:val="normaltextrun"/>
          <w:rFonts w:asciiTheme="minorHAnsi" w:hAnsiTheme="minorHAnsi" w:cstheme="minorHAnsi"/>
          <w:sz w:val="22"/>
          <w:szCs w:val="22"/>
        </w:rPr>
        <w:t xml:space="preserve"> </w:t>
      </w:r>
    </w:p>
    <w:p w:rsidR="00474C30" w:rsidRPr="009A3D32" w:rsidP="1CBCB162" w14:paraId="3912693D"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0D6D70" w:rsidRPr="009A3D32" w:rsidP="1CBCB162" w14:paraId="5BC7DC3E" w14:textId="78E520A3">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9A3D32">
        <w:rPr>
          <w:rStyle w:val="normaltextrun"/>
          <w:rFonts w:asciiTheme="minorHAnsi" w:hAnsiTheme="minorHAnsi" w:cstheme="minorHAnsi"/>
          <w:sz w:val="22"/>
          <w:szCs w:val="22"/>
        </w:rPr>
        <w:t>These files should be named, “Engine management team</w:t>
      </w:r>
      <w:r w:rsidRPr="009A3D32" w:rsidR="00AA277C">
        <w:rPr>
          <w:rStyle w:val="normaltextrun"/>
          <w:rFonts w:asciiTheme="minorHAnsi" w:hAnsiTheme="minorHAnsi" w:cstheme="minorHAnsi"/>
          <w:sz w:val="22"/>
          <w:szCs w:val="22"/>
        </w:rPr>
        <w:t>_[</w:t>
      </w:r>
      <w:r w:rsidRPr="009A3D32" w:rsidR="00AA277C">
        <w:rPr>
          <w:rStyle w:val="normaltextrun"/>
          <w:rFonts w:asciiTheme="minorHAnsi" w:hAnsiTheme="minorHAnsi" w:cstheme="minorHAnsi"/>
          <w:sz w:val="22"/>
          <w:szCs w:val="22"/>
        </w:rPr>
        <w:t>Q1, Q2, Q3, or Q4]_[2024 or 2025]</w:t>
      </w:r>
      <w:r w:rsidRPr="009A3D32" w:rsidR="009A3155">
        <w:rPr>
          <w:rStyle w:val="normaltextrun"/>
          <w:rFonts w:asciiTheme="minorHAnsi" w:hAnsiTheme="minorHAnsi" w:cstheme="minorHAnsi"/>
          <w:sz w:val="22"/>
          <w:szCs w:val="22"/>
        </w:rPr>
        <w:t>_</w:t>
      </w:r>
      <w:r w:rsidRPr="009A3D32" w:rsidR="00C4325D">
        <w:rPr>
          <w:rStyle w:val="normaltextrun"/>
          <w:rFonts w:asciiTheme="minorHAnsi" w:hAnsiTheme="minorHAnsi" w:cstheme="minorHAnsi"/>
          <w:sz w:val="22"/>
          <w:szCs w:val="22"/>
        </w:rPr>
        <w:t>[Engine name]</w:t>
      </w:r>
      <w:r w:rsidRPr="009A3D32">
        <w:rPr>
          <w:rStyle w:val="normaltextrun"/>
          <w:rFonts w:asciiTheme="minorHAnsi" w:hAnsiTheme="minorHAnsi" w:cstheme="minorHAnsi"/>
          <w:sz w:val="22"/>
          <w:szCs w:val="22"/>
        </w:rPr>
        <w:t>.</w:t>
      </w:r>
      <w:r w:rsidRPr="009A3D32">
        <w:rPr>
          <w:rStyle w:val="normaltextrun"/>
          <w:rFonts w:asciiTheme="minorHAnsi" w:hAnsiTheme="minorHAnsi" w:cstheme="minorHAnsi"/>
          <w:sz w:val="22"/>
          <w:szCs w:val="22"/>
        </w:rPr>
        <w:t>xls</w:t>
      </w:r>
      <w:r w:rsidRPr="009A3D32">
        <w:rPr>
          <w:rStyle w:val="normaltextrun"/>
          <w:rFonts w:asciiTheme="minorHAnsi" w:hAnsiTheme="minorHAnsi" w:cstheme="minorHAnsi"/>
          <w:sz w:val="22"/>
          <w:szCs w:val="22"/>
        </w:rPr>
        <w:t xml:space="preserve">” and “Engine </w:t>
      </w:r>
      <w:r w:rsidRPr="009A3D32" w:rsidR="001C5715">
        <w:rPr>
          <w:rStyle w:val="normaltextrun"/>
          <w:rFonts w:asciiTheme="minorHAnsi" w:hAnsiTheme="minorHAnsi" w:cstheme="minorHAnsi"/>
          <w:sz w:val="22"/>
          <w:szCs w:val="22"/>
        </w:rPr>
        <w:t>organizational chart</w:t>
      </w:r>
      <w:r w:rsidRPr="009A3D32">
        <w:rPr>
          <w:rStyle w:val="normaltextrun"/>
          <w:rFonts w:asciiTheme="minorHAnsi" w:hAnsiTheme="minorHAnsi" w:cstheme="minorHAnsi"/>
          <w:sz w:val="22"/>
          <w:szCs w:val="22"/>
        </w:rPr>
        <w:t>_[</w:t>
      </w:r>
      <w:r w:rsidRPr="009A3D32" w:rsidR="708F2417">
        <w:rPr>
          <w:rStyle w:val="normaltextrun"/>
          <w:rFonts w:asciiTheme="minorHAnsi" w:hAnsiTheme="minorHAnsi" w:cstheme="minorHAnsi"/>
          <w:sz w:val="22"/>
          <w:szCs w:val="22"/>
        </w:rPr>
        <w:t>Q1, Q2, Q3, or Q4]_[</w:t>
      </w:r>
      <w:r w:rsidRPr="009A3D32" w:rsidR="7668F277">
        <w:rPr>
          <w:rStyle w:val="normaltextrun"/>
          <w:rFonts w:asciiTheme="minorHAnsi" w:hAnsiTheme="minorHAnsi" w:cstheme="minorHAnsi"/>
          <w:sz w:val="22"/>
          <w:szCs w:val="22"/>
        </w:rPr>
        <w:t>2024 or 2025]</w:t>
      </w:r>
      <w:r w:rsidRPr="009A3D32" w:rsidR="00C4325D">
        <w:rPr>
          <w:rStyle w:val="normaltextrun"/>
          <w:rFonts w:asciiTheme="minorHAnsi" w:hAnsiTheme="minorHAnsi" w:cstheme="minorHAnsi"/>
          <w:sz w:val="22"/>
          <w:szCs w:val="22"/>
        </w:rPr>
        <w:t>_[Engine name]</w:t>
      </w:r>
      <w:r w:rsidRPr="009A3D32">
        <w:rPr>
          <w:rStyle w:val="normaltextrun"/>
          <w:rFonts w:asciiTheme="minorHAnsi" w:hAnsiTheme="minorHAnsi" w:cstheme="minorHAnsi"/>
          <w:sz w:val="22"/>
          <w:szCs w:val="22"/>
        </w:rPr>
        <w:t>.pdf</w:t>
      </w:r>
      <w:r w:rsidRPr="009A3D32" w:rsidR="171BE77A">
        <w:rPr>
          <w:rStyle w:val="normaltextrun"/>
          <w:rFonts w:asciiTheme="minorHAnsi" w:hAnsiTheme="minorHAnsi" w:cstheme="minorHAnsi"/>
          <w:sz w:val="22"/>
          <w:szCs w:val="22"/>
        </w:rPr>
        <w:t>”</w:t>
      </w:r>
      <w:r w:rsidRPr="009A3D32">
        <w:rPr>
          <w:rStyle w:val="normaltextrun"/>
          <w:rFonts w:asciiTheme="minorHAnsi" w:hAnsiTheme="minorHAnsi" w:cstheme="minorHAnsi"/>
          <w:sz w:val="22"/>
          <w:szCs w:val="22"/>
        </w:rPr>
        <w:t xml:space="preserve">. </w:t>
      </w:r>
      <w:r w:rsidRPr="009A3D32" w:rsidR="01282EE8">
        <w:rPr>
          <w:rStyle w:val="normaltextrun"/>
          <w:rFonts w:asciiTheme="minorHAnsi" w:hAnsiTheme="minorHAnsi" w:cstheme="minorHAnsi"/>
          <w:sz w:val="22"/>
          <w:szCs w:val="22"/>
        </w:rPr>
        <w:t xml:space="preserve">Teams should submit updated documents with their quarterly report, </w:t>
      </w:r>
      <w:r w:rsidRPr="009A3D32" w:rsidR="00474C30">
        <w:rPr>
          <w:rStyle w:val="normaltextrun"/>
          <w:rFonts w:asciiTheme="minorHAnsi" w:hAnsiTheme="minorHAnsi" w:cstheme="minorHAnsi"/>
          <w:sz w:val="22"/>
          <w:szCs w:val="22"/>
        </w:rPr>
        <w:t>only</w:t>
      </w:r>
      <w:r w:rsidRPr="009A3D32" w:rsidR="01282EE8">
        <w:rPr>
          <w:rStyle w:val="normaltextrun"/>
          <w:rFonts w:asciiTheme="minorHAnsi" w:hAnsiTheme="minorHAnsi" w:cstheme="minorHAnsi"/>
          <w:sz w:val="22"/>
          <w:szCs w:val="22"/>
        </w:rPr>
        <w:t xml:space="preserve"> if there are changes</w:t>
      </w:r>
      <w:r w:rsidRPr="009A3D32" w:rsidR="00405F83">
        <w:rPr>
          <w:rStyle w:val="normaltextrun"/>
          <w:rFonts w:asciiTheme="minorHAnsi" w:hAnsiTheme="minorHAnsi" w:cstheme="minorHAnsi"/>
          <w:sz w:val="22"/>
          <w:szCs w:val="22"/>
        </w:rPr>
        <w:t>.</w:t>
      </w:r>
      <w:r w:rsidRPr="009A3D32" w:rsidR="00530EF9">
        <w:rPr>
          <w:rStyle w:val="normaltextrun"/>
          <w:rFonts w:asciiTheme="minorHAnsi" w:hAnsiTheme="minorHAnsi" w:cstheme="minorHAnsi"/>
          <w:sz w:val="22"/>
          <w:szCs w:val="22"/>
        </w:rPr>
        <w:t xml:space="preserve"> </w:t>
      </w:r>
    </w:p>
    <w:p w:rsidR="000D6D70" w:rsidRPr="009A3D32" w:rsidP="1CBCB162" w14:paraId="6AEFD7F7" w14:textId="1D855CF3">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215069" w:rsidP="1CBCB162" w14:paraId="36DE1CF3" w14:textId="1197ED0A">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9A3D32">
        <w:rPr>
          <w:rStyle w:val="normaltextrun"/>
          <w:rFonts w:asciiTheme="minorHAnsi" w:hAnsiTheme="minorHAnsi" w:cstheme="minorHAnsi"/>
          <w:sz w:val="22"/>
          <w:szCs w:val="22"/>
        </w:rPr>
        <w:t>Within the quarterly report, teams should</w:t>
      </w:r>
      <w:r>
        <w:rPr>
          <w:rStyle w:val="normaltextrun"/>
          <w:rFonts w:asciiTheme="minorHAnsi" w:hAnsiTheme="minorHAnsi" w:cstheme="minorHAnsi"/>
          <w:sz w:val="22"/>
          <w:szCs w:val="22"/>
        </w:rPr>
        <w:t>:</w:t>
      </w:r>
    </w:p>
    <w:p w:rsidR="00D54D8F" w:rsidRPr="009902D7" w:rsidP="009902D7" w14:paraId="5ECD6E21" w14:textId="162D2592">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w:t>
      </w:r>
      <w:r w:rsidRPr="009A3D32" w:rsidR="32877958">
        <w:rPr>
          <w:rStyle w:val="normaltextrun"/>
          <w:rFonts w:asciiTheme="minorHAnsi" w:hAnsiTheme="minorHAnsi" w:cstheme="minorHAnsi"/>
          <w:sz w:val="22"/>
          <w:szCs w:val="22"/>
        </w:rPr>
        <w:t xml:space="preserve">ote if </w:t>
      </w:r>
      <w:r w:rsidR="00326773">
        <w:rPr>
          <w:rStyle w:val="normaltextrun"/>
          <w:rFonts w:asciiTheme="minorHAnsi" w:hAnsiTheme="minorHAnsi" w:cstheme="minorHAnsi"/>
          <w:sz w:val="22"/>
          <w:szCs w:val="22"/>
        </w:rPr>
        <w:t xml:space="preserve">they have submitted updated </w:t>
      </w:r>
      <w:r>
        <w:rPr>
          <w:rStyle w:val="normaltextrun"/>
          <w:rFonts w:asciiTheme="minorHAnsi" w:hAnsiTheme="minorHAnsi" w:cstheme="minorHAnsi"/>
          <w:sz w:val="22"/>
          <w:szCs w:val="22"/>
        </w:rPr>
        <w:t xml:space="preserve">versions of </w:t>
      </w:r>
      <w:r w:rsidR="00326773">
        <w:rPr>
          <w:rStyle w:val="normaltextrun"/>
          <w:rFonts w:asciiTheme="minorHAnsi" w:hAnsiTheme="minorHAnsi" w:cstheme="minorHAnsi"/>
          <w:sz w:val="22"/>
          <w:szCs w:val="22"/>
        </w:rPr>
        <w:t>the above two document</w:t>
      </w:r>
      <w:r w:rsidR="00FE7EAD">
        <w:rPr>
          <w:rStyle w:val="normaltextrun"/>
          <w:rFonts w:asciiTheme="minorHAnsi" w:hAnsiTheme="minorHAnsi" w:cstheme="minorHAnsi"/>
          <w:sz w:val="22"/>
          <w:szCs w:val="22"/>
        </w:rPr>
        <w:t>s</w:t>
      </w:r>
      <w:r w:rsidR="009902D7">
        <w:rPr>
          <w:rStyle w:val="normaltextrun"/>
          <w:rFonts w:asciiTheme="minorHAnsi" w:hAnsiTheme="minorHAnsi" w:cstheme="minorHAnsi"/>
          <w:sz w:val="22"/>
          <w:szCs w:val="22"/>
        </w:rPr>
        <w:t xml:space="preserve"> along with a</w:t>
      </w:r>
      <w:r w:rsidRPr="009902D7" w:rsidR="00D95C6B">
        <w:rPr>
          <w:rStyle w:val="normaltextrun"/>
          <w:rFonts w:asciiTheme="minorHAnsi" w:hAnsiTheme="minorHAnsi" w:cstheme="minorHAnsi"/>
          <w:sz w:val="22"/>
          <w:szCs w:val="22"/>
        </w:rPr>
        <w:t>dditions</w:t>
      </w:r>
      <w:r w:rsidRPr="009902D7" w:rsidR="00424C0A">
        <w:rPr>
          <w:rStyle w:val="normaltextrun"/>
          <w:rFonts w:asciiTheme="minorHAnsi" w:hAnsiTheme="minorHAnsi" w:cstheme="minorHAnsi"/>
          <w:sz w:val="22"/>
          <w:szCs w:val="22"/>
        </w:rPr>
        <w:t>, restr</w:t>
      </w:r>
      <w:r w:rsidRPr="009902D7" w:rsidR="004F4B82">
        <w:rPr>
          <w:rStyle w:val="normaltextrun"/>
          <w:rFonts w:asciiTheme="minorHAnsi" w:hAnsiTheme="minorHAnsi" w:cstheme="minorHAnsi"/>
          <w:sz w:val="22"/>
          <w:szCs w:val="22"/>
        </w:rPr>
        <w:t>u</w:t>
      </w:r>
      <w:r w:rsidRPr="009902D7" w:rsidR="00424C0A">
        <w:rPr>
          <w:rStyle w:val="normaltextrun"/>
          <w:rFonts w:asciiTheme="minorHAnsi" w:hAnsiTheme="minorHAnsi" w:cstheme="minorHAnsi"/>
          <w:sz w:val="22"/>
          <w:szCs w:val="22"/>
        </w:rPr>
        <w:t>ct</w:t>
      </w:r>
      <w:r w:rsidRPr="009902D7" w:rsidR="004F4B82">
        <w:rPr>
          <w:rStyle w:val="normaltextrun"/>
          <w:rFonts w:asciiTheme="minorHAnsi" w:hAnsiTheme="minorHAnsi" w:cstheme="minorHAnsi"/>
          <w:sz w:val="22"/>
          <w:szCs w:val="22"/>
        </w:rPr>
        <w:t>uring</w:t>
      </w:r>
      <w:r w:rsidRPr="009902D7" w:rsidR="00424C0A">
        <w:rPr>
          <w:rStyle w:val="normaltextrun"/>
          <w:rFonts w:asciiTheme="minorHAnsi" w:hAnsiTheme="minorHAnsi" w:cstheme="minorHAnsi"/>
          <w:sz w:val="22"/>
          <w:szCs w:val="22"/>
        </w:rPr>
        <w:t>, or other</w:t>
      </w:r>
      <w:r w:rsidRPr="009902D7" w:rsidR="00D95C6B">
        <w:rPr>
          <w:rStyle w:val="normaltextrun"/>
          <w:rFonts w:asciiTheme="minorHAnsi" w:hAnsiTheme="minorHAnsi" w:cstheme="minorHAnsi"/>
          <w:sz w:val="22"/>
          <w:szCs w:val="22"/>
        </w:rPr>
        <w:t xml:space="preserve"> modifications to staffing,</w:t>
      </w:r>
      <w:r w:rsidRPr="009902D7" w:rsidR="00424C0A">
        <w:rPr>
          <w:rStyle w:val="normaltextrun"/>
          <w:rFonts w:asciiTheme="minorHAnsi" w:hAnsiTheme="minorHAnsi" w:cstheme="minorHAnsi"/>
          <w:sz w:val="22"/>
          <w:szCs w:val="22"/>
        </w:rPr>
        <w:t xml:space="preserve"> </w:t>
      </w:r>
      <w:r w:rsidRPr="009902D7" w:rsidR="00AC1862">
        <w:rPr>
          <w:rStyle w:val="normaltextrun"/>
          <w:rFonts w:asciiTheme="minorHAnsi" w:hAnsiTheme="minorHAnsi" w:cstheme="minorHAnsi"/>
          <w:sz w:val="22"/>
          <w:szCs w:val="22"/>
        </w:rPr>
        <w:t xml:space="preserve">positions and/or the </w:t>
      </w:r>
      <w:r w:rsidRPr="009902D7" w:rsidR="004D77B5">
        <w:rPr>
          <w:rStyle w:val="normaltextrun"/>
          <w:rFonts w:asciiTheme="minorHAnsi" w:hAnsiTheme="minorHAnsi" w:cstheme="minorHAnsi"/>
          <w:sz w:val="22"/>
          <w:szCs w:val="22"/>
        </w:rPr>
        <w:t>individuals</w:t>
      </w:r>
      <w:r w:rsidR="00BB14B9">
        <w:rPr>
          <w:rStyle w:val="normaltextrun"/>
          <w:rFonts w:asciiTheme="minorHAnsi" w:hAnsiTheme="minorHAnsi" w:cstheme="minorHAnsi"/>
          <w:sz w:val="22"/>
          <w:szCs w:val="22"/>
        </w:rPr>
        <w:t xml:space="preserve">. Suggested length: </w:t>
      </w:r>
      <w:r w:rsidR="00905465">
        <w:rPr>
          <w:rStyle w:val="normaltextrun"/>
          <w:rFonts w:asciiTheme="minorHAnsi" w:hAnsiTheme="minorHAnsi" w:cstheme="minorHAnsi"/>
          <w:sz w:val="22"/>
          <w:szCs w:val="22"/>
        </w:rPr>
        <w:t>up to two parag</w:t>
      </w:r>
      <w:r w:rsidR="00E67D37">
        <w:rPr>
          <w:rStyle w:val="normaltextrun"/>
          <w:rFonts w:asciiTheme="minorHAnsi" w:hAnsiTheme="minorHAnsi" w:cstheme="minorHAnsi"/>
          <w:sz w:val="22"/>
          <w:szCs w:val="22"/>
        </w:rPr>
        <w:t>rap</w:t>
      </w:r>
      <w:r w:rsidR="00905465">
        <w:rPr>
          <w:rStyle w:val="normaltextrun"/>
          <w:rFonts w:asciiTheme="minorHAnsi" w:hAnsiTheme="minorHAnsi" w:cstheme="minorHAnsi"/>
          <w:sz w:val="22"/>
          <w:szCs w:val="22"/>
        </w:rPr>
        <w:t>hs for this section, if applicable</w:t>
      </w:r>
      <w:r w:rsidR="00301588">
        <w:rPr>
          <w:rStyle w:val="normaltextrun"/>
          <w:rFonts w:asciiTheme="minorHAnsi" w:hAnsiTheme="minorHAnsi" w:cstheme="minorHAnsi"/>
          <w:sz w:val="22"/>
          <w:szCs w:val="22"/>
        </w:rPr>
        <w:t>.</w:t>
      </w:r>
    </w:p>
    <w:p w:rsidR="000D6D70" w:rsidRPr="009E0935" w:rsidP="009E0935" w14:paraId="76B48806" w14:textId="68F70881">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Describe s</w:t>
      </w:r>
      <w:r w:rsidRPr="009A3D32" w:rsidR="00D95C6B">
        <w:rPr>
          <w:rStyle w:val="normaltextrun"/>
          <w:rFonts w:asciiTheme="minorHAnsi" w:hAnsiTheme="minorHAnsi" w:cstheme="minorHAnsi"/>
          <w:sz w:val="22"/>
          <w:szCs w:val="22"/>
        </w:rPr>
        <w:t xml:space="preserve">ignificant </w:t>
      </w:r>
      <w:r w:rsidRPr="009A3D32" w:rsidR="00424C0A">
        <w:rPr>
          <w:rStyle w:val="normaltextrun"/>
          <w:rFonts w:asciiTheme="minorHAnsi" w:hAnsiTheme="minorHAnsi" w:cstheme="minorHAnsi"/>
          <w:sz w:val="22"/>
          <w:szCs w:val="22"/>
        </w:rPr>
        <w:t>efforts undertaken</w:t>
      </w:r>
      <w:r w:rsidRPr="009A3D32" w:rsidR="00FD612D">
        <w:rPr>
          <w:rStyle w:val="normaltextrun"/>
          <w:rFonts w:asciiTheme="minorHAnsi" w:hAnsiTheme="minorHAnsi" w:cstheme="minorHAnsi"/>
          <w:sz w:val="22"/>
          <w:szCs w:val="22"/>
        </w:rPr>
        <w:t xml:space="preserve"> </w:t>
      </w:r>
      <w:r w:rsidR="00011FE3">
        <w:rPr>
          <w:rStyle w:val="normaltextrun"/>
          <w:rFonts w:asciiTheme="minorHAnsi" w:hAnsiTheme="minorHAnsi" w:cstheme="minorHAnsi"/>
          <w:sz w:val="22"/>
          <w:szCs w:val="22"/>
        </w:rPr>
        <w:t>by the following Engine entities</w:t>
      </w:r>
      <w:r w:rsidRPr="009A3D32" w:rsidR="00FD612D">
        <w:rPr>
          <w:rStyle w:val="normaltextrun"/>
          <w:rFonts w:asciiTheme="minorHAnsi" w:hAnsiTheme="minorHAnsi" w:cstheme="minorHAnsi"/>
          <w:sz w:val="22"/>
          <w:szCs w:val="22"/>
        </w:rPr>
        <w:t>: Leadership Team, Governance Board, and Advisory Board</w:t>
      </w:r>
      <w:r w:rsidRPr="009A3D32" w:rsidR="00424C0A">
        <w:rPr>
          <w:rStyle w:val="normaltextrun"/>
          <w:rFonts w:asciiTheme="minorHAnsi" w:hAnsiTheme="minorHAnsi" w:cstheme="minorHAnsi"/>
          <w:sz w:val="22"/>
          <w:szCs w:val="22"/>
        </w:rPr>
        <w:t>.</w:t>
      </w:r>
      <w:r w:rsidRPr="009A3D32" w:rsidR="00DB17FB">
        <w:rPr>
          <w:rStyle w:val="normaltextrun"/>
          <w:rFonts w:asciiTheme="minorHAnsi" w:hAnsiTheme="minorHAnsi" w:cstheme="minorHAnsi"/>
          <w:sz w:val="22"/>
          <w:szCs w:val="22"/>
        </w:rPr>
        <w:t xml:space="preserve"> Suggested length: up to </w:t>
      </w:r>
      <w:r w:rsidRPr="009A3D32" w:rsidR="00FA7374">
        <w:rPr>
          <w:rStyle w:val="normaltextrun"/>
          <w:rFonts w:asciiTheme="minorHAnsi" w:hAnsiTheme="minorHAnsi" w:cstheme="minorHAnsi"/>
          <w:sz w:val="22"/>
          <w:szCs w:val="22"/>
        </w:rPr>
        <w:t xml:space="preserve">two </w:t>
      </w:r>
      <w:r w:rsidRPr="009A3D32" w:rsidR="00DB17FB">
        <w:rPr>
          <w:rStyle w:val="normaltextrun"/>
          <w:rFonts w:asciiTheme="minorHAnsi" w:hAnsiTheme="minorHAnsi" w:cstheme="minorHAnsi"/>
          <w:sz w:val="22"/>
          <w:szCs w:val="22"/>
        </w:rPr>
        <w:t>paragraph</w:t>
      </w:r>
      <w:r w:rsidRPr="009A3D32" w:rsidR="2E31483D">
        <w:rPr>
          <w:rStyle w:val="normaltextrun"/>
          <w:rFonts w:asciiTheme="minorHAnsi" w:hAnsiTheme="minorHAnsi" w:cstheme="minorHAnsi"/>
          <w:sz w:val="22"/>
          <w:szCs w:val="22"/>
        </w:rPr>
        <w:t>s</w:t>
      </w:r>
      <w:r w:rsidRPr="009A3D32" w:rsidR="00DB17FB">
        <w:rPr>
          <w:rStyle w:val="normaltextrun"/>
          <w:rFonts w:asciiTheme="minorHAnsi" w:hAnsiTheme="minorHAnsi" w:cstheme="minorHAnsi"/>
          <w:sz w:val="22"/>
          <w:szCs w:val="22"/>
        </w:rPr>
        <w:t xml:space="preserve"> for each</w:t>
      </w:r>
      <w:r w:rsidRPr="009A3D32" w:rsidR="00EE62E9">
        <w:rPr>
          <w:rStyle w:val="normaltextrun"/>
          <w:rFonts w:asciiTheme="minorHAnsi" w:hAnsiTheme="minorHAnsi" w:cstheme="minorHAnsi"/>
          <w:sz w:val="22"/>
          <w:szCs w:val="22"/>
        </w:rPr>
        <w:t xml:space="preserve"> </w:t>
      </w:r>
      <w:r w:rsidR="000E29F9">
        <w:rPr>
          <w:rStyle w:val="normaltextrun"/>
          <w:rFonts w:asciiTheme="minorHAnsi" w:hAnsiTheme="minorHAnsi" w:cstheme="minorHAnsi"/>
          <w:sz w:val="22"/>
          <w:szCs w:val="22"/>
        </w:rPr>
        <w:t>entity</w:t>
      </w:r>
      <w:r w:rsidR="009E0935">
        <w:rPr>
          <w:rStyle w:val="normaltextrun"/>
          <w:rFonts w:asciiTheme="minorHAnsi" w:hAnsiTheme="minorHAnsi" w:cstheme="minorHAnsi"/>
          <w:sz w:val="22"/>
          <w:szCs w:val="22"/>
        </w:rPr>
        <w:t xml:space="preserve">. If any of these efforts correspond to </w:t>
      </w:r>
      <w:r w:rsidR="00766700">
        <w:rPr>
          <w:rStyle w:val="normaltextrun"/>
          <w:rFonts w:asciiTheme="minorHAnsi" w:hAnsiTheme="minorHAnsi" w:cstheme="minorHAnsi"/>
          <w:sz w:val="22"/>
          <w:szCs w:val="22"/>
        </w:rPr>
        <w:t>Ecosystem Building Projects</w:t>
      </w:r>
      <w:r w:rsidR="009E0935">
        <w:rPr>
          <w:rStyle w:val="normaltextrun"/>
          <w:rFonts w:asciiTheme="minorHAnsi" w:hAnsiTheme="minorHAnsi" w:cstheme="minorHAnsi"/>
          <w:sz w:val="22"/>
          <w:szCs w:val="22"/>
        </w:rPr>
        <w:t xml:space="preserve"> </w:t>
      </w:r>
      <w:r w:rsidR="001E3FDF">
        <w:rPr>
          <w:rStyle w:val="normaltextrun"/>
          <w:rFonts w:asciiTheme="minorHAnsi" w:hAnsiTheme="minorHAnsi" w:cstheme="minorHAnsi"/>
          <w:sz w:val="22"/>
          <w:szCs w:val="22"/>
        </w:rPr>
        <w:t>noted in the “Engine Activities” file (see section C of this quarterly report document)</w:t>
      </w:r>
      <w:r w:rsidR="002D398D">
        <w:rPr>
          <w:rStyle w:val="normaltextrun"/>
          <w:rFonts w:asciiTheme="minorHAnsi" w:hAnsiTheme="minorHAnsi" w:cstheme="minorHAnsi"/>
          <w:sz w:val="22"/>
          <w:szCs w:val="22"/>
        </w:rPr>
        <w:t xml:space="preserve">, make note of the efforts in the context of those </w:t>
      </w:r>
      <w:r w:rsidR="00766700">
        <w:rPr>
          <w:rStyle w:val="normaltextrun"/>
          <w:rFonts w:asciiTheme="minorHAnsi" w:hAnsiTheme="minorHAnsi" w:cstheme="minorHAnsi"/>
          <w:sz w:val="22"/>
          <w:szCs w:val="22"/>
        </w:rPr>
        <w:t>projects</w:t>
      </w:r>
      <w:r w:rsidR="002D398D">
        <w:rPr>
          <w:rStyle w:val="normaltextrun"/>
          <w:rFonts w:asciiTheme="minorHAnsi" w:hAnsiTheme="minorHAnsi" w:cstheme="minorHAnsi"/>
          <w:sz w:val="22"/>
          <w:szCs w:val="22"/>
        </w:rPr>
        <w:t>.</w:t>
      </w:r>
      <w:r w:rsidRPr="009E0935" w:rsidR="00AA3840">
        <w:rPr>
          <w:rStyle w:val="normaltextrun"/>
          <w:rFonts w:asciiTheme="minorHAnsi" w:hAnsiTheme="minorHAnsi" w:cstheme="minorHAnsi"/>
          <w:sz w:val="22"/>
          <w:szCs w:val="22"/>
        </w:rPr>
        <w:t>&gt;&gt;</w:t>
      </w:r>
    </w:p>
    <w:p w:rsidR="00E41860" w:rsidRPr="009A3D32" w:rsidP="00424C0A" w14:paraId="7A2DD60B" w14:textId="67267E43">
      <w:pPr>
        <w:pStyle w:val="paragraph"/>
        <w:spacing w:before="0" w:beforeAutospacing="0" w:after="0" w:afterAutospacing="0"/>
        <w:textAlignment w:val="baseline"/>
        <w:rPr>
          <w:rFonts w:asciiTheme="minorHAnsi" w:hAnsiTheme="minorHAnsi" w:cstheme="minorHAnsi"/>
          <w:b/>
          <w:sz w:val="22"/>
          <w:szCs w:val="22"/>
        </w:rPr>
      </w:pPr>
      <w:r w:rsidRPr="009A3D32">
        <w:rPr>
          <w:rStyle w:val="normaltextrun"/>
          <w:rFonts w:asciiTheme="minorHAnsi" w:hAnsiTheme="minorHAnsi" w:cstheme="minorHAnsi"/>
          <w:b/>
          <w:sz w:val="22"/>
          <w:szCs w:val="22"/>
        </w:rPr>
        <w:tab/>
      </w:r>
    </w:p>
    <w:p w:rsidR="00C52243" w:rsidRPr="000279C2" w:rsidP="74AF1011" w14:paraId="2670C1CF" w14:textId="626ED32E">
      <w:pPr>
        <w:pStyle w:val="paragraph"/>
        <w:spacing w:before="0" w:beforeAutospacing="0" w:after="0" w:afterAutospacing="0"/>
        <w:ind w:firstLine="50"/>
        <w:textAlignment w:val="baseline"/>
        <w:rPr>
          <w:rFonts w:asciiTheme="minorHAnsi" w:hAnsiTheme="minorHAnsi" w:cstheme="minorBidi"/>
          <w:sz w:val="22"/>
          <w:szCs w:val="22"/>
        </w:rPr>
      </w:pPr>
    </w:p>
    <w:p w:rsidR="00C82884" w:rsidRPr="00EB466A" w:rsidP="00EB466A" w14:paraId="458E4DFD" w14:textId="746217CC">
      <w:pPr>
        <w:pStyle w:val="ListParagraph"/>
        <w:numPr>
          <w:ilvl w:val="0"/>
          <w:numId w:val="12"/>
        </w:numPr>
        <w:rPr>
          <w:rStyle w:val="eop"/>
          <w:rFonts w:eastAsia="Times New Roman" w:cstheme="minorHAnsi"/>
        </w:rPr>
      </w:pPr>
      <w:r w:rsidRPr="00EB466A">
        <w:rPr>
          <w:rStyle w:val="normaltextrun"/>
          <w:rFonts w:cstheme="minorHAnsi"/>
          <w:b/>
        </w:rPr>
        <w:t>Progress on the Engine’s Five-year Strategic and Implementation Plan's component plans</w:t>
      </w:r>
      <w:bookmarkStart w:id="0" w:name="_Hlk159128150"/>
      <w:r w:rsidRPr="00EB466A" w:rsidR="00EB466A">
        <w:rPr>
          <w:rStyle w:val="normaltextrun"/>
          <w:rFonts w:cstheme="minorHAnsi"/>
          <w:b/>
          <w:bCs/>
        </w:rPr>
        <w:t xml:space="preserve">. </w:t>
      </w:r>
      <w:r w:rsidRPr="00EB466A" w:rsidR="00EB466A">
        <w:rPr>
          <w:rStyle w:val="normaltextrun"/>
          <w:rFonts w:eastAsia="Times New Roman" w:cstheme="minorHAnsi"/>
        </w:rPr>
        <w:t xml:space="preserve">Activities undertaken toward developing and/or modifying the required component plans should be described, in addition to implementation and notable outcomes for each.  </w:t>
      </w:r>
    </w:p>
    <w:bookmarkEnd w:id="0"/>
    <w:p w:rsidR="00783C81" w:rsidRPr="009A3D32" w:rsidP="000E4F10" w14:paraId="183AE1A6" w14:textId="59354E67">
      <w:pPr>
        <w:pStyle w:val="paragraph"/>
        <w:spacing w:before="0" w:beforeAutospacing="0" w:after="0" w:afterAutospacing="0"/>
        <w:ind w:left="720"/>
        <w:textAlignment w:val="baseline"/>
        <w:rPr>
          <w:rStyle w:val="eop"/>
          <w:rFonts w:asciiTheme="minorHAnsi" w:hAnsiTheme="minorHAnsi" w:cstheme="minorHAnsi"/>
          <w:sz w:val="22"/>
          <w:szCs w:val="22"/>
        </w:rPr>
      </w:pPr>
      <w:r w:rsidRPr="009A3D32">
        <w:rPr>
          <w:rStyle w:val="eop"/>
          <w:rFonts w:asciiTheme="minorHAnsi" w:hAnsiTheme="minorHAnsi" w:cstheme="minorHAnsi"/>
          <w:sz w:val="22"/>
          <w:szCs w:val="22"/>
        </w:rPr>
        <w:t>&lt;&lt;</w:t>
      </w:r>
      <w:r w:rsidRPr="00AB30AF" w:rsidR="00AB30AF">
        <w:rPr>
          <w:rStyle w:val="normaltextrun"/>
          <w:rFonts w:asciiTheme="minorHAnsi" w:hAnsiTheme="minorHAnsi" w:cstheme="minorHAnsi"/>
          <w:sz w:val="22"/>
          <w:szCs w:val="22"/>
        </w:rPr>
        <w:t xml:space="preserve"> </w:t>
      </w:r>
      <w:r w:rsidRPr="00026CB8" w:rsidR="00AB30AF">
        <w:rPr>
          <w:rStyle w:val="normaltextrun"/>
          <w:rFonts w:asciiTheme="minorHAnsi" w:hAnsiTheme="minorHAnsi" w:cstheme="minorHAnsi"/>
          <w:sz w:val="22"/>
          <w:szCs w:val="22"/>
        </w:rPr>
        <w:t>DELETE this reference text in the final version of report</w:t>
      </w:r>
      <w:r w:rsidR="00842EC9">
        <w:rPr>
          <w:rStyle w:val="normaltextrun"/>
          <w:rFonts w:asciiTheme="minorHAnsi" w:hAnsiTheme="minorHAnsi" w:cstheme="minorHAnsi"/>
          <w:sz w:val="22"/>
          <w:szCs w:val="22"/>
        </w:rPr>
        <w:t>.</w:t>
      </w:r>
      <w:r w:rsidRPr="00026CB8" w:rsidR="00AB30AF">
        <w:rPr>
          <w:rStyle w:val="normaltextrun"/>
          <w:rFonts w:asciiTheme="minorHAnsi" w:hAnsiTheme="minorHAnsi" w:cstheme="minorHAnsi"/>
          <w:sz w:val="22"/>
          <w:szCs w:val="22"/>
        </w:rPr>
        <w:t xml:space="preserve"> </w:t>
      </w:r>
      <w:r w:rsidRPr="009A3D32" w:rsidR="00FA7374">
        <w:rPr>
          <w:rStyle w:val="eop"/>
          <w:rFonts w:asciiTheme="minorHAnsi" w:hAnsiTheme="minorHAnsi" w:cstheme="minorHAnsi"/>
          <w:sz w:val="22"/>
          <w:szCs w:val="22"/>
        </w:rPr>
        <w:t xml:space="preserve">Engines </w:t>
      </w:r>
      <w:r w:rsidRPr="009A3D32" w:rsidR="007028BB">
        <w:rPr>
          <w:rStyle w:val="eop"/>
          <w:rFonts w:asciiTheme="minorHAnsi" w:hAnsiTheme="minorHAnsi" w:cstheme="minorHAnsi"/>
          <w:sz w:val="22"/>
          <w:szCs w:val="22"/>
        </w:rPr>
        <w:t>will be</w:t>
      </w:r>
      <w:r w:rsidRPr="009A3D32">
        <w:rPr>
          <w:rStyle w:val="eop"/>
          <w:rFonts w:asciiTheme="minorHAnsi" w:hAnsiTheme="minorHAnsi" w:cstheme="minorHAnsi"/>
          <w:sz w:val="22"/>
          <w:szCs w:val="22"/>
        </w:rPr>
        <w:t xml:space="preserve"> provided</w:t>
      </w:r>
      <w:r w:rsidRPr="009A3D32" w:rsidR="00C758BE">
        <w:rPr>
          <w:rStyle w:val="eop"/>
          <w:rFonts w:asciiTheme="minorHAnsi" w:hAnsiTheme="minorHAnsi" w:cstheme="minorHAnsi"/>
          <w:sz w:val="22"/>
          <w:szCs w:val="22"/>
        </w:rPr>
        <w:t xml:space="preserve"> several guidance documents related to this Plan</w:t>
      </w:r>
      <w:r w:rsidR="000B6915">
        <w:rPr>
          <w:rStyle w:val="eop"/>
          <w:rFonts w:asciiTheme="minorHAnsi" w:hAnsiTheme="minorHAnsi" w:cstheme="minorHAnsi"/>
          <w:sz w:val="22"/>
          <w:szCs w:val="22"/>
        </w:rPr>
        <w:t>:</w:t>
      </w:r>
    </w:p>
    <w:p w:rsidR="00783C81" w:rsidRPr="009A3D32" w:rsidP="00783C81" w14:paraId="6A8949D4" w14:textId="481C6F57">
      <w:pPr>
        <w:pStyle w:val="paragraph"/>
        <w:numPr>
          <w:ilvl w:val="0"/>
          <w:numId w:val="14"/>
        </w:numPr>
        <w:spacing w:before="0" w:beforeAutospacing="0" w:after="0" w:afterAutospacing="0"/>
        <w:textAlignment w:val="baseline"/>
        <w:rPr>
          <w:rStyle w:val="eop"/>
          <w:rFonts w:asciiTheme="minorHAnsi" w:hAnsiTheme="minorHAnsi" w:cstheme="minorHAnsi"/>
          <w:sz w:val="22"/>
          <w:szCs w:val="22"/>
        </w:rPr>
      </w:pPr>
      <w:r w:rsidRPr="009A3D32">
        <w:rPr>
          <w:rStyle w:val="eop"/>
          <w:rFonts w:asciiTheme="minorHAnsi" w:hAnsiTheme="minorHAnsi" w:cstheme="minorHAnsi"/>
          <w:sz w:val="22"/>
          <w:szCs w:val="22"/>
        </w:rPr>
        <w:t>A</w:t>
      </w:r>
      <w:r w:rsidRPr="009A3D32" w:rsidR="00C119FB">
        <w:rPr>
          <w:rStyle w:val="eop"/>
          <w:rFonts w:asciiTheme="minorHAnsi" w:hAnsiTheme="minorHAnsi" w:cstheme="minorHAnsi"/>
          <w:sz w:val="22"/>
          <w:szCs w:val="22"/>
        </w:rPr>
        <w:t xml:space="preserve"> table with the list of component plans and their due dates</w:t>
      </w:r>
      <w:r w:rsidRPr="009A3D32" w:rsidR="00884F13">
        <w:rPr>
          <w:rStyle w:val="eop"/>
          <w:rFonts w:asciiTheme="minorHAnsi" w:hAnsiTheme="minorHAnsi" w:cstheme="minorHAnsi"/>
          <w:sz w:val="22"/>
          <w:szCs w:val="22"/>
        </w:rPr>
        <w:t>.</w:t>
      </w:r>
    </w:p>
    <w:p w:rsidR="000E4F10" w:rsidRPr="009A3D32" w:rsidP="00783C81" w14:paraId="08A44EC1" w14:textId="354E1E1B">
      <w:pPr>
        <w:pStyle w:val="paragraph"/>
        <w:numPr>
          <w:ilvl w:val="0"/>
          <w:numId w:val="1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Resource documents</w:t>
      </w:r>
      <w:r w:rsidR="005025AA">
        <w:rPr>
          <w:rStyle w:val="eop"/>
          <w:rFonts w:asciiTheme="minorHAnsi" w:hAnsiTheme="minorHAnsi" w:cstheme="minorHAnsi"/>
          <w:sz w:val="22"/>
          <w:szCs w:val="22"/>
        </w:rPr>
        <w:t xml:space="preserve"> for “best practices”</w:t>
      </w:r>
      <w:r>
        <w:rPr>
          <w:rStyle w:val="eop"/>
          <w:rFonts w:asciiTheme="minorHAnsi" w:hAnsiTheme="minorHAnsi" w:cstheme="minorHAnsi"/>
          <w:sz w:val="22"/>
          <w:szCs w:val="22"/>
        </w:rPr>
        <w:t xml:space="preserve"> for each plan that will typically include a </w:t>
      </w:r>
      <w:r w:rsidRPr="009A3D32" w:rsidR="00E366EE">
        <w:rPr>
          <w:rStyle w:val="eop"/>
          <w:rFonts w:asciiTheme="minorHAnsi" w:hAnsiTheme="minorHAnsi" w:cstheme="minorHAnsi"/>
          <w:sz w:val="22"/>
          <w:szCs w:val="22"/>
        </w:rPr>
        <w:t>r</w:t>
      </w:r>
      <w:r w:rsidRPr="009A3D32" w:rsidR="00DE6F76">
        <w:rPr>
          <w:rStyle w:val="eop"/>
          <w:rFonts w:asciiTheme="minorHAnsi" w:hAnsiTheme="minorHAnsi" w:cstheme="minorHAnsi"/>
          <w:sz w:val="22"/>
          <w:szCs w:val="22"/>
        </w:rPr>
        <w:t>ubric</w:t>
      </w:r>
      <w:r w:rsidR="00AB7C2B">
        <w:rPr>
          <w:rStyle w:val="eop"/>
          <w:rFonts w:asciiTheme="minorHAnsi" w:hAnsiTheme="minorHAnsi" w:cstheme="minorHAnsi"/>
          <w:sz w:val="22"/>
          <w:szCs w:val="22"/>
        </w:rPr>
        <w:t xml:space="preserve">, associated template, and guidance document; these will be </w:t>
      </w:r>
      <w:r w:rsidRPr="009A3D32" w:rsidR="00A93ECC">
        <w:rPr>
          <w:rStyle w:val="eop"/>
          <w:rFonts w:asciiTheme="minorHAnsi" w:hAnsiTheme="minorHAnsi" w:cstheme="minorHAnsi"/>
          <w:sz w:val="22"/>
          <w:szCs w:val="22"/>
        </w:rPr>
        <w:t xml:space="preserve">provided at </w:t>
      </w:r>
      <w:r w:rsidR="00AB7C2B">
        <w:rPr>
          <w:rStyle w:val="eop"/>
          <w:rFonts w:asciiTheme="minorHAnsi" w:hAnsiTheme="minorHAnsi" w:cstheme="minorHAnsi"/>
          <w:sz w:val="22"/>
          <w:szCs w:val="22"/>
        </w:rPr>
        <w:t>a minimum</w:t>
      </w:r>
      <w:r w:rsidRPr="009A3D32" w:rsidR="00A93ECC">
        <w:rPr>
          <w:rStyle w:val="eop"/>
          <w:rFonts w:asciiTheme="minorHAnsi" w:hAnsiTheme="minorHAnsi" w:cstheme="minorHAnsi"/>
          <w:sz w:val="22"/>
          <w:szCs w:val="22"/>
        </w:rPr>
        <w:t xml:space="preserve"> three months prior to the initial due date for that component plan</w:t>
      </w:r>
      <w:r w:rsidR="00AB7C2B">
        <w:rPr>
          <w:rStyle w:val="eop"/>
          <w:rFonts w:asciiTheme="minorHAnsi" w:hAnsiTheme="minorHAnsi" w:cstheme="minorHAnsi"/>
          <w:sz w:val="22"/>
          <w:szCs w:val="22"/>
        </w:rPr>
        <w:t xml:space="preserve"> and will be accompanied by a webinar</w:t>
      </w:r>
      <w:r w:rsidRPr="009A3D32" w:rsidR="00A93ECC">
        <w:rPr>
          <w:rStyle w:val="eop"/>
          <w:rFonts w:asciiTheme="minorHAnsi" w:hAnsiTheme="minorHAnsi" w:cstheme="minorHAnsi"/>
          <w:sz w:val="22"/>
          <w:szCs w:val="22"/>
        </w:rPr>
        <w:t>.</w:t>
      </w:r>
    </w:p>
    <w:p w:rsidR="00781492" w:rsidRPr="009A3D32" w:rsidP="00781492" w14:paraId="780109EE" w14:textId="05DFF76A">
      <w:pPr>
        <w:pStyle w:val="paragraph"/>
        <w:spacing w:before="0" w:beforeAutospacing="0" w:after="0" w:afterAutospacing="0"/>
        <w:ind w:left="720"/>
        <w:textAlignment w:val="baseline"/>
        <w:rPr>
          <w:rStyle w:val="eop"/>
          <w:rFonts w:asciiTheme="minorHAnsi" w:hAnsiTheme="minorHAnsi" w:cstheme="minorHAnsi"/>
          <w:sz w:val="22"/>
          <w:szCs w:val="22"/>
        </w:rPr>
      </w:pPr>
      <w:r w:rsidRPr="009A3D32">
        <w:rPr>
          <w:rStyle w:val="eop"/>
          <w:rFonts w:asciiTheme="minorHAnsi" w:hAnsiTheme="minorHAnsi" w:cstheme="minorHAnsi"/>
          <w:sz w:val="22"/>
          <w:szCs w:val="22"/>
        </w:rPr>
        <w:t xml:space="preserve">In this section of the quarterly report, </w:t>
      </w:r>
      <w:r w:rsidRPr="009A3D32" w:rsidR="00F23D85">
        <w:rPr>
          <w:rStyle w:val="eop"/>
          <w:rFonts w:asciiTheme="minorHAnsi" w:hAnsiTheme="minorHAnsi" w:cstheme="minorHAnsi"/>
          <w:sz w:val="22"/>
          <w:szCs w:val="22"/>
        </w:rPr>
        <w:t xml:space="preserve">Engines </w:t>
      </w:r>
      <w:r w:rsidRPr="009A3D32" w:rsidR="00900877">
        <w:rPr>
          <w:rStyle w:val="eop"/>
          <w:rFonts w:asciiTheme="minorHAnsi" w:hAnsiTheme="minorHAnsi" w:cstheme="minorHAnsi"/>
          <w:sz w:val="22"/>
          <w:szCs w:val="22"/>
        </w:rPr>
        <w:t xml:space="preserve">should </w:t>
      </w:r>
      <w:r w:rsidR="00F92B0F">
        <w:rPr>
          <w:rStyle w:val="eop"/>
          <w:rFonts w:asciiTheme="minorHAnsi" w:hAnsiTheme="minorHAnsi" w:cstheme="minorHAnsi"/>
          <w:sz w:val="22"/>
          <w:szCs w:val="22"/>
        </w:rPr>
        <w:t xml:space="preserve">indicate which </w:t>
      </w:r>
      <w:r w:rsidR="00AE23DA">
        <w:rPr>
          <w:rStyle w:val="eop"/>
          <w:rFonts w:asciiTheme="minorHAnsi" w:hAnsiTheme="minorHAnsi" w:cstheme="minorHAnsi"/>
          <w:sz w:val="22"/>
          <w:szCs w:val="22"/>
        </w:rPr>
        <w:t xml:space="preserve">component plans have been updated </w:t>
      </w:r>
      <w:r w:rsidR="00E01926">
        <w:rPr>
          <w:rStyle w:val="eop"/>
          <w:rFonts w:asciiTheme="minorHAnsi" w:hAnsiTheme="minorHAnsi" w:cstheme="minorHAnsi"/>
          <w:sz w:val="22"/>
          <w:szCs w:val="22"/>
        </w:rPr>
        <w:t xml:space="preserve">since the last reporting period. </w:t>
      </w:r>
      <w:r w:rsidRPr="009A3D32" w:rsidR="00F23D85">
        <w:rPr>
          <w:rStyle w:val="eop"/>
          <w:rFonts w:asciiTheme="minorHAnsi" w:hAnsiTheme="minorHAnsi" w:cstheme="minorHAnsi"/>
          <w:sz w:val="22"/>
          <w:szCs w:val="22"/>
        </w:rPr>
        <w:t xml:space="preserve">Engines </w:t>
      </w:r>
      <w:r w:rsidRPr="009A3D32" w:rsidR="00900877">
        <w:rPr>
          <w:rStyle w:val="eop"/>
          <w:rFonts w:asciiTheme="minorHAnsi" w:hAnsiTheme="minorHAnsi" w:cstheme="minorHAnsi"/>
          <w:sz w:val="22"/>
          <w:szCs w:val="22"/>
        </w:rPr>
        <w:t xml:space="preserve">should </w:t>
      </w:r>
      <w:r w:rsidR="00E01926">
        <w:rPr>
          <w:rStyle w:val="eop"/>
          <w:rFonts w:asciiTheme="minorHAnsi" w:hAnsiTheme="minorHAnsi" w:cstheme="minorHAnsi"/>
          <w:sz w:val="22"/>
          <w:szCs w:val="22"/>
        </w:rPr>
        <w:t xml:space="preserve">then </w:t>
      </w:r>
      <w:r w:rsidRPr="009A3D32" w:rsidR="00DD3987">
        <w:rPr>
          <w:rStyle w:val="eop"/>
          <w:rFonts w:asciiTheme="minorHAnsi" w:hAnsiTheme="minorHAnsi" w:cstheme="minorHAnsi"/>
          <w:sz w:val="22"/>
          <w:szCs w:val="22"/>
        </w:rPr>
        <w:t xml:space="preserve">summarize </w:t>
      </w:r>
      <w:r w:rsidRPr="009A3D32" w:rsidR="00900877">
        <w:rPr>
          <w:rStyle w:val="eop"/>
          <w:rFonts w:asciiTheme="minorHAnsi" w:hAnsiTheme="minorHAnsi" w:cstheme="minorHAnsi"/>
          <w:sz w:val="22"/>
          <w:szCs w:val="22"/>
        </w:rPr>
        <w:t xml:space="preserve">activities undertaken toward developing and/or modifying </w:t>
      </w:r>
      <w:r w:rsidRPr="009A3D32" w:rsidR="00345E65">
        <w:rPr>
          <w:rStyle w:val="eop"/>
          <w:rFonts w:asciiTheme="minorHAnsi" w:hAnsiTheme="minorHAnsi" w:cstheme="minorHAnsi"/>
          <w:sz w:val="22"/>
          <w:szCs w:val="22"/>
        </w:rPr>
        <w:t xml:space="preserve">the </w:t>
      </w:r>
      <w:r w:rsidRPr="009A3D32" w:rsidR="00900877">
        <w:rPr>
          <w:rStyle w:val="eop"/>
          <w:rFonts w:asciiTheme="minorHAnsi" w:hAnsiTheme="minorHAnsi" w:cstheme="minorHAnsi"/>
          <w:sz w:val="22"/>
          <w:szCs w:val="22"/>
        </w:rPr>
        <w:t>component plans</w:t>
      </w:r>
      <w:r w:rsidRPr="009A3D32" w:rsidR="00345E65">
        <w:rPr>
          <w:rStyle w:val="eop"/>
          <w:rFonts w:asciiTheme="minorHAnsi" w:hAnsiTheme="minorHAnsi" w:cstheme="minorHAnsi"/>
          <w:sz w:val="22"/>
          <w:szCs w:val="22"/>
        </w:rPr>
        <w:t xml:space="preserve">. </w:t>
      </w:r>
      <w:r w:rsidRPr="009A3D32" w:rsidR="005F3DC3">
        <w:rPr>
          <w:rStyle w:val="eop"/>
          <w:rFonts w:asciiTheme="minorHAnsi" w:hAnsiTheme="minorHAnsi" w:cstheme="minorHAnsi"/>
          <w:sz w:val="22"/>
          <w:szCs w:val="22"/>
        </w:rPr>
        <w:t>Be sure to use the section numbering noted in the table</w:t>
      </w:r>
      <w:r w:rsidR="00511ADD">
        <w:rPr>
          <w:rStyle w:val="eop"/>
          <w:rFonts w:asciiTheme="minorHAnsi" w:hAnsiTheme="minorHAnsi" w:cstheme="minorHAnsi"/>
          <w:sz w:val="22"/>
          <w:szCs w:val="22"/>
        </w:rPr>
        <w:t xml:space="preserve"> to refer to the component plans</w:t>
      </w:r>
      <w:r w:rsidRPr="009A3D32" w:rsidR="00DD3987">
        <w:rPr>
          <w:rStyle w:val="eop"/>
          <w:rFonts w:asciiTheme="minorHAnsi" w:hAnsiTheme="minorHAnsi" w:cstheme="minorHAnsi"/>
          <w:sz w:val="22"/>
          <w:szCs w:val="22"/>
        </w:rPr>
        <w:t>. Suggested length: up to two paragraphs per component plan.</w:t>
      </w:r>
      <w:r w:rsidRPr="009A3D32" w:rsidR="00AA3840">
        <w:rPr>
          <w:rStyle w:val="eop"/>
          <w:rFonts w:asciiTheme="minorHAnsi" w:hAnsiTheme="minorHAnsi" w:cstheme="minorHAnsi"/>
          <w:sz w:val="22"/>
          <w:szCs w:val="22"/>
        </w:rPr>
        <w:t>&gt;&gt;</w:t>
      </w:r>
    </w:p>
    <w:p w:rsidR="00511ADD" w:rsidP="00781492" w14:paraId="739E716E" w14:textId="77777777">
      <w:pPr>
        <w:pStyle w:val="paragraph"/>
        <w:spacing w:before="0" w:beforeAutospacing="0" w:after="0" w:afterAutospacing="0"/>
        <w:ind w:left="720"/>
        <w:textAlignment w:val="baseline"/>
        <w:rPr>
          <w:rStyle w:val="eop"/>
          <w:rFonts w:asciiTheme="minorHAnsi" w:hAnsiTheme="minorHAnsi" w:cstheme="minorHAnsi"/>
          <w:sz w:val="22"/>
          <w:szCs w:val="22"/>
        </w:rPr>
      </w:pPr>
    </w:p>
    <w:tbl>
      <w:tblPr>
        <w:tblW w:w="8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62"/>
        <w:gridCol w:w="3608"/>
      </w:tblGrid>
      <w:tr w14:paraId="602591B2" w14:textId="6C11533F" w:rsidTr="00045E04">
        <w:tblPrEx>
          <w:tblW w:w="8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4762" w:type="dxa"/>
            <w:tcBorders>
              <w:top w:val="single" w:sz="6" w:space="0" w:color="auto"/>
              <w:left w:val="single" w:sz="6" w:space="0" w:color="auto"/>
              <w:bottom w:val="single" w:sz="6" w:space="0" w:color="auto"/>
              <w:right w:val="single" w:sz="4" w:space="0" w:color="auto"/>
            </w:tcBorders>
            <w:shd w:val="clear" w:color="auto" w:fill="F2F2F2"/>
            <w:vAlign w:val="center"/>
            <w:hideMark/>
          </w:tcPr>
          <w:p w:rsidR="00511ADD" w:rsidRPr="00511ADD" w:rsidP="00511ADD" w14:paraId="31C83095" w14:textId="0C02703F">
            <w:pPr>
              <w:spacing w:after="0" w:line="240" w:lineRule="auto"/>
              <w:jc w:val="center"/>
              <w:textAlignment w:val="baseline"/>
              <w:rPr>
                <w:rFonts w:ascii="Segoe UI" w:eastAsia="Times New Roman" w:hAnsi="Segoe UI" w:cs="Segoe UI"/>
                <w:sz w:val="18"/>
                <w:szCs w:val="18"/>
              </w:rPr>
            </w:pPr>
            <w:r w:rsidRPr="00511ADD">
              <w:rPr>
                <w:rFonts w:ascii="Calibri" w:eastAsia="Times New Roman" w:hAnsi="Calibri" w:cs="Calibri"/>
                <w:b/>
                <w:bCs/>
                <w:color w:val="000000"/>
              </w:rPr>
              <w:t>Component Parts of Strategic and Implementation Plan</w:t>
            </w:r>
            <w:r w:rsidRPr="00511ADD">
              <w:rPr>
                <w:rFonts w:ascii="Calibri" w:eastAsia="Times New Roman" w:hAnsi="Calibri" w:cs="Calibri"/>
                <w:color w:val="000000"/>
              </w:rPr>
              <w:t> </w:t>
            </w:r>
          </w:p>
        </w:tc>
        <w:tc>
          <w:tcPr>
            <w:tcW w:w="3608" w:type="dxa"/>
            <w:tcBorders>
              <w:top w:val="single" w:sz="4" w:space="0" w:color="auto"/>
              <w:left w:val="single" w:sz="4" w:space="0" w:color="auto"/>
              <w:bottom w:val="single" w:sz="4" w:space="0" w:color="auto"/>
              <w:right w:val="single" w:sz="4" w:space="0" w:color="auto"/>
            </w:tcBorders>
            <w:shd w:val="clear" w:color="auto" w:fill="F2F2F2"/>
          </w:tcPr>
          <w:p w:rsidR="00511ADD" w:rsidRPr="00511ADD" w:rsidP="00511ADD" w14:paraId="6FB37B9D" w14:textId="764EBFF3">
            <w:pPr>
              <w:spacing w:after="0" w:line="240" w:lineRule="auto"/>
              <w:jc w:val="center"/>
              <w:textAlignment w:val="baseline"/>
              <w:rPr>
                <w:rFonts w:ascii="Calibri" w:eastAsia="Times New Roman" w:hAnsi="Calibri" w:cs="Calibri"/>
                <w:b/>
                <w:bCs/>
                <w:color w:val="000000"/>
              </w:rPr>
            </w:pPr>
            <w:r>
              <w:rPr>
                <w:rFonts w:ascii="Calibri" w:eastAsia="Times New Roman" w:hAnsi="Calibri" w:cs="Calibri"/>
                <w:b/>
                <w:bCs/>
                <w:color w:val="000000"/>
              </w:rPr>
              <w:t>Plan Updated Since Last Reporting Period</w:t>
            </w:r>
            <w:r w:rsidR="00D3322D">
              <w:rPr>
                <w:rFonts w:ascii="Calibri" w:eastAsia="Times New Roman" w:hAnsi="Calibri" w:cs="Calibri"/>
                <w:b/>
                <w:bCs/>
                <w:color w:val="000000"/>
              </w:rPr>
              <w:t xml:space="preserve"> (List “Updated”</w:t>
            </w:r>
            <w:r w:rsidR="00045E04">
              <w:rPr>
                <w:rFonts w:ascii="Calibri" w:eastAsia="Times New Roman" w:hAnsi="Calibri" w:cs="Calibri"/>
                <w:b/>
                <w:bCs/>
                <w:color w:val="000000"/>
              </w:rPr>
              <w:t>)</w:t>
            </w:r>
          </w:p>
        </w:tc>
      </w:tr>
      <w:tr w14:paraId="6C0ED73A" w14:textId="025114A7"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3194E605"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 Mission and Vision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7B9204BC" w14:textId="77777777">
            <w:pPr>
              <w:spacing w:after="0" w:line="240" w:lineRule="auto"/>
              <w:textAlignment w:val="baseline"/>
              <w:rPr>
                <w:rFonts w:ascii="Calibri" w:eastAsia="Times New Roman" w:hAnsi="Calibri" w:cs="Calibri"/>
                <w:color w:val="000000"/>
              </w:rPr>
            </w:pPr>
          </w:p>
        </w:tc>
      </w:tr>
      <w:tr w14:paraId="60C67E8B" w14:textId="28C40456"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1063B8F2"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II.A. Governance and Management Plan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02E71CB4" w14:textId="77777777">
            <w:pPr>
              <w:spacing w:after="0" w:line="240" w:lineRule="auto"/>
              <w:textAlignment w:val="baseline"/>
              <w:rPr>
                <w:rFonts w:ascii="Calibri" w:eastAsia="Times New Roman" w:hAnsi="Calibri" w:cs="Calibri"/>
                <w:color w:val="000000"/>
              </w:rPr>
            </w:pPr>
          </w:p>
        </w:tc>
      </w:tr>
      <w:tr w14:paraId="2C720325" w14:textId="724378DC"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39F180D9" w14:textId="27217C65">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II.B. Partnership Agreement </w:t>
            </w:r>
            <w:r w:rsidR="00686DC9">
              <w:rPr>
                <w:rFonts w:ascii="Calibri" w:eastAsia="Times New Roman" w:hAnsi="Calibri" w:cs="Calibri"/>
                <w:color w:val="000000"/>
              </w:rPr>
              <w:t>Plan</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218077C6" w14:textId="77777777">
            <w:pPr>
              <w:spacing w:after="0" w:line="240" w:lineRule="auto"/>
              <w:textAlignment w:val="baseline"/>
              <w:rPr>
                <w:rFonts w:ascii="Calibri" w:eastAsia="Times New Roman" w:hAnsi="Calibri" w:cs="Calibri"/>
                <w:color w:val="000000"/>
              </w:rPr>
            </w:pPr>
          </w:p>
        </w:tc>
      </w:tr>
      <w:tr w14:paraId="01B02B6D" w14:textId="65540E1B"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2CEF6D08"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II.C. Workforce Development Agreement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64AE0E4E" w14:textId="77777777">
            <w:pPr>
              <w:spacing w:after="0" w:line="240" w:lineRule="auto"/>
              <w:textAlignment w:val="baseline"/>
              <w:rPr>
                <w:rFonts w:ascii="Calibri" w:eastAsia="Times New Roman" w:hAnsi="Calibri" w:cs="Calibri"/>
                <w:color w:val="000000"/>
              </w:rPr>
            </w:pPr>
          </w:p>
        </w:tc>
      </w:tr>
      <w:tr w14:paraId="257AED65" w14:textId="2138D855"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5E7EAB72"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II.D. IP Management Plan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1CD0061B" w14:textId="77777777">
            <w:pPr>
              <w:spacing w:after="0" w:line="240" w:lineRule="auto"/>
              <w:textAlignment w:val="baseline"/>
              <w:rPr>
                <w:rFonts w:ascii="Calibri" w:eastAsia="Times New Roman" w:hAnsi="Calibri" w:cs="Calibri"/>
                <w:color w:val="000000"/>
              </w:rPr>
            </w:pPr>
          </w:p>
        </w:tc>
      </w:tr>
      <w:tr w14:paraId="491B3586" w14:textId="381D3E07"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77F2033F" w14:textId="216D6F66">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II.</w:t>
            </w:r>
            <w:r w:rsidR="00686DC9">
              <w:rPr>
                <w:rFonts w:ascii="Calibri" w:eastAsia="Times New Roman" w:hAnsi="Calibri" w:cs="Calibri"/>
                <w:color w:val="000000"/>
              </w:rPr>
              <w:t>E</w:t>
            </w:r>
            <w:r w:rsidRPr="00511ADD">
              <w:rPr>
                <w:rFonts w:ascii="Calibri" w:eastAsia="Times New Roman" w:hAnsi="Calibri" w:cs="Calibri"/>
                <w:color w:val="000000"/>
              </w:rPr>
              <w:t>. Financial and Resource Sustainability Plan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54E15B39" w14:textId="77777777">
            <w:pPr>
              <w:spacing w:after="0" w:line="240" w:lineRule="auto"/>
              <w:textAlignment w:val="baseline"/>
              <w:rPr>
                <w:rFonts w:ascii="Calibri" w:eastAsia="Times New Roman" w:hAnsi="Calibri" w:cs="Calibri"/>
                <w:color w:val="000000"/>
              </w:rPr>
            </w:pPr>
          </w:p>
        </w:tc>
      </w:tr>
      <w:tr w14:paraId="774C9E22" w14:textId="14C32B15"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F02293" w:rsidRPr="00F02293" w:rsidP="00511ADD" w14:paraId="33E1287A" w14:textId="04CB9EF4">
            <w:pPr>
              <w:spacing w:after="0" w:line="240" w:lineRule="auto"/>
              <w:textAlignment w:val="baseline"/>
              <w:rPr>
                <w:rFonts w:ascii="Calibri" w:eastAsia="Times New Roman" w:hAnsi="Calibri" w:cs="Calibri"/>
                <w:color w:val="000000"/>
              </w:rPr>
            </w:pPr>
            <w:r w:rsidRPr="00511ADD">
              <w:rPr>
                <w:rFonts w:ascii="Calibri" w:eastAsia="Times New Roman" w:hAnsi="Calibri" w:cs="Calibri"/>
                <w:color w:val="000000"/>
              </w:rPr>
              <w:t>III.A. SWOT Analysis: R&amp;D and Translation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1E589135" w14:textId="77777777">
            <w:pPr>
              <w:spacing w:after="0" w:line="240" w:lineRule="auto"/>
              <w:textAlignment w:val="baseline"/>
              <w:rPr>
                <w:rFonts w:ascii="Calibri" w:eastAsia="Times New Roman" w:hAnsi="Calibri" w:cs="Calibri"/>
                <w:color w:val="000000"/>
              </w:rPr>
            </w:pPr>
          </w:p>
        </w:tc>
      </w:tr>
      <w:tr w14:paraId="07180970" w14:textId="1EDAA00E"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515B8898"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III.B. SWOT Analysis: WFD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443B0E6E" w14:textId="77777777">
            <w:pPr>
              <w:spacing w:after="0" w:line="240" w:lineRule="auto"/>
              <w:textAlignment w:val="baseline"/>
              <w:rPr>
                <w:rFonts w:ascii="Calibri" w:eastAsia="Times New Roman" w:hAnsi="Calibri" w:cs="Calibri"/>
                <w:color w:val="000000"/>
              </w:rPr>
            </w:pPr>
          </w:p>
        </w:tc>
      </w:tr>
      <w:tr w14:paraId="0CC8A4E8" w14:textId="4191F610"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402ECE47"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III.C. SWOT Analysis: Inclusive Engagement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1799A30D" w14:textId="77777777">
            <w:pPr>
              <w:spacing w:after="0" w:line="240" w:lineRule="auto"/>
              <w:textAlignment w:val="baseline"/>
              <w:rPr>
                <w:rFonts w:ascii="Calibri" w:eastAsia="Times New Roman" w:hAnsi="Calibri" w:cs="Calibri"/>
                <w:color w:val="000000"/>
              </w:rPr>
            </w:pPr>
          </w:p>
        </w:tc>
      </w:tr>
      <w:tr w14:paraId="2A193165" w14:textId="0173568A"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ADD" w:rsidRPr="00511ADD" w:rsidP="00511ADD" w14:paraId="086B2191"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IV.A. R&amp;D and Translation Strategic Plan </w:t>
            </w:r>
          </w:p>
        </w:tc>
        <w:tc>
          <w:tcPr>
            <w:tcW w:w="3608" w:type="dxa"/>
            <w:tcBorders>
              <w:top w:val="single" w:sz="4" w:space="0" w:color="auto"/>
              <w:left w:val="single" w:sz="4" w:space="0" w:color="auto"/>
              <w:bottom w:val="single" w:sz="4" w:space="0" w:color="auto"/>
              <w:right w:val="single" w:sz="4" w:space="0" w:color="auto"/>
            </w:tcBorders>
          </w:tcPr>
          <w:p w:rsidR="00511ADD" w:rsidRPr="00511ADD" w:rsidP="00511ADD" w14:paraId="40CBA77A" w14:textId="77777777">
            <w:pPr>
              <w:spacing w:after="0" w:line="240" w:lineRule="auto"/>
              <w:textAlignment w:val="baseline"/>
              <w:rPr>
                <w:rFonts w:ascii="Calibri" w:eastAsia="Times New Roman" w:hAnsi="Calibri" w:cs="Calibri"/>
                <w:color w:val="000000"/>
              </w:rPr>
            </w:pPr>
          </w:p>
        </w:tc>
      </w:tr>
      <w:tr w14:paraId="144EC7B9" w14:textId="77777777"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tcPr>
          <w:p w:rsidR="00511D25" w:rsidRPr="00511ADD" w:rsidP="00511D25" w14:paraId="1F2D67AE" w14:textId="44F90E00">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IV.A</w:t>
            </w:r>
            <w:r w:rsidR="00C7619D">
              <w:rPr>
                <w:rFonts w:ascii="Calibri" w:eastAsia="Times New Roman" w:hAnsi="Calibri" w:cs="Calibri"/>
                <w:color w:val="000000"/>
              </w:rPr>
              <w:t xml:space="preserve"> subsection:</w:t>
            </w:r>
            <w:r w:rsidRPr="00511ADD">
              <w:rPr>
                <w:rFonts w:ascii="Calibri" w:eastAsia="Times New Roman" w:hAnsi="Calibri" w:cs="Calibri"/>
                <w:color w:val="000000"/>
              </w:rPr>
              <w:t xml:space="preserve"> Report on R&amp;D and translation benchmarks, baselines, SMART goals and targets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2BEF3EF3" w14:textId="77777777">
            <w:pPr>
              <w:spacing w:after="0" w:line="240" w:lineRule="auto"/>
              <w:textAlignment w:val="baseline"/>
              <w:rPr>
                <w:rFonts w:ascii="Calibri" w:eastAsia="Times New Roman" w:hAnsi="Calibri" w:cs="Calibri"/>
                <w:color w:val="000000"/>
              </w:rPr>
            </w:pPr>
          </w:p>
        </w:tc>
      </w:tr>
      <w:tr w14:paraId="592A92F1" w14:textId="6871EB26"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D25" w:rsidRPr="00511ADD" w:rsidP="00511D25" w14:paraId="2388C676"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IV.B. WFD Strategic Plan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75570012" w14:textId="77777777">
            <w:pPr>
              <w:spacing w:after="0" w:line="240" w:lineRule="auto"/>
              <w:textAlignment w:val="baseline"/>
              <w:rPr>
                <w:rFonts w:ascii="Calibri" w:eastAsia="Times New Roman" w:hAnsi="Calibri" w:cs="Calibri"/>
                <w:color w:val="000000"/>
              </w:rPr>
            </w:pPr>
          </w:p>
        </w:tc>
      </w:tr>
      <w:tr w14:paraId="7856BDC5" w14:textId="77777777"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tcPr>
          <w:p w:rsidR="00511D25" w:rsidRPr="00511ADD" w:rsidP="00511D25" w14:paraId="5ECE97B2" w14:textId="3F937A1B">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IV.B subsection: </w:t>
            </w:r>
            <w:r w:rsidRPr="00511ADD">
              <w:rPr>
                <w:rFonts w:ascii="Calibri" w:eastAsia="Times New Roman" w:hAnsi="Calibri" w:cs="Calibri"/>
                <w:color w:val="000000"/>
              </w:rPr>
              <w:t>Report on WFD benchmarks, baselines, SMART goals and targets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369E7762" w14:textId="77777777">
            <w:pPr>
              <w:spacing w:after="0" w:line="240" w:lineRule="auto"/>
              <w:textAlignment w:val="baseline"/>
              <w:rPr>
                <w:rFonts w:ascii="Calibri" w:eastAsia="Times New Roman" w:hAnsi="Calibri" w:cs="Calibri"/>
                <w:color w:val="000000"/>
              </w:rPr>
            </w:pPr>
          </w:p>
        </w:tc>
      </w:tr>
      <w:tr w14:paraId="00D6FBB8" w14:textId="597152D0"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D25" w:rsidRPr="00511ADD" w:rsidP="00511D25" w14:paraId="51541099"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IV.C. Inclusive Engagement Strategic Plan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6B82DDEF" w14:textId="77777777">
            <w:pPr>
              <w:spacing w:after="0" w:line="240" w:lineRule="auto"/>
              <w:textAlignment w:val="baseline"/>
              <w:rPr>
                <w:rFonts w:ascii="Calibri" w:eastAsia="Times New Roman" w:hAnsi="Calibri" w:cs="Calibri"/>
                <w:color w:val="000000"/>
              </w:rPr>
            </w:pPr>
          </w:p>
        </w:tc>
      </w:tr>
      <w:tr w14:paraId="0B7FDB27" w14:textId="77777777"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tcPr>
          <w:p w:rsidR="00511D25" w:rsidRPr="00511ADD" w:rsidP="00511D25" w14:paraId="08F557A3" w14:textId="555C7B86">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IV.C subsection:</w:t>
            </w:r>
            <w:r w:rsidRPr="00511ADD">
              <w:rPr>
                <w:rFonts w:ascii="Calibri" w:eastAsia="Times New Roman" w:hAnsi="Calibri" w:cs="Calibri"/>
                <w:color w:val="000000"/>
              </w:rPr>
              <w:t xml:space="preserve"> Report on inclusive engagement benchmarks, baselines, SMART goals and targets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472FB000" w14:textId="77777777">
            <w:pPr>
              <w:spacing w:after="0" w:line="240" w:lineRule="auto"/>
              <w:textAlignment w:val="baseline"/>
              <w:rPr>
                <w:rFonts w:ascii="Calibri" w:eastAsia="Times New Roman" w:hAnsi="Calibri" w:cs="Calibri"/>
                <w:color w:val="000000"/>
              </w:rPr>
            </w:pPr>
          </w:p>
        </w:tc>
      </w:tr>
      <w:tr w14:paraId="2F681237" w14:textId="677D87F2"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D25" w:rsidRPr="00511ADD" w:rsidP="00511D25" w14:paraId="5283753E"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V.A. R&amp;D and Translation Implementation Plan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55D5485F" w14:textId="77777777">
            <w:pPr>
              <w:spacing w:after="0" w:line="240" w:lineRule="auto"/>
              <w:textAlignment w:val="baseline"/>
              <w:rPr>
                <w:rFonts w:ascii="Calibri" w:eastAsia="Times New Roman" w:hAnsi="Calibri" w:cs="Calibri"/>
                <w:color w:val="000000"/>
              </w:rPr>
            </w:pPr>
          </w:p>
        </w:tc>
      </w:tr>
      <w:tr w14:paraId="74FB6AE4" w14:textId="1E0D0504"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D25" w:rsidRPr="00511ADD" w:rsidP="00511D25" w14:paraId="468F868C"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V.B. WFD Implementation Plan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748620D9" w14:textId="77777777">
            <w:pPr>
              <w:spacing w:after="0" w:line="240" w:lineRule="auto"/>
              <w:textAlignment w:val="baseline"/>
              <w:rPr>
                <w:rFonts w:ascii="Calibri" w:eastAsia="Times New Roman" w:hAnsi="Calibri" w:cs="Calibri"/>
                <w:color w:val="000000"/>
              </w:rPr>
            </w:pPr>
          </w:p>
        </w:tc>
      </w:tr>
      <w:tr w14:paraId="35A7AB63" w14:textId="37FAD907"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D25" w:rsidRPr="00511ADD" w:rsidP="00511D25" w14:paraId="6C40AED4" w14:textId="77777777">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V.C. Inclusive Engagement Implementation Plan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2D64B949" w14:textId="77777777">
            <w:pPr>
              <w:spacing w:after="0" w:line="240" w:lineRule="auto"/>
              <w:textAlignment w:val="baseline"/>
              <w:rPr>
                <w:rFonts w:ascii="Calibri" w:eastAsia="Times New Roman" w:hAnsi="Calibri" w:cs="Calibri"/>
                <w:color w:val="000000"/>
              </w:rPr>
            </w:pPr>
          </w:p>
        </w:tc>
      </w:tr>
      <w:tr w14:paraId="49971047" w14:textId="18F6AED7" w:rsidTr="00045E04">
        <w:tblPrEx>
          <w:tblW w:w="8370" w:type="dxa"/>
          <w:tblCellMar>
            <w:left w:w="0" w:type="dxa"/>
            <w:right w:w="0" w:type="dxa"/>
          </w:tblCellMar>
          <w:tblLook w:val="04A0"/>
        </w:tblPrEx>
        <w:trPr>
          <w:trHeight w:val="285"/>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D25" w:rsidRPr="00511ADD" w:rsidP="00511D25" w14:paraId="7C66B52D" w14:textId="01204E6E">
            <w:pPr>
              <w:spacing w:after="0" w:line="240" w:lineRule="auto"/>
              <w:textAlignment w:val="baseline"/>
              <w:rPr>
                <w:rFonts w:ascii="Segoe UI" w:eastAsia="Times New Roman" w:hAnsi="Segoe UI" w:cs="Segoe UI"/>
                <w:sz w:val="18"/>
                <w:szCs w:val="18"/>
              </w:rPr>
            </w:pPr>
            <w:r w:rsidRPr="00511ADD">
              <w:rPr>
                <w:rFonts w:ascii="Calibri" w:eastAsia="Times New Roman" w:hAnsi="Calibri" w:cs="Calibri"/>
                <w:color w:val="000000"/>
              </w:rPr>
              <w:t>VI. Evaluation Plan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4A9E2960" w14:textId="77777777">
            <w:pPr>
              <w:spacing w:after="0" w:line="240" w:lineRule="auto"/>
              <w:textAlignment w:val="baseline"/>
              <w:rPr>
                <w:rFonts w:ascii="Calibri" w:eastAsia="Times New Roman" w:hAnsi="Calibri" w:cs="Calibri"/>
                <w:color w:val="000000"/>
              </w:rPr>
            </w:pPr>
          </w:p>
        </w:tc>
      </w:tr>
      <w:tr w14:paraId="78916ED9" w14:textId="19918C84" w:rsidTr="00045E04">
        <w:tblPrEx>
          <w:tblW w:w="8370" w:type="dxa"/>
          <w:tblCellMar>
            <w:left w:w="0" w:type="dxa"/>
            <w:right w:w="0" w:type="dxa"/>
          </w:tblCellMar>
          <w:tblLook w:val="04A0"/>
        </w:tblPrEx>
        <w:trPr>
          <w:trHeight w:val="300"/>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D25" w:rsidRPr="00511ADD" w:rsidP="00511D25" w14:paraId="76867D28" w14:textId="77777777">
            <w:pPr>
              <w:spacing w:after="0" w:line="240" w:lineRule="auto"/>
              <w:textAlignment w:val="baseline"/>
              <w:rPr>
                <w:rFonts w:ascii="Segoe UI" w:eastAsia="Times New Roman" w:hAnsi="Segoe UI" w:cs="Segoe UI"/>
              </w:rPr>
            </w:pPr>
            <w:r w:rsidRPr="00511ADD">
              <w:rPr>
                <w:rFonts w:ascii="Calibri" w:eastAsia="Times New Roman" w:hAnsi="Calibri" w:cs="Calibri"/>
                <w:color w:val="000000"/>
              </w:rPr>
              <w:t>Appendix A: IP Agreements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7FC86C8E" w14:textId="77777777">
            <w:pPr>
              <w:spacing w:after="0" w:line="240" w:lineRule="auto"/>
              <w:textAlignment w:val="baseline"/>
              <w:rPr>
                <w:rFonts w:ascii="Calibri" w:eastAsia="Times New Roman" w:hAnsi="Calibri" w:cs="Calibri"/>
                <w:color w:val="000000"/>
                <w:sz w:val="24"/>
                <w:szCs w:val="24"/>
              </w:rPr>
            </w:pPr>
          </w:p>
        </w:tc>
      </w:tr>
      <w:tr w14:paraId="75057154" w14:textId="331F39EE" w:rsidTr="00045E04">
        <w:tblPrEx>
          <w:tblW w:w="8370" w:type="dxa"/>
          <w:tblCellMar>
            <w:left w:w="0" w:type="dxa"/>
            <w:right w:w="0" w:type="dxa"/>
          </w:tblCellMar>
          <w:tblLook w:val="04A0"/>
        </w:tblPrEx>
        <w:trPr>
          <w:trHeight w:val="300"/>
        </w:trPr>
        <w:tc>
          <w:tcPr>
            <w:tcW w:w="4762" w:type="dxa"/>
            <w:tcBorders>
              <w:top w:val="nil"/>
              <w:left w:val="single" w:sz="6" w:space="0" w:color="auto"/>
              <w:bottom w:val="single" w:sz="6" w:space="0" w:color="auto"/>
              <w:right w:val="single" w:sz="4" w:space="0" w:color="auto"/>
            </w:tcBorders>
            <w:shd w:val="clear" w:color="auto" w:fill="auto"/>
            <w:vAlign w:val="bottom"/>
            <w:hideMark/>
          </w:tcPr>
          <w:p w:rsidR="00511D25" w:rsidRPr="00511ADD" w:rsidP="00511D25" w14:paraId="7E5685AC" w14:textId="77777777">
            <w:pPr>
              <w:spacing w:after="0" w:line="240" w:lineRule="auto"/>
              <w:textAlignment w:val="baseline"/>
              <w:rPr>
                <w:rFonts w:ascii="Segoe UI" w:eastAsia="Times New Roman" w:hAnsi="Segoe UI" w:cs="Segoe UI"/>
              </w:rPr>
            </w:pPr>
            <w:r w:rsidRPr="00511ADD">
              <w:rPr>
                <w:rFonts w:ascii="Calibri" w:eastAsia="Times New Roman" w:hAnsi="Calibri" w:cs="Calibri"/>
                <w:color w:val="000000"/>
              </w:rPr>
              <w:t>Appendix B: Partnership Agreements </w:t>
            </w:r>
          </w:p>
        </w:tc>
        <w:tc>
          <w:tcPr>
            <w:tcW w:w="3608" w:type="dxa"/>
            <w:tcBorders>
              <w:top w:val="single" w:sz="4" w:space="0" w:color="auto"/>
              <w:left w:val="single" w:sz="4" w:space="0" w:color="auto"/>
              <w:bottom w:val="single" w:sz="4" w:space="0" w:color="auto"/>
              <w:right w:val="single" w:sz="4" w:space="0" w:color="auto"/>
            </w:tcBorders>
          </w:tcPr>
          <w:p w:rsidR="00511D25" w:rsidRPr="00511ADD" w:rsidP="00511D25" w14:paraId="4FFE2FB5" w14:textId="77777777">
            <w:pPr>
              <w:spacing w:after="0" w:line="240" w:lineRule="auto"/>
              <w:textAlignment w:val="baseline"/>
              <w:rPr>
                <w:rFonts w:ascii="Calibri" w:eastAsia="Times New Roman" w:hAnsi="Calibri" w:cs="Calibri"/>
                <w:color w:val="000000"/>
                <w:sz w:val="24"/>
                <w:szCs w:val="24"/>
              </w:rPr>
            </w:pPr>
          </w:p>
        </w:tc>
      </w:tr>
    </w:tbl>
    <w:p w:rsidR="00511ADD" w:rsidRPr="009A3D32" w:rsidP="00781492" w14:paraId="62757F7D" w14:textId="77777777">
      <w:pPr>
        <w:pStyle w:val="paragraph"/>
        <w:spacing w:before="0" w:beforeAutospacing="0" w:after="0" w:afterAutospacing="0"/>
        <w:ind w:left="720"/>
        <w:textAlignment w:val="baseline"/>
        <w:rPr>
          <w:rStyle w:val="eop"/>
          <w:rFonts w:asciiTheme="minorHAnsi" w:hAnsiTheme="minorHAnsi" w:cstheme="minorHAnsi"/>
          <w:sz w:val="22"/>
          <w:szCs w:val="22"/>
        </w:rPr>
      </w:pPr>
    </w:p>
    <w:p w:rsidR="00781492" w:rsidRPr="009A3D32" w:rsidP="0000543F" w14:paraId="6A646653" w14:textId="77777777">
      <w:pPr>
        <w:pStyle w:val="paragraph"/>
        <w:spacing w:before="0" w:beforeAutospacing="0" w:after="0" w:afterAutospacing="0"/>
        <w:jc w:val="right"/>
        <w:textAlignment w:val="baseline"/>
        <w:rPr>
          <w:rStyle w:val="eop"/>
          <w:rFonts w:asciiTheme="minorHAnsi" w:hAnsiTheme="minorHAnsi" w:cstheme="minorHAnsi"/>
          <w:sz w:val="22"/>
          <w:szCs w:val="22"/>
        </w:rPr>
      </w:pPr>
    </w:p>
    <w:p w:rsidR="0010422A" w:rsidRPr="000279C2" w:rsidP="3AADB89D" w14:paraId="7627E73A" w14:textId="3E5878AC">
      <w:pPr>
        <w:pStyle w:val="paragraph"/>
        <w:numPr>
          <w:ilvl w:val="0"/>
          <w:numId w:val="12"/>
        </w:numPr>
        <w:spacing w:before="0" w:beforeAutospacing="0" w:after="0" w:afterAutospacing="0"/>
        <w:textAlignment w:val="baseline"/>
        <w:rPr>
          <w:rStyle w:val="normaltextrun"/>
          <w:rFonts w:asciiTheme="minorHAnsi" w:hAnsiTheme="minorHAnsi" w:cstheme="minorBidi"/>
          <w:sz w:val="22"/>
          <w:szCs w:val="22"/>
        </w:rPr>
      </w:pPr>
      <w:r w:rsidRPr="3AADB89D">
        <w:rPr>
          <w:rStyle w:val="normaltextrun"/>
          <w:rFonts w:asciiTheme="minorHAnsi" w:hAnsiTheme="minorHAnsi" w:cstheme="minorBidi"/>
          <w:b/>
          <w:bCs/>
          <w:sz w:val="22"/>
          <w:szCs w:val="22"/>
        </w:rPr>
        <w:t>Engine Activities</w:t>
      </w:r>
      <w:r w:rsidR="00046E9E">
        <w:rPr>
          <w:rStyle w:val="normaltextrun"/>
          <w:rFonts w:asciiTheme="minorHAnsi" w:hAnsiTheme="minorHAnsi" w:cstheme="minorBidi"/>
          <w:b/>
          <w:bCs/>
          <w:sz w:val="22"/>
          <w:szCs w:val="22"/>
        </w:rPr>
        <w:t xml:space="preserve"> and Projects</w:t>
      </w:r>
      <w:r w:rsidRPr="3AADB89D">
        <w:rPr>
          <w:rStyle w:val="normaltextrun"/>
          <w:rFonts w:asciiTheme="minorHAnsi" w:hAnsiTheme="minorHAnsi" w:cstheme="minorBidi"/>
          <w:b/>
          <w:bCs/>
          <w:sz w:val="22"/>
          <w:szCs w:val="22"/>
        </w:rPr>
        <w:t>: Use-Inspired R&amp;D, Translation, Workforce Development, and Ecosystem Building.</w:t>
      </w:r>
      <w:r w:rsidRPr="3AADB89D">
        <w:rPr>
          <w:rStyle w:val="normaltextrun"/>
          <w:rFonts w:asciiTheme="minorHAnsi" w:hAnsiTheme="minorHAnsi" w:cstheme="minorBidi"/>
          <w:sz w:val="22"/>
          <w:szCs w:val="22"/>
        </w:rPr>
        <w:t xml:space="preserve"> This section should provide a status update of all Engine-funded projects and initiatives, reported against the </w:t>
      </w:r>
      <w:r w:rsidR="00E72F6E">
        <w:rPr>
          <w:rStyle w:val="normaltextrun"/>
          <w:rFonts w:asciiTheme="minorHAnsi" w:hAnsiTheme="minorHAnsi" w:cstheme="minorBidi"/>
          <w:sz w:val="22"/>
          <w:szCs w:val="22"/>
        </w:rPr>
        <w:t>Engine’s</w:t>
      </w:r>
      <w:r w:rsidRPr="3AADB89D">
        <w:rPr>
          <w:rStyle w:val="normaltextrun"/>
          <w:rFonts w:asciiTheme="minorHAnsi" w:hAnsiTheme="minorHAnsi" w:cstheme="minorBidi"/>
          <w:sz w:val="22"/>
          <w:szCs w:val="22"/>
        </w:rPr>
        <w:t xml:space="preserve"> milestones.</w:t>
      </w:r>
    </w:p>
    <w:p w:rsidR="0010422A" w:rsidRPr="000279C2" w:rsidP="3AADB89D" w14:paraId="023A3A6F" w14:textId="77777777">
      <w:pPr>
        <w:pStyle w:val="paragraph"/>
        <w:spacing w:before="0" w:beforeAutospacing="0" w:after="0" w:afterAutospacing="0"/>
        <w:ind w:left="720"/>
        <w:textAlignment w:val="baseline"/>
        <w:rPr>
          <w:rStyle w:val="normaltextrun"/>
          <w:rFonts w:asciiTheme="minorHAnsi" w:hAnsiTheme="minorHAnsi" w:cstheme="minorBidi"/>
          <w:sz w:val="22"/>
          <w:szCs w:val="22"/>
        </w:rPr>
      </w:pPr>
    </w:p>
    <w:p w:rsidR="0010422A" w:rsidRPr="000279C2" w:rsidP="3AADB89D" w14:paraId="5F7D2845" w14:textId="5D9B35A9">
      <w:pPr>
        <w:pStyle w:val="paragraph"/>
        <w:spacing w:before="0" w:beforeAutospacing="0" w:after="0" w:afterAutospacing="0"/>
        <w:ind w:left="720"/>
        <w:textAlignment w:val="baseline"/>
        <w:rPr>
          <w:rStyle w:val="normaltextrun"/>
          <w:rFonts w:asciiTheme="minorHAnsi" w:hAnsiTheme="minorHAnsi" w:cstheme="minorBidi"/>
          <w:sz w:val="22"/>
          <w:szCs w:val="22"/>
        </w:rPr>
      </w:pPr>
      <w:r w:rsidRPr="3AADB89D">
        <w:rPr>
          <w:rStyle w:val="normaltextrun"/>
          <w:rFonts w:asciiTheme="minorHAnsi" w:hAnsiTheme="minorHAnsi" w:cstheme="minorBidi"/>
          <w:sz w:val="22"/>
          <w:szCs w:val="22"/>
        </w:rPr>
        <w:t>&lt;&lt; DELETE this reference text in the final version of report. Engines should submit with their first quarterly report a separate document that describes the Engine’s activities, using the provided “Engine Activities Template”. The file should be named, “Engine Activities</w:t>
      </w:r>
      <w:r w:rsidRPr="3AADB89D">
        <w:rPr>
          <w:rStyle w:val="normaltextrun"/>
          <w:rFonts w:asciiTheme="minorHAnsi" w:hAnsiTheme="minorHAnsi" w:cstheme="minorBidi"/>
          <w:sz w:val="22"/>
          <w:szCs w:val="22"/>
        </w:rPr>
        <w:t>_[</w:t>
      </w:r>
      <w:r w:rsidRPr="3AADB89D">
        <w:rPr>
          <w:rStyle w:val="normaltextrun"/>
          <w:rFonts w:asciiTheme="minorHAnsi" w:hAnsiTheme="minorHAnsi" w:cstheme="minorBidi"/>
          <w:sz w:val="22"/>
          <w:szCs w:val="22"/>
        </w:rPr>
        <w:t xml:space="preserve">Q1, Q2, Q3, or Q4]_[2024 or 2025]_[Engine name].pdf”. Teams should submit updates of these documents with their quarterly </w:t>
      </w:r>
      <w:r w:rsidRPr="3AADB89D">
        <w:rPr>
          <w:rStyle w:val="normaltextrun"/>
          <w:rFonts w:asciiTheme="minorHAnsi" w:hAnsiTheme="minorHAnsi" w:cstheme="minorBidi"/>
          <w:sz w:val="22"/>
          <w:szCs w:val="22"/>
        </w:rPr>
        <w:t>report,</w:t>
      </w:r>
      <w:r w:rsidRPr="3AADB89D">
        <w:rPr>
          <w:rStyle w:val="normaltextrun"/>
          <w:rFonts w:asciiTheme="minorHAnsi" w:hAnsiTheme="minorHAnsi" w:cstheme="minorBidi"/>
          <w:sz w:val="22"/>
          <w:szCs w:val="22"/>
        </w:rPr>
        <w:t xml:space="preserve"> if there are changes.</w:t>
      </w:r>
    </w:p>
    <w:p w:rsidR="0010422A" w:rsidRPr="000279C2" w:rsidP="3AADB89D" w14:paraId="3E0051E2" w14:textId="77777777">
      <w:pPr>
        <w:pStyle w:val="paragraph"/>
        <w:spacing w:before="0" w:beforeAutospacing="0" w:after="0" w:afterAutospacing="0"/>
        <w:ind w:left="720"/>
        <w:textAlignment w:val="baseline"/>
        <w:rPr>
          <w:rStyle w:val="normaltextrun"/>
          <w:rFonts w:asciiTheme="minorHAnsi" w:hAnsiTheme="minorHAnsi" w:cstheme="minorBidi"/>
          <w:sz w:val="22"/>
          <w:szCs w:val="22"/>
        </w:rPr>
      </w:pPr>
    </w:p>
    <w:p w:rsidR="0010422A" w:rsidRPr="000279C2" w:rsidP="3AADB89D" w14:paraId="44DE50B8" w14:textId="312A6736">
      <w:pPr>
        <w:pStyle w:val="paragraph"/>
        <w:spacing w:before="0" w:beforeAutospacing="0" w:after="0" w:afterAutospacing="0"/>
        <w:ind w:left="720"/>
        <w:textAlignment w:val="baseline"/>
        <w:rPr>
          <w:rStyle w:val="normaltextrun"/>
          <w:rFonts w:asciiTheme="minorHAnsi" w:hAnsiTheme="minorHAnsi" w:cstheme="minorBidi"/>
          <w:sz w:val="22"/>
          <w:szCs w:val="22"/>
        </w:rPr>
      </w:pPr>
      <w:r w:rsidRPr="3AADB89D">
        <w:rPr>
          <w:rStyle w:val="normaltextrun"/>
          <w:rFonts w:asciiTheme="minorHAnsi" w:hAnsiTheme="minorHAnsi" w:cstheme="minorBidi"/>
          <w:sz w:val="22"/>
          <w:szCs w:val="22"/>
        </w:rPr>
        <w:t xml:space="preserve">In this section of the quarterly report, Engines should provide a status update of up to </w:t>
      </w:r>
      <w:r w:rsidR="002A546C">
        <w:rPr>
          <w:rStyle w:val="normaltextrun"/>
          <w:rFonts w:asciiTheme="minorHAnsi" w:hAnsiTheme="minorHAnsi" w:cstheme="minorBidi"/>
          <w:sz w:val="22"/>
          <w:szCs w:val="22"/>
        </w:rPr>
        <w:t>two</w:t>
      </w:r>
      <w:r w:rsidR="00556248">
        <w:rPr>
          <w:rStyle w:val="normaltextrun"/>
          <w:rFonts w:asciiTheme="minorHAnsi" w:hAnsiTheme="minorHAnsi" w:cstheme="minorBidi"/>
          <w:sz w:val="22"/>
          <w:szCs w:val="22"/>
        </w:rPr>
        <w:t xml:space="preserve"> </w:t>
      </w:r>
      <w:r w:rsidRPr="3AADB89D">
        <w:rPr>
          <w:rStyle w:val="normaltextrun"/>
          <w:rFonts w:asciiTheme="minorHAnsi" w:hAnsiTheme="minorHAnsi" w:cstheme="minorBidi"/>
          <w:sz w:val="22"/>
          <w:szCs w:val="22"/>
        </w:rPr>
        <w:t>paragraph</w:t>
      </w:r>
      <w:r w:rsidR="002A546C">
        <w:rPr>
          <w:rStyle w:val="normaltextrun"/>
          <w:rFonts w:asciiTheme="minorHAnsi" w:hAnsiTheme="minorHAnsi" w:cstheme="minorBidi"/>
          <w:sz w:val="22"/>
          <w:szCs w:val="22"/>
        </w:rPr>
        <w:t>s</w:t>
      </w:r>
      <w:r w:rsidR="00556248">
        <w:rPr>
          <w:rStyle w:val="normaltextrun"/>
          <w:rFonts w:asciiTheme="minorHAnsi" w:hAnsiTheme="minorHAnsi" w:cstheme="minorBidi"/>
          <w:sz w:val="22"/>
          <w:szCs w:val="22"/>
        </w:rPr>
        <w:t xml:space="preserve"> for each </w:t>
      </w:r>
      <w:r w:rsidR="00A569B7">
        <w:rPr>
          <w:rStyle w:val="normaltextrun"/>
          <w:rFonts w:asciiTheme="minorHAnsi" w:hAnsiTheme="minorHAnsi" w:cstheme="minorBidi"/>
          <w:sz w:val="22"/>
          <w:szCs w:val="22"/>
        </w:rPr>
        <w:t>activity or project</w:t>
      </w:r>
      <w:r w:rsidRPr="3AADB89D">
        <w:rPr>
          <w:rStyle w:val="normaltextrun"/>
          <w:rFonts w:asciiTheme="minorHAnsi" w:hAnsiTheme="minorHAnsi" w:cstheme="minorBidi"/>
          <w:sz w:val="22"/>
          <w:szCs w:val="22"/>
        </w:rPr>
        <w:t>, including notable outcomes of each against the milestones and objectives outlined in the above referenced document. This section should also note termination of activities</w:t>
      </w:r>
      <w:r w:rsidR="00A569B7">
        <w:rPr>
          <w:rStyle w:val="normaltextrun"/>
          <w:rFonts w:asciiTheme="minorHAnsi" w:hAnsiTheme="minorHAnsi" w:cstheme="minorBidi"/>
          <w:sz w:val="22"/>
          <w:szCs w:val="22"/>
        </w:rPr>
        <w:t xml:space="preserve"> or projects</w:t>
      </w:r>
      <w:r w:rsidRPr="3AADB89D">
        <w:rPr>
          <w:rStyle w:val="normaltextrun"/>
          <w:rFonts w:asciiTheme="minorHAnsi" w:hAnsiTheme="minorHAnsi" w:cstheme="minorBidi"/>
          <w:sz w:val="22"/>
          <w:szCs w:val="22"/>
        </w:rPr>
        <w:t xml:space="preserve"> or selection of new </w:t>
      </w:r>
      <w:r w:rsidR="00F67027">
        <w:rPr>
          <w:rStyle w:val="normaltextrun"/>
          <w:rFonts w:asciiTheme="minorHAnsi" w:hAnsiTheme="minorHAnsi" w:cstheme="minorBidi"/>
          <w:sz w:val="22"/>
          <w:szCs w:val="22"/>
        </w:rPr>
        <w:t>ones</w:t>
      </w:r>
      <w:r w:rsidRPr="3AADB89D">
        <w:rPr>
          <w:rStyle w:val="normaltextrun"/>
          <w:rFonts w:asciiTheme="minorHAnsi" w:hAnsiTheme="minorHAnsi" w:cstheme="minorBidi"/>
          <w:sz w:val="22"/>
          <w:szCs w:val="22"/>
        </w:rPr>
        <w:t xml:space="preserve"> during the reporting period, including the rationale for changes. Each activity</w:t>
      </w:r>
      <w:r w:rsidR="007305E5">
        <w:rPr>
          <w:rStyle w:val="normaltextrun"/>
          <w:rFonts w:asciiTheme="minorHAnsi" w:hAnsiTheme="minorHAnsi" w:cstheme="minorBidi"/>
          <w:sz w:val="22"/>
          <w:szCs w:val="22"/>
        </w:rPr>
        <w:t xml:space="preserve"> or </w:t>
      </w:r>
      <w:r w:rsidR="007305E5">
        <w:rPr>
          <w:rStyle w:val="normaltextrun"/>
          <w:rFonts w:asciiTheme="minorHAnsi" w:hAnsiTheme="minorHAnsi" w:cstheme="minorBidi"/>
          <w:sz w:val="22"/>
          <w:szCs w:val="22"/>
        </w:rPr>
        <w:t>porject</w:t>
      </w:r>
      <w:r w:rsidRPr="3AADB89D">
        <w:rPr>
          <w:rStyle w:val="normaltextrun"/>
          <w:rFonts w:asciiTheme="minorHAnsi" w:hAnsiTheme="minorHAnsi" w:cstheme="minorBidi"/>
          <w:sz w:val="22"/>
          <w:szCs w:val="22"/>
        </w:rPr>
        <w:t xml:space="preserve"> should be referenced in a separate subsection below using the abbreviation of the activity</w:t>
      </w:r>
      <w:r w:rsidR="007305E5">
        <w:rPr>
          <w:rStyle w:val="normaltextrun"/>
          <w:rFonts w:asciiTheme="minorHAnsi" w:hAnsiTheme="minorHAnsi" w:cstheme="minorBidi"/>
          <w:sz w:val="22"/>
          <w:szCs w:val="22"/>
        </w:rPr>
        <w:t xml:space="preserve"> or project</w:t>
      </w:r>
      <w:r w:rsidRPr="3AADB89D">
        <w:rPr>
          <w:rStyle w:val="normaltextrun"/>
          <w:rFonts w:asciiTheme="minorHAnsi" w:hAnsiTheme="minorHAnsi" w:cstheme="minorBidi"/>
          <w:sz w:val="22"/>
          <w:szCs w:val="22"/>
        </w:rPr>
        <w:t xml:space="preserve"> (e.g. R/D-1</w:t>
      </w:r>
      <w:r w:rsidR="0015537D">
        <w:rPr>
          <w:rStyle w:val="normaltextrun"/>
          <w:rFonts w:asciiTheme="minorHAnsi" w:hAnsiTheme="minorHAnsi" w:cstheme="minorBidi"/>
          <w:sz w:val="22"/>
          <w:szCs w:val="22"/>
        </w:rPr>
        <w:t xml:space="preserve"> ACTIVITY</w:t>
      </w:r>
      <w:r w:rsidRPr="3AADB89D">
        <w:rPr>
          <w:rStyle w:val="normaltextrun"/>
          <w:rFonts w:asciiTheme="minorHAnsi" w:hAnsiTheme="minorHAnsi" w:cstheme="minorBidi"/>
          <w:sz w:val="22"/>
          <w:szCs w:val="22"/>
        </w:rPr>
        <w:t>, WFD-3</w:t>
      </w:r>
      <w:r w:rsidR="0015537D">
        <w:rPr>
          <w:rStyle w:val="normaltextrun"/>
          <w:rFonts w:asciiTheme="minorHAnsi" w:hAnsiTheme="minorHAnsi" w:cstheme="minorBidi"/>
          <w:sz w:val="22"/>
          <w:szCs w:val="22"/>
        </w:rPr>
        <w:t xml:space="preserve"> ACTIVITY, EB-1 PROJECT</w:t>
      </w:r>
      <w:r w:rsidRPr="3AADB89D">
        <w:rPr>
          <w:rStyle w:val="normaltextrun"/>
          <w:rFonts w:asciiTheme="minorHAnsi" w:hAnsiTheme="minorHAnsi" w:cstheme="minorBidi"/>
          <w:sz w:val="22"/>
          <w:szCs w:val="22"/>
        </w:rPr>
        <w:t>) and name for the activity</w:t>
      </w:r>
      <w:r w:rsidR="0015537D">
        <w:rPr>
          <w:rStyle w:val="normaltextrun"/>
          <w:rFonts w:asciiTheme="minorHAnsi" w:hAnsiTheme="minorHAnsi" w:cstheme="minorBidi"/>
          <w:sz w:val="22"/>
          <w:szCs w:val="22"/>
        </w:rPr>
        <w:t xml:space="preserve"> or project</w:t>
      </w:r>
      <w:r w:rsidRPr="3AADB89D">
        <w:rPr>
          <w:rStyle w:val="normaltextrun"/>
          <w:rFonts w:asciiTheme="minorHAnsi" w:hAnsiTheme="minorHAnsi" w:cstheme="minorBidi"/>
          <w:sz w:val="22"/>
          <w:szCs w:val="22"/>
        </w:rPr>
        <w:t>.&gt;&gt;</w:t>
      </w:r>
    </w:p>
    <w:p w:rsidR="0010422A" w:rsidRPr="000279C2" w:rsidP="3AADB89D" w14:paraId="408EEE5B" w14:textId="77777777">
      <w:pPr>
        <w:pStyle w:val="paragraph"/>
        <w:spacing w:before="0" w:beforeAutospacing="0" w:after="0" w:afterAutospacing="0"/>
        <w:ind w:left="720"/>
        <w:textAlignment w:val="baseline"/>
        <w:rPr>
          <w:rStyle w:val="eop"/>
          <w:rFonts w:asciiTheme="minorHAnsi" w:hAnsiTheme="minorHAnsi" w:cstheme="minorBidi"/>
          <w:sz w:val="22"/>
          <w:szCs w:val="22"/>
        </w:rPr>
      </w:pPr>
    </w:p>
    <w:p w:rsidR="0010422A" w:rsidRPr="000279C2" w:rsidP="3AADB89D" w14:paraId="2BBD94CB" w14:textId="77777777">
      <w:pPr>
        <w:pStyle w:val="paragraph"/>
        <w:spacing w:before="0" w:beforeAutospacing="0" w:after="0" w:afterAutospacing="0"/>
        <w:textAlignment w:val="baseline"/>
        <w:rPr>
          <w:rFonts w:asciiTheme="minorHAnsi" w:hAnsiTheme="minorHAnsi" w:cstheme="minorBidi"/>
          <w:sz w:val="22"/>
          <w:szCs w:val="22"/>
        </w:rPr>
      </w:pPr>
    </w:p>
    <w:p w:rsidR="0010422A" w:rsidRPr="000279C2" w:rsidP="3AADB89D" w14:paraId="2DAC49DC" w14:textId="423B2F2A">
      <w:pPr>
        <w:pStyle w:val="paragraph"/>
        <w:numPr>
          <w:ilvl w:val="0"/>
          <w:numId w:val="12"/>
        </w:numPr>
        <w:spacing w:before="0" w:beforeAutospacing="0" w:after="0" w:afterAutospacing="0"/>
        <w:textAlignment w:val="baseline"/>
        <w:rPr>
          <w:rFonts w:asciiTheme="minorHAnsi" w:hAnsiTheme="minorHAnsi" w:cstheme="minorBidi"/>
          <w:sz w:val="22"/>
          <w:szCs w:val="22"/>
        </w:rPr>
      </w:pPr>
      <w:r>
        <w:rPr>
          <w:rStyle w:val="normaltextrun"/>
          <w:rFonts w:asciiTheme="minorHAnsi" w:hAnsiTheme="minorHAnsi" w:cstheme="minorBidi"/>
          <w:b/>
          <w:bCs/>
          <w:sz w:val="22"/>
          <w:szCs w:val="22"/>
        </w:rPr>
        <w:t>P</w:t>
      </w:r>
      <w:r w:rsidRPr="3AADB89D" w:rsidR="797809A8">
        <w:rPr>
          <w:rStyle w:val="normaltextrun"/>
          <w:rFonts w:asciiTheme="minorHAnsi" w:hAnsiTheme="minorHAnsi" w:cstheme="minorBidi"/>
          <w:b/>
          <w:bCs/>
          <w:sz w:val="22"/>
          <w:szCs w:val="22"/>
        </w:rPr>
        <w:t>artners.</w:t>
      </w:r>
      <w:r w:rsidRPr="3AADB89D" w:rsidR="797809A8">
        <w:rPr>
          <w:rStyle w:val="eop"/>
          <w:rFonts w:asciiTheme="minorHAnsi" w:hAnsiTheme="minorHAnsi" w:cstheme="minorBidi"/>
          <w:sz w:val="22"/>
          <w:szCs w:val="22"/>
        </w:rPr>
        <w:t> </w:t>
      </w:r>
      <w:r w:rsidRPr="3AADB89D" w:rsidR="797809A8">
        <w:rPr>
          <w:rFonts w:ascii="Calibri" w:eastAsia="Calibri" w:hAnsi="Calibri" w:cs="Calibri"/>
          <w:sz w:val="20"/>
          <w:szCs w:val="20"/>
        </w:rPr>
        <w:t xml:space="preserve">This section should document </w:t>
      </w:r>
      <w:r>
        <w:rPr>
          <w:rFonts w:ascii="Calibri" w:eastAsia="Calibri" w:hAnsi="Calibri" w:cs="Calibri"/>
          <w:sz w:val="20"/>
          <w:szCs w:val="20"/>
        </w:rPr>
        <w:t xml:space="preserve">any </w:t>
      </w:r>
      <w:r w:rsidRPr="3AADB89D" w:rsidR="797809A8">
        <w:rPr>
          <w:rFonts w:ascii="Calibri" w:eastAsia="Calibri" w:hAnsi="Calibri" w:cs="Calibri"/>
          <w:sz w:val="20"/>
          <w:szCs w:val="20"/>
        </w:rPr>
        <w:t>changes to the set of partners and any changes in the nature of the partners’ activities and commitments to the Engine.</w:t>
      </w:r>
    </w:p>
    <w:p w:rsidR="0010422A" w:rsidRPr="000279C2" w:rsidP="3AADB89D" w14:paraId="6A7A30FF" w14:textId="77777777">
      <w:pPr>
        <w:pStyle w:val="paragraph"/>
        <w:spacing w:before="0" w:beforeAutospacing="0" w:after="0" w:afterAutospacing="0"/>
        <w:ind w:left="720"/>
        <w:textAlignment w:val="baseline"/>
        <w:rPr>
          <w:rStyle w:val="eop"/>
          <w:rFonts w:asciiTheme="minorHAnsi" w:hAnsiTheme="minorHAnsi" w:cstheme="minorBidi"/>
          <w:sz w:val="22"/>
          <w:szCs w:val="22"/>
        </w:rPr>
      </w:pPr>
    </w:p>
    <w:p w:rsidR="0010422A" w:rsidRPr="000279C2" w:rsidP="3AADB89D" w14:paraId="54190055" w14:textId="4F4B1334">
      <w:pPr>
        <w:pStyle w:val="paragraph"/>
        <w:spacing w:before="0" w:beforeAutospacing="0" w:after="0" w:afterAutospacing="0"/>
        <w:ind w:left="720"/>
        <w:textAlignment w:val="baseline"/>
        <w:rPr>
          <w:rStyle w:val="eop"/>
          <w:rFonts w:asciiTheme="minorHAnsi" w:hAnsiTheme="minorHAnsi" w:cstheme="minorBidi"/>
          <w:sz w:val="22"/>
          <w:szCs w:val="22"/>
        </w:rPr>
      </w:pPr>
      <w:r w:rsidRPr="3AADB89D">
        <w:rPr>
          <w:rStyle w:val="normaltextrun"/>
          <w:rFonts w:asciiTheme="minorHAnsi" w:hAnsiTheme="minorHAnsi" w:cstheme="minorBidi"/>
          <w:sz w:val="22"/>
          <w:szCs w:val="22"/>
        </w:rPr>
        <w:t xml:space="preserve">&lt;&lt; DELETE this reference text in the final version of report. These changes should be documented in the Budget and Resources Spreadsheet noted in section </w:t>
      </w:r>
      <w:r w:rsidRPr="3AADB89D" w:rsidR="3DFF531C">
        <w:rPr>
          <w:rStyle w:val="normaltextrun"/>
          <w:rFonts w:asciiTheme="minorHAnsi" w:hAnsiTheme="minorHAnsi" w:cstheme="minorBidi"/>
          <w:sz w:val="22"/>
          <w:szCs w:val="22"/>
        </w:rPr>
        <w:t>E</w:t>
      </w:r>
      <w:r w:rsidRPr="3AADB89D">
        <w:rPr>
          <w:rStyle w:val="normaltextrun"/>
          <w:rFonts w:asciiTheme="minorHAnsi" w:hAnsiTheme="minorHAnsi" w:cstheme="minorBidi"/>
          <w:sz w:val="22"/>
          <w:szCs w:val="22"/>
        </w:rPr>
        <w:t xml:space="preserve"> of this report. For each noted change</w:t>
      </w:r>
      <w:r w:rsidR="00B83507">
        <w:rPr>
          <w:rStyle w:val="normaltextrun"/>
          <w:rFonts w:asciiTheme="minorHAnsi" w:hAnsiTheme="minorHAnsi" w:cstheme="minorBidi"/>
          <w:sz w:val="22"/>
          <w:szCs w:val="22"/>
        </w:rPr>
        <w:t xml:space="preserve"> in partners</w:t>
      </w:r>
      <w:r w:rsidRPr="3AADB89D">
        <w:rPr>
          <w:rStyle w:val="normaltextrun"/>
          <w:rFonts w:asciiTheme="minorHAnsi" w:hAnsiTheme="minorHAnsi" w:cstheme="minorBidi"/>
          <w:sz w:val="22"/>
          <w:szCs w:val="22"/>
        </w:rPr>
        <w:t xml:space="preserve">, provide up to two paragraphs explanation in the quarterly report, listing the </w:t>
      </w:r>
      <w:r w:rsidR="00645AF3">
        <w:rPr>
          <w:rStyle w:val="normaltextrun"/>
          <w:rFonts w:asciiTheme="minorHAnsi" w:hAnsiTheme="minorHAnsi" w:cstheme="minorBidi"/>
          <w:sz w:val="22"/>
          <w:szCs w:val="22"/>
        </w:rPr>
        <w:t xml:space="preserve">name of the </w:t>
      </w:r>
      <w:r w:rsidRPr="3AADB89D">
        <w:rPr>
          <w:rStyle w:val="normaltextrun"/>
          <w:rFonts w:asciiTheme="minorHAnsi" w:hAnsiTheme="minorHAnsi" w:cstheme="minorBidi"/>
          <w:sz w:val="22"/>
          <w:szCs w:val="22"/>
        </w:rPr>
        <w:t>organization</w:t>
      </w:r>
      <w:r w:rsidR="00645AF3">
        <w:rPr>
          <w:rStyle w:val="normaltextrun"/>
          <w:rFonts w:asciiTheme="minorHAnsi" w:hAnsiTheme="minorHAnsi" w:cstheme="minorBidi"/>
          <w:sz w:val="22"/>
          <w:szCs w:val="22"/>
        </w:rPr>
        <w:t xml:space="preserve"> followed by the explanation</w:t>
      </w:r>
      <w:r w:rsidRPr="3AADB89D">
        <w:rPr>
          <w:rStyle w:val="normaltextrun"/>
          <w:rFonts w:asciiTheme="minorHAnsi" w:hAnsiTheme="minorHAnsi" w:cstheme="minorBidi"/>
          <w:sz w:val="22"/>
          <w:szCs w:val="22"/>
        </w:rPr>
        <w:t>.&gt;&gt;</w:t>
      </w:r>
    </w:p>
    <w:p w:rsidR="00E52634" w:rsidRPr="00E52634" w:rsidP="00E52634" w14:paraId="215CDBFC"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E52634" w:rsidRPr="00E52634" w:rsidP="00E52634" w14:paraId="1E678892"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C87F58" w:rsidRPr="000279C2" w:rsidP="00DF55DB" w14:paraId="186ED304" w14:textId="02700474">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3AADB89D">
        <w:rPr>
          <w:rStyle w:val="normaltextrun"/>
          <w:rFonts w:asciiTheme="minorHAnsi" w:hAnsiTheme="minorHAnsi" w:cstheme="minorBidi"/>
          <w:b/>
          <w:sz w:val="22"/>
          <w:szCs w:val="22"/>
        </w:rPr>
        <w:t>Budget Expenditures. </w:t>
      </w:r>
      <w:r w:rsidRPr="3AADB89D" w:rsidR="00842EC9">
        <w:rPr>
          <w:rStyle w:val="normaltextrun"/>
          <w:rFonts w:asciiTheme="minorHAnsi" w:hAnsiTheme="minorHAnsi" w:cstheme="minorBidi"/>
          <w:sz w:val="22"/>
          <w:szCs w:val="22"/>
        </w:rPr>
        <w:t>Summary of significant budget expenditures for the specified quarterly reporting period(s).</w:t>
      </w:r>
    </w:p>
    <w:p w:rsidR="00842EC9" w:rsidRPr="0039752A" w:rsidP="00842EC9" w14:paraId="2ACC1A9C"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84034A" w:rsidRPr="009A3D32" w:rsidP="00C87F58" w14:paraId="480A0C41" w14:textId="4691C76D">
      <w:pPr>
        <w:pStyle w:val="paragraph"/>
        <w:spacing w:before="0" w:beforeAutospacing="0" w:after="0" w:afterAutospacing="0"/>
        <w:ind w:left="720"/>
        <w:textAlignment w:val="baseline"/>
        <w:rPr>
          <w:rStyle w:val="normaltextrun"/>
          <w:rFonts w:asciiTheme="minorHAnsi" w:hAnsiTheme="minorHAnsi" w:cstheme="minorBidi"/>
          <w:sz w:val="22"/>
          <w:szCs w:val="22"/>
        </w:rPr>
      </w:pPr>
      <w:r w:rsidRPr="03043F21">
        <w:rPr>
          <w:rStyle w:val="normaltextrun"/>
          <w:rFonts w:asciiTheme="minorHAnsi" w:hAnsiTheme="minorHAnsi" w:cstheme="minorBidi"/>
          <w:b/>
          <w:sz w:val="22"/>
          <w:szCs w:val="22"/>
        </w:rPr>
        <w:t>&lt;&lt;</w:t>
      </w:r>
      <w:r w:rsidRPr="03043F21" w:rsidR="00C52243">
        <w:rPr>
          <w:rStyle w:val="normaltextrun"/>
          <w:rFonts w:asciiTheme="minorHAnsi" w:hAnsiTheme="minorHAnsi" w:cstheme="minorBidi"/>
          <w:sz w:val="22"/>
          <w:szCs w:val="22"/>
        </w:rPr>
        <w:t xml:space="preserve"> </w:t>
      </w:r>
      <w:r w:rsidRPr="03043F21" w:rsidR="005D2B8B">
        <w:rPr>
          <w:rStyle w:val="normaltextrun"/>
          <w:rFonts w:asciiTheme="minorHAnsi" w:hAnsiTheme="minorHAnsi" w:cstheme="minorBidi"/>
          <w:sz w:val="22"/>
          <w:szCs w:val="22"/>
        </w:rPr>
        <w:t>DELETE this reference text in the final version of report.</w:t>
      </w:r>
      <w:r w:rsidRPr="03043F21" w:rsidR="00C52243">
        <w:rPr>
          <w:rStyle w:val="normaltextrun"/>
          <w:rFonts w:asciiTheme="minorHAnsi" w:hAnsiTheme="minorHAnsi" w:cstheme="minorBidi"/>
          <w:sz w:val="22"/>
          <w:szCs w:val="22"/>
        </w:rPr>
        <w:t xml:space="preserve"> </w:t>
      </w:r>
      <w:r w:rsidRPr="03043F21" w:rsidR="00E96746">
        <w:rPr>
          <w:rStyle w:val="normaltextrun"/>
          <w:rFonts w:asciiTheme="minorHAnsi" w:hAnsiTheme="minorHAnsi" w:cstheme="minorBidi"/>
          <w:sz w:val="22"/>
          <w:szCs w:val="22"/>
        </w:rPr>
        <w:t xml:space="preserve">Engines should submit </w:t>
      </w:r>
      <w:r w:rsidRPr="03043F21" w:rsidR="00D06E04">
        <w:rPr>
          <w:rStyle w:val="normaltextrun"/>
          <w:rFonts w:asciiTheme="minorHAnsi" w:hAnsiTheme="minorHAnsi" w:cstheme="minorBidi"/>
          <w:sz w:val="22"/>
          <w:szCs w:val="22"/>
        </w:rPr>
        <w:t xml:space="preserve">an </w:t>
      </w:r>
      <w:r w:rsidRPr="03043F21" w:rsidR="00E11C00">
        <w:rPr>
          <w:rStyle w:val="normaltextrun"/>
          <w:rFonts w:asciiTheme="minorHAnsi" w:hAnsiTheme="minorHAnsi" w:cstheme="minorBidi"/>
          <w:sz w:val="22"/>
          <w:szCs w:val="22"/>
        </w:rPr>
        <w:t xml:space="preserve">updated Budget and Resources Spreadsheet </w:t>
      </w:r>
      <w:r w:rsidRPr="03043F21" w:rsidR="00D06E04">
        <w:rPr>
          <w:rStyle w:val="normaltextrun"/>
          <w:rFonts w:asciiTheme="minorHAnsi" w:hAnsiTheme="minorHAnsi" w:cstheme="minorBidi"/>
          <w:sz w:val="22"/>
          <w:szCs w:val="22"/>
        </w:rPr>
        <w:t xml:space="preserve">together with </w:t>
      </w:r>
      <w:r w:rsidRPr="3AADB89D" w:rsidR="4CF86184">
        <w:rPr>
          <w:rStyle w:val="normaltextrun"/>
          <w:rFonts w:asciiTheme="minorHAnsi" w:hAnsiTheme="minorHAnsi" w:cstheme="minorBidi"/>
          <w:sz w:val="22"/>
          <w:szCs w:val="22"/>
        </w:rPr>
        <w:t>the</w:t>
      </w:r>
      <w:r w:rsidRPr="3AADB89D" w:rsidR="4ED32267">
        <w:rPr>
          <w:rStyle w:val="normaltextrun"/>
          <w:rFonts w:asciiTheme="minorHAnsi" w:hAnsiTheme="minorHAnsi" w:cstheme="minorBidi"/>
          <w:sz w:val="22"/>
          <w:szCs w:val="22"/>
        </w:rPr>
        <w:t>ir</w:t>
      </w:r>
      <w:r w:rsidRPr="3AADB89D" w:rsidR="4CF86184">
        <w:rPr>
          <w:rStyle w:val="normaltextrun"/>
          <w:rFonts w:asciiTheme="minorHAnsi" w:hAnsiTheme="minorHAnsi" w:cstheme="minorBidi"/>
          <w:sz w:val="22"/>
          <w:szCs w:val="22"/>
        </w:rPr>
        <w:t xml:space="preserve"> </w:t>
      </w:r>
      <w:r w:rsidRPr="3AADB89D" w:rsidR="340368A1">
        <w:rPr>
          <w:rStyle w:val="normaltextrun"/>
          <w:rFonts w:asciiTheme="minorHAnsi" w:hAnsiTheme="minorHAnsi" w:cstheme="minorBidi"/>
          <w:sz w:val="22"/>
          <w:szCs w:val="22"/>
        </w:rPr>
        <w:t>first</w:t>
      </w:r>
      <w:r w:rsidRPr="03043F21" w:rsidR="00D06E04">
        <w:rPr>
          <w:rStyle w:val="normaltextrun"/>
          <w:rFonts w:asciiTheme="minorHAnsi" w:hAnsiTheme="minorHAnsi" w:cstheme="minorBidi"/>
          <w:sz w:val="22"/>
          <w:szCs w:val="22"/>
        </w:rPr>
        <w:t xml:space="preserve"> quarterly report</w:t>
      </w:r>
      <w:r w:rsidRPr="3AADB89D" w:rsidR="1B431942">
        <w:rPr>
          <w:rStyle w:val="normaltextrun"/>
          <w:rFonts w:asciiTheme="minorHAnsi" w:hAnsiTheme="minorHAnsi" w:cstheme="minorBidi"/>
          <w:sz w:val="22"/>
          <w:szCs w:val="22"/>
        </w:rPr>
        <w:t xml:space="preserve"> (template provided)</w:t>
      </w:r>
      <w:r w:rsidRPr="3AADB89D" w:rsidR="1F3E1772">
        <w:rPr>
          <w:rStyle w:val="normaltextrun"/>
          <w:rFonts w:asciiTheme="minorHAnsi" w:hAnsiTheme="minorHAnsi" w:cstheme="minorBidi"/>
          <w:sz w:val="22"/>
          <w:szCs w:val="22"/>
        </w:rPr>
        <w:t xml:space="preserve">. </w:t>
      </w:r>
      <w:r w:rsidRPr="3AADB89D" w:rsidR="7FF815E1">
        <w:rPr>
          <w:rStyle w:val="normaltextrun"/>
          <w:rFonts w:asciiTheme="minorHAnsi" w:hAnsiTheme="minorHAnsi" w:cstheme="minorBidi"/>
          <w:sz w:val="22"/>
          <w:szCs w:val="22"/>
        </w:rPr>
        <w:t>In subsequent quarters, an updated version should be sub</w:t>
      </w:r>
      <w:r w:rsidRPr="3AADB89D" w:rsidR="2F8138FB">
        <w:rPr>
          <w:rStyle w:val="normaltextrun"/>
          <w:rFonts w:asciiTheme="minorHAnsi" w:hAnsiTheme="minorHAnsi" w:cstheme="minorBidi"/>
          <w:sz w:val="22"/>
          <w:szCs w:val="22"/>
        </w:rPr>
        <w:t>mitted with the report, if applicable.</w:t>
      </w:r>
      <w:r w:rsidRPr="03043F21" w:rsidR="00E11C00">
        <w:rPr>
          <w:rStyle w:val="normaltextrun"/>
          <w:rFonts w:asciiTheme="minorHAnsi" w:hAnsiTheme="minorHAnsi" w:cstheme="minorBidi"/>
          <w:sz w:val="22"/>
          <w:szCs w:val="22"/>
        </w:rPr>
        <w:t xml:space="preserve"> The file should be names “Budget</w:t>
      </w:r>
      <w:r w:rsidRPr="03043F21" w:rsidR="00D26FFD">
        <w:rPr>
          <w:rStyle w:val="normaltextrun"/>
          <w:rFonts w:asciiTheme="minorHAnsi" w:hAnsiTheme="minorHAnsi" w:cstheme="minorBidi"/>
          <w:sz w:val="22"/>
          <w:szCs w:val="22"/>
        </w:rPr>
        <w:t xml:space="preserve"> and Resources</w:t>
      </w:r>
      <w:r w:rsidRPr="03043F21" w:rsidR="00D26FFD">
        <w:rPr>
          <w:rStyle w:val="normaltextrun"/>
          <w:rFonts w:asciiTheme="minorHAnsi" w:hAnsiTheme="minorHAnsi" w:cstheme="minorBidi"/>
          <w:sz w:val="22"/>
          <w:szCs w:val="22"/>
        </w:rPr>
        <w:t>_[</w:t>
      </w:r>
      <w:r w:rsidRPr="03043F21" w:rsidR="00D26FFD">
        <w:rPr>
          <w:rStyle w:val="normaltextrun"/>
          <w:rFonts w:asciiTheme="minorHAnsi" w:hAnsiTheme="minorHAnsi" w:cstheme="minorBidi"/>
          <w:sz w:val="22"/>
          <w:szCs w:val="22"/>
        </w:rPr>
        <w:t>Q</w:t>
      </w:r>
      <w:r w:rsidRPr="03043F21" w:rsidR="00205C4E">
        <w:rPr>
          <w:rStyle w:val="normaltextrun"/>
          <w:rFonts w:asciiTheme="minorHAnsi" w:hAnsiTheme="minorHAnsi" w:cstheme="minorBidi"/>
          <w:sz w:val="22"/>
          <w:szCs w:val="22"/>
        </w:rPr>
        <w:t xml:space="preserve">1, </w:t>
      </w:r>
      <w:r w:rsidRPr="03043F21" w:rsidR="00D26FFD">
        <w:rPr>
          <w:rStyle w:val="normaltextrun"/>
          <w:rFonts w:asciiTheme="minorHAnsi" w:hAnsiTheme="minorHAnsi" w:cstheme="minorBidi"/>
          <w:sz w:val="22"/>
          <w:szCs w:val="22"/>
        </w:rPr>
        <w:t>Q2</w:t>
      </w:r>
      <w:r w:rsidRPr="03043F21" w:rsidR="00205C4E">
        <w:rPr>
          <w:rStyle w:val="normaltextrun"/>
          <w:rFonts w:asciiTheme="minorHAnsi" w:hAnsiTheme="minorHAnsi" w:cstheme="minorBidi"/>
          <w:sz w:val="22"/>
          <w:szCs w:val="22"/>
        </w:rPr>
        <w:t>, Q3,</w:t>
      </w:r>
      <w:r w:rsidRPr="03043F21" w:rsidR="00D26FFD">
        <w:rPr>
          <w:rStyle w:val="normaltextrun"/>
          <w:rFonts w:asciiTheme="minorHAnsi" w:hAnsiTheme="minorHAnsi" w:cstheme="minorBidi"/>
          <w:sz w:val="22"/>
          <w:szCs w:val="22"/>
        </w:rPr>
        <w:t xml:space="preserve"> Q4]_[2024 or 2025</w:t>
      </w:r>
      <w:r w:rsidRPr="03043F21" w:rsidR="00205C4E">
        <w:rPr>
          <w:rStyle w:val="normaltextrun"/>
          <w:rFonts w:asciiTheme="minorHAnsi" w:hAnsiTheme="minorHAnsi" w:cstheme="minorBidi"/>
          <w:sz w:val="22"/>
          <w:szCs w:val="22"/>
        </w:rPr>
        <w:t>]</w:t>
      </w:r>
      <w:r w:rsidRPr="03043F21" w:rsidR="00F45FEA">
        <w:rPr>
          <w:rStyle w:val="normaltextrun"/>
          <w:rFonts w:asciiTheme="minorHAnsi" w:hAnsiTheme="minorHAnsi" w:cstheme="minorBidi"/>
          <w:sz w:val="22"/>
          <w:szCs w:val="22"/>
        </w:rPr>
        <w:t>_[Engine name].</w:t>
      </w:r>
      <w:r w:rsidRPr="03043F21" w:rsidR="00F45FEA">
        <w:rPr>
          <w:rStyle w:val="normaltextrun"/>
          <w:rFonts w:asciiTheme="minorHAnsi" w:hAnsiTheme="minorHAnsi" w:cstheme="minorBidi"/>
          <w:sz w:val="22"/>
          <w:szCs w:val="22"/>
        </w:rPr>
        <w:t>xls</w:t>
      </w:r>
      <w:r w:rsidRPr="03043F21" w:rsidR="00F45FEA">
        <w:rPr>
          <w:rStyle w:val="normaltextrun"/>
          <w:rFonts w:asciiTheme="minorHAnsi" w:hAnsiTheme="minorHAnsi" w:cstheme="minorBidi"/>
          <w:sz w:val="22"/>
          <w:szCs w:val="22"/>
        </w:rPr>
        <w:t>”</w:t>
      </w:r>
      <w:r w:rsidRPr="3A0EA1C5" w:rsidR="6C01E294">
        <w:rPr>
          <w:rStyle w:val="normaltextrun"/>
          <w:rFonts w:asciiTheme="minorHAnsi" w:hAnsiTheme="minorHAnsi" w:cstheme="minorBidi"/>
          <w:sz w:val="22"/>
          <w:szCs w:val="22"/>
        </w:rPr>
        <w:t>.</w:t>
      </w:r>
    </w:p>
    <w:p w:rsidR="00F22597" w:rsidRPr="009A3D32" w:rsidP="00C87F58" w14:paraId="0947065B" w14:textId="4610DFA8">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914E27" w:rsidRPr="009A3D32" w:rsidP="00501DEF" w14:paraId="6838508C" w14:textId="67B655C1">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9A3D32">
        <w:rPr>
          <w:rStyle w:val="normaltextrun"/>
          <w:rFonts w:asciiTheme="minorHAnsi" w:hAnsiTheme="minorHAnsi" w:cstheme="minorHAnsi"/>
          <w:sz w:val="22"/>
          <w:szCs w:val="22"/>
        </w:rPr>
        <w:t>In this section of the quarterly report,</w:t>
      </w:r>
      <w:r w:rsidRPr="009A3D32" w:rsidR="00C52243">
        <w:rPr>
          <w:rStyle w:val="normaltextrun"/>
          <w:rFonts w:asciiTheme="minorHAnsi" w:hAnsiTheme="minorHAnsi" w:cstheme="minorHAnsi"/>
          <w:sz w:val="22"/>
          <w:szCs w:val="22"/>
        </w:rPr>
        <w:t xml:space="preserve"> </w:t>
      </w:r>
      <w:r w:rsidRPr="009A3D32" w:rsidR="003A6CF9">
        <w:rPr>
          <w:rStyle w:val="normaltextrun"/>
          <w:rFonts w:asciiTheme="minorHAnsi" w:hAnsiTheme="minorHAnsi" w:cstheme="minorHAnsi"/>
          <w:sz w:val="22"/>
          <w:szCs w:val="22"/>
        </w:rPr>
        <w:t>Engines should s</w:t>
      </w:r>
      <w:r w:rsidRPr="009A3D32" w:rsidR="00C52243">
        <w:rPr>
          <w:rStyle w:val="normaltextrun"/>
          <w:rFonts w:asciiTheme="minorHAnsi" w:hAnsiTheme="minorHAnsi" w:cstheme="minorHAnsi"/>
          <w:sz w:val="22"/>
          <w:szCs w:val="22"/>
        </w:rPr>
        <w:t>ummar</w:t>
      </w:r>
      <w:r w:rsidRPr="009A3D32" w:rsidR="003A6CF9">
        <w:rPr>
          <w:rStyle w:val="normaltextrun"/>
          <w:rFonts w:asciiTheme="minorHAnsi" w:hAnsiTheme="minorHAnsi" w:cstheme="minorHAnsi"/>
          <w:sz w:val="22"/>
          <w:szCs w:val="22"/>
        </w:rPr>
        <w:t>ize</w:t>
      </w:r>
      <w:r w:rsidRPr="009A3D32" w:rsidR="00C52243">
        <w:rPr>
          <w:rStyle w:val="normaltextrun"/>
          <w:rFonts w:asciiTheme="minorHAnsi" w:hAnsiTheme="minorHAnsi" w:cstheme="minorHAnsi"/>
          <w:sz w:val="22"/>
          <w:szCs w:val="22"/>
        </w:rPr>
        <w:t xml:space="preserve"> significant budget expenditures for the specified quarterly reporting period(s)</w:t>
      </w:r>
      <w:r w:rsidRPr="009A3D32" w:rsidR="002F18CA">
        <w:rPr>
          <w:rStyle w:val="normaltextrun"/>
          <w:rFonts w:asciiTheme="minorHAnsi" w:hAnsiTheme="minorHAnsi" w:cstheme="minorHAnsi"/>
          <w:sz w:val="22"/>
          <w:szCs w:val="22"/>
        </w:rPr>
        <w:t xml:space="preserve"> using</w:t>
      </w:r>
      <w:r w:rsidRPr="009A3D32" w:rsidR="00C52243">
        <w:rPr>
          <w:rStyle w:val="normaltextrun"/>
          <w:rFonts w:asciiTheme="minorHAnsi" w:hAnsiTheme="minorHAnsi" w:cstheme="minorHAnsi"/>
          <w:sz w:val="22"/>
          <w:szCs w:val="22"/>
        </w:rPr>
        <w:t xml:space="preserve"> the </w:t>
      </w:r>
      <w:r w:rsidRPr="009A3D32" w:rsidR="002F18CA">
        <w:rPr>
          <w:rStyle w:val="normaltextrun"/>
          <w:rFonts w:asciiTheme="minorHAnsi" w:hAnsiTheme="minorHAnsi" w:cstheme="minorHAnsi"/>
          <w:sz w:val="22"/>
          <w:szCs w:val="22"/>
        </w:rPr>
        <w:t>below</w:t>
      </w:r>
      <w:r w:rsidRPr="009A3D32" w:rsidR="00C52243">
        <w:rPr>
          <w:rStyle w:val="normaltextrun"/>
          <w:rFonts w:asciiTheme="minorHAnsi" w:hAnsiTheme="minorHAnsi" w:cstheme="minorHAnsi"/>
          <w:sz w:val="22"/>
          <w:szCs w:val="22"/>
        </w:rPr>
        <w:t xml:space="preserve"> two </w:t>
      </w:r>
      <w:r w:rsidRPr="009A3D32" w:rsidR="002F18CA">
        <w:rPr>
          <w:rStyle w:val="normaltextrun"/>
          <w:rFonts w:asciiTheme="minorHAnsi" w:hAnsiTheme="minorHAnsi" w:cstheme="minorHAnsi"/>
          <w:sz w:val="22"/>
          <w:szCs w:val="22"/>
        </w:rPr>
        <w:t>table</w:t>
      </w:r>
      <w:r w:rsidRPr="009A3D32" w:rsidR="00926145">
        <w:rPr>
          <w:rStyle w:val="normaltextrun"/>
          <w:rFonts w:asciiTheme="minorHAnsi" w:hAnsiTheme="minorHAnsi" w:cstheme="minorHAnsi"/>
          <w:sz w:val="22"/>
          <w:szCs w:val="22"/>
        </w:rPr>
        <w:t xml:space="preserve">s, one organized by NSF </w:t>
      </w:r>
      <w:r w:rsidRPr="009A3D32" w:rsidR="00B41BD2">
        <w:rPr>
          <w:rStyle w:val="normaltextrun"/>
          <w:rFonts w:asciiTheme="minorHAnsi" w:hAnsiTheme="minorHAnsi" w:cstheme="minorHAnsi"/>
          <w:sz w:val="22"/>
          <w:szCs w:val="22"/>
        </w:rPr>
        <w:t xml:space="preserve">budget </w:t>
      </w:r>
      <w:r w:rsidRPr="009A3D32" w:rsidR="00926145">
        <w:rPr>
          <w:rStyle w:val="normaltextrun"/>
          <w:rFonts w:asciiTheme="minorHAnsi" w:hAnsiTheme="minorHAnsi" w:cstheme="minorHAnsi"/>
          <w:sz w:val="22"/>
          <w:szCs w:val="22"/>
        </w:rPr>
        <w:t xml:space="preserve">cost category </w:t>
      </w:r>
      <w:r w:rsidRPr="009A3D32" w:rsidR="00B41BD2">
        <w:rPr>
          <w:rStyle w:val="normaltextrun"/>
          <w:rFonts w:asciiTheme="minorHAnsi" w:hAnsiTheme="minorHAnsi" w:cstheme="minorHAnsi"/>
          <w:sz w:val="22"/>
          <w:szCs w:val="22"/>
        </w:rPr>
        <w:t>(i.e. NSF form 1030)</w:t>
      </w:r>
      <w:r w:rsidRPr="009A3D32" w:rsidR="00926145">
        <w:rPr>
          <w:rStyle w:val="normaltextrun"/>
          <w:rFonts w:asciiTheme="minorHAnsi" w:hAnsiTheme="minorHAnsi" w:cstheme="minorHAnsi"/>
          <w:sz w:val="22"/>
          <w:szCs w:val="22"/>
        </w:rPr>
        <w:t xml:space="preserve"> and one by programmatic </w:t>
      </w:r>
      <w:r w:rsidRPr="009A3D32" w:rsidR="00916A5A">
        <w:rPr>
          <w:rStyle w:val="normaltextrun"/>
          <w:rFonts w:asciiTheme="minorHAnsi" w:hAnsiTheme="minorHAnsi" w:cstheme="minorHAnsi"/>
          <w:sz w:val="22"/>
          <w:szCs w:val="22"/>
        </w:rPr>
        <w:t>core function</w:t>
      </w:r>
      <w:r w:rsidRPr="009A3D32" w:rsidR="00625EA7">
        <w:rPr>
          <w:rStyle w:val="normaltextrun"/>
          <w:rFonts w:asciiTheme="minorHAnsi" w:hAnsiTheme="minorHAnsi" w:cstheme="minorHAnsi"/>
          <w:sz w:val="22"/>
          <w:szCs w:val="22"/>
        </w:rPr>
        <w:t xml:space="preserve"> (U</w:t>
      </w:r>
      <w:r w:rsidRPr="009A3D32" w:rsidR="00C52243">
        <w:rPr>
          <w:rStyle w:val="normaltextrun"/>
          <w:rFonts w:asciiTheme="minorHAnsi" w:hAnsiTheme="minorHAnsi" w:cstheme="minorHAnsi"/>
          <w:sz w:val="22"/>
          <w:szCs w:val="22"/>
        </w:rPr>
        <w:t xml:space="preserve">se-inspired R&amp;D, </w:t>
      </w:r>
      <w:r w:rsidRPr="009A3D32" w:rsidR="00625EA7">
        <w:rPr>
          <w:rStyle w:val="normaltextrun"/>
          <w:rFonts w:asciiTheme="minorHAnsi" w:hAnsiTheme="minorHAnsi" w:cstheme="minorHAnsi"/>
          <w:sz w:val="22"/>
          <w:szCs w:val="22"/>
        </w:rPr>
        <w:t>Translation, W</w:t>
      </w:r>
      <w:r w:rsidRPr="009A3D32" w:rsidR="00C52243">
        <w:rPr>
          <w:rStyle w:val="normaltextrun"/>
          <w:rFonts w:asciiTheme="minorHAnsi" w:hAnsiTheme="minorHAnsi" w:cstheme="minorHAnsi"/>
          <w:sz w:val="22"/>
          <w:szCs w:val="22"/>
        </w:rPr>
        <w:t xml:space="preserve">orkforce </w:t>
      </w:r>
      <w:r w:rsidRPr="009A3D32" w:rsidR="00625EA7">
        <w:rPr>
          <w:rStyle w:val="normaltextrun"/>
          <w:rFonts w:asciiTheme="minorHAnsi" w:hAnsiTheme="minorHAnsi" w:cstheme="minorHAnsi"/>
          <w:sz w:val="22"/>
          <w:szCs w:val="22"/>
        </w:rPr>
        <w:t>D</w:t>
      </w:r>
      <w:r w:rsidRPr="009A3D32" w:rsidR="00C52243">
        <w:rPr>
          <w:rStyle w:val="normaltextrun"/>
          <w:rFonts w:asciiTheme="minorHAnsi" w:hAnsiTheme="minorHAnsi" w:cstheme="minorHAnsi"/>
          <w:sz w:val="22"/>
          <w:szCs w:val="22"/>
        </w:rPr>
        <w:t xml:space="preserve">evelopment, </w:t>
      </w:r>
      <w:r w:rsidRPr="009A3D32" w:rsidR="00625EA7">
        <w:rPr>
          <w:rStyle w:val="normaltextrun"/>
          <w:rFonts w:asciiTheme="minorHAnsi" w:hAnsiTheme="minorHAnsi" w:cstheme="minorHAnsi"/>
          <w:sz w:val="22"/>
          <w:szCs w:val="22"/>
        </w:rPr>
        <w:t>Ecosystem Building, Governance</w:t>
      </w:r>
      <w:r w:rsidRPr="009A3D32" w:rsidR="00C52243">
        <w:rPr>
          <w:rStyle w:val="normaltextrun"/>
          <w:rFonts w:asciiTheme="minorHAnsi" w:hAnsiTheme="minorHAnsi" w:cstheme="minorHAnsi"/>
          <w:sz w:val="22"/>
          <w:szCs w:val="22"/>
        </w:rPr>
        <w:t xml:space="preserve"> and </w:t>
      </w:r>
      <w:r w:rsidRPr="009A3D32" w:rsidR="00625EA7">
        <w:rPr>
          <w:rStyle w:val="normaltextrun"/>
          <w:rFonts w:asciiTheme="minorHAnsi" w:hAnsiTheme="minorHAnsi" w:cstheme="minorHAnsi"/>
          <w:sz w:val="22"/>
          <w:szCs w:val="22"/>
        </w:rPr>
        <w:t xml:space="preserve">Management). </w:t>
      </w:r>
      <w:r w:rsidRPr="009A3D32" w:rsidR="00C52243">
        <w:rPr>
          <w:rStyle w:val="normaltextrun"/>
          <w:rFonts w:asciiTheme="minorHAnsi" w:hAnsiTheme="minorHAnsi" w:cstheme="minorHAnsi"/>
          <w:sz w:val="22"/>
          <w:szCs w:val="22"/>
        </w:rPr>
        <w:t>The cumulative amount should be compared against the planned budget for each reporting period. Variances from plans, positive or negative, and mitigation steps</w:t>
      </w:r>
      <w:r w:rsidRPr="009A3D32" w:rsidR="00CC5CC7">
        <w:rPr>
          <w:rStyle w:val="normaltextrun"/>
          <w:rFonts w:asciiTheme="minorHAnsi" w:hAnsiTheme="minorHAnsi" w:cstheme="minorHAnsi"/>
          <w:sz w:val="22"/>
          <w:szCs w:val="22"/>
        </w:rPr>
        <w:t xml:space="preserve"> or rationale</w:t>
      </w:r>
      <w:r w:rsidRPr="009A3D32" w:rsidR="00C52243">
        <w:rPr>
          <w:rStyle w:val="normaltextrun"/>
          <w:rFonts w:asciiTheme="minorHAnsi" w:hAnsiTheme="minorHAnsi" w:cstheme="minorHAnsi"/>
          <w:sz w:val="22"/>
          <w:szCs w:val="22"/>
        </w:rPr>
        <w:t xml:space="preserve"> </w:t>
      </w:r>
      <w:r w:rsidRPr="009A3D32" w:rsidR="006103F4">
        <w:rPr>
          <w:rStyle w:val="normaltextrun"/>
          <w:rFonts w:asciiTheme="minorHAnsi" w:hAnsiTheme="minorHAnsi" w:cstheme="minorHAnsi"/>
          <w:sz w:val="22"/>
          <w:szCs w:val="22"/>
        </w:rPr>
        <w:t xml:space="preserve">to address variance, </w:t>
      </w:r>
      <w:r w:rsidRPr="009A3D32" w:rsidR="00C52243">
        <w:rPr>
          <w:rStyle w:val="normaltextrun"/>
          <w:rFonts w:asciiTheme="minorHAnsi" w:hAnsiTheme="minorHAnsi" w:cstheme="minorHAnsi"/>
          <w:sz w:val="22"/>
          <w:szCs w:val="22"/>
        </w:rPr>
        <w:t>if needed, should be discussed.</w:t>
      </w:r>
      <w:r w:rsidRPr="009A3D32" w:rsidR="009D2F85">
        <w:rPr>
          <w:rStyle w:val="normaltextrun"/>
          <w:rFonts w:asciiTheme="minorHAnsi" w:hAnsiTheme="minorHAnsi" w:cstheme="minorHAnsi"/>
          <w:sz w:val="22"/>
          <w:szCs w:val="22"/>
        </w:rPr>
        <w:t xml:space="preserve"> If actuals are not available due to </w:t>
      </w:r>
      <w:r w:rsidRPr="009A3D32" w:rsidR="00311CB7">
        <w:rPr>
          <w:rStyle w:val="normaltextrun"/>
          <w:rFonts w:asciiTheme="minorHAnsi" w:hAnsiTheme="minorHAnsi" w:cstheme="minorHAnsi"/>
          <w:sz w:val="22"/>
          <w:szCs w:val="22"/>
        </w:rPr>
        <w:t xml:space="preserve">the organization’s internal accounting </w:t>
      </w:r>
      <w:r w:rsidRPr="009A3D32" w:rsidR="00A94D24">
        <w:rPr>
          <w:rStyle w:val="normaltextrun"/>
          <w:rFonts w:asciiTheme="minorHAnsi" w:hAnsiTheme="minorHAnsi" w:cstheme="minorHAnsi"/>
          <w:sz w:val="22"/>
          <w:szCs w:val="22"/>
        </w:rPr>
        <w:t>reporting cycles, “estimated actuals” should be used.</w:t>
      </w:r>
      <w:r w:rsidR="00501DEF">
        <w:rPr>
          <w:rStyle w:val="normaltextrun"/>
          <w:rFonts w:asciiTheme="minorHAnsi" w:hAnsiTheme="minorHAnsi" w:cstheme="minorHAnsi"/>
          <w:sz w:val="22"/>
          <w:szCs w:val="22"/>
        </w:rPr>
        <w:t xml:space="preserve"> </w:t>
      </w:r>
      <w:r w:rsidRPr="009A3D32" w:rsidR="006970D0">
        <w:rPr>
          <w:rStyle w:val="normaltextrun"/>
          <w:rFonts w:asciiTheme="minorHAnsi" w:hAnsiTheme="minorHAnsi" w:cstheme="minorHAnsi"/>
          <w:sz w:val="22"/>
          <w:szCs w:val="22"/>
        </w:rPr>
        <w:t xml:space="preserve">For each </w:t>
      </w:r>
      <w:r w:rsidRPr="009A3D32" w:rsidR="008B7FD9">
        <w:rPr>
          <w:rStyle w:val="normaltextrun"/>
          <w:rFonts w:asciiTheme="minorHAnsi" w:hAnsiTheme="minorHAnsi" w:cstheme="minorHAnsi"/>
          <w:sz w:val="22"/>
          <w:szCs w:val="22"/>
        </w:rPr>
        <w:t xml:space="preserve">noted </w:t>
      </w:r>
      <w:r w:rsidRPr="009A3D32" w:rsidR="00916A5A">
        <w:rPr>
          <w:rStyle w:val="normaltextrun"/>
          <w:rFonts w:asciiTheme="minorHAnsi" w:hAnsiTheme="minorHAnsi" w:cstheme="minorHAnsi"/>
          <w:sz w:val="22"/>
          <w:szCs w:val="22"/>
        </w:rPr>
        <w:t>budgeted</w:t>
      </w:r>
      <w:r w:rsidRPr="009A3D32" w:rsidR="008B7FD9">
        <w:rPr>
          <w:rStyle w:val="normaltextrun"/>
          <w:rFonts w:asciiTheme="minorHAnsi" w:hAnsiTheme="minorHAnsi" w:cstheme="minorHAnsi"/>
          <w:sz w:val="22"/>
          <w:szCs w:val="22"/>
        </w:rPr>
        <w:t xml:space="preserve"> item, </w:t>
      </w:r>
      <w:r w:rsidRPr="009A3D32" w:rsidR="00565A1F">
        <w:rPr>
          <w:rStyle w:val="normaltextrun"/>
          <w:rFonts w:asciiTheme="minorHAnsi" w:hAnsiTheme="minorHAnsi" w:cstheme="minorHAnsi"/>
          <w:sz w:val="22"/>
          <w:szCs w:val="22"/>
        </w:rPr>
        <w:t xml:space="preserve">provide </w:t>
      </w:r>
      <w:r w:rsidRPr="009A3D32" w:rsidR="00926145">
        <w:rPr>
          <w:rStyle w:val="normaltextrun"/>
          <w:rFonts w:asciiTheme="minorHAnsi" w:hAnsiTheme="minorHAnsi" w:cstheme="minorHAnsi"/>
          <w:sz w:val="22"/>
          <w:szCs w:val="22"/>
        </w:rPr>
        <w:t>up to two paragraphs explanation.</w:t>
      </w:r>
      <w:r w:rsidRPr="009A3D32" w:rsidR="00584DB3">
        <w:rPr>
          <w:rStyle w:val="normaltextrun"/>
          <w:rFonts w:asciiTheme="minorHAnsi" w:hAnsiTheme="minorHAnsi" w:cstheme="minorHAnsi"/>
          <w:sz w:val="22"/>
          <w:szCs w:val="22"/>
        </w:rPr>
        <w:t>&gt;&gt;</w:t>
      </w:r>
    </w:p>
    <w:p w:rsidR="00320C96" w:rsidRPr="009A3D32" w:rsidP="000F6614" w14:paraId="7DD82F7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3AADB89D" w:rsidP="3AADB89D" w14:paraId="1D0D9C0B" w14:textId="10266C9A">
      <w:pPr>
        <w:pStyle w:val="paragraph"/>
        <w:spacing w:before="0" w:beforeAutospacing="0" w:after="0" w:afterAutospacing="0"/>
        <w:rPr>
          <w:rStyle w:val="normaltextrun"/>
          <w:rFonts w:asciiTheme="minorHAnsi" w:hAnsiTheme="minorHAnsi" w:cstheme="minorBidi"/>
          <w:b/>
          <w:bCs/>
          <w:sz w:val="22"/>
          <w:szCs w:val="22"/>
        </w:rPr>
      </w:pPr>
    </w:p>
    <w:p w:rsidR="3AADB89D" w:rsidP="3AADB89D" w14:paraId="4F4A85C8" w14:textId="6AEE64BC">
      <w:pPr>
        <w:pStyle w:val="paragraph"/>
        <w:spacing w:before="0" w:beforeAutospacing="0" w:after="0" w:afterAutospacing="0"/>
        <w:rPr>
          <w:rStyle w:val="normaltextrun"/>
          <w:rFonts w:asciiTheme="minorHAnsi" w:hAnsiTheme="minorHAnsi" w:cstheme="minorBidi"/>
          <w:b/>
          <w:bCs/>
          <w:sz w:val="22"/>
          <w:szCs w:val="22"/>
        </w:rPr>
      </w:pPr>
    </w:p>
    <w:p w:rsidR="3AADB89D" w:rsidP="3AADB89D" w14:paraId="58C3BC5B" w14:textId="215EDFDF">
      <w:pPr>
        <w:pStyle w:val="paragraph"/>
        <w:spacing w:before="0" w:beforeAutospacing="0" w:after="0" w:afterAutospacing="0"/>
        <w:rPr>
          <w:rStyle w:val="normaltextrun"/>
          <w:rFonts w:asciiTheme="minorHAnsi" w:hAnsiTheme="minorHAnsi" w:cstheme="minorBidi"/>
          <w:b/>
          <w:bCs/>
          <w:sz w:val="22"/>
          <w:szCs w:val="22"/>
        </w:rPr>
      </w:pPr>
    </w:p>
    <w:p w:rsidR="3AADB89D" w:rsidP="3AADB89D" w14:paraId="5E558090" w14:textId="5B8658BC">
      <w:pPr>
        <w:pStyle w:val="paragraph"/>
        <w:spacing w:before="0" w:beforeAutospacing="0" w:after="0" w:afterAutospacing="0"/>
        <w:rPr>
          <w:rStyle w:val="normaltextrun"/>
          <w:rFonts w:asciiTheme="minorHAnsi" w:hAnsiTheme="minorHAnsi" w:cstheme="minorBidi"/>
          <w:b/>
          <w:bCs/>
          <w:sz w:val="22"/>
          <w:szCs w:val="22"/>
        </w:rPr>
      </w:pPr>
    </w:p>
    <w:p w:rsidR="3AADB89D" w:rsidP="3AADB89D" w14:paraId="6377CC6B" w14:textId="4293779A">
      <w:pPr>
        <w:pStyle w:val="paragraph"/>
        <w:spacing w:before="0" w:beforeAutospacing="0" w:after="0" w:afterAutospacing="0"/>
        <w:rPr>
          <w:rStyle w:val="normaltextrun"/>
          <w:rFonts w:asciiTheme="minorHAnsi" w:hAnsiTheme="minorHAnsi" w:cstheme="minorBidi"/>
          <w:b/>
          <w:bCs/>
          <w:sz w:val="22"/>
          <w:szCs w:val="22"/>
        </w:rPr>
      </w:pPr>
    </w:p>
    <w:p w:rsidR="3AADB89D" w:rsidP="3AADB89D" w14:paraId="177A7C7B" w14:textId="72157030">
      <w:pPr>
        <w:pStyle w:val="paragraph"/>
        <w:spacing w:before="0" w:beforeAutospacing="0" w:after="0" w:afterAutospacing="0"/>
        <w:rPr>
          <w:rStyle w:val="normaltextrun"/>
          <w:rFonts w:asciiTheme="minorHAnsi" w:hAnsiTheme="minorHAnsi" w:cstheme="minorBidi"/>
          <w:b/>
          <w:bCs/>
          <w:sz w:val="22"/>
          <w:szCs w:val="22"/>
        </w:rPr>
      </w:pPr>
    </w:p>
    <w:p w:rsidR="00A734C2" w:rsidRPr="000279C2" w:rsidP="000F6614" w14:paraId="5C6155CB" w14:textId="39FEC4FF">
      <w:pPr>
        <w:pStyle w:val="paragraph"/>
        <w:spacing w:before="0" w:beforeAutospacing="0" w:after="0" w:afterAutospacing="0"/>
        <w:textAlignment w:val="baseline"/>
        <w:rPr>
          <w:rStyle w:val="normaltextrun"/>
          <w:rFonts w:asciiTheme="minorHAnsi" w:hAnsiTheme="minorHAnsi" w:cstheme="minorHAnsi"/>
          <w:b/>
          <w:sz w:val="22"/>
          <w:szCs w:val="22"/>
        </w:rPr>
      </w:pPr>
      <w:r w:rsidRPr="000279C2">
        <w:rPr>
          <w:rStyle w:val="normaltextrun"/>
          <w:rFonts w:asciiTheme="minorHAnsi" w:hAnsiTheme="minorHAnsi" w:cstheme="minorHAnsi"/>
          <w:b/>
          <w:sz w:val="22"/>
          <w:szCs w:val="22"/>
        </w:rPr>
        <w:t xml:space="preserve">TABLE OF SIGNIFICANT EXPENDITURES </w:t>
      </w:r>
      <w:r w:rsidRPr="000279C2" w:rsidR="00B74147">
        <w:rPr>
          <w:rStyle w:val="normaltextrun"/>
          <w:rFonts w:asciiTheme="minorHAnsi" w:hAnsiTheme="minorHAnsi" w:cstheme="minorHAnsi"/>
          <w:b/>
          <w:sz w:val="22"/>
          <w:szCs w:val="22"/>
        </w:rPr>
        <w:t>BY NSF COST CATEGORY</w:t>
      </w:r>
    </w:p>
    <w:p w:rsidR="00B74147" w:rsidRPr="009A3D32" w:rsidP="00F547CB" w14:paraId="6729E16B"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tblPr>
      <w:tblGrid>
        <w:gridCol w:w="1462"/>
        <w:gridCol w:w="1728"/>
        <w:gridCol w:w="1518"/>
        <w:gridCol w:w="1259"/>
        <w:gridCol w:w="1809"/>
        <w:gridCol w:w="1564"/>
      </w:tblGrid>
      <w:tr w14:paraId="3A92719C" w14:textId="77777777">
        <w:tblPrEx>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tblPrEx>
        <w:trPr>
          <w:trHeight w:val="620"/>
          <w:jc w:val="center"/>
        </w:trPr>
        <w:tc>
          <w:tcPr>
            <w:tcW w:w="1462" w:type="dxa"/>
            <w:shd w:val="clear" w:color="auto" w:fill="E0E0E0"/>
            <w:vAlign w:val="center"/>
          </w:tcPr>
          <w:p w:rsidR="00B74147" w:rsidRPr="000279C2" w14:paraId="66645558" w14:textId="77777777">
            <w:pPr>
              <w:keepNext/>
              <w:keepLines/>
              <w:tabs>
                <w:tab w:val="left" w:pos="1440"/>
                <w:tab w:val="left" w:pos="6210"/>
              </w:tabs>
              <w:spacing w:after="0"/>
              <w:jc w:val="center"/>
              <w:rPr>
                <w:b/>
                <w:sz w:val="20"/>
                <w:szCs w:val="20"/>
              </w:rPr>
            </w:pPr>
            <w:bookmarkStart w:id="1" w:name="_Hlk17886393"/>
            <w:r w:rsidRPr="000279C2">
              <w:rPr>
                <w:b/>
                <w:sz w:val="20"/>
                <w:szCs w:val="20"/>
              </w:rPr>
              <w:t xml:space="preserve">Budget Expenditure </w:t>
            </w:r>
          </w:p>
          <w:p w:rsidR="00B74147" w:rsidRPr="000279C2" w14:paraId="322B0BDA" w14:textId="77777777">
            <w:pPr>
              <w:keepNext/>
              <w:keepLines/>
              <w:tabs>
                <w:tab w:val="left" w:pos="1440"/>
                <w:tab w:val="left" w:pos="6210"/>
              </w:tabs>
              <w:spacing w:after="0"/>
              <w:jc w:val="center"/>
              <w:rPr>
                <w:b/>
                <w:sz w:val="20"/>
                <w:szCs w:val="20"/>
              </w:rPr>
            </w:pPr>
            <w:r w:rsidRPr="000279C2">
              <w:rPr>
                <w:b/>
                <w:sz w:val="20"/>
                <w:szCs w:val="20"/>
              </w:rPr>
              <w:t>(NSF Budget Cost Category)</w:t>
            </w:r>
          </w:p>
        </w:tc>
        <w:tc>
          <w:tcPr>
            <w:tcW w:w="1728" w:type="dxa"/>
            <w:shd w:val="clear" w:color="auto" w:fill="E0E0E0"/>
            <w:vAlign w:val="center"/>
          </w:tcPr>
          <w:p w:rsidR="00B74147" w:rsidRPr="000279C2" w14:paraId="38727FD7" w14:textId="77777777">
            <w:pPr>
              <w:keepNext/>
              <w:keepLines/>
              <w:tabs>
                <w:tab w:val="left" w:pos="1440"/>
                <w:tab w:val="left" w:pos="6210"/>
              </w:tabs>
              <w:jc w:val="center"/>
              <w:rPr>
                <w:b/>
                <w:sz w:val="20"/>
                <w:szCs w:val="20"/>
              </w:rPr>
            </w:pPr>
            <w:r w:rsidRPr="000279C2">
              <w:rPr>
                <w:b/>
                <w:sz w:val="20"/>
                <w:szCs w:val="20"/>
              </w:rPr>
              <w:t xml:space="preserve">Description </w:t>
            </w:r>
          </w:p>
          <w:p w:rsidR="00B74147" w:rsidRPr="000279C2" w14:paraId="1B9F2630" w14:textId="77777777">
            <w:pPr>
              <w:keepNext/>
              <w:keepLines/>
              <w:tabs>
                <w:tab w:val="left" w:pos="1440"/>
                <w:tab w:val="left" w:pos="6210"/>
              </w:tabs>
              <w:jc w:val="center"/>
              <w:rPr>
                <w:b/>
                <w:sz w:val="20"/>
                <w:szCs w:val="20"/>
              </w:rPr>
            </w:pPr>
          </w:p>
        </w:tc>
        <w:tc>
          <w:tcPr>
            <w:tcW w:w="1518" w:type="dxa"/>
            <w:shd w:val="clear" w:color="auto" w:fill="E0E0E0"/>
            <w:vAlign w:val="center"/>
          </w:tcPr>
          <w:p w:rsidR="00B74147" w:rsidRPr="000279C2" w14:paraId="4388B310" w14:textId="77777777">
            <w:pPr>
              <w:keepNext/>
              <w:keepLines/>
              <w:tabs>
                <w:tab w:val="left" w:pos="1440"/>
                <w:tab w:val="left" w:pos="6210"/>
              </w:tabs>
              <w:jc w:val="center"/>
              <w:rPr>
                <w:b/>
                <w:sz w:val="20"/>
                <w:szCs w:val="20"/>
              </w:rPr>
            </w:pPr>
            <w:r w:rsidRPr="000279C2">
              <w:rPr>
                <w:b/>
                <w:sz w:val="20"/>
                <w:szCs w:val="20"/>
              </w:rPr>
              <w:t>Total Planned Budget for Period ($K)</w:t>
            </w:r>
          </w:p>
        </w:tc>
        <w:tc>
          <w:tcPr>
            <w:tcW w:w="1259" w:type="dxa"/>
            <w:shd w:val="clear" w:color="auto" w:fill="E0E0E0"/>
          </w:tcPr>
          <w:p w:rsidR="00B74147" w:rsidRPr="000279C2" w14:paraId="6E4A4C6B" w14:textId="77777777">
            <w:pPr>
              <w:keepNext/>
              <w:keepLines/>
              <w:tabs>
                <w:tab w:val="left" w:pos="1440"/>
                <w:tab w:val="left" w:pos="6210"/>
              </w:tabs>
              <w:jc w:val="center"/>
              <w:rPr>
                <w:b/>
                <w:sz w:val="20"/>
                <w:szCs w:val="20"/>
              </w:rPr>
            </w:pPr>
            <w:r w:rsidRPr="000279C2">
              <w:rPr>
                <w:b/>
                <w:sz w:val="20"/>
                <w:szCs w:val="20"/>
              </w:rPr>
              <w:t>Total Actual Budget for Period ($K)</w:t>
            </w:r>
          </w:p>
        </w:tc>
        <w:tc>
          <w:tcPr>
            <w:tcW w:w="1809" w:type="dxa"/>
            <w:shd w:val="clear" w:color="auto" w:fill="E0E0E0"/>
          </w:tcPr>
          <w:p w:rsidR="00B74147" w:rsidRPr="000279C2" w14:paraId="33629C62" w14:textId="77777777">
            <w:pPr>
              <w:keepNext/>
              <w:keepLines/>
              <w:tabs>
                <w:tab w:val="left" w:pos="1440"/>
                <w:tab w:val="left" w:pos="6210"/>
              </w:tabs>
              <w:spacing w:after="0"/>
              <w:jc w:val="center"/>
              <w:rPr>
                <w:b/>
                <w:sz w:val="20"/>
                <w:szCs w:val="20"/>
              </w:rPr>
            </w:pPr>
            <w:r w:rsidRPr="000279C2">
              <w:rPr>
                <w:b/>
                <w:sz w:val="20"/>
                <w:szCs w:val="20"/>
              </w:rPr>
              <w:t xml:space="preserve">Variance </w:t>
            </w:r>
          </w:p>
          <w:p w:rsidR="00B74147" w:rsidRPr="000279C2" w14:paraId="69162AA6" w14:textId="77777777">
            <w:pPr>
              <w:keepNext/>
              <w:keepLines/>
              <w:tabs>
                <w:tab w:val="left" w:pos="1440"/>
                <w:tab w:val="left" w:pos="6210"/>
              </w:tabs>
              <w:spacing w:after="0"/>
              <w:jc w:val="center"/>
              <w:rPr>
                <w:b/>
                <w:sz w:val="20"/>
                <w:szCs w:val="20"/>
              </w:rPr>
            </w:pPr>
            <w:r w:rsidRPr="000279C2">
              <w:rPr>
                <w:b/>
                <w:sz w:val="20"/>
                <w:szCs w:val="20"/>
              </w:rPr>
              <w:t>($K)</w:t>
            </w:r>
          </w:p>
        </w:tc>
        <w:tc>
          <w:tcPr>
            <w:tcW w:w="1564" w:type="dxa"/>
            <w:shd w:val="clear" w:color="auto" w:fill="E0E0E0"/>
          </w:tcPr>
          <w:p w:rsidR="00B74147" w:rsidRPr="000279C2" w14:paraId="126F1459" w14:textId="1E4C659A">
            <w:pPr>
              <w:keepNext/>
              <w:keepLines/>
              <w:tabs>
                <w:tab w:val="left" w:pos="1440"/>
                <w:tab w:val="left" w:pos="6210"/>
              </w:tabs>
              <w:spacing w:after="0"/>
              <w:jc w:val="center"/>
              <w:rPr>
                <w:b/>
                <w:sz w:val="20"/>
                <w:szCs w:val="20"/>
              </w:rPr>
            </w:pPr>
            <w:r w:rsidRPr="000279C2">
              <w:rPr>
                <w:b/>
                <w:sz w:val="20"/>
                <w:szCs w:val="20"/>
              </w:rPr>
              <w:t>Mitigation Steps</w:t>
            </w:r>
            <w:r w:rsidR="00CC5CC7">
              <w:rPr>
                <w:b/>
                <w:sz w:val="20"/>
                <w:szCs w:val="20"/>
              </w:rPr>
              <w:t xml:space="preserve"> or Rationale</w:t>
            </w:r>
          </w:p>
          <w:p w:rsidR="00B74147" w:rsidRPr="000279C2" w14:paraId="4A6C5F57" w14:textId="77777777">
            <w:pPr>
              <w:keepNext/>
              <w:keepLines/>
              <w:tabs>
                <w:tab w:val="left" w:pos="1440"/>
                <w:tab w:val="left" w:pos="6210"/>
              </w:tabs>
              <w:spacing w:after="0"/>
              <w:jc w:val="center"/>
              <w:rPr>
                <w:b/>
                <w:sz w:val="20"/>
                <w:szCs w:val="20"/>
              </w:rPr>
            </w:pPr>
          </w:p>
        </w:tc>
      </w:tr>
      <w:tr w14:paraId="00B2482D" w14:textId="77777777">
        <w:tblPrEx>
          <w:tblW w:w="0" w:type="auto"/>
          <w:jc w:val="center"/>
          <w:tblLook w:val="04A0"/>
        </w:tblPrEx>
        <w:trPr>
          <w:trHeight w:val="432"/>
          <w:jc w:val="center"/>
        </w:trPr>
        <w:tc>
          <w:tcPr>
            <w:tcW w:w="1462" w:type="dxa"/>
            <w:shd w:val="clear" w:color="auto" w:fill="F3F3F3"/>
            <w:vAlign w:val="center"/>
          </w:tcPr>
          <w:p w:rsidR="00B74147" w:rsidRPr="000279C2" w14:paraId="1F1D41D2" w14:textId="77777777">
            <w:pPr>
              <w:keepNext/>
              <w:keepLines/>
              <w:tabs>
                <w:tab w:val="left" w:pos="1440"/>
                <w:tab w:val="left" w:pos="6210"/>
              </w:tabs>
              <w:rPr>
                <w:b/>
                <w:sz w:val="20"/>
                <w:szCs w:val="20"/>
              </w:rPr>
            </w:pPr>
          </w:p>
        </w:tc>
        <w:tc>
          <w:tcPr>
            <w:tcW w:w="1728" w:type="dxa"/>
            <w:shd w:val="clear" w:color="auto" w:fill="F3F3F3"/>
            <w:vAlign w:val="center"/>
          </w:tcPr>
          <w:p w:rsidR="00B74147" w:rsidRPr="000279C2" w14:paraId="4072C817" w14:textId="77777777">
            <w:pPr>
              <w:keepNext/>
              <w:keepLines/>
              <w:tabs>
                <w:tab w:val="left" w:pos="1440"/>
                <w:tab w:val="left" w:pos="6210"/>
              </w:tabs>
              <w:rPr>
                <w:b/>
                <w:sz w:val="20"/>
                <w:szCs w:val="20"/>
              </w:rPr>
            </w:pPr>
          </w:p>
        </w:tc>
        <w:tc>
          <w:tcPr>
            <w:tcW w:w="1518" w:type="dxa"/>
            <w:shd w:val="clear" w:color="auto" w:fill="F3F3F3"/>
            <w:vAlign w:val="center"/>
          </w:tcPr>
          <w:p w:rsidR="00B74147" w:rsidRPr="000279C2" w14:paraId="0E72FA0B" w14:textId="77777777">
            <w:pPr>
              <w:keepNext/>
              <w:keepLines/>
              <w:tabs>
                <w:tab w:val="left" w:pos="1440"/>
                <w:tab w:val="left" w:pos="6210"/>
              </w:tabs>
              <w:jc w:val="right"/>
              <w:rPr>
                <w:b/>
                <w:sz w:val="20"/>
                <w:szCs w:val="20"/>
              </w:rPr>
            </w:pPr>
          </w:p>
        </w:tc>
        <w:tc>
          <w:tcPr>
            <w:tcW w:w="1259" w:type="dxa"/>
            <w:shd w:val="clear" w:color="auto" w:fill="F3F3F3"/>
          </w:tcPr>
          <w:p w:rsidR="00B74147" w:rsidRPr="000279C2" w14:paraId="6BEF29BF" w14:textId="77777777">
            <w:pPr>
              <w:keepNext/>
              <w:keepLines/>
              <w:tabs>
                <w:tab w:val="left" w:pos="1440"/>
                <w:tab w:val="left" w:pos="6210"/>
              </w:tabs>
              <w:jc w:val="right"/>
              <w:rPr>
                <w:b/>
                <w:sz w:val="20"/>
                <w:szCs w:val="20"/>
              </w:rPr>
            </w:pPr>
          </w:p>
        </w:tc>
        <w:tc>
          <w:tcPr>
            <w:tcW w:w="1809" w:type="dxa"/>
            <w:shd w:val="clear" w:color="auto" w:fill="F3F3F3"/>
          </w:tcPr>
          <w:p w:rsidR="00B74147" w:rsidRPr="000279C2" w14:paraId="5121759A" w14:textId="77777777">
            <w:pPr>
              <w:keepNext/>
              <w:keepLines/>
              <w:tabs>
                <w:tab w:val="left" w:pos="1440"/>
                <w:tab w:val="left" w:pos="6210"/>
              </w:tabs>
              <w:jc w:val="right"/>
              <w:rPr>
                <w:b/>
                <w:sz w:val="20"/>
                <w:szCs w:val="20"/>
              </w:rPr>
            </w:pPr>
          </w:p>
        </w:tc>
        <w:tc>
          <w:tcPr>
            <w:tcW w:w="1564" w:type="dxa"/>
            <w:shd w:val="clear" w:color="auto" w:fill="F3F3F3"/>
          </w:tcPr>
          <w:p w:rsidR="00B74147" w:rsidRPr="000279C2" w14:paraId="0BA98079" w14:textId="77777777">
            <w:pPr>
              <w:keepNext/>
              <w:keepLines/>
              <w:tabs>
                <w:tab w:val="left" w:pos="1440"/>
                <w:tab w:val="left" w:pos="6210"/>
              </w:tabs>
              <w:jc w:val="right"/>
              <w:rPr>
                <w:b/>
                <w:sz w:val="20"/>
                <w:szCs w:val="20"/>
              </w:rPr>
            </w:pPr>
          </w:p>
        </w:tc>
      </w:tr>
      <w:tr w14:paraId="032B10E1" w14:textId="77777777">
        <w:tblPrEx>
          <w:tblW w:w="0" w:type="auto"/>
          <w:jc w:val="center"/>
          <w:tblLook w:val="04A0"/>
        </w:tblPrEx>
        <w:trPr>
          <w:trHeight w:val="432"/>
          <w:jc w:val="center"/>
        </w:trPr>
        <w:tc>
          <w:tcPr>
            <w:tcW w:w="1462" w:type="dxa"/>
            <w:shd w:val="clear" w:color="auto" w:fill="auto"/>
            <w:vAlign w:val="center"/>
            <w:hideMark/>
          </w:tcPr>
          <w:p w:rsidR="00B74147" w:rsidRPr="000279C2" w14:paraId="52878BE3" w14:textId="77777777">
            <w:pPr>
              <w:pStyle w:val="Style"/>
              <w:ind w:right="119"/>
              <w:rPr>
                <w:sz w:val="20"/>
                <w:szCs w:val="20"/>
              </w:rPr>
            </w:pPr>
          </w:p>
        </w:tc>
        <w:tc>
          <w:tcPr>
            <w:tcW w:w="1728" w:type="dxa"/>
            <w:shd w:val="clear" w:color="auto" w:fill="auto"/>
            <w:vAlign w:val="center"/>
            <w:hideMark/>
          </w:tcPr>
          <w:p w:rsidR="00B74147" w:rsidRPr="000279C2" w14:paraId="350E5D62" w14:textId="77777777">
            <w:pPr>
              <w:pStyle w:val="Style"/>
              <w:rPr>
                <w:sz w:val="20"/>
                <w:szCs w:val="20"/>
              </w:rPr>
            </w:pPr>
          </w:p>
        </w:tc>
        <w:tc>
          <w:tcPr>
            <w:tcW w:w="1518" w:type="dxa"/>
            <w:shd w:val="clear" w:color="auto" w:fill="auto"/>
            <w:vAlign w:val="center"/>
          </w:tcPr>
          <w:p w:rsidR="00B74147" w:rsidRPr="000279C2" w14:paraId="03213659" w14:textId="77777777">
            <w:pPr>
              <w:keepNext/>
              <w:keepLines/>
              <w:tabs>
                <w:tab w:val="left" w:pos="1440"/>
                <w:tab w:val="left" w:pos="6210"/>
              </w:tabs>
              <w:jc w:val="right"/>
              <w:rPr>
                <w:sz w:val="20"/>
                <w:szCs w:val="20"/>
              </w:rPr>
            </w:pPr>
          </w:p>
        </w:tc>
        <w:tc>
          <w:tcPr>
            <w:tcW w:w="1259" w:type="dxa"/>
          </w:tcPr>
          <w:p w:rsidR="00B74147" w:rsidRPr="000279C2" w14:paraId="2C2E9B39" w14:textId="77777777">
            <w:pPr>
              <w:keepNext/>
              <w:keepLines/>
              <w:tabs>
                <w:tab w:val="left" w:pos="1440"/>
                <w:tab w:val="left" w:pos="6210"/>
              </w:tabs>
              <w:jc w:val="right"/>
              <w:rPr>
                <w:sz w:val="20"/>
                <w:szCs w:val="20"/>
              </w:rPr>
            </w:pPr>
          </w:p>
        </w:tc>
        <w:tc>
          <w:tcPr>
            <w:tcW w:w="1809" w:type="dxa"/>
          </w:tcPr>
          <w:p w:rsidR="00B74147" w:rsidRPr="000279C2" w14:paraId="1305979A" w14:textId="77777777">
            <w:pPr>
              <w:keepNext/>
              <w:keepLines/>
              <w:tabs>
                <w:tab w:val="left" w:pos="1440"/>
                <w:tab w:val="left" w:pos="6210"/>
              </w:tabs>
              <w:jc w:val="right"/>
              <w:rPr>
                <w:sz w:val="20"/>
                <w:szCs w:val="20"/>
              </w:rPr>
            </w:pPr>
          </w:p>
        </w:tc>
        <w:tc>
          <w:tcPr>
            <w:tcW w:w="1564" w:type="dxa"/>
          </w:tcPr>
          <w:p w:rsidR="00B74147" w:rsidRPr="000279C2" w14:paraId="5895BAC6" w14:textId="77777777">
            <w:pPr>
              <w:keepNext/>
              <w:keepLines/>
              <w:tabs>
                <w:tab w:val="left" w:pos="1440"/>
                <w:tab w:val="left" w:pos="6210"/>
              </w:tabs>
              <w:jc w:val="right"/>
              <w:rPr>
                <w:sz w:val="20"/>
                <w:szCs w:val="20"/>
              </w:rPr>
            </w:pPr>
          </w:p>
        </w:tc>
      </w:tr>
      <w:tr w14:paraId="518F23ED" w14:textId="77777777">
        <w:tblPrEx>
          <w:tblW w:w="0" w:type="auto"/>
          <w:jc w:val="center"/>
          <w:tblLook w:val="04A0"/>
        </w:tblPrEx>
        <w:trPr>
          <w:trHeight w:val="432"/>
          <w:jc w:val="center"/>
        </w:trPr>
        <w:tc>
          <w:tcPr>
            <w:tcW w:w="1462" w:type="dxa"/>
            <w:shd w:val="clear" w:color="auto" w:fill="F2F2F2" w:themeFill="background1" w:themeFillShade="F2"/>
            <w:vAlign w:val="center"/>
          </w:tcPr>
          <w:p w:rsidR="00B74147" w:rsidRPr="000279C2" w14:paraId="26333E23" w14:textId="77777777">
            <w:pPr>
              <w:pStyle w:val="Style"/>
              <w:ind w:right="119"/>
              <w:rPr>
                <w:sz w:val="20"/>
                <w:szCs w:val="20"/>
              </w:rPr>
            </w:pPr>
          </w:p>
        </w:tc>
        <w:tc>
          <w:tcPr>
            <w:tcW w:w="1728" w:type="dxa"/>
            <w:shd w:val="clear" w:color="auto" w:fill="F2F2F2" w:themeFill="background1" w:themeFillShade="F2"/>
            <w:vAlign w:val="center"/>
          </w:tcPr>
          <w:p w:rsidR="00B74147" w:rsidRPr="000279C2" w14:paraId="16E3999D" w14:textId="77777777">
            <w:pPr>
              <w:pStyle w:val="Style"/>
              <w:rPr>
                <w:sz w:val="20"/>
                <w:szCs w:val="20"/>
              </w:rPr>
            </w:pPr>
          </w:p>
        </w:tc>
        <w:tc>
          <w:tcPr>
            <w:tcW w:w="1518" w:type="dxa"/>
            <w:shd w:val="clear" w:color="auto" w:fill="F2F2F2" w:themeFill="background1" w:themeFillShade="F2"/>
            <w:vAlign w:val="center"/>
          </w:tcPr>
          <w:p w:rsidR="00B74147" w:rsidRPr="000279C2" w14:paraId="3488DECC" w14:textId="77777777">
            <w:pPr>
              <w:keepNext/>
              <w:keepLines/>
              <w:tabs>
                <w:tab w:val="left" w:pos="1440"/>
                <w:tab w:val="left" w:pos="6210"/>
              </w:tabs>
              <w:jc w:val="right"/>
              <w:rPr>
                <w:sz w:val="20"/>
                <w:szCs w:val="20"/>
              </w:rPr>
            </w:pPr>
          </w:p>
        </w:tc>
        <w:tc>
          <w:tcPr>
            <w:tcW w:w="1259" w:type="dxa"/>
            <w:shd w:val="clear" w:color="auto" w:fill="F2F2F2" w:themeFill="background1" w:themeFillShade="F2"/>
          </w:tcPr>
          <w:p w:rsidR="00B74147" w:rsidRPr="000279C2" w14:paraId="01D80BE2" w14:textId="77777777">
            <w:pPr>
              <w:keepNext/>
              <w:keepLines/>
              <w:tabs>
                <w:tab w:val="left" w:pos="1440"/>
                <w:tab w:val="left" w:pos="6210"/>
              </w:tabs>
              <w:jc w:val="right"/>
              <w:rPr>
                <w:sz w:val="20"/>
                <w:szCs w:val="20"/>
              </w:rPr>
            </w:pPr>
          </w:p>
        </w:tc>
        <w:tc>
          <w:tcPr>
            <w:tcW w:w="1809" w:type="dxa"/>
            <w:shd w:val="clear" w:color="auto" w:fill="F2F2F2" w:themeFill="background1" w:themeFillShade="F2"/>
          </w:tcPr>
          <w:p w:rsidR="00B74147" w:rsidRPr="000279C2" w14:paraId="584C936C" w14:textId="77777777">
            <w:pPr>
              <w:keepNext/>
              <w:keepLines/>
              <w:tabs>
                <w:tab w:val="left" w:pos="1440"/>
                <w:tab w:val="left" w:pos="6210"/>
              </w:tabs>
              <w:jc w:val="right"/>
              <w:rPr>
                <w:sz w:val="20"/>
                <w:szCs w:val="20"/>
              </w:rPr>
            </w:pPr>
          </w:p>
        </w:tc>
        <w:tc>
          <w:tcPr>
            <w:tcW w:w="1564" w:type="dxa"/>
            <w:shd w:val="clear" w:color="auto" w:fill="F2F2F2" w:themeFill="background1" w:themeFillShade="F2"/>
          </w:tcPr>
          <w:p w:rsidR="00B74147" w:rsidRPr="000279C2" w14:paraId="0CC08A87" w14:textId="77777777">
            <w:pPr>
              <w:keepNext/>
              <w:keepLines/>
              <w:tabs>
                <w:tab w:val="left" w:pos="1440"/>
                <w:tab w:val="left" w:pos="6210"/>
              </w:tabs>
              <w:jc w:val="right"/>
              <w:rPr>
                <w:sz w:val="20"/>
                <w:szCs w:val="20"/>
              </w:rPr>
            </w:pPr>
          </w:p>
        </w:tc>
      </w:tr>
      <w:tr w14:paraId="346DD69B" w14:textId="77777777">
        <w:tblPrEx>
          <w:tblW w:w="0" w:type="auto"/>
          <w:jc w:val="center"/>
          <w:tblLook w:val="04A0"/>
        </w:tblPrEx>
        <w:trPr>
          <w:trHeight w:val="432"/>
          <w:jc w:val="center"/>
        </w:trPr>
        <w:tc>
          <w:tcPr>
            <w:tcW w:w="1462" w:type="dxa"/>
            <w:shd w:val="clear" w:color="auto" w:fill="auto"/>
            <w:vAlign w:val="center"/>
            <w:hideMark/>
          </w:tcPr>
          <w:p w:rsidR="00B74147" w:rsidRPr="000279C2" w14:paraId="7B620E7D" w14:textId="77777777">
            <w:pPr>
              <w:keepNext/>
              <w:keepLines/>
              <w:tabs>
                <w:tab w:val="left" w:pos="1440"/>
                <w:tab w:val="left" w:pos="6210"/>
              </w:tabs>
              <w:rPr>
                <w:sz w:val="20"/>
                <w:szCs w:val="20"/>
              </w:rPr>
            </w:pPr>
          </w:p>
        </w:tc>
        <w:tc>
          <w:tcPr>
            <w:tcW w:w="1728" w:type="dxa"/>
            <w:shd w:val="clear" w:color="auto" w:fill="auto"/>
            <w:vAlign w:val="center"/>
            <w:hideMark/>
          </w:tcPr>
          <w:p w:rsidR="00B74147" w:rsidRPr="000279C2" w14:paraId="7BD2D7FA" w14:textId="77777777">
            <w:pPr>
              <w:rPr>
                <w:sz w:val="20"/>
                <w:szCs w:val="20"/>
              </w:rPr>
            </w:pPr>
          </w:p>
        </w:tc>
        <w:tc>
          <w:tcPr>
            <w:tcW w:w="1518" w:type="dxa"/>
            <w:shd w:val="clear" w:color="auto" w:fill="auto"/>
            <w:vAlign w:val="center"/>
          </w:tcPr>
          <w:p w:rsidR="00B74147" w:rsidRPr="000279C2" w14:paraId="62B49AB6" w14:textId="77777777">
            <w:pPr>
              <w:keepNext/>
              <w:keepLines/>
              <w:tabs>
                <w:tab w:val="left" w:pos="1440"/>
                <w:tab w:val="left" w:pos="6210"/>
              </w:tabs>
              <w:jc w:val="right"/>
              <w:rPr>
                <w:sz w:val="20"/>
                <w:szCs w:val="20"/>
              </w:rPr>
            </w:pPr>
          </w:p>
        </w:tc>
        <w:tc>
          <w:tcPr>
            <w:tcW w:w="1259" w:type="dxa"/>
          </w:tcPr>
          <w:p w:rsidR="00B74147" w:rsidRPr="000279C2" w14:paraId="45A032ED" w14:textId="77777777">
            <w:pPr>
              <w:keepNext/>
              <w:keepLines/>
              <w:tabs>
                <w:tab w:val="left" w:pos="1440"/>
                <w:tab w:val="left" w:pos="6210"/>
              </w:tabs>
              <w:jc w:val="right"/>
              <w:rPr>
                <w:sz w:val="20"/>
                <w:szCs w:val="20"/>
              </w:rPr>
            </w:pPr>
          </w:p>
        </w:tc>
        <w:tc>
          <w:tcPr>
            <w:tcW w:w="1809" w:type="dxa"/>
          </w:tcPr>
          <w:p w:rsidR="00B74147" w:rsidRPr="000279C2" w14:paraId="2DCE7CC6" w14:textId="77777777">
            <w:pPr>
              <w:keepNext/>
              <w:keepLines/>
              <w:tabs>
                <w:tab w:val="left" w:pos="1440"/>
                <w:tab w:val="left" w:pos="6210"/>
              </w:tabs>
              <w:jc w:val="right"/>
              <w:rPr>
                <w:sz w:val="20"/>
                <w:szCs w:val="20"/>
              </w:rPr>
            </w:pPr>
          </w:p>
        </w:tc>
        <w:tc>
          <w:tcPr>
            <w:tcW w:w="1564" w:type="dxa"/>
          </w:tcPr>
          <w:p w:rsidR="00B74147" w:rsidRPr="000279C2" w14:paraId="65958720" w14:textId="77777777">
            <w:pPr>
              <w:keepNext/>
              <w:keepLines/>
              <w:tabs>
                <w:tab w:val="left" w:pos="1440"/>
                <w:tab w:val="left" w:pos="6210"/>
              </w:tabs>
              <w:jc w:val="right"/>
              <w:rPr>
                <w:sz w:val="20"/>
                <w:szCs w:val="20"/>
              </w:rPr>
            </w:pPr>
          </w:p>
        </w:tc>
      </w:tr>
      <w:bookmarkEnd w:id="1"/>
    </w:tbl>
    <w:p w:rsidR="00B74147" w:rsidRPr="000279C2" w:rsidP="000F6614" w14:paraId="67865BA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20C96" w:rsidRPr="000279C2" w:rsidP="000F6614" w14:paraId="71CCEE1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F6614" w:rsidRPr="000279C2" w:rsidP="74AF1011" w14:paraId="32BBDA2C" w14:textId="500026E0">
      <w:pPr>
        <w:pStyle w:val="paragraph"/>
        <w:spacing w:before="0" w:beforeAutospacing="0" w:after="0" w:afterAutospacing="0"/>
        <w:textAlignment w:val="baseline"/>
        <w:rPr>
          <w:rStyle w:val="normaltextrun"/>
          <w:rFonts w:asciiTheme="minorHAnsi" w:hAnsiTheme="minorHAnsi" w:cstheme="minorBidi"/>
          <w:b/>
          <w:bCs/>
          <w:sz w:val="22"/>
          <w:szCs w:val="22"/>
        </w:rPr>
      </w:pPr>
      <w:r w:rsidRPr="74AF1011">
        <w:rPr>
          <w:rStyle w:val="normaltextrun"/>
          <w:rFonts w:asciiTheme="minorHAnsi" w:hAnsiTheme="minorHAnsi" w:cstheme="minorBidi"/>
          <w:b/>
          <w:bCs/>
          <w:sz w:val="22"/>
          <w:szCs w:val="22"/>
        </w:rPr>
        <w:t xml:space="preserve">TABLE OF SIGNIFICANT EXPENDITURES </w:t>
      </w:r>
      <w:r w:rsidRPr="74AF1011" w:rsidR="00564B9F">
        <w:rPr>
          <w:rStyle w:val="normaltextrun"/>
          <w:rFonts w:asciiTheme="minorHAnsi" w:hAnsiTheme="minorHAnsi" w:cstheme="minorBidi"/>
          <w:b/>
          <w:bCs/>
          <w:sz w:val="22"/>
          <w:szCs w:val="22"/>
        </w:rPr>
        <w:t xml:space="preserve">BY </w:t>
      </w:r>
      <w:r w:rsidRPr="74AF1011" w:rsidR="002F39F5">
        <w:rPr>
          <w:rStyle w:val="normaltextrun"/>
          <w:rFonts w:asciiTheme="minorHAnsi" w:hAnsiTheme="minorHAnsi" w:cstheme="minorBidi"/>
          <w:b/>
          <w:bCs/>
          <w:sz w:val="22"/>
          <w:szCs w:val="22"/>
        </w:rPr>
        <w:t>ENGINE CORE FUNCTION</w:t>
      </w:r>
    </w:p>
    <w:p w:rsidR="001B4464" w:rsidRPr="009A3D32" w:rsidP="001B4464" w14:paraId="52B5EBC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tblPr>
      <w:tblGrid>
        <w:gridCol w:w="1462"/>
        <w:gridCol w:w="1728"/>
        <w:gridCol w:w="1518"/>
        <w:gridCol w:w="1259"/>
        <w:gridCol w:w="1809"/>
        <w:gridCol w:w="1564"/>
      </w:tblGrid>
      <w:tr w14:paraId="0DF454BA" w14:textId="77777777">
        <w:tblPrEx>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tblPrEx>
        <w:trPr>
          <w:trHeight w:val="620"/>
          <w:jc w:val="center"/>
        </w:trPr>
        <w:tc>
          <w:tcPr>
            <w:tcW w:w="1462" w:type="dxa"/>
            <w:shd w:val="clear" w:color="auto" w:fill="E0E0E0"/>
            <w:vAlign w:val="center"/>
          </w:tcPr>
          <w:p w:rsidR="001B4464" w:rsidRPr="000279C2" w14:paraId="65D9031E" w14:textId="3EC59BCD">
            <w:pPr>
              <w:keepNext/>
              <w:keepLines/>
              <w:tabs>
                <w:tab w:val="left" w:pos="1440"/>
                <w:tab w:val="left" w:pos="6210"/>
              </w:tabs>
              <w:spacing w:after="0"/>
              <w:jc w:val="center"/>
              <w:rPr>
                <w:b/>
                <w:sz w:val="20"/>
                <w:szCs w:val="20"/>
              </w:rPr>
            </w:pPr>
            <w:r w:rsidRPr="000279C2">
              <w:rPr>
                <w:b/>
                <w:sz w:val="20"/>
                <w:szCs w:val="20"/>
              </w:rPr>
              <w:t>Budget Expenditure</w:t>
            </w:r>
            <w:r w:rsidR="004E11E5">
              <w:rPr>
                <w:b/>
                <w:sz w:val="20"/>
                <w:szCs w:val="20"/>
              </w:rPr>
              <w:t xml:space="preserve"> by Core Function</w:t>
            </w:r>
            <w:r w:rsidRPr="000279C2">
              <w:rPr>
                <w:b/>
                <w:sz w:val="20"/>
                <w:szCs w:val="20"/>
              </w:rPr>
              <w:t xml:space="preserve"> </w:t>
            </w:r>
          </w:p>
        </w:tc>
        <w:tc>
          <w:tcPr>
            <w:tcW w:w="1728" w:type="dxa"/>
            <w:shd w:val="clear" w:color="auto" w:fill="E0E0E0"/>
            <w:vAlign w:val="center"/>
          </w:tcPr>
          <w:p w:rsidR="001B4464" w:rsidRPr="000279C2" w14:paraId="5159816B" w14:textId="338DF46F">
            <w:pPr>
              <w:keepNext/>
              <w:keepLines/>
              <w:tabs>
                <w:tab w:val="left" w:pos="1440"/>
                <w:tab w:val="left" w:pos="6210"/>
              </w:tabs>
              <w:jc w:val="center"/>
              <w:rPr>
                <w:b/>
                <w:sz w:val="20"/>
                <w:szCs w:val="20"/>
              </w:rPr>
            </w:pPr>
            <w:r w:rsidRPr="000279C2">
              <w:rPr>
                <w:b/>
                <w:sz w:val="20"/>
                <w:szCs w:val="20"/>
              </w:rPr>
              <w:t>Description</w:t>
            </w:r>
            <w:r w:rsidR="00502316">
              <w:rPr>
                <w:b/>
                <w:sz w:val="20"/>
                <w:szCs w:val="20"/>
              </w:rPr>
              <w:t>*</w:t>
            </w:r>
            <w:r w:rsidR="00832442">
              <w:rPr>
                <w:b/>
                <w:sz w:val="20"/>
                <w:szCs w:val="20"/>
              </w:rPr>
              <w:t>*</w:t>
            </w:r>
          </w:p>
          <w:p w:rsidR="001B4464" w:rsidRPr="000279C2" w14:paraId="71C6D8CF" w14:textId="77777777">
            <w:pPr>
              <w:keepNext/>
              <w:keepLines/>
              <w:tabs>
                <w:tab w:val="left" w:pos="1440"/>
                <w:tab w:val="left" w:pos="6210"/>
              </w:tabs>
              <w:jc w:val="center"/>
              <w:rPr>
                <w:b/>
                <w:sz w:val="20"/>
                <w:szCs w:val="20"/>
              </w:rPr>
            </w:pPr>
          </w:p>
        </w:tc>
        <w:tc>
          <w:tcPr>
            <w:tcW w:w="1518" w:type="dxa"/>
            <w:shd w:val="clear" w:color="auto" w:fill="E0E0E0"/>
            <w:vAlign w:val="center"/>
          </w:tcPr>
          <w:p w:rsidR="001B4464" w:rsidRPr="000279C2" w14:paraId="74786F76" w14:textId="77777777">
            <w:pPr>
              <w:keepNext/>
              <w:keepLines/>
              <w:tabs>
                <w:tab w:val="left" w:pos="1440"/>
                <w:tab w:val="left" w:pos="6210"/>
              </w:tabs>
              <w:jc w:val="center"/>
              <w:rPr>
                <w:b/>
                <w:sz w:val="20"/>
                <w:szCs w:val="20"/>
              </w:rPr>
            </w:pPr>
            <w:r w:rsidRPr="000279C2">
              <w:rPr>
                <w:b/>
                <w:sz w:val="20"/>
                <w:szCs w:val="20"/>
              </w:rPr>
              <w:t>Total Planned Budget for Period ($K)</w:t>
            </w:r>
          </w:p>
        </w:tc>
        <w:tc>
          <w:tcPr>
            <w:tcW w:w="1259" w:type="dxa"/>
            <w:shd w:val="clear" w:color="auto" w:fill="E0E0E0"/>
          </w:tcPr>
          <w:p w:rsidR="001B4464" w:rsidRPr="000279C2" w14:paraId="4B590238" w14:textId="77777777">
            <w:pPr>
              <w:keepNext/>
              <w:keepLines/>
              <w:tabs>
                <w:tab w:val="left" w:pos="1440"/>
                <w:tab w:val="left" w:pos="6210"/>
              </w:tabs>
              <w:jc w:val="center"/>
              <w:rPr>
                <w:b/>
                <w:sz w:val="20"/>
                <w:szCs w:val="20"/>
              </w:rPr>
            </w:pPr>
            <w:r w:rsidRPr="000279C2">
              <w:rPr>
                <w:b/>
                <w:sz w:val="20"/>
                <w:szCs w:val="20"/>
              </w:rPr>
              <w:t>Total Actual Budget for Period ($K)</w:t>
            </w:r>
          </w:p>
        </w:tc>
        <w:tc>
          <w:tcPr>
            <w:tcW w:w="1809" w:type="dxa"/>
            <w:shd w:val="clear" w:color="auto" w:fill="E0E0E0"/>
          </w:tcPr>
          <w:p w:rsidR="001B4464" w:rsidRPr="000279C2" w14:paraId="30B6FE07" w14:textId="77777777">
            <w:pPr>
              <w:keepNext/>
              <w:keepLines/>
              <w:tabs>
                <w:tab w:val="left" w:pos="1440"/>
                <w:tab w:val="left" w:pos="6210"/>
              </w:tabs>
              <w:spacing w:after="0"/>
              <w:jc w:val="center"/>
              <w:rPr>
                <w:b/>
                <w:sz w:val="20"/>
                <w:szCs w:val="20"/>
              </w:rPr>
            </w:pPr>
            <w:r w:rsidRPr="000279C2">
              <w:rPr>
                <w:b/>
                <w:sz w:val="20"/>
                <w:szCs w:val="20"/>
              </w:rPr>
              <w:t xml:space="preserve">Variance </w:t>
            </w:r>
          </w:p>
          <w:p w:rsidR="001B4464" w:rsidRPr="000279C2" w14:paraId="773C2AA8" w14:textId="77777777">
            <w:pPr>
              <w:keepNext/>
              <w:keepLines/>
              <w:tabs>
                <w:tab w:val="left" w:pos="1440"/>
                <w:tab w:val="left" w:pos="6210"/>
              </w:tabs>
              <w:spacing w:after="0"/>
              <w:jc w:val="center"/>
              <w:rPr>
                <w:b/>
                <w:sz w:val="20"/>
                <w:szCs w:val="20"/>
              </w:rPr>
            </w:pPr>
            <w:r w:rsidRPr="000279C2">
              <w:rPr>
                <w:b/>
                <w:sz w:val="20"/>
                <w:szCs w:val="20"/>
              </w:rPr>
              <w:t>($K)</w:t>
            </w:r>
          </w:p>
        </w:tc>
        <w:tc>
          <w:tcPr>
            <w:tcW w:w="1564" w:type="dxa"/>
            <w:shd w:val="clear" w:color="auto" w:fill="E0E0E0"/>
          </w:tcPr>
          <w:p w:rsidR="001B4464" w:rsidRPr="000279C2" w14:paraId="5A3D603F" w14:textId="3C5BB4AB">
            <w:pPr>
              <w:keepNext/>
              <w:keepLines/>
              <w:tabs>
                <w:tab w:val="left" w:pos="1440"/>
                <w:tab w:val="left" w:pos="6210"/>
              </w:tabs>
              <w:spacing w:after="0"/>
              <w:jc w:val="center"/>
              <w:rPr>
                <w:b/>
                <w:sz w:val="20"/>
                <w:szCs w:val="20"/>
              </w:rPr>
            </w:pPr>
            <w:r w:rsidRPr="000279C2">
              <w:rPr>
                <w:b/>
                <w:sz w:val="20"/>
                <w:szCs w:val="20"/>
              </w:rPr>
              <w:t>Mitigation Steps</w:t>
            </w:r>
            <w:r w:rsidR="00CC5CC7">
              <w:rPr>
                <w:b/>
                <w:sz w:val="20"/>
                <w:szCs w:val="20"/>
              </w:rPr>
              <w:t xml:space="preserve"> or Rationale</w:t>
            </w:r>
          </w:p>
          <w:p w:rsidR="001B4464" w:rsidRPr="000279C2" w14:paraId="7FA23C68" w14:textId="77777777">
            <w:pPr>
              <w:keepNext/>
              <w:keepLines/>
              <w:tabs>
                <w:tab w:val="left" w:pos="1440"/>
                <w:tab w:val="left" w:pos="6210"/>
              </w:tabs>
              <w:spacing w:after="0"/>
              <w:jc w:val="center"/>
              <w:rPr>
                <w:b/>
                <w:sz w:val="20"/>
                <w:szCs w:val="20"/>
              </w:rPr>
            </w:pPr>
          </w:p>
        </w:tc>
      </w:tr>
      <w:tr w14:paraId="6419EAF0" w14:textId="77777777">
        <w:tblPrEx>
          <w:tblW w:w="0" w:type="auto"/>
          <w:jc w:val="center"/>
          <w:tblLook w:val="04A0"/>
        </w:tblPrEx>
        <w:trPr>
          <w:trHeight w:val="432"/>
          <w:jc w:val="center"/>
        </w:trPr>
        <w:tc>
          <w:tcPr>
            <w:tcW w:w="1462" w:type="dxa"/>
            <w:shd w:val="clear" w:color="auto" w:fill="F3F3F3"/>
            <w:vAlign w:val="center"/>
          </w:tcPr>
          <w:p w:rsidR="001B4464" w:rsidRPr="000279C2" w14:paraId="71630942" w14:textId="77777777">
            <w:pPr>
              <w:keepNext/>
              <w:keepLines/>
              <w:tabs>
                <w:tab w:val="left" w:pos="1440"/>
                <w:tab w:val="left" w:pos="6210"/>
              </w:tabs>
              <w:rPr>
                <w:b/>
                <w:sz w:val="20"/>
                <w:szCs w:val="20"/>
              </w:rPr>
            </w:pPr>
          </w:p>
        </w:tc>
        <w:tc>
          <w:tcPr>
            <w:tcW w:w="1728" w:type="dxa"/>
            <w:shd w:val="clear" w:color="auto" w:fill="F3F3F3"/>
            <w:vAlign w:val="center"/>
          </w:tcPr>
          <w:p w:rsidR="001B4464" w:rsidRPr="000279C2" w14:paraId="7F6710D3" w14:textId="77777777">
            <w:pPr>
              <w:keepNext/>
              <w:keepLines/>
              <w:tabs>
                <w:tab w:val="left" w:pos="1440"/>
                <w:tab w:val="left" w:pos="6210"/>
              </w:tabs>
              <w:rPr>
                <w:b/>
                <w:sz w:val="20"/>
                <w:szCs w:val="20"/>
              </w:rPr>
            </w:pPr>
          </w:p>
        </w:tc>
        <w:tc>
          <w:tcPr>
            <w:tcW w:w="1518" w:type="dxa"/>
            <w:shd w:val="clear" w:color="auto" w:fill="F3F3F3"/>
            <w:vAlign w:val="center"/>
          </w:tcPr>
          <w:p w:rsidR="001B4464" w:rsidRPr="000279C2" w14:paraId="2FFD6591" w14:textId="77777777">
            <w:pPr>
              <w:keepNext/>
              <w:keepLines/>
              <w:tabs>
                <w:tab w:val="left" w:pos="1440"/>
                <w:tab w:val="left" w:pos="6210"/>
              </w:tabs>
              <w:jc w:val="right"/>
              <w:rPr>
                <w:b/>
                <w:sz w:val="20"/>
                <w:szCs w:val="20"/>
              </w:rPr>
            </w:pPr>
          </w:p>
        </w:tc>
        <w:tc>
          <w:tcPr>
            <w:tcW w:w="1259" w:type="dxa"/>
            <w:shd w:val="clear" w:color="auto" w:fill="F3F3F3"/>
          </w:tcPr>
          <w:p w:rsidR="001B4464" w:rsidRPr="000279C2" w14:paraId="272E2958" w14:textId="77777777">
            <w:pPr>
              <w:keepNext/>
              <w:keepLines/>
              <w:tabs>
                <w:tab w:val="left" w:pos="1440"/>
                <w:tab w:val="left" w:pos="6210"/>
              </w:tabs>
              <w:jc w:val="right"/>
              <w:rPr>
                <w:b/>
                <w:sz w:val="20"/>
                <w:szCs w:val="20"/>
              </w:rPr>
            </w:pPr>
          </w:p>
        </w:tc>
        <w:tc>
          <w:tcPr>
            <w:tcW w:w="1809" w:type="dxa"/>
            <w:shd w:val="clear" w:color="auto" w:fill="F3F3F3"/>
          </w:tcPr>
          <w:p w:rsidR="001B4464" w:rsidRPr="000279C2" w14:paraId="30F4DB41" w14:textId="77777777">
            <w:pPr>
              <w:keepNext/>
              <w:keepLines/>
              <w:tabs>
                <w:tab w:val="left" w:pos="1440"/>
                <w:tab w:val="left" w:pos="6210"/>
              </w:tabs>
              <w:jc w:val="right"/>
              <w:rPr>
                <w:b/>
                <w:sz w:val="20"/>
                <w:szCs w:val="20"/>
              </w:rPr>
            </w:pPr>
          </w:p>
        </w:tc>
        <w:tc>
          <w:tcPr>
            <w:tcW w:w="1564" w:type="dxa"/>
            <w:shd w:val="clear" w:color="auto" w:fill="F3F3F3"/>
          </w:tcPr>
          <w:p w:rsidR="001B4464" w:rsidRPr="000279C2" w14:paraId="3C8C0EA0" w14:textId="77777777">
            <w:pPr>
              <w:keepNext/>
              <w:keepLines/>
              <w:tabs>
                <w:tab w:val="left" w:pos="1440"/>
                <w:tab w:val="left" w:pos="6210"/>
              </w:tabs>
              <w:jc w:val="right"/>
              <w:rPr>
                <w:b/>
                <w:sz w:val="20"/>
                <w:szCs w:val="20"/>
              </w:rPr>
            </w:pPr>
          </w:p>
        </w:tc>
      </w:tr>
      <w:tr w14:paraId="69923F9C" w14:textId="77777777">
        <w:tblPrEx>
          <w:tblW w:w="0" w:type="auto"/>
          <w:jc w:val="center"/>
          <w:tblLook w:val="04A0"/>
        </w:tblPrEx>
        <w:trPr>
          <w:trHeight w:val="432"/>
          <w:jc w:val="center"/>
        </w:trPr>
        <w:tc>
          <w:tcPr>
            <w:tcW w:w="1462" w:type="dxa"/>
            <w:shd w:val="clear" w:color="auto" w:fill="auto"/>
            <w:vAlign w:val="center"/>
            <w:hideMark/>
          </w:tcPr>
          <w:p w:rsidR="001B4464" w:rsidRPr="000279C2" w14:paraId="5156D8B8" w14:textId="77777777">
            <w:pPr>
              <w:pStyle w:val="Style"/>
              <w:ind w:right="119"/>
              <w:rPr>
                <w:sz w:val="20"/>
                <w:szCs w:val="20"/>
              </w:rPr>
            </w:pPr>
          </w:p>
        </w:tc>
        <w:tc>
          <w:tcPr>
            <w:tcW w:w="1728" w:type="dxa"/>
            <w:shd w:val="clear" w:color="auto" w:fill="auto"/>
            <w:vAlign w:val="center"/>
            <w:hideMark/>
          </w:tcPr>
          <w:p w:rsidR="001B4464" w:rsidRPr="000279C2" w14:paraId="0BC4FB64" w14:textId="77777777">
            <w:pPr>
              <w:pStyle w:val="Style"/>
              <w:rPr>
                <w:sz w:val="20"/>
                <w:szCs w:val="20"/>
              </w:rPr>
            </w:pPr>
          </w:p>
        </w:tc>
        <w:tc>
          <w:tcPr>
            <w:tcW w:w="1518" w:type="dxa"/>
            <w:shd w:val="clear" w:color="auto" w:fill="auto"/>
            <w:vAlign w:val="center"/>
          </w:tcPr>
          <w:p w:rsidR="001B4464" w:rsidRPr="000279C2" w14:paraId="1EECD810" w14:textId="77777777">
            <w:pPr>
              <w:keepNext/>
              <w:keepLines/>
              <w:tabs>
                <w:tab w:val="left" w:pos="1440"/>
                <w:tab w:val="left" w:pos="6210"/>
              </w:tabs>
              <w:jc w:val="right"/>
              <w:rPr>
                <w:sz w:val="20"/>
                <w:szCs w:val="20"/>
              </w:rPr>
            </w:pPr>
          </w:p>
        </w:tc>
        <w:tc>
          <w:tcPr>
            <w:tcW w:w="1259" w:type="dxa"/>
          </w:tcPr>
          <w:p w:rsidR="001B4464" w:rsidRPr="000279C2" w14:paraId="7F29A225" w14:textId="77777777">
            <w:pPr>
              <w:keepNext/>
              <w:keepLines/>
              <w:tabs>
                <w:tab w:val="left" w:pos="1440"/>
                <w:tab w:val="left" w:pos="6210"/>
              </w:tabs>
              <w:jc w:val="right"/>
              <w:rPr>
                <w:sz w:val="20"/>
                <w:szCs w:val="20"/>
              </w:rPr>
            </w:pPr>
          </w:p>
        </w:tc>
        <w:tc>
          <w:tcPr>
            <w:tcW w:w="1809" w:type="dxa"/>
          </w:tcPr>
          <w:p w:rsidR="001B4464" w:rsidRPr="000279C2" w14:paraId="7B3E5874" w14:textId="77777777">
            <w:pPr>
              <w:keepNext/>
              <w:keepLines/>
              <w:tabs>
                <w:tab w:val="left" w:pos="1440"/>
                <w:tab w:val="left" w:pos="6210"/>
              </w:tabs>
              <w:jc w:val="right"/>
              <w:rPr>
                <w:sz w:val="20"/>
                <w:szCs w:val="20"/>
              </w:rPr>
            </w:pPr>
          </w:p>
        </w:tc>
        <w:tc>
          <w:tcPr>
            <w:tcW w:w="1564" w:type="dxa"/>
          </w:tcPr>
          <w:p w:rsidR="001B4464" w:rsidRPr="000279C2" w14:paraId="21D45374" w14:textId="77777777">
            <w:pPr>
              <w:keepNext/>
              <w:keepLines/>
              <w:tabs>
                <w:tab w:val="left" w:pos="1440"/>
                <w:tab w:val="left" w:pos="6210"/>
              </w:tabs>
              <w:jc w:val="right"/>
              <w:rPr>
                <w:sz w:val="20"/>
                <w:szCs w:val="20"/>
              </w:rPr>
            </w:pPr>
          </w:p>
        </w:tc>
      </w:tr>
      <w:tr w14:paraId="7B16ED4A" w14:textId="77777777">
        <w:tblPrEx>
          <w:tblW w:w="0" w:type="auto"/>
          <w:jc w:val="center"/>
          <w:tblLook w:val="04A0"/>
        </w:tblPrEx>
        <w:trPr>
          <w:trHeight w:val="432"/>
          <w:jc w:val="center"/>
        </w:trPr>
        <w:tc>
          <w:tcPr>
            <w:tcW w:w="1462" w:type="dxa"/>
            <w:shd w:val="clear" w:color="auto" w:fill="F2F2F2" w:themeFill="background1" w:themeFillShade="F2"/>
            <w:vAlign w:val="center"/>
          </w:tcPr>
          <w:p w:rsidR="001B4464" w:rsidRPr="000279C2" w14:paraId="2A9F45E6" w14:textId="77777777">
            <w:pPr>
              <w:pStyle w:val="Style"/>
              <w:ind w:right="119"/>
              <w:rPr>
                <w:sz w:val="20"/>
                <w:szCs w:val="20"/>
              </w:rPr>
            </w:pPr>
          </w:p>
        </w:tc>
        <w:tc>
          <w:tcPr>
            <w:tcW w:w="1728" w:type="dxa"/>
            <w:shd w:val="clear" w:color="auto" w:fill="F2F2F2" w:themeFill="background1" w:themeFillShade="F2"/>
            <w:vAlign w:val="center"/>
          </w:tcPr>
          <w:p w:rsidR="001B4464" w:rsidRPr="000279C2" w14:paraId="3B49568E" w14:textId="77777777">
            <w:pPr>
              <w:pStyle w:val="Style"/>
              <w:rPr>
                <w:sz w:val="20"/>
                <w:szCs w:val="20"/>
              </w:rPr>
            </w:pPr>
          </w:p>
        </w:tc>
        <w:tc>
          <w:tcPr>
            <w:tcW w:w="1518" w:type="dxa"/>
            <w:shd w:val="clear" w:color="auto" w:fill="F2F2F2" w:themeFill="background1" w:themeFillShade="F2"/>
            <w:vAlign w:val="center"/>
          </w:tcPr>
          <w:p w:rsidR="001B4464" w:rsidRPr="000279C2" w14:paraId="078A62CD" w14:textId="77777777">
            <w:pPr>
              <w:keepNext/>
              <w:keepLines/>
              <w:tabs>
                <w:tab w:val="left" w:pos="1440"/>
                <w:tab w:val="left" w:pos="6210"/>
              </w:tabs>
              <w:jc w:val="right"/>
              <w:rPr>
                <w:sz w:val="20"/>
                <w:szCs w:val="20"/>
              </w:rPr>
            </w:pPr>
          </w:p>
        </w:tc>
        <w:tc>
          <w:tcPr>
            <w:tcW w:w="1259" w:type="dxa"/>
            <w:shd w:val="clear" w:color="auto" w:fill="F2F2F2" w:themeFill="background1" w:themeFillShade="F2"/>
          </w:tcPr>
          <w:p w:rsidR="001B4464" w:rsidRPr="000279C2" w14:paraId="62FD0473" w14:textId="77777777">
            <w:pPr>
              <w:keepNext/>
              <w:keepLines/>
              <w:tabs>
                <w:tab w:val="left" w:pos="1440"/>
                <w:tab w:val="left" w:pos="6210"/>
              </w:tabs>
              <w:jc w:val="right"/>
              <w:rPr>
                <w:sz w:val="20"/>
                <w:szCs w:val="20"/>
              </w:rPr>
            </w:pPr>
          </w:p>
        </w:tc>
        <w:tc>
          <w:tcPr>
            <w:tcW w:w="1809" w:type="dxa"/>
            <w:shd w:val="clear" w:color="auto" w:fill="F2F2F2" w:themeFill="background1" w:themeFillShade="F2"/>
          </w:tcPr>
          <w:p w:rsidR="001B4464" w:rsidRPr="000279C2" w14:paraId="1FA08F8A" w14:textId="77777777">
            <w:pPr>
              <w:keepNext/>
              <w:keepLines/>
              <w:tabs>
                <w:tab w:val="left" w:pos="1440"/>
                <w:tab w:val="left" w:pos="6210"/>
              </w:tabs>
              <w:jc w:val="right"/>
              <w:rPr>
                <w:sz w:val="20"/>
                <w:szCs w:val="20"/>
              </w:rPr>
            </w:pPr>
          </w:p>
        </w:tc>
        <w:tc>
          <w:tcPr>
            <w:tcW w:w="1564" w:type="dxa"/>
            <w:shd w:val="clear" w:color="auto" w:fill="F2F2F2" w:themeFill="background1" w:themeFillShade="F2"/>
          </w:tcPr>
          <w:p w:rsidR="001B4464" w:rsidRPr="000279C2" w14:paraId="6DAF59DA" w14:textId="77777777">
            <w:pPr>
              <w:keepNext/>
              <w:keepLines/>
              <w:tabs>
                <w:tab w:val="left" w:pos="1440"/>
                <w:tab w:val="left" w:pos="6210"/>
              </w:tabs>
              <w:jc w:val="right"/>
              <w:rPr>
                <w:sz w:val="20"/>
                <w:szCs w:val="20"/>
              </w:rPr>
            </w:pPr>
          </w:p>
        </w:tc>
      </w:tr>
      <w:tr w14:paraId="18BBCA4B" w14:textId="77777777">
        <w:tblPrEx>
          <w:tblW w:w="0" w:type="auto"/>
          <w:jc w:val="center"/>
          <w:tblLook w:val="04A0"/>
        </w:tblPrEx>
        <w:trPr>
          <w:trHeight w:val="432"/>
          <w:jc w:val="center"/>
        </w:trPr>
        <w:tc>
          <w:tcPr>
            <w:tcW w:w="1462" w:type="dxa"/>
            <w:shd w:val="clear" w:color="auto" w:fill="auto"/>
            <w:vAlign w:val="center"/>
            <w:hideMark/>
          </w:tcPr>
          <w:p w:rsidR="001B4464" w:rsidRPr="000279C2" w14:paraId="399A1BB5" w14:textId="77777777">
            <w:pPr>
              <w:keepNext/>
              <w:keepLines/>
              <w:tabs>
                <w:tab w:val="left" w:pos="1440"/>
                <w:tab w:val="left" w:pos="6210"/>
              </w:tabs>
              <w:rPr>
                <w:sz w:val="20"/>
                <w:szCs w:val="20"/>
              </w:rPr>
            </w:pPr>
          </w:p>
        </w:tc>
        <w:tc>
          <w:tcPr>
            <w:tcW w:w="1728" w:type="dxa"/>
            <w:shd w:val="clear" w:color="auto" w:fill="auto"/>
            <w:vAlign w:val="center"/>
            <w:hideMark/>
          </w:tcPr>
          <w:p w:rsidR="001B4464" w:rsidRPr="000279C2" w14:paraId="6825B0EA" w14:textId="77777777">
            <w:pPr>
              <w:rPr>
                <w:sz w:val="20"/>
                <w:szCs w:val="20"/>
              </w:rPr>
            </w:pPr>
          </w:p>
        </w:tc>
        <w:tc>
          <w:tcPr>
            <w:tcW w:w="1518" w:type="dxa"/>
            <w:shd w:val="clear" w:color="auto" w:fill="auto"/>
            <w:vAlign w:val="center"/>
          </w:tcPr>
          <w:p w:rsidR="001B4464" w:rsidRPr="000279C2" w14:paraId="0900E9C3" w14:textId="77777777">
            <w:pPr>
              <w:keepNext/>
              <w:keepLines/>
              <w:tabs>
                <w:tab w:val="left" w:pos="1440"/>
                <w:tab w:val="left" w:pos="6210"/>
              </w:tabs>
              <w:jc w:val="right"/>
              <w:rPr>
                <w:sz w:val="20"/>
                <w:szCs w:val="20"/>
              </w:rPr>
            </w:pPr>
          </w:p>
        </w:tc>
        <w:tc>
          <w:tcPr>
            <w:tcW w:w="1259" w:type="dxa"/>
          </w:tcPr>
          <w:p w:rsidR="001B4464" w:rsidRPr="000279C2" w14:paraId="03148EC6" w14:textId="77777777">
            <w:pPr>
              <w:keepNext/>
              <w:keepLines/>
              <w:tabs>
                <w:tab w:val="left" w:pos="1440"/>
                <w:tab w:val="left" w:pos="6210"/>
              </w:tabs>
              <w:jc w:val="right"/>
              <w:rPr>
                <w:sz w:val="20"/>
                <w:szCs w:val="20"/>
              </w:rPr>
            </w:pPr>
          </w:p>
        </w:tc>
        <w:tc>
          <w:tcPr>
            <w:tcW w:w="1809" w:type="dxa"/>
          </w:tcPr>
          <w:p w:rsidR="001B4464" w:rsidRPr="000279C2" w14:paraId="46B5E67F" w14:textId="77777777">
            <w:pPr>
              <w:keepNext/>
              <w:keepLines/>
              <w:tabs>
                <w:tab w:val="left" w:pos="1440"/>
                <w:tab w:val="left" w:pos="6210"/>
              </w:tabs>
              <w:jc w:val="right"/>
              <w:rPr>
                <w:sz w:val="20"/>
                <w:szCs w:val="20"/>
              </w:rPr>
            </w:pPr>
          </w:p>
        </w:tc>
        <w:tc>
          <w:tcPr>
            <w:tcW w:w="1564" w:type="dxa"/>
          </w:tcPr>
          <w:p w:rsidR="001B4464" w:rsidRPr="000279C2" w14:paraId="4B586231" w14:textId="77777777">
            <w:pPr>
              <w:keepNext/>
              <w:keepLines/>
              <w:tabs>
                <w:tab w:val="left" w:pos="1440"/>
                <w:tab w:val="left" w:pos="6210"/>
              </w:tabs>
              <w:jc w:val="right"/>
              <w:rPr>
                <w:sz w:val="20"/>
                <w:szCs w:val="20"/>
              </w:rPr>
            </w:pPr>
          </w:p>
        </w:tc>
      </w:tr>
    </w:tbl>
    <w:p w:rsidR="00C52243" w:rsidP="00494FF8" w14:paraId="68F1BF3E" w14:textId="62179858">
      <w:pPr>
        <w:pStyle w:val="paragraph"/>
        <w:spacing w:before="0" w:beforeAutospacing="0" w:after="0" w:afterAutospacing="0"/>
        <w:textAlignment w:val="baseline"/>
        <w:rPr>
          <w:rStyle w:val="eop"/>
          <w:rFonts w:asciiTheme="minorHAnsi" w:hAnsiTheme="minorHAnsi" w:cstheme="minorHAnsi"/>
          <w:sz w:val="22"/>
          <w:szCs w:val="22"/>
        </w:rPr>
      </w:pPr>
    </w:p>
    <w:p w:rsidR="00832442" w:rsidRPr="00D7536E" w:rsidP="00494FF8" w14:paraId="6B22F32B" w14:textId="1941C047">
      <w:pPr>
        <w:pStyle w:val="paragraph"/>
        <w:spacing w:before="0" w:beforeAutospacing="0" w:after="0" w:afterAutospacing="0"/>
        <w:textAlignment w:val="baseline"/>
        <w:rPr>
          <w:rFonts w:asciiTheme="minorHAnsi" w:hAnsiTheme="minorHAnsi" w:cstheme="minorHAnsi"/>
          <w:sz w:val="22"/>
          <w:szCs w:val="22"/>
        </w:rPr>
      </w:pPr>
      <w:r w:rsidRPr="00D7536E">
        <w:rPr>
          <w:rFonts w:asciiTheme="minorHAnsi" w:hAnsiTheme="minorHAnsi" w:cstheme="minorHAnsi"/>
          <w:sz w:val="22"/>
          <w:szCs w:val="22"/>
        </w:rPr>
        <w:t xml:space="preserve">* List one of the following </w:t>
      </w:r>
      <w:r w:rsidRPr="00D7536E" w:rsidR="004E11E5">
        <w:rPr>
          <w:rFonts w:asciiTheme="minorHAnsi" w:hAnsiTheme="minorHAnsi" w:cstheme="minorHAnsi"/>
          <w:sz w:val="22"/>
          <w:szCs w:val="22"/>
        </w:rPr>
        <w:t>core functions</w:t>
      </w:r>
      <w:r w:rsidRPr="00D7536E">
        <w:rPr>
          <w:rFonts w:asciiTheme="minorHAnsi" w:hAnsiTheme="minorHAnsi" w:cstheme="minorHAnsi"/>
          <w:sz w:val="22"/>
          <w:szCs w:val="22"/>
        </w:rPr>
        <w:t>: R&amp;D, Translation, WFD, Governance and Management, or Other Ecosystem Building</w:t>
      </w:r>
    </w:p>
    <w:p w:rsidR="00502316" w:rsidRPr="00D7536E" w:rsidP="00494FF8" w14:paraId="4BA8084E" w14:textId="216F1F14">
      <w:pPr>
        <w:pStyle w:val="paragraph"/>
        <w:spacing w:before="0" w:beforeAutospacing="0" w:after="0" w:afterAutospacing="0"/>
        <w:textAlignment w:val="baseline"/>
        <w:rPr>
          <w:rFonts w:asciiTheme="minorHAnsi" w:hAnsiTheme="minorHAnsi" w:cstheme="minorHAnsi"/>
          <w:sz w:val="22"/>
          <w:szCs w:val="22"/>
        </w:rPr>
      </w:pPr>
      <w:r w:rsidRPr="00D7536E">
        <w:rPr>
          <w:rFonts w:asciiTheme="minorHAnsi" w:hAnsiTheme="minorHAnsi" w:cstheme="minorHAnsi"/>
          <w:sz w:val="22"/>
          <w:szCs w:val="22"/>
        </w:rPr>
        <w:t>* Where applicable, include the associated activity</w:t>
      </w:r>
      <w:r w:rsidR="008B19DB">
        <w:rPr>
          <w:rFonts w:asciiTheme="minorHAnsi" w:hAnsiTheme="minorHAnsi" w:cstheme="minorHAnsi"/>
          <w:sz w:val="22"/>
          <w:szCs w:val="22"/>
        </w:rPr>
        <w:t xml:space="preserve"> or project</w:t>
      </w:r>
      <w:r w:rsidRPr="00D7536E">
        <w:rPr>
          <w:rFonts w:asciiTheme="minorHAnsi" w:hAnsiTheme="minorHAnsi" w:cstheme="minorHAnsi"/>
          <w:sz w:val="22"/>
          <w:szCs w:val="22"/>
        </w:rPr>
        <w:t xml:space="preserve"> </w:t>
      </w:r>
      <w:r w:rsidR="00EB716F">
        <w:rPr>
          <w:rFonts w:asciiTheme="minorHAnsi" w:hAnsiTheme="minorHAnsi" w:cstheme="minorHAnsi"/>
          <w:sz w:val="22"/>
          <w:szCs w:val="22"/>
        </w:rPr>
        <w:t>using</w:t>
      </w:r>
      <w:r w:rsidRPr="00D7536E">
        <w:rPr>
          <w:rFonts w:asciiTheme="minorHAnsi" w:hAnsiTheme="minorHAnsi" w:cstheme="minorHAnsi"/>
          <w:sz w:val="22"/>
          <w:szCs w:val="22"/>
        </w:rPr>
        <w:t xml:space="preserve"> the naming convention in the budget and resources spreadsheet (e.g. TR-1, WFD-2, etc.)</w:t>
      </w:r>
    </w:p>
    <w:p w:rsidR="00FF4FC2" w:rsidRPr="00832442" w:rsidP="3AADB89D" w14:paraId="311230B9" w14:textId="45AF17E3">
      <w:pPr>
        <w:pStyle w:val="paragraph"/>
        <w:spacing w:before="0" w:beforeAutospacing="0" w:after="0" w:afterAutospacing="0"/>
        <w:textAlignment w:val="baseline"/>
        <w:rPr>
          <w:rStyle w:val="normaltextrun"/>
        </w:rPr>
      </w:pPr>
    </w:p>
    <w:p w:rsidR="0010422A" w:rsidRPr="000279C2" w:rsidP="007D6FE5" w14:paraId="5A5D4A51" w14:textId="77777777">
      <w:pPr>
        <w:pStyle w:val="paragraph"/>
        <w:spacing w:before="0" w:beforeAutospacing="0" w:after="0" w:afterAutospacing="0"/>
        <w:textAlignment w:val="baseline"/>
        <w:rPr>
          <w:rFonts w:asciiTheme="minorHAnsi" w:hAnsiTheme="minorHAnsi" w:cstheme="minorHAnsi"/>
          <w:sz w:val="22"/>
          <w:szCs w:val="22"/>
        </w:rPr>
      </w:pPr>
    </w:p>
    <w:p w:rsidR="009C3E0B" w:rsidRPr="000279C2" w:rsidP="74AF1011" w14:paraId="1BDBACFB" w14:textId="67F0CD92">
      <w:pPr>
        <w:pStyle w:val="paragraph"/>
        <w:numPr>
          <w:ilvl w:val="0"/>
          <w:numId w:val="12"/>
        </w:numPr>
        <w:spacing w:before="0" w:beforeAutospacing="0" w:after="0" w:afterAutospacing="0"/>
        <w:textAlignment w:val="baseline"/>
        <w:rPr>
          <w:rStyle w:val="normaltextrun"/>
          <w:rFonts w:asciiTheme="minorHAnsi" w:hAnsiTheme="minorHAnsi" w:cstheme="minorBidi"/>
          <w:sz w:val="22"/>
          <w:szCs w:val="22"/>
        </w:rPr>
      </w:pPr>
      <w:r w:rsidRPr="74AF1011">
        <w:rPr>
          <w:rStyle w:val="normaltextrun"/>
          <w:rFonts w:asciiTheme="minorHAnsi" w:hAnsiTheme="minorHAnsi" w:cstheme="minorBidi"/>
          <w:b/>
          <w:bCs/>
          <w:sz w:val="22"/>
          <w:szCs w:val="22"/>
        </w:rPr>
        <w:t>Commitments and Resources.</w:t>
      </w:r>
      <w:r w:rsidRPr="74AF1011">
        <w:rPr>
          <w:rStyle w:val="normaltextrun"/>
          <w:rFonts w:asciiTheme="minorHAnsi" w:hAnsiTheme="minorHAnsi" w:cstheme="minorBidi"/>
          <w:sz w:val="22"/>
          <w:szCs w:val="22"/>
        </w:rPr>
        <w:t xml:space="preserve"> </w:t>
      </w:r>
    </w:p>
    <w:p w:rsidR="0047160D" w:rsidRPr="009A3D32" w:rsidP="006B7003" w14:paraId="50699014" w14:textId="7A417897">
      <w:pPr>
        <w:pStyle w:val="paragraph"/>
        <w:spacing w:before="0" w:beforeAutospacing="0" w:after="0" w:afterAutospacing="0"/>
        <w:ind w:left="720"/>
        <w:textAlignment w:val="baseline"/>
        <w:rPr>
          <w:rStyle w:val="normaltextrun"/>
          <w:rFonts w:asciiTheme="minorHAnsi" w:hAnsiTheme="minorHAnsi" w:cstheme="minorBidi"/>
          <w:sz w:val="22"/>
          <w:szCs w:val="22"/>
        </w:rPr>
      </w:pPr>
      <w:r w:rsidRPr="3AADB89D">
        <w:rPr>
          <w:rStyle w:val="normaltextrun"/>
          <w:rFonts w:asciiTheme="minorHAnsi" w:hAnsiTheme="minorHAnsi" w:cstheme="minorBidi"/>
          <w:b/>
          <w:sz w:val="22"/>
          <w:szCs w:val="22"/>
        </w:rPr>
        <w:t>&lt;&lt;</w:t>
      </w:r>
      <w:r w:rsidRPr="3AADB89D">
        <w:rPr>
          <w:rStyle w:val="normaltextrun"/>
          <w:rFonts w:asciiTheme="minorHAnsi" w:hAnsiTheme="minorHAnsi" w:cstheme="minorBidi"/>
          <w:sz w:val="22"/>
          <w:szCs w:val="22"/>
        </w:rPr>
        <w:t xml:space="preserve"> </w:t>
      </w:r>
      <w:r w:rsidRPr="3AADB89D" w:rsidR="00035E47">
        <w:rPr>
          <w:rStyle w:val="normaltextrun"/>
          <w:rFonts w:asciiTheme="minorHAnsi" w:hAnsiTheme="minorHAnsi" w:cstheme="minorBidi"/>
          <w:sz w:val="22"/>
          <w:szCs w:val="22"/>
        </w:rPr>
        <w:t>DELETE this reference text in the final version of report.</w:t>
      </w:r>
      <w:r w:rsidRPr="3AADB89D">
        <w:rPr>
          <w:rStyle w:val="normaltextrun"/>
          <w:rFonts w:asciiTheme="minorHAnsi" w:hAnsiTheme="minorHAnsi" w:cstheme="minorBidi"/>
          <w:sz w:val="22"/>
          <w:szCs w:val="22"/>
        </w:rPr>
        <w:t xml:space="preserve"> </w:t>
      </w:r>
      <w:r w:rsidRPr="3AADB89D" w:rsidR="006B7003">
        <w:rPr>
          <w:rStyle w:val="normaltextrun"/>
          <w:rFonts w:asciiTheme="minorHAnsi" w:hAnsiTheme="minorHAnsi" w:cstheme="minorBidi"/>
          <w:sz w:val="22"/>
          <w:szCs w:val="22"/>
        </w:rPr>
        <w:t xml:space="preserve">This section should </w:t>
      </w:r>
      <w:r w:rsidRPr="3AADB89D" w:rsidR="00C52243">
        <w:rPr>
          <w:rStyle w:val="normaltextrun"/>
          <w:rFonts w:asciiTheme="minorHAnsi" w:hAnsiTheme="minorHAnsi" w:cstheme="minorBidi"/>
          <w:sz w:val="22"/>
          <w:szCs w:val="22"/>
        </w:rPr>
        <w:t xml:space="preserve">describe changes in commitments and resources made available to Engine activities by non-NSF sources. </w:t>
      </w:r>
      <w:r w:rsidRPr="3AADB89D" w:rsidR="00A95323">
        <w:rPr>
          <w:rStyle w:val="normaltextrun"/>
          <w:rFonts w:asciiTheme="minorHAnsi" w:hAnsiTheme="minorHAnsi" w:cstheme="minorBidi"/>
          <w:sz w:val="22"/>
          <w:szCs w:val="22"/>
        </w:rPr>
        <w:t xml:space="preserve">These commitments should be documented in the Budget and Resources Spreadsheet noted in section </w:t>
      </w:r>
      <w:r w:rsidRPr="3AADB89D" w:rsidR="7482DE67">
        <w:rPr>
          <w:rStyle w:val="normaltextrun"/>
          <w:rFonts w:asciiTheme="minorHAnsi" w:hAnsiTheme="minorHAnsi" w:cstheme="minorBidi"/>
          <w:sz w:val="22"/>
          <w:szCs w:val="22"/>
        </w:rPr>
        <w:t>E</w:t>
      </w:r>
      <w:r w:rsidRPr="3AADB89D" w:rsidR="00A95323">
        <w:rPr>
          <w:rStyle w:val="normaltextrun"/>
          <w:rFonts w:asciiTheme="minorHAnsi" w:hAnsiTheme="minorHAnsi" w:cstheme="minorBidi"/>
          <w:sz w:val="22"/>
          <w:szCs w:val="22"/>
        </w:rPr>
        <w:t xml:space="preserve"> of this report and summarized in the below table.</w:t>
      </w:r>
    </w:p>
    <w:p w:rsidR="3AADB89D" w:rsidP="3AADB89D" w14:paraId="0FE82B31" w14:textId="384D1765">
      <w:pPr>
        <w:pStyle w:val="paragraph"/>
        <w:spacing w:before="0" w:beforeAutospacing="0" w:after="0" w:afterAutospacing="0"/>
        <w:ind w:left="720"/>
        <w:rPr>
          <w:rStyle w:val="normaltextrun"/>
          <w:rFonts w:asciiTheme="minorHAnsi" w:hAnsiTheme="minorHAnsi" w:cstheme="minorBidi"/>
          <w:sz w:val="22"/>
          <w:szCs w:val="22"/>
        </w:rPr>
      </w:pPr>
    </w:p>
    <w:p w:rsidR="0032303F" w:rsidP="00203520" w14:paraId="5828F1E1" w14:textId="55F9BCBA">
      <w:pPr>
        <w:pStyle w:val="paragraph"/>
        <w:spacing w:before="0" w:beforeAutospacing="0" w:after="0" w:afterAutospacing="0"/>
        <w:ind w:left="720"/>
        <w:textAlignment w:val="baseline"/>
        <w:rPr>
          <w:rStyle w:val="normaltextrun"/>
          <w:rFonts w:asciiTheme="minorHAnsi" w:hAnsiTheme="minorHAnsi" w:cstheme="minorBidi"/>
          <w:sz w:val="22"/>
          <w:szCs w:val="22"/>
        </w:rPr>
      </w:pPr>
      <w:r w:rsidRPr="009A3D32">
        <w:rPr>
          <w:rStyle w:val="normaltextrun"/>
          <w:rFonts w:asciiTheme="minorHAnsi" w:hAnsiTheme="minorHAnsi" w:cstheme="minorBidi"/>
          <w:sz w:val="22"/>
          <w:szCs w:val="22"/>
        </w:rPr>
        <w:t xml:space="preserve">Include new commitments of cash and in-kind resources by such sources during this period, and the impact </w:t>
      </w:r>
      <w:r w:rsidRPr="009A3D32" w:rsidR="002C4FE7">
        <w:rPr>
          <w:rStyle w:val="normaltextrun"/>
          <w:rFonts w:asciiTheme="minorHAnsi" w:hAnsiTheme="minorHAnsi" w:cstheme="minorBidi"/>
          <w:sz w:val="22"/>
          <w:szCs w:val="22"/>
        </w:rPr>
        <w:t xml:space="preserve">(high, moderate and low) </w:t>
      </w:r>
      <w:r w:rsidRPr="009A3D32">
        <w:rPr>
          <w:rStyle w:val="normaltextrun"/>
          <w:rFonts w:asciiTheme="minorHAnsi" w:hAnsiTheme="minorHAnsi" w:cstheme="minorBidi"/>
          <w:sz w:val="22"/>
          <w:szCs w:val="22"/>
        </w:rPr>
        <w:t>of these commitments to the Engine core functions (use-inspired R&amp;D, Translation, Workforce Development</w:t>
      </w:r>
      <w:r w:rsidRPr="009A3D32" w:rsidR="00732509">
        <w:rPr>
          <w:rStyle w:val="normaltextrun"/>
          <w:rFonts w:asciiTheme="minorHAnsi" w:hAnsiTheme="minorHAnsi" w:cstheme="minorBidi"/>
          <w:sz w:val="22"/>
          <w:szCs w:val="22"/>
        </w:rPr>
        <w:t>, Ecosystem Building, and Governance and Management</w:t>
      </w:r>
      <w:r w:rsidRPr="009A3D32">
        <w:rPr>
          <w:rStyle w:val="normaltextrun"/>
          <w:rFonts w:asciiTheme="minorHAnsi" w:hAnsiTheme="minorHAnsi" w:cstheme="minorBidi"/>
          <w:sz w:val="22"/>
          <w:szCs w:val="22"/>
        </w:rPr>
        <w:t>). The Authorized Organizational Representative (AOR) of the Lead Organization must attest to the accuracy of reported changes.</w:t>
      </w:r>
      <w:r w:rsidRPr="009A3D32">
        <w:rPr>
          <w:rStyle w:val="eop"/>
          <w:rFonts w:asciiTheme="minorHAnsi" w:hAnsiTheme="minorHAnsi" w:cstheme="minorBidi"/>
          <w:sz w:val="22"/>
          <w:szCs w:val="22"/>
        </w:rPr>
        <w:t> </w:t>
      </w:r>
      <w:r w:rsidRPr="009A3D32" w:rsidR="00581E20">
        <w:rPr>
          <w:rStyle w:val="normaltextrun"/>
          <w:rFonts w:asciiTheme="minorHAnsi" w:hAnsiTheme="minorHAnsi" w:cstheme="minorBidi"/>
          <w:sz w:val="22"/>
          <w:szCs w:val="22"/>
        </w:rPr>
        <w:t>For each noted new resource, provide up to two paragraphs explanation in the quarterly report</w:t>
      </w:r>
      <w:r w:rsidRPr="009A3D32" w:rsidR="00E60F0F">
        <w:rPr>
          <w:rStyle w:val="normaltextrun"/>
          <w:rFonts w:asciiTheme="minorHAnsi" w:hAnsiTheme="minorHAnsi" w:cstheme="minorBidi"/>
          <w:sz w:val="22"/>
          <w:szCs w:val="22"/>
        </w:rPr>
        <w:t>, listing the header by the name of the institution providing the resource</w:t>
      </w:r>
      <w:r w:rsidRPr="009A3D32" w:rsidR="00581E20">
        <w:rPr>
          <w:rStyle w:val="normaltextrun"/>
          <w:rFonts w:asciiTheme="minorHAnsi" w:hAnsiTheme="minorHAnsi" w:cstheme="minorBidi"/>
          <w:sz w:val="22"/>
          <w:szCs w:val="22"/>
        </w:rPr>
        <w:t>.</w:t>
      </w:r>
      <w:r w:rsidRPr="009A3D32" w:rsidR="00AC0C1B">
        <w:rPr>
          <w:rStyle w:val="normaltextrun"/>
          <w:rFonts w:asciiTheme="minorHAnsi" w:hAnsiTheme="minorHAnsi" w:cstheme="minorBidi"/>
          <w:sz w:val="22"/>
          <w:szCs w:val="22"/>
        </w:rPr>
        <w:t>&gt;&gt;</w:t>
      </w:r>
    </w:p>
    <w:p w:rsidR="003E18D9" w:rsidRPr="009A3D32" w:rsidP="00203520" w14:paraId="5E948B3B" w14:textId="77777777">
      <w:pPr>
        <w:pStyle w:val="paragraph"/>
        <w:spacing w:before="0" w:beforeAutospacing="0" w:after="0" w:afterAutospacing="0"/>
        <w:ind w:left="720"/>
        <w:textAlignment w:val="baseline"/>
        <w:rPr>
          <w:rStyle w:val="normaltextrun"/>
          <w:rFonts w:asciiTheme="minorHAnsi" w:hAnsiTheme="minorHAnsi" w:cstheme="minorBidi"/>
          <w:sz w:val="22"/>
          <w:szCs w:val="22"/>
        </w:rPr>
      </w:pPr>
    </w:p>
    <w:p w:rsidR="00862249" w:rsidRPr="009A3D32" w:rsidP="00862249" w14:paraId="55BBE24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E6335" w:rsidP="3AADB89D" w14:paraId="61E0A437" w14:textId="26D47844">
      <w:pPr>
        <w:pStyle w:val="paragraph"/>
        <w:spacing w:before="0" w:beforeAutospacing="0" w:after="0" w:afterAutospacing="0"/>
        <w:rPr>
          <w:rStyle w:val="normaltextrun"/>
          <w:rFonts w:asciiTheme="minorHAnsi" w:hAnsiTheme="minorHAnsi" w:cstheme="minorBidi"/>
          <w:sz w:val="22"/>
          <w:szCs w:val="22"/>
        </w:rPr>
      </w:pPr>
    </w:p>
    <w:p w:rsidR="00862249" w:rsidRPr="000279C2" w:rsidP="00862249" w14:paraId="65A8E3A1" w14:textId="1C901B1F">
      <w:pPr>
        <w:pStyle w:val="paragraph"/>
        <w:spacing w:before="0" w:beforeAutospacing="0" w:after="0" w:afterAutospacing="0"/>
        <w:textAlignment w:val="baseline"/>
        <w:rPr>
          <w:rStyle w:val="normaltextrun"/>
          <w:rFonts w:asciiTheme="minorHAnsi" w:hAnsiTheme="minorHAnsi" w:cstheme="minorBidi"/>
          <w:sz w:val="22"/>
          <w:szCs w:val="22"/>
        </w:rPr>
      </w:pPr>
      <w:r w:rsidRPr="3AADB89D">
        <w:rPr>
          <w:rStyle w:val="normaltextrun"/>
          <w:rFonts w:asciiTheme="minorHAnsi" w:hAnsiTheme="minorHAnsi" w:cstheme="minorBidi"/>
          <w:sz w:val="22"/>
          <w:szCs w:val="22"/>
        </w:rPr>
        <w:t>TABLE OF SIGNIFICANT NEW RESOURCES</w:t>
      </w:r>
    </w:p>
    <w:p w:rsidR="001D41FB" w:rsidRPr="009A3D32" w:rsidP="006B7003" w14:paraId="34064215" w14:textId="77777777">
      <w:pPr>
        <w:pStyle w:val="paragraph"/>
        <w:spacing w:before="0" w:beforeAutospacing="0" w:after="0" w:afterAutospacing="0"/>
        <w:ind w:left="720"/>
        <w:textAlignment w:val="baseline"/>
        <w:rPr>
          <w:rStyle w:val="eop"/>
          <w:rFonts w:asciiTheme="minorHAnsi" w:hAnsiTheme="minorHAnsi" w:cstheme="minorHAnsi"/>
          <w:sz w:val="22"/>
          <w:szCs w:val="22"/>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tblPr>
      <w:tblGrid>
        <w:gridCol w:w="1962"/>
        <w:gridCol w:w="2564"/>
        <w:gridCol w:w="1241"/>
        <w:gridCol w:w="1923"/>
        <w:gridCol w:w="1650"/>
      </w:tblGrid>
      <w:tr w14:paraId="78064482" w14:textId="65E2BF71" w:rsidTr="00A36A64">
        <w:tblPrEx>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tblPrEx>
        <w:trPr>
          <w:trHeight w:val="448"/>
          <w:jc w:val="center"/>
        </w:trPr>
        <w:tc>
          <w:tcPr>
            <w:tcW w:w="1962" w:type="dxa"/>
            <w:shd w:val="clear" w:color="auto" w:fill="E0E0E0"/>
            <w:vAlign w:val="center"/>
          </w:tcPr>
          <w:p w:rsidR="001D41FB" w:rsidRPr="000279C2" w14:paraId="06337701" w14:textId="03065A5D">
            <w:pPr>
              <w:keepNext/>
              <w:keepLines/>
              <w:tabs>
                <w:tab w:val="left" w:pos="1440"/>
                <w:tab w:val="left" w:pos="6210"/>
              </w:tabs>
              <w:spacing w:after="0"/>
              <w:jc w:val="center"/>
              <w:rPr>
                <w:b/>
                <w:sz w:val="20"/>
                <w:szCs w:val="20"/>
              </w:rPr>
            </w:pPr>
            <w:r w:rsidRPr="000279C2">
              <w:rPr>
                <w:b/>
                <w:sz w:val="20"/>
                <w:szCs w:val="20"/>
              </w:rPr>
              <w:t>Institution</w:t>
            </w:r>
          </w:p>
        </w:tc>
        <w:tc>
          <w:tcPr>
            <w:tcW w:w="2564" w:type="dxa"/>
            <w:shd w:val="clear" w:color="auto" w:fill="E0E0E0"/>
            <w:vAlign w:val="center"/>
          </w:tcPr>
          <w:p w:rsidR="00B67772" w:rsidRPr="000279C2" w:rsidP="00B67772" w14:paraId="62C63BC5" w14:textId="77777777">
            <w:pPr>
              <w:keepNext/>
              <w:keepLines/>
              <w:tabs>
                <w:tab w:val="left" w:pos="1440"/>
                <w:tab w:val="left" w:pos="6210"/>
              </w:tabs>
              <w:spacing w:after="0"/>
              <w:jc w:val="center"/>
              <w:rPr>
                <w:b/>
                <w:sz w:val="20"/>
                <w:szCs w:val="20"/>
              </w:rPr>
            </w:pPr>
            <w:r w:rsidRPr="000279C2">
              <w:rPr>
                <w:b/>
                <w:sz w:val="20"/>
                <w:szCs w:val="20"/>
              </w:rPr>
              <w:t>Resource</w:t>
            </w:r>
          </w:p>
          <w:p w:rsidR="001D41FB" w:rsidRPr="000279C2" w14:paraId="7ADEA9F8" w14:textId="69EFE4F5">
            <w:pPr>
              <w:keepNext/>
              <w:keepLines/>
              <w:tabs>
                <w:tab w:val="left" w:pos="1440"/>
                <w:tab w:val="left" w:pos="6210"/>
              </w:tabs>
              <w:jc w:val="center"/>
              <w:rPr>
                <w:b/>
                <w:sz w:val="20"/>
                <w:szCs w:val="20"/>
              </w:rPr>
            </w:pPr>
            <w:r w:rsidRPr="000279C2">
              <w:rPr>
                <w:b/>
                <w:sz w:val="20"/>
                <w:szCs w:val="20"/>
              </w:rPr>
              <w:t>Description</w:t>
            </w:r>
          </w:p>
        </w:tc>
        <w:tc>
          <w:tcPr>
            <w:tcW w:w="1241" w:type="dxa"/>
            <w:shd w:val="clear" w:color="auto" w:fill="E0E0E0"/>
            <w:vAlign w:val="center"/>
          </w:tcPr>
          <w:p w:rsidR="001D41FB" w:rsidRPr="000279C2" w14:paraId="4B2B7884" w14:textId="31339DA1">
            <w:pPr>
              <w:keepNext/>
              <w:keepLines/>
              <w:tabs>
                <w:tab w:val="left" w:pos="1440"/>
                <w:tab w:val="left" w:pos="6210"/>
              </w:tabs>
              <w:jc w:val="center"/>
              <w:rPr>
                <w:b/>
                <w:sz w:val="20"/>
                <w:szCs w:val="20"/>
              </w:rPr>
            </w:pPr>
            <w:r w:rsidRPr="000279C2">
              <w:rPr>
                <w:b/>
                <w:sz w:val="20"/>
                <w:szCs w:val="20"/>
              </w:rPr>
              <w:t>Resource Value</w:t>
            </w:r>
          </w:p>
        </w:tc>
        <w:tc>
          <w:tcPr>
            <w:tcW w:w="1923" w:type="dxa"/>
            <w:shd w:val="clear" w:color="auto" w:fill="E0E0E0"/>
            <w:vAlign w:val="center"/>
          </w:tcPr>
          <w:p w:rsidR="001D41FB" w:rsidRPr="000279C2" w14:paraId="5DBB4FAB" w14:textId="6B8E84DE">
            <w:pPr>
              <w:keepNext/>
              <w:keepLines/>
              <w:tabs>
                <w:tab w:val="left" w:pos="1440"/>
                <w:tab w:val="left" w:pos="6210"/>
              </w:tabs>
              <w:jc w:val="center"/>
              <w:rPr>
                <w:b/>
                <w:sz w:val="20"/>
                <w:szCs w:val="20"/>
              </w:rPr>
            </w:pPr>
            <w:r w:rsidRPr="000279C2">
              <w:rPr>
                <w:b/>
                <w:sz w:val="20"/>
                <w:szCs w:val="20"/>
              </w:rPr>
              <w:t>Associated Core Function(s)</w:t>
            </w:r>
            <w:r w:rsidR="00832442">
              <w:rPr>
                <w:b/>
                <w:sz w:val="20"/>
                <w:szCs w:val="20"/>
              </w:rPr>
              <w:t>*</w:t>
            </w:r>
          </w:p>
        </w:tc>
        <w:tc>
          <w:tcPr>
            <w:tcW w:w="1650" w:type="dxa"/>
            <w:shd w:val="clear" w:color="auto" w:fill="E0E0E0"/>
          </w:tcPr>
          <w:p w:rsidR="00A36A64" w14:paraId="24BEDF42" w14:textId="488000E6">
            <w:pPr>
              <w:keepNext/>
              <w:keepLines/>
              <w:tabs>
                <w:tab w:val="left" w:pos="1440"/>
                <w:tab w:val="left" w:pos="6210"/>
              </w:tabs>
              <w:jc w:val="center"/>
              <w:rPr>
                <w:b/>
                <w:sz w:val="20"/>
                <w:szCs w:val="20"/>
              </w:rPr>
            </w:pPr>
            <w:r>
              <w:rPr>
                <w:b/>
                <w:sz w:val="20"/>
                <w:szCs w:val="20"/>
              </w:rPr>
              <w:t>Impact to Core Function</w:t>
            </w:r>
            <w:r w:rsidR="00B30354">
              <w:rPr>
                <w:b/>
                <w:sz w:val="20"/>
                <w:szCs w:val="20"/>
              </w:rPr>
              <w:t>**</w:t>
            </w:r>
          </w:p>
        </w:tc>
      </w:tr>
      <w:tr w14:paraId="3CF3A479" w14:textId="0A428BD3" w:rsidTr="00A36A64">
        <w:tblPrEx>
          <w:tblW w:w="0" w:type="auto"/>
          <w:jc w:val="center"/>
          <w:tblLook w:val="04A0"/>
        </w:tblPrEx>
        <w:trPr>
          <w:trHeight w:val="432"/>
          <w:jc w:val="center"/>
        </w:trPr>
        <w:tc>
          <w:tcPr>
            <w:tcW w:w="1962" w:type="dxa"/>
            <w:shd w:val="clear" w:color="auto" w:fill="F3F3F3"/>
            <w:vAlign w:val="center"/>
          </w:tcPr>
          <w:p w:rsidR="001D41FB" w:rsidRPr="000279C2" w14:paraId="237F1A60" w14:textId="77777777">
            <w:pPr>
              <w:keepNext/>
              <w:keepLines/>
              <w:tabs>
                <w:tab w:val="left" w:pos="1440"/>
                <w:tab w:val="left" w:pos="6210"/>
              </w:tabs>
              <w:rPr>
                <w:b/>
                <w:sz w:val="20"/>
                <w:szCs w:val="20"/>
              </w:rPr>
            </w:pPr>
          </w:p>
        </w:tc>
        <w:tc>
          <w:tcPr>
            <w:tcW w:w="2564" w:type="dxa"/>
            <w:shd w:val="clear" w:color="auto" w:fill="F3F3F3"/>
            <w:vAlign w:val="center"/>
          </w:tcPr>
          <w:p w:rsidR="001D41FB" w:rsidRPr="000279C2" w14:paraId="5E23A51F" w14:textId="77777777">
            <w:pPr>
              <w:keepNext/>
              <w:keepLines/>
              <w:tabs>
                <w:tab w:val="left" w:pos="1440"/>
                <w:tab w:val="left" w:pos="6210"/>
              </w:tabs>
              <w:rPr>
                <w:b/>
                <w:sz w:val="20"/>
                <w:szCs w:val="20"/>
              </w:rPr>
            </w:pPr>
          </w:p>
        </w:tc>
        <w:tc>
          <w:tcPr>
            <w:tcW w:w="1241" w:type="dxa"/>
            <w:shd w:val="clear" w:color="auto" w:fill="F3F3F3"/>
            <w:vAlign w:val="center"/>
          </w:tcPr>
          <w:p w:rsidR="001D41FB" w:rsidRPr="000279C2" w14:paraId="188284B5" w14:textId="77777777">
            <w:pPr>
              <w:keepNext/>
              <w:keepLines/>
              <w:tabs>
                <w:tab w:val="left" w:pos="1440"/>
                <w:tab w:val="left" w:pos="6210"/>
              </w:tabs>
              <w:jc w:val="right"/>
              <w:rPr>
                <w:b/>
                <w:sz w:val="20"/>
                <w:szCs w:val="20"/>
              </w:rPr>
            </w:pPr>
          </w:p>
        </w:tc>
        <w:tc>
          <w:tcPr>
            <w:tcW w:w="1923" w:type="dxa"/>
            <w:shd w:val="clear" w:color="auto" w:fill="F3F3F3"/>
          </w:tcPr>
          <w:p w:rsidR="001D41FB" w:rsidRPr="000279C2" w14:paraId="6229E38D" w14:textId="77777777">
            <w:pPr>
              <w:keepNext/>
              <w:keepLines/>
              <w:tabs>
                <w:tab w:val="left" w:pos="1440"/>
                <w:tab w:val="left" w:pos="6210"/>
              </w:tabs>
              <w:jc w:val="right"/>
              <w:rPr>
                <w:b/>
                <w:sz w:val="20"/>
                <w:szCs w:val="20"/>
              </w:rPr>
            </w:pPr>
          </w:p>
        </w:tc>
        <w:tc>
          <w:tcPr>
            <w:tcW w:w="1650" w:type="dxa"/>
            <w:shd w:val="clear" w:color="auto" w:fill="F3F3F3"/>
          </w:tcPr>
          <w:p w:rsidR="00A36A64" w:rsidRPr="0039752A" w14:paraId="5EE4563E" w14:textId="77777777">
            <w:pPr>
              <w:keepNext/>
              <w:keepLines/>
              <w:tabs>
                <w:tab w:val="left" w:pos="1440"/>
                <w:tab w:val="left" w:pos="6210"/>
              </w:tabs>
              <w:jc w:val="right"/>
              <w:rPr>
                <w:b/>
                <w:sz w:val="20"/>
                <w:szCs w:val="20"/>
              </w:rPr>
            </w:pPr>
          </w:p>
        </w:tc>
      </w:tr>
      <w:tr w14:paraId="5B12862B" w14:textId="298682BE" w:rsidTr="00A36A64">
        <w:tblPrEx>
          <w:tblW w:w="0" w:type="auto"/>
          <w:jc w:val="center"/>
          <w:tblLook w:val="04A0"/>
        </w:tblPrEx>
        <w:trPr>
          <w:trHeight w:val="432"/>
          <w:jc w:val="center"/>
        </w:trPr>
        <w:tc>
          <w:tcPr>
            <w:tcW w:w="1962" w:type="dxa"/>
            <w:shd w:val="clear" w:color="auto" w:fill="auto"/>
            <w:vAlign w:val="center"/>
            <w:hideMark/>
          </w:tcPr>
          <w:p w:rsidR="001D41FB" w:rsidRPr="000279C2" w14:paraId="69F99437" w14:textId="77777777">
            <w:pPr>
              <w:pStyle w:val="Style"/>
              <w:ind w:right="119"/>
              <w:rPr>
                <w:sz w:val="20"/>
                <w:szCs w:val="20"/>
              </w:rPr>
            </w:pPr>
          </w:p>
        </w:tc>
        <w:tc>
          <w:tcPr>
            <w:tcW w:w="2564" w:type="dxa"/>
            <w:shd w:val="clear" w:color="auto" w:fill="auto"/>
            <w:vAlign w:val="center"/>
            <w:hideMark/>
          </w:tcPr>
          <w:p w:rsidR="001D41FB" w:rsidRPr="000279C2" w14:paraId="26B7EF27" w14:textId="77777777">
            <w:pPr>
              <w:pStyle w:val="Style"/>
              <w:rPr>
                <w:sz w:val="20"/>
                <w:szCs w:val="20"/>
              </w:rPr>
            </w:pPr>
          </w:p>
        </w:tc>
        <w:tc>
          <w:tcPr>
            <w:tcW w:w="1241" w:type="dxa"/>
            <w:shd w:val="clear" w:color="auto" w:fill="auto"/>
            <w:vAlign w:val="center"/>
          </w:tcPr>
          <w:p w:rsidR="001D41FB" w:rsidRPr="000279C2" w14:paraId="795E7797" w14:textId="77777777">
            <w:pPr>
              <w:keepNext/>
              <w:keepLines/>
              <w:tabs>
                <w:tab w:val="left" w:pos="1440"/>
                <w:tab w:val="left" w:pos="6210"/>
              </w:tabs>
              <w:jc w:val="right"/>
              <w:rPr>
                <w:sz w:val="20"/>
                <w:szCs w:val="20"/>
              </w:rPr>
            </w:pPr>
          </w:p>
        </w:tc>
        <w:tc>
          <w:tcPr>
            <w:tcW w:w="1923" w:type="dxa"/>
          </w:tcPr>
          <w:p w:rsidR="001D41FB" w:rsidRPr="000279C2" w14:paraId="381EE68C" w14:textId="77777777">
            <w:pPr>
              <w:keepNext/>
              <w:keepLines/>
              <w:tabs>
                <w:tab w:val="left" w:pos="1440"/>
                <w:tab w:val="left" w:pos="6210"/>
              </w:tabs>
              <w:jc w:val="right"/>
              <w:rPr>
                <w:sz w:val="20"/>
                <w:szCs w:val="20"/>
              </w:rPr>
            </w:pPr>
          </w:p>
        </w:tc>
        <w:tc>
          <w:tcPr>
            <w:tcW w:w="1650" w:type="dxa"/>
          </w:tcPr>
          <w:p w:rsidR="00A36A64" w:rsidRPr="0039752A" w14:paraId="5019A9C7" w14:textId="77777777">
            <w:pPr>
              <w:keepNext/>
              <w:keepLines/>
              <w:tabs>
                <w:tab w:val="left" w:pos="1440"/>
                <w:tab w:val="left" w:pos="6210"/>
              </w:tabs>
              <w:jc w:val="right"/>
              <w:rPr>
                <w:sz w:val="20"/>
                <w:szCs w:val="20"/>
              </w:rPr>
            </w:pPr>
          </w:p>
        </w:tc>
      </w:tr>
      <w:tr w14:paraId="206D136D" w14:textId="539F92A7" w:rsidTr="00A36A64">
        <w:tblPrEx>
          <w:tblW w:w="0" w:type="auto"/>
          <w:jc w:val="center"/>
          <w:tblLook w:val="04A0"/>
        </w:tblPrEx>
        <w:trPr>
          <w:trHeight w:val="432"/>
          <w:jc w:val="center"/>
        </w:trPr>
        <w:tc>
          <w:tcPr>
            <w:tcW w:w="1962" w:type="dxa"/>
            <w:shd w:val="clear" w:color="auto" w:fill="F2F2F2" w:themeFill="background1" w:themeFillShade="F2"/>
            <w:vAlign w:val="center"/>
          </w:tcPr>
          <w:p w:rsidR="001D41FB" w:rsidRPr="000279C2" w14:paraId="70B217E1" w14:textId="77777777">
            <w:pPr>
              <w:pStyle w:val="Style"/>
              <w:ind w:right="119"/>
              <w:rPr>
                <w:sz w:val="20"/>
                <w:szCs w:val="20"/>
              </w:rPr>
            </w:pPr>
          </w:p>
        </w:tc>
        <w:tc>
          <w:tcPr>
            <w:tcW w:w="2564" w:type="dxa"/>
            <w:shd w:val="clear" w:color="auto" w:fill="F2F2F2" w:themeFill="background1" w:themeFillShade="F2"/>
            <w:vAlign w:val="center"/>
          </w:tcPr>
          <w:p w:rsidR="001D41FB" w:rsidRPr="000279C2" w14:paraId="7B4B0108" w14:textId="77777777">
            <w:pPr>
              <w:pStyle w:val="Style"/>
              <w:rPr>
                <w:sz w:val="20"/>
                <w:szCs w:val="20"/>
              </w:rPr>
            </w:pPr>
          </w:p>
        </w:tc>
        <w:tc>
          <w:tcPr>
            <w:tcW w:w="1241" w:type="dxa"/>
            <w:shd w:val="clear" w:color="auto" w:fill="F2F2F2" w:themeFill="background1" w:themeFillShade="F2"/>
            <w:vAlign w:val="center"/>
          </w:tcPr>
          <w:p w:rsidR="001D41FB" w:rsidRPr="000279C2" w14:paraId="07737823" w14:textId="77777777">
            <w:pPr>
              <w:keepNext/>
              <w:keepLines/>
              <w:tabs>
                <w:tab w:val="left" w:pos="1440"/>
                <w:tab w:val="left" w:pos="6210"/>
              </w:tabs>
              <w:jc w:val="right"/>
              <w:rPr>
                <w:sz w:val="20"/>
                <w:szCs w:val="20"/>
              </w:rPr>
            </w:pPr>
          </w:p>
        </w:tc>
        <w:tc>
          <w:tcPr>
            <w:tcW w:w="1923" w:type="dxa"/>
            <w:shd w:val="clear" w:color="auto" w:fill="F2F2F2" w:themeFill="background1" w:themeFillShade="F2"/>
          </w:tcPr>
          <w:p w:rsidR="001D41FB" w:rsidRPr="000279C2" w14:paraId="73D47D4D" w14:textId="77777777">
            <w:pPr>
              <w:keepNext/>
              <w:keepLines/>
              <w:tabs>
                <w:tab w:val="left" w:pos="1440"/>
                <w:tab w:val="left" w:pos="6210"/>
              </w:tabs>
              <w:jc w:val="right"/>
              <w:rPr>
                <w:sz w:val="20"/>
                <w:szCs w:val="20"/>
              </w:rPr>
            </w:pPr>
          </w:p>
        </w:tc>
        <w:tc>
          <w:tcPr>
            <w:tcW w:w="1650" w:type="dxa"/>
            <w:shd w:val="clear" w:color="auto" w:fill="F2F2F2" w:themeFill="background1" w:themeFillShade="F2"/>
          </w:tcPr>
          <w:p w:rsidR="00A36A64" w:rsidRPr="0039752A" w14:paraId="2223F317" w14:textId="77777777">
            <w:pPr>
              <w:keepNext/>
              <w:keepLines/>
              <w:tabs>
                <w:tab w:val="left" w:pos="1440"/>
                <w:tab w:val="left" w:pos="6210"/>
              </w:tabs>
              <w:jc w:val="right"/>
              <w:rPr>
                <w:sz w:val="20"/>
                <w:szCs w:val="20"/>
              </w:rPr>
            </w:pPr>
          </w:p>
        </w:tc>
      </w:tr>
      <w:tr w14:paraId="0F9ACAAE" w14:textId="4C15D7C8" w:rsidTr="00A36A64">
        <w:tblPrEx>
          <w:tblW w:w="0" w:type="auto"/>
          <w:jc w:val="center"/>
          <w:tblLook w:val="04A0"/>
        </w:tblPrEx>
        <w:trPr>
          <w:trHeight w:val="432"/>
          <w:jc w:val="center"/>
        </w:trPr>
        <w:tc>
          <w:tcPr>
            <w:tcW w:w="1962" w:type="dxa"/>
            <w:shd w:val="clear" w:color="auto" w:fill="auto"/>
            <w:vAlign w:val="center"/>
            <w:hideMark/>
          </w:tcPr>
          <w:p w:rsidR="001D41FB" w:rsidRPr="000279C2" w14:paraId="138EF805" w14:textId="77777777">
            <w:pPr>
              <w:keepNext/>
              <w:keepLines/>
              <w:tabs>
                <w:tab w:val="left" w:pos="1440"/>
                <w:tab w:val="left" w:pos="6210"/>
              </w:tabs>
              <w:rPr>
                <w:sz w:val="20"/>
                <w:szCs w:val="20"/>
              </w:rPr>
            </w:pPr>
          </w:p>
        </w:tc>
        <w:tc>
          <w:tcPr>
            <w:tcW w:w="2564" w:type="dxa"/>
            <w:shd w:val="clear" w:color="auto" w:fill="auto"/>
            <w:vAlign w:val="center"/>
            <w:hideMark/>
          </w:tcPr>
          <w:p w:rsidR="001D41FB" w:rsidRPr="000279C2" w14:paraId="6ECD8CDD" w14:textId="77777777">
            <w:pPr>
              <w:rPr>
                <w:sz w:val="20"/>
                <w:szCs w:val="20"/>
              </w:rPr>
            </w:pPr>
          </w:p>
        </w:tc>
        <w:tc>
          <w:tcPr>
            <w:tcW w:w="1241" w:type="dxa"/>
            <w:shd w:val="clear" w:color="auto" w:fill="auto"/>
            <w:vAlign w:val="center"/>
          </w:tcPr>
          <w:p w:rsidR="001D41FB" w:rsidRPr="000279C2" w14:paraId="5EA1EB33" w14:textId="77777777">
            <w:pPr>
              <w:keepNext/>
              <w:keepLines/>
              <w:tabs>
                <w:tab w:val="left" w:pos="1440"/>
                <w:tab w:val="left" w:pos="6210"/>
              </w:tabs>
              <w:jc w:val="right"/>
              <w:rPr>
                <w:sz w:val="20"/>
                <w:szCs w:val="20"/>
              </w:rPr>
            </w:pPr>
          </w:p>
        </w:tc>
        <w:tc>
          <w:tcPr>
            <w:tcW w:w="1923" w:type="dxa"/>
          </w:tcPr>
          <w:p w:rsidR="001D41FB" w:rsidRPr="000279C2" w14:paraId="04C8F98B" w14:textId="77777777">
            <w:pPr>
              <w:keepNext/>
              <w:keepLines/>
              <w:tabs>
                <w:tab w:val="left" w:pos="1440"/>
                <w:tab w:val="left" w:pos="6210"/>
              </w:tabs>
              <w:jc w:val="right"/>
              <w:rPr>
                <w:sz w:val="20"/>
                <w:szCs w:val="20"/>
              </w:rPr>
            </w:pPr>
          </w:p>
        </w:tc>
        <w:tc>
          <w:tcPr>
            <w:tcW w:w="1650" w:type="dxa"/>
          </w:tcPr>
          <w:p w:rsidR="00A36A64" w:rsidRPr="0039752A" w14:paraId="79AAE0F1" w14:textId="77777777">
            <w:pPr>
              <w:keepNext/>
              <w:keepLines/>
              <w:tabs>
                <w:tab w:val="left" w:pos="1440"/>
                <w:tab w:val="left" w:pos="6210"/>
              </w:tabs>
              <w:jc w:val="right"/>
              <w:rPr>
                <w:sz w:val="20"/>
                <w:szCs w:val="20"/>
              </w:rPr>
            </w:pPr>
          </w:p>
        </w:tc>
      </w:tr>
    </w:tbl>
    <w:p w:rsidR="00152E40" w:rsidP="006B7003" w14:paraId="06A4A064" w14:textId="77777777">
      <w:pPr>
        <w:pStyle w:val="paragraph"/>
        <w:spacing w:before="0" w:beforeAutospacing="0" w:after="0" w:afterAutospacing="0"/>
        <w:ind w:left="720"/>
        <w:textAlignment w:val="baseline"/>
        <w:rPr>
          <w:rStyle w:val="eop"/>
          <w:rFonts w:asciiTheme="minorHAnsi" w:hAnsiTheme="minorHAnsi" w:cstheme="minorHAnsi"/>
          <w:sz w:val="22"/>
          <w:szCs w:val="22"/>
        </w:rPr>
      </w:pPr>
    </w:p>
    <w:p w:rsidR="004E11E5" w:rsidP="004E11E5" w14:paraId="7C5019CF" w14:textId="329FFA6F">
      <w:pPr>
        <w:pStyle w:val="paragraph"/>
        <w:spacing w:before="0" w:beforeAutospacing="0" w:after="0" w:afterAutospacing="0"/>
        <w:textAlignment w:val="baseline"/>
        <w:rPr>
          <w:rFonts w:asciiTheme="minorHAnsi" w:hAnsiTheme="minorHAnsi" w:cstheme="minorHAnsi"/>
          <w:sz w:val="22"/>
          <w:szCs w:val="22"/>
        </w:rPr>
      </w:pPr>
      <w:r w:rsidRPr="00D7536E">
        <w:rPr>
          <w:rFonts w:asciiTheme="minorHAnsi" w:hAnsiTheme="minorHAnsi" w:cstheme="minorHAnsi"/>
          <w:sz w:val="22"/>
          <w:szCs w:val="22"/>
        </w:rPr>
        <w:t>* List one of the following core functions: R&amp;D, Translation, WFD, Governance and Management, or Other Ecosystem Building</w:t>
      </w:r>
      <w:r w:rsidRPr="00D7536E" w:rsidR="00D7536E">
        <w:rPr>
          <w:rFonts w:asciiTheme="minorHAnsi" w:hAnsiTheme="minorHAnsi" w:cstheme="minorHAnsi"/>
          <w:sz w:val="22"/>
          <w:szCs w:val="22"/>
        </w:rPr>
        <w:t xml:space="preserve">. </w:t>
      </w:r>
      <w:r w:rsidRPr="00D7536E">
        <w:rPr>
          <w:rFonts w:asciiTheme="minorHAnsi" w:hAnsiTheme="minorHAnsi" w:cstheme="minorHAnsi"/>
          <w:sz w:val="22"/>
          <w:szCs w:val="22"/>
        </w:rPr>
        <w:t xml:space="preserve">Where applicable, </w:t>
      </w:r>
      <w:r w:rsidRPr="00D7536E" w:rsidR="00D7536E">
        <w:rPr>
          <w:rFonts w:asciiTheme="minorHAnsi" w:hAnsiTheme="minorHAnsi" w:cstheme="minorHAnsi"/>
          <w:sz w:val="22"/>
          <w:szCs w:val="22"/>
        </w:rPr>
        <w:t xml:space="preserve">also </w:t>
      </w:r>
      <w:r w:rsidR="00EB716F">
        <w:rPr>
          <w:rFonts w:asciiTheme="minorHAnsi" w:hAnsiTheme="minorHAnsi" w:cstheme="minorHAnsi"/>
          <w:sz w:val="22"/>
          <w:szCs w:val="22"/>
        </w:rPr>
        <w:t>list</w:t>
      </w:r>
      <w:r w:rsidRPr="00D7536E">
        <w:rPr>
          <w:rFonts w:asciiTheme="minorHAnsi" w:hAnsiTheme="minorHAnsi" w:cstheme="minorHAnsi"/>
          <w:sz w:val="22"/>
          <w:szCs w:val="22"/>
        </w:rPr>
        <w:t xml:space="preserve"> the associated activity</w:t>
      </w:r>
      <w:r w:rsidR="00EB716F">
        <w:rPr>
          <w:rFonts w:asciiTheme="minorHAnsi" w:hAnsiTheme="minorHAnsi" w:cstheme="minorHAnsi"/>
          <w:sz w:val="22"/>
          <w:szCs w:val="22"/>
        </w:rPr>
        <w:t>(</w:t>
      </w:r>
      <w:r w:rsidR="00FC3DA7">
        <w:rPr>
          <w:rFonts w:asciiTheme="minorHAnsi" w:hAnsiTheme="minorHAnsi" w:cstheme="minorHAnsi"/>
          <w:sz w:val="22"/>
          <w:szCs w:val="22"/>
        </w:rPr>
        <w:t>ies</w:t>
      </w:r>
      <w:r w:rsidR="00FC3DA7">
        <w:rPr>
          <w:rFonts w:asciiTheme="minorHAnsi" w:hAnsiTheme="minorHAnsi" w:cstheme="minorHAnsi"/>
          <w:sz w:val="22"/>
          <w:szCs w:val="22"/>
        </w:rPr>
        <w:t xml:space="preserve">) or project </w:t>
      </w:r>
      <w:r w:rsidR="00EB716F">
        <w:rPr>
          <w:rFonts w:asciiTheme="minorHAnsi" w:hAnsiTheme="minorHAnsi" w:cstheme="minorHAnsi"/>
          <w:sz w:val="22"/>
          <w:szCs w:val="22"/>
        </w:rPr>
        <w:t>using the</w:t>
      </w:r>
      <w:r w:rsidRPr="00D7536E">
        <w:rPr>
          <w:rFonts w:asciiTheme="minorHAnsi" w:hAnsiTheme="minorHAnsi" w:cstheme="minorHAnsi"/>
          <w:sz w:val="22"/>
          <w:szCs w:val="22"/>
        </w:rPr>
        <w:t xml:space="preserve"> naming convention in the </w:t>
      </w:r>
      <w:r w:rsidR="00C369C2">
        <w:rPr>
          <w:rFonts w:asciiTheme="minorHAnsi" w:hAnsiTheme="minorHAnsi" w:cstheme="minorHAnsi"/>
          <w:sz w:val="22"/>
          <w:szCs w:val="22"/>
        </w:rPr>
        <w:t>Budget and Resources spreadsheet</w:t>
      </w:r>
      <w:r w:rsidRPr="00D7536E">
        <w:rPr>
          <w:rFonts w:asciiTheme="minorHAnsi" w:hAnsiTheme="minorHAnsi" w:cstheme="minorHAnsi"/>
          <w:sz w:val="22"/>
          <w:szCs w:val="22"/>
        </w:rPr>
        <w:t xml:space="preserve"> (e.g. TR-1, WFD-2, etc.)</w:t>
      </w:r>
      <w:r w:rsidRPr="00D7536E" w:rsidR="00D7536E">
        <w:rPr>
          <w:rFonts w:asciiTheme="minorHAnsi" w:hAnsiTheme="minorHAnsi" w:cstheme="minorHAnsi"/>
          <w:sz w:val="22"/>
          <w:szCs w:val="22"/>
        </w:rPr>
        <w:t>.</w:t>
      </w:r>
    </w:p>
    <w:p w:rsidR="00B30354" w:rsidRPr="00D7536E" w:rsidP="004E11E5" w14:paraId="6ECC761C" w14:textId="577B100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Include impact to the associated activity</w:t>
      </w:r>
      <w:r w:rsidR="00AA508E">
        <w:rPr>
          <w:rFonts w:asciiTheme="minorHAnsi" w:hAnsiTheme="minorHAnsi" w:cstheme="minorHAnsi"/>
          <w:sz w:val="22"/>
          <w:szCs w:val="22"/>
        </w:rPr>
        <w:t xml:space="preserve"> or project</w:t>
      </w:r>
      <w:r>
        <w:rPr>
          <w:rFonts w:asciiTheme="minorHAnsi" w:hAnsiTheme="minorHAnsi" w:cstheme="minorHAnsi"/>
          <w:sz w:val="22"/>
          <w:szCs w:val="22"/>
        </w:rPr>
        <w:t>, where applicable.</w:t>
      </w:r>
    </w:p>
    <w:p w:rsidR="0032303F" w:rsidRPr="000279C2" w:rsidP="0032303F" w14:paraId="35D43A87" w14:textId="77777777">
      <w:pPr>
        <w:pStyle w:val="ListParagraph"/>
        <w:rPr>
          <w:rFonts w:cstheme="minorHAnsi"/>
        </w:rPr>
      </w:pPr>
    </w:p>
    <w:p w:rsidR="0032303F" w:rsidRPr="00366ACC" w:rsidP="00366ACC" w14:paraId="0D3008BD" w14:textId="7E24481E">
      <w:pPr>
        <w:pStyle w:val="paragraph"/>
        <w:numPr>
          <w:ilvl w:val="0"/>
          <w:numId w:val="12"/>
        </w:numPr>
        <w:spacing w:before="0" w:beforeAutospacing="0" w:after="0" w:afterAutospacing="0"/>
        <w:textAlignment w:val="baseline"/>
        <w:rPr>
          <w:rFonts w:asciiTheme="minorHAnsi" w:hAnsiTheme="minorHAnsi" w:cstheme="minorHAnsi"/>
          <w:b/>
          <w:sz w:val="22"/>
          <w:szCs w:val="22"/>
        </w:rPr>
      </w:pPr>
      <w:r w:rsidRPr="00366ACC">
        <w:rPr>
          <w:rFonts w:asciiTheme="minorHAnsi" w:hAnsiTheme="minorHAnsi" w:cstheme="minorHAnsi"/>
          <w:b/>
          <w:sz w:val="22"/>
          <w:szCs w:val="22"/>
        </w:rPr>
        <w:t>A</w:t>
      </w:r>
      <w:r w:rsidRPr="00366ACC">
        <w:rPr>
          <w:rFonts w:asciiTheme="minorHAnsi" w:hAnsiTheme="minorHAnsi" w:cstheme="minorHAnsi"/>
          <w:b/>
          <w:sz w:val="22"/>
          <w:szCs w:val="22"/>
        </w:rPr>
        <w:t xml:space="preserve">ward-Specific </w:t>
      </w:r>
      <w:r w:rsidRPr="00366ACC">
        <w:rPr>
          <w:rFonts w:asciiTheme="minorHAnsi" w:hAnsiTheme="minorHAnsi" w:cstheme="minorHAnsi"/>
          <w:b/>
          <w:sz w:val="22"/>
          <w:szCs w:val="22"/>
        </w:rPr>
        <w:t>Terms and Conditions</w:t>
      </w:r>
    </w:p>
    <w:p w:rsidR="00F01CB1" w:rsidP="00A16063" w14:paraId="7D0D1413" w14:textId="18FD2434">
      <w:pPr>
        <w:pStyle w:val="paragraph"/>
        <w:spacing w:before="0" w:beforeAutospacing="0" w:after="0" w:afterAutospacing="0"/>
        <w:ind w:left="720"/>
        <w:textAlignment w:val="baseline"/>
        <w:rPr>
          <w:rFonts w:asciiTheme="minorHAnsi" w:hAnsiTheme="minorHAnsi" w:cstheme="minorBidi"/>
          <w:sz w:val="22"/>
          <w:szCs w:val="22"/>
        </w:rPr>
      </w:pPr>
      <w:r w:rsidRPr="1BE579EF">
        <w:rPr>
          <w:rFonts w:asciiTheme="minorHAnsi" w:hAnsiTheme="minorHAnsi" w:cstheme="minorBidi"/>
          <w:sz w:val="22"/>
          <w:szCs w:val="22"/>
        </w:rPr>
        <w:t>&lt;&lt;</w:t>
      </w:r>
      <w:r w:rsidRPr="1BE579EF">
        <w:rPr>
          <w:rStyle w:val="normaltextrun"/>
          <w:rFonts w:asciiTheme="minorHAnsi" w:hAnsiTheme="minorHAnsi" w:cstheme="minorBidi"/>
          <w:sz w:val="22"/>
          <w:szCs w:val="22"/>
        </w:rPr>
        <w:t xml:space="preserve"> DELETE this reference text in the final version of report. </w:t>
      </w:r>
      <w:r w:rsidRPr="1BE579EF" w:rsidR="0015549F">
        <w:rPr>
          <w:rFonts w:asciiTheme="minorHAnsi" w:hAnsiTheme="minorHAnsi" w:cstheme="minorBidi"/>
          <w:sz w:val="22"/>
          <w:szCs w:val="22"/>
        </w:rPr>
        <w:t xml:space="preserve">Each Engine </w:t>
      </w:r>
      <w:r w:rsidRPr="1BE579EF" w:rsidR="0008646D">
        <w:rPr>
          <w:rFonts w:asciiTheme="minorHAnsi" w:hAnsiTheme="minorHAnsi" w:cstheme="minorBidi"/>
          <w:sz w:val="22"/>
          <w:szCs w:val="22"/>
        </w:rPr>
        <w:t xml:space="preserve">award </w:t>
      </w:r>
      <w:r w:rsidRPr="1BE579EF" w:rsidR="0015549F">
        <w:rPr>
          <w:rFonts w:asciiTheme="minorHAnsi" w:hAnsiTheme="minorHAnsi" w:cstheme="minorBidi"/>
          <w:sz w:val="22"/>
          <w:szCs w:val="22"/>
        </w:rPr>
        <w:t xml:space="preserve">has </w:t>
      </w:r>
      <w:r w:rsidRPr="1BE579EF" w:rsidR="007937F6">
        <w:rPr>
          <w:rFonts w:asciiTheme="minorHAnsi" w:hAnsiTheme="minorHAnsi" w:cstheme="minorBidi"/>
          <w:sz w:val="22"/>
          <w:szCs w:val="22"/>
        </w:rPr>
        <w:t xml:space="preserve">a </w:t>
      </w:r>
      <w:r w:rsidRPr="1BE579EF" w:rsidR="008016C5">
        <w:rPr>
          <w:rFonts w:asciiTheme="minorHAnsi" w:hAnsiTheme="minorHAnsi" w:cstheme="minorBidi"/>
          <w:sz w:val="22"/>
          <w:szCs w:val="22"/>
        </w:rPr>
        <w:t xml:space="preserve">list of </w:t>
      </w:r>
      <w:r w:rsidR="002A7665">
        <w:rPr>
          <w:rFonts w:asciiTheme="minorHAnsi" w:hAnsiTheme="minorHAnsi" w:cstheme="minorBidi"/>
          <w:sz w:val="22"/>
          <w:szCs w:val="22"/>
        </w:rPr>
        <w:t>T</w:t>
      </w:r>
      <w:r w:rsidRPr="1BE579EF" w:rsidR="008016C5">
        <w:rPr>
          <w:rFonts w:asciiTheme="minorHAnsi" w:hAnsiTheme="minorHAnsi" w:cstheme="minorBidi"/>
          <w:sz w:val="22"/>
          <w:szCs w:val="22"/>
        </w:rPr>
        <w:t xml:space="preserve">erms and </w:t>
      </w:r>
      <w:r w:rsidR="002A7665">
        <w:rPr>
          <w:rFonts w:asciiTheme="minorHAnsi" w:hAnsiTheme="minorHAnsi" w:cstheme="minorBidi"/>
          <w:sz w:val="22"/>
          <w:szCs w:val="22"/>
        </w:rPr>
        <w:t>C</w:t>
      </w:r>
      <w:r w:rsidRPr="1BE579EF" w:rsidR="008016C5">
        <w:rPr>
          <w:rFonts w:asciiTheme="minorHAnsi" w:hAnsiTheme="minorHAnsi" w:cstheme="minorBidi"/>
          <w:sz w:val="22"/>
          <w:szCs w:val="22"/>
        </w:rPr>
        <w:t>onditions</w:t>
      </w:r>
      <w:r w:rsidRPr="1BE579EF" w:rsidR="00A46EE0">
        <w:rPr>
          <w:rFonts w:asciiTheme="minorHAnsi" w:hAnsiTheme="minorHAnsi" w:cstheme="minorBidi"/>
          <w:sz w:val="22"/>
          <w:szCs w:val="22"/>
        </w:rPr>
        <w:t xml:space="preserve"> that are specific to their award</w:t>
      </w:r>
      <w:r w:rsidRPr="1BE579EF" w:rsidR="00A16063">
        <w:rPr>
          <w:rFonts w:asciiTheme="minorHAnsi" w:hAnsiTheme="minorHAnsi" w:cstheme="minorBidi"/>
          <w:sz w:val="22"/>
          <w:szCs w:val="22"/>
        </w:rPr>
        <w:t xml:space="preserve">. </w:t>
      </w:r>
      <w:r w:rsidR="00821364">
        <w:rPr>
          <w:rFonts w:asciiTheme="minorHAnsi" w:hAnsiTheme="minorHAnsi" w:cstheme="minorBidi"/>
          <w:sz w:val="22"/>
          <w:szCs w:val="22"/>
        </w:rPr>
        <w:t>Th</w:t>
      </w:r>
      <w:r w:rsidR="00675828">
        <w:rPr>
          <w:rFonts w:asciiTheme="minorHAnsi" w:hAnsiTheme="minorHAnsi" w:cstheme="minorBidi"/>
          <w:sz w:val="22"/>
          <w:szCs w:val="22"/>
        </w:rPr>
        <w:t>is</w:t>
      </w:r>
      <w:r w:rsidR="00821364">
        <w:rPr>
          <w:rFonts w:asciiTheme="minorHAnsi" w:hAnsiTheme="minorHAnsi" w:cstheme="minorBidi"/>
          <w:sz w:val="22"/>
          <w:szCs w:val="22"/>
        </w:rPr>
        <w:t xml:space="preserve"> </w:t>
      </w:r>
      <w:r w:rsidR="00B56427">
        <w:rPr>
          <w:rFonts w:asciiTheme="minorHAnsi" w:hAnsiTheme="minorHAnsi" w:cstheme="minorBidi"/>
          <w:sz w:val="22"/>
          <w:szCs w:val="22"/>
        </w:rPr>
        <w:t xml:space="preserve">list of award specific Terms and Conditions </w:t>
      </w:r>
      <w:r w:rsidR="006C2D1C">
        <w:rPr>
          <w:rFonts w:asciiTheme="minorHAnsi" w:hAnsiTheme="minorHAnsi" w:cstheme="minorBidi"/>
          <w:sz w:val="22"/>
          <w:szCs w:val="22"/>
        </w:rPr>
        <w:t xml:space="preserve">can also be found in each Engine’s SharePoint </w:t>
      </w:r>
      <w:r w:rsidR="00373AFB">
        <w:rPr>
          <w:rFonts w:asciiTheme="minorHAnsi" w:hAnsiTheme="minorHAnsi" w:cstheme="minorBidi"/>
          <w:sz w:val="22"/>
          <w:szCs w:val="22"/>
        </w:rPr>
        <w:t>s</w:t>
      </w:r>
      <w:r w:rsidR="006C2D1C">
        <w:rPr>
          <w:rFonts w:asciiTheme="minorHAnsi" w:hAnsiTheme="minorHAnsi" w:cstheme="minorBidi"/>
          <w:sz w:val="22"/>
          <w:szCs w:val="22"/>
        </w:rPr>
        <w:t xml:space="preserve">ite. </w:t>
      </w:r>
      <w:r w:rsidRPr="1BE579EF" w:rsidR="00BE35E9">
        <w:rPr>
          <w:rFonts w:asciiTheme="minorHAnsi" w:hAnsiTheme="minorHAnsi" w:cstheme="minorBidi"/>
          <w:sz w:val="22"/>
          <w:szCs w:val="22"/>
        </w:rPr>
        <w:t>In this section, Engines should describe progress</w:t>
      </w:r>
      <w:r w:rsidRPr="1BE579EF" w:rsidR="002C32B0">
        <w:rPr>
          <w:rFonts w:asciiTheme="minorHAnsi" w:hAnsiTheme="minorHAnsi" w:cstheme="minorBidi"/>
          <w:sz w:val="22"/>
          <w:szCs w:val="22"/>
        </w:rPr>
        <w:t xml:space="preserve"> </w:t>
      </w:r>
      <w:r w:rsidRPr="1BE579EF" w:rsidR="00BF3531">
        <w:rPr>
          <w:rFonts w:asciiTheme="minorHAnsi" w:hAnsiTheme="minorHAnsi" w:cstheme="minorBidi"/>
          <w:sz w:val="22"/>
          <w:szCs w:val="22"/>
        </w:rPr>
        <w:t>on these items</w:t>
      </w:r>
      <w:r w:rsidRPr="1BE579EF" w:rsidR="002C32B0">
        <w:rPr>
          <w:rFonts w:asciiTheme="minorHAnsi" w:hAnsiTheme="minorHAnsi" w:cstheme="minorBidi"/>
          <w:sz w:val="22"/>
          <w:szCs w:val="22"/>
        </w:rPr>
        <w:t xml:space="preserve"> since the last reporting period</w:t>
      </w:r>
      <w:r w:rsidRPr="1BE579EF" w:rsidR="00C9797C">
        <w:rPr>
          <w:rFonts w:asciiTheme="minorHAnsi" w:hAnsiTheme="minorHAnsi" w:cstheme="minorBidi"/>
          <w:sz w:val="22"/>
          <w:szCs w:val="22"/>
        </w:rPr>
        <w:t xml:space="preserve">. Include a separate subsection for each </w:t>
      </w:r>
      <w:r w:rsidRPr="1BE579EF" w:rsidR="00C9797C">
        <w:rPr>
          <w:rFonts w:asciiTheme="minorHAnsi" w:hAnsiTheme="minorHAnsi" w:cstheme="minorBidi"/>
          <w:sz w:val="22"/>
          <w:szCs w:val="22"/>
        </w:rPr>
        <w:t>term and condition</w:t>
      </w:r>
      <w:r w:rsidRPr="1BE579EF" w:rsidR="00BF3531">
        <w:rPr>
          <w:rFonts w:asciiTheme="minorHAnsi" w:hAnsiTheme="minorHAnsi" w:cstheme="minorBidi"/>
          <w:sz w:val="22"/>
          <w:szCs w:val="22"/>
        </w:rPr>
        <w:t xml:space="preserve"> where there is progress to report</w:t>
      </w:r>
      <w:r w:rsidRPr="1BE579EF" w:rsidR="008933CE">
        <w:rPr>
          <w:rFonts w:asciiTheme="minorHAnsi" w:hAnsiTheme="minorHAnsi" w:cstheme="minorBidi"/>
          <w:sz w:val="22"/>
          <w:szCs w:val="22"/>
        </w:rPr>
        <w:t>; i</w:t>
      </w:r>
      <w:r w:rsidRPr="1BE579EF" w:rsidR="00314F10">
        <w:rPr>
          <w:rFonts w:asciiTheme="minorHAnsi" w:hAnsiTheme="minorHAnsi" w:cstheme="minorBidi"/>
          <w:sz w:val="22"/>
          <w:szCs w:val="22"/>
        </w:rPr>
        <w:t>nclud</w:t>
      </w:r>
      <w:r w:rsidRPr="1BE579EF" w:rsidR="008933CE">
        <w:rPr>
          <w:rFonts w:asciiTheme="minorHAnsi" w:hAnsiTheme="minorHAnsi" w:cstheme="minorBidi"/>
          <w:sz w:val="22"/>
          <w:szCs w:val="22"/>
        </w:rPr>
        <w:t>e</w:t>
      </w:r>
      <w:r w:rsidRPr="1BE579EF" w:rsidR="00314F10">
        <w:rPr>
          <w:rFonts w:asciiTheme="minorHAnsi" w:hAnsiTheme="minorHAnsi" w:cstheme="minorBidi"/>
          <w:sz w:val="22"/>
          <w:szCs w:val="22"/>
        </w:rPr>
        <w:t xml:space="preserve"> the full text of the given </w:t>
      </w:r>
      <w:r w:rsidR="00537A57">
        <w:rPr>
          <w:rFonts w:asciiTheme="minorHAnsi" w:hAnsiTheme="minorHAnsi" w:cstheme="minorBidi"/>
          <w:sz w:val="22"/>
          <w:szCs w:val="22"/>
        </w:rPr>
        <w:t>item</w:t>
      </w:r>
      <w:r w:rsidRPr="1BE579EF" w:rsidR="00A16063">
        <w:rPr>
          <w:rFonts w:asciiTheme="minorHAnsi" w:hAnsiTheme="minorHAnsi" w:cstheme="minorBidi"/>
          <w:sz w:val="22"/>
          <w:szCs w:val="22"/>
        </w:rPr>
        <w:t>. Suggested length: up to two paragraphs for each</w:t>
      </w:r>
      <w:r w:rsidRPr="1BE579EF" w:rsidR="00E34D7C">
        <w:rPr>
          <w:rFonts w:asciiTheme="minorHAnsi" w:hAnsiTheme="minorHAnsi" w:cstheme="minorBidi"/>
          <w:sz w:val="22"/>
          <w:szCs w:val="22"/>
        </w:rPr>
        <w:t xml:space="preserve"> </w:t>
      </w:r>
      <w:r w:rsidR="004D29A3">
        <w:rPr>
          <w:rFonts w:asciiTheme="minorHAnsi" w:hAnsiTheme="minorHAnsi" w:cstheme="minorBidi"/>
          <w:sz w:val="22"/>
          <w:szCs w:val="22"/>
        </w:rPr>
        <w:t>item</w:t>
      </w:r>
      <w:r w:rsidRPr="1BE579EF" w:rsidR="00A16063">
        <w:rPr>
          <w:rFonts w:asciiTheme="minorHAnsi" w:hAnsiTheme="minorHAnsi" w:cstheme="minorBidi"/>
          <w:sz w:val="22"/>
          <w:szCs w:val="22"/>
        </w:rPr>
        <w:t>.</w:t>
      </w:r>
      <w:r w:rsidRPr="1BE579EF">
        <w:rPr>
          <w:rFonts w:asciiTheme="minorHAnsi" w:hAnsiTheme="minorHAnsi" w:cstheme="minorBidi"/>
          <w:sz w:val="22"/>
          <w:szCs w:val="22"/>
        </w:rPr>
        <w:t>&gt;&gt;</w:t>
      </w:r>
    </w:p>
    <w:p w:rsidR="009E6335" w:rsidP="00A16063" w14:paraId="5FB11EEE" w14:textId="77777777">
      <w:pPr>
        <w:pStyle w:val="paragraph"/>
        <w:spacing w:before="0" w:beforeAutospacing="0" w:after="0" w:afterAutospacing="0"/>
        <w:ind w:left="720"/>
        <w:textAlignment w:val="baseline"/>
        <w:rPr>
          <w:rFonts w:asciiTheme="minorHAnsi" w:hAnsiTheme="minorHAnsi" w:cstheme="minorBidi"/>
          <w:sz w:val="22"/>
          <w:szCs w:val="22"/>
        </w:rPr>
      </w:pPr>
    </w:p>
    <w:p w:rsidR="00AB45FF" w:rsidP="00A16063" w14:paraId="2E254A9D" w14:textId="77777777">
      <w:pPr>
        <w:pStyle w:val="paragraph"/>
        <w:spacing w:before="0" w:beforeAutospacing="0" w:after="0" w:afterAutospacing="0"/>
        <w:ind w:left="720"/>
        <w:textAlignment w:val="baseline"/>
        <w:rPr>
          <w:rFonts w:asciiTheme="minorHAnsi" w:hAnsiTheme="minorHAnsi" w:cstheme="minorBidi"/>
          <w:sz w:val="22"/>
          <w:szCs w:val="22"/>
        </w:rPr>
      </w:pPr>
    </w:p>
    <w:p w:rsidR="00EA06A0" w:rsidRPr="00FA1AE0" w:rsidP="00EA06A0" w14:paraId="3BA22012" w14:textId="0B0D348E">
      <w:pPr>
        <w:pStyle w:val="paragraph"/>
        <w:numPr>
          <w:ilvl w:val="0"/>
          <w:numId w:val="12"/>
        </w:numPr>
        <w:spacing w:before="0" w:beforeAutospacing="0" w:after="0" w:afterAutospacing="0"/>
        <w:textAlignment w:val="baseline"/>
        <w:rPr>
          <w:rStyle w:val="eop"/>
          <w:rFonts w:cstheme="minorHAnsi"/>
        </w:rPr>
      </w:pPr>
      <w:r w:rsidRPr="00272A33">
        <w:rPr>
          <w:rStyle w:val="normaltextrun"/>
          <w:rFonts w:asciiTheme="minorHAnsi" w:hAnsiTheme="minorHAnsi" w:cstheme="minorBidi"/>
          <w:b/>
          <w:bCs/>
          <w:sz w:val="22"/>
          <w:szCs w:val="22"/>
        </w:rPr>
        <w:t>Risk Assessment and Monitoring.</w:t>
      </w:r>
      <w:r w:rsidRPr="74AF1011">
        <w:rPr>
          <w:rStyle w:val="normaltextrun"/>
          <w:rFonts w:asciiTheme="minorHAnsi" w:hAnsiTheme="minorHAnsi" w:cstheme="minorBidi"/>
          <w:sz w:val="22"/>
          <w:szCs w:val="22"/>
        </w:rPr>
        <w:t>  Within sixty days of the award start date, a comprehensive formal risk assessment should be performed of the Engine using widely accepted standards with details captured in a risk register, specifically any key risks identified and how those risks plan to be addressed, e.g., mitigate, transfer, eliminate, accept.  Status reporting of the identified risks shall be included in the quarterly reports to NSF. </w:t>
      </w:r>
    </w:p>
    <w:p w:rsidR="00560794" w:rsidRPr="00272A33" w:rsidP="00EA06A0" w14:paraId="554BC425" w14:textId="77777777">
      <w:pPr>
        <w:pStyle w:val="paragraph"/>
        <w:spacing w:before="0" w:beforeAutospacing="0" w:after="0" w:afterAutospacing="0"/>
        <w:ind w:left="720"/>
        <w:textAlignment w:val="baseline"/>
        <w:rPr>
          <w:rStyle w:val="eop"/>
          <w:rFonts w:cstheme="minorHAnsi"/>
        </w:rPr>
      </w:pPr>
    </w:p>
    <w:p w:rsidR="00FD3780" w:rsidP="007F1D40" w14:paraId="69D89D17" w14:textId="77777777">
      <w:pPr>
        <w:pStyle w:val="ListParagraph"/>
        <w:tabs>
          <w:tab w:val="left" w:pos="8220"/>
        </w:tabs>
        <w:rPr>
          <w:rStyle w:val="eop"/>
          <w:rFonts w:cstheme="minorHAnsi"/>
        </w:rPr>
      </w:pPr>
      <w:r w:rsidRPr="0039752A">
        <w:rPr>
          <w:rStyle w:val="eop"/>
          <w:rFonts w:cstheme="minorHAnsi"/>
        </w:rPr>
        <w:t>&lt;&lt;</w:t>
      </w:r>
      <w:r w:rsidRPr="009A3D32">
        <w:rPr>
          <w:rStyle w:val="eop"/>
          <w:rFonts w:cstheme="minorHAnsi"/>
        </w:rPr>
        <w:t xml:space="preserve"> </w:t>
      </w:r>
      <w:r w:rsidRPr="00026CB8">
        <w:rPr>
          <w:rStyle w:val="normaltextrun"/>
          <w:rFonts w:cstheme="minorHAnsi"/>
        </w:rPr>
        <w:t>DELETE this reference text in the final version of report</w:t>
      </w:r>
      <w:r>
        <w:rPr>
          <w:rStyle w:val="normaltextrun"/>
          <w:rFonts w:cstheme="minorHAnsi"/>
        </w:rPr>
        <w:t xml:space="preserve">. </w:t>
      </w:r>
      <w:r w:rsidRPr="009A3D32">
        <w:rPr>
          <w:rStyle w:val="eop"/>
          <w:rFonts w:cstheme="minorHAnsi"/>
        </w:rPr>
        <w:t xml:space="preserve">A qualitative risk analysis should be conducted to determine the risks, the probability of occurrence and impact to the Engie, the priority, risk response and planning for future. </w:t>
      </w:r>
    </w:p>
    <w:p w:rsidR="00FD3780" w:rsidP="007F1D40" w14:paraId="08B98902" w14:textId="77777777">
      <w:pPr>
        <w:pStyle w:val="ListParagraph"/>
        <w:tabs>
          <w:tab w:val="left" w:pos="8220"/>
        </w:tabs>
        <w:rPr>
          <w:rStyle w:val="eop"/>
          <w:rFonts w:cstheme="minorHAnsi"/>
        </w:rPr>
      </w:pPr>
    </w:p>
    <w:p w:rsidR="007F1D40" w:rsidRPr="009A3D32" w:rsidP="007F1D40" w14:paraId="570F523C" w14:textId="360F6C46">
      <w:pPr>
        <w:pStyle w:val="ListParagraph"/>
        <w:tabs>
          <w:tab w:val="left" w:pos="8220"/>
        </w:tabs>
        <w:rPr>
          <w:rStyle w:val="eop"/>
          <w:rFonts w:cstheme="minorHAnsi"/>
        </w:rPr>
      </w:pPr>
      <w:bookmarkStart w:id="2" w:name="_Hlk164973153"/>
      <w:r w:rsidRPr="00952266">
        <w:rPr>
          <w:rStyle w:val="eop"/>
          <w:rFonts w:cstheme="minorHAnsi"/>
        </w:rPr>
        <w:t>Note that efforts described in this section can be considered an Ecosystem Building Project, refer to the Engines Activities document in section C of this quarterly report template.</w:t>
      </w:r>
    </w:p>
    <w:bookmarkEnd w:id="2"/>
    <w:p w:rsidR="007F1D40" w:rsidRPr="000279C2" w:rsidP="007F1D40" w14:paraId="01D2ACBB" w14:textId="77777777">
      <w:pPr>
        <w:pStyle w:val="ListParagraph"/>
        <w:tabs>
          <w:tab w:val="left" w:pos="8220"/>
        </w:tabs>
        <w:rPr>
          <w:rStyle w:val="eop"/>
          <w:rFonts w:cstheme="minorHAnsi"/>
        </w:rPr>
      </w:pPr>
    </w:p>
    <w:p w:rsidR="007F1D40" w:rsidRPr="009A3D32" w:rsidP="007F1D40" w14:paraId="0A3928C0" w14:textId="77777777">
      <w:pPr>
        <w:pStyle w:val="ListParagraph"/>
        <w:tabs>
          <w:tab w:val="left" w:pos="8220"/>
        </w:tabs>
        <w:rPr>
          <w:rStyle w:val="eop"/>
        </w:rPr>
      </w:pPr>
      <w:r w:rsidRPr="1E9479FE">
        <w:rPr>
          <w:rStyle w:val="eop"/>
        </w:rPr>
        <w:t xml:space="preserve">The register or tracking tool should be organized in a tabular format, </w:t>
      </w:r>
      <w:r w:rsidRPr="1E9479FE">
        <w:rPr>
          <w:rStyle w:val="normaltextrun"/>
        </w:rPr>
        <w:t>“Engine Risk Tracking</w:t>
      </w:r>
      <w:r w:rsidRPr="1E9479FE">
        <w:rPr>
          <w:rStyle w:val="normaltextrun"/>
        </w:rPr>
        <w:t>_[</w:t>
      </w:r>
      <w:r w:rsidRPr="1E9479FE">
        <w:rPr>
          <w:rStyle w:val="normaltextrun"/>
        </w:rPr>
        <w:t>Q1, Q2, Q3, or Q4]_[2024 or 2025]_[Engine name].</w:t>
      </w:r>
      <w:r w:rsidRPr="1E9479FE">
        <w:rPr>
          <w:rStyle w:val="normaltextrun"/>
        </w:rPr>
        <w:t>xls</w:t>
      </w:r>
      <w:r w:rsidRPr="1E9479FE">
        <w:rPr>
          <w:rStyle w:val="normaltextrun"/>
        </w:rPr>
        <w:t>”</w:t>
      </w:r>
      <w:r w:rsidRPr="1E9479FE">
        <w:rPr>
          <w:rStyle w:val="eop"/>
        </w:rPr>
        <w:t xml:space="preserve"> and organized by risk category</w:t>
      </w:r>
      <w:r w:rsidRPr="2CF50D92">
        <w:rPr>
          <w:rStyle w:val="eop"/>
        </w:rPr>
        <w:t>.</w:t>
      </w:r>
      <w:r w:rsidRPr="1E9479FE">
        <w:rPr>
          <w:rStyle w:val="eop"/>
        </w:rPr>
        <w:t xml:space="preserve"> It must include at minimum, risk i.d.s, the individual risks (structured “if-then” risk statement), risk ranking, risk responses, risk category, risk owner, timing when the risk is likely to occur, response plans should the risk materialize or when it may no longer be relevant, risk triggers or early warning signs, current risk status. Definitions for the meta data as defined by the Engine should be included as a separate tab in the submitted file. </w:t>
      </w:r>
    </w:p>
    <w:p w:rsidR="007F1D40" w:rsidRPr="009A3D32" w:rsidP="007F1D40" w14:paraId="4DDD04AD" w14:textId="77777777">
      <w:pPr>
        <w:pStyle w:val="ListParagraph"/>
        <w:tabs>
          <w:tab w:val="left" w:pos="8220"/>
        </w:tabs>
        <w:rPr>
          <w:rStyle w:val="eop"/>
          <w:rFonts w:cstheme="minorHAnsi"/>
        </w:rPr>
      </w:pPr>
    </w:p>
    <w:p w:rsidR="007F1D40" w:rsidRPr="000279C2" w:rsidP="007F1D40" w14:paraId="330930CA" w14:textId="77777777">
      <w:pPr>
        <w:pStyle w:val="ListParagraph"/>
        <w:tabs>
          <w:tab w:val="left" w:pos="8220"/>
        </w:tabs>
        <w:rPr>
          <w:rStyle w:val="eop"/>
          <w:rFonts w:cstheme="minorHAnsi"/>
        </w:rPr>
      </w:pPr>
      <w:r w:rsidRPr="009A3D32">
        <w:rPr>
          <w:rStyle w:val="eop"/>
          <w:rFonts w:cstheme="minorHAnsi"/>
        </w:rPr>
        <w:t xml:space="preserve">In addition to the risk register, a narrative report should be included in this </w:t>
      </w:r>
      <w:r>
        <w:rPr>
          <w:rStyle w:val="eop"/>
          <w:rFonts w:cstheme="minorHAnsi"/>
        </w:rPr>
        <w:t>report</w:t>
      </w:r>
      <w:r w:rsidRPr="009A3D32">
        <w:rPr>
          <w:rStyle w:val="eop"/>
          <w:rFonts w:cstheme="minorHAnsi"/>
        </w:rPr>
        <w:t xml:space="preserve"> to summarize: i) the status of the high priority risks and planned actions ii) changes in ranking of other risks, to elevate or reduce ranking and iii) risks that have been retired with rationale.  The length of the narrative should be no more than two paragraphs. </w:t>
      </w:r>
      <w:r w:rsidRPr="000279C2">
        <w:rPr>
          <w:rStyle w:val="eop"/>
          <w:rFonts w:cstheme="minorHAnsi"/>
        </w:rPr>
        <w:t>&gt;&gt;</w:t>
      </w:r>
    </w:p>
    <w:p w:rsidR="007F1D40" w:rsidP="00A16063" w14:paraId="6AE35FF1" w14:textId="77777777">
      <w:pPr>
        <w:pStyle w:val="paragraph"/>
        <w:spacing w:before="0" w:beforeAutospacing="0" w:after="0" w:afterAutospacing="0"/>
        <w:ind w:left="720"/>
        <w:textAlignment w:val="baseline"/>
        <w:rPr>
          <w:rFonts w:asciiTheme="minorHAnsi" w:hAnsiTheme="minorHAnsi" w:cstheme="minorBidi"/>
          <w:sz w:val="22"/>
          <w:szCs w:val="22"/>
        </w:rPr>
      </w:pPr>
    </w:p>
    <w:p w:rsidR="00AB45FF" w:rsidRPr="003A581A" w:rsidP="00AB45FF" w14:paraId="467F257A" w14:textId="77777777">
      <w:pPr>
        <w:pStyle w:val="paragraph"/>
        <w:numPr>
          <w:ilvl w:val="0"/>
          <w:numId w:val="12"/>
        </w:numPr>
        <w:spacing w:before="0" w:beforeAutospacing="0" w:after="0" w:afterAutospacing="0"/>
        <w:textAlignment w:val="baseline"/>
        <w:rPr>
          <w:rFonts w:asciiTheme="minorHAnsi" w:eastAsiaTheme="minorHAnsi" w:hAnsiTheme="minorHAnsi" w:cstheme="minorHAnsi"/>
          <w:color w:val="000000" w:themeColor="text1"/>
          <w:sz w:val="22"/>
          <w:szCs w:val="22"/>
        </w:rPr>
      </w:pPr>
      <w:r w:rsidRPr="000279C2">
        <w:rPr>
          <w:rStyle w:val="normaltextrun"/>
          <w:rFonts w:asciiTheme="minorHAnsi" w:hAnsiTheme="minorHAnsi" w:cstheme="minorHAnsi"/>
          <w:b/>
          <w:sz w:val="22"/>
          <w:szCs w:val="22"/>
        </w:rPr>
        <w:t xml:space="preserve">Research </w:t>
      </w:r>
      <w:r w:rsidRPr="003A581A">
        <w:rPr>
          <w:rStyle w:val="normaltextrun"/>
          <w:rFonts w:asciiTheme="minorHAnsi" w:hAnsiTheme="minorHAnsi" w:cstheme="minorHAnsi"/>
          <w:b/>
          <w:color w:val="000000" w:themeColor="text1"/>
          <w:sz w:val="22"/>
          <w:szCs w:val="22"/>
        </w:rPr>
        <w:t>Security.</w:t>
      </w:r>
      <w:r w:rsidRPr="003A581A">
        <w:rPr>
          <w:rStyle w:val="normaltextrun"/>
          <w:rFonts w:asciiTheme="minorHAnsi" w:hAnsiTheme="minorHAnsi" w:cstheme="minorHAnsi"/>
          <w:color w:val="000000" w:themeColor="text1"/>
          <w:sz w:val="22"/>
          <w:szCs w:val="22"/>
        </w:rPr>
        <w:t xml:space="preserve"> </w:t>
      </w:r>
      <w:r w:rsidRPr="003A581A">
        <w:rPr>
          <w:rFonts w:asciiTheme="minorHAnsi" w:eastAsiaTheme="minorHAnsi" w:hAnsiTheme="minorHAnsi" w:cstheme="minorHAnsi"/>
          <w:color w:val="000000" w:themeColor="text1"/>
          <w:sz w:val="22"/>
          <w:szCs w:val="22"/>
        </w:rPr>
        <w:t>Research security efforts of the lead organization and sub-awardee organizations pertinent to the activities on the Engine award, if any. </w:t>
      </w:r>
    </w:p>
    <w:p w:rsidR="00AB45FF" w:rsidRPr="003A581A" w:rsidP="00AB45FF" w14:paraId="16CD9AF4" w14:textId="77777777">
      <w:pPr>
        <w:pStyle w:val="ListParagraph"/>
        <w:tabs>
          <w:tab w:val="left" w:pos="4548"/>
        </w:tabs>
        <w:rPr>
          <w:rFonts w:cstheme="minorHAnsi"/>
          <w:color w:val="000000" w:themeColor="text1"/>
        </w:rPr>
      </w:pPr>
      <w:r w:rsidRPr="003A581A">
        <w:rPr>
          <w:rFonts w:cstheme="minorHAnsi"/>
          <w:color w:val="000000" w:themeColor="text1"/>
        </w:rPr>
        <w:tab/>
      </w:r>
    </w:p>
    <w:p w:rsidR="00AB45FF" w:rsidRPr="003A581A" w:rsidP="00AB45FF" w14:paraId="68BE501D" w14:textId="77777777">
      <w:pPr>
        <w:pStyle w:val="ListParagraph"/>
        <w:rPr>
          <w:rFonts w:cstheme="minorHAnsi"/>
          <w:color w:val="000000" w:themeColor="text1"/>
        </w:rPr>
      </w:pPr>
      <w:r w:rsidRPr="003A581A">
        <w:rPr>
          <w:rFonts w:cstheme="minorHAnsi"/>
          <w:color w:val="000000" w:themeColor="text1"/>
        </w:rPr>
        <w:t>&lt;&lt;</w:t>
      </w:r>
      <w:r w:rsidRPr="003A581A">
        <w:rPr>
          <w:rStyle w:val="normaltextrun"/>
          <w:rFonts w:cstheme="minorHAnsi"/>
          <w:color w:val="000000" w:themeColor="text1"/>
        </w:rPr>
        <w:t xml:space="preserve"> DELETE this reference text in the final version of report. </w:t>
      </w:r>
      <w:r w:rsidRPr="003A581A">
        <w:rPr>
          <w:rFonts w:cstheme="minorHAnsi"/>
          <w:color w:val="000000" w:themeColor="text1"/>
        </w:rPr>
        <w:t xml:space="preserve">In this section of the quarterly report, the narrative must include, at minimum: </w:t>
      </w:r>
    </w:p>
    <w:p w:rsidR="00ED2100" w:rsidP="00ED2100" w14:paraId="38337A58" w14:textId="77777777">
      <w:pPr>
        <w:spacing w:after="0"/>
        <w:ind w:left="720"/>
        <w:rPr>
          <w:rFonts w:cstheme="minorHAnsi"/>
          <w:color w:val="000000" w:themeColor="text1"/>
        </w:rPr>
      </w:pPr>
      <w:r>
        <w:rPr>
          <w:rFonts w:cstheme="minorHAnsi"/>
          <w:color w:val="000000" w:themeColor="text1"/>
        </w:rPr>
        <w:t xml:space="preserve">i) </w:t>
      </w:r>
      <w:r w:rsidRPr="0072514C" w:rsidR="00AB45FF">
        <w:rPr>
          <w:rFonts w:cstheme="minorHAnsi"/>
          <w:color w:val="000000" w:themeColor="text1"/>
        </w:rPr>
        <w:t xml:space="preserve">Changes, if any, to the security point of contact, i.e., individual appointed “with responsibility for research security oversight of the Engine’s research activities”. </w:t>
      </w:r>
    </w:p>
    <w:p w:rsidR="00ED2100" w:rsidP="00ED2100" w14:paraId="2F9D7776" w14:textId="77777777">
      <w:pPr>
        <w:spacing w:after="0"/>
        <w:ind w:left="720"/>
        <w:rPr>
          <w:rFonts w:cstheme="minorHAnsi"/>
          <w:color w:val="000000" w:themeColor="text1"/>
        </w:rPr>
      </w:pPr>
      <w:r>
        <w:rPr>
          <w:rFonts w:cstheme="minorHAnsi"/>
          <w:color w:val="000000" w:themeColor="text1"/>
        </w:rPr>
        <w:t xml:space="preserve">ii) </w:t>
      </w:r>
      <w:r w:rsidRPr="00ED2100" w:rsidR="00AB45FF">
        <w:rPr>
          <w:rFonts w:cstheme="minorHAnsi"/>
          <w:color w:val="000000" w:themeColor="text1"/>
        </w:rPr>
        <w:t xml:space="preserve">Status of submissions (via NSF research.gov) that indicate changes in active other support, consistent with NSF PAPPG Chapter C. Post-award Disclosure of Current Support and In-Kind Contribution Information and PIs and co-PIs on active NSF awards. </w:t>
      </w:r>
    </w:p>
    <w:p w:rsidR="00ED2100" w:rsidP="00ED2100" w14:paraId="10700569" w14:textId="77777777">
      <w:pPr>
        <w:spacing w:after="0"/>
        <w:ind w:left="720"/>
        <w:rPr>
          <w:rFonts w:cstheme="minorHAnsi"/>
          <w:color w:val="000000" w:themeColor="text1"/>
        </w:rPr>
      </w:pPr>
      <w:r>
        <w:rPr>
          <w:rFonts w:cstheme="minorHAnsi"/>
          <w:color w:val="000000" w:themeColor="text1"/>
        </w:rPr>
        <w:t xml:space="preserve">iii) </w:t>
      </w:r>
      <w:r w:rsidRPr="00ED2100" w:rsidR="00AB45FF">
        <w:rPr>
          <w:rFonts w:cstheme="minorHAnsi"/>
          <w:color w:val="000000" w:themeColor="text1"/>
        </w:rPr>
        <w:t>In the annual and final report, provide an update of the current support since the submission of the proposal consistent with consistent with NSF PAPPG Chapter C.</w:t>
      </w:r>
    </w:p>
    <w:p w:rsidR="00AB45FF" w:rsidRPr="00ED2100" w:rsidP="00ED2100" w14:paraId="4A287C4E" w14:textId="202452E1">
      <w:pPr>
        <w:spacing w:after="0"/>
        <w:ind w:left="720"/>
        <w:rPr>
          <w:rFonts w:cstheme="minorHAnsi"/>
          <w:color w:val="000000" w:themeColor="text1"/>
        </w:rPr>
      </w:pPr>
      <w:r>
        <w:rPr>
          <w:rFonts w:cstheme="minorHAnsi"/>
          <w:color w:val="000000" w:themeColor="text1"/>
        </w:rPr>
        <w:t xml:space="preserve">iv) </w:t>
      </w:r>
      <w:r w:rsidRPr="00ED2100">
        <w:rPr>
          <w:rFonts w:cstheme="minorHAnsi"/>
          <w:color w:val="000000" w:themeColor="text1"/>
        </w:rPr>
        <w:t xml:space="preserve">A list of relevant </w:t>
      </w:r>
      <w:r w:rsidRPr="00ED2100">
        <w:rPr>
          <w:rFonts w:cstheme="minorHAnsi"/>
        </w:rPr>
        <w:t>research security training or activities undertaken by Engines PI and co-PIs.</w:t>
      </w:r>
    </w:p>
    <w:p w:rsidR="00AB45FF" w:rsidRPr="009A3D32" w:rsidP="00AB45FF" w14:paraId="0E35A743" w14:textId="77777777">
      <w:pPr>
        <w:pStyle w:val="ListParagraph"/>
        <w:spacing w:after="0"/>
        <w:ind w:left="936"/>
        <w:rPr>
          <w:rFonts w:cstheme="minorHAnsi"/>
        </w:rPr>
      </w:pPr>
    </w:p>
    <w:p w:rsidR="00AB45FF" w:rsidRPr="000279C2" w:rsidP="008F5B45" w14:paraId="3B5E7089" w14:textId="77777777">
      <w:pPr>
        <w:pStyle w:val="ListParagraph"/>
        <w:spacing w:after="0"/>
        <w:rPr>
          <w:rFonts w:cstheme="minorHAnsi"/>
        </w:rPr>
      </w:pPr>
      <w:r w:rsidRPr="009A3D32">
        <w:rPr>
          <w:rFonts w:cstheme="minorHAnsi"/>
        </w:rPr>
        <w:t>The narrative for this section should be no more than two paragraphs.</w:t>
      </w:r>
      <w:r w:rsidRPr="000279C2">
        <w:rPr>
          <w:rFonts w:cstheme="minorHAnsi"/>
        </w:rPr>
        <w:t>&gt;</w:t>
      </w:r>
    </w:p>
    <w:p w:rsidR="00AB45FF" w:rsidRPr="000279C2" w:rsidP="00AB45FF" w14:paraId="310FFE47" w14:textId="77777777">
      <w:pPr>
        <w:pStyle w:val="ListParagraph"/>
        <w:rPr>
          <w:rFonts w:cstheme="minorHAnsi"/>
        </w:rPr>
      </w:pPr>
    </w:p>
    <w:p w:rsidR="00AB45FF" w:rsidRPr="009A3D32" w:rsidP="00AB45FF" w14:paraId="4D9AC0B6" w14:textId="77777777">
      <w:pPr>
        <w:pStyle w:val="paragraph"/>
        <w:numPr>
          <w:ilvl w:val="0"/>
          <w:numId w:val="12"/>
        </w:numPr>
        <w:spacing w:before="0" w:beforeAutospacing="0" w:after="0" w:afterAutospacing="0"/>
        <w:textAlignment w:val="baseline"/>
        <w:rPr>
          <w:rFonts w:asciiTheme="minorHAnsi" w:eastAsiaTheme="minorHAnsi" w:hAnsiTheme="minorHAnsi" w:cstheme="minorHAnsi"/>
          <w:sz w:val="22"/>
          <w:szCs w:val="22"/>
        </w:rPr>
      </w:pPr>
      <w:r w:rsidRPr="000279C2">
        <w:rPr>
          <w:rStyle w:val="normaltextrun"/>
          <w:rFonts w:asciiTheme="minorHAnsi" w:hAnsiTheme="minorHAnsi" w:cstheme="minorHAnsi"/>
          <w:b/>
          <w:sz w:val="22"/>
          <w:szCs w:val="22"/>
        </w:rPr>
        <w:t>Cybersecurity Incidents</w:t>
      </w:r>
      <w:r w:rsidRPr="0039752A">
        <w:rPr>
          <w:rStyle w:val="normaltextrun"/>
          <w:rFonts w:asciiTheme="minorHAnsi" w:hAnsiTheme="minorHAnsi" w:cstheme="minorHAnsi"/>
          <w:b/>
          <w:sz w:val="22"/>
          <w:szCs w:val="22"/>
        </w:rPr>
        <w:t>.</w:t>
      </w:r>
      <w:r w:rsidRPr="000279C2">
        <w:rPr>
          <w:rStyle w:val="normaltextrun"/>
          <w:rFonts w:asciiTheme="minorHAnsi" w:hAnsiTheme="minorHAnsi" w:cstheme="minorHAnsi"/>
          <w:sz w:val="22"/>
          <w:szCs w:val="22"/>
        </w:rPr>
        <w:t xml:space="preserve"> </w:t>
      </w:r>
      <w:r w:rsidRPr="000279C2">
        <w:rPr>
          <w:rFonts w:asciiTheme="minorHAnsi" w:eastAsiaTheme="minorHAnsi" w:hAnsiTheme="minorHAnsi" w:cstheme="minorHAnsi"/>
          <w:sz w:val="22"/>
          <w:szCs w:val="22"/>
        </w:rPr>
        <w:t>Description of all reportable cybersecurity incidents pertinent to the activities on the Engine award. This may require coordination with each entity’s cybersecurity official to identify the information assets pertinent to the Engine.</w:t>
      </w:r>
    </w:p>
    <w:p w:rsidR="00AB45FF" w:rsidRPr="000279C2" w:rsidP="00AB45FF" w14:paraId="44DFD491" w14:textId="77777777">
      <w:pPr>
        <w:pStyle w:val="paragraph"/>
        <w:spacing w:before="0" w:beforeAutospacing="0" w:after="0" w:afterAutospacing="0"/>
        <w:ind w:firstLine="50"/>
        <w:textAlignment w:val="baseline"/>
        <w:rPr>
          <w:rFonts w:asciiTheme="minorHAnsi" w:hAnsiTheme="minorHAnsi" w:cstheme="minorHAnsi"/>
          <w:sz w:val="22"/>
          <w:szCs w:val="22"/>
        </w:rPr>
      </w:pPr>
    </w:p>
    <w:p w:rsidR="00AB45FF" w:rsidRPr="009A3D32" w:rsidP="00AB45FF" w14:paraId="59EA9F55" w14:textId="77777777">
      <w:pPr>
        <w:pStyle w:val="paragraph"/>
        <w:spacing w:before="0" w:beforeAutospacing="0" w:after="0" w:afterAutospacing="0"/>
        <w:ind w:left="670" w:firstLine="50"/>
        <w:textAlignment w:val="baseline"/>
        <w:rPr>
          <w:rFonts w:asciiTheme="minorHAnsi" w:eastAsiaTheme="minorHAnsi" w:hAnsiTheme="minorHAnsi" w:cstheme="minorHAnsi"/>
          <w:sz w:val="22"/>
          <w:szCs w:val="22"/>
        </w:rPr>
      </w:pPr>
      <w:r w:rsidRPr="0039752A">
        <w:rPr>
          <w:rStyle w:val="normaltextrun"/>
          <w:rFonts w:asciiTheme="minorHAnsi" w:hAnsiTheme="minorHAnsi" w:cstheme="minorHAnsi"/>
          <w:sz w:val="22"/>
          <w:szCs w:val="22"/>
        </w:rPr>
        <w:t xml:space="preserve">&lt;&lt; </w:t>
      </w:r>
      <w:r w:rsidRPr="00026CB8">
        <w:rPr>
          <w:rStyle w:val="normaltextrun"/>
          <w:rFonts w:asciiTheme="minorHAnsi" w:hAnsiTheme="minorHAnsi" w:cstheme="minorHAnsi"/>
          <w:sz w:val="22"/>
          <w:szCs w:val="22"/>
        </w:rPr>
        <w:t>DELETE this reference text in the final version of report</w:t>
      </w:r>
      <w:r>
        <w:rPr>
          <w:rStyle w:val="normaltextrun"/>
          <w:rFonts w:asciiTheme="minorHAnsi" w:hAnsiTheme="minorHAnsi" w:cstheme="minorHAnsi"/>
          <w:sz w:val="22"/>
          <w:szCs w:val="22"/>
        </w:rPr>
        <w:t>.</w:t>
      </w:r>
      <w:r w:rsidRPr="000279C2">
        <w:rPr>
          <w:rStyle w:val="normaltextrun"/>
          <w:rFonts w:asciiTheme="minorHAnsi" w:hAnsiTheme="minorHAnsi" w:cstheme="minorHAnsi"/>
          <w:sz w:val="22"/>
          <w:szCs w:val="22"/>
        </w:rPr>
        <w:t xml:space="preserve"> </w:t>
      </w:r>
      <w:r w:rsidRPr="009A3D32">
        <w:rPr>
          <w:rFonts w:asciiTheme="minorHAnsi" w:eastAsiaTheme="minorHAnsi" w:hAnsiTheme="minorHAnsi" w:cstheme="minorHAnsi"/>
          <w:sz w:val="22"/>
          <w:szCs w:val="22"/>
        </w:rPr>
        <w:t xml:space="preserve">Reporting in the quarterly report should include at minimum a tabular list </w:t>
      </w:r>
      <w:r w:rsidRPr="009A3D32">
        <w:rPr>
          <w:rStyle w:val="normaltextrun"/>
          <w:rFonts w:asciiTheme="minorHAnsi" w:hAnsiTheme="minorHAnsi" w:cstheme="minorHAnsi"/>
          <w:sz w:val="22"/>
          <w:szCs w:val="22"/>
        </w:rPr>
        <w:t xml:space="preserve">“Cybersecurity Incidents </w:t>
      </w:r>
      <w:r w:rsidRPr="009A3D32">
        <w:rPr>
          <w:rStyle w:val="normaltextrun"/>
          <w:rFonts w:asciiTheme="minorHAnsi" w:hAnsiTheme="minorHAnsi" w:cstheme="minorHAnsi"/>
          <w:sz w:val="22"/>
          <w:szCs w:val="22"/>
        </w:rPr>
        <w:t>_[</w:t>
      </w:r>
      <w:r w:rsidRPr="009A3D32">
        <w:rPr>
          <w:rStyle w:val="normaltextrun"/>
          <w:rFonts w:asciiTheme="minorHAnsi" w:hAnsiTheme="minorHAnsi" w:cstheme="minorHAnsi"/>
          <w:sz w:val="22"/>
          <w:szCs w:val="22"/>
        </w:rPr>
        <w:t>Q1, Q2, Q3, Q4]_[2024 or 2025]_[Engine name].</w:t>
      </w:r>
      <w:r w:rsidRPr="009A3D32">
        <w:rPr>
          <w:rStyle w:val="normaltextrun"/>
          <w:rFonts w:asciiTheme="minorHAnsi" w:eastAsiaTheme="minorHAnsi" w:hAnsiTheme="minorHAnsi" w:cstheme="minorHAnsi"/>
          <w:sz w:val="22"/>
          <w:szCs w:val="22"/>
        </w:rPr>
        <w:t>xls</w:t>
      </w:r>
      <w:r w:rsidRPr="009A3D32">
        <w:rPr>
          <w:rStyle w:val="normaltextrun"/>
          <w:rFonts w:asciiTheme="minorHAnsi" w:hAnsiTheme="minorHAnsi" w:cstheme="minorHAnsi"/>
          <w:sz w:val="22"/>
          <w:szCs w:val="22"/>
        </w:rPr>
        <w:t>”</w:t>
      </w:r>
      <w:r w:rsidRPr="009A3D32">
        <w:rPr>
          <w:rFonts w:asciiTheme="minorHAnsi" w:eastAsiaTheme="minorHAnsi" w:hAnsiTheme="minorHAnsi" w:cstheme="minorHAnsi"/>
          <w:sz w:val="22"/>
          <w:szCs w:val="22"/>
        </w:rPr>
        <w:t xml:space="preserve"> of any cybersecurity incidents covering any of the items below, and corresponding actions take to alert and coordinate with the respective governing entity. The lack of incidents should also be noted. </w:t>
      </w:r>
    </w:p>
    <w:p w:rsidR="00AB45FF" w:rsidRPr="009A3D32" w:rsidP="00AB45FF" w14:paraId="18EF65DC" w14:textId="77777777">
      <w:pPr>
        <w:pStyle w:val="paragraph"/>
        <w:spacing w:before="0" w:beforeAutospacing="0" w:after="0" w:afterAutospacing="0"/>
        <w:ind w:left="670" w:firstLine="50"/>
        <w:textAlignment w:val="baseline"/>
        <w:rPr>
          <w:rFonts w:asciiTheme="minorHAnsi" w:eastAsiaTheme="minorHAnsi" w:hAnsiTheme="minorHAnsi" w:cstheme="minorHAnsi"/>
          <w:sz w:val="22"/>
          <w:szCs w:val="22"/>
        </w:rPr>
      </w:pPr>
    </w:p>
    <w:p w:rsidR="00AB45FF" w:rsidRPr="009A3D32" w:rsidP="00AB45FF" w14:paraId="33236491" w14:textId="77777777">
      <w:pPr>
        <w:pStyle w:val="paragraph"/>
        <w:spacing w:before="0" w:beforeAutospacing="0" w:after="0" w:afterAutospacing="0"/>
        <w:ind w:left="670" w:firstLine="50"/>
        <w:textAlignment w:val="baseline"/>
        <w:rPr>
          <w:rFonts w:asciiTheme="minorHAnsi" w:eastAsiaTheme="minorHAnsi" w:hAnsiTheme="minorHAnsi" w:cstheme="minorHAnsi"/>
          <w:sz w:val="22"/>
          <w:szCs w:val="22"/>
        </w:rPr>
      </w:pPr>
      <w:r w:rsidRPr="009A3D32">
        <w:rPr>
          <w:rFonts w:asciiTheme="minorHAnsi" w:eastAsiaTheme="minorHAnsi" w:hAnsiTheme="minorHAnsi" w:cstheme="minorHAnsi"/>
          <w:sz w:val="22"/>
          <w:szCs w:val="22"/>
        </w:rPr>
        <w:t xml:space="preserve">i) </w:t>
      </w:r>
      <w:r>
        <w:rPr>
          <w:rFonts w:asciiTheme="minorHAnsi" w:eastAsiaTheme="minorHAnsi" w:hAnsiTheme="minorHAnsi" w:cstheme="minorHAnsi"/>
          <w:sz w:val="22"/>
          <w:szCs w:val="22"/>
        </w:rPr>
        <w:t>T</w:t>
      </w:r>
      <w:r w:rsidRPr="009A3D32">
        <w:rPr>
          <w:rFonts w:asciiTheme="minorHAnsi" w:eastAsiaTheme="minorHAnsi" w:hAnsiTheme="minorHAnsi" w:cstheme="minorHAnsi"/>
          <w:sz w:val="22"/>
          <w:szCs w:val="22"/>
        </w:rPr>
        <w:t xml:space="preserve">hose that may cause financial harm or loss of intellectual property created or supported in performance of the award, including malware and ransomware attacks. </w:t>
      </w:r>
    </w:p>
    <w:p w:rsidR="00AB45FF" w:rsidRPr="009A3D32" w:rsidP="00AB45FF" w14:paraId="6FD5D8A1" w14:textId="77777777">
      <w:pPr>
        <w:pStyle w:val="paragraph"/>
        <w:spacing w:before="0" w:beforeAutospacing="0" w:after="0" w:afterAutospacing="0"/>
        <w:ind w:left="670" w:firstLine="50"/>
        <w:textAlignment w:val="baseline"/>
        <w:rPr>
          <w:rFonts w:asciiTheme="minorHAnsi" w:eastAsiaTheme="minorHAnsi" w:hAnsiTheme="minorHAnsi" w:cstheme="minorHAnsi"/>
          <w:sz w:val="22"/>
          <w:szCs w:val="22"/>
        </w:rPr>
      </w:pPr>
      <w:r w:rsidRPr="009A3D32">
        <w:rPr>
          <w:rFonts w:asciiTheme="minorHAnsi" w:eastAsiaTheme="minorHAnsi" w:hAnsiTheme="minorHAnsi" w:cstheme="minorHAnsi"/>
          <w:sz w:val="22"/>
          <w:szCs w:val="22"/>
        </w:rPr>
        <w:t xml:space="preserve">ii) </w:t>
      </w:r>
      <w:r>
        <w:rPr>
          <w:rFonts w:asciiTheme="minorHAnsi" w:eastAsiaTheme="minorHAnsi" w:hAnsiTheme="minorHAnsi" w:cstheme="minorHAnsi"/>
          <w:sz w:val="22"/>
          <w:szCs w:val="22"/>
        </w:rPr>
        <w:t>O</w:t>
      </w:r>
      <w:r w:rsidRPr="009A3D32">
        <w:rPr>
          <w:rFonts w:asciiTheme="minorHAnsi" w:eastAsiaTheme="minorHAnsi" w:hAnsiTheme="minorHAnsi" w:cstheme="minorHAnsi"/>
          <w:sz w:val="22"/>
          <w:szCs w:val="22"/>
        </w:rPr>
        <w:t xml:space="preserve">perations of Engine or the security of, or access to, scientific data, including disruption of both physical operations and business operations for a duration greater than one (1) hour 3 interagency or partners, or have national security implications. </w:t>
      </w:r>
    </w:p>
    <w:p w:rsidR="00AB45FF" w:rsidRPr="009A3D32" w:rsidP="00AB45FF" w14:paraId="79E47D0A" w14:textId="77777777">
      <w:pPr>
        <w:pStyle w:val="paragraph"/>
        <w:spacing w:before="0" w:beforeAutospacing="0" w:after="0" w:afterAutospacing="0"/>
        <w:ind w:left="670" w:firstLine="50"/>
        <w:textAlignment w:val="baseline"/>
        <w:rPr>
          <w:rFonts w:asciiTheme="minorHAnsi" w:eastAsiaTheme="minorHAnsi" w:hAnsiTheme="minorHAnsi" w:cstheme="minorHAnsi"/>
          <w:sz w:val="22"/>
          <w:szCs w:val="22"/>
        </w:rPr>
      </w:pPr>
      <w:r w:rsidRPr="009A3D32">
        <w:rPr>
          <w:rFonts w:asciiTheme="minorHAnsi" w:eastAsiaTheme="minorHAnsi" w:hAnsiTheme="minorHAnsi" w:cstheme="minorHAnsi"/>
          <w:sz w:val="22"/>
          <w:szCs w:val="22"/>
        </w:rPr>
        <w:t xml:space="preserve">iii) </w:t>
      </w:r>
      <w:r>
        <w:rPr>
          <w:rFonts w:asciiTheme="minorHAnsi" w:eastAsiaTheme="minorHAnsi" w:hAnsiTheme="minorHAnsi" w:cstheme="minorHAnsi"/>
          <w:sz w:val="22"/>
          <w:szCs w:val="22"/>
        </w:rPr>
        <w:t>I</w:t>
      </w:r>
      <w:r w:rsidRPr="009A3D32">
        <w:rPr>
          <w:rFonts w:asciiTheme="minorHAnsi" w:eastAsiaTheme="minorHAnsi" w:hAnsiTheme="minorHAnsi" w:cstheme="minorHAnsi"/>
          <w:sz w:val="22"/>
          <w:szCs w:val="22"/>
        </w:rPr>
        <w:t xml:space="preserve">ncidents that affect personally identifiable information or other unauthorized release of data related to the Engine </w:t>
      </w:r>
    </w:p>
    <w:p w:rsidR="00AB45FF" w:rsidRPr="009A3D32" w:rsidP="00AB45FF" w14:paraId="4D9DDFD8" w14:textId="77777777">
      <w:pPr>
        <w:pStyle w:val="paragraph"/>
        <w:spacing w:before="0" w:beforeAutospacing="0" w:after="0" w:afterAutospacing="0"/>
        <w:ind w:left="670" w:firstLine="50"/>
        <w:textAlignment w:val="baseline"/>
        <w:rPr>
          <w:rFonts w:asciiTheme="minorHAnsi" w:eastAsiaTheme="minorHAnsi" w:hAnsiTheme="minorHAnsi" w:cstheme="minorHAnsi"/>
          <w:sz w:val="22"/>
          <w:szCs w:val="22"/>
        </w:rPr>
      </w:pPr>
      <w:r w:rsidRPr="009A3D32">
        <w:rPr>
          <w:rFonts w:asciiTheme="minorHAnsi" w:eastAsiaTheme="minorHAnsi" w:hAnsiTheme="minorHAnsi" w:cstheme="minorHAnsi"/>
          <w:sz w:val="22"/>
          <w:szCs w:val="22"/>
        </w:rPr>
        <w:t xml:space="preserve">iv) </w:t>
      </w:r>
      <w:r>
        <w:rPr>
          <w:rFonts w:asciiTheme="minorHAnsi" w:eastAsiaTheme="minorHAnsi" w:hAnsiTheme="minorHAnsi" w:cstheme="minorHAnsi"/>
          <w:sz w:val="22"/>
          <w:szCs w:val="22"/>
        </w:rPr>
        <w:t>A</w:t>
      </w:r>
      <w:r w:rsidRPr="009A3D32">
        <w:rPr>
          <w:rFonts w:asciiTheme="minorHAnsi" w:eastAsiaTheme="minorHAnsi" w:hAnsiTheme="minorHAnsi" w:cstheme="minorHAnsi"/>
          <w:sz w:val="22"/>
          <w:szCs w:val="22"/>
        </w:rPr>
        <w:t xml:space="preserve">ny significant or persistent attempt to gain unauthorized access to a system or its data related to the Engine. </w:t>
      </w:r>
    </w:p>
    <w:p w:rsidR="00AB45FF" w:rsidRPr="009A3D32" w:rsidP="00AB45FF" w14:paraId="3CA13B02" w14:textId="77777777">
      <w:pPr>
        <w:pStyle w:val="paragraph"/>
        <w:spacing w:before="0" w:beforeAutospacing="0" w:after="0" w:afterAutospacing="0"/>
        <w:ind w:left="670" w:firstLine="50"/>
        <w:textAlignment w:val="baseline"/>
        <w:rPr>
          <w:rFonts w:asciiTheme="minorHAnsi" w:eastAsiaTheme="minorHAnsi" w:hAnsiTheme="minorHAnsi" w:cstheme="minorHAnsi"/>
          <w:sz w:val="22"/>
          <w:szCs w:val="22"/>
        </w:rPr>
      </w:pPr>
      <w:r w:rsidRPr="009A3D32">
        <w:rPr>
          <w:rFonts w:asciiTheme="minorHAnsi" w:eastAsiaTheme="minorHAnsi" w:hAnsiTheme="minorHAnsi" w:cstheme="minorHAnsi"/>
          <w:sz w:val="22"/>
          <w:szCs w:val="22"/>
        </w:rPr>
        <w:t xml:space="preserve">v) </w:t>
      </w:r>
      <w:r>
        <w:rPr>
          <w:rFonts w:asciiTheme="minorHAnsi" w:eastAsiaTheme="minorHAnsi" w:hAnsiTheme="minorHAnsi" w:cstheme="minorHAnsi"/>
          <w:sz w:val="22"/>
          <w:szCs w:val="22"/>
        </w:rPr>
        <w:t>I</w:t>
      </w:r>
      <w:r w:rsidRPr="009A3D32">
        <w:rPr>
          <w:rFonts w:asciiTheme="minorHAnsi" w:eastAsiaTheme="minorHAnsi" w:hAnsiTheme="minorHAnsi" w:cstheme="minorHAnsi"/>
          <w:sz w:val="22"/>
          <w:szCs w:val="22"/>
        </w:rPr>
        <w:t xml:space="preserve">ncident where federal law enforcement is notified; and </w:t>
      </w:r>
    </w:p>
    <w:p w:rsidR="00AB45FF" w:rsidRPr="009A3D32" w:rsidP="00AB45FF" w14:paraId="106197E4" w14:textId="77777777">
      <w:pPr>
        <w:pStyle w:val="paragraph"/>
        <w:spacing w:before="0" w:beforeAutospacing="0" w:after="0" w:afterAutospacing="0"/>
        <w:ind w:left="670" w:firstLine="50"/>
        <w:textAlignment w:val="baseline"/>
        <w:rPr>
          <w:rFonts w:asciiTheme="minorHAnsi" w:eastAsiaTheme="minorHAnsi" w:hAnsiTheme="minorHAnsi" w:cstheme="minorHAnsi"/>
          <w:sz w:val="22"/>
          <w:szCs w:val="22"/>
        </w:rPr>
      </w:pPr>
      <w:r w:rsidRPr="009A3D32">
        <w:rPr>
          <w:rFonts w:asciiTheme="minorHAnsi" w:eastAsiaTheme="minorHAnsi" w:hAnsiTheme="minorHAnsi" w:cstheme="minorHAnsi"/>
          <w:sz w:val="22"/>
          <w:szCs w:val="22"/>
        </w:rPr>
        <w:t xml:space="preserve">vi) Abuse or misuse of a system or data in violation of the terms of the agreement and any limited personal use policy established by the awardee for individuals with access to its systems. </w:t>
      </w:r>
    </w:p>
    <w:p w:rsidR="00AB45FF" w:rsidRPr="000279C2" w:rsidP="00AB45FF" w14:paraId="0B0CC958" w14:textId="77777777">
      <w:pPr>
        <w:pStyle w:val="paragraph"/>
        <w:spacing w:before="0" w:beforeAutospacing="0" w:after="0" w:afterAutospacing="0"/>
        <w:ind w:left="670" w:firstLine="50"/>
        <w:textAlignment w:val="baseline"/>
        <w:rPr>
          <w:rStyle w:val="normaltextrun"/>
          <w:rFonts w:asciiTheme="minorHAnsi" w:hAnsiTheme="minorHAnsi" w:cstheme="minorHAnsi"/>
          <w:sz w:val="22"/>
          <w:szCs w:val="22"/>
        </w:rPr>
      </w:pPr>
    </w:p>
    <w:p w:rsidR="00AB45FF" w:rsidP="00AB45FF" w14:paraId="0494DB56" w14:textId="77777777">
      <w:pPr>
        <w:pStyle w:val="paragraph"/>
        <w:spacing w:before="0" w:beforeAutospacing="0" w:after="0" w:afterAutospacing="0"/>
        <w:ind w:left="670" w:firstLine="50"/>
        <w:textAlignment w:val="baseline"/>
        <w:rPr>
          <w:rStyle w:val="normaltextrun"/>
          <w:rFonts w:asciiTheme="minorHAnsi" w:hAnsiTheme="minorHAnsi" w:cstheme="minorHAnsi"/>
          <w:sz w:val="22"/>
          <w:szCs w:val="22"/>
        </w:rPr>
      </w:pPr>
      <w:r w:rsidRPr="009A3D32">
        <w:rPr>
          <w:rFonts w:asciiTheme="minorHAnsi" w:eastAsiaTheme="minorHAnsi" w:hAnsiTheme="minorHAnsi" w:cstheme="minorHAnsi"/>
          <w:sz w:val="22"/>
          <w:szCs w:val="22"/>
        </w:rPr>
        <w:t>The size of the table should be scaled to the number of incidents.</w:t>
      </w:r>
      <w:r w:rsidRPr="000279C2">
        <w:rPr>
          <w:rStyle w:val="normaltextrun"/>
          <w:rFonts w:asciiTheme="minorHAnsi" w:hAnsiTheme="minorHAnsi" w:cstheme="minorHAnsi"/>
          <w:sz w:val="22"/>
          <w:szCs w:val="22"/>
        </w:rPr>
        <w:t>&gt;&gt;</w:t>
      </w:r>
    </w:p>
    <w:p w:rsidR="009E6335" w:rsidRPr="000279C2" w:rsidP="00AB45FF" w14:paraId="762801E9" w14:textId="77777777">
      <w:pPr>
        <w:pStyle w:val="paragraph"/>
        <w:spacing w:before="0" w:beforeAutospacing="0" w:after="0" w:afterAutospacing="0"/>
        <w:ind w:left="670" w:firstLine="50"/>
        <w:textAlignment w:val="baseline"/>
        <w:rPr>
          <w:rStyle w:val="normaltextrun"/>
          <w:rFonts w:asciiTheme="minorHAnsi" w:hAnsiTheme="minorHAnsi" w:cstheme="minorHAnsi"/>
          <w:sz w:val="22"/>
          <w:szCs w:val="22"/>
        </w:rPr>
      </w:pPr>
    </w:p>
    <w:p w:rsidR="00AB45FF" w:rsidRPr="000279C2" w:rsidP="00AB45FF" w14:paraId="5DAF25B7" w14:textId="77777777">
      <w:pPr>
        <w:pStyle w:val="paragraph"/>
        <w:spacing w:before="0" w:beforeAutospacing="0" w:after="0" w:afterAutospacing="0"/>
        <w:ind w:left="670" w:firstLine="50"/>
        <w:textAlignment w:val="baseline"/>
        <w:rPr>
          <w:rStyle w:val="normaltextrun"/>
          <w:rFonts w:asciiTheme="minorHAnsi" w:hAnsiTheme="minorHAnsi" w:cstheme="minorHAnsi"/>
          <w:sz w:val="22"/>
          <w:szCs w:val="22"/>
        </w:rPr>
      </w:pPr>
    </w:p>
    <w:p w:rsidR="00E65684" w:rsidP="00E65684" w14:paraId="178500F4" w14:textId="20A5CBF7">
      <w:pPr>
        <w:pStyle w:val="paragraph"/>
        <w:numPr>
          <w:ilvl w:val="0"/>
          <w:numId w:val="12"/>
        </w:numPr>
        <w:spacing w:before="0" w:beforeAutospacing="0" w:after="0" w:afterAutospacing="0"/>
        <w:textAlignment w:val="baseline"/>
        <w:rPr>
          <w:rStyle w:val="normaltextrun"/>
          <w:rFonts w:asciiTheme="minorHAnsi" w:hAnsiTheme="minorHAnsi" w:cstheme="minorBidi"/>
          <w:sz w:val="22"/>
          <w:szCs w:val="22"/>
        </w:rPr>
      </w:pPr>
      <w:r w:rsidRPr="74AF1011">
        <w:rPr>
          <w:rStyle w:val="normaltextrun"/>
          <w:rFonts w:asciiTheme="minorHAnsi" w:hAnsiTheme="minorHAnsi" w:cstheme="minorBidi"/>
          <w:b/>
          <w:bCs/>
          <w:sz w:val="22"/>
          <w:szCs w:val="22"/>
        </w:rPr>
        <w:t>Infrastructure Construction</w:t>
      </w:r>
      <w:r w:rsidR="00B06E8F">
        <w:rPr>
          <w:rStyle w:val="normaltextrun"/>
          <w:rFonts w:asciiTheme="minorHAnsi" w:hAnsiTheme="minorHAnsi" w:cstheme="minorBidi"/>
          <w:b/>
          <w:bCs/>
          <w:sz w:val="22"/>
          <w:szCs w:val="22"/>
        </w:rPr>
        <w:t xml:space="preserve"> and Associated </w:t>
      </w:r>
      <w:r w:rsidRPr="74AF1011">
        <w:rPr>
          <w:rStyle w:val="normaltextrun"/>
          <w:rFonts w:asciiTheme="minorHAnsi" w:hAnsiTheme="minorHAnsi" w:cstheme="minorBidi"/>
          <w:b/>
          <w:bCs/>
          <w:sz w:val="22"/>
          <w:szCs w:val="22"/>
        </w:rPr>
        <w:t>Operations and Maintenance (O&amp;M), and Sustainability Plan.</w:t>
      </w:r>
      <w:r w:rsidRPr="74AF1011">
        <w:rPr>
          <w:rStyle w:val="normaltextrun"/>
          <w:rFonts w:asciiTheme="minorHAnsi" w:hAnsiTheme="minorHAnsi" w:cstheme="minorBidi"/>
          <w:sz w:val="22"/>
          <w:szCs w:val="22"/>
        </w:rPr>
        <w:t xml:space="preserve"> Includes all costs and activities where NSF funds are used for building construction, design and engineering services, and on-site costs, e.g. prep costs including cleanup, legal services, etc. This also covers the use of NSF funds for development of shared research facilities (i.e., any facility that will not be used exclusively for Engine activities) and space outfitting items for existing or new spaces, such as furniture.</w:t>
      </w:r>
    </w:p>
    <w:p w:rsidR="00AB45FF" w:rsidRPr="000279C2" w:rsidP="00AB45FF" w14:paraId="6F7A0257" w14:textId="77777777">
      <w:pPr>
        <w:pStyle w:val="paragraph"/>
        <w:spacing w:before="0" w:beforeAutospacing="0" w:after="0" w:afterAutospacing="0"/>
        <w:textAlignment w:val="baseline"/>
        <w:rPr>
          <w:rFonts w:asciiTheme="minorHAnsi" w:hAnsiTheme="minorHAnsi" w:cstheme="minorHAnsi"/>
          <w:sz w:val="22"/>
          <w:szCs w:val="22"/>
        </w:rPr>
      </w:pPr>
    </w:p>
    <w:p w:rsidR="006B1DEA" w:rsidP="00AB45FF" w14:paraId="5386FB7D"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39752A">
        <w:rPr>
          <w:rFonts w:asciiTheme="minorHAnsi" w:hAnsiTheme="minorHAnsi" w:cstheme="minorHAnsi"/>
          <w:sz w:val="22"/>
          <w:szCs w:val="22"/>
        </w:rPr>
        <w:t>&lt;&lt;</w:t>
      </w:r>
      <w:r w:rsidRPr="00A62F24">
        <w:rPr>
          <w:rFonts w:asciiTheme="minorHAnsi" w:hAnsiTheme="minorHAnsi" w:cstheme="minorHAnsi"/>
          <w:sz w:val="22"/>
          <w:szCs w:val="22"/>
        </w:rPr>
        <w:t xml:space="preserve"> </w:t>
      </w:r>
      <w:r w:rsidRPr="00026CB8">
        <w:rPr>
          <w:rStyle w:val="normaltextrun"/>
          <w:rFonts w:asciiTheme="minorHAnsi" w:hAnsiTheme="minorHAnsi" w:cstheme="minorHAnsi"/>
          <w:sz w:val="22"/>
          <w:szCs w:val="22"/>
        </w:rPr>
        <w:t>DELETE this reference text in the final version of report</w:t>
      </w:r>
      <w:r>
        <w:rPr>
          <w:rStyle w:val="normaltextrun"/>
          <w:rFonts w:asciiTheme="minorHAnsi" w:hAnsiTheme="minorHAnsi" w:cstheme="minorHAnsi"/>
          <w:sz w:val="22"/>
          <w:szCs w:val="22"/>
        </w:rPr>
        <w:t xml:space="preserve">. </w:t>
      </w:r>
      <w:r w:rsidRPr="006B1DEA">
        <w:rPr>
          <w:rStyle w:val="normaltextrun"/>
          <w:rFonts w:asciiTheme="minorHAnsi" w:hAnsiTheme="minorHAnsi" w:cstheme="minorHAnsi"/>
          <w:sz w:val="22"/>
          <w:szCs w:val="22"/>
        </w:rPr>
        <w:t>Note that efforts described in this section can be considered an Ecosystem Building Project, refer to the Engines Activities document in section C of this quarterly report template.</w:t>
      </w:r>
    </w:p>
    <w:p w:rsidR="006B1DEA" w:rsidP="00AB45FF" w14:paraId="28702BFB"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AB45FF" w:rsidP="00AB45FF" w14:paraId="36B8B832" w14:textId="7C6ACE10">
      <w:pPr>
        <w:pStyle w:val="paragraph"/>
        <w:spacing w:before="0" w:beforeAutospacing="0" w:after="0" w:afterAutospacing="0"/>
        <w:ind w:left="720"/>
        <w:textAlignment w:val="baseline"/>
        <w:rPr>
          <w:rFonts w:asciiTheme="minorHAnsi" w:hAnsiTheme="minorHAnsi" w:cstheme="minorHAnsi"/>
          <w:sz w:val="22"/>
          <w:szCs w:val="22"/>
        </w:rPr>
      </w:pPr>
      <w:r w:rsidRPr="009A3D32">
        <w:rPr>
          <w:rFonts w:asciiTheme="minorHAnsi" w:hAnsiTheme="minorHAnsi" w:cstheme="minorHAnsi"/>
          <w:sz w:val="22"/>
          <w:szCs w:val="22"/>
        </w:rPr>
        <w:t xml:space="preserve">The </w:t>
      </w:r>
      <w:r>
        <w:rPr>
          <w:rFonts w:asciiTheme="minorHAnsi" w:hAnsiTheme="minorHAnsi" w:cstheme="minorHAnsi"/>
          <w:sz w:val="22"/>
          <w:szCs w:val="22"/>
        </w:rPr>
        <w:t xml:space="preserve">content and subsections noted below should be included as part of the third </w:t>
      </w:r>
      <w:r w:rsidRPr="009A3D32">
        <w:rPr>
          <w:rFonts w:asciiTheme="minorHAnsi" w:hAnsiTheme="minorHAnsi" w:cstheme="minorHAnsi"/>
          <w:sz w:val="22"/>
          <w:szCs w:val="22"/>
        </w:rPr>
        <w:t>quarterly report</w:t>
      </w:r>
      <w:r w:rsidRPr="1BE579EF">
        <w:rPr>
          <w:rStyle w:val="normaltextrun"/>
          <w:rFonts w:asciiTheme="minorHAnsi" w:hAnsiTheme="minorHAnsi" w:cstheme="minorBidi"/>
          <w:sz w:val="22"/>
          <w:szCs w:val="22"/>
        </w:rPr>
        <w:t>, and changes reported routinely in subsequent</w:t>
      </w:r>
      <w:r>
        <w:rPr>
          <w:rStyle w:val="normaltextrun"/>
          <w:rFonts w:asciiTheme="minorHAnsi" w:hAnsiTheme="minorHAnsi" w:cstheme="minorBidi"/>
          <w:sz w:val="22"/>
          <w:szCs w:val="22"/>
        </w:rPr>
        <w:t xml:space="preserve"> quarterly</w:t>
      </w:r>
      <w:r w:rsidRPr="1BE579EF">
        <w:rPr>
          <w:rStyle w:val="normaltextrun"/>
          <w:rFonts w:asciiTheme="minorHAnsi" w:hAnsiTheme="minorHAnsi" w:cstheme="minorBidi"/>
          <w:sz w:val="22"/>
          <w:szCs w:val="22"/>
        </w:rPr>
        <w:t xml:space="preserve"> </w:t>
      </w:r>
      <w:r>
        <w:rPr>
          <w:rStyle w:val="normaltextrun"/>
          <w:rFonts w:asciiTheme="minorHAnsi" w:hAnsiTheme="minorHAnsi" w:cstheme="minorBidi"/>
          <w:sz w:val="22"/>
          <w:szCs w:val="22"/>
        </w:rPr>
        <w:t>reports</w:t>
      </w:r>
      <w:r w:rsidRPr="1BE579EF">
        <w:rPr>
          <w:rStyle w:val="normaltextrun"/>
          <w:rFonts w:asciiTheme="minorHAnsi" w:hAnsiTheme="minorHAnsi" w:cstheme="minorBidi"/>
          <w:sz w:val="22"/>
          <w:szCs w:val="22"/>
        </w:rPr>
        <w:t>.</w:t>
      </w:r>
      <w:r>
        <w:rPr>
          <w:rFonts w:asciiTheme="minorHAnsi" w:hAnsiTheme="minorHAnsi" w:cstheme="minorHAnsi"/>
          <w:sz w:val="22"/>
          <w:szCs w:val="22"/>
        </w:rPr>
        <w:t xml:space="preserve"> If construction is initiated earlier, teams should discuss with their cognizant Program Director earlier submission of this content.</w:t>
      </w:r>
    </w:p>
    <w:p w:rsidR="00AB45FF" w:rsidP="00AB45FF" w14:paraId="677F21EA" w14:textId="77777777">
      <w:pPr>
        <w:pStyle w:val="paragraph"/>
        <w:spacing w:before="0" w:beforeAutospacing="0" w:after="0" w:afterAutospacing="0"/>
        <w:ind w:left="720"/>
        <w:textAlignment w:val="baseline"/>
        <w:rPr>
          <w:rFonts w:asciiTheme="minorHAnsi" w:hAnsiTheme="minorHAnsi" w:cstheme="minorHAnsi"/>
          <w:sz w:val="22"/>
          <w:szCs w:val="22"/>
        </w:rPr>
      </w:pPr>
    </w:p>
    <w:p w:rsidR="00AB45FF" w:rsidRPr="009A3D32" w:rsidP="00AB45FF" w14:paraId="1345005A" w14:textId="77777777">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9A3D32">
        <w:rPr>
          <w:rFonts w:asciiTheme="minorHAnsi" w:hAnsiTheme="minorHAnsi" w:cstheme="minorHAnsi"/>
          <w:sz w:val="22"/>
          <w:szCs w:val="22"/>
          <w:u w:val="single"/>
        </w:rPr>
        <w:t>Construction Costs</w:t>
      </w:r>
      <w:r w:rsidRPr="009A3D32">
        <w:rPr>
          <w:rFonts w:asciiTheme="minorHAnsi" w:hAnsiTheme="minorHAnsi" w:cstheme="minorHAnsi"/>
          <w:sz w:val="22"/>
          <w:szCs w:val="22"/>
        </w:rPr>
        <w:t xml:space="preserve">: </w:t>
      </w:r>
      <w:r>
        <w:rPr>
          <w:rFonts w:asciiTheme="minorHAnsi" w:hAnsiTheme="minorHAnsi" w:cstheme="minorHAnsi"/>
          <w:sz w:val="22"/>
          <w:szCs w:val="22"/>
        </w:rPr>
        <w:t xml:space="preserve">Costs will be captured in the </w:t>
      </w:r>
      <w:r w:rsidRPr="009A3D32">
        <w:rPr>
          <w:rFonts w:asciiTheme="minorHAnsi" w:hAnsiTheme="minorHAnsi" w:cstheme="minorHAnsi"/>
          <w:sz w:val="22"/>
          <w:szCs w:val="22"/>
        </w:rPr>
        <w:t>NSF Budget and Resources template noted in section c of this quarterly report template</w:t>
      </w:r>
      <w:r>
        <w:rPr>
          <w:rFonts w:asciiTheme="minorHAnsi" w:hAnsiTheme="minorHAnsi" w:cstheme="minorHAnsi"/>
          <w:sz w:val="22"/>
          <w:szCs w:val="22"/>
        </w:rPr>
        <w:t xml:space="preserve">. The initial quarterly report </w:t>
      </w:r>
      <w:r>
        <w:rPr>
          <w:rFonts w:asciiTheme="minorHAnsi" w:hAnsiTheme="minorHAnsi" w:cstheme="minorHAnsi"/>
          <w:sz w:val="22"/>
          <w:szCs w:val="22"/>
        </w:rPr>
        <w:t xml:space="preserve">addressing construction should summarize the costs. Subsequent quarterly reports should summarize </w:t>
      </w:r>
      <w:r w:rsidRPr="009A3D32">
        <w:rPr>
          <w:rFonts w:asciiTheme="minorHAnsi" w:hAnsiTheme="minorHAnsi" w:cstheme="minorHAnsi"/>
          <w:sz w:val="22"/>
          <w:szCs w:val="22"/>
        </w:rPr>
        <w:t>construction costs over the reporting period</w:t>
      </w:r>
      <w:r>
        <w:rPr>
          <w:rFonts w:asciiTheme="minorHAnsi" w:hAnsiTheme="minorHAnsi" w:cstheme="minorHAnsi"/>
          <w:sz w:val="22"/>
          <w:szCs w:val="22"/>
        </w:rPr>
        <w:t>.</w:t>
      </w:r>
    </w:p>
    <w:p w:rsidR="00AB45FF" w:rsidRPr="000279C2" w:rsidP="00AB45FF" w14:paraId="592B3737" w14:textId="77777777">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9A3D32">
        <w:rPr>
          <w:rFonts w:asciiTheme="minorHAnsi" w:hAnsiTheme="minorHAnsi" w:cstheme="minorHAnsi"/>
          <w:sz w:val="22"/>
          <w:szCs w:val="22"/>
          <w:u w:val="single"/>
        </w:rPr>
        <w:t>Construction Activities</w:t>
      </w:r>
      <w:r w:rsidRPr="009A3D32">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9A3D32">
        <w:rPr>
          <w:rFonts w:asciiTheme="minorHAnsi" w:hAnsiTheme="minorHAnsi" w:cstheme="minorHAnsi"/>
          <w:sz w:val="22"/>
          <w:szCs w:val="22"/>
        </w:rPr>
        <w:t>status of the construction activities should be reported in the provided format</w:t>
      </w:r>
      <w:r>
        <w:rPr>
          <w:rFonts w:asciiTheme="minorHAnsi" w:hAnsiTheme="minorHAnsi" w:cstheme="minorHAnsi"/>
          <w:sz w:val="22"/>
          <w:szCs w:val="22"/>
        </w:rPr>
        <w:t xml:space="preserve"> of the file titled</w:t>
      </w:r>
      <w:r w:rsidRPr="009A3D32">
        <w:rPr>
          <w:rFonts w:asciiTheme="minorHAnsi" w:hAnsiTheme="minorHAnsi" w:cstheme="minorHAnsi"/>
          <w:sz w:val="22"/>
          <w:szCs w:val="22"/>
        </w:rPr>
        <w:t xml:space="preserve"> </w:t>
      </w:r>
      <w:r w:rsidRPr="009A3D32">
        <w:rPr>
          <w:rStyle w:val="normaltextrun"/>
          <w:rFonts w:asciiTheme="minorHAnsi" w:hAnsiTheme="minorHAnsi" w:cstheme="minorHAnsi"/>
          <w:sz w:val="22"/>
          <w:szCs w:val="22"/>
        </w:rPr>
        <w:t>“Construction Activities _[Q1, Q2, Q3, Q4]_[2024 or 2025]_[Engine name].xls”</w:t>
      </w:r>
      <w:r w:rsidRPr="009A3D32">
        <w:rPr>
          <w:rFonts w:asciiTheme="minorHAnsi" w:hAnsiTheme="minorHAnsi" w:cstheme="minorHAnsi"/>
          <w:sz w:val="22"/>
          <w:szCs w:val="22"/>
        </w:rPr>
        <w:t xml:space="preserve">.  </w:t>
      </w:r>
      <w:r>
        <w:rPr>
          <w:rFonts w:asciiTheme="minorHAnsi" w:hAnsiTheme="minorHAnsi" w:cstheme="minorHAnsi"/>
          <w:sz w:val="22"/>
          <w:szCs w:val="22"/>
        </w:rPr>
        <w:t>The initial quarterly report should summarize the activities. Subsequent quarterly reports should include a</w:t>
      </w:r>
      <w:r w:rsidRPr="009A3D32">
        <w:rPr>
          <w:rFonts w:asciiTheme="minorHAnsi" w:hAnsiTheme="minorHAnsi" w:cstheme="minorHAnsi"/>
          <w:sz w:val="22"/>
          <w:szCs w:val="22"/>
        </w:rPr>
        <w:t xml:space="preserve"> brief narrative </w:t>
      </w:r>
      <w:r w:rsidRPr="009A3D32">
        <w:rPr>
          <w:rFonts w:ascii="Calibri" w:hAnsi="Calibri" w:cs="Calibri"/>
          <w:sz w:val="22"/>
          <w:szCs w:val="22"/>
        </w:rPr>
        <w:t>to</w:t>
      </w:r>
      <w:r w:rsidRPr="009A3D32">
        <w:rPr>
          <w:rFonts w:asciiTheme="minorHAnsi" w:hAnsiTheme="minorHAnsi" w:cstheme="minorHAnsi"/>
          <w:sz w:val="22"/>
          <w:szCs w:val="22"/>
        </w:rPr>
        <w:t xml:space="preserve"> summarize</w:t>
      </w:r>
      <w:r>
        <w:rPr>
          <w:rFonts w:asciiTheme="minorHAnsi" w:hAnsiTheme="minorHAnsi" w:cstheme="minorHAnsi"/>
          <w:sz w:val="22"/>
          <w:szCs w:val="22"/>
        </w:rPr>
        <w:t xml:space="preserve"> the following, if applicable</w:t>
      </w:r>
      <w:r w:rsidRPr="009A3D32">
        <w:rPr>
          <w:rFonts w:asciiTheme="minorHAnsi" w:hAnsiTheme="minorHAnsi" w:cstheme="minorHAnsi"/>
          <w:sz w:val="22"/>
          <w:szCs w:val="22"/>
        </w:rPr>
        <w:t xml:space="preserve">: i) cost and schedule </w:t>
      </w:r>
      <w:r w:rsidRPr="009A3D32">
        <w:rPr>
          <w:rFonts w:ascii="Calibri" w:hAnsi="Calibri" w:cs="Calibri"/>
          <w:sz w:val="22"/>
          <w:szCs w:val="22"/>
        </w:rPr>
        <w:t>variances by activity</w:t>
      </w:r>
      <w:r w:rsidRPr="009A3D32">
        <w:rPr>
          <w:rFonts w:asciiTheme="minorHAnsi" w:hAnsiTheme="minorHAnsi" w:cstheme="minorHAnsi"/>
          <w:sz w:val="22"/>
          <w:szCs w:val="22"/>
        </w:rPr>
        <w:t>, positive and negative, ii) impacts to the Engine and where applicable iii) actions planned to address them.</w:t>
      </w:r>
    </w:p>
    <w:p w:rsidR="00AB45FF" w:rsidRPr="0074479E" w:rsidP="00AB45FF" w14:paraId="69F20D7F" w14:textId="77777777">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9A3D32">
        <w:rPr>
          <w:rFonts w:asciiTheme="minorHAnsi" w:hAnsiTheme="minorHAnsi" w:cstheme="minorHAnsi"/>
          <w:sz w:val="22"/>
          <w:szCs w:val="22"/>
          <w:u w:val="single"/>
        </w:rPr>
        <w:t>Operations and Maintenance</w:t>
      </w:r>
      <w:r>
        <w:rPr>
          <w:rFonts w:asciiTheme="minorHAnsi" w:hAnsiTheme="minorHAnsi" w:cstheme="minorHAnsi"/>
          <w:sz w:val="22"/>
          <w:szCs w:val="22"/>
          <w:u w:val="single"/>
        </w:rPr>
        <w:t xml:space="preserve"> (O&amp;M)</w:t>
      </w:r>
      <w:r w:rsidRPr="009A3D32">
        <w:rPr>
          <w:rFonts w:asciiTheme="minorHAnsi" w:hAnsiTheme="minorHAnsi" w:cstheme="minorHAnsi"/>
          <w:sz w:val="22"/>
          <w:szCs w:val="22"/>
          <w:u w:val="single"/>
        </w:rPr>
        <w:t xml:space="preserve"> </w:t>
      </w:r>
      <w:r>
        <w:rPr>
          <w:rFonts w:asciiTheme="minorHAnsi" w:hAnsiTheme="minorHAnsi" w:cstheme="minorHAnsi"/>
          <w:sz w:val="22"/>
          <w:szCs w:val="22"/>
          <w:u w:val="single"/>
        </w:rPr>
        <w:t>P</w:t>
      </w:r>
      <w:r w:rsidRPr="009A3D32">
        <w:rPr>
          <w:rFonts w:asciiTheme="minorHAnsi" w:hAnsiTheme="minorHAnsi" w:cstheme="minorHAnsi"/>
          <w:sz w:val="22"/>
          <w:szCs w:val="22"/>
          <w:u w:val="single"/>
        </w:rPr>
        <w:t>lan:</w:t>
      </w:r>
      <w:r>
        <w:rPr>
          <w:rFonts w:asciiTheme="minorHAnsi" w:hAnsiTheme="minorHAnsi" w:cstheme="minorHAnsi"/>
          <w:sz w:val="22"/>
          <w:szCs w:val="22"/>
        </w:rPr>
        <w:t xml:space="preserve"> Engines should submit the plan as a separate file </w:t>
      </w:r>
      <w:r w:rsidRPr="009A3D32">
        <w:rPr>
          <w:rFonts w:asciiTheme="minorHAnsi" w:hAnsiTheme="minorHAnsi" w:cstheme="minorHAnsi"/>
          <w:sz w:val="22"/>
          <w:szCs w:val="22"/>
        </w:rPr>
        <w:t xml:space="preserve">titled </w:t>
      </w:r>
      <w:r w:rsidRPr="009A3D32">
        <w:rPr>
          <w:rStyle w:val="normaltextrun"/>
          <w:rFonts w:asciiTheme="minorHAnsi" w:hAnsiTheme="minorHAnsi" w:cstheme="minorHAnsi"/>
          <w:sz w:val="22"/>
          <w:szCs w:val="22"/>
        </w:rPr>
        <w:t>“Operations and Management plan _[Q3]_[2024]_[Engine name].</w:t>
      </w:r>
      <w:r>
        <w:rPr>
          <w:rStyle w:val="normaltextrun"/>
          <w:rFonts w:asciiTheme="minorHAnsi" w:hAnsiTheme="minorHAnsi" w:cstheme="minorHAnsi"/>
          <w:sz w:val="22"/>
          <w:szCs w:val="22"/>
        </w:rPr>
        <w:t xml:space="preserve">pdf”. </w:t>
      </w:r>
      <w:r>
        <w:rPr>
          <w:rFonts w:asciiTheme="minorHAnsi" w:hAnsiTheme="minorHAnsi" w:cstheme="minorHAnsi"/>
          <w:sz w:val="22"/>
          <w:szCs w:val="22"/>
        </w:rPr>
        <w:t>The O&amp;M Plan</w:t>
      </w:r>
      <w:r w:rsidRPr="009A3D32">
        <w:rPr>
          <w:rFonts w:asciiTheme="minorHAnsi" w:hAnsiTheme="minorHAnsi" w:cstheme="minorHAnsi"/>
          <w:sz w:val="22"/>
          <w:szCs w:val="22"/>
        </w:rPr>
        <w:t xml:space="preserve"> should include the overall plan for operating the infrastructure, </w:t>
      </w:r>
      <w:r>
        <w:rPr>
          <w:rFonts w:asciiTheme="minorHAnsi" w:hAnsiTheme="minorHAnsi" w:cstheme="minorHAnsi"/>
          <w:sz w:val="22"/>
          <w:szCs w:val="22"/>
        </w:rPr>
        <w:t xml:space="preserve">and </w:t>
      </w:r>
      <w:r w:rsidRPr="009A3D32">
        <w:rPr>
          <w:rFonts w:asciiTheme="minorHAnsi" w:hAnsiTheme="minorHAnsi" w:cstheme="minorHAnsi"/>
          <w:sz w:val="22"/>
          <w:szCs w:val="22"/>
        </w:rPr>
        <w:t>at a minimum</w:t>
      </w:r>
      <w:r>
        <w:rPr>
          <w:rFonts w:asciiTheme="minorHAnsi" w:hAnsiTheme="minorHAnsi" w:cstheme="minorHAnsi"/>
          <w:sz w:val="22"/>
          <w:szCs w:val="22"/>
        </w:rPr>
        <w:t xml:space="preserve"> should include: a </w:t>
      </w:r>
      <w:r w:rsidRPr="009A3D32">
        <w:rPr>
          <w:rFonts w:asciiTheme="minorHAnsi" w:hAnsiTheme="minorHAnsi" w:cstheme="minorHAnsi"/>
          <w:sz w:val="22"/>
          <w:szCs w:val="22"/>
        </w:rPr>
        <w:t>management</w:t>
      </w:r>
      <w:r>
        <w:rPr>
          <w:rFonts w:asciiTheme="minorHAnsi" w:hAnsiTheme="minorHAnsi" w:cstheme="minorHAnsi"/>
          <w:sz w:val="22"/>
          <w:szCs w:val="22"/>
        </w:rPr>
        <w:t xml:space="preserve"> and g</w:t>
      </w:r>
      <w:r w:rsidRPr="009A3D32">
        <w:rPr>
          <w:rFonts w:asciiTheme="minorHAnsi" w:hAnsiTheme="minorHAnsi" w:cstheme="minorHAnsi"/>
          <w:sz w:val="22"/>
          <w:szCs w:val="22"/>
        </w:rPr>
        <w:t xml:space="preserve">overnance plan, strategy for access to and utilization of the infrastructure by the target communities, and planned metrics for the evaluation of the success and impact of Engines investment in the infrastructure. The O&amp;M </w:t>
      </w:r>
      <w:r>
        <w:rPr>
          <w:rFonts w:asciiTheme="minorHAnsi" w:hAnsiTheme="minorHAnsi" w:cstheme="minorHAnsi"/>
          <w:sz w:val="22"/>
          <w:szCs w:val="22"/>
        </w:rPr>
        <w:t>P</w:t>
      </w:r>
      <w:r w:rsidRPr="009A3D32">
        <w:rPr>
          <w:rFonts w:asciiTheme="minorHAnsi" w:hAnsiTheme="minorHAnsi" w:cstheme="minorHAnsi"/>
          <w:sz w:val="22"/>
          <w:szCs w:val="22"/>
        </w:rPr>
        <w:t>lan must also identify the anticipated support to sustain the infrastructure using funds other than from the NSF Engine.</w:t>
      </w:r>
      <w:r>
        <w:rPr>
          <w:rFonts w:asciiTheme="minorHAnsi" w:hAnsiTheme="minorHAnsi" w:cstheme="minorHAnsi"/>
          <w:sz w:val="22"/>
          <w:szCs w:val="22"/>
        </w:rPr>
        <w:t xml:space="preserve"> </w:t>
      </w:r>
      <w:r w:rsidRPr="0074479E">
        <w:rPr>
          <w:rFonts w:asciiTheme="minorHAnsi" w:hAnsiTheme="minorHAnsi" w:cstheme="minorHAnsi"/>
          <w:sz w:val="22"/>
          <w:szCs w:val="22"/>
        </w:rPr>
        <w:t xml:space="preserve">After the initial plan has been submitted, future quarterly reports should include a summary of the progress against the O&amp;M Plan. </w:t>
      </w:r>
    </w:p>
    <w:p w:rsidR="00AB45FF" w:rsidRPr="009A3D32" w:rsidP="00AB45FF" w14:paraId="05FCBD26" w14:textId="77777777">
      <w:pPr>
        <w:pStyle w:val="paragraph"/>
        <w:spacing w:before="0" w:beforeAutospacing="0" w:after="0" w:afterAutospacing="0"/>
        <w:ind w:left="720"/>
        <w:textAlignment w:val="baseline"/>
        <w:rPr>
          <w:rFonts w:asciiTheme="minorHAnsi" w:hAnsiTheme="minorHAnsi" w:cstheme="minorHAnsi"/>
          <w:sz w:val="22"/>
          <w:szCs w:val="22"/>
        </w:rPr>
      </w:pPr>
    </w:p>
    <w:p w:rsidR="00AB45FF" w:rsidRPr="000279C2" w:rsidP="00AB45FF" w14:paraId="4BF0FF85" w14:textId="77777777">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Suggested length: up to </w:t>
      </w:r>
      <w:r w:rsidRPr="009A3D32">
        <w:rPr>
          <w:rFonts w:asciiTheme="minorHAnsi" w:hAnsiTheme="minorHAnsi" w:cstheme="minorHAnsi"/>
          <w:sz w:val="22"/>
          <w:szCs w:val="22"/>
        </w:rPr>
        <w:t xml:space="preserve">two paragraphs per </w:t>
      </w:r>
      <w:r>
        <w:rPr>
          <w:rFonts w:asciiTheme="minorHAnsi" w:hAnsiTheme="minorHAnsi" w:cstheme="minorHAnsi"/>
          <w:sz w:val="22"/>
          <w:szCs w:val="22"/>
        </w:rPr>
        <w:t>subsection noted above</w:t>
      </w:r>
      <w:r w:rsidRPr="009A3D32">
        <w:rPr>
          <w:rFonts w:asciiTheme="minorHAnsi" w:hAnsiTheme="minorHAnsi" w:cstheme="minorHAnsi"/>
          <w:sz w:val="22"/>
          <w:szCs w:val="22"/>
        </w:rPr>
        <w:t>.</w:t>
      </w:r>
      <w:r w:rsidRPr="000279C2">
        <w:rPr>
          <w:rFonts w:asciiTheme="minorHAnsi" w:hAnsiTheme="minorHAnsi" w:cstheme="minorHAnsi"/>
          <w:sz w:val="22"/>
          <w:szCs w:val="22"/>
        </w:rPr>
        <w:t>&gt;</w:t>
      </w:r>
    </w:p>
    <w:p w:rsidR="00AB45FF" w:rsidRPr="009A3D32" w:rsidP="00A16063" w14:paraId="54D690D5" w14:textId="77777777">
      <w:pPr>
        <w:pStyle w:val="paragraph"/>
        <w:spacing w:before="0" w:beforeAutospacing="0" w:after="0" w:afterAutospacing="0"/>
        <w:ind w:left="720"/>
        <w:textAlignment w:val="baseline"/>
        <w:rPr>
          <w:rFonts w:asciiTheme="minorHAnsi" w:hAnsiTheme="minorHAnsi" w:cstheme="minorBidi"/>
          <w:sz w:val="22"/>
          <w:szCs w:val="22"/>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243" w:rsidP="00C52243" w14:paraId="2DABB53F" w14:textId="5790D3D0">
    <w:pPr>
      <w:pStyle w:val="Footer"/>
    </w:pPr>
    <w:bookmarkStart w:id="3" w:name="TITUS1FooterPrimary"/>
    <w:r w:rsidRPr="00C52243">
      <w:rPr>
        <w:color w:val="000000"/>
        <w:sz w:val="17"/>
      </w:rPr>
      <w:t>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716F" w:rsidP="00C52243" w14:paraId="03D7FDDD" w14:textId="77777777">
      <w:pPr>
        <w:spacing w:after="0" w:line="240" w:lineRule="auto"/>
      </w:pPr>
      <w:r>
        <w:separator/>
      </w:r>
    </w:p>
  </w:footnote>
  <w:footnote w:type="continuationSeparator" w:id="1">
    <w:p w:rsidR="0052716F" w:rsidP="00C52243" w14:paraId="0281BB8E" w14:textId="77777777">
      <w:pPr>
        <w:spacing w:after="0" w:line="240" w:lineRule="auto"/>
      </w:pPr>
      <w:r>
        <w:continuationSeparator/>
      </w:r>
    </w:p>
  </w:footnote>
  <w:footnote w:type="continuationNotice" w:id="2">
    <w:p w:rsidR="0052716F" w14:paraId="444108BF" w14:textId="77777777">
      <w:pPr>
        <w:spacing w:after="0" w:line="240" w:lineRule="auto"/>
      </w:pPr>
    </w:p>
  </w:footnote>
  <w:footnote w:id="3">
    <w:p w:rsidR="002141D1" w:rsidRPr="00616300" w:rsidP="002141D1" w14:paraId="29CEA8DC" w14:textId="77777777">
      <w:pPr>
        <w:spacing w:line="240" w:lineRule="auto"/>
        <w:jc w:val="both"/>
      </w:pPr>
      <w:r w:rsidRPr="00B63715">
        <w:rPr>
          <w:i/>
          <w:iCs/>
          <w:color w:val="1F3864" w:themeColor="accent1" w:themeShade="80"/>
          <w:sz w:val="16"/>
          <w:szCs w:val="16"/>
        </w:rPr>
        <w:t xml:space="preserve">Information from this data collection system will be retained by the National Science Foundation (NSF), a </w:t>
      </w:r>
      <w:r w:rsidRPr="00B63715">
        <w:rPr>
          <w:i/>
          <w:iCs/>
          <w:color w:val="1F3864" w:themeColor="accent1" w:themeShade="80"/>
          <w:sz w:val="16"/>
          <w:szCs w:val="16"/>
        </w:rPr>
        <w:t>Federal</w:t>
      </w:r>
      <w:r w:rsidRPr="00B63715">
        <w:rPr>
          <w:i/>
          <w:iCs/>
          <w:color w:val="1F3864" w:themeColor="accent1" w:themeShade="80"/>
          <w:sz w:val="16"/>
          <w:szCs w:val="16"/>
        </w:rPr>
        <w:t xml:space="preserve"> agency, and will be an integral part of its Privacy Act System or Records In accordance with the Privacy Act of 1974. All individually identifiable information supplied by individuals or institutions to a </w:t>
      </w:r>
      <w:r w:rsidRPr="00B63715">
        <w:rPr>
          <w:i/>
          <w:iCs/>
          <w:color w:val="1F3864" w:themeColor="accent1" w:themeShade="80"/>
          <w:sz w:val="16"/>
          <w:szCs w:val="16"/>
        </w:rPr>
        <w:t>Federal</w:t>
      </w:r>
      <w:r w:rsidRPr="00B63715">
        <w:rPr>
          <w:i/>
          <w:iCs/>
          <w:color w:val="1F3864" w:themeColor="accent1" w:themeShade="80"/>
          <w:sz w:val="16"/>
          <w:szCs w:val="16"/>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2141D1" w:rsidRPr="00B63715" w:rsidP="002141D1" w14:paraId="7830DB2E" w14:textId="39219B6F">
      <w:pPr>
        <w:spacing w:line="240" w:lineRule="auto"/>
        <w:jc w:val="both"/>
        <w:rPr>
          <w:i/>
          <w:iCs/>
          <w:color w:val="1F3864" w:themeColor="accent1" w:themeShade="80"/>
          <w:sz w:val="16"/>
          <w:szCs w:val="16"/>
        </w:rPr>
      </w:pPr>
      <w:r w:rsidRPr="00B63715">
        <w:rPr>
          <w:i/>
          <w:iCs/>
          <w:color w:val="1F3864"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B3565D">
        <w:rPr>
          <w:i/>
          <w:iCs/>
          <w:color w:val="1F3864" w:themeColor="accent1" w:themeShade="80"/>
          <w:sz w:val="16"/>
          <w:szCs w:val="16"/>
        </w:rPr>
        <w:t>10 to 20 hours</w:t>
      </w:r>
      <w:r w:rsidRPr="00B63715">
        <w:rPr>
          <w:i/>
          <w:iCs/>
          <w:color w:val="1F3864" w:themeColor="accent1" w:themeShade="80"/>
          <w:sz w:val="16"/>
          <w:szCs w:val="16"/>
        </w:rPr>
        <w:t xml:space="preserve"> per response, including the time for reviewing instructions. Send comments regarding this burden estimate and any other aspect of this collection of information, including suggestions for reducing this burden, to:</w:t>
      </w:r>
    </w:p>
    <w:p w:rsidR="002141D1" w:rsidRPr="00616300" w:rsidP="002141D1" w14:paraId="05557D0F" w14:textId="77777777">
      <w:pPr>
        <w:spacing w:line="240" w:lineRule="auto"/>
        <w:rPr>
          <w:color w:val="1F3864" w:themeColor="accent1" w:themeShade="80"/>
          <w:sz w:val="16"/>
          <w:szCs w:val="16"/>
        </w:rPr>
      </w:pPr>
      <w:r w:rsidRPr="00B63715">
        <w:rPr>
          <w:color w:val="1F3864" w:themeColor="accent1" w:themeShade="80"/>
          <w:sz w:val="16"/>
          <w:szCs w:val="16"/>
        </w:rPr>
        <w:br/>
      </w:r>
      <w:r w:rsidRPr="00B63715">
        <w:rPr>
          <w:i/>
          <w:iCs/>
          <w:color w:val="1F3864" w:themeColor="accent1" w:themeShade="80"/>
          <w:sz w:val="16"/>
          <w:szCs w:val="16"/>
        </w:rPr>
        <w:t>Suzanne H. Plimpton</w:t>
      </w:r>
      <w:r w:rsidRPr="00B63715">
        <w:rPr>
          <w:color w:val="1F3864" w:themeColor="accent1" w:themeShade="80"/>
          <w:sz w:val="16"/>
          <w:szCs w:val="16"/>
        </w:rPr>
        <w:br/>
      </w:r>
      <w:r w:rsidRPr="00B63715">
        <w:rPr>
          <w:i/>
          <w:iCs/>
          <w:color w:val="1F3864" w:themeColor="accent1" w:themeShade="80"/>
          <w:sz w:val="16"/>
          <w:szCs w:val="16"/>
        </w:rPr>
        <w:t>Reports Clearance Officer</w:t>
      </w:r>
      <w:r w:rsidRPr="00B63715">
        <w:rPr>
          <w:color w:val="1F3864" w:themeColor="accent1" w:themeShade="80"/>
          <w:sz w:val="16"/>
          <w:szCs w:val="16"/>
        </w:rPr>
        <w:br/>
      </w:r>
      <w:r w:rsidRPr="00B63715">
        <w:rPr>
          <w:i/>
          <w:iCs/>
          <w:color w:val="1F3864" w:themeColor="accent1" w:themeShade="80"/>
          <w:sz w:val="16"/>
          <w:szCs w:val="16"/>
        </w:rPr>
        <w:t>Policy Office, Division of Institution and Award Support</w:t>
      </w:r>
      <w:r w:rsidRPr="00B63715">
        <w:rPr>
          <w:color w:val="1F3864" w:themeColor="accent1" w:themeShade="80"/>
          <w:sz w:val="16"/>
          <w:szCs w:val="16"/>
        </w:rPr>
        <w:br/>
      </w:r>
      <w:r w:rsidRPr="00B63715">
        <w:rPr>
          <w:i/>
          <w:iCs/>
          <w:color w:val="1F3864" w:themeColor="accent1" w:themeShade="80"/>
          <w:sz w:val="16"/>
          <w:szCs w:val="16"/>
        </w:rPr>
        <w:t>Office of Budget, Finance, and Award Management</w:t>
      </w:r>
      <w:r w:rsidRPr="00B63715">
        <w:rPr>
          <w:color w:val="1F3864" w:themeColor="accent1" w:themeShade="80"/>
          <w:sz w:val="16"/>
          <w:szCs w:val="16"/>
        </w:rPr>
        <w:br/>
      </w:r>
      <w:r w:rsidRPr="00B63715">
        <w:rPr>
          <w:i/>
          <w:iCs/>
          <w:color w:val="1F3864" w:themeColor="accent1" w:themeShade="80"/>
          <w:sz w:val="16"/>
          <w:szCs w:val="16"/>
        </w:rPr>
        <w:t>National Science Foundation Alexandria, VA 22314</w:t>
      </w:r>
      <w:r w:rsidRPr="00B63715">
        <w:rPr>
          <w:color w:val="1F3864" w:themeColor="accent1" w:themeShade="80"/>
          <w:sz w:val="16"/>
          <w:szCs w:val="16"/>
        </w:rPr>
        <w:br/>
      </w:r>
      <w:r w:rsidRPr="00B63715">
        <w:rPr>
          <w:i/>
          <w:iCs/>
          <w:color w:val="1F3864" w:themeColor="accent1" w:themeShade="80"/>
          <w:sz w:val="16"/>
          <w:szCs w:val="16"/>
        </w:rPr>
        <w:t>Email:</w:t>
      </w:r>
      <w:r w:rsidRPr="00B63715">
        <w:rPr>
          <w:color w:val="1F3864" w:themeColor="accent1" w:themeShade="80"/>
          <w:sz w:val="16"/>
          <w:szCs w:val="16"/>
        </w:rPr>
        <w:t> </w:t>
      </w:r>
      <w:hyperlink r:id="rId1" w:history="1">
        <w:r w:rsidRPr="00B63715">
          <w:rPr>
            <w:rStyle w:val="Hyperlink"/>
            <w:color w:val="1F3864" w:themeColor="accent1" w:themeShade="80"/>
            <w:sz w:val="16"/>
            <w:szCs w:val="16"/>
          </w:rPr>
          <w:t>splimpto@nsf.gov</w:t>
        </w:r>
      </w:hyperlink>
    </w:p>
    <w:p w:rsidR="002141D1" w14:paraId="2CCF4252" w14:textId="168FE84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23F11"/>
    <w:multiLevelType w:val="multilevel"/>
    <w:tmpl w:val="7A5A4F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68259E7"/>
    <w:multiLevelType w:val="multilevel"/>
    <w:tmpl w:val="9BDE33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BD3DCF"/>
    <w:multiLevelType w:val="hybridMultilevel"/>
    <w:tmpl w:val="A6E42080"/>
    <w:lvl w:ilvl="0">
      <w:start w:val="1"/>
      <w:numFmt w:val="lowerRoman"/>
      <w:lvlText w:val="%1)"/>
      <w:lvlJc w:val="left"/>
      <w:pPr>
        <w:ind w:left="1440" w:hanging="72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DE1DA0"/>
    <w:multiLevelType w:val="multilevel"/>
    <w:tmpl w:val="5BAC5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43C0235"/>
    <w:multiLevelType w:val="hybridMultilevel"/>
    <w:tmpl w:val="70F875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997680C"/>
    <w:multiLevelType w:val="hybridMultilevel"/>
    <w:tmpl w:val="AF98E6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67DE0D"/>
    <w:multiLevelType w:val="hybridMultilevel"/>
    <w:tmpl w:val="53707E4E"/>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B925BEA"/>
    <w:multiLevelType w:val="hybridMultilevel"/>
    <w:tmpl w:val="D84A1E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F9C6038"/>
    <w:multiLevelType w:val="multilevel"/>
    <w:tmpl w:val="D858578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892DD2"/>
    <w:multiLevelType w:val="multilevel"/>
    <w:tmpl w:val="2AFEA7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DDC1D4E"/>
    <w:multiLevelType w:val="hybridMultilevel"/>
    <w:tmpl w:val="4094DE0C"/>
    <w:lvl w:ilvl="0">
      <w:start w:val="1"/>
      <w:numFmt w:val="lowerRoman"/>
      <w:lvlText w:val="%1."/>
      <w:lvlJc w:val="left"/>
      <w:pPr>
        <w:ind w:left="1440" w:hanging="72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571485"/>
    <w:multiLevelType w:val="hybridMultilevel"/>
    <w:tmpl w:val="1808294A"/>
    <w:lvl w:ilvl="0">
      <w:start w:val="1"/>
      <w:numFmt w:val="lowerRoman"/>
      <w:lvlText w:val="%1)"/>
      <w:lvlJc w:val="left"/>
      <w:pPr>
        <w:ind w:left="3096" w:hanging="720"/>
      </w:pPr>
      <w:rPr>
        <w:rFonts w:hint="default"/>
        <w:color w:val="FF0000"/>
      </w:rPr>
    </w:lvl>
    <w:lvl w:ilvl="1" w:tentative="1">
      <w:start w:val="1"/>
      <w:numFmt w:val="lowerLetter"/>
      <w:lvlText w:val="%2."/>
      <w:lvlJc w:val="left"/>
      <w:pPr>
        <w:ind w:left="3456" w:hanging="360"/>
      </w:pPr>
    </w:lvl>
    <w:lvl w:ilvl="2" w:tentative="1">
      <w:start w:val="1"/>
      <w:numFmt w:val="lowerRoman"/>
      <w:lvlText w:val="%3."/>
      <w:lvlJc w:val="right"/>
      <w:pPr>
        <w:ind w:left="4176" w:hanging="180"/>
      </w:pPr>
    </w:lvl>
    <w:lvl w:ilvl="3" w:tentative="1">
      <w:start w:val="1"/>
      <w:numFmt w:val="decimal"/>
      <w:lvlText w:val="%4."/>
      <w:lvlJc w:val="left"/>
      <w:pPr>
        <w:ind w:left="4896" w:hanging="360"/>
      </w:pPr>
    </w:lvl>
    <w:lvl w:ilvl="4" w:tentative="1">
      <w:start w:val="1"/>
      <w:numFmt w:val="lowerLetter"/>
      <w:lvlText w:val="%5."/>
      <w:lvlJc w:val="left"/>
      <w:pPr>
        <w:ind w:left="5616" w:hanging="360"/>
      </w:pPr>
    </w:lvl>
    <w:lvl w:ilvl="5" w:tentative="1">
      <w:start w:val="1"/>
      <w:numFmt w:val="lowerRoman"/>
      <w:lvlText w:val="%6."/>
      <w:lvlJc w:val="right"/>
      <w:pPr>
        <w:ind w:left="6336" w:hanging="180"/>
      </w:pPr>
    </w:lvl>
    <w:lvl w:ilvl="6" w:tentative="1">
      <w:start w:val="1"/>
      <w:numFmt w:val="decimal"/>
      <w:lvlText w:val="%7."/>
      <w:lvlJc w:val="left"/>
      <w:pPr>
        <w:ind w:left="7056" w:hanging="360"/>
      </w:pPr>
    </w:lvl>
    <w:lvl w:ilvl="7" w:tentative="1">
      <w:start w:val="1"/>
      <w:numFmt w:val="lowerLetter"/>
      <w:lvlText w:val="%8."/>
      <w:lvlJc w:val="left"/>
      <w:pPr>
        <w:ind w:left="7776" w:hanging="360"/>
      </w:pPr>
    </w:lvl>
    <w:lvl w:ilvl="8" w:tentative="1">
      <w:start w:val="1"/>
      <w:numFmt w:val="lowerRoman"/>
      <w:lvlText w:val="%9."/>
      <w:lvlJc w:val="right"/>
      <w:pPr>
        <w:ind w:left="8496" w:hanging="180"/>
      </w:pPr>
    </w:lvl>
  </w:abstractNum>
  <w:abstractNum w:abstractNumId="12">
    <w:nsid w:val="324E0A73"/>
    <w:multiLevelType w:val="multilevel"/>
    <w:tmpl w:val="1F86AB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63557ED"/>
    <w:multiLevelType w:val="hybridMultilevel"/>
    <w:tmpl w:val="DCB800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7753BAC"/>
    <w:multiLevelType w:val="multilevel"/>
    <w:tmpl w:val="E102BAF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AFE5998"/>
    <w:multiLevelType w:val="multilevel"/>
    <w:tmpl w:val="B9846E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C76478B"/>
    <w:multiLevelType w:val="multilevel"/>
    <w:tmpl w:val="CE0E8A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0DB57C1"/>
    <w:multiLevelType w:val="hybridMultilevel"/>
    <w:tmpl w:val="D858578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6C7CF3"/>
    <w:multiLevelType w:val="multilevel"/>
    <w:tmpl w:val="B1102DE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53083236"/>
    <w:multiLevelType w:val="multilevel"/>
    <w:tmpl w:val="EA4CF62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5E57F5B"/>
    <w:multiLevelType w:val="hybridMultilevel"/>
    <w:tmpl w:val="DAAA668C"/>
    <w:lvl w:ilvl="0">
      <w:start w:val="7"/>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BF01DB"/>
    <w:multiLevelType w:val="hybridMultilevel"/>
    <w:tmpl w:val="0E90196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8BA62AF"/>
    <w:multiLevelType w:val="hybridMultilevel"/>
    <w:tmpl w:val="1808294A"/>
    <w:lvl w:ilvl="0">
      <w:start w:val="1"/>
      <w:numFmt w:val="lowerRoman"/>
      <w:lvlText w:val="%1)"/>
      <w:lvlJc w:val="left"/>
      <w:pPr>
        <w:ind w:left="3096" w:hanging="720"/>
      </w:pPr>
      <w:rPr>
        <w:rFonts w:hint="default"/>
        <w:color w:val="FF0000"/>
      </w:rPr>
    </w:lvl>
    <w:lvl w:ilvl="1" w:tentative="1">
      <w:start w:val="1"/>
      <w:numFmt w:val="lowerLetter"/>
      <w:lvlText w:val="%2."/>
      <w:lvlJc w:val="left"/>
      <w:pPr>
        <w:ind w:left="3456" w:hanging="360"/>
      </w:pPr>
    </w:lvl>
    <w:lvl w:ilvl="2" w:tentative="1">
      <w:start w:val="1"/>
      <w:numFmt w:val="lowerRoman"/>
      <w:lvlText w:val="%3."/>
      <w:lvlJc w:val="right"/>
      <w:pPr>
        <w:ind w:left="4176" w:hanging="180"/>
      </w:pPr>
    </w:lvl>
    <w:lvl w:ilvl="3" w:tentative="1">
      <w:start w:val="1"/>
      <w:numFmt w:val="decimal"/>
      <w:lvlText w:val="%4."/>
      <w:lvlJc w:val="left"/>
      <w:pPr>
        <w:ind w:left="4896" w:hanging="360"/>
      </w:pPr>
    </w:lvl>
    <w:lvl w:ilvl="4" w:tentative="1">
      <w:start w:val="1"/>
      <w:numFmt w:val="lowerLetter"/>
      <w:lvlText w:val="%5."/>
      <w:lvlJc w:val="left"/>
      <w:pPr>
        <w:ind w:left="5616" w:hanging="360"/>
      </w:pPr>
    </w:lvl>
    <w:lvl w:ilvl="5" w:tentative="1">
      <w:start w:val="1"/>
      <w:numFmt w:val="lowerRoman"/>
      <w:lvlText w:val="%6."/>
      <w:lvlJc w:val="right"/>
      <w:pPr>
        <w:ind w:left="6336" w:hanging="180"/>
      </w:pPr>
    </w:lvl>
    <w:lvl w:ilvl="6" w:tentative="1">
      <w:start w:val="1"/>
      <w:numFmt w:val="decimal"/>
      <w:lvlText w:val="%7."/>
      <w:lvlJc w:val="left"/>
      <w:pPr>
        <w:ind w:left="7056" w:hanging="360"/>
      </w:pPr>
    </w:lvl>
    <w:lvl w:ilvl="7" w:tentative="1">
      <w:start w:val="1"/>
      <w:numFmt w:val="lowerLetter"/>
      <w:lvlText w:val="%8."/>
      <w:lvlJc w:val="left"/>
      <w:pPr>
        <w:ind w:left="7776" w:hanging="360"/>
      </w:pPr>
    </w:lvl>
    <w:lvl w:ilvl="8" w:tentative="1">
      <w:start w:val="1"/>
      <w:numFmt w:val="lowerRoman"/>
      <w:lvlText w:val="%9."/>
      <w:lvlJc w:val="right"/>
      <w:pPr>
        <w:ind w:left="8496" w:hanging="180"/>
      </w:pPr>
    </w:lvl>
  </w:abstractNum>
  <w:abstractNum w:abstractNumId="23">
    <w:nsid w:val="6AC0239A"/>
    <w:multiLevelType w:val="hybridMultilevel"/>
    <w:tmpl w:val="DA9C355A"/>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389235B"/>
    <w:multiLevelType w:val="hybridMultilevel"/>
    <w:tmpl w:val="8A6CB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8050471">
    <w:abstractNumId w:val="3"/>
  </w:num>
  <w:num w:numId="2" w16cid:durableId="1208488022">
    <w:abstractNumId w:val="1"/>
  </w:num>
  <w:num w:numId="3" w16cid:durableId="595788776">
    <w:abstractNumId w:val="16"/>
  </w:num>
  <w:num w:numId="4" w16cid:durableId="837886848">
    <w:abstractNumId w:val="9"/>
  </w:num>
  <w:num w:numId="5" w16cid:durableId="492376926">
    <w:abstractNumId w:val="15"/>
  </w:num>
  <w:num w:numId="6" w16cid:durableId="355690768">
    <w:abstractNumId w:val="0"/>
  </w:num>
  <w:num w:numId="7" w16cid:durableId="526798654">
    <w:abstractNumId w:val="12"/>
  </w:num>
  <w:num w:numId="8" w16cid:durableId="1764568001">
    <w:abstractNumId w:val="14"/>
  </w:num>
  <w:num w:numId="9" w16cid:durableId="1636107150">
    <w:abstractNumId w:val="18"/>
  </w:num>
  <w:num w:numId="10" w16cid:durableId="837884762">
    <w:abstractNumId w:val="19"/>
  </w:num>
  <w:num w:numId="11" w16cid:durableId="1218515705">
    <w:abstractNumId w:val="5"/>
  </w:num>
  <w:num w:numId="12" w16cid:durableId="1652248785">
    <w:abstractNumId w:val="17"/>
  </w:num>
  <w:num w:numId="13" w16cid:durableId="230699621">
    <w:abstractNumId w:val="23"/>
  </w:num>
  <w:num w:numId="14" w16cid:durableId="1903637891">
    <w:abstractNumId w:val="7"/>
  </w:num>
  <w:num w:numId="15" w16cid:durableId="63258152">
    <w:abstractNumId w:val="11"/>
  </w:num>
  <w:num w:numId="16" w16cid:durableId="193856646">
    <w:abstractNumId w:val="24"/>
  </w:num>
  <w:num w:numId="17" w16cid:durableId="238372762">
    <w:abstractNumId w:val="22"/>
  </w:num>
  <w:num w:numId="18" w16cid:durableId="2034190912">
    <w:abstractNumId w:val="21"/>
  </w:num>
  <w:num w:numId="19" w16cid:durableId="32385842">
    <w:abstractNumId w:val="10"/>
  </w:num>
  <w:num w:numId="20" w16cid:durableId="1585609447">
    <w:abstractNumId w:val="2"/>
  </w:num>
  <w:num w:numId="21" w16cid:durableId="912816338">
    <w:abstractNumId w:val="20"/>
  </w:num>
  <w:num w:numId="22" w16cid:durableId="1366834755">
    <w:abstractNumId w:val="6"/>
  </w:num>
  <w:num w:numId="23" w16cid:durableId="1510942977">
    <w:abstractNumId w:val="13"/>
  </w:num>
  <w:num w:numId="24" w16cid:durableId="1699577344">
    <w:abstractNumId w:val="4"/>
  </w:num>
  <w:num w:numId="25" w16cid:durableId="1846479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0A0BA7"/>
    <w:rsid w:val="00001A60"/>
    <w:rsid w:val="00003F09"/>
    <w:rsid w:val="00004109"/>
    <w:rsid w:val="0000543F"/>
    <w:rsid w:val="00005C5C"/>
    <w:rsid w:val="00010458"/>
    <w:rsid w:val="00011355"/>
    <w:rsid w:val="00011FE3"/>
    <w:rsid w:val="0001251C"/>
    <w:rsid w:val="000147DC"/>
    <w:rsid w:val="00015353"/>
    <w:rsid w:val="0002115B"/>
    <w:rsid w:val="000241D1"/>
    <w:rsid w:val="00024B62"/>
    <w:rsid w:val="00026B0D"/>
    <w:rsid w:val="00026CB8"/>
    <w:rsid w:val="000279C2"/>
    <w:rsid w:val="00027FA9"/>
    <w:rsid w:val="000320EB"/>
    <w:rsid w:val="00032D08"/>
    <w:rsid w:val="00034B90"/>
    <w:rsid w:val="00035446"/>
    <w:rsid w:val="0003597E"/>
    <w:rsid w:val="00035E47"/>
    <w:rsid w:val="00036AF4"/>
    <w:rsid w:val="00037A39"/>
    <w:rsid w:val="00037CB7"/>
    <w:rsid w:val="000408E0"/>
    <w:rsid w:val="00041409"/>
    <w:rsid w:val="000426DD"/>
    <w:rsid w:val="00045D19"/>
    <w:rsid w:val="00045E04"/>
    <w:rsid w:val="00046E9E"/>
    <w:rsid w:val="000508D9"/>
    <w:rsid w:val="0005139E"/>
    <w:rsid w:val="000558CA"/>
    <w:rsid w:val="000572A3"/>
    <w:rsid w:val="000575AB"/>
    <w:rsid w:val="00064089"/>
    <w:rsid w:val="000706E3"/>
    <w:rsid w:val="00070E4E"/>
    <w:rsid w:val="000710B8"/>
    <w:rsid w:val="0007118B"/>
    <w:rsid w:val="00074806"/>
    <w:rsid w:val="000776BC"/>
    <w:rsid w:val="000835C9"/>
    <w:rsid w:val="00084883"/>
    <w:rsid w:val="00084A0A"/>
    <w:rsid w:val="000856D2"/>
    <w:rsid w:val="0008622A"/>
    <w:rsid w:val="0008646D"/>
    <w:rsid w:val="00087F2D"/>
    <w:rsid w:val="00091931"/>
    <w:rsid w:val="00092EF0"/>
    <w:rsid w:val="00092FB7"/>
    <w:rsid w:val="000A2D98"/>
    <w:rsid w:val="000A4BCA"/>
    <w:rsid w:val="000A6D4A"/>
    <w:rsid w:val="000B01B9"/>
    <w:rsid w:val="000B2525"/>
    <w:rsid w:val="000B2F45"/>
    <w:rsid w:val="000B3D39"/>
    <w:rsid w:val="000B3F54"/>
    <w:rsid w:val="000B4A03"/>
    <w:rsid w:val="000B59B0"/>
    <w:rsid w:val="000B6915"/>
    <w:rsid w:val="000C03BF"/>
    <w:rsid w:val="000C4CF9"/>
    <w:rsid w:val="000C4E2D"/>
    <w:rsid w:val="000C54CC"/>
    <w:rsid w:val="000C6356"/>
    <w:rsid w:val="000D1CEA"/>
    <w:rsid w:val="000D2AD5"/>
    <w:rsid w:val="000D31E5"/>
    <w:rsid w:val="000D4475"/>
    <w:rsid w:val="000D4485"/>
    <w:rsid w:val="000D44AF"/>
    <w:rsid w:val="000D5E4D"/>
    <w:rsid w:val="000D6D70"/>
    <w:rsid w:val="000E29F9"/>
    <w:rsid w:val="000E3F9B"/>
    <w:rsid w:val="000E4F10"/>
    <w:rsid w:val="000E53EC"/>
    <w:rsid w:val="000E78C0"/>
    <w:rsid w:val="000F06AA"/>
    <w:rsid w:val="000F1BC9"/>
    <w:rsid w:val="000F3211"/>
    <w:rsid w:val="000F4D29"/>
    <w:rsid w:val="000F52AC"/>
    <w:rsid w:val="000F6187"/>
    <w:rsid w:val="000F6614"/>
    <w:rsid w:val="000F67D8"/>
    <w:rsid w:val="00101FBC"/>
    <w:rsid w:val="00102F82"/>
    <w:rsid w:val="0010422A"/>
    <w:rsid w:val="0010616E"/>
    <w:rsid w:val="001073B6"/>
    <w:rsid w:val="001106F8"/>
    <w:rsid w:val="00111E04"/>
    <w:rsid w:val="00116742"/>
    <w:rsid w:val="00125E8D"/>
    <w:rsid w:val="00127624"/>
    <w:rsid w:val="00127715"/>
    <w:rsid w:val="00127A6D"/>
    <w:rsid w:val="00130BD6"/>
    <w:rsid w:val="00132164"/>
    <w:rsid w:val="0013434F"/>
    <w:rsid w:val="00136BE7"/>
    <w:rsid w:val="00137143"/>
    <w:rsid w:val="0014718A"/>
    <w:rsid w:val="00152E40"/>
    <w:rsid w:val="00154FFC"/>
    <w:rsid w:val="0015537D"/>
    <w:rsid w:val="0015549F"/>
    <w:rsid w:val="00165CE0"/>
    <w:rsid w:val="00166824"/>
    <w:rsid w:val="00167857"/>
    <w:rsid w:val="001702F2"/>
    <w:rsid w:val="001707C5"/>
    <w:rsid w:val="00171E76"/>
    <w:rsid w:val="00174A07"/>
    <w:rsid w:val="00174F8E"/>
    <w:rsid w:val="00175B5D"/>
    <w:rsid w:val="00175F98"/>
    <w:rsid w:val="00176D80"/>
    <w:rsid w:val="00177E48"/>
    <w:rsid w:val="001813F4"/>
    <w:rsid w:val="00182272"/>
    <w:rsid w:val="0018286A"/>
    <w:rsid w:val="00185462"/>
    <w:rsid w:val="00186827"/>
    <w:rsid w:val="00190CF1"/>
    <w:rsid w:val="0019221A"/>
    <w:rsid w:val="00192839"/>
    <w:rsid w:val="00192C4B"/>
    <w:rsid w:val="00193652"/>
    <w:rsid w:val="00193B19"/>
    <w:rsid w:val="00193F71"/>
    <w:rsid w:val="00194A51"/>
    <w:rsid w:val="00195832"/>
    <w:rsid w:val="00196BF0"/>
    <w:rsid w:val="00196DCA"/>
    <w:rsid w:val="001A0212"/>
    <w:rsid w:val="001A0302"/>
    <w:rsid w:val="001A5C45"/>
    <w:rsid w:val="001B1F61"/>
    <w:rsid w:val="001B4464"/>
    <w:rsid w:val="001B5651"/>
    <w:rsid w:val="001B7D51"/>
    <w:rsid w:val="001C1820"/>
    <w:rsid w:val="001C2286"/>
    <w:rsid w:val="001C3486"/>
    <w:rsid w:val="001C5715"/>
    <w:rsid w:val="001C59F0"/>
    <w:rsid w:val="001C5B47"/>
    <w:rsid w:val="001C6361"/>
    <w:rsid w:val="001D3539"/>
    <w:rsid w:val="001D4074"/>
    <w:rsid w:val="001D41FB"/>
    <w:rsid w:val="001D6663"/>
    <w:rsid w:val="001D7AAE"/>
    <w:rsid w:val="001E22D5"/>
    <w:rsid w:val="001E3FDF"/>
    <w:rsid w:val="001E4355"/>
    <w:rsid w:val="001E4E39"/>
    <w:rsid w:val="001E57AA"/>
    <w:rsid w:val="001E74A0"/>
    <w:rsid w:val="001F14A9"/>
    <w:rsid w:val="001F1DE3"/>
    <w:rsid w:val="001F1DF1"/>
    <w:rsid w:val="001F38B6"/>
    <w:rsid w:val="001F4748"/>
    <w:rsid w:val="001F7592"/>
    <w:rsid w:val="00201467"/>
    <w:rsid w:val="00203520"/>
    <w:rsid w:val="0020574D"/>
    <w:rsid w:val="00205C4E"/>
    <w:rsid w:val="00206886"/>
    <w:rsid w:val="00210C32"/>
    <w:rsid w:val="002121A7"/>
    <w:rsid w:val="0021249D"/>
    <w:rsid w:val="00212AAC"/>
    <w:rsid w:val="002141D1"/>
    <w:rsid w:val="00215069"/>
    <w:rsid w:val="00215851"/>
    <w:rsid w:val="002163C2"/>
    <w:rsid w:val="00221B1F"/>
    <w:rsid w:val="002222EF"/>
    <w:rsid w:val="00222413"/>
    <w:rsid w:val="0022247A"/>
    <w:rsid w:val="00222A5E"/>
    <w:rsid w:val="00223881"/>
    <w:rsid w:val="0022585D"/>
    <w:rsid w:val="00225E23"/>
    <w:rsid w:val="00235A12"/>
    <w:rsid w:val="00236352"/>
    <w:rsid w:val="002371F3"/>
    <w:rsid w:val="00241CB8"/>
    <w:rsid w:val="002427E9"/>
    <w:rsid w:val="00243EDB"/>
    <w:rsid w:val="00245F35"/>
    <w:rsid w:val="0024639C"/>
    <w:rsid w:val="00250728"/>
    <w:rsid w:val="00251480"/>
    <w:rsid w:val="00254294"/>
    <w:rsid w:val="00254720"/>
    <w:rsid w:val="00254FFA"/>
    <w:rsid w:val="002553AA"/>
    <w:rsid w:val="00255CE0"/>
    <w:rsid w:val="00255E6D"/>
    <w:rsid w:val="00261CE5"/>
    <w:rsid w:val="00267C2B"/>
    <w:rsid w:val="0027135A"/>
    <w:rsid w:val="00272A33"/>
    <w:rsid w:val="00272EE6"/>
    <w:rsid w:val="002745E8"/>
    <w:rsid w:val="002768D2"/>
    <w:rsid w:val="00276F12"/>
    <w:rsid w:val="00277F8C"/>
    <w:rsid w:val="00280460"/>
    <w:rsid w:val="00280752"/>
    <w:rsid w:val="00280DAD"/>
    <w:rsid w:val="002832E3"/>
    <w:rsid w:val="002836CD"/>
    <w:rsid w:val="002862D2"/>
    <w:rsid w:val="002915B2"/>
    <w:rsid w:val="002918A9"/>
    <w:rsid w:val="00292C29"/>
    <w:rsid w:val="0029350C"/>
    <w:rsid w:val="002935D4"/>
    <w:rsid w:val="00293728"/>
    <w:rsid w:val="0029488F"/>
    <w:rsid w:val="00297B7D"/>
    <w:rsid w:val="002A0F20"/>
    <w:rsid w:val="002A144B"/>
    <w:rsid w:val="002A1B6A"/>
    <w:rsid w:val="002A30FE"/>
    <w:rsid w:val="002A384D"/>
    <w:rsid w:val="002A546C"/>
    <w:rsid w:val="002A596A"/>
    <w:rsid w:val="002A5F4B"/>
    <w:rsid w:val="002A6217"/>
    <w:rsid w:val="002A66F0"/>
    <w:rsid w:val="002A7665"/>
    <w:rsid w:val="002B07F1"/>
    <w:rsid w:val="002B44BB"/>
    <w:rsid w:val="002B4AE9"/>
    <w:rsid w:val="002B71BE"/>
    <w:rsid w:val="002B7E1A"/>
    <w:rsid w:val="002C0A28"/>
    <w:rsid w:val="002C0A8F"/>
    <w:rsid w:val="002C1512"/>
    <w:rsid w:val="002C2B61"/>
    <w:rsid w:val="002C32B0"/>
    <w:rsid w:val="002C3A36"/>
    <w:rsid w:val="002C4FE7"/>
    <w:rsid w:val="002C533D"/>
    <w:rsid w:val="002C5659"/>
    <w:rsid w:val="002C5F03"/>
    <w:rsid w:val="002C77E6"/>
    <w:rsid w:val="002D1E4B"/>
    <w:rsid w:val="002D362A"/>
    <w:rsid w:val="002D398D"/>
    <w:rsid w:val="002D4088"/>
    <w:rsid w:val="002D674E"/>
    <w:rsid w:val="002D69B2"/>
    <w:rsid w:val="002E16D4"/>
    <w:rsid w:val="002E2AAD"/>
    <w:rsid w:val="002E40BA"/>
    <w:rsid w:val="002F18CA"/>
    <w:rsid w:val="002F20EE"/>
    <w:rsid w:val="002F33CD"/>
    <w:rsid w:val="002F37BE"/>
    <w:rsid w:val="002F39F5"/>
    <w:rsid w:val="0030004C"/>
    <w:rsid w:val="00300C02"/>
    <w:rsid w:val="003014F2"/>
    <w:rsid w:val="00301588"/>
    <w:rsid w:val="0030193C"/>
    <w:rsid w:val="00302B7A"/>
    <w:rsid w:val="00302F82"/>
    <w:rsid w:val="003052BD"/>
    <w:rsid w:val="00306107"/>
    <w:rsid w:val="0031107D"/>
    <w:rsid w:val="00311CB7"/>
    <w:rsid w:val="00311E94"/>
    <w:rsid w:val="003130DF"/>
    <w:rsid w:val="00313A9F"/>
    <w:rsid w:val="00313C36"/>
    <w:rsid w:val="00314C7D"/>
    <w:rsid w:val="00314F10"/>
    <w:rsid w:val="00316C7C"/>
    <w:rsid w:val="00320C96"/>
    <w:rsid w:val="00321B70"/>
    <w:rsid w:val="00322392"/>
    <w:rsid w:val="0032303F"/>
    <w:rsid w:val="00326773"/>
    <w:rsid w:val="00330A14"/>
    <w:rsid w:val="00331F01"/>
    <w:rsid w:val="00332F3D"/>
    <w:rsid w:val="003330DB"/>
    <w:rsid w:val="00334162"/>
    <w:rsid w:val="00336185"/>
    <w:rsid w:val="00342D47"/>
    <w:rsid w:val="00342E82"/>
    <w:rsid w:val="003449CF"/>
    <w:rsid w:val="00345369"/>
    <w:rsid w:val="0034588D"/>
    <w:rsid w:val="00345A03"/>
    <w:rsid w:val="00345E65"/>
    <w:rsid w:val="00345F64"/>
    <w:rsid w:val="003469D5"/>
    <w:rsid w:val="00347B8A"/>
    <w:rsid w:val="00350501"/>
    <w:rsid w:val="0035430F"/>
    <w:rsid w:val="00357C0C"/>
    <w:rsid w:val="00360E17"/>
    <w:rsid w:val="003616FC"/>
    <w:rsid w:val="00363D8D"/>
    <w:rsid w:val="003647EE"/>
    <w:rsid w:val="00366ACC"/>
    <w:rsid w:val="00366CED"/>
    <w:rsid w:val="00372E31"/>
    <w:rsid w:val="00372E5C"/>
    <w:rsid w:val="00373AFB"/>
    <w:rsid w:val="00373EDE"/>
    <w:rsid w:val="00375B66"/>
    <w:rsid w:val="003814E4"/>
    <w:rsid w:val="00381500"/>
    <w:rsid w:val="00382231"/>
    <w:rsid w:val="00384670"/>
    <w:rsid w:val="00385E16"/>
    <w:rsid w:val="003866CE"/>
    <w:rsid w:val="0039321B"/>
    <w:rsid w:val="003941C3"/>
    <w:rsid w:val="00396458"/>
    <w:rsid w:val="0039752A"/>
    <w:rsid w:val="003A1779"/>
    <w:rsid w:val="003A4160"/>
    <w:rsid w:val="003A4694"/>
    <w:rsid w:val="003A581A"/>
    <w:rsid w:val="003A584B"/>
    <w:rsid w:val="003A6CF9"/>
    <w:rsid w:val="003B122F"/>
    <w:rsid w:val="003B140F"/>
    <w:rsid w:val="003B2753"/>
    <w:rsid w:val="003B28D5"/>
    <w:rsid w:val="003B72A0"/>
    <w:rsid w:val="003B74E6"/>
    <w:rsid w:val="003B75EA"/>
    <w:rsid w:val="003C1FA1"/>
    <w:rsid w:val="003C2093"/>
    <w:rsid w:val="003C2125"/>
    <w:rsid w:val="003C27FC"/>
    <w:rsid w:val="003C4284"/>
    <w:rsid w:val="003C74A2"/>
    <w:rsid w:val="003D2865"/>
    <w:rsid w:val="003D4E00"/>
    <w:rsid w:val="003D571B"/>
    <w:rsid w:val="003D5D0E"/>
    <w:rsid w:val="003D6348"/>
    <w:rsid w:val="003D7F6D"/>
    <w:rsid w:val="003E0777"/>
    <w:rsid w:val="003E18D9"/>
    <w:rsid w:val="003E326A"/>
    <w:rsid w:val="003E3A86"/>
    <w:rsid w:val="003E7F7E"/>
    <w:rsid w:val="003F1B2B"/>
    <w:rsid w:val="003F3432"/>
    <w:rsid w:val="0040037B"/>
    <w:rsid w:val="0040374C"/>
    <w:rsid w:val="00403ED0"/>
    <w:rsid w:val="00405F83"/>
    <w:rsid w:val="00406519"/>
    <w:rsid w:val="0040794E"/>
    <w:rsid w:val="00410887"/>
    <w:rsid w:val="00410FD3"/>
    <w:rsid w:val="00412E36"/>
    <w:rsid w:val="0041384D"/>
    <w:rsid w:val="00413C43"/>
    <w:rsid w:val="0041597E"/>
    <w:rsid w:val="004208DA"/>
    <w:rsid w:val="004210FE"/>
    <w:rsid w:val="00422A3C"/>
    <w:rsid w:val="00424C0A"/>
    <w:rsid w:val="0043164A"/>
    <w:rsid w:val="0043181F"/>
    <w:rsid w:val="00431D4E"/>
    <w:rsid w:val="0043350B"/>
    <w:rsid w:val="00434C91"/>
    <w:rsid w:val="00434DAE"/>
    <w:rsid w:val="004352AF"/>
    <w:rsid w:val="004443E5"/>
    <w:rsid w:val="004447E9"/>
    <w:rsid w:val="00445943"/>
    <w:rsid w:val="00450DBA"/>
    <w:rsid w:val="00452062"/>
    <w:rsid w:val="0045249A"/>
    <w:rsid w:val="00455B37"/>
    <w:rsid w:val="00460E95"/>
    <w:rsid w:val="00462616"/>
    <w:rsid w:val="004642A3"/>
    <w:rsid w:val="004654ED"/>
    <w:rsid w:val="00470105"/>
    <w:rsid w:val="004708D9"/>
    <w:rsid w:val="00470DD8"/>
    <w:rsid w:val="0047160D"/>
    <w:rsid w:val="00473879"/>
    <w:rsid w:val="00474C30"/>
    <w:rsid w:val="00474F61"/>
    <w:rsid w:val="00476625"/>
    <w:rsid w:val="00477035"/>
    <w:rsid w:val="00477125"/>
    <w:rsid w:val="00481513"/>
    <w:rsid w:val="00483D55"/>
    <w:rsid w:val="00484B75"/>
    <w:rsid w:val="00484C81"/>
    <w:rsid w:val="0049129D"/>
    <w:rsid w:val="00491360"/>
    <w:rsid w:val="00491824"/>
    <w:rsid w:val="00492315"/>
    <w:rsid w:val="00492954"/>
    <w:rsid w:val="004940D0"/>
    <w:rsid w:val="00494FF8"/>
    <w:rsid w:val="00495506"/>
    <w:rsid w:val="004A1D93"/>
    <w:rsid w:val="004A2119"/>
    <w:rsid w:val="004B04EF"/>
    <w:rsid w:val="004B0553"/>
    <w:rsid w:val="004B066A"/>
    <w:rsid w:val="004B068C"/>
    <w:rsid w:val="004B11C0"/>
    <w:rsid w:val="004B2403"/>
    <w:rsid w:val="004B35E1"/>
    <w:rsid w:val="004B41E9"/>
    <w:rsid w:val="004B4298"/>
    <w:rsid w:val="004B4BD9"/>
    <w:rsid w:val="004B4FC7"/>
    <w:rsid w:val="004B6EA0"/>
    <w:rsid w:val="004B795E"/>
    <w:rsid w:val="004C1A25"/>
    <w:rsid w:val="004C2F46"/>
    <w:rsid w:val="004C5F71"/>
    <w:rsid w:val="004D0DE3"/>
    <w:rsid w:val="004D29A3"/>
    <w:rsid w:val="004D55D4"/>
    <w:rsid w:val="004D77B5"/>
    <w:rsid w:val="004E091E"/>
    <w:rsid w:val="004E11E5"/>
    <w:rsid w:val="004E289D"/>
    <w:rsid w:val="004E2CD7"/>
    <w:rsid w:val="004E3099"/>
    <w:rsid w:val="004E3341"/>
    <w:rsid w:val="004E4E0A"/>
    <w:rsid w:val="004E5AA6"/>
    <w:rsid w:val="004E643E"/>
    <w:rsid w:val="004F1D9A"/>
    <w:rsid w:val="004F26B3"/>
    <w:rsid w:val="004F4B82"/>
    <w:rsid w:val="004F67E8"/>
    <w:rsid w:val="00501DEF"/>
    <w:rsid w:val="00502316"/>
    <w:rsid w:val="005025AA"/>
    <w:rsid w:val="00511ADD"/>
    <w:rsid w:val="00511D25"/>
    <w:rsid w:val="00511DCF"/>
    <w:rsid w:val="00512202"/>
    <w:rsid w:val="005142D9"/>
    <w:rsid w:val="00514D4E"/>
    <w:rsid w:val="00516C21"/>
    <w:rsid w:val="00517850"/>
    <w:rsid w:val="00517BBC"/>
    <w:rsid w:val="005215F1"/>
    <w:rsid w:val="00521E98"/>
    <w:rsid w:val="00523D83"/>
    <w:rsid w:val="00524514"/>
    <w:rsid w:val="00525FBA"/>
    <w:rsid w:val="0052716F"/>
    <w:rsid w:val="0052787A"/>
    <w:rsid w:val="00530EF9"/>
    <w:rsid w:val="00531E5E"/>
    <w:rsid w:val="00532519"/>
    <w:rsid w:val="00533314"/>
    <w:rsid w:val="0053370A"/>
    <w:rsid w:val="0053406C"/>
    <w:rsid w:val="00534083"/>
    <w:rsid w:val="005347D4"/>
    <w:rsid w:val="00534A48"/>
    <w:rsid w:val="00534FEC"/>
    <w:rsid w:val="00536304"/>
    <w:rsid w:val="00537A57"/>
    <w:rsid w:val="00540376"/>
    <w:rsid w:val="0054062B"/>
    <w:rsid w:val="00542E86"/>
    <w:rsid w:val="005430F5"/>
    <w:rsid w:val="00543442"/>
    <w:rsid w:val="00544A43"/>
    <w:rsid w:val="00547F54"/>
    <w:rsid w:val="005504A3"/>
    <w:rsid w:val="0055284B"/>
    <w:rsid w:val="00553D5E"/>
    <w:rsid w:val="00553F61"/>
    <w:rsid w:val="00556248"/>
    <w:rsid w:val="00556532"/>
    <w:rsid w:val="00560794"/>
    <w:rsid w:val="00561793"/>
    <w:rsid w:val="00564B9F"/>
    <w:rsid w:val="00565A1F"/>
    <w:rsid w:val="00566F34"/>
    <w:rsid w:val="00570371"/>
    <w:rsid w:val="005707F9"/>
    <w:rsid w:val="00570CAC"/>
    <w:rsid w:val="00571477"/>
    <w:rsid w:val="005717E0"/>
    <w:rsid w:val="0057188A"/>
    <w:rsid w:val="005724F8"/>
    <w:rsid w:val="00577DDF"/>
    <w:rsid w:val="00581B85"/>
    <w:rsid w:val="00581E20"/>
    <w:rsid w:val="00582B85"/>
    <w:rsid w:val="00584DB3"/>
    <w:rsid w:val="00585B3A"/>
    <w:rsid w:val="00586B7C"/>
    <w:rsid w:val="00591850"/>
    <w:rsid w:val="0059341E"/>
    <w:rsid w:val="00594061"/>
    <w:rsid w:val="00594AA6"/>
    <w:rsid w:val="005A0C73"/>
    <w:rsid w:val="005A37E4"/>
    <w:rsid w:val="005A4529"/>
    <w:rsid w:val="005A7B33"/>
    <w:rsid w:val="005B1D65"/>
    <w:rsid w:val="005B2DAF"/>
    <w:rsid w:val="005B633A"/>
    <w:rsid w:val="005C0786"/>
    <w:rsid w:val="005C093A"/>
    <w:rsid w:val="005C36F2"/>
    <w:rsid w:val="005D0A97"/>
    <w:rsid w:val="005D2B8B"/>
    <w:rsid w:val="005D3957"/>
    <w:rsid w:val="005D3B14"/>
    <w:rsid w:val="005D40EB"/>
    <w:rsid w:val="005D480A"/>
    <w:rsid w:val="005D6C4F"/>
    <w:rsid w:val="005E3AD5"/>
    <w:rsid w:val="005E4B2F"/>
    <w:rsid w:val="005E7518"/>
    <w:rsid w:val="005E7C7C"/>
    <w:rsid w:val="005F15DA"/>
    <w:rsid w:val="005F1EFB"/>
    <w:rsid w:val="005F31DC"/>
    <w:rsid w:val="005F3DC3"/>
    <w:rsid w:val="005F49A4"/>
    <w:rsid w:val="005F65F4"/>
    <w:rsid w:val="005F751B"/>
    <w:rsid w:val="00600469"/>
    <w:rsid w:val="00600F41"/>
    <w:rsid w:val="00601FC0"/>
    <w:rsid w:val="0060448C"/>
    <w:rsid w:val="0060483F"/>
    <w:rsid w:val="0060677E"/>
    <w:rsid w:val="00607F07"/>
    <w:rsid w:val="006103F4"/>
    <w:rsid w:val="00612CCA"/>
    <w:rsid w:val="00612F1F"/>
    <w:rsid w:val="00613057"/>
    <w:rsid w:val="006156CB"/>
    <w:rsid w:val="00616300"/>
    <w:rsid w:val="00616E09"/>
    <w:rsid w:val="006204B3"/>
    <w:rsid w:val="00622261"/>
    <w:rsid w:val="00625EA7"/>
    <w:rsid w:val="00627603"/>
    <w:rsid w:val="0063179A"/>
    <w:rsid w:val="00631D0E"/>
    <w:rsid w:val="00633B22"/>
    <w:rsid w:val="00635BD6"/>
    <w:rsid w:val="006361B7"/>
    <w:rsid w:val="00636B11"/>
    <w:rsid w:val="00645251"/>
    <w:rsid w:val="00645AF3"/>
    <w:rsid w:val="0064651E"/>
    <w:rsid w:val="00646F1A"/>
    <w:rsid w:val="006474E2"/>
    <w:rsid w:val="0065222D"/>
    <w:rsid w:val="00653363"/>
    <w:rsid w:val="006557E3"/>
    <w:rsid w:val="00656248"/>
    <w:rsid w:val="00657944"/>
    <w:rsid w:val="00660B56"/>
    <w:rsid w:val="00661952"/>
    <w:rsid w:val="00663469"/>
    <w:rsid w:val="00663711"/>
    <w:rsid w:val="00663ABD"/>
    <w:rsid w:val="00663BDA"/>
    <w:rsid w:val="006640BE"/>
    <w:rsid w:val="0066554D"/>
    <w:rsid w:val="00666011"/>
    <w:rsid w:val="0067022A"/>
    <w:rsid w:val="006727CD"/>
    <w:rsid w:val="006739E7"/>
    <w:rsid w:val="006745C8"/>
    <w:rsid w:val="00675828"/>
    <w:rsid w:val="0068251B"/>
    <w:rsid w:val="00683407"/>
    <w:rsid w:val="00686DC9"/>
    <w:rsid w:val="00686DFF"/>
    <w:rsid w:val="0068730E"/>
    <w:rsid w:val="00690FEB"/>
    <w:rsid w:val="00693F9C"/>
    <w:rsid w:val="0069431C"/>
    <w:rsid w:val="00695C76"/>
    <w:rsid w:val="006970D0"/>
    <w:rsid w:val="006A0297"/>
    <w:rsid w:val="006A16A4"/>
    <w:rsid w:val="006A1CF9"/>
    <w:rsid w:val="006A248D"/>
    <w:rsid w:val="006A45AE"/>
    <w:rsid w:val="006A5B69"/>
    <w:rsid w:val="006B1DEA"/>
    <w:rsid w:val="006B3468"/>
    <w:rsid w:val="006B3833"/>
    <w:rsid w:val="006B5998"/>
    <w:rsid w:val="006B6EA8"/>
    <w:rsid w:val="006B7003"/>
    <w:rsid w:val="006C044A"/>
    <w:rsid w:val="006C0FC5"/>
    <w:rsid w:val="006C1F25"/>
    <w:rsid w:val="006C2D1C"/>
    <w:rsid w:val="006C63F5"/>
    <w:rsid w:val="006D00EA"/>
    <w:rsid w:val="006D1174"/>
    <w:rsid w:val="006D1797"/>
    <w:rsid w:val="006D2117"/>
    <w:rsid w:val="006D38F4"/>
    <w:rsid w:val="006D433E"/>
    <w:rsid w:val="006D717B"/>
    <w:rsid w:val="006D7C4B"/>
    <w:rsid w:val="006E211B"/>
    <w:rsid w:val="006E3DCD"/>
    <w:rsid w:val="006E41D3"/>
    <w:rsid w:val="006E6A59"/>
    <w:rsid w:val="006E787B"/>
    <w:rsid w:val="006F0F7B"/>
    <w:rsid w:val="006F2A7B"/>
    <w:rsid w:val="006F3E56"/>
    <w:rsid w:val="006F4AA8"/>
    <w:rsid w:val="006F5874"/>
    <w:rsid w:val="006F706D"/>
    <w:rsid w:val="00701FBD"/>
    <w:rsid w:val="007028BB"/>
    <w:rsid w:val="00711F3A"/>
    <w:rsid w:val="00712767"/>
    <w:rsid w:val="0071358C"/>
    <w:rsid w:val="0071378E"/>
    <w:rsid w:val="00715BBB"/>
    <w:rsid w:val="00716D8A"/>
    <w:rsid w:val="00720BD6"/>
    <w:rsid w:val="00723E90"/>
    <w:rsid w:val="0072514C"/>
    <w:rsid w:val="00725A37"/>
    <w:rsid w:val="0073055C"/>
    <w:rsid w:val="007305E5"/>
    <w:rsid w:val="007323D2"/>
    <w:rsid w:val="00732509"/>
    <w:rsid w:val="00735419"/>
    <w:rsid w:val="00736A00"/>
    <w:rsid w:val="00740166"/>
    <w:rsid w:val="0074249F"/>
    <w:rsid w:val="0074476A"/>
    <w:rsid w:val="0074479E"/>
    <w:rsid w:val="00750193"/>
    <w:rsid w:val="00753595"/>
    <w:rsid w:val="00755AA6"/>
    <w:rsid w:val="00757529"/>
    <w:rsid w:val="00757611"/>
    <w:rsid w:val="0075791C"/>
    <w:rsid w:val="007613DC"/>
    <w:rsid w:val="00763DFE"/>
    <w:rsid w:val="0076572B"/>
    <w:rsid w:val="00766700"/>
    <w:rsid w:val="00767B21"/>
    <w:rsid w:val="007702C3"/>
    <w:rsid w:val="00770FF1"/>
    <w:rsid w:val="007713A2"/>
    <w:rsid w:val="00771471"/>
    <w:rsid w:val="0077224F"/>
    <w:rsid w:val="00773B26"/>
    <w:rsid w:val="0077713A"/>
    <w:rsid w:val="00781492"/>
    <w:rsid w:val="00783C81"/>
    <w:rsid w:val="007870B0"/>
    <w:rsid w:val="0078796F"/>
    <w:rsid w:val="0079069F"/>
    <w:rsid w:val="00791780"/>
    <w:rsid w:val="00791E7B"/>
    <w:rsid w:val="007937F6"/>
    <w:rsid w:val="00795C62"/>
    <w:rsid w:val="007A21DC"/>
    <w:rsid w:val="007A221C"/>
    <w:rsid w:val="007A32B0"/>
    <w:rsid w:val="007A36CE"/>
    <w:rsid w:val="007A3F23"/>
    <w:rsid w:val="007A6174"/>
    <w:rsid w:val="007B1ECB"/>
    <w:rsid w:val="007B2A82"/>
    <w:rsid w:val="007C1E22"/>
    <w:rsid w:val="007C2215"/>
    <w:rsid w:val="007C2960"/>
    <w:rsid w:val="007C2D2D"/>
    <w:rsid w:val="007C5D48"/>
    <w:rsid w:val="007D1D8D"/>
    <w:rsid w:val="007D25FD"/>
    <w:rsid w:val="007D4C74"/>
    <w:rsid w:val="007D53A5"/>
    <w:rsid w:val="007D6FE5"/>
    <w:rsid w:val="007E19CA"/>
    <w:rsid w:val="007E2678"/>
    <w:rsid w:val="007E4263"/>
    <w:rsid w:val="007F04BC"/>
    <w:rsid w:val="007F1D40"/>
    <w:rsid w:val="007F48F1"/>
    <w:rsid w:val="007F4BDD"/>
    <w:rsid w:val="007F4C5E"/>
    <w:rsid w:val="007F5C5F"/>
    <w:rsid w:val="007F7892"/>
    <w:rsid w:val="00800BB2"/>
    <w:rsid w:val="00800D75"/>
    <w:rsid w:val="008016C5"/>
    <w:rsid w:val="008031A1"/>
    <w:rsid w:val="00805E6C"/>
    <w:rsid w:val="00806BD1"/>
    <w:rsid w:val="00806F89"/>
    <w:rsid w:val="0081154F"/>
    <w:rsid w:val="0081190F"/>
    <w:rsid w:val="00813636"/>
    <w:rsid w:val="0081449B"/>
    <w:rsid w:val="00814FF3"/>
    <w:rsid w:val="00821364"/>
    <w:rsid w:val="008231DE"/>
    <w:rsid w:val="008240E3"/>
    <w:rsid w:val="0082411F"/>
    <w:rsid w:val="0082585A"/>
    <w:rsid w:val="008265DE"/>
    <w:rsid w:val="0083128E"/>
    <w:rsid w:val="008313E8"/>
    <w:rsid w:val="00832442"/>
    <w:rsid w:val="00832D2C"/>
    <w:rsid w:val="00834259"/>
    <w:rsid w:val="00834824"/>
    <w:rsid w:val="00836111"/>
    <w:rsid w:val="00836588"/>
    <w:rsid w:val="00840131"/>
    <w:rsid w:val="008402BD"/>
    <w:rsid w:val="00840345"/>
    <w:rsid w:val="0084034A"/>
    <w:rsid w:val="00840E3A"/>
    <w:rsid w:val="00842EC9"/>
    <w:rsid w:val="00843E2F"/>
    <w:rsid w:val="00845E57"/>
    <w:rsid w:val="00846385"/>
    <w:rsid w:val="00852DBB"/>
    <w:rsid w:val="00853CE5"/>
    <w:rsid w:val="008561B3"/>
    <w:rsid w:val="00856FFF"/>
    <w:rsid w:val="00857BC1"/>
    <w:rsid w:val="00860190"/>
    <w:rsid w:val="00862249"/>
    <w:rsid w:val="00870A17"/>
    <w:rsid w:val="00873F1B"/>
    <w:rsid w:val="00874906"/>
    <w:rsid w:val="00874C34"/>
    <w:rsid w:val="00876830"/>
    <w:rsid w:val="00882892"/>
    <w:rsid w:val="00883436"/>
    <w:rsid w:val="00884F13"/>
    <w:rsid w:val="00884FA3"/>
    <w:rsid w:val="00887848"/>
    <w:rsid w:val="00891071"/>
    <w:rsid w:val="008933CE"/>
    <w:rsid w:val="0089459B"/>
    <w:rsid w:val="00894817"/>
    <w:rsid w:val="0089615F"/>
    <w:rsid w:val="008967F4"/>
    <w:rsid w:val="00896935"/>
    <w:rsid w:val="00897197"/>
    <w:rsid w:val="008A0B41"/>
    <w:rsid w:val="008A13A3"/>
    <w:rsid w:val="008A1FED"/>
    <w:rsid w:val="008A2F1C"/>
    <w:rsid w:val="008A58EF"/>
    <w:rsid w:val="008A5A40"/>
    <w:rsid w:val="008B19DB"/>
    <w:rsid w:val="008B2072"/>
    <w:rsid w:val="008B3D1B"/>
    <w:rsid w:val="008B43CB"/>
    <w:rsid w:val="008B49E8"/>
    <w:rsid w:val="008B589E"/>
    <w:rsid w:val="008B5D6E"/>
    <w:rsid w:val="008B7CE1"/>
    <w:rsid w:val="008B7FD9"/>
    <w:rsid w:val="008C10D4"/>
    <w:rsid w:val="008C1967"/>
    <w:rsid w:val="008C1B31"/>
    <w:rsid w:val="008C3BF7"/>
    <w:rsid w:val="008C41BC"/>
    <w:rsid w:val="008C4700"/>
    <w:rsid w:val="008C621A"/>
    <w:rsid w:val="008C771C"/>
    <w:rsid w:val="008D1016"/>
    <w:rsid w:val="008D4852"/>
    <w:rsid w:val="008D6262"/>
    <w:rsid w:val="008E01FB"/>
    <w:rsid w:val="008E3DA7"/>
    <w:rsid w:val="008E3F94"/>
    <w:rsid w:val="008F00BA"/>
    <w:rsid w:val="008F3BD6"/>
    <w:rsid w:val="008F46B7"/>
    <w:rsid w:val="008F554B"/>
    <w:rsid w:val="008F5770"/>
    <w:rsid w:val="008F5B45"/>
    <w:rsid w:val="00900877"/>
    <w:rsid w:val="00900B37"/>
    <w:rsid w:val="00901E94"/>
    <w:rsid w:val="009036CB"/>
    <w:rsid w:val="00904298"/>
    <w:rsid w:val="00904822"/>
    <w:rsid w:val="00905465"/>
    <w:rsid w:val="00910501"/>
    <w:rsid w:val="00910591"/>
    <w:rsid w:val="00912450"/>
    <w:rsid w:val="00913151"/>
    <w:rsid w:val="00914493"/>
    <w:rsid w:val="00914E27"/>
    <w:rsid w:val="00916A5A"/>
    <w:rsid w:val="009209C3"/>
    <w:rsid w:val="00924FD8"/>
    <w:rsid w:val="00926145"/>
    <w:rsid w:val="00927D6B"/>
    <w:rsid w:val="009301FC"/>
    <w:rsid w:val="00931070"/>
    <w:rsid w:val="00931E30"/>
    <w:rsid w:val="009320C2"/>
    <w:rsid w:val="009323A5"/>
    <w:rsid w:val="009323C8"/>
    <w:rsid w:val="00933859"/>
    <w:rsid w:val="009339C6"/>
    <w:rsid w:val="00933D2A"/>
    <w:rsid w:val="0093521A"/>
    <w:rsid w:val="00937419"/>
    <w:rsid w:val="00937851"/>
    <w:rsid w:val="009403A9"/>
    <w:rsid w:val="00945131"/>
    <w:rsid w:val="00947E87"/>
    <w:rsid w:val="0095117D"/>
    <w:rsid w:val="00952266"/>
    <w:rsid w:val="00953FC9"/>
    <w:rsid w:val="00960052"/>
    <w:rsid w:val="0096131A"/>
    <w:rsid w:val="009618F8"/>
    <w:rsid w:val="00961FAE"/>
    <w:rsid w:val="00963AFB"/>
    <w:rsid w:val="00965744"/>
    <w:rsid w:val="009658AC"/>
    <w:rsid w:val="00965907"/>
    <w:rsid w:val="0096644B"/>
    <w:rsid w:val="00966D45"/>
    <w:rsid w:val="00966DB2"/>
    <w:rsid w:val="0096718E"/>
    <w:rsid w:val="00967745"/>
    <w:rsid w:val="00970A75"/>
    <w:rsid w:val="00974773"/>
    <w:rsid w:val="00976504"/>
    <w:rsid w:val="009814C8"/>
    <w:rsid w:val="00982C5E"/>
    <w:rsid w:val="0098316A"/>
    <w:rsid w:val="00983C75"/>
    <w:rsid w:val="0098441A"/>
    <w:rsid w:val="00984842"/>
    <w:rsid w:val="00985597"/>
    <w:rsid w:val="00987340"/>
    <w:rsid w:val="009902D7"/>
    <w:rsid w:val="00992D2A"/>
    <w:rsid w:val="00996809"/>
    <w:rsid w:val="00997EC5"/>
    <w:rsid w:val="009A0A7F"/>
    <w:rsid w:val="009A0D2F"/>
    <w:rsid w:val="009A1A15"/>
    <w:rsid w:val="009A3155"/>
    <w:rsid w:val="009A3D32"/>
    <w:rsid w:val="009A4E48"/>
    <w:rsid w:val="009A6329"/>
    <w:rsid w:val="009B0264"/>
    <w:rsid w:val="009B134D"/>
    <w:rsid w:val="009B1803"/>
    <w:rsid w:val="009B1A2F"/>
    <w:rsid w:val="009B2DA2"/>
    <w:rsid w:val="009B646C"/>
    <w:rsid w:val="009B676A"/>
    <w:rsid w:val="009C01C0"/>
    <w:rsid w:val="009C3259"/>
    <w:rsid w:val="009C3D76"/>
    <w:rsid w:val="009C3E0B"/>
    <w:rsid w:val="009D26FA"/>
    <w:rsid w:val="009D2F85"/>
    <w:rsid w:val="009D7C05"/>
    <w:rsid w:val="009E0935"/>
    <w:rsid w:val="009E1078"/>
    <w:rsid w:val="009E16D3"/>
    <w:rsid w:val="009E1798"/>
    <w:rsid w:val="009E4089"/>
    <w:rsid w:val="009E6335"/>
    <w:rsid w:val="009E6DED"/>
    <w:rsid w:val="009F141A"/>
    <w:rsid w:val="009F1D70"/>
    <w:rsid w:val="009F4446"/>
    <w:rsid w:val="009F4E4F"/>
    <w:rsid w:val="009F5D2B"/>
    <w:rsid w:val="009F700D"/>
    <w:rsid w:val="00A0057A"/>
    <w:rsid w:val="00A0172D"/>
    <w:rsid w:val="00A0467B"/>
    <w:rsid w:val="00A12C97"/>
    <w:rsid w:val="00A1338B"/>
    <w:rsid w:val="00A150BC"/>
    <w:rsid w:val="00A16063"/>
    <w:rsid w:val="00A20633"/>
    <w:rsid w:val="00A20E80"/>
    <w:rsid w:val="00A2234B"/>
    <w:rsid w:val="00A22382"/>
    <w:rsid w:val="00A247CA"/>
    <w:rsid w:val="00A267CA"/>
    <w:rsid w:val="00A30504"/>
    <w:rsid w:val="00A33DBF"/>
    <w:rsid w:val="00A36A64"/>
    <w:rsid w:val="00A41396"/>
    <w:rsid w:val="00A44772"/>
    <w:rsid w:val="00A44F28"/>
    <w:rsid w:val="00A4590A"/>
    <w:rsid w:val="00A46107"/>
    <w:rsid w:val="00A46EE0"/>
    <w:rsid w:val="00A47BFE"/>
    <w:rsid w:val="00A50384"/>
    <w:rsid w:val="00A56590"/>
    <w:rsid w:val="00A569B7"/>
    <w:rsid w:val="00A56DEF"/>
    <w:rsid w:val="00A610B5"/>
    <w:rsid w:val="00A62691"/>
    <w:rsid w:val="00A62F24"/>
    <w:rsid w:val="00A640C3"/>
    <w:rsid w:val="00A6442C"/>
    <w:rsid w:val="00A65435"/>
    <w:rsid w:val="00A729C0"/>
    <w:rsid w:val="00A734C2"/>
    <w:rsid w:val="00A74191"/>
    <w:rsid w:val="00A76772"/>
    <w:rsid w:val="00A767BD"/>
    <w:rsid w:val="00A77329"/>
    <w:rsid w:val="00A77A50"/>
    <w:rsid w:val="00A802FD"/>
    <w:rsid w:val="00A83449"/>
    <w:rsid w:val="00A8358F"/>
    <w:rsid w:val="00A860AB"/>
    <w:rsid w:val="00A87935"/>
    <w:rsid w:val="00A91EDC"/>
    <w:rsid w:val="00A92CE9"/>
    <w:rsid w:val="00A93ECC"/>
    <w:rsid w:val="00A94D24"/>
    <w:rsid w:val="00A94FCB"/>
    <w:rsid w:val="00A95323"/>
    <w:rsid w:val="00AA082B"/>
    <w:rsid w:val="00AA09DB"/>
    <w:rsid w:val="00AA1F68"/>
    <w:rsid w:val="00AA277C"/>
    <w:rsid w:val="00AA3384"/>
    <w:rsid w:val="00AA3840"/>
    <w:rsid w:val="00AA508E"/>
    <w:rsid w:val="00AA52D2"/>
    <w:rsid w:val="00AA5972"/>
    <w:rsid w:val="00AB0851"/>
    <w:rsid w:val="00AB2408"/>
    <w:rsid w:val="00AB30AF"/>
    <w:rsid w:val="00AB42B4"/>
    <w:rsid w:val="00AB45FF"/>
    <w:rsid w:val="00AB5D44"/>
    <w:rsid w:val="00AB6731"/>
    <w:rsid w:val="00AB7C2B"/>
    <w:rsid w:val="00AC0C1B"/>
    <w:rsid w:val="00AC0DFE"/>
    <w:rsid w:val="00AC1862"/>
    <w:rsid w:val="00AC28D2"/>
    <w:rsid w:val="00AC4306"/>
    <w:rsid w:val="00AC7253"/>
    <w:rsid w:val="00AD0A7C"/>
    <w:rsid w:val="00AD0DE0"/>
    <w:rsid w:val="00AD1584"/>
    <w:rsid w:val="00AD2D37"/>
    <w:rsid w:val="00AD49EB"/>
    <w:rsid w:val="00AE092B"/>
    <w:rsid w:val="00AE0B33"/>
    <w:rsid w:val="00AE0C19"/>
    <w:rsid w:val="00AE1F12"/>
    <w:rsid w:val="00AE23DA"/>
    <w:rsid w:val="00AE3673"/>
    <w:rsid w:val="00AE3878"/>
    <w:rsid w:val="00AE65DF"/>
    <w:rsid w:val="00AE6837"/>
    <w:rsid w:val="00AE7030"/>
    <w:rsid w:val="00AE7A02"/>
    <w:rsid w:val="00AF041F"/>
    <w:rsid w:val="00AF35DC"/>
    <w:rsid w:val="00AF71F9"/>
    <w:rsid w:val="00AF7E7D"/>
    <w:rsid w:val="00B0134F"/>
    <w:rsid w:val="00B01370"/>
    <w:rsid w:val="00B04A95"/>
    <w:rsid w:val="00B06386"/>
    <w:rsid w:val="00B06E8F"/>
    <w:rsid w:val="00B0794C"/>
    <w:rsid w:val="00B1762C"/>
    <w:rsid w:val="00B211E4"/>
    <w:rsid w:val="00B21B54"/>
    <w:rsid w:val="00B22FF2"/>
    <w:rsid w:val="00B236B6"/>
    <w:rsid w:val="00B23F2D"/>
    <w:rsid w:val="00B265AB"/>
    <w:rsid w:val="00B27DB6"/>
    <w:rsid w:val="00B30354"/>
    <w:rsid w:val="00B32A97"/>
    <w:rsid w:val="00B333E0"/>
    <w:rsid w:val="00B34208"/>
    <w:rsid w:val="00B3565D"/>
    <w:rsid w:val="00B35E7E"/>
    <w:rsid w:val="00B375BA"/>
    <w:rsid w:val="00B37842"/>
    <w:rsid w:val="00B41BD2"/>
    <w:rsid w:val="00B4548D"/>
    <w:rsid w:val="00B4592D"/>
    <w:rsid w:val="00B479DD"/>
    <w:rsid w:val="00B544E7"/>
    <w:rsid w:val="00B54C97"/>
    <w:rsid w:val="00B56427"/>
    <w:rsid w:val="00B60B04"/>
    <w:rsid w:val="00B616E2"/>
    <w:rsid w:val="00B62A3A"/>
    <w:rsid w:val="00B63715"/>
    <w:rsid w:val="00B6453A"/>
    <w:rsid w:val="00B65ACF"/>
    <w:rsid w:val="00B66302"/>
    <w:rsid w:val="00B66711"/>
    <w:rsid w:val="00B67772"/>
    <w:rsid w:val="00B728F9"/>
    <w:rsid w:val="00B72E9E"/>
    <w:rsid w:val="00B73031"/>
    <w:rsid w:val="00B73F44"/>
    <w:rsid w:val="00B74147"/>
    <w:rsid w:val="00B743E5"/>
    <w:rsid w:val="00B804FB"/>
    <w:rsid w:val="00B80D8B"/>
    <w:rsid w:val="00B81F88"/>
    <w:rsid w:val="00B823C7"/>
    <w:rsid w:val="00B83507"/>
    <w:rsid w:val="00B91063"/>
    <w:rsid w:val="00B93406"/>
    <w:rsid w:val="00B97FEF"/>
    <w:rsid w:val="00BA33F5"/>
    <w:rsid w:val="00BA4A0A"/>
    <w:rsid w:val="00BA7868"/>
    <w:rsid w:val="00BB0332"/>
    <w:rsid w:val="00BB14B9"/>
    <w:rsid w:val="00BB1B30"/>
    <w:rsid w:val="00BB1E2E"/>
    <w:rsid w:val="00BB3C85"/>
    <w:rsid w:val="00BB463B"/>
    <w:rsid w:val="00BB4C33"/>
    <w:rsid w:val="00BB6D8E"/>
    <w:rsid w:val="00BB7CED"/>
    <w:rsid w:val="00BC3EC5"/>
    <w:rsid w:val="00BC431D"/>
    <w:rsid w:val="00BD03D8"/>
    <w:rsid w:val="00BD06EF"/>
    <w:rsid w:val="00BD1EB7"/>
    <w:rsid w:val="00BD1EFE"/>
    <w:rsid w:val="00BD27E9"/>
    <w:rsid w:val="00BD4FA4"/>
    <w:rsid w:val="00BD5162"/>
    <w:rsid w:val="00BD62E9"/>
    <w:rsid w:val="00BD68FF"/>
    <w:rsid w:val="00BD7C5E"/>
    <w:rsid w:val="00BE0B50"/>
    <w:rsid w:val="00BE157E"/>
    <w:rsid w:val="00BE35E9"/>
    <w:rsid w:val="00BE448C"/>
    <w:rsid w:val="00BE5722"/>
    <w:rsid w:val="00BE6890"/>
    <w:rsid w:val="00BE7064"/>
    <w:rsid w:val="00BE713B"/>
    <w:rsid w:val="00BF2221"/>
    <w:rsid w:val="00BF2369"/>
    <w:rsid w:val="00BF3531"/>
    <w:rsid w:val="00BF39CE"/>
    <w:rsid w:val="00BF47F7"/>
    <w:rsid w:val="00BF49A2"/>
    <w:rsid w:val="00BF4BC9"/>
    <w:rsid w:val="00BF538E"/>
    <w:rsid w:val="00BF58B2"/>
    <w:rsid w:val="00BF6748"/>
    <w:rsid w:val="00BF7A8D"/>
    <w:rsid w:val="00C00A32"/>
    <w:rsid w:val="00C04BE6"/>
    <w:rsid w:val="00C109F2"/>
    <w:rsid w:val="00C11817"/>
    <w:rsid w:val="00C119FB"/>
    <w:rsid w:val="00C125B5"/>
    <w:rsid w:val="00C13325"/>
    <w:rsid w:val="00C14101"/>
    <w:rsid w:val="00C141A4"/>
    <w:rsid w:val="00C21F57"/>
    <w:rsid w:val="00C2257E"/>
    <w:rsid w:val="00C23DB0"/>
    <w:rsid w:val="00C27D35"/>
    <w:rsid w:val="00C3022A"/>
    <w:rsid w:val="00C302B4"/>
    <w:rsid w:val="00C3117C"/>
    <w:rsid w:val="00C32D47"/>
    <w:rsid w:val="00C3342D"/>
    <w:rsid w:val="00C34048"/>
    <w:rsid w:val="00C34C2E"/>
    <w:rsid w:val="00C369C2"/>
    <w:rsid w:val="00C41560"/>
    <w:rsid w:val="00C4173D"/>
    <w:rsid w:val="00C4209E"/>
    <w:rsid w:val="00C4325D"/>
    <w:rsid w:val="00C43C4C"/>
    <w:rsid w:val="00C472FF"/>
    <w:rsid w:val="00C477C9"/>
    <w:rsid w:val="00C50A86"/>
    <w:rsid w:val="00C51AFC"/>
    <w:rsid w:val="00C52243"/>
    <w:rsid w:val="00C52658"/>
    <w:rsid w:val="00C57844"/>
    <w:rsid w:val="00C60C0D"/>
    <w:rsid w:val="00C611EE"/>
    <w:rsid w:val="00C627CD"/>
    <w:rsid w:val="00C662EE"/>
    <w:rsid w:val="00C70C77"/>
    <w:rsid w:val="00C74073"/>
    <w:rsid w:val="00C747B1"/>
    <w:rsid w:val="00C758BE"/>
    <w:rsid w:val="00C7619D"/>
    <w:rsid w:val="00C76BDE"/>
    <w:rsid w:val="00C80100"/>
    <w:rsid w:val="00C82884"/>
    <w:rsid w:val="00C84678"/>
    <w:rsid w:val="00C86974"/>
    <w:rsid w:val="00C87F58"/>
    <w:rsid w:val="00C9042F"/>
    <w:rsid w:val="00C91D93"/>
    <w:rsid w:val="00C92F7B"/>
    <w:rsid w:val="00C92FEA"/>
    <w:rsid w:val="00C932A9"/>
    <w:rsid w:val="00C96C81"/>
    <w:rsid w:val="00C96F36"/>
    <w:rsid w:val="00C9797C"/>
    <w:rsid w:val="00CA00A6"/>
    <w:rsid w:val="00CA21E3"/>
    <w:rsid w:val="00CA27ED"/>
    <w:rsid w:val="00CA5121"/>
    <w:rsid w:val="00CB04B2"/>
    <w:rsid w:val="00CB5B72"/>
    <w:rsid w:val="00CB7052"/>
    <w:rsid w:val="00CB7D9A"/>
    <w:rsid w:val="00CC0A67"/>
    <w:rsid w:val="00CC3C25"/>
    <w:rsid w:val="00CC5CC7"/>
    <w:rsid w:val="00CC6750"/>
    <w:rsid w:val="00CC76CA"/>
    <w:rsid w:val="00CC7F10"/>
    <w:rsid w:val="00CD2292"/>
    <w:rsid w:val="00CD3F33"/>
    <w:rsid w:val="00CD531B"/>
    <w:rsid w:val="00CD6FBE"/>
    <w:rsid w:val="00CD72E8"/>
    <w:rsid w:val="00CE0B5A"/>
    <w:rsid w:val="00CE263C"/>
    <w:rsid w:val="00CE2867"/>
    <w:rsid w:val="00CE3778"/>
    <w:rsid w:val="00CE4B06"/>
    <w:rsid w:val="00CE7E95"/>
    <w:rsid w:val="00CF18D9"/>
    <w:rsid w:val="00CF3DB5"/>
    <w:rsid w:val="00D0414E"/>
    <w:rsid w:val="00D06A0F"/>
    <w:rsid w:val="00D06E04"/>
    <w:rsid w:val="00D11F0E"/>
    <w:rsid w:val="00D144DF"/>
    <w:rsid w:val="00D16852"/>
    <w:rsid w:val="00D2088B"/>
    <w:rsid w:val="00D20B1F"/>
    <w:rsid w:val="00D21403"/>
    <w:rsid w:val="00D23167"/>
    <w:rsid w:val="00D232BE"/>
    <w:rsid w:val="00D25B20"/>
    <w:rsid w:val="00D26FFD"/>
    <w:rsid w:val="00D27BF2"/>
    <w:rsid w:val="00D31C6C"/>
    <w:rsid w:val="00D3322D"/>
    <w:rsid w:val="00D342D4"/>
    <w:rsid w:val="00D34FEC"/>
    <w:rsid w:val="00D36B57"/>
    <w:rsid w:val="00D4042B"/>
    <w:rsid w:val="00D40F50"/>
    <w:rsid w:val="00D4122D"/>
    <w:rsid w:val="00D4290C"/>
    <w:rsid w:val="00D42FF0"/>
    <w:rsid w:val="00D4325E"/>
    <w:rsid w:val="00D52621"/>
    <w:rsid w:val="00D53348"/>
    <w:rsid w:val="00D54D8F"/>
    <w:rsid w:val="00D54E7B"/>
    <w:rsid w:val="00D573A0"/>
    <w:rsid w:val="00D620E1"/>
    <w:rsid w:val="00D62F67"/>
    <w:rsid w:val="00D6309D"/>
    <w:rsid w:val="00D6336E"/>
    <w:rsid w:val="00D70B90"/>
    <w:rsid w:val="00D71D10"/>
    <w:rsid w:val="00D722DA"/>
    <w:rsid w:val="00D7536E"/>
    <w:rsid w:val="00D756EF"/>
    <w:rsid w:val="00D76202"/>
    <w:rsid w:val="00D807A9"/>
    <w:rsid w:val="00D81B52"/>
    <w:rsid w:val="00D81FD9"/>
    <w:rsid w:val="00D8250C"/>
    <w:rsid w:val="00D82E75"/>
    <w:rsid w:val="00D8378F"/>
    <w:rsid w:val="00D83F05"/>
    <w:rsid w:val="00D84C1D"/>
    <w:rsid w:val="00D873EF"/>
    <w:rsid w:val="00D87D25"/>
    <w:rsid w:val="00D91E70"/>
    <w:rsid w:val="00D93991"/>
    <w:rsid w:val="00D93B56"/>
    <w:rsid w:val="00D95C6B"/>
    <w:rsid w:val="00D96E5B"/>
    <w:rsid w:val="00D9750A"/>
    <w:rsid w:val="00DA01DA"/>
    <w:rsid w:val="00DA0969"/>
    <w:rsid w:val="00DA193C"/>
    <w:rsid w:val="00DA222F"/>
    <w:rsid w:val="00DA437E"/>
    <w:rsid w:val="00DA4A12"/>
    <w:rsid w:val="00DA4BB1"/>
    <w:rsid w:val="00DA503E"/>
    <w:rsid w:val="00DB17FB"/>
    <w:rsid w:val="00DB2D66"/>
    <w:rsid w:val="00DB4F96"/>
    <w:rsid w:val="00DB54B8"/>
    <w:rsid w:val="00DB576B"/>
    <w:rsid w:val="00DB582E"/>
    <w:rsid w:val="00DB6668"/>
    <w:rsid w:val="00DB675C"/>
    <w:rsid w:val="00DC0FAD"/>
    <w:rsid w:val="00DC12F6"/>
    <w:rsid w:val="00DC23EC"/>
    <w:rsid w:val="00DC25CB"/>
    <w:rsid w:val="00DC401F"/>
    <w:rsid w:val="00DC4386"/>
    <w:rsid w:val="00DC77E9"/>
    <w:rsid w:val="00DD1B75"/>
    <w:rsid w:val="00DD3987"/>
    <w:rsid w:val="00DD5058"/>
    <w:rsid w:val="00DD788E"/>
    <w:rsid w:val="00DE6758"/>
    <w:rsid w:val="00DE6EF1"/>
    <w:rsid w:val="00DE6F76"/>
    <w:rsid w:val="00DF116B"/>
    <w:rsid w:val="00DF1A0F"/>
    <w:rsid w:val="00DF3A80"/>
    <w:rsid w:val="00DF55DB"/>
    <w:rsid w:val="00DF6437"/>
    <w:rsid w:val="00DF6E72"/>
    <w:rsid w:val="00E0027C"/>
    <w:rsid w:val="00E00D20"/>
    <w:rsid w:val="00E01926"/>
    <w:rsid w:val="00E04E31"/>
    <w:rsid w:val="00E10DDA"/>
    <w:rsid w:val="00E110E7"/>
    <w:rsid w:val="00E1137A"/>
    <w:rsid w:val="00E118E0"/>
    <w:rsid w:val="00E11C00"/>
    <w:rsid w:val="00E14028"/>
    <w:rsid w:val="00E157E1"/>
    <w:rsid w:val="00E2155F"/>
    <w:rsid w:val="00E24D7A"/>
    <w:rsid w:val="00E25B15"/>
    <w:rsid w:val="00E260EE"/>
    <w:rsid w:val="00E30985"/>
    <w:rsid w:val="00E339B6"/>
    <w:rsid w:val="00E34CDA"/>
    <w:rsid w:val="00E34D7C"/>
    <w:rsid w:val="00E3658C"/>
    <w:rsid w:val="00E366EE"/>
    <w:rsid w:val="00E3782C"/>
    <w:rsid w:val="00E41860"/>
    <w:rsid w:val="00E42514"/>
    <w:rsid w:val="00E42771"/>
    <w:rsid w:val="00E436A3"/>
    <w:rsid w:val="00E4402D"/>
    <w:rsid w:val="00E45AC2"/>
    <w:rsid w:val="00E5178E"/>
    <w:rsid w:val="00E52634"/>
    <w:rsid w:val="00E53096"/>
    <w:rsid w:val="00E5445B"/>
    <w:rsid w:val="00E5485C"/>
    <w:rsid w:val="00E55D06"/>
    <w:rsid w:val="00E563EB"/>
    <w:rsid w:val="00E56C35"/>
    <w:rsid w:val="00E57DF3"/>
    <w:rsid w:val="00E6066E"/>
    <w:rsid w:val="00E60F0F"/>
    <w:rsid w:val="00E63AF8"/>
    <w:rsid w:val="00E64851"/>
    <w:rsid w:val="00E65684"/>
    <w:rsid w:val="00E66CD6"/>
    <w:rsid w:val="00E66FC0"/>
    <w:rsid w:val="00E67D37"/>
    <w:rsid w:val="00E70C50"/>
    <w:rsid w:val="00E72F6E"/>
    <w:rsid w:val="00E75BE1"/>
    <w:rsid w:val="00E805E6"/>
    <w:rsid w:val="00E812A2"/>
    <w:rsid w:val="00E8258F"/>
    <w:rsid w:val="00E82AC2"/>
    <w:rsid w:val="00E82E58"/>
    <w:rsid w:val="00E83CCC"/>
    <w:rsid w:val="00E91D78"/>
    <w:rsid w:val="00E929AB"/>
    <w:rsid w:val="00E946A4"/>
    <w:rsid w:val="00E96746"/>
    <w:rsid w:val="00E9750A"/>
    <w:rsid w:val="00E97747"/>
    <w:rsid w:val="00EA06A0"/>
    <w:rsid w:val="00EA1292"/>
    <w:rsid w:val="00EA22BD"/>
    <w:rsid w:val="00EA2E1F"/>
    <w:rsid w:val="00EA4255"/>
    <w:rsid w:val="00EA554E"/>
    <w:rsid w:val="00EA6F89"/>
    <w:rsid w:val="00EB1870"/>
    <w:rsid w:val="00EB1F18"/>
    <w:rsid w:val="00EB22FF"/>
    <w:rsid w:val="00EB322D"/>
    <w:rsid w:val="00EB466A"/>
    <w:rsid w:val="00EB4C50"/>
    <w:rsid w:val="00EB55D3"/>
    <w:rsid w:val="00EB703E"/>
    <w:rsid w:val="00EB716F"/>
    <w:rsid w:val="00EC087B"/>
    <w:rsid w:val="00EC22E4"/>
    <w:rsid w:val="00EC2519"/>
    <w:rsid w:val="00EC2C04"/>
    <w:rsid w:val="00EC383A"/>
    <w:rsid w:val="00EC5C3A"/>
    <w:rsid w:val="00EC6871"/>
    <w:rsid w:val="00EC6BBE"/>
    <w:rsid w:val="00ED1D92"/>
    <w:rsid w:val="00ED2100"/>
    <w:rsid w:val="00ED5AFA"/>
    <w:rsid w:val="00ED5F50"/>
    <w:rsid w:val="00ED7101"/>
    <w:rsid w:val="00EE212A"/>
    <w:rsid w:val="00EE48E1"/>
    <w:rsid w:val="00EE62E9"/>
    <w:rsid w:val="00EE7A0D"/>
    <w:rsid w:val="00EE7B29"/>
    <w:rsid w:val="00EF13D1"/>
    <w:rsid w:val="00EF40A9"/>
    <w:rsid w:val="00EF4D78"/>
    <w:rsid w:val="00EF526D"/>
    <w:rsid w:val="00EF582F"/>
    <w:rsid w:val="00EF6A7F"/>
    <w:rsid w:val="00F00D85"/>
    <w:rsid w:val="00F010D6"/>
    <w:rsid w:val="00F01CB1"/>
    <w:rsid w:val="00F02293"/>
    <w:rsid w:val="00F0365D"/>
    <w:rsid w:val="00F0547A"/>
    <w:rsid w:val="00F05EFB"/>
    <w:rsid w:val="00F11820"/>
    <w:rsid w:val="00F1489C"/>
    <w:rsid w:val="00F14E29"/>
    <w:rsid w:val="00F175BF"/>
    <w:rsid w:val="00F17CAD"/>
    <w:rsid w:val="00F2120F"/>
    <w:rsid w:val="00F214ED"/>
    <w:rsid w:val="00F21B80"/>
    <w:rsid w:val="00F22597"/>
    <w:rsid w:val="00F22B1A"/>
    <w:rsid w:val="00F23D85"/>
    <w:rsid w:val="00F24B62"/>
    <w:rsid w:val="00F27273"/>
    <w:rsid w:val="00F27449"/>
    <w:rsid w:val="00F32238"/>
    <w:rsid w:val="00F3270B"/>
    <w:rsid w:val="00F331A5"/>
    <w:rsid w:val="00F33A62"/>
    <w:rsid w:val="00F3712D"/>
    <w:rsid w:val="00F409F9"/>
    <w:rsid w:val="00F4111F"/>
    <w:rsid w:val="00F45CBE"/>
    <w:rsid w:val="00F45FEA"/>
    <w:rsid w:val="00F507AC"/>
    <w:rsid w:val="00F528C8"/>
    <w:rsid w:val="00F547CB"/>
    <w:rsid w:val="00F54DE4"/>
    <w:rsid w:val="00F61292"/>
    <w:rsid w:val="00F61B07"/>
    <w:rsid w:val="00F621F6"/>
    <w:rsid w:val="00F62969"/>
    <w:rsid w:val="00F64445"/>
    <w:rsid w:val="00F67027"/>
    <w:rsid w:val="00F74A09"/>
    <w:rsid w:val="00F75D78"/>
    <w:rsid w:val="00F80F0C"/>
    <w:rsid w:val="00F8134B"/>
    <w:rsid w:val="00F821B2"/>
    <w:rsid w:val="00F84613"/>
    <w:rsid w:val="00F8662E"/>
    <w:rsid w:val="00F87C06"/>
    <w:rsid w:val="00F91D21"/>
    <w:rsid w:val="00F91DA5"/>
    <w:rsid w:val="00F92B0F"/>
    <w:rsid w:val="00F9459C"/>
    <w:rsid w:val="00F95025"/>
    <w:rsid w:val="00F95D9E"/>
    <w:rsid w:val="00F962FC"/>
    <w:rsid w:val="00F9695C"/>
    <w:rsid w:val="00F9792F"/>
    <w:rsid w:val="00FA1AE0"/>
    <w:rsid w:val="00FA1CA7"/>
    <w:rsid w:val="00FA1D72"/>
    <w:rsid w:val="00FA377A"/>
    <w:rsid w:val="00FA499C"/>
    <w:rsid w:val="00FA7374"/>
    <w:rsid w:val="00FA7D79"/>
    <w:rsid w:val="00FB219C"/>
    <w:rsid w:val="00FB2218"/>
    <w:rsid w:val="00FB3311"/>
    <w:rsid w:val="00FB408F"/>
    <w:rsid w:val="00FB41A8"/>
    <w:rsid w:val="00FB5D64"/>
    <w:rsid w:val="00FB77FE"/>
    <w:rsid w:val="00FC0322"/>
    <w:rsid w:val="00FC30C5"/>
    <w:rsid w:val="00FC3DA7"/>
    <w:rsid w:val="00FC3F82"/>
    <w:rsid w:val="00FC798C"/>
    <w:rsid w:val="00FD1E46"/>
    <w:rsid w:val="00FD2002"/>
    <w:rsid w:val="00FD3780"/>
    <w:rsid w:val="00FD612D"/>
    <w:rsid w:val="00FE165F"/>
    <w:rsid w:val="00FE7369"/>
    <w:rsid w:val="00FE7EAD"/>
    <w:rsid w:val="00FF2010"/>
    <w:rsid w:val="00FF429D"/>
    <w:rsid w:val="00FF4FC2"/>
    <w:rsid w:val="00FF790D"/>
    <w:rsid w:val="00FF7BB5"/>
    <w:rsid w:val="01282EE8"/>
    <w:rsid w:val="0243E137"/>
    <w:rsid w:val="03043F21"/>
    <w:rsid w:val="03D278D5"/>
    <w:rsid w:val="047CD606"/>
    <w:rsid w:val="04AE62E6"/>
    <w:rsid w:val="07C9CF0D"/>
    <w:rsid w:val="0CF32DEE"/>
    <w:rsid w:val="0E92EC39"/>
    <w:rsid w:val="0EB2F030"/>
    <w:rsid w:val="1098A58F"/>
    <w:rsid w:val="1151BA8A"/>
    <w:rsid w:val="11FC266D"/>
    <w:rsid w:val="126ACA77"/>
    <w:rsid w:val="12756AC8"/>
    <w:rsid w:val="14470EEA"/>
    <w:rsid w:val="1458873A"/>
    <w:rsid w:val="171BE77A"/>
    <w:rsid w:val="17DF26C6"/>
    <w:rsid w:val="18C55BD4"/>
    <w:rsid w:val="1B431942"/>
    <w:rsid w:val="1BA929FA"/>
    <w:rsid w:val="1BE579EF"/>
    <w:rsid w:val="1C35911C"/>
    <w:rsid w:val="1CBCB162"/>
    <w:rsid w:val="1D2F0B68"/>
    <w:rsid w:val="1E417A9D"/>
    <w:rsid w:val="1E9479FE"/>
    <w:rsid w:val="1F3E1772"/>
    <w:rsid w:val="20BD6356"/>
    <w:rsid w:val="211435B8"/>
    <w:rsid w:val="21A6D2CF"/>
    <w:rsid w:val="23B63D3F"/>
    <w:rsid w:val="24F3EF1A"/>
    <w:rsid w:val="25576FB1"/>
    <w:rsid w:val="27CCF738"/>
    <w:rsid w:val="2CF50D92"/>
    <w:rsid w:val="2D2317D1"/>
    <w:rsid w:val="2DB1CAA8"/>
    <w:rsid w:val="2E31483D"/>
    <w:rsid w:val="2F6746CC"/>
    <w:rsid w:val="2F8138FB"/>
    <w:rsid w:val="2FD60616"/>
    <w:rsid w:val="300CF497"/>
    <w:rsid w:val="311D095C"/>
    <w:rsid w:val="32877958"/>
    <w:rsid w:val="32C88EEB"/>
    <w:rsid w:val="33DA85FB"/>
    <w:rsid w:val="340368A1"/>
    <w:rsid w:val="356390AC"/>
    <w:rsid w:val="35EE4965"/>
    <w:rsid w:val="3A0EA1C5"/>
    <w:rsid w:val="3AADB89D"/>
    <w:rsid w:val="3B1E579C"/>
    <w:rsid w:val="3DC2E705"/>
    <w:rsid w:val="3DFF531C"/>
    <w:rsid w:val="3E0C972A"/>
    <w:rsid w:val="401EA0D7"/>
    <w:rsid w:val="4247AE41"/>
    <w:rsid w:val="43BD126C"/>
    <w:rsid w:val="44FB4B30"/>
    <w:rsid w:val="4859BB5A"/>
    <w:rsid w:val="48FC7E4C"/>
    <w:rsid w:val="4B1D40F4"/>
    <w:rsid w:val="4B30BB59"/>
    <w:rsid w:val="4B942A07"/>
    <w:rsid w:val="4CF86184"/>
    <w:rsid w:val="4ED32267"/>
    <w:rsid w:val="5032B973"/>
    <w:rsid w:val="50860180"/>
    <w:rsid w:val="530813E5"/>
    <w:rsid w:val="534102FC"/>
    <w:rsid w:val="53A43E2A"/>
    <w:rsid w:val="549EE278"/>
    <w:rsid w:val="563B597E"/>
    <w:rsid w:val="58D9FAC4"/>
    <w:rsid w:val="5CDD7A98"/>
    <w:rsid w:val="5E632AB3"/>
    <w:rsid w:val="5EE7B6E9"/>
    <w:rsid w:val="60F48B42"/>
    <w:rsid w:val="6114FD0C"/>
    <w:rsid w:val="679568F4"/>
    <w:rsid w:val="67DAFFCF"/>
    <w:rsid w:val="697A7D94"/>
    <w:rsid w:val="6C01E294"/>
    <w:rsid w:val="6C41B76E"/>
    <w:rsid w:val="6D953177"/>
    <w:rsid w:val="6F978DD4"/>
    <w:rsid w:val="708F2417"/>
    <w:rsid w:val="7482DE67"/>
    <w:rsid w:val="74AF1011"/>
    <w:rsid w:val="764A9248"/>
    <w:rsid w:val="7668F277"/>
    <w:rsid w:val="797809A8"/>
    <w:rsid w:val="7A387D75"/>
    <w:rsid w:val="7A5B65BB"/>
    <w:rsid w:val="7AB79D1D"/>
    <w:rsid w:val="7AD3D3B4"/>
    <w:rsid w:val="7BCDFEDE"/>
    <w:rsid w:val="7D3ECF3E"/>
    <w:rsid w:val="7DF6D650"/>
    <w:rsid w:val="7E0A0BA7"/>
    <w:rsid w:val="7E5C4580"/>
    <w:rsid w:val="7FB9261F"/>
    <w:rsid w:val="7FF815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0A0BA7"/>
  <w15:chartTrackingRefBased/>
  <w15:docId w15:val="{3D188221-A345-4C6A-B7D2-3968ED9B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2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2243"/>
  </w:style>
  <w:style w:type="character" w:customStyle="1" w:styleId="eop">
    <w:name w:val="eop"/>
    <w:basedOn w:val="DefaultParagraphFont"/>
    <w:rsid w:val="00C52243"/>
  </w:style>
  <w:style w:type="paragraph" w:styleId="Header">
    <w:name w:val="header"/>
    <w:basedOn w:val="Normal"/>
    <w:link w:val="HeaderChar"/>
    <w:uiPriority w:val="99"/>
    <w:unhideWhenUsed/>
    <w:rsid w:val="00C52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243"/>
  </w:style>
  <w:style w:type="paragraph" w:styleId="Footer">
    <w:name w:val="footer"/>
    <w:basedOn w:val="Normal"/>
    <w:link w:val="FooterChar"/>
    <w:uiPriority w:val="99"/>
    <w:unhideWhenUsed/>
    <w:rsid w:val="00C52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243"/>
  </w:style>
  <w:style w:type="paragraph" w:styleId="ListParagraph">
    <w:name w:val="List Paragraph"/>
    <w:basedOn w:val="Normal"/>
    <w:uiPriority w:val="34"/>
    <w:qFormat/>
    <w:rsid w:val="0010422A"/>
    <w:pPr>
      <w:ind w:left="720"/>
      <w:contextualSpacing/>
    </w:pPr>
  </w:style>
  <w:style w:type="character" w:styleId="CommentReference">
    <w:name w:val="annotation reference"/>
    <w:basedOn w:val="DefaultParagraphFont"/>
    <w:uiPriority w:val="99"/>
    <w:semiHidden/>
    <w:unhideWhenUsed/>
    <w:rsid w:val="003B72A0"/>
    <w:rPr>
      <w:sz w:val="16"/>
      <w:szCs w:val="16"/>
    </w:rPr>
  </w:style>
  <w:style w:type="paragraph" w:styleId="CommentText">
    <w:name w:val="annotation text"/>
    <w:basedOn w:val="Normal"/>
    <w:link w:val="CommentTextChar"/>
    <w:uiPriority w:val="99"/>
    <w:unhideWhenUsed/>
    <w:rsid w:val="003B72A0"/>
    <w:pPr>
      <w:spacing w:line="240" w:lineRule="auto"/>
    </w:pPr>
    <w:rPr>
      <w:sz w:val="20"/>
      <w:szCs w:val="20"/>
    </w:rPr>
  </w:style>
  <w:style w:type="character" w:customStyle="1" w:styleId="CommentTextChar">
    <w:name w:val="Comment Text Char"/>
    <w:basedOn w:val="DefaultParagraphFont"/>
    <w:link w:val="CommentText"/>
    <w:uiPriority w:val="99"/>
    <w:rsid w:val="003B72A0"/>
    <w:rPr>
      <w:sz w:val="20"/>
      <w:szCs w:val="20"/>
    </w:rPr>
  </w:style>
  <w:style w:type="paragraph" w:styleId="CommentSubject">
    <w:name w:val="annotation subject"/>
    <w:basedOn w:val="CommentText"/>
    <w:next w:val="CommentText"/>
    <w:link w:val="CommentSubjectChar"/>
    <w:uiPriority w:val="99"/>
    <w:semiHidden/>
    <w:unhideWhenUsed/>
    <w:rsid w:val="003B72A0"/>
    <w:rPr>
      <w:b/>
      <w:bCs/>
    </w:rPr>
  </w:style>
  <w:style w:type="character" w:customStyle="1" w:styleId="CommentSubjectChar">
    <w:name w:val="Comment Subject Char"/>
    <w:basedOn w:val="CommentTextChar"/>
    <w:link w:val="CommentSubject"/>
    <w:uiPriority w:val="99"/>
    <w:semiHidden/>
    <w:rsid w:val="003B72A0"/>
    <w:rPr>
      <w:b/>
      <w:bCs/>
      <w:sz w:val="20"/>
      <w:szCs w:val="20"/>
    </w:rPr>
  </w:style>
  <w:style w:type="paragraph" w:styleId="Revision">
    <w:name w:val="Revision"/>
    <w:hidden/>
    <w:uiPriority w:val="99"/>
    <w:semiHidden/>
    <w:rsid w:val="001E22D5"/>
    <w:pPr>
      <w:spacing w:after="0" w:line="240" w:lineRule="auto"/>
    </w:pPr>
  </w:style>
  <w:style w:type="table" w:styleId="TableGrid">
    <w:name w:val="Table Grid"/>
    <w:basedOn w:val="TableNormal"/>
    <w:uiPriority w:val="39"/>
    <w:rsid w:val="00F0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2D362A"/>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960052"/>
    <w:rPr>
      <w:color w:val="0563C1" w:themeColor="hyperlink"/>
      <w:u w:val="single"/>
    </w:rPr>
  </w:style>
  <w:style w:type="character" w:styleId="UnresolvedMention">
    <w:name w:val="Unresolved Mention"/>
    <w:basedOn w:val="DefaultParagraphFont"/>
    <w:uiPriority w:val="99"/>
    <w:semiHidden/>
    <w:unhideWhenUsed/>
    <w:rsid w:val="00960052"/>
    <w:rPr>
      <w:color w:val="605E5C"/>
      <w:shd w:val="clear" w:color="auto" w:fill="E1DFDD"/>
    </w:rPr>
  </w:style>
  <w:style w:type="character" w:styleId="Mention">
    <w:name w:val="Mention"/>
    <w:basedOn w:val="DefaultParagraphFont"/>
    <w:uiPriority w:val="99"/>
    <w:unhideWhenUsed/>
    <w:rsid w:val="00175F98"/>
    <w:rPr>
      <w:color w:val="2B579A"/>
      <w:shd w:val="clear" w:color="auto" w:fill="E1DFDD"/>
    </w:rPr>
  </w:style>
  <w:style w:type="paragraph" w:customStyle="1" w:styleId="Default">
    <w:name w:val="Default"/>
    <w:rsid w:val="00F17CA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14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1D1"/>
    <w:rPr>
      <w:sz w:val="20"/>
      <w:szCs w:val="20"/>
    </w:rPr>
  </w:style>
  <w:style w:type="character" w:styleId="FootnoteReference">
    <w:name w:val="footnote reference"/>
    <w:basedOn w:val="DefaultParagraphFont"/>
    <w:uiPriority w:val="99"/>
    <w:semiHidden/>
    <w:unhideWhenUsed/>
    <w:rsid w:val="002141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mailto:splimpto@nsf.gov?subject=NSF%20Engines%20data%20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AE6692AF4E6244A85FE42D366707A9" ma:contentTypeVersion="8" ma:contentTypeDescription="Create a new document." ma:contentTypeScope="" ma:versionID="e7823fd951ba8bb9ca275416d639a845">
  <xsd:schema xmlns:xsd="http://www.w3.org/2001/XMLSchema" xmlns:xs="http://www.w3.org/2001/XMLSchema" xmlns:p="http://schemas.microsoft.com/office/2006/metadata/properties" xmlns:ns2="e5effe05-a431-4769-8188-62ddc1d41882" targetNamespace="http://schemas.microsoft.com/office/2006/metadata/properties" ma:root="true" ma:fieldsID="9e8348a0c622de1800b25f338d4e2f80" ns2:_="">
    <xsd:import namespace="e5effe05-a431-4769-8188-62ddc1d41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ffe05-a431-4769-8188-62ddc1d41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C5E9C-FBA9-407A-B6A2-FEB2CF298662}">
  <ds:schemaRefs>
    <ds:schemaRef ds:uri="http://schemas.openxmlformats.org/officeDocument/2006/bibliography"/>
  </ds:schemaRefs>
</ds:datastoreItem>
</file>

<file path=customXml/itemProps2.xml><?xml version="1.0" encoding="utf-8"?>
<ds:datastoreItem xmlns:ds="http://schemas.openxmlformats.org/officeDocument/2006/customXml" ds:itemID="{EDC681FF-A592-4091-852E-E34D2290422E}">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3.xml><?xml version="1.0" encoding="utf-8"?>
<ds:datastoreItem xmlns:ds="http://schemas.openxmlformats.org/officeDocument/2006/customXml" ds:itemID="{AA9D8172-F9B8-4236-A04F-130192C57CE3}">
  <ds:schemaRefs>
    <ds:schemaRef ds:uri="http://schemas.microsoft.com/sharepoint/v3/contenttype/forms"/>
  </ds:schemaRefs>
</ds:datastoreItem>
</file>

<file path=customXml/itemProps4.xml><?xml version="1.0" encoding="utf-8"?>
<ds:datastoreItem xmlns:ds="http://schemas.openxmlformats.org/officeDocument/2006/customXml" ds:itemID="{B319130D-8241-4E7B-8639-361A088F1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ffe05-a431-4769-8188-62ddc1d4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2746</Words>
  <Characters>15656</Characters>
  <Application>Microsoft Office Word</Application>
  <DocSecurity>0</DocSecurity>
  <Lines>130</Lines>
  <Paragraphs>36</Paragraphs>
  <ScaleCrop>false</ScaleCrop>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Ziv-El, Michal</dc:creator>
  <cp:lastModifiedBy>Plimpton, Suzanne H.</cp:lastModifiedBy>
  <cp:revision>3</cp:revision>
  <cp:lastPrinted>2024-02-27T20:22:00Z</cp:lastPrinted>
  <dcterms:created xsi:type="dcterms:W3CDTF">2024-10-29T21:12:00Z</dcterms:created>
  <dcterms:modified xsi:type="dcterms:W3CDTF">2024-11-15T14:22:00Z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0x0101008BAE6692AF4E6244A85FE42D366707A9</vt:lpwstr>
  </property>
  <property fmtid="{D5CDD505-2E9C-101B-9397-08002B2CF9AE}" pid="4" name="MediaServiceImageTags">
    <vt:lpwstr/>
  </property>
  <property fmtid="{D5CDD505-2E9C-101B-9397-08002B2CF9AE}" pid="5" name="TitusGUID">
    <vt:lpwstr>71764420-cb7a-48df-bd5b-5413a7734f57</vt:lpwstr>
  </property>
</Properties>
</file>