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A116B" w:rsidRPr="00FB1122" w:rsidP="008E39BA" w14:paraId="5E22B207" w14:textId="7583339C">
      <w:pPr>
        <w:spacing w:line="238" w:lineRule="auto"/>
        <w:jc w:val="center"/>
        <w:rPr>
          <w:rFonts w:cs="Arial"/>
        </w:rPr>
      </w:pPr>
      <w:r>
        <w:rPr>
          <w:rFonts w:cs="Arial"/>
        </w:rPr>
        <w:t xml:space="preserve"> </w:t>
      </w:r>
      <w:r w:rsidRPr="00FB1122">
        <w:rPr>
          <w:rFonts w:cs="Arial"/>
        </w:rPr>
        <w:t>Justification</w:t>
      </w:r>
    </w:p>
    <w:p w:rsidR="00EA116B" w:rsidRPr="00FB1122" w:rsidP="008E39BA" w14:paraId="74148FC8" w14:textId="77777777">
      <w:pPr>
        <w:spacing w:line="238" w:lineRule="auto"/>
        <w:jc w:val="center"/>
        <w:rPr>
          <w:rFonts w:cs="Arial"/>
        </w:rPr>
      </w:pPr>
      <w:r w:rsidRPr="00FB1122">
        <w:rPr>
          <w:rFonts w:cs="Arial"/>
          <w:b/>
          <w:bCs/>
          <w:szCs w:val="26"/>
        </w:rPr>
        <w:t>Railroad Separation Allowance or Severance Pay Report</w:t>
      </w:r>
    </w:p>
    <w:p w:rsidR="00EA116B" w:rsidRPr="00FB1122" w:rsidP="008E39BA" w14:paraId="53DCDDC5" w14:textId="1EA88C3F">
      <w:pPr>
        <w:spacing w:line="238" w:lineRule="auto"/>
        <w:jc w:val="center"/>
        <w:rPr>
          <w:rFonts w:cs="Arial"/>
        </w:rPr>
      </w:pPr>
      <w:r w:rsidRPr="00FB1122">
        <w:rPr>
          <w:rFonts w:cs="Arial"/>
        </w:rPr>
        <w:t>RRB Form BA-9</w:t>
      </w:r>
      <w:r w:rsidR="00182EA5">
        <w:rPr>
          <w:rFonts w:cs="Arial"/>
        </w:rPr>
        <w:t xml:space="preserve"> and BA-9 (Internet)</w:t>
      </w:r>
      <w:r w:rsidR="005E6046">
        <w:rPr>
          <w:rFonts w:cs="Arial"/>
        </w:rPr>
        <w:t xml:space="preserve"> </w:t>
      </w:r>
    </w:p>
    <w:p w:rsidR="002C0B10" w:rsidRPr="00FB1122" w:rsidP="008E39BA" w14:paraId="5B34C0FB" w14:textId="77777777">
      <w:pPr>
        <w:tabs>
          <w:tab w:val="center" w:pos="4680"/>
        </w:tabs>
        <w:spacing w:line="238" w:lineRule="auto"/>
        <w:jc w:val="both"/>
        <w:rPr>
          <w:rFonts w:cs="Arial"/>
        </w:rPr>
      </w:pPr>
    </w:p>
    <w:p w:rsidR="00EA116B" w:rsidRPr="00FB1122" w:rsidP="00D64C8B" w14:paraId="11DC450A" w14:textId="77777777">
      <w:pPr>
        <w:tabs>
          <w:tab w:val="left" w:pos="-1440"/>
          <w:tab w:val="left" w:pos="540"/>
        </w:tabs>
        <w:ind w:left="547" w:hanging="540"/>
        <w:jc w:val="both"/>
        <w:rPr>
          <w:rFonts w:cs="Arial"/>
        </w:rPr>
      </w:pPr>
      <w:r w:rsidRPr="00FB1122">
        <w:rPr>
          <w:rFonts w:cs="Arial"/>
          <w:szCs w:val="28"/>
        </w:rPr>
        <w:t>1.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Circumstances of information collection</w:t>
      </w:r>
      <w:r w:rsidRPr="00FB1122">
        <w:rPr>
          <w:rFonts w:cs="Arial"/>
        </w:rPr>
        <w:t xml:space="preserve"> - Section 6 of the Railroad Retirement Act</w:t>
      </w:r>
      <w:r w:rsidR="00D23F7A">
        <w:rPr>
          <w:rFonts w:cs="Arial"/>
        </w:rPr>
        <w:t xml:space="preserve"> (45 U.S.C. 231e)</w:t>
      </w:r>
      <w:r w:rsidRPr="00FB1122">
        <w:rPr>
          <w:rFonts w:cs="Arial"/>
        </w:rPr>
        <w:t xml:space="preserve">, provides for a lump-sum payment to an employee or the employee's survivors equal to the Tier </w:t>
      </w:r>
      <w:r w:rsidRPr="00FB1122" w:rsidR="0093079B">
        <w:rPr>
          <w:rFonts w:cs="Arial"/>
        </w:rPr>
        <w:t>II</w:t>
      </w:r>
      <w:r w:rsidRPr="00FB1122">
        <w:rPr>
          <w:rFonts w:cs="Arial"/>
        </w:rPr>
        <w:t xml:space="preserve"> taxes paid by the employee on a separation allowance or severance payment for which the employee did not receive credits toward retirement. </w:t>
      </w:r>
      <w:r w:rsidRPr="00FB1122" w:rsidR="000306E0">
        <w:rPr>
          <w:rFonts w:cs="Arial"/>
        </w:rPr>
        <w:t xml:space="preserve"> </w:t>
      </w:r>
      <w:r w:rsidRPr="00FB1122">
        <w:rPr>
          <w:rFonts w:cs="Arial"/>
        </w:rPr>
        <w:t xml:space="preserve">The lump sum is not payable until retirement benefits begin to accrue or the employee dies. </w:t>
      </w:r>
      <w:r w:rsidRPr="00FB1122" w:rsidR="000306E0">
        <w:rPr>
          <w:rFonts w:cs="Arial"/>
        </w:rPr>
        <w:t xml:space="preserve"> </w:t>
      </w:r>
      <w:r w:rsidRPr="00FB1122">
        <w:rPr>
          <w:rFonts w:cs="Arial"/>
        </w:rPr>
        <w:t>This provision is effective retroactively for separation and severance payments made beginning January 1, 1985.</w:t>
      </w:r>
    </w:p>
    <w:p w:rsidR="00EA116B" w:rsidRPr="00FB1122" w:rsidP="00D64C8B" w14:paraId="4A513AAB" w14:textId="77777777">
      <w:pPr>
        <w:tabs>
          <w:tab w:val="left" w:pos="540"/>
        </w:tabs>
        <w:ind w:left="547" w:hanging="540"/>
        <w:jc w:val="both"/>
        <w:rPr>
          <w:rFonts w:cs="Arial"/>
        </w:rPr>
      </w:pPr>
    </w:p>
    <w:p w:rsidR="00EA116B" w:rsidRPr="00FB1122" w:rsidP="00D64C8B" w14:paraId="29448824" w14:textId="556FC7FB">
      <w:pPr>
        <w:tabs>
          <w:tab w:val="left" w:pos="540"/>
        </w:tabs>
        <w:ind w:left="547"/>
        <w:jc w:val="both"/>
        <w:rPr>
          <w:rFonts w:cs="Arial"/>
        </w:rPr>
      </w:pPr>
      <w:r w:rsidRPr="00FB1122">
        <w:rPr>
          <w:rFonts w:cs="Arial"/>
        </w:rPr>
        <w:t>Section 4(a-</w:t>
      </w:r>
      <w:r w:rsidRPr="00FB1122">
        <w:rPr>
          <w:rFonts w:cs="Arial"/>
        </w:rPr>
        <w:t>1)(</w:t>
      </w:r>
      <w:r w:rsidRPr="00FB1122">
        <w:rPr>
          <w:rFonts w:cs="Arial"/>
        </w:rPr>
        <w:t>iii)</w:t>
      </w:r>
      <w:r w:rsidR="00FE3CF6">
        <w:rPr>
          <w:rFonts w:cs="Arial"/>
        </w:rPr>
        <w:t xml:space="preserve"> (45 U.S.C. 231c)</w:t>
      </w:r>
      <w:r w:rsidRPr="00FB1122">
        <w:rPr>
          <w:rFonts w:cs="Arial"/>
        </w:rPr>
        <w:t xml:space="preserve"> of the Railroad Unemployment Insurance Act (RUIA) provides that a railroad employee who is paid a separation allowance is disqualified for unemployment and sickness benefits for the period of time the employee would have to work to earn the amount of the allowance.</w:t>
      </w:r>
    </w:p>
    <w:p w:rsidR="00EA116B" w:rsidRPr="00FB1122" w:rsidP="00D64C8B" w14:paraId="452794A2" w14:textId="77777777">
      <w:pPr>
        <w:tabs>
          <w:tab w:val="left" w:pos="540"/>
        </w:tabs>
        <w:ind w:left="547"/>
        <w:jc w:val="both"/>
        <w:rPr>
          <w:rFonts w:cs="Arial"/>
        </w:rPr>
      </w:pPr>
    </w:p>
    <w:p w:rsidR="00EA116B" w:rsidRPr="00FB1122" w:rsidP="00D64C8B" w14:paraId="1A7DF69A" w14:textId="77777777">
      <w:pPr>
        <w:tabs>
          <w:tab w:val="left" w:pos="540"/>
        </w:tabs>
        <w:ind w:left="547"/>
        <w:jc w:val="both"/>
        <w:rPr>
          <w:rFonts w:cs="Arial"/>
        </w:rPr>
      </w:pPr>
      <w:r w:rsidRPr="00FB1122">
        <w:rPr>
          <w:rFonts w:cs="Arial"/>
        </w:rPr>
        <w:t>The requirements for railroad employers to prepare and file a report of employee separation allowances and severance payments to railroad employees and survivors of railroad employees are prescribed in 20 CFR 209.14 and in 45 U.S.C. 354(a-</w:t>
      </w:r>
      <w:r w:rsidRPr="00FB1122">
        <w:rPr>
          <w:rFonts w:cs="Arial"/>
        </w:rPr>
        <w:t>1)(</w:t>
      </w:r>
      <w:r w:rsidRPr="00FB1122">
        <w:rPr>
          <w:rFonts w:cs="Arial"/>
        </w:rPr>
        <w:t>iii), 45 U.S.C. 355(b) and 45 U.S.C. 359(a).</w:t>
      </w:r>
    </w:p>
    <w:p w:rsidR="00EA116B" w:rsidRPr="00FB1122" w:rsidP="00D64C8B" w14:paraId="6D6A2D10" w14:textId="77777777">
      <w:pPr>
        <w:tabs>
          <w:tab w:val="left" w:pos="540"/>
        </w:tabs>
        <w:ind w:left="547" w:hanging="540"/>
        <w:jc w:val="both"/>
        <w:rPr>
          <w:rFonts w:cs="Arial"/>
        </w:rPr>
      </w:pPr>
    </w:p>
    <w:p w:rsidR="00EA116B" w:rsidRPr="00FB1122" w:rsidP="000306E0" w14:paraId="1D4FA4B8" w14:textId="77777777">
      <w:pPr>
        <w:tabs>
          <w:tab w:val="left" w:pos="540"/>
        </w:tabs>
        <w:ind w:left="547" w:hanging="540"/>
        <w:jc w:val="both"/>
        <w:rPr>
          <w:rFonts w:cs="Arial"/>
        </w:rPr>
      </w:pPr>
      <w:r w:rsidRPr="00FB1122">
        <w:rPr>
          <w:rFonts w:cs="Arial"/>
          <w:szCs w:val="28"/>
        </w:rPr>
        <w:t>2.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Purposes of collection/consequences of not collecting the information</w:t>
      </w:r>
      <w:r w:rsidRPr="00FB1122">
        <w:rPr>
          <w:rFonts w:cs="Arial"/>
        </w:rPr>
        <w:t xml:space="preserve"> - </w:t>
      </w:r>
      <w:r w:rsidRPr="00FB1122">
        <w:rPr>
          <w:rFonts w:cs="Arial"/>
          <w:b/>
          <w:bCs/>
        </w:rPr>
        <w:t>Form BA-9, Report of Separation Allowance or Severance Pay</w:t>
      </w:r>
      <w:r w:rsidRPr="00FB1122" w:rsidR="0093079B">
        <w:rPr>
          <w:rFonts w:cs="Arial"/>
          <w:bCs/>
        </w:rPr>
        <w:t>,</w:t>
      </w:r>
      <w:r w:rsidRPr="00FB1122">
        <w:rPr>
          <w:rFonts w:cs="Arial"/>
        </w:rPr>
        <w:t xml:space="preserve"> is the form used by the Railroad Retirement Board (RRB) to calculate the lump</w:t>
      </w:r>
      <w:r w:rsidRPr="00FB1122" w:rsidR="0093079B">
        <w:rPr>
          <w:rFonts w:cs="Arial"/>
        </w:rPr>
        <w:noBreakHyphen/>
      </w:r>
      <w:r w:rsidRPr="00FB1122">
        <w:rPr>
          <w:rFonts w:cs="Arial"/>
        </w:rPr>
        <w:t>sum payment provided to railroad employees or the</w:t>
      </w:r>
      <w:r w:rsidRPr="00FB1122" w:rsidR="0093079B">
        <w:rPr>
          <w:rFonts w:cs="Arial"/>
        </w:rPr>
        <w:t xml:space="preserve">ir </w:t>
      </w:r>
      <w:r w:rsidRPr="00FB1122">
        <w:rPr>
          <w:rFonts w:cs="Arial"/>
        </w:rPr>
        <w:t xml:space="preserve">survivors.  </w:t>
      </w:r>
      <w:r w:rsidRPr="00FB1122">
        <w:rPr>
          <w:rFonts w:cs="Arial"/>
        </w:rPr>
        <w:t>In order to</w:t>
      </w:r>
      <w:r w:rsidRPr="00FB1122">
        <w:rPr>
          <w:rFonts w:cs="Arial"/>
        </w:rPr>
        <w:t xml:space="preserve"> provide these payments, the RRB must collect and maintain records of separation allowances and severance payments which were subject to Tier II taxation.  The RRB uses Form BA-9 to obtain, on a quarterly basis, the information needed from railroad employers concerning the separation allowances and severance payments made to railroad employees and/or the</w:t>
      </w:r>
      <w:r w:rsidRPr="00FB1122" w:rsidR="0093079B">
        <w:rPr>
          <w:rFonts w:cs="Arial"/>
        </w:rPr>
        <w:t>ir</w:t>
      </w:r>
      <w:r w:rsidRPr="00FB1122">
        <w:rPr>
          <w:rFonts w:cs="Arial"/>
        </w:rPr>
        <w:t xml:space="preserve"> survivors by the RRB after December 31, 1988. </w:t>
      </w:r>
      <w:r w:rsidRPr="00FB1122" w:rsidR="0093079B">
        <w:rPr>
          <w:rFonts w:cs="Arial"/>
        </w:rPr>
        <w:t xml:space="preserve"> </w:t>
      </w:r>
      <w:r w:rsidRPr="00FB1122" w:rsidR="00D64C8B">
        <w:rPr>
          <w:rFonts w:cs="Arial"/>
        </w:rPr>
        <w:t xml:space="preserve">Form BA-9 is also used by employers to report adjustments to reported severance pay.  </w:t>
      </w:r>
      <w:r w:rsidRPr="00FB1122">
        <w:rPr>
          <w:rFonts w:cs="Arial"/>
        </w:rPr>
        <w:t>All reports contain a one-line entry for each such payment or adjustment.</w:t>
      </w:r>
    </w:p>
    <w:p w:rsidR="00EA116B" w:rsidRPr="00FB1122" w:rsidP="00D64C8B" w14:paraId="136EDB85" w14:textId="77777777">
      <w:pPr>
        <w:tabs>
          <w:tab w:val="left" w:pos="-1440"/>
          <w:tab w:val="left" w:pos="540"/>
        </w:tabs>
        <w:ind w:left="547" w:hanging="540"/>
        <w:jc w:val="both"/>
        <w:rPr>
          <w:rFonts w:cs="Arial"/>
        </w:rPr>
      </w:pPr>
    </w:p>
    <w:p w:rsidR="00907155" w:rsidRPr="004B10C2" w:rsidP="000E5566" w14:paraId="1EE84B65" w14:textId="219489F7">
      <w:pPr>
        <w:tabs>
          <w:tab w:val="left" w:pos="540"/>
        </w:tabs>
        <w:ind w:left="547"/>
        <w:jc w:val="both"/>
        <w:rPr>
          <w:rFonts w:cs="Arial"/>
        </w:rPr>
      </w:pPr>
      <w:r w:rsidRPr="004B10C2">
        <w:rPr>
          <w:rFonts w:cs="Arial"/>
        </w:rPr>
        <w:t>E</w:t>
      </w:r>
      <w:r w:rsidRPr="004B10C2" w:rsidR="00EA116B">
        <w:rPr>
          <w:rFonts w:cs="Arial"/>
        </w:rPr>
        <w:t>mployers have the option of submitting their reports on Form BA-9</w:t>
      </w:r>
      <w:r w:rsidRPr="004B10C2" w:rsidR="00CA26E6">
        <w:rPr>
          <w:rFonts w:cs="Arial"/>
        </w:rPr>
        <w:t xml:space="preserve"> </w:t>
      </w:r>
      <w:r w:rsidRPr="00944EDB" w:rsidR="00CA26E6">
        <w:rPr>
          <w:rFonts w:cs="Arial"/>
        </w:rPr>
        <w:t>via paper</w:t>
      </w:r>
      <w:r w:rsidRPr="004B10C2" w:rsidR="00EA116B">
        <w:rPr>
          <w:rFonts w:cs="Arial"/>
        </w:rPr>
        <w:t>, or, in like format</w:t>
      </w:r>
      <w:r w:rsidRPr="004B10C2" w:rsidR="00E1791B">
        <w:rPr>
          <w:rFonts w:cs="Arial"/>
        </w:rPr>
        <w:t xml:space="preserve"> </w:t>
      </w:r>
      <w:r w:rsidRPr="004B10C2" w:rsidR="008D25ED">
        <w:rPr>
          <w:rFonts w:cs="Arial"/>
        </w:rPr>
        <w:t xml:space="preserve">via </w:t>
      </w:r>
      <w:r w:rsidRPr="004B10C2" w:rsidR="00E70B5F">
        <w:rPr>
          <w:rFonts w:cs="Arial"/>
        </w:rPr>
        <w:t xml:space="preserve">CD-ROM, </w:t>
      </w:r>
      <w:r w:rsidRPr="004B10C2">
        <w:rPr>
          <w:rFonts w:cs="Arial"/>
        </w:rPr>
        <w:t xml:space="preserve">secure </w:t>
      </w:r>
      <w:r w:rsidRPr="004B10C2" w:rsidR="00CA26E6">
        <w:rPr>
          <w:rFonts w:cs="Arial"/>
        </w:rPr>
        <w:t>e</w:t>
      </w:r>
      <w:r w:rsidRPr="004B10C2">
        <w:rPr>
          <w:rFonts w:cs="Arial"/>
        </w:rPr>
        <w:t>mail</w:t>
      </w:r>
      <w:r w:rsidRPr="004B10C2" w:rsidR="00D547ED">
        <w:rPr>
          <w:rFonts w:cs="Arial"/>
        </w:rPr>
        <w:t>,</w:t>
      </w:r>
      <w:r w:rsidRPr="004B10C2">
        <w:rPr>
          <w:rFonts w:cs="Arial"/>
        </w:rPr>
        <w:t xml:space="preserve"> </w:t>
      </w:r>
      <w:r w:rsidRPr="004B10C2" w:rsidR="00207AB5">
        <w:rPr>
          <w:rFonts w:cs="Arial"/>
        </w:rPr>
        <w:t xml:space="preserve">or </w:t>
      </w:r>
      <w:r w:rsidRPr="004B10C2">
        <w:rPr>
          <w:rFonts w:cs="Arial"/>
        </w:rPr>
        <w:t xml:space="preserve">File Transfer Protocol (FTP).  </w:t>
      </w:r>
      <w:r w:rsidRPr="004B10C2" w:rsidR="00D547ED">
        <w:rPr>
          <w:rFonts w:cs="Arial"/>
        </w:rPr>
        <w:t xml:space="preserve">The instructions for completing Form BA-9 and the burden statement relating to the estimated completion time for the information collection are shown on the reverse side of the form.  </w:t>
      </w:r>
      <w:r w:rsidRPr="004B10C2" w:rsidR="00893CE2">
        <w:rPr>
          <w:rFonts w:cs="Arial"/>
        </w:rPr>
        <w:t xml:space="preserve">Electronic </w:t>
      </w:r>
      <w:r w:rsidRPr="004B10C2" w:rsidR="00E70B5F">
        <w:rPr>
          <w:rFonts w:cs="Arial"/>
        </w:rPr>
        <w:t>f</w:t>
      </w:r>
      <w:r w:rsidRPr="004B10C2" w:rsidR="00EA116B">
        <w:rPr>
          <w:rFonts w:cs="Arial"/>
        </w:rPr>
        <w:t xml:space="preserve">ormats </w:t>
      </w:r>
      <w:r w:rsidRPr="004B10C2" w:rsidR="00E70B5F">
        <w:rPr>
          <w:rFonts w:cs="Arial"/>
        </w:rPr>
        <w:t xml:space="preserve">CD-ROM, secure Email, and FTP </w:t>
      </w:r>
      <w:r w:rsidRPr="004B10C2" w:rsidR="00EA116B">
        <w:rPr>
          <w:rFonts w:cs="Arial"/>
        </w:rPr>
        <w:t xml:space="preserve">are prescribed in </w:t>
      </w:r>
      <w:r w:rsidRPr="004B10C2" w:rsidR="00893CE2">
        <w:rPr>
          <w:rFonts w:cs="Arial"/>
        </w:rPr>
        <w:t xml:space="preserve">Appendix 1 of </w:t>
      </w:r>
      <w:r w:rsidRPr="004B10C2" w:rsidR="00EA116B">
        <w:rPr>
          <w:rFonts w:cs="Arial"/>
        </w:rPr>
        <w:t xml:space="preserve">the RRB's Reporting Instructions to Employers.  </w:t>
      </w:r>
      <w:r w:rsidRPr="004B10C2" w:rsidR="00207AB5">
        <w:rPr>
          <w:rFonts w:cs="Arial"/>
        </w:rPr>
        <w:t xml:space="preserve">Program Letter 2008-05 explains the secure Email and FTP processes, contains the file layout, and includes the required Paperwork Reduction Act notices.  </w:t>
      </w:r>
      <w:r w:rsidRPr="004B10C2" w:rsidR="00EA116B">
        <w:rPr>
          <w:rFonts w:cs="Arial"/>
        </w:rPr>
        <w:t xml:space="preserve">All </w:t>
      </w:r>
      <w:r w:rsidRPr="004B10C2" w:rsidR="00C668D6">
        <w:rPr>
          <w:rFonts w:cs="Arial"/>
        </w:rPr>
        <w:t xml:space="preserve">reports of </w:t>
      </w:r>
      <w:r w:rsidRPr="004B10C2" w:rsidR="00EA116B">
        <w:rPr>
          <w:rFonts w:cs="Arial"/>
        </w:rPr>
        <w:t xml:space="preserve">separation allowances </w:t>
      </w:r>
      <w:r w:rsidRPr="004B10C2" w:rsidR="00C668D6">
        <w:rPr>
          <w:rFonts w:cs="Arial"/>
        </w:rPr>
        <w:t xml:space="preserve">and </w:t>
      </w:r>
      <w:r w:rsidRPr="004B10C2" w:rsidR="00EA116B">
        <w:rPr>
          <w:rFonts w:cs="Arial"/>
        </w:rPr>
        <w:t>severance payments</w:t>
      </w:r>
      <w:r w:rsidRPr="004B10C2" w:rsidR="000E5566">
        <w:rPr>
          <w:rFonts w:cs="Arial"/>
        </w:rPr>
        <w:t xml:space="preserve"> </w:t>
      </w:r>
      <w:r w:rsidRPr="004B10C2" w:rsidR="00EA116B">
        <w:rPr>
          <w:rFonts w:cs="Arial"/>
        </w:rPr>
        <w:t xml:space="preserve">are accompanied by Form G-440, </w:t>
      </w:r>
      <w:r w:rsidRPr="004B10C2" w:rsidR="00EA116B">
        <w:rPr>
          <w:rFonts w:cs="Arial"/>
          <w:i/>
        </w:rPr>
        <w:t>Report Specifications Sheet</w:t>
      </w:r>
      <w:r w:rsidRPr="004B10C2" w:rsidR="00EA116B">
        <w:rPr>
          <w:rFonts w:cs="Arial"/>
        </w:rPr>
        <w:t xml:space="preserve">. </w:t>
      </w:r>
      <w:r w:rsidRPr="004B10C2" w:rsidR="00E70B5F">
        <w:rPr>
          <w:rFonts w:cs="Arial"/>
        </w:rPr>
        <w:t xml:space="preserve"> </w:t>
      </w:r>
      <w:r w:rsidRPr="004B10C2" w:rsidR="00EA116B">
        <w:rPr>
          <w:rFonts w:cs="Arial"/>
        </w:rPr>
        <w:t>The G-440 provides information as to the type of report and specifications, if necessary, for the computer.</w:t>
      </w:r>
      <w:r w:rsidRPr="004B10C2">
        <w:rPr>
          <w:rFonts w:cs="Arial"/>
        </w:rPr>
        <w:t xml:space="preserve">  </w:t>
      </w:r>
      <w:r w:rsidRPr="004B10C2" w:rsidR="00EA116B">
        <w:rPr>
          <w:rFonts w:cs="Arial"/>
        </w:rPr>
        <w:t>The form also provides for the signature and identifying information of a certifying officer.</w:t>
      </w:r>
      <w:r w:rsidRPr="004B10C2">
        <w:rPr>
          <w:rFonts w:cs="Arial"/>
        </w:rPr>
        <w:t xml:space="preserve">  </w:t>
      </w:r>
    </w:p>
    <w:p w:rsidR="008E39BA" w:rsidRPr="004B10C2" w:rsidP="00D64C8B" w14:paraId="50A11F82" w14:textId="77777777">
      <w:pPr>
        <w:tabs>
          <w:tab w:val="left" w:pos="540"/>
        </w:tabs>
        <w:ind w:left="547"/>
        <w:jc w:val="both"/>
        <w:rPr>
          <w:rFonts w:cs="Arial"/>
          <w:b/>
        </w:rPr>
      </w:pPr>
    </w:p>
    <w:p w:rsidR="00C32CA7" w:rsidRPr="004B10C2" w:rsidP="00182EA5" w14:paraId="50429272" w14:textId="24F72012">
      <w:pPr>
        <w:tabs>
          <w:tab w:val="left" w:pos="540"/>
        </w:tabs>
        <w:ind w:left="547"/>
        <w:jc w:val="both"/>
        <w:rPr>
          <w:rFonts w:cs="Arial"/>
          <w:b/>
        </w:rPr>
      </w:pPr>
      <w:r w:rsidRPr="004B10C2">
        <w:rPr>
          <w:rFonts w:cs="Arial"/>
          <w:b/>
        </w:rPr>
        <w:t>T</w:t>
      </w:r>
      <w:bookmarkStart w:id="0" w:name="_Hlk175645601"/>
      <w:r w:rsidRPr="004B10C2">
        <w:rPr>
          <w:rFonts w:cs="Arial"/>
          <w:b/>
        </w:rPr>
        <w:t xml:space="preserve">he RRB proposes </w:t>
      </w:r>
      <w:r w:rsidRPr="004B10C2" w:rsidR="005566A2">
        <w:rPr>
          <w:rFonts w:cs="Arial"/>
          <w:b/>
        </w:rPr>
        <w:t xml:space="preserve">no changes to </w:t>
      </w:r>
      <w:r w:rsidRPr="004B10C2" w:rsidR="00182EA5">
        <w:rPr>
          <w:rFonts w:cs="Arial"/>
          <w:b/>
        </w:rPr>
        <w:t xml:space="preserve">the </w:t>
      </w:r>
      <w:r w:rsidRPr="00944EDB" w:rsidR="00CA26E6">
        <w:rPr>
          <w:rFonts w:cs="Arial"/>
          <w:b/>
        </w:rPr>
        <w:t>paper form</w:t>
      </w:r>
      <w:r w:rsidRPr="004B10C2" w:rsidR="00182EA5">
        <w:rPr>
          <w:rFonts w:cs="Arial"/>
          <w:b/>
        </w:rPr>
        <w:t>, CD-ROM, secure email, or FTP versions.</w:t>
      </w:r>
      <w:bookmarkEnd w:id="0"/>
      <w:r w:rsidRPr="004B10C2" w:rsidR="009035AE">
        <w:rPr>
          <w:rFonts w:cs="Arial"/>
          <w:b/>
        </w:rPr>
        <w:t xml:space="preserve">  </w:t>
      </w:r>
    </w:p>
    <w:p w:rsidR="00C32CA7" w:rsidRPr="004B10C2" w:rsidP="009035AE" w14:paraId="24F8FF8D" w14:textId="77777777">
      <w:pPr>
        <w:tabs>
          <w:tab w:val="left" w:pos="540"/>
        </w:tabs>
        <w:ind w:left="547"/>
        <w:jc w:val="both"/>
        <w:rPr>
          <w:rFonts w:cs="Arial"/>
          <w:b/>
        </w:rPr>
      </w:pPr>
    </w:p>
    <w:p w:rsidR="00182EA5" w:rsidRPr="004B10C2" w:rsidP="009035AE" w14:paraId="7F70796B" w14:textId="00256A9E">
      <w:pPr>
        <w:tabs>
          <w:tab w:val="left" w:pos="540"/>
        </w:tabs>
        <w:ind w:left="547"/>
        <w:jc w:val="both"/>
        <w:rPr>
          <w:rFonts w:cs="Arial"/>
          <w:b/>
        </w:rPr>
      </w:pPr>
      <w:r w:rsidRPr="004B10C2">
        <w:rPr>
          <w:rFonts w:cs="Arial"/>
        </w:rPr>
        <w:t xml:space="preserve">In accordance with the Government Paperwork Elimination Act, which requires Federal agencies to provide its customers the option to submit information or transact with the </w:t>
      </w:r>
      <w:r w:rsidRPr="004B10C2">
        <w:rPr>
          <w:rFonts w:cs="Arial"/>
        </w:rPr>
        <w:t xml:space="preserve">agency electronically, </w:t>
      </w:r>
      <w:r w:rsidRPr="004B10C2">
        <w:rPr>
          <w:rFonts w:cs="Arial"/>
          <w:b/>
        </w:rPr>
        <w:t xml:space="preserve">the RRB </w:t>
      </w:r>
      <w:r w:rsidRPr="00944EDB" w:rsidR="00CA26E6">
        <w:rPr>
          <w:rFonts w:cs="Arial"/>
          <w:b/>
        </w:rPr>
        <w:t>added</w:t>
      </w:r>
      <w:r w:rsidRPr="00944EDB" w:rsidR="00B27518">
        <w:rPr>
          <w:rFonts w:cs="Arial"/>
          <w:b/>
        </w:rPr>
        <w:t xml:space="preserve"> </w:t>
      </w:r>
      <w:r w:rsidRPr="004B10C2">
        <w:rPr>
          <w:rFonts w:cs="Arial"/>
          <w:b/>
        </w:rPr>
        <w:t>an Internet equivalent version of Form BA</w:t>
      </w:r>
      <w:r w:rsidRPr="004B10C2" w:rsidR="0057168F">
        <w:rPr>
          <w:rFonts w:cs="Arial"/>
          <w:b/>
        </w:rPr>
        <w:t>-9</w:t>
      </w:r>
      <w:r w:rsidRPr="004B10C2">
        <w:rPr>
          <w:rFonts w:cs="Arial"/>
          <w:b/>
        </w:rPr>
        <w:t xml:space="preserve"> to this information collection.</w:t>
      </w:r>
      <w:r w:rsidRPr="004B10C2">
        <w:rPr>
          <w:rFonts w:cs="Arial"/>
        </w:rPr>
        <w:t xml:space="preserve"> The BA-9 (Internet), </w:t>
      </w:r>
      <w:r w:rsidRPr="004B10C2">
        <w:rPr>
          <w:rFonts w:cs="Arial"/>
          <w:i/>
        </w:rPr>
        <w:t xml:space="preserve">Report of Separation Allowance or Severance Pay, </w:t>
      </w:r>
      <w:r w:rsidRPr="00944EDB" w:rsidR="008C6D27">
        <w:rPr>
          <w:rFonts w:cs="Arial"/>
        </w:rPr>
        <w:t>is</w:t>
      </w:r>
      <w:r w:rsidRPr="004B10C2" w:rsidR="008C6D27">
        <w:rPr>
          <w:rFonts w:cs="Arial"/>
        </w:rPr>
        <w:t xml:space="preserve"> </w:t>
      </w:r>
      <w:r w:rsidRPr="004B10C2">
        <w:rPr>
          <w:rFonts w:cs="Arial"/>
        </w:rPr>
        <w:t>available to employers who have obtained access to the RRB’s Employer Reporting System (ERS</w:t>
      </w:r>
      <w:r w:rsidRPr="00944EDB" w:rsidR="008C6D27">
        <w:rPr>
          <w:rFonts w:cs="Arial"/>
        </w:rPr>
        <w:t>Net</w:t>
      </w:r>
      <w:r w:rsidRPr="004B10C2">
        <w:rPr>
          <w:rFonts w:cs="Arial"/>
        </w:rPr>
        <w:t>) and request access to the form.</w:t>
      </w:r>
    </w:p>
    <w:p w:rsidR="00182EA5" w:rsidRPr="004B10C2" w:rsidP="009035AE" w14:paraId="18EEFCBA" w14:textId="77777777">
      <w:pPr>
        <w:tabs>
          <w:tab w:val="left" w:pos="540"/>
        </w:tabs>
        <w:ind w:left="547"/>
        <w:jc w:val="both"/>
        <w:rPr>
          <w:rFonts w:cs="Arial"/>
          <w:b/>
        </w:rPr>
      </w:pPr>
    </w:p>
    <w:p w:rsidR="00182EA5" w:rsidRPr="004B10C2" w:rsidP="009035AE" w14:paraId="236232FB" w14:textId="5AA62952">
      <w:pPr>
        <w:tabs>
          <w:tab w:val="left" w:pos="540"/>
        </w:tabs>
        <w:ind w:left="547"/>
        <w:jc w:val="both"/>
        <w:rPr>
          <w:rFonts w:cs="Arial"/>
        </w:rPr>
      </w:pPr>
      <w:r w:rsidRPr="004B10C2">
        <w:rPr>
          <w:rFonts w:cs="Arial"/>
        </w:rPr>
        <w:t>Access to ERS</w:t>
      </w:r>
      <w:r w:rsidRPr="00944EDB" w:rsidR="008C6D27">
        <w:rPr>
          <w:rFonts w:cs="Arial"/>
        </w:rPr>
        <w:t>Net</w:t>
      </w:r>
      <w:r w:rsidRPr="004B10C2">
        <w:rPr>
          <w:rFonts w:cs="Arial"/>
        </w:rPr>
        <w:t xml:space="preserve"> is granted only to employers and their designees who have completed RR</w:t>
      </w:r>
      <w:r w:rsidRPr="004B10C2" w:rsidR="00FE498A">
        <w:rPr>
          <w:rFonts w:cs="Arial"/>
        </w:rPr>
        <w:t>B</w:t>
      </w:r>
      <w:r w:rsidRPr="004B10C2">
        <w:rPr>
          <w:rFonts w:cs="Arial"/>
        </w:rPr>
        <w:t xml:space="preserve"> Form BA-12, </w:t>
      </w:r>
      <w:r w:rsidRPr="004B10C2">
        <w:rPr>
          <w:rFonts w:cs="Arial"/>
          <w:i/>
        </w:rPr>
        <w:t>Application for Employer Reporting Internet Access</w:t>
      </w:r>
      <w:r w:rsidRPr="004B10C2">
        <w:rPr>
          <w:rFonts w:cs="Arial"/>
        </w:rPr>
        <w:t xml:space="preserve"> (3220-0008), which provides information used by the RRB to evaluate, grant, and document the level of access requested (view only, data entry, or approval/submission rights).</w:t>
      </w:r>
    </w:p>
    <w:p w:rsidR="00182EA5" w:rsidRPr="004B10C2" w:rsidP="009035AE" w14:paraId="094A7EA2" w14:textId="77777777">
      <w:pPr>
        <w:tabs>
          <w:tab w:val="left" w:pos="540"/>
        </w:tabs>
        <w:ind w:left="547"/>
        <w:jc w:val="both"/>
        <w:rPr>
          <w:rFonts w:cs="Arial"/>
        </w:rPr>
      </w:pPr>
    </w:p>
    <w:p w:rsidR="0043499A" w:rsidRPr="004B10C2" w:rsidP="009035AE" w14:paraId="09E8D037" w14:textId="2922FFF8">
      <w:pPr>
        <w:tabs>
          <w:tab w:val="left" w:pos="540"/>
        </w:tabs>
        <w:ind w:left="547"/>
        <w:jc w:val="both"/>
        <w:rPr>
          <w:rFonts w:cs="Arial"/>
        </w:rPr>
      </w:pPr>
      <w:r w:rsidRPr="004B10C2">
        <w:rPr>
          <w:rFonts w:cs="Arial"/>
        </w:rPr>
        <w:t>TheBA-9 (Internet) consist</w:t>
      </w:r>
      <w:r w:rsidRPr="00944EDB" w:rsidR="008C6D27">
        <w:rPr>
          <w:rFonts w:cs="Arial"/>
        </w:rPr>
        <w:t>s</w:t>
      </w:r>
      <w:r w:rsidRPr="004B10C2">
        <w:rPr>
          <w:rFonts w:cs="Arial"/>
        </w:rPr>
        <w:t xml:space="preserve"> of a series of screens that collect</w:t>
      </w:r>
      <w:r w:rsidRPr="00944EDB" w:rsidR="008C6D27">
        <w:rPr>
          <w:rFonts w:cs="Arial"/>
        </w:rPr>
        <w:t>s</w:t>
      </w:r>
      <w:r w:rsidRPr="004B10C2">
        <w:rPr>
          <w:rFonts w:cs="Arial"/>
        </w:rPr>
        <w:t xml:space="preserve"> essentially the same information as the approved </w:t>
      </w:r>
      <w:r w:rsidRPr="00944EDB" w:rsidR="008C6D27">
        <w:rPr>
          <w:rFonts w:cs="Arial"/>
        </w:rPr>
        <w:t>paper</w:t>
      </w:r>
      <w:r w:rsidRPr="004B10C2" w:rsidR="008C6D27">
        <w:rPr>
          <w:rFonts w:cs="Arial"/>
        </w:rPr>
        <w:t xml:space="preserve"> v</w:t>
      </w:r>
      <w:r w:rsidRPr="004B10C2">
        <w:rPr>
          <w:rFonts w:cs="Arial"/>
        </w:rPr>
        <w:t>ersion of Form BA-9. The internet version provide</w:t>
      </w:r>
      <w:r w:rsidRPr="00944EDB" w:rsidR="008C6D27">
        <w:rPr>
          <w:rFonts w:cs="Arial"/>
        </w:rPr>
        <w:t>s</w:t>
      </w:r>
      <w:r w:rsidRPr="004B10C2">
        <w:rPr>
          <w:rFonts w:cs="Arial"/>
        </w:rPr>
        <w:t xml:space="preserve"> </w:t>
      </w:r>
      <w:r w:rsidRPr="004B10C2">
        <w:rPr>
          <w:rFonts w:cs="Arial"/>
          <w:dstrike/>
        </w:rPr>
        <w:t>t</w:t>
      </w:r>
      <w:r w:rsidRPr="004B10C2">
        <w:rPr>
          <w:rFonts w:cs="Arial"/>
        </w:rPr>
        <w:t>he required notices and certification</w:t>
      </w:r>
      <w:r w:rsidRPr="004B10C2">
        <w:rPr>
          <w:rFonts w:cs="Arial"/>
        </w:rPr>
        <w:t>s</w:t>
      </w:r>
      <w:r w:rsidRPr="004B10C2">
        <w:rPr>
          <w:rFonts w:cs="Arial"/>
        </w:rPr>
        <w:t>, and additionally provide</w:t>
      </w:r>
      <w:r w:rsidRPr="00944EDB" w:rsidR="00A75B36">
        <w:rPr>
          <w:rFonts w:cs="Arial"/>
        </w:rPr>
        <w:t>s</w:t>
      </w:r>
      <w:r w:rsidRPr="004B10C2">
        <w:rPr>
          <w:rFonts w:cs="Arial"/>
        </w:rPr>
        <w:t xml:space="preserve"> help messages designed to guide the user through the system and complete a successful transaction.</w:t>
      </w:r>
    </w:p>
    <w:p w:rsidR="0043499A" w:rsidRPr="004B10C2" w:rsidP="009035AE" w14:paraId="43888CC5" w14:textId="77777777">
      <w:pPr>
        <w:tabs>
          <w:tab w:val="left" w:pos="540"/>
        </w:tabs>
        <w:ind w:left="547"/>
        <w:jc w:val="both"/>
        <w:rPr>
          <w:rFonts w:cs="Arial"/>
        </w:rPr>
      </w:pPr>
    </w:p>
    <w:p w:rsidR="00B00D47" w:rsidP="00B00D47" w14:paraId="0E69083B" w14:textId="4F938726">
      <w:pPr>
        <w:widowControl/>
        <w:tabs>
          <w:tab w:val="left" w:pos="540"/>
        </w:tabs>
        <w:ind w:left="547"/>
        <w:jc w:val="both"/>
        <w:rPr>
          <w:rFonts w:cs="Arial"/>
        </w:rPr>
      </w:pPr>
      <w:r w:rsidRPr="004B10C2">
        <w:rPr>
          <w:rFonts w:cs="Arial"/>
        </w:rPr>
        <w:t>When filing the BA-9 through ERS</w:t>
      </w:r>
      <w:r w:rsidRPr="00944EDB" w:rsidR="00A75B36">
        <w:rPr>
          <w:rFonts w:cs="Arial"/>
        </w:rPr>
        <w:t>Net</w:t>
      </w:r>
      <w:r w:rsidRPr="004B10C2">
        <w:rPr>
          <w:rFonts w:cs="Arial"/>
        </w:rPr>
        <w:t>, the employer will not be required to provide a signed Form G-440 with every report. Instead, the employer signs the certification statement on Form BA-12 once, when they initially applied for ERS</w:t>
      </w:r>
      <w:r w:rsidRPr="00944EDB" w:rsidR="00A75B36">
        <w:rPr>
          <w:rFonts w:cs="Arial"/>
        </w:rPr>
        <w:t>Net</w:t>
      </w:r>
      <w:r w:rsidRPr="004B10C2">
        <w:rPr>
          <w:rFonts w:cs="Arial"/>
        </w:rPr>
        <w:t xml:space="preserve"> access.</w:t>
      </w:r>
    </w:p>
    <w:p w:rsidR="004B10C2" w:rsidP="00B00D47" w14:paraId="2FA3B16F" w14:textId="77777777">
      <w:pPr>
        <w:widowControl/>
        <w:tabs>
          <w:tab w:val="left" w:pos="540"/>
        </w:tabs>
        <w:ind w:left="547"/>
        <w:jc w:val="both"/>
        <w:rPr>
          <w:rFonts w:cs="Arial"/>
        </w:rPr>
      </w:pPr>
    </w:p>
    <w:p w:rsidR="004B10C2" w:rsidRPr="00FB1122" w:rsidP="00B00D47" w14:paraId="146225E3" w14:textId="7D2B0BE2">
      <w:pPr>
        <w:widowControl/>
        <w:tabs>
          <w:tab w:val="left" w:pos="540"/>
        </w:tabs>
        <w:ind w:left="547"/>
        <w:jc w:val="both"/>
        <w:rPr>
          <w:rFonts w:cs="Arial"/>
        </w:rPr>
      </w:pPr>
      <w:r>
        <w:rPr>
          <w:rFonts w:cs="Arial"/>
          <w:b/>
        </w:rPr>
        <w:t>T</w:t>
      </w:r>
      <w:r w:rsidRPr="00FB1122">
        <w:rPr>
          <w:rFonts w:cs="Arial"/>
          <w:b/>
        </w:rPr>
        <w:t xml:space="preserve">he RRB proposes no changes to </w:t>
      </w:r>
      <w:r>
        <w:rPr>
          <w:rFonts w:cs="Arial"/>
          <w:b/>
        </w:rPr>
        <w:t>Form BA-9</w:t>
      </w:r>
      <w:r w:rsidR="009E1657">
        <w:rPr>
          <w:rFonts w:cs="Arial"/>
          <w:b/>
        </w:rPr>
        <w:t xml:space="preserve"> </w:t>
      </w:r>
      <w:r>
        <w:rPr>
          <w:rFonts w:cs="Arial"/>
          <w:b/>
        </w:rPr>
        <w:t>(Internet).</w:t>
      </w:r>
    </w:p>
    <w:p w:rsidR="00DA4FAB" w:rsidRPr="00FB1122" w:rsidP="00893CE2" w14:paraId="78DB1AEF" w14:textId="77777777">
      <w:pPr>
        <w:tabs>
          <w:tab w:val="left" w:pos="540"/>
        </w:tabs>
        <w:ind w:left="540"/>
        <w:jc w:val="both"/>
        <w:rPr>
          <w:rFonts w:cs="Arial"/>
        </w:rPr>
      </w:pPr>
    </w:p>
    <w:p w:rsidR="00EA116B" w:rsidRPr="00FB1122" w:rsidP="00E70B5F" w14:paraId="08A53159" w14:textId="3EC2A8BB">
      <w:pPr>
        <w:widowControl/>
        <w:tabs>
          <w:tab w:val="left" w:pos="540"/>
        </w:tabs>
        <w:ind w:left="547" w:hanging="547"/>
        <w:jc w:val="both"/>
        <w:rPr>
          <w:rFonts w:cs="CG Times"/>
        </w:rPr>
      </w:pPr>
      <w:r w:rsidRPr="00FB1122">
        <w:rPr>
          <w:rFonts w:cs="Arial"/>
          <w:szCs w:val="28"/>
        </w:rPr>
        <w:t>3.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Planned use of improved information technology or technical/legal impediments to further burden reduction</w:t>
      </w:r>
      <w:r w:rsidRPr="00FB1122" w:rsidR="008D25ED">
        <w:rPr>
          <w:rFonts w:cs="Arial"/>
        </w:rPr>
        <w:t xml:space="preserve"> </w:t>
      </w:r>
      <w:r w:rsidRPr="00FB1122" w:rsidR="005566A2">
        <w:rPr>
          <w:rFonts w:cs="Arial"/>
        </w:rPr>
        <w:t xml:space="preserve">- </w:t>
      </w:r>
      <w:r w:rsidR="00182EA5">
        <w:rPr>
          <w:rFonts w:cs="Arial"/>
          <w:szCs w:val="22"/>
        </w:rPr>
        <w:t xml:space="preserve">  With </w:t>
      </w:r>
      <w:r w:rsidRPr="00A75B36" w:rsidR="00182EA5">
        <w:rPr>
          <w:rFonts w:cs="Arial"/>
          <w:szCs w:val="22"/>
        </w:rPr>
        <w:t>a</w:t>
      </w:r>
      <w:r w:rsidR="00182EA5">
        <w:rPr>
          <w:rFonts w:cs="Arial"/>
          <w:szCs w:val="22"/>
        </w:rPr>
        <w:t>n Internet version of Form BA-9, the RRB has taken steps to offer an electronic alternative.</w:t>
      </w:r>
    </w:p>
    <w:p w:rsidR="00EA116B" w:rsidRPr="00FB1122" w:rsidP="00C54348" w14:paraId="4462D3D0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="00EA116B" w:rsidRPr="00FB1122" w:rsidP="00C54348" w14:paraId="1E649A0C" w14:textId="7EAFBE59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4.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Efforts to identify duplication</w:t>
      </w:r>
      <w:r w:rsidRPr="00FB1122">
        <w:rPr>
          <w:rFonts w:cs="Arial"/>
        </w:rPr>
        <w:t xml:space="preserve"> - </w:t>
      </w:r>
      <w:r w:rsidR="008E11FB">
        <w:rPr>
          <w:rFonts w:cs="Arial"/>
          <w:szCs w:val="22"/>
        </w:rPr>
        <w:t xml:space="preserve">To our knowledge, no other agency </w:t>
      </w:r>
      <w:r w:rsidR="008E11FB">
        <w:rPr>
          <w:rFonts w:cs="Arial"/>
          <w:szCs w:val="22"/>
        </w:rPr>
        <w:t>use</w:t>
      </w:r>
      <w:r w:rsidR="008E11FB">
        <w:rPr>
          <w:rFonts w:cs="Arial"/>
          <w:szCs w:val="22"/>
        </w:rPr>
        <w:t xml:space="preserve"> similar forms and this</w:t>
      </w:r>
      <w:r w:rsidRPr="00FB1122">
        <w:rPr>
          <w:rFonts w:cs="Arial"/>
        </w:rPr>
        <w:t xml:space="preserve"> information collection does not duplicate any </w:t>
      </w:r>
      <w:r w:rsidRPr="00D60B27">
        <w:rPr>
          <w:rFonts w:cs="Arial"/>
        </w:rPr>
        <w:t xml:space="preserve">other </w:t>
      </w:r>
      <w:r w:rsidRPr="00D60B27" w:rsidR="008E11FB">
        <w:rPr>
          <w:rFonts w:cs="Arial"/>
        </w:rPr>
        <w:t>RRB</w:t>
      </w:r>
      <w:r w:rsidR="008E11FB">
        <w:rPr>
          <w:rFonts w:cs="Arial"/>
        </w:rPr>
        <w:t xml:space="preserve"> </w:t>
      </w:r>
      <w:r w:rsidRPr="00FB1122">
        <w:rPr>
          <w:rFonts w:cs="Arial"/>
        </w:rPr>
        <w:t>information collection.</w:t>
      </w:r>
    </w:p>
    <w:p w:rsidR="00EA116B" w:rsidRPr="00FB1122" w:rsidP="00C54348" w14:paraId="14767CC7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="00EA116B" w:rsidRPr="00FB1122" w:rsidP="00C54348" w14:paraId="209D9D89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5.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Small business respondents</w:t>
      </w:r>
      <w:r w:rsidRPr="00FB1122">
        <w:rPr>
          <w:rFonts w:cs="Arial"/>
        </w:rPr>
        <w:t xml:space="preserve"> - N.A.</w:t>
      </w:r>
    </w:p>
    <w:p w:rsidR="008E39BA" w:rsidRPr="00FB1122" w:rsidP="00C54348" w14:paraId="59B14FEF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</w:p>
    <w:p w:rsidR="00EA116B" w:rsidRPr="00FB1122" w:rsidP="00C54348" w14:paraId="02546263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dstrike/>
        </w:rPr>
      </w:pPr>
      <w:r w:rsidRPr="00FB1122">
        <w:rPr>
          <w:rFonts w:cs="Arial"/>
          <w:szCs w:val="28"/>
        </w:rPr>
        <w:t>6.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Consequences of less frequent collection</w:t>
      </w:r>
      <w:r w:rsidRPr="00FB1122">
        <w:rPr>
          <w:rFonts w:cs="Arial"/>
        </w:rPr>
        <w:t xml:space="preserve"> - </w:t>
      </w:r>
      <w:r w:rsidRPr="00FB1122" w:rsidR="00C668D6">
        <w:rPr>
          <w:rFonts w:cs="Arial"/>
        </w:rPr>
        <w:t>Since an up-to-date record is essential for timely and accurate benefits, o</w:t>
      </w:r>
      <w:r w:rsidRPr="00FB1122">
        <w:rPr>
          <w:rFonts w:cs="Arial"/>
        </w:rPr>
        <w:t>btaining the separation allowance and severance pay information less frequently would affect payment of benefits under the Acts the RRB administers.</w:t>
      </w:r>
    </w:p>
    <w:p w:rsidR="00EA116B" w:rsidRPr="00FB1122" w:rsidP="00C54348" w14:paraId="7A4F2C47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="00EA116B" w:rsidRPr="00FB1122" w:rsidP="00C54348" w14:paraId="4A62A877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u w:val="single"/>
        </w:rPr>
      </w:pPr>
      <w:r w:rsidRPr="00FB1122">
        <w:rPr>
          <w:rFonts w:cs="Arial"/>
          <w:szCs w:val="28"/>
        </w:rPr>
        <w:t>7.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Special circumstances</w:t>
      </w:r>
      <w:r w:rsidRPr="00FB1122">
        <w:rPr>
          <w:rFonts w:cs="Arial"/>
        </w:rPr>
        <w:t xml:space="preserve"> - None</w:t>
      </w:r>
    </w:p>
    <w:p w:rsidR="00EA116B" w:rsidRPr="00FB1122" w:rsidP="00C54348" w14:paraId="45E5B3C6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="00635563" w:rsidRPr="002B60EE" w:rsidP="00635563" w14:paraId="3D6E150B" w14:textId="0EDD4FE4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FB1122">
        <w:rPr>
          <w:rFonts w:cs="Arial"/>
          <w:szCs w:val="28"/>
        </w:rPr>
        <w:t>8.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Public comments/consultations outside the agency</w:t>
      </w:r>
      <w:r w:rsidRPr="00FB1122">
        <w:rPr>
          <w:rFonts w:cs="Arial"/>
        </w:rPr>
        <w:t xml:space="preserve"> - In accordance with 5 CFR 1320.8(d), comments were invited from the public regarding the information collection.  </w:t>
      </w:r>
      <w:r w:rsidRPr="002B60EE">
        <w:rPr>
          <w:rFonts w:cs="Arial"/>
          <w:szCs w:val="22"/>
        </w:rPr>
        <w:t xml:space="preserve">The notice to the public was published on page </w:t>
      </w:r>
      <w:bookmarkStart w:id="1" w:name="_Hlk182390551"/>
      <w:r w:rsidRPr="002B60EE">
        <w:rPr>
          <w:rFonts w:cs="Arial"/>
          <w:szCs w:val="22"/>
        </w:rPr>
        <w:t>7500</w:t>
      </w:r>
      <w:r>
        <w:rPr>
          <w:rFonts w:cs="Arial"/>
          <w:szCs w:val="22"/>
        </w:rPr>
        <w:t>2</w:t>
      </w:r>
      <w:r w:rsidRPr="002B60EE">
        <w:rPr>
          <w:rFonts w:cs="Arial"/>
          <w:szCs w:val="22"/>
        </w:rPr>
        <w:t xml:space="preserve"> of the September 13, </w:t>
      </w:r>
      <w:bookmarkEnd w:id="1"/>
      <w:r w:rsidRPr="002B60EE">
        <w:rPr>
          <w:rFonts w:cs="Arial"/>
          <w:szCs w:val="22"/>
        </w:rPr>
        <w:t xml:space="preserve">2024, </w:t>
      </w:r>
      <w:r w:rsidRPr="002B60EE">
        <w:rPr>
          <w:rFonts w:cs="Arial"/>
          <w:szCs w:val="22"/>
          <w:u w:val="single"/>
        </w:rPr>
        <w:t>Federal Register</w:t>
      </w:r>
      <w:r w:rsidRPr="002B60EE">
        <w:rPr>
          <w:rFonts w:cs="Arial"/>
          <w:szCs w:val="22"/>
        </w:rPr>
        <w:t>.  No comments or requests for additional information were received.</w:t>
      </w:r>
    </w:p>
    <w:p w:rsidR="00EA116B" w:rsidRPr="00FB1122" w:rsidP="00C54348" w14:paraId="4BAD60D1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="00EA116B" w:rsidRPr="00FB1122" w:rsidP="00C54348" w14:paraId="55681607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9.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Payments or gifts to respondents</w:t>
      </w:r>
      <w:r w:rsidRPr="00FB1122">
        <w:rPr>
          <w:rFonts w:cs="Arial"/>
        </w:rPr>
        <w:t xml:space="preserve"> - N.A.</w:t>
      </w:r>
    </w:p>
    <w:p w:rsidR="00EA116B" w:rsidRPr="00FB1122" w:rsidP="00C54348" w14:paraId="1521FE29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="005566A2" w:rsidRPr="00FB1122" w:rsidP="005566A2" w14:paraId="542028C9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8"/>
        </w:rPr>
      </w:pPr>
      <w:r w:rsidRPr="00FB1122">
        <w:rPr>
          <w:rFonts w:cs="Arial"/>
          <w:szCs w:val="28"/>
        </w:rPr>
        <w:t>10.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Confidentiality</w:t>
      </w:r>
      <w:r w:rsidRPr="00FB1122">
        <w:rPr>
          <w:rFonts w:cs="Arial"/>
        </w:rPr>
        <w:t xml:space="preserve"> - Privacy Act System of Records, RRB-5, Master File of Railroad Employee's Creditable Compensation and RRB-21, Railroad Unemployment and Sickness Insurance Benefit System.</w:t>
      </w:r>
      <w:r w:rsidRPr="00FB1122" w:rsidR="009640E4">
        <w:rPr>
          <w:rFonts w:cs="Arial"/>
        </w:rPr>
        <w:t xml:space="preserve"> </w:t>
      </w:r>
      <w:r w:rsidRPr="00FB1122" w:rsidR="00F57B3F">
        <w:rPr>
          <w:rFonts w:cs="Arial"/>
        </w:rPr>
        <w:t xml:space="preserve"> </w:t>
      </w:r>
      <w:r w:rsidRPr="00FB1122" w:rsidR="00C1100F">
        <w:rPr>
          <w:rFonts w:cs="CG Times"/>
        </w:rPr>
        <w:t xml:space="preserve">In accordance with OMB Circular M-03-22, a Privacy Impact Assessment for </w:t>
      </w:r>
      <w:r w:rsidRPr="00FB1122" w:rsidR="00F57B3F">
        <w:rPr>
          <w:rFonts w:cs="CG Times"/>
        </w:rPr>
        <w:t xml:space="preserve">this information collection </w:t>
      </w:r>
      <w:r w:rsidRPr="00FB1122" w:rsidR="00C1100F">
        <w:rPr>
          <w:rFonts w:cs="CG Times"/>
        </w:rPr>
        <w:t>was completed and can be found at</w:t>
      </w:r>
      <w:r w:rsidRPr="00FB1122">
        <w:rPr>
          <w:rFonts w:cs="CG Times"/>
        </w:rPr>
        <w:t xml:space="preserve"> </w:t>
      </w:r>
    </w:p>
    <w:p w:rsidR="00EA116B" w:rsidRPr="00FB1122" w:rsidP="005566A2" w14:paraId="70C98234" w14:textId="77777777">
      <w:pPr>
        <w:tabs>
          <w:tab w:val="left" w:pos="540"/>
        </w:tabs>
        <w:ind w:left="540"/>
        <w:jc w:val="both"/>
        <w:rPr>
          <w:rFonts w:cs="Arial"/>
          <w:szCs w:val="22"/>
        </w:rPr>
      </w:pPr>
      <w:hyperlink r:id="rId4" w:history="1">
        <w:r w:rsidRPr="00FB1122">
          <w:rPr>
            <w:rStyle w:val="Hyperlink"/>
            <w:rFonts w:cs="Arial"/>
            <w:szCs w:val="22"/>
          </w:rPr>
          <w:t>https://www.rrb.gov/sites/default/files/2017-06/PIA-BPO.pdf</w:t>
        </w:r>
      </w:hyperlink>
      <w:r w:rsidRPr="00FB1122" w:rsidR="00D547ED">
        <w:rPr>
          <w:rFonts w:cs="Arial"/>
          <w:szCs w:val="22"/>
        </w:rPr>
        <w:t>.</w:t>
      </w:r>
    </w:p>
    <w:p w:rsidR="008632A7" w:rsidRPr="00FB1122" w:rsidP="00C54348" w14:paraId="7D950743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="00EA116B" w:rsidP="00C54348" w14:paraId="594497A4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11.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Sensitive questions</w:t>
      </w:r>
      <w:r w:rsidRPr="00FB1122">
        <w:rPr>
          <w:rFonts w:cs="Arial"/>
        </w:rPr>
        <w:t xml:space="preserve"> - N.A.</w:t>
      </w:r>
    </w:p>
    <w:p w:rsidR="00EA116B" w:rsidRPr="00FB1122" w:rsidP="00B00D47" w14:paraId="68810AD1" w14:textId="58591BEC">
      <w:pPr>
        <w:numPr>
          <w:ilvl w:val="0"/>
          <w:numId w:val="5"/>
        </w:numPr>
        <w:tabs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  <w:u w:val="single"/>
        </w:rPr>
        <w:t>Estimate of respondent burden</w:t>
      </w:r>
      <w:r w:rsidRPr="00FB1122">
        <w:rPr>
          <w:rFonts w:cs="Arial"/>
        </w:rPr>
        <w:t xml:space="preserve"> - The current </w:t>
      </w:r>
      <w:r w:rsidRPr="00FB1122" w:rsidR="00B00D47">
        <w:rPr>
          <w:rFonts w:cs="Arial"/>
        </w:rPr>
        <w:t xml:space="preserve">and proposed </w:t>
      </w:r>
      <w:r w:rsidRPr="00FB1122">
        <w:rPr>
          <w:rFonts w:cs="Arial"/>
        </w:rPr>
        <w:t>burden</w:t>
      </w:r>
      <w:r w:rsidRPr="00FB1122" w:rsidR="00B00D47">
        <w:rPr>
          <w:rFonts w:cs="Arial"/>
        </w:rPr>
        <w:t>s</w:t>
      </w:r>
      <w:r w:rsidRPr="00FB1122">
        <w:rPr>
          <w:rFonts w:cs="Arial"/>
        </w:rPr>
        <w:t xml:space="preserve"> for the collection</w:t>
      </w:r>
      <w:r w:rsidRPr="00FB1122" w:rsidR="000E5566">
        <w:rPr>
          <w:rFonts w:cs="Arial"/>
        </w:rPr>
        <w:t xml:space="preserve"> </w:t>
      </w:r>
      <w:r w:rsidRPr="00FB1122" w:rsidR="00B00D47">
        <w:rPr>
          <w:rFonts w:cs="Arial"/>
        </w:rPr>
        <w:t xml:space="preserve">are </w:t>
      </w:r>
      <w:r w:rsidRPr="00FB1122" w:rsidR="009E38E2">
        <w:rPr>
          <w:rFonts w:cs="Arial"/>
        </w:rPr>
        <w:t>as follows</w:t>
      </w:r>
      <w:r w:rsidRPr="00FB1122">
        <w:rPr>
          <w:rFonts w:cs="Arial"/>
        </w:rPr>
        <w:t>:</w:t>
      </w:r>
    </w:p>
    <w:p w:rsidR="00B00D47" w:rsidRPr="00FB1122" w:rsidP="00C54348" w14:paraId="51189F56" w14:textId="77777777">
      <w:pPr>
        <w:tabs>
          <w:tab w:val="left" w:pos="540"/>
        </w:tabs>
        <w:ind w:left="540" w:hanging="540"/>
        <w:jc w:val="both"/>
        <w:rPr>
          <w:rFonts w:cs="Arial"/>
          <w:szCs w:val="28"/>
        </w:rPr>
      </w:pPr>
    </w:p>
    <w:p w:rsidR="0036065F" w:rsidRPr="002E3B5B" w:rsidP="00635563" w14:paraId="38A587F3" w14:textId="21E038D5">
      <w:pPr>
        <w:keepNext/>
        <w:widowControl/>
        <w:tabs>
          <w:tab w:val="left" w:pos="540"/>
        </w:tabs>
        <w:ind w:left="547" w:hanging="547"/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Current</w:t>
      </w:r>
    </w:p>
    <w:tbl>
      <w:tblPr>
        <w:tblW w:w="8640" w:type="dxa"/>
        <w:tblInd w:w="77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1" w:type="dxa"/>
          <w:right w:w="141" w:type="dxa"/>
        </w:tblCellMar>
        <w:tblLook w:val="0000"/>
      </w:tblPr>
      <w:tblGrid>
        <w:gridCol w:w="2880"/>
        <w:gridCol w:w="2160"/>
        <w:gridCol w:w="1974"/>
        <w:gridCol w:w="1626"/>
      </w:tblGrid>
      <w:tr w14:paraId="6DDA659F" w14:textId="77777777" w:rsidTr="00D40601">
        <w:tblPrEx>
          <w:tblW w:w="8640" w:type="dxa"/>
          <w:tblInd w:w="771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val="400"/>
        </w:trPr>
        <w:tc>
          <w:tcPr>
            <w:tcW w:w="2880" w:type="dxa"/>
            <w:vAlign w:val="center"/>
          </w:tcPr>
          <w:p w:rsidR="0036065F" w:rsidRPr="00944EDB" w:rsidP="0036065F" w14:paraId="415D49B9" w14:textId="77777777">
            <w:pPr>
              <w:keepNext/>
              <w:widowControl/>
              <w:tabs>
                <w:tab w:val="left" w:pos="540"/>
              </w:tabs>
              <w:ind w:left="547" w:hanging="547"/>
              <w:jc w:val="center"/>
              <w:rPr>
                <w:rFonts w:cs="Arial"/>
              </w:rPr>
            </w:pPr>
            <w:bookmarkStart w:id="2" w:name="_Hlk164105090"/>
            <w:r w:rsidRPr="00944EDB">
              <w:rPr>
                <w:rFonts w:cs="Arial"/>
              </w:rPr>
              <w:t>Form Number</w:t>
            </w:r>
          </w:p>
        </w:tc>
        <w:tc>
          <w:tcPr>
            <w:tcW w:w="2160" w:type="dxa"/>
            <w:vAlign w:val="center"/>
          </w:tcPr>
          <w:p w:rsidR="0036065F" w:rsidRPr="00944EDB" w:rsidP="0036065F" w14:paraId="32E20CE2" w14:textId="77777777">
            <w:pPr>
              <w:keepNext/>
              <w:widowControl/>
              <w:tabs>
                <w:tab w:val="left" w:pos="540"/>
              </w:tabs>
              <w:ind w:left="547" w:hanging="547"/>
              <w:jc w:val="center"/>
              <w:rPr>
                <w:rFonts w:cs="Arial"/>
              </w:rPr>
            </w:pPr>
            <w:r w:rsidRPr="00944EDB">
              <w:rPr>
                <w:rFonts w:cs="Arial"/>
              </w:rPr>
              <w:t>Annual Responses</w:t>
            </w:r>
          </w:p>
        </w:tc>
        <w:tc>
          <w:tcPr>
            <w:tcW w:w="1974" w:type="dxa"/>
            <w:vAlign w:val="center"/>
          </w:tcPr>
          <w:p w:rsidR="0036065F" w:rsidRPr="00944EDB" w:rsidP="00494DA5" w14:paraId="2515094E" w14:textId="0976C54D">
            <w:pPr>
              <w:keepNext/>
              <w:widowControl/>
              <w:tabs>
                <w:tab w:val="left" w:pos="540"/>
              </w:tabs>
              <w:ind w:left="547" w:hanging="547"/>
              <w:jc w:val="center"/>
              <w:rPr>
                <w:rFonts w:cs="Arial"/>
              </w:rPr>
            </w:pPr>
            <w:r w:rsidRPr="00944EDB">
              <w:rPr>
                <w:rFonts w:cs="Arial"/>
              </w:rPr>
              <w:t>Time (Minutes)</w:t>
            </w:r>
            <w:r w:rsidRPr="00944EDB" w:rsidR="00494DA5">
              <w:rPr>
                <w:rFonts w:cs="Arial"/>
              </w:rPr>
              <w:t>1/</w:t>
            </w:r>
          </w:p>
        </w:tc>
        <w:tc>
          <w:tcPr>
            <w:tcW w:w="1626" w:type="dxa"/>
            <w:vAlign w:val="center"/>
          </w:tcPr>
          <w:p w:rsidR="0036065F" w:rsidRPr="00944EDB" w:rsidP="0036065F" w14:paraId="3312A897" w14:textId="77777777">
            <w:pPr>
              <w:keepNext/>
              <w:widowControl/>
              <w:tabs>
                <w:tab w:val="left" w:pos="540"/>
              </w:tabs>
              <w:ind w:left="547" w:hanging="547"/>
              <w:jc w:val="center"/>
              <w:rPr>
                <w:rFonts w:cs="Arial"/>
              </w:rPr>
            </w:pPr>
            <w:r w:rsidRPr="00944EDB">
              <w:rPr>
                <w:rFonts w:cs="Arial"/>
              </w:rPr>
              <w:t>Burden (Hours)</w:t>
            </w:r>
          </w:p>
        </w:tc>
      </w:tr>
      <w:tr w14:paraId="497F4E64" w14:textId="77777777" w:rsidTr="00D40601">
        <w:tblPrEx>
          <w:tblW w:w="8640" w:type="dxa"/>
          <w:tblInd w:w="771" w:type="dxa"/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val="400"/>
        </w:trPr>
        <w:tc>
          <w:tcPr>
            <w:tcW w:w="2880" w:type="dxa"/>
            <w:vAlign w:val="center"/>
          </w:tcPr>
          <w:p w:rsidR="0036065F" w:rsidRPr="00944EDB" w:rsidP="007623B7" w14:paraId="6E796A83" w14:textId="77777777">
            <w:pPr>
              <w:rPr>
                <w:rFonts w:cs="Arial"/>
              </w:rPr>
            </w:pPr>
            <w:r w:rsidRPr="00944EDB">
              <w:rPr>
                <w:rFonts w:cs="Arial"/>
              </w:rPr>
              <w:t>BA-9 (Paper)</w:t>
            </w:r>
          </w:p>
        </w:tc>
        <w:tc>
          <w:tcPr>
            <w:tcW w:w="2160" w:type="dxa"/>
            <w:vAlign w:val="center"/>
          </w:tcPr>
          <w:p w:rsidR="0036065F" w:rsidRPr="00944EDB" w:rsidP="007623B7" w14:paraId="42F81734" w14:textId="77777777">
            <w:pPr>
              <w:tabs>
                <w:tab w:val="right" w:pos="1119"/>
              </w:tabs>
              <w:rPr>
                <w:rFonts w:cs="Arial"/>
              </w:rPr>
            </w:pPr>
            <w:r w:rsidRPr="00944EDB">
              <w:rPr>
                <w:rFonts w:cs="Arial"/>
              </w:rPr>
              <w:tab/>
              <w:t>100</w:t>
            </w:r>
          </w:p>
        </w:tc>
        <w:tc>
          <w:tcPr>
            <w:tcW w:w="1974" w:type="dxa"/>
            <w:vAlign w:val="center"/>
          </w:tcPr>
          <w:p w:rsidR="0036065F" w:rsidRPr="00944EDB" w:rsidP="00D40601" w14:paraId="429F0A38" w14:textId="33F291A9">
            <w:pPr>
              <w:tabs>
                <w:tab w:val="right" w:pos="849"/>
              </w:tabs>
              <w:jc w:val="center"/>
              <w:rPr>
                <w:rFonts w:cs="Arial"/>
              </w:rPr>
            </w:pPr>
            <w:r w:rsidRPr="00944EDB">
              <w:rPr>
                <w:rFonts w:cs="Arial"/>
              </w:rPr>
              <w:t>76</w:t>
            </w:r>
          </w:p>
        </w:tc>
        <w:tc>
          <w:tcPr>
            <w:tcW w:w="1626" w:type="dxa"/>
            <w:vAlign w:val="center"/>
          </w:tcPr>
          <w:p w:rsidR="0036065F" w:rsidRPr="00944EDB" w:rsidP="007623B7" w14:paraId="6A57E87F" w14:textId="77777777">
            <w:pPr>
              <w:tabs>
                <w:tab w:val="right" w:pos="969"/>
              </w:tabs>
              <w:rPr>
                <w:rFonts w:cs="Arial"/>
              </w:rPr>
            </w:pPr>
            <w:r w:rsidRPr="00944EDB">
              <w:rPr>
                <w:rFonts w:cs="Arial"/>
              </w:rPr>
              <w:tab/>
              <w:t>127</w:t>
            </w:r>
          </w:p>
        </w:tc>
      </w:tr>
      <w:tr w14:paraId="3EFE2DB9" w14:textId="77777777" w:rsidTr="00D40601">
        <w:tblPrEx>
          <w:tblW w:w="8640" w:type="dxa"/>
          <w:tblInd w:w="771" w:type="dxa"/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val="400"/>
        </w:trPr>
        <w:tc>
          <w:tcPr>
            <w:tcW w:w="2880" w:type="dxa"/>
            <w:vAlign w:val="center"/>
          </w:tcPr>
          <w:p w:rsidR="001D282A" w:rsidRPr="00944EDB" w:rsidP="007623B7" w14:paraId="33EF2EA4" w14:textId="77777777">
            <w:pPr>
              <w:rPr>
                <w:rFonts w:cs="Arial"/>
              </w:rPr>
            </w:pPr>
            <w:r w:rsidRPr="00944EDB">
              <w:rPr>
                <w:rFonts w:cs="Arial"/>
              </w:rPr>
              <w:t>BA-9 (Internet)</w:t>
            </w:r>
          </w:p>
        </w:tc>
        <w:tc>
          <w:tcPr>
            <w:tcW w:w="2160" w:type="dxa"/>
            <w:vAlign w:val="center"/>
          </w:tcPr>
          <w:p w:rsidR="001D282A" w:rsidRPr="00944EDB" w:rsidP="00D40601" w14:paraId="79DD1B06" w14:textId="77777777">
            <w:pPr>
              <w:tabs>
                <w:tab w:val="right" w:pos="1119"/>
              </w:tabs>
              <w:jc w:val="center"/>
              <w:rPr>
                <w:rFonts w:cs="Arial"/>
              </w:rPr>
            </w:pPr>
            <w:r w:rsidRPr="00944EDB">
              <w:rPr>
                <w:rFonts w:cs="Arial"/>
              </w:rPr>
              <w:t>215</w:t>
            </w:r>
          </w:p>
        </w:tc>
        <w:tc>
          <w:tcPr>
            <w:tcW w:w="1974" w:type="dxa"/>
            <w:vAlign w:val="center"/>
          </w:tcPr>
          <w:p w:rsidR="001D282A" w:rsidRPr="00944EDB" w:rsidP="00D40601" w14:paraId="3262A007" w14:textId="77777777">
            <w:pPr>
              <w:tabs>
                <w:tab w:val="right" w:pos="849"/>
              </w:tabs>
              <w:jc w:val="center"/>
              <w:rPr>
                <w:rFonts w:cs="Arial"/>
              </w:rPr>
            </w:pPr>
            <w:r w:rsidRPr="00944EDB">
              <w:rPr>
                <w:rFonts w:cs="Arial"/>
              </w:rPr>
              <w:t>15</w:t>
            </w:r>
          </w:p>
        </w:tc>
        <w:tc>
          <w:tcPr>
            <w:tcW w:w="1626" w:type="dxa"/>
            <w:vAlign w:val="center"/>
          </w:tcPr>
          <w:p w:rsidR="001D282A" w:rsidRPr="00944EDB" w:rsidP="00757F25" w14:paraId="0CA20749" w14:textId="77777777">
            <w:pPr>
              <w:tabs>
                <w:tab w:val="right" w:pos="937"/>
              </w:tabs>
              <w:ind w:right="408"/>
              <w:jc w:val="right"/>
              <w:rPr>
                <w:rFonts w:cs="Arial"/>
              </w:rPr>
            </w:pPr>
            <w:r w:rsidRPr="00944EDB">
              <w:rPr>
                <w:rFonts w:cs="Arial"/>
              </w:rPr>
              <w:t>54</w:t>
            </w:r>
          </w:p>
        </w:tc>
      </w:tr>
      <w:tr w14:paraId="3AB849AC" w14:textId="77777777" w:rsidTr="00D40601">
        <w:tblPrEx>
          <w:tblW w:w="8640" w:type="dxa"/>
          <w:tblInd w:w="771" w:type="dxa"/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val="400"/>
        </w:trPr>
        <w:tc>
          <w:tcPr>
            <w:tcW w:w="2880" w:type="dxa"/>
            <w:vAlign w:val="center"/>
          </w:tcPr>
          <w:p w:rsidR="0036065F" w:rsidRPr="00944EDB" w:rsidP="007623B7" w14:paraId="382CE082" w14:textId="77777777">
            <w:pPr>
              <w:rPr>
                <w:rFonts w:cs="Arial"/>
              </w:rPr>
            </w:pPr>
            <w:r w:rsidRPr="00944EDB">
              <w:rPr>
                <w:rFonts w:cs="Arial"/>
              </w:rPr>
              <w:t>BA-9 (CD-ROM)</w:t>
            </w:r>
          </w:p>
        </w:tc>
        <w:tc>
          <w:tcPr>
            <w:tcW w:w="2160" w:type="dxa"/>
            <w:vAlign w:val="center"/>
          </w:tcPr>
          <w:p w:rsidR="0036065F" w:rsidRPr="00944EDB" w:rsidP="007E4049" w14:paraId="2CADADF3" w14:textId="5E4CC7A6">
            <w:pPr>
              <w:tabs>
                <w:tab w:val="right" w:pos="1119"/>
              </w:tabs>
              <w:rPr>
                <w:rFonts w:cs="Arial"/>
                <w:dstrike/>
              </w:rPr>
            </w:pPr>
            <w:r w:rsidRPr="00944EDB">
              <w:rPr>
                <w:rFonts w:cs="Arial"/>
              </w:rPr>
              <w:tab/>
            </w:r>
            <w:r w:rsidRPr="00944EDB" w:rsidR="00856545">
              <w:rPr>
                <w:rFonts w:cs="Arial"/>
              </w:rPr>
              <w:t>10</w:t>
            </w:r>
          </w:p>
        </w:tc>
        <w:tc>
          <w:tcPr>
            <w:tcW w:w="1974" w:type="dxa"/>
            <w:vAlign w:val="center"/>
          </w:tcPr>
          <w:p w:rsidR="0036065F" w:rsidRPr="00944EDB" w:rsidP="00D40601" w14:paraId="1DF70B23" w14:textId="7BCADFB3">
            <w:pPr>
              <w:tabs>
                <w:tab w:val="right" w:pos="849"/>
              </w:tabs>
              <w:jc w:val="center"/>
              <w:rPr>
                <w:rFonts w:cs="Arial"/>
              </w:rPr>
            </w:pPr>
            <w:r w:rsidRPr="00944EDB">
              <w:rPr>
                <w:rFonts w:cs="Arial"/>
              </w:rPr>
              <w:t>76</w:t>
            </w:r>
          </w:p>
        </w:tc>
        <w:tc>
          <w:tcPr>
            <w:tcW w:w="1626" w:type="dxa"/>
            <w:vAlign w:val="center"/>
          </w:tcPr>
          <w:p w:rsidR="0036065F" w:rsidRPr="00944EDB" w:rsidP="00856545" w14:paraId="2972F89C" w14:textId="4294109C">
            <w:pPr>
              <w:tabs>
                <w:tab w:val="right" w:pos="969"/>
              </w:tabs>
              <w:rPr>
                <w:rFonts w:cs="Arial"/>
              </w:rPr>
            </w:pPr>
            <w:r w:rsidRPr="00944EDB">
              <w:rPr>
                <w:rFonts w:cs="Arial"/>
              </w:rPr>
              <w:tab/>
            </w:r>
            <w:r w:rsidRPr="00944EDB" w:rsidR="00856545">
              <w:rPr>
                <w:rFonts w:cs="Arial"/>
              </w:rPr>
              <w:t>13</w:t>
            </w:r>
          </w:p>
        </w:tc>
      </w:tr>
      <w:tr w14:paraId="0F7FB553" w14:textId="77777777" w:rsidTr="00D40601">
        <w:tblPrEx>
          <w:tblW w:w="8640" w:type="dxa"/>
          <w:tblInd w:w="771" w:type="dxa"/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val="400"/>
        </w:trPr>
        <w:tc>
          <w:tcPr>
            <w:tcW w:w="2880" w:type="dxa"/>
            <w:vAlign w:val="center"/>
          </w:tcPr>
          <w:p w:rsidR="0036065F" w:rsidRPr="00944EDB" w:rsidP="007623B7" w14:paraId="4AEF0C86" w14:textId="77777777">
            <w:pPr>
              <w:rPr>
                <w:rFonts w:cs="Arial"/>
              </w:rPr>
            </w:pPr>
            <w:r w:rsidRPr="00944EDB">
              <w:rPr>
                <w:rFonts w:cs="Arial"/>
              </w:rPr>
              <w:t>BA-9 (Secure Email)</w:t>
            </w:r>
          </w:p>
        </w:tc>
        <w:tc>
          <w:tcPr>
            <w:tcW w:w="2160" w:type="dxa"/>
            <w:vAlign w:val="center"/>
          </w:tcPr>
          <w:p w:rsidR="0036065F" w:rsidRPr="00944EDB" w:rsidP="00856545" w14:paraId="4FC03DA1" w14:textId="454DFA54">
            <w:pPr>
              <w:tabs>
                <w:tab w:val="right" w:pos="1119"/>
              </w:tabs>
              <w:rPr>
                <w:rFonts w:cs="Arial"/>
              </w:rPr>
            </w:pPr>
            <w:r w:rsidRPr="00944EDB">
              <w:rPr>
                <w:rFonts w:cs="Arial"/>
              </w:rPr>
              <w:tab/>
            </w:r>
            <w:r w:rsidRPr="00944EDB" w:rsidR="00856545">
              <w:rPr>
                <w:rFonts w:cs="Arial"/>
              </w:rPr>
              <w:t>25</w:t>
            </w:r>
          </w:p>
        </w:tc>
        <w:tc>
          <w:tcPr>
            <w:tcW w:w="1974" w:type="dxa"/>
            <w:vAlign w:val="center"/>
          </w:tcPr>
          <w:p w:rsidR="0036065F" w:rsidRPr="00944EDB" w:rsidP="00D40601" w14:paraId="1D09383C" w14:textId="30F4D807">
            <w:pPr>
              <w:tabs>
                <w:tab w:val="right" w:pos="849"/>
              </w:tabs>
              <w:jc w:val="center"/>
              <w:rPr>
                <w:rFonts w:cs="Arial"/>
              </w:rPr>
            </w:pPr>
            <w:r w:rsidRPr="00944EDB">
              <w:rPr>
                <w:rFonts w:cs="Arial"/>
              </w:rPr>
              <w:t>76</w:t>
            </w:r>
          </w:p>
        </w:tc>
        <w:tc>
          <w:tcPr>
            <w:tcW w:w="1626" w:type="dxa"/>
            <w:vAlign w:val="center"/>
          </w:tcPr>
          <w:p w:rsidR="0036065F" w:rsidRPr="00944EDB" w:rsidP="00856545" w14:paraId="05BF1B1C" w14:textId="5B893132">
            <w:pPr>
              <w:tabs>
                <w:tab w:val="right" w:pos="969"/>
              </w:tabs>
              <w:rPr>
                <w:rFonts w:cs="Arial"/>
              </w:rPr>
            </w:pPr>
            <w:r w:rsidRPr="00944EDB">
              <w:rPr>
                <w:rFonts w:cs="Arial"/>
              </w:rPr>
              <w:tab/>
            </w:r>
            <w:r w:rsidRPr="00944EDB" w:rsidR="00856545">
              <w:rPr>
                <w:rFonts w:cs="Arial"/>
              </w:rPr>
              <w:t>32</w:t>
            </w:r>
          </w:p>
        </w:tc>
      </w:tr>
      <w:tr w14:paraId="79AC74D7" w14:textId="77777777" w:rsidTr="00D40601">
        <w:tblPrEx>
          <w:tblW w:w="8640" w:type="dxa"/>
          <w:tblInd w:w="771" w:type="dxa"/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val="400"/>
        </w:trPr>
        <w:tc>
          <w:tcPr>
            <w:tcW w:w="2880" w:type="dxa"/>
            <w:tcBorders>
              <w:bottom w:val="double" w:sz="12" w:space="0" w:color="000000"/>
            </w:tcBorders>
            <w:vAlign w:val="center"/>
          </w:tcPr>
          <w:p w:rsidR="0036065F" w:rsidRPr="00944EDB" w:rsidP="007623B7" w14:paraId="315BF4D0" w14:textId="77777777">
            <w:pPr>
              <w:rPr>
                <w:rFonts w:cs="Arial"/>
              </w:rPr>
            </w:pPr>
            <w:r w:rsidRPr="00944EDB">
              <w:rPr>
                <w:rFonts w:cs="Arial"/>
              </w:rPr>
              <w:t>BA-9 (FTP)</w:t>
            </w:r>
          </w:p>
        </w:tc>
        <w:tc>
          <w:tcPr>
            <w:tcW w:w="2160" w:type="dxa"/>
            <w:tcBorders>
              <w:bottom w:val="double" w:sz="12" w:space="0" w:color="000000"/>
            </w:tcBorders>
            <w:vAlign w:val="center"/>
          </w:tcPr>
          <w:p w:rsidR="0036065F" w:rsidRPr="00944EDB" w:rsidP="007E4049" w14:paraId="2FCBAA3A" w14:textId="39312C59">
            <w:pPr>
              <w:tabs>
                <w:tab w:val="right" w:pos="1119"/>
              </w:tabs>
              <w:rPr>
                <w:rFonts w:cs="Arial"/>
              </w:rPr>
            </w:pPr>
            <w:r w:rsidRPr="00944EDB">
              <w:rPr>
                <w:rFonts w:cs="Arial"/>
              </w:rPr>
              <w:tab/>
            </w:r>
            <w:r w:rsidRPr="00944EDB" w:rsidR="00856545">
              <w:rPr>
                <w:rFonts w:cs="Arial"/>
              </w:rPr>
              <w:t>10</w:t>
            </w:r>
          </w:p>
        </w:tc>
        <w:tc>
          <w:tcPr>
            <w:tcW w:w="1974" w:type="dxa"/>
            <w:tcBorders>
              <w:bottom w:val="double" w:sz="12" w:space="0" w:color="000000"/>
            </w:tcBorders>
            <w:vAlign w:val="center"/>
          </w:tcPr>
          <w:p w:rsidR="0036065F" w:rsidRPr="00944EDB" w:rsidP="00D40601" w14:paraId="334E44AB" w14:textId="3C106414">
            <w:pPr>
              <w:tabs>
                <w:tab w:val="right" w:pos="849"/>
              </w:tabs>
              <w:jc w:val="center"/>
              <w:rPr>
                <w:rFonts w:cs="Arial"/>
              </w:rPr>
            </w:pPr>
            <w:r w:rsidRPr="00944EDB">
              <w:rPr>
                <w:rFonts w:cs="Arial"/>
              </w:rPr>
              <w:t>76</w:t>
            </w:r>
          </w:p>
        </w:tc>
        <w:tc>
          <w:tcPr>
            <w:tcW w:w="1626" w:type="dxa"/>
            <w:tcBorders>
              <w:bottom w:val="double" w:sz="12" w:space="0" w:color="000000"/>
            </w:tcBorders>
            <w:vAlign w:val="center"/>
          </w:tcPr>
          <w:p w:rsidR="0036065F" w:rsidRPr="00944EDB" w:rsidP="00856545" w14:paraId="5CAD268A" w14:textId="2E7F1C5D">
            <w:pPr>
              <w:tabs>
                <w:tab w:val="right" w:pos="969"/>
              </w:tabs>
              <w:rPr>
                <w:rFonts w:cs="Arial"/>
              </w:rPr>
            </w:pPr>
            <w:r w:rsidRPr="00944EDB">
              <w:rPr>
                <w:rFonts w:cs="Arial"/>
              </w:rPr>
              <w:tab/>
            </w:r>
            <w:r w:rsidRPr="00944EDB" w:rsidR="00856545">
              <w:rPr>
                <w:rFonts w:cs="Arial"/>
              </w:rPr>
              <w:t>13</w:t>
            </w:r>
          </w:p>
        </w:tc>
      </w:tr>
      <w:tr w14:paraId="4474B662" w14:textId="77777777" w:rsidTr="00D40601">
        <w:tblPrEx>
          <w:tblW w:w="8640" w:type="dxa"/>
          <w:tblInd w:w="771" w:type="dxa"/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val="400"/>
        </w:trPr>
        <w:tc>
          <w:tcPr>
            <w:tcW w:w="2880" w:type="dxa"/>
            <w:tcBorders>
              <w:top w:val="double" w:sz="12" w:space="0" w:color="000000"/>
              <w:bottom w:val="double" w:sz="12" w:space="0" w:color="000000"/>
            </w:tcBorders>
            <w:vAlign w:val="center"/>
          </w:tcPr>
          <w:p w:rsidR="0036065F" w:rsidRPr="00944EDB" w:rsidP="007623B7" w14:paraId="680B4DD8" w14:textId="77777777">
            <w:pPr>
              <w:jc w:val="center"/>
              <w:rPr>
                <w:rFonts w:cs="Arial"/>
              </w:rPr>
            </w:pPr>
            <w:r w:rsidRPr="00944EDB">
              <w:rPr>
                <w:rFonts w:cs="Arial"/>
              </w:rPr>
              <w:t>Total</w:t>
            </w:r>
          </w:p>
        </w:tc>
        <w:tc>
          <w:tcPr>
            <w:tcW w:w="2160" w:type="dxa"/>
            <w:tcBorders>
              <w:top w:val="double" w:sz="12" w:space="0" w:color="000000"/>
              <w:bottom w:val="double" w:sz="12" w:space="0" w:color="000000"/>
            </w:tcBorders>
            <w:vAlign w:val="center"/>
          </w:tcPr>
          <w:p w:rsidR="0036065F" w:rsidRPr="00944EDB" w:rsidP="007623B7" w14:paraId="14B64D7C" w14:textId="77777777">
            <w:pPr>
              <w:tabs>
                <w:tab w:val="right" w:pos="1119"/>
              </w:tabs>
              <w:rPr>
                <w:rFonts w:cs="Arial"/>
              </w:rPr>
            </w:pPr>
            <w:r w:rsidRPr="00944EDB">
              <w:rPr>
                <w:rFonts w:cs="Arial"/>
              </w:rPr>
              <w:tab/>
              <w:t>360</w:t>
            </w:r>
          </w:p>
        </w:tc>
        <w:tc>
          <w:tcPr>
            <w:tcW w:w="1974" w:type="dxa"/>
            <w:tcBorders>
              <w:top w:val="double" w:sz="12" w:space="0" w:color="000000"/>
              <w:bottom w:val="double" w:sz="12" w:space="0" w:color="000000"/>
            </w:tcBorders>
            <w:vAlign w:val="center"/>
          </w:tcPr>
          <w:p w:rsidR="0036065F" w:rsidRPr="00944EDB" w:rsidP="00494DA5" w14:paraId="30C744BF" w14:textId="77777777">
            <w:pPr>
              <w:tabs>
                <w:tab w:val="left" w:pos="540"/>
              </w:tabs>
              <w:ind w:left="540" w:hanging="540"/>
              <w:jc w:val="center"/>
              <w:rPr>
                <w:rFonts w:cs="Arial"/>
              </w:rPr>
            </w:pPr>
          </w:p>
        </w:tc>
        <w:tc>
          <w:tcPr>
            <w:tcW w:w="1626" w:type="dxa"/>
            <w:tcBorders>
              <w:top w:val="double" w:sz="12" w:space="0" w:color="000000"/>
              <w:bottom w:val="double" w:sz="12" w:space="0" w:color="000000"/>
            </w:tcBorders>
            <w:vAlign w:val="center"/>
          </w:tcPr>
          <w:p w:rsidR="0036065F" w:rsidRPr="00944EDB" w:rsidP="00856545" w14:paraId="67A51DCA" w14:textId="5D6FE0F1">
            <w:pPr>
              <w:tabs>
                <w:tab w:val="right" w:pos="969"/>
              </w:tabs>
              <w:rPr>
                <w:rFonts w:cs="Arial"/>
              </w:rPr>
            </w:pPr>
            <w:r w:rsidRPr="00944EDB">
              <w:rPr>
                <w:rFonts w:cs="Arial"/>
              </w:rPr>
              <w:tab/>
            </w:r>
            <w:r w:rsidRPr="00944EDB" w:rsidR="00856545">
              <w:rPr>
                <w:rFonts w:cs="Arial"/>
              </w:rPr>
              <w:t>239</w:t>
            </w:r>
          </w:p>
        </w:tc>
      </w:tr>
    </w:tbl>
    <w:bookmarkEnd w:id="2"/>
    <w:p w:rsidR="00635563" w:rsidRPr="00926783" w:rsidP="00635563" w14:paraId="0E45545C" w14:textId="77777777">
      <w:pPr>
        <w:widowControl/>
        <w:tabs>
          <w:tab w:val="left" w:pos="450"/>
          <w:tab w:val="left" w:pos="735"/>
          <w:tab w:val="left" w:pos="5130"/>
          <w:tab w:val="left" w:pos="7200"/>
        </w:tabs>
        <w:ind w:left="720"/>
        <w:jc w:val="both"/>
        <w:rPr>
          <w:b/>
          <w:bCs/>
          <w:sz w:val="21"/>
          <w:szCs w:val="21"/>
        </w:rPr>
      </w:pPr>
      <w:r w:rsidRPr="00926783">
        <w:rPr>
          <w:b/>
          <w:bCs/>
        </w:rPr>
        <w:t>1</w:t>
      </w:r>
      <w:r w:rsidRPr="00926783">
        <w:rPr>
          <w:b/>
          <w:bCs/>
          <w:sz w:val="21"/>
          <w:szCs w:val="21"/>
        </w:rPr>
        <w:t>/The RRB has been collecting the information on these forms since OMB approved the information collection.  Based on a sampling done when the form was originally created, the office calculated the estimated time, which includes time for getting the needed data and reviewing the completed form.</w:t>
      </w:r>
    </w:p>
    <w:p w:rsidR="00DA4FAB" w:rsidRPr="00FB1122" w:rsidP="00944EDB" w14:paraId="2C22F318" w14:textId="77777777">
      <w:pPr>
        <w:widowControl/>
        <w:tabs>
          <w:tab w:val="left" w:pos="450"/>
          <w:tab w:val="left" w:pos="5130"/>
          <w:tab w:val="left" w:pos="7200"/>
        </w:tabs>
        <w:ind w:left="540"/>
        <w:jc w:val="both"/>
        <w:rPr>
          <w:rFonts w:cs="Arial"/>
          <w:bCs/>
          <w:szCs w:val="22"/>
        </w:rPr>
      </w:pPr>
    </w:p>
    <w:p w:rsidR="00EA116B" w:rsidRPr="00FB1122" w:rsidP="00C54348" w14:paraId="53D4A301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13.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Estimate of annual cost to respondents or record keepers</w:t>
      </w:r>
      <w:r w:rsidRPr="00FB1122">
        <w:rPr>
          <w:rFonts w:cs="Arial"/>
        </w:rPr>
        <w:t xml:space="preserve"> - N.A.</w:t>
      </w:r>
    </w:p>
    <w:p w:rsidR="000306E0" w:rsidRPr="00FB1122" w:rsidP="00C54348" w14:paraId="1F7E3B8D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="00EA116B" w:rsidRPr="00FB1122" w:rsidP="00C54348" w14:paraId="48BF5010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1</w:t>
      </w:r>
      <w:r w:rsidRPr="00FB1122">
        <w:rPr>
          <w:rFonts w:cs="Arial"/>
          <w:szCs w:val="28"/>
        </w:rPr>
        <w:t>4.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Estimated cost to Federal Government</w:t>
      </w:r>
      <w:r w:rsidRPr="00FB1122">
        <w:rPr>
          <w:rFonts w:cs="Arial"/>
        </w:rPr>
        <w:t xml:space="preserve"> - N.A.</w:t>
      </w:r>
    </w:p>
    <w:p w:rsidR="00EA116B" w:rsidRPr="00FB1122" w:rsidP="00C54348" w14:paraId="6E6F465C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="001542FD" w:rsidRPr="00FB1122" w:rsidP="001542FD" w14:paraId="3DEB1B60" w14:textId="6DD782F6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FB1122">
        <w:rPr>
          <w:rFonts w:cs="Arial"/>
          <w:szCs w:val="28"/>
        </w:rPr>
        <w:t>15.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Explanation for change in burden</w:t>
      </w:r>
      <w:r w:rsidRPr="00FB1122">
        <w:rPr>
          <w:rFonts w:cs="Arial"/>
        </w:rPr>
        <w:t xml:space="preserve"> </w:t>
      </w:r>
      <w:r w:rsidRPr="00FB1122" w:rsidR="007C3378">
        <w:rPr>
          <w:rFonts w:cs="Arial"/>
        </w:rPr>
        <w:t>–</w:t>
      </w:r>
      <w:r w:rsidRPr="00FB1122">
        <w:rPr>
          <w:rFonts w:cs="Arial"/>
        </w:rPr>
        <w:t xml:space="preserve"> </w:t>
      </w:r>
      <w:r w:rsidR="00435EC1">
        <w:rPr>
          <w:rFonts w:cs="Arial"/>
        </w:rPr>
        <w:t xml:space="preserve">N.A. </w:t>
      </w:r>
    </w:p>
    <w:p w:rsidR="00851A8B" w:rsidRPr="00FB1122" w:rsidP="00DB63A6" w14:paraId="26EDEEEC" w14:textId="77777777">
      <w:pPr>
        <w:tabs>
          <w:tab w:val="left" w:pos="540"/>
        </w:tabs>
        <w:ind w:left="540"/>
        <w:jc w:val="both"/>
        <w:rPr>
          <w:rFonts w:cs="Arial"/>
          <w:szCs w:val="22"/>
        </w:rPr>
      </w:pPr>
    </w:p>
    <w:p w:rsidR="00EA116B" w:rsidRPr="00FB1122" w:rsidP="00C54348" w14:paraId="10F3A2DD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 w:rsidRPr="00FB1122">
        <w:rPr>
          <w:rFonts w:cs="Arial"/>
          <w:szCs w:val="28"/>
        </w:rPr>
        <w:t>16.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Time schedule for data collection and publication</w:t>
      </w:r>
      <w:r w:rsidRPr="00FB1122">
        <w:rPr>
          <w:rFonts w:cs="Arial"/>
        </w:rPr>
        <w:t xml:space="preserve"> -The results of this collection will not be published.</w:t>
      </w:r>
    </w:p>
    <w:p w:rsidR="00C54348" w:rsidRPr="00FB1122" w:rsidP="00C54348" w14:paraId="6DBBA491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</w:p>
    <w:p w:rsidR="00635563" w:rsidRPr="00AE481C" w:rsidP="00635563" w14:paraId="130925EA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2"/>
          <w:u w:val="single"/>
        </w:rPr>
      </w:pPr>
      <w:r w:rsidRPr="00FB1122">
        <w:rPr>
          <w:rFonts w:cs="Arial"/>
          <w:szCs w:val="28"/>
        </w:rPr>
        <w:t>17.</w:t>
      </w:r>
      <w:r w:rsidRPr="00FB1122">
        <w:rPr>
          <w:rFonts w:cs="Arial"/>
          <w:szCs w:val="28"/>
        </w:rPr>
        <w:tab/>
      </w:r>
      <w:r w:rsidRPr="00FB1122">
        <w:rPr>
          <w:rFonts w:cs="Arial"/>
          <w:szCs w:val="28"/>
          <w:u w:val="single"/>
        </w:rPr>
        <w:t>Request not to display OMB expiration date</w:t>
      </w:r>
      <w:r w:rsidRPr="00FB1122" w:rsidR="007E4049">
        <w:rPr>
          <w:rFonts w:cs="Arial"/>
        </w:rPr>
        <w:t xml:space="preserve"> </w:t>
      </w:r>
      <w:r w:rsidR="00D23F7A">
        <w:rPr>
          <w:rFonts w:cs="Arial"/>
        </w:rPr>
        <w:t xml:space="preserve">- </w:t>
      </w:r>
      <w:bookmarkStart w:id="3" w:name="_Hlk182392721"/>
      <w:r w:rsidRPr="00AE481C">
        <w:rPr>
          <w:rFonts w:cs="Arial"/>
          <w:szCs w:val="22"/>
        </w:rPr>
        <w:t>The RRB started an extensive multi-year IT Modernization Initiative at the beginning of Fiscal Year 2019 to transform our operations into the 21</w:t>
      </w:r>
      <w:r w:rsidRPr="00AE481C">
        <w:rPr>
          <w:rFonts w:cs="Arial"/>
          <w:szCs w:val="22"/>
          <w:vertAlign w:val="superscript"/>
        </w:rPr>
        <w:t>st</w:t>
      </w:r>
      <w:r w:rsidRPr="00AE481C">
        <w:rPr>
          <w:rFonts w:cs="Arial"/>
          <w:szCs w:val="22"/>
        </w:rPr>
        <w:t xml:space="preserve"> Century using multiple contractor services to improve mission performance, expand service capabilities, and strengthen cybersecurity and modernization is still in progress.  The RRB hired a new CIO on November 4. 2024 who will be briefed the modernization initiative status and if requested, the RRB will provide OMB with any updates to the consolidated project timeline. </w:t>
      </w:r>
    </w:p>
    <w:bookmarkEnd w:id="3"/>
    <w:p w:rsidR="00B27518" w:rsidP="00EE2150" w14:paraId="0095B46C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</w:p>
    <w:p w:rsidR="00D23F7A" w:rsidP="00EE2150" w14:paraId="12289AB0" w14:textId="43276904">
      <w:pPr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>
        <w:rPr>
          <w:rFonts w:cs="Arial"/>
        </w:rPr>
        <w:tab/>
      </w:r>
      <w:r w:rsidRPr="00EE2150">
        <w:rPr>
          <w:rFonts w:cs="Arial"/>
        </w:rPr>
        <w:t>Given</w:t>
      </w:r>
      <w:r w:rsidRPr="00DB1B3F">
        <w:rPr>
          <w:rFonts w:cs="Arial"/>
        </w:rPr>
        <w:t xml:space="preserve"> that the forms in this collection are seldom revised; the costs associated with redrafting, reprinting, and distributing forms to keep the appropriate OMB expiration date in place; and our desire to reevaluate after the completion of the modernization project,</w:t>
      </w:r>
      <w:r w:rsidRPr="00DB1B3F">
        <w:rPr>
          <w:rFonts w:cs="Arial"/>
          <w:b/>
        </w:rPr>
        <w:t xml:space="preserve"> </w:t>
      </w:r>
      <w:r w:rsidRPr="00DB1B3F">
        <w:rPr>
          <w:rFonts w:cs="Arial"/>
          <w:b/>
          <w:u w:val="single"/>
        </w:rPr>
        <w:t>the RRB requests the authority to not display the expiration date on the forms</w:t>
      </w:r>
      <w:r w:rsidRPr="00DB1B3F">
        <w:rPr>
          <w:rFonts w:cs="Arial"/>
        </w:rPr>
        <w:t>.</w:t>
      </w:r>
    </w:p>
    <w:p w:rsidR="00EA116B" w:rsidRPr="00FB1122" w:rsidP="00FB4070" w14:paraId="6806B5EB" w14:textId="77777777">
      <w:pPr>
        <w:tabs>
          <w:tab w:val="left" w:pos="540"/>
        </w:tabs>
        <w:ind w:left="540" w:hanging="540"/>
        <w:jc w:val="both"/>
        <w:rPr>
          <w:rFonts w:cs="Arial"/>
        </w:rPr>
      </w:pPr>
    </w:p>
    <w:p w:rsidR="00EA116B" w:rsidRPr="002C28A5" w:rsidP="007E4049" w14:paraId="647DDE32" w14:textId="77777777">
      <w:pPr>
        <w:tabs>
          <w:tab w:val="left" w:pos="-1440"/>
          <w:tab w:val="left" w:pos="540"/>
        </w:tabs>
        <w:ind w:left="720" w:hanging="720"/>
        <w:jc w:val="both"/>
        <w:rPr>
          <w:rFonts w:cs="Arial"/>
        </w:rPr>
      </w:pPr>
      <w:r w:rsidRPr="00FB1122">
        <w:rPr>
          <w:rFonts w:cs="Arial"/>
        </w:rPr>
        <w:t>18.</w:t>
      </w:r>
      <w:r w:rsidRPr="00FB1122">
        <w:rPr>
          <w:rFonts w:cs="Arial"/>
        </w:rPr>
        <w:tab/>
      </w:r>
      <w:r w:rsidRPr="00FB1122">
        <w:rPr>
          <w:rFonts w:cs="Arial"/>
          <w:szCs w:val="28"/>
          <w:u w:val="single"/>
        </w:rPr>
        <w:t>Exceptions to Certification Statement</w:t>
      </w:r>
      <w:r w:rsidRPr="00FB1122">
        <w:rPr>
          <w:rFonts w:cs="Arial"/>
        </w:rPr>
        <w:t xml:space="preserve"> -</w:t>
      </w:r>
      <w:r w:rsidRPr="00FB1122" w:rsidR="00F71C85">
        <w:rPr>
          <w:rFonts w:cs="Arial"/>
        </w:rPr>
        <w:t xml:space="preserve"> </w:t>
      </w:r>
      <w:r w:rsidRPr="00FB1122">
        <w:rPr>
          <w:rFonts w:cs="Arial"/>
        </w:rPr>
        <w:t>None</w:t>
      </w:r>
    </w:p>
    <w:sectPr w:rsidSect="000F6467">
      <w:headerReference w:type="default" r:id="rId5"/>
      <w:footerReference w:type="default" r:id="rId6"/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5E7E" w14:paraId="16B94AFC" w14:textId="77777777">
    <w:pPr>
      <w:spacing w:line="240" w:lineRule="exact"/>
    </w:pPr>
  </w:p>
  <w:p w:rsidR="002E5E7E" w:rsidRPr="00371F5C" w14:paraId="5D7E744C" w14:textId="30AC97C9">
    <w:pPr>
      <w:framePr w:w="9361" w:wrap="notBeside" w:vAnchor="text" w:hAnchor="text" w:x="1" w:y="1"/>
      <w:jc w:val="center"/>
      <w:rPr>
        <w:rFonts w:cs="Arial"/>
      </w:rPr>
    </w:pPr>
    <w:r w:rsidRPr="00371F5C">
      <w:rPr>
        <w:rFonts w:ascii="Symbol" w:hAnsi="Symbol" w:cs="Arial"/>
      </w:rPr>
      <w:sym w:font="Symbol" w:char="F02D"/>
    </w:r>
    <w:r w:rsidRPr="00371F5C">
      <w:rPr>
        <w:rFonts w:cs="Arial"/>
      </w:rPr>
      <w:fldChar w:fldCharType="begin"/>
    </w:r>
    <w:r w:rsidRPr="00371F5C">
      <w:rPr>
        <w:rFonts w:cs="Arial"/>
      </w:rPr>
      <w:instrText xml:space="preserve">PAGE </w:instrText>
    </w:r>
    <w:r w:rsidRPr="00371F5C">
      <w:rPr>
        <w:rFonts w:cs="Arial"/>
      </w:rPr>
      <w:fldChar w:fldCharType="separate"/>
    </w:r>
    <w:r w:rsidR="00757F25">
      <w:rPr>
        <w:rFonts w:cs="Arial"/>
        <w:noProof/>
      </w:rPr>
      <w:t>3</w:t>
    </w:r>
    <w:r w:rsidRPr="00371F5C">
      <w:rPr>
        <w:rFonts w:cs="Arial"/>
      </w:rPr>
      <w:fldChar w:fldCharType="end"/>
    </w:r>
    <w:r w:rsidRPr="00371F5C">
      <w:rPr>
        <w:rFonts w:ascii="Symbol" w:hAnsi="Symbol" w:cs="Arial"/>
      </w:rPr>
      <w:sym w:font="Symbol" w:char="F02D"/>
    </w:r>
  </w:p>
  <w:p w:rsidR="002E5E7E" w14:paraId="57405DC7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5E7E" w:rsidP="00C54348" w14:paraId="09952058" w14:textId="77777777">
    <w:pPr>
      <w:jc w:val="right"/>
      <w:rPr>
        <w:rFonts w:cs="Arial"/>
      </w:rPr>
    </w:pPr>
    <w:r>
      <w:tab/>
    </w:r>
    <w:r w:rsidRPr="00822893">
      <w:rPr>
        <w:rFonts w:cs="Arial"/>
      </w:rPr>
      <w:t>OMB No. 3220-0173</w:t>
    </w:r>
  </w:p>
  <w:p w:rsidR="002E5E7E" w:rsidP="00C54348" w14:paraId="39067CDA" w14:textId="77777777">
    <w:pPr>
      <w:jc w:val="right"/>
      <w:rPr>
        <w:rFonts w:cs="Arial"/>
      </w:rPr>
    </w:pPr>
  </w:p>
  <w:p w:rsidR="002E5E7E" w:rsidP="00C54348" w14:paraId="48F08977" w14:textId="77777777">
    <w:pPr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03362C"/>
    <w:multiLevelType w:val="hybridMultilevel"/>
    <w:tmpl w:val="C36203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840947"/>
    <w:multiLevelType w:val="hybridMultilevel"/>
    <w:tmpl w:val="47E21CF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327570C9"/>
    <w:multiLevelType w:val="hybridMultilevel"/>
    <w:tmpl w:val="5F304C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A995194"/>
    <w:multiLevelType w:val="hybridMultilevel"/>
    <w:tmpl w:val="43B04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C2504DA"/>
    <w:multiLevelType w:val="hybridMultilevel"/>
    <w:tmpl w:val="84400A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E1013B2"/>
    <w:multiLevelType w:val="hybridMultilevel"/>
    <w:tmpl w:val="955A11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3D27EA8"/>
    <w:multiLevelType w:val="hybridMultilevel"/>
    <w:tmpl w:val="A3D2572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7BAA6D6F"/>
    <w:multiLevelType w:val="hybridMultilevel"/>
    <w:tmpl w:val="C8FAAC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320483">
    <w:abstractNumId w:val="4"/>
  </w:num>
  <w:num w:numId="2" w16cid:durableId="2028946991">
    <w:abstractNumId w:val="5"/>
  </w:num>
  <w:num w:numId="3" w16cid:durableId="952588341">
    <w:abstractNumId w:val="1"/>
  </w:num>
  <w:num w:numId="4" w16cid:durableId="1897275484">
    <w:abstractNumId w:val="6"/>
  </w:num>
  <w:num w:numId="5" w16cid:durableId="491793702">
    <w:abstractNumId w:val="7"/>
  </w:num>
  <w:num w:numId="6" w16cid:durableId="100418957">
    <w:abstractNumId w:val="2"/>
  </w:num>
  <w:num w:numId="7" w16cid:durableId="1897617163">
    <w:abstractNumId w:val="3"/>
  </w:num>
  <w:num w:numId="8" w16cid:durableId="107532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87B"/>
    <w:rsid w:val="000217B2"/>
    <w:rsid w:val="00021FB9"/>
    <w:rsid w:val="000306E0"/>
    <w:rsid w:val="00053755"/>
    <w:rsid w:val="00056377"/>
    <w:rsid w:val="000664CD"/>
    <w:rsid w:val="0006716A"/>
    <w:rsid w:val="00092A8A"/>
    <w:rsid w:val="000A46F7"/>
    <w:rsid w:val="000A6766"/>
    <w:rsid w:val="000E2977"/>
    <w:rsid w:val="000E5566"/>
    <w:rsid w:val="000F6467"/>
    <w:rsid w:val="00103A7B"/>
    <w:rsid w:val="001430E7"/>
    <w:rsid w:val="001514C8"/>
    <w:rsid w:val="001542FD"/>
    <w:rsid w:val="00162E71"/>
    <w:rsid w:val="00182EA5"/>
    <w:rsid w:val="001A7749"/>
    <w:rsid w:val="001B7D70"/>
    <w:rsid w:val="001C7CDF"/>
    <w:rsid w:val="001D138F"/>
    <w:rsid w:val="001D282A"/>
    <w:rsid w:val="001D38F7"/>
    <w:rsid w:val="001D790F"/>
    <w:rsid w:val="00205337"/>
    <w:rsid w:val="00206317"/>
    <w:rsid w:val="0020723D"/>
    <w:rsid w:val="00207AB5"/>
    <w:rsid w:val="0021124E"/>
    <w:rsid w:val="00231C0B"/>
    <w:rsid w:val="002346B4"/>
    <w:rsid w:val="00250DF4"/>
    <w:rsid w:val="002545B8"/>
    <w:rsid w:val="00255148"/>
    <w:rsid w:val="002749A8"/>
    <w:rsid w:val="00285CF1"/>
    <w:rsid w:val="00297C59"/>
    <w:rsid w:val="002A3E52"/>
    <w:rsid w:val="002B60EE"/>
    <w:rsid w:val="002C0B10"/>
    <w:rsid w:val="002C28A5"/>
    <w:rsid w:val="002D0785"/>
    <w:rsid w:val="002D429B"/>
    <w:rsid w:val="002E3B5B"/>
    <w:rsid w:val="002E5E7E"/>
    <w:rsid w:val="002F28C2"/>
    <w:rsid w:val="00304CD6"/>
    <w:rsid w:val="00311B12"/>
    <w:rsid w:val="0031668D"/>
    <w:rsid w:val="00317E19"/>
    <w:rsid w:val="00321A76"/>
    <w:rsid w:val="00344849"/>
    <w:rsid w:val="0036065F"/>
    <w:rsid w:val="00371F5C"/>
    <w:rsid w:val="00372570"/>
    <w:rsid w:val="003B70E7"/>
    <w:rsid w:val="003B7224"/>
    <w:rsid w:val="003C63E9"/>
    <w:rsid w:val="003C68A1"/>
    <w:rsid w:val="003D0D52"/>
    <w:rsid w:val="003D23C6"/>
    <w:rsid w:val="003D6098"/>
    <w:rsid w:val="003F4C6C"/>
    <w:rsid w:val="00401537"/>
    <w:rsid w:val="00401EE2"/>
    <w:rsid w:val="0040583D"/>
    <w:rsid w:val="00416900"/>
    <w:rsid w:val="00422DF7"/>
    <w:rsid w:val="00433FB0"/>
    <w:rsid w:val="0043499A"/>
    <w:rsid w:val="00434A5E"/>
    <w:rsid w:val="00435EC1"/>
    <w:rsid w:val="00451F93"/>
    <w:rsid w:val="00456360"/>
    <w:rsid w:val="00494DA5"/>
    <w:rsid w:val="004A2F74"/>
    <w:rsid w:val="004B10C2"/>
    <w:rsid w:val="004C32AA"/>
    <w:rsid w:val="004D782D"/>
    <w:rsid w:val="004E7D1B"/>
    <w:rsid w:val="004F3FE2"/>
    <w:rsid w:val="004F6482"/>
    <w:rsid w:val="00502BFC"/>
    <w:rsid w:val="00523C9E"/>
    <w:rsid w:val="005356A2"/>
    <w:rsid w:val="005566A2"/>
    <w:rsid w:val="005610CF"/>
    <w:rsid w:val="0056327F"/>
    <w:rsid w:val="0057168F"/>
    <w:rsid w:val="0057459A"/>
    <w:rsid w:val="00581AF0"/>
    <w:rsid w:val="00590B5F"/>
    <w:rsid w:val="00590C9C"/>
    <w:rsid w:val="0059433E"/>
    <w:rsid w:val="005A093E"/>
    <w:rsid w:val="005A63B7"/>
    <w:rsid w:val="005B0B05"/>
    <w:rsid w:val="005E6046"/>
    <w:rsid w:val="00603DA2"/>
    <w:rsid w:val="0062780F"/>
    <w:rsid w:val="00635563"/>
    <w:rsid w:val="00643AEE"/>
    <w:rsid w:val="0064552E"/>
    <w:rsid w:val="006575F6"/>
    <w:rsid w:val="00674195"/>
    <w:rsid w:val="006837F8"/>
    <w:rsid w:val="00690222"/>
    <w:rsid w:val="0069143C"/>
    <w:rsid w:val="00695793"/>
    <w:rsid w:val="006A4B35"/>
    <w:rsid w:val="006C37A8"/>
    <w:rsid w:val="006C5EE5"/>
    <w:rsid w:val="006F488E"/>
    <w:rsid w:val="00705CCB"/>
    <w:rsid w:val="00721301"/>
    <w:rsid w:val="00742218"/>
    <w:rsid w:val="00757F25"/>
    <w:rsid w:val="007623B7"/>
    <w:rsid w:val="00765CE4"/>
    <w:rsid w:val="0078326E"/>
    <w:rsid w:val="00794766"/>
    <w:rsid w:val="007A3943"/>
    <w:rsid w:val="007B0335"/>
    <w:rsid w:val="007B1BB6"/>
    <w:rsid w:val="007B30EC"/>
    <w:rsid w:val="007C3378"/>
    <w:rsid w:val="007D157A"/>
    <w:rsid w:val="007E2D44"/>
    <w:rsid w:val="007E4049"/>
    <w:rsid w:val="007F7E47"/>
    <w:rsid w:val="0080115A"/>
    <w:rsid w:val="00816F03"/>
    <w:rsid w:val="00821159"/>
    <w:rsid w:val="00822893"/>
    <w:rsid w:val="0085172F"/>
    <w:rsid w:val="00851A8B"/>
    <w:rsid w:val="008540FC"/>
    <w:rsid w:val="00856545"/>
    <w:rsid w:val="008632A7"/>
    <w:rsid w:val="008712D1"/>
    <w:rsid w:val="0087368C"/>
    <w:rsid w:val="0087662F"/>
    <w:rsid w:val="0087740F"/>
    <w:rsid w:val="00883F53"/>
    <w:rsid w:val="0089138C"/>
    <w:rsid w:val="00893CE2"/>
    <w:rsid w:val="008A1C79"/>
    <w:rsid w:val="008A58D5"/>
    <w:rsid w:val="008C48F6"/>
    <w:rsid w:val="008C697A"/>
    <w:rsid w:val="008C6D27"/>
    <w:rsid w:val="008D25ED"/>
    <w:rsid w:val="008D2CC5"/>
    <w:rsid w:val="008E11FB"/>
    <w:rsid w:val="008E39BA"/>
    <w:rsid w:val="008F1BA3"/>
    <w:rsid w:val="009035AE"/>
    <w:rsid w:val="00907155"/>
    <w:rsid w:val="00915849"/>
    <w:rsid w:val="009169B1"/>
    <w:rsid w:val="00926783"/>
    <w:rsid w:val="0093079B"/>
    <w:rsid w:val="00933987"/>
    <w:rsid w:val="00944EDB"/>
    <w:rsid w:val="009546A4"/>
    <w:rsid w:val="009553C9"/>
    <w:rsid w:val="00956552"/>
    <w:rsid w:val="009640E4"/>
    <w:rsid w:val="009C1AF8"/>
    <w:rsid w:val="009D7236"/>
    <w:rsid w:val="009E1657"/>
    <w:rsid w:val="009E38E2"/>
    <w:rsid w:val="00A14755"/>
    <w:rsid w:val="00A26540"/>
    <w:rsid w:val="00A35578"/>
    <w:rsid w:val="00A427E4"/>
    <w:rsid w:val="00A60948"/>
    <w:rsid w:val="00A75B36"/>
    <w:rsid w:val="00A9326A"/>
    <w:rsid w:val="00A96000"/>
    <w:rsid w:val="00AA24D0"/>
    <w:rsid w:val="00AC0A2B"/>
    <w:rsid w:val="00AC5096"/>
    <w:rsid w:val="00AC7A70"/>
    <w:rsid w:val="00AE481C"/>
    <w:rsid w:val="00B00D47"/>
    <w:rsid w:val="00B06D8A"/>
    <w:rsid w:val="00B16ED0"/>
    <w:rsid w:val="00B27518"/>
    <w:rsid w:val="00B5036F"/>
    <w:rsid w:val="00B66049"/>
    <w:rsid w:val="00B82E2C"/>
    <w:rsid w:val="00B97E88"/>
    <w:rsid w:val="00BB6789"/>
    <w:rsid w:val="00BC54CB"/>
    <w:rsid w:val="00C1100F"/>
    <w:rsid w:val="00C21426"/>
    <w:rsid w:val="00C24052"/>
    <w:rsid w:val="00C32CA7"/>
    <w:rsid w:val="00C46197"/>
    <w:rsid w:val="00C54348"/>
    <w:rsid w:val="00C668D6"/>
    <w:rsid w:val="00C8497D"/>
    <w:rsid w:val="00CA26E6"/>
    <w:rsid w:val="00CC5791"/>
    <w:rsid w:val="00D04BDA"/>
    <w:rsid w:val="00D23F7A"/>
    <w:rsid w:val="00D40601"/>
    <w:rsid w:val="00D43171"/>
    <w:rsid w:val="00D458EA"/>
    <w:rsid w:val="00D505F5"/>
    <w:rsid w:val="00D547ED"/>
    <w:rsid w:val="00D609D3"/>
    <w:rsid w:val="00D60B27"/>
    <w:rsid w:val="00D64041"/>
    <w:rsid w:val="00D64C8B"/>
    <w:rsid w:val="00D761E8"/>
    <w:rsid w:val="00D929ED"/>
    <w:rsid w:val="00D97E1D"/>
    <w:rsid w:val="00DA2C04"/>
    <w:rsid w:val="00DA4FAB"/>
    <w:rsid w:val="00DB1B3F"/>
    <w:rsid w:val="00DB63A6"/>
    <w:rsid w:val="00DC377B"/>
    <w:rsid w:val="00DD33E4"/>
    <w:rsid w:val="00DE5BE6"/>
    <w:rsid w:val="00DF7C10"/>
    <w:rsid w:val="00E10FE3"/>
    <w:rsid w:val="00E13223"/>
    <w:rsid w:val="00E1791B"/>
    <w:rsid w:val="00E26956"/>
    <w:rsid w:val="00E27AFA"/>
    <w:rsid w:val="00E47506"/>
    <w:rsid w:val="00E64F63"/>
    <w:rsid w:val="00E70B5F"/>
    <w:rsid w:val="00E74888"/>
    <w:rsid w:val="00E965BB"/>
    <w:rsid w:val="00EA116B"/>
    <w:rsid w:val="00EE2150"/>
    <w:rsid w:val="00EF0E18"/>
    <w:rsid w:val="00F2344D"/>
    <w:rsid w:val="00F30B86"/>
    <w:rsid w:val="00F378A4"/>
    <w:rsid w:val="00F57248"/>
    <w:rsid w:val="00F57B3F"/>
    <w:rsid w:val="00F71C85"/>
    <w:rsid w:val="00F71EA6"/>
    <w:rsid w:val="00F749CC"/>
    <w:rsid w:val="00F8363B"/>
    <w:rsid w:val="00F85A3C"/>
    <w:rsid w:val="00FA41D6"/>
    <w:rsid w:val="00FA5224"/>
    <w:rsid w:val="00FB1122"/>
    <w:rsid w:val="00FB4070"/>
    <w:rsid w:val="00FB487B"/>
    <w:rsid w:val="00FB6BF0"/>
    <w:rsid w:val="00FD2BD5"/>
    <w:rsid w:val="00FE3CF6"/>
    <w:rsid w:val="00FE49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2FE981"/>
  <w15:chartTrackingRefBased/>
  <w15:docId w15:val="{63902F72-7A3F-48D8-88ED-4E5CB4E6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766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640E4"/>
    <w:rPr>
      <w:color w:val="0000FF"/>
      <w:u w:val="single"/>
    </w:rPr>
  </w:style>
  <w:style w:type="character" w:styleId="FollowedHyperlink">
    <w:name w:val="FollowedHyperlink"/>
    <w:rsid w:val="00C1100F"/>
    <w:rPr>
      <w:color w:val="800080"/>
      <w:u w:val="single"/>
    </w:rPr>
  </w:style>
  <w:style w:type="character" w:styleId="CommentReference">
    <w:name w:val="annotation reference"/>
    <w:basedOn w:val="DefaultParagraphFont"/>
    <w:rsid w:val="008E11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11F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E1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11F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E604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rb.gov/sites/default/files/2017-06/PIA-BPO.pdf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1209</Words>
  <Characters>6854</Characters>
  <Application>Microsoft Office Word</Application>
  <DocSecurity>0</DocSecurity>
  <Lines>185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PROSSER</dc:creator>
  <cp:lastModifiedBy>Foster, Brian D.</cp:lastModifiedBy>
  <cp:revision>11</cp:revision>
  <cp:lastPrinted>2018-07-24T21:05:00Z</cp:lastPrinted>
  <dcterms:created xsi:type="dcterms:W3CDTF">2024-08-27T14:50:00Z</dcterms:created>
  <dcterms:modified xsi:type="dcterms:W3CDTF">2024-11-25T21:06:00Z</dcterms:modified>
</cp:coreProperties>
</file>