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0BDF" w:rsidR="00A67909" w:rsidRDefault="00690BDF">
      <w:pPr>
        <w:rPr>
          <w:rFonts w:ascii="Arial" w:hAnsi="Arial" w:cs="Arial"/>
          <w:b/>
          <w:sz w:val="28"/>
          <w:szCs w:val="28"/>
        </w:rPr>
      </w:pPr>
      <w:bookmarkStart w:name="_GoBack" w:id="0"/>
      <w:bookmarkEnd w:id="0"/>
      <w:r w:rsidRPr="00690BDF">
        <w:rPr>
          <w:rFonts w:ascii="Arial" w:hAnsi="Arial" w:cs="Arial"/>
          <w:b/>
          <w:sz w:val="28"/>
          <w:szCs w:val="28"/>
        </w:rPr>
        <w:t>Uniform Commercial Code</w:t>
      </w:r>
    </w:p>
    <w:p w:rsidR="00690BDF" w:rsidRDefault="00690BDF"/>
    <w:p w:rsidR="00690BDF" w:rsidP="00690BDF" w:rsidRDefault="00690BDF">
      <w:pPr>
        <w:pStyle w:val="section"/>
        <w:shd w:val="clear" w:color="auto" w:fill="FFFFFF"/>
        <w:spacing w:after="0"/>
      </w:pPr>
      <w:bookmarkStart w:name="s2-205" w:id="1"/>
      <w:bookmarkEnd w:id="1"/>
      <w:r>
        <w:t xml:space="preserve">§ </w:t>
      </w:r>
      <w:r>
        <w:rPr>
          <w:rStyle w:val="section11"/>
          <w:b/>
          <w:bCs/>
        </w:rPr>
        <w:t>2</w:t>
      </w:r>
      <w:r>
        <w:t>-</w:t>
      </w:r>
      <w:r>
        <w:rPr>
          <w:rStyle w:val="section21"/>
          <w:b/>
          <w:bCs/>
        </w:rPr>
        <w:t>205</w:t>
      </w:r>
      <w:r>
        <w:t>. Firm Offers.</w:t>
      </w:r>
    </w:p>
    <w:p w:rsidR="00690BDF" w:rsidP="00690BDF" w:rsidRDefault="00690BDF">
      <w:pPr>
        <w:pStyle w:val="text-level1"/>
        <w:shd w:val="clear" w:color="auto" w:fill="FFFFFF"/>
      </w:pPr>
      <w:r>
        <w:t xml:space="preserve">An offer by a </w:t>
      </w:r>
      <w:hyperlink w:history="1" w:anchor="Merchant#Merchant" r:id="rId4">
        <w:r>
          <w:rPr>
            <w:rStyle w:val="Hyperlink"/>
          </w:rPr>
          <w:t>merchant</w:t>
        </w:r>
      </w:hyperlink>
      <w:r>
        <w:t xml:space="preserve"> to buy or sell </w:t>
      </w:r>
      <w:hyperlink w:history="1" w:anchor="Goods#Goods" r:id="rId5">
        <w:r>
          <w:rPr>
            <w:rStyle w:val="Hyperlink"/>
          </w:rPr>
          <w:t>goods</w:t>
        </w:r>
      </w:hyperlink>
      <w:r>
        <w:t xml:space="preserve">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690BDF" w:rsidP="00690BDF" w:rsidRDefault="00690BDF">
      <w:pPr>
        <w:pStyle w:val="text-level1"/>
        <w:shd w:val="clear" w:color="auto" w:fill="FFFFFF"/>
      </w:pPr>
    </w:p>
    <w:p w:rsidR="00690BDF" w:rsidP="00690BDF" w:rsidRDefault="00690BDF">
      <w:pPr>
        <w:pStyle w:val="section"/>
        <w:shd w:val="clear" w:color="auto" w:fill="FFFFFF"/>
        <w:spacing w:after="0"/>
      </w:pPr>
      <w:bookmarkStart w:name="s2-316" w:id="2"/>
      <w:bookmarkEnd w:id="2"/>
      <w:r>
        <w:t xml:space="preserve">§ </w:t>
      </w:r>
      <w:r>
        <w:rPr>
          <w:rStyle w:val="section11"/>
          <w:b/>
          <w:bCs/>
        </w:rPr>
        <w:t>2</w:t>
      </w:r>
      <w:r>
        <w:t>-</w:t>
      </w:r>
      <w:r>
        <w:rPr>
          <w:rStyle w:val="section21"/>
          <w:b/>
          <w:bCs/>
        </w:rPr>
        <w:t>316</w:t>
      </w:r>
      <w:r>
        <w:t>. Exclusion or Modification of Warranties.</w:t>
      </w:r>
    </w:p>
    <w:p w:rsidR="00690BDF" w:rsidP="00690BDF" w:rsidRDefault="00690BDF">
      <w:pPr>
        <w:pStyle w:val="text-level1"/>
        <w:shd w:val="clear" w:color="auto" w:fill="FFFFFF"/>
      </w:pPr>
      <w:bookmarkStart w:name="s2-3161" w:id="3"/>
      <w:bookmarkEnd w:id="3"/>
      <w:r>
        <w:t xml:space="preserve">(1) Words or conduct relevant to the creation of an express warranty and words or conduct tending to negate or limit warranty shall be construed wherever reasonable as consistent with each other;  but subject to the provisions of this Article on </w:t>
      </w:r>
      <w:proofErr w:type="spellStart"/>
      <w:r>
        <w:t>parol</w:t>
      </w:r>
      <w:proofErr w:type="spellEnd"/>
      <w:r>
        <w:t xml:space="preserve"> or extrinsic evidence (Section </w:t>
      </w:r>
      <w:hyperlink w:history="1" w:anchor="s2-202#s2-202" r:id="rId6">
        <w:r>
          <w:rPr>
            <w:rStyle w:val="Hyperlink"/>
          </w:rPr>
          <w:t>2-202</w:t>
        </w:r>
      </w:hyperlink>
      <w:r>
        <w:t>) negation or limitation is inoperative to the extent that such construction is unreasonable.</w:t>
      </w:r>
    </w:p>
    <w:p w:rsidR="00690BDF" w:rsidP="00690BDF" w:rsidRDefault="00690BDF">
      <w:pPr>
        <w:pStyle w:val="text-level1"/>
        <w:shd w:val="clear" w:color="auto" w:fill="FFFFFF"/>
      </w:pPr>
      <w:bookmarkStart w:name="s2-3162" w:id="4"/>
      <w:bookmarkEnd w:id="4"/>
      <w:r>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rsidR="00690BDF" w:rsidP="00690BDF" w:rsidRDefault="00690BDF">
      <w:pPr>
        <w:pStyle w:val="text-level1"/>
        <w:shd w:val="clear" w:color="auto" w:fill="FFFFFF"/>
      </w:pPr>
      <w:bookmarkStart w:name="s2-3163" w:id="5"/>
      <w:bookmarkEnd w:id="5"/>
      <w:r>
        <w:t>(3) Notwithstanding subsection (2)</w:t>
      </w:r>
    </w:p>
    <w:p w:rsidR="00690BDF" w:rsidP="00690BDF" w:rsidRDefault="00690BDF">
      <w:pPr>
        <w:pStyle w:val="text-level2"/>
        <w:shd w:val="clear" w:color="auto" w:fill="FFFFFF"/>
        <w:rPr>
          <w:rFonts w:ascii="Verdana" w:hAnsi="Verdana"/>
          <w:sz w:val="20"/>
          <w:szCs w:val="20"/>
        </w:rPr>
      </w:pPr>
      <w:r>
        <w:rPr>
          <w:rFonts w:ascii="Verdana" w:hAnsi="Verdana"/>
          <w:sz w:val="20"/>
          <w:szCs w:val="20"/>
        </w:rPr>
        <w:t xml:space="preserve">(a) unless the circumstances indicate otherwise, all implied warranties are excluded by expressions like "as is", "with all faults" or other language which in common understanding calls the </w:t>
      </w:r>
      <w:hyperlink w:history="1" w:anchor="Buyer#Buyer" r:id="rId7">
        <w:r>
          <w:rPr>
            <w:rStyle w:val="Hyperlink"/>
            <w:rFonts w:ascii="Verdana" w:hAnsi="Verdana"/>
            <w:sz w:val="20"/>
            <w:szCs w:val="20"/>
          </w:rPr>
          <w:t>buyer's</w:t>
        </w:r>
      </w:hyperlink>
      <w:r>
        <w:rPr>
          <w:rFonts w:ascii="Verdana" w:hAnsi="Verdana"/>
          <w:sz w:val="20"/>
          <w:szCs w:val="20"/>
        </w:rPr>
        <w:t xml:space="preserve"> attention to the exclusion of warranties and makes plain that there is no implied warranty;  and</w:t>
      </w:r>
    </w:p>
    <w:p w:rsidR="00690BDF" w:rsidP="00690BDF" w:rsidRDefault="00690BDF">
      <w:pPr>
        <w:pStyle w:val="text-level2"/>
        <w:shd w:val="clear" w:color="auto" w:fill="FFFFFF"/>
        <w:rPr>
          <w:rFonts w:ascii="Verdana" w:hAnsi="Verdana"/>
          <w:sz w:val="20"/>
          <w:szCs w:val="20"/>
        </w:rPr>
      </w:pPr>
      <w:r>
        <w:rPr>
          <w:rFonts w:ascii="Verdana" w:hAnsi="Verdana"/>
          <w:sz w:val="20"/>
          <w:szCs w:val="20"/>
        </w:rPr>
        <w:t xml:space="preserve">(b) when the </w:t>
      </w:r>
      <w:hyperlink w:history="1" w:anchor="Buyer#Buyer" r:id="rId8">
        <w:r>
          <w:rPr>
            <w:rStyle w:val="Hyperlink"/>
            <w:rFonts w:ascii="Verdana" w:hAnsi="Verdana"/>
            <w:sz w:val="20"/>
            <w:szCs w:val="20"/>
          </w:rPr>
          <w:t>buyer</w:t>
        </w:r>
      </w:hyperlink>
      <w:r>
        <w:rPr>
          <w:rFonts w:ascii="Verdana" w:hAnsi="Verdana"/>
          <w:sz w:val="20"/>
          <w:szCs w:val="20"/>
        </w:rPr>
        <w:t xml:space="preserve"> before entering into the </w:t>
      </w:r>
      <w:hyperlink w:history="1" w:anchor="contract#contract" r:id="rId9">
        <w:r>
          <w:rPr>
            <w:rStyle w:val="Hyperlink"/>
            <w:rFonts w:ascii="Verdana" w:hAnsi="Verdana"/>
            <w:sz w:val="20"/>
            <w:szCs w:val="20"/>
          </w:rPr>
          <w:t>contract</w:t>
        </w:r>
      </w:hyperlink>
      <w:r>
        <w:rPr>
          <w:rFonts w:ascii="Verdana" w:hAnsi="Verdana"/>
          <w:sz w:val="20"/>
          <w:szCs w:val="20"/>
        </w:rPr>
        <w:t xml:space="preserve"> has examined the </w:t>
      </w:r>
      <w:hyperlink w:history="1" w:anchor="Goods#Goods" r:id="rId10">
        <w:r>
          <w:rPr>
            <w:rStyle w:val="Hyperlink"/>
            <w:rFonts w:ascii="Verdana" w:hAnsi="Verdana"/>
            <w:sz w:val="20"/>
            <w:szCs w:val="20"/>
          </w:rPr>
          <w:t>goods</w:t>
        </w:r>
      </w:hyperlink>
      <w:r>
        <w:rPr>
          <w:rFonts w:ascii="Verdana" w:hAnsi="Verdana"/>
          <w:sz w:val="20"/>
          <w:szCs w:val="20"/>
        </w:rPr>
        <w:t xml:space="preserve"> or the sample or model as fully as he desired or has refused to examine the goods there is no implied warranty with regard to defects which an examination ought in the circumstances to have revealed to him;  and</w:t>
      </w:r>
    </w:p>
    <w:p w:rsidR="00690BDF" w:rsidP="00690BDF" w:rsidRDefault="00690BDF">
      <w:pPr>
        <w:pStyle w:val="text-level2"/>
        <w:shd w:val="clear" w:color="auto" w:fill="FFFFFF"/>
        <w:rPr>
          <w:rFonts w:ascii="Verdana" w:hAnsi="Verdana"/>
          <w:sz w:val="20"/>
          <w:szCs w:val="20"/>
        </w:rPr>
      </w:pPr>
      <w:r>
        <w:rPr>
          <w:rFonts w:ascii="Verdana" w:hAnsi="Verdana"/>
          <w:sz w:val="20"/>
          <w:szCs w:val="20"/>
        </w:rPr>
        <w:t>(c) an implied warranty can also be excluded or modified by course of dealing or course of performance or usage of trade.</w:t>
      </w:r>
    </w:p>
    <w:p w:rsidR="00690BDF" w:rsidP="00690BDF" w:rsidRDefault="00690BDF">
      <w:pPr>
        <w:pStyle w:val="text-level1"/>
        <w:shd w:val="clear" w:color="auto" w:fill="FFFFFF"/>
      </w:pPr>
      <w:bookmarkStart w:name="s2-3164" w:id="6"/>
      <w:bookmarkEnd w:id="6"/>
      <w:r>
        <w:t xml:space="preserve">(4) Remedies for breach of warranty can be limited in accordance with the provisions of this Article on liquidation or limitation of damages and on contractual modification of remedy (Sections </w:t>
      </w:r>
      <w:hyperlink w:history="1" w:anchor="s2-718#s2-718" r:id="rId11">
        <w:r>
          <w:rPr>
            <w:rStyle w:val="Hyperlink"/>
          </w:rPr>
          <w:t>2-718</w:t>
        </w:r>
      </w:hyperlink>
      <w:r>
        <w:t xml:space="preserve"> and </w:t>
      </w:r>
      <w:hyperlink w:history="1" w:anchor="s2-719#s2-719" r:id="rId12">
        <w:r>
          <w:rPr>
            <w:rStyle w:val="Hyperlink"/>
          </w:rPr>
          <w:t>2-719</w:t>
        </w:r>
      </w:hyperlink>
      <w:r>
        <w:t>).</w:t>
      </w:r>
    </w:p>
    <w:p w:rsidR="00690BDF" w:rsidP="00690BDF" w:rsidRDefault="00690BDF">
      <w:pPr>
        <w:pStyle w:val="text-level1"/>
        <w:shd w:val="clear" w:color="auto" w:fill="FFFFFF"/>
      </w:pPr>
    </w:p>
    <w:p w:rsidR="00690BDF" w:rsidRDefault="00690BDF"/>
    <w:sectPr w:rsidR="00690BDF" w:rsidSect="00BB0D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909"/>
    <w:rsid w:val="00005B24"/>
    <w:rsid w:val="00011676"/>
    <w:rsid w:val="00040643"/>
    <w:rsid w:val="0006050F"/>
    <w:rsid w:val="000625B5"/>
    <w:rsid w:val="000638C0"/>
    <w:rsid w:val="00072396"/>
    <w:rsid w:val="00085F18"/>
    <w:rsid w:val="000911A8"/>
    <w:rsid w:val="00093F05"/>
    <w:rsid w:val="000A40B3"/>
    <w:rsid w:val="000C68A6"/>
    <w:rsid w:val="000D04CE"/>
    <w:rsid w:val="000D7DEB"/>
    <w:rsid w:val="000E14DE"/>
    <w:rsid w:val="000E6DE2"/>
    <w:rsid w:val="000F2DB3"/>
    <w:rsid w:val="00112EF4"/>
    <w:rsid w:val="00114E6C"/>
    <w:rsid w:val="00123852"/>
    <w:rsid w:val="001336A5"/>
    <w:rsid w:val="001516DF"/>
    <w:rsid w:val="001608D9"/>
    <w:rsid w:val="001B7107"/>
    <w:rsid w:val="001C57DE"/>
    <w:rsid w:val="001D5C3E"/>
    <w:rsid w:val="001D6857"/>
    <w:rsid w:val="001F60DE"/>
    <w:rsid w:val="00201908"/>
    <w:rsid w:val="00202ECD"/>
    <w:rsid w:val="002154F8"/>
    <w:rsid w:val="00250B95"/>
    <w:rsid w:val="002661B1"/>
    <w:rsid w:val="002753AC"/>
    <w:rsid w:val="002946CA"/>
    <w:rsid w:val="002E4830"/>
    <w:rsid w:val="00327FF6"/>
    <w:rsid w:val="003514F8"/>
    <w:rsid w:val="0035292F"/>
    <w:rsid w:val="00365004"/>
    <w:rsid w:val="003B5BD3"/>
    <w:rsid w:val="003C4A96"/>
    <w:rsid w:val="003F7C8B"/>
    <w:rsid w:val="00407303"/>
    <w:rsid w:val="00412E1A"/>
    <w:rsid w:val="0041569A"/>
    <w:rsid w:val="00416C47"/>
    <w:rsid w:val="00420671"/>
    <w:rsid w:val="00433282"/>
    <w:rsid w:val="00442A64"/>
    <w:rsid w:val="00445B39"/>
    <w:rsid w:val="004463F7"/>
    <w:rsid w:val="00451896"/>
    <w:rsid w:val="00457E9F"/>
    <w:rsid w:val="00461746"/>
    <w:rsid w:val="004919A1"/>
    <w:rsid w:val="00493F1F"/>
    <w:rsid w:val="004A0B1D"/>
    <w:rsid w:val="004C1433"/>
    <w:rsid w:val="0051765E"/>
    <w:rsid w:val="0052775C"/>
    <w:rsid w:val="00532242"/>
    <w:rsid w:val="0054437B"/>
    <w:rsid w:val="00573FAA"/>
    <w:rsid w:val="005A4E31"/>
    <w:rsid w:val="005B3A91"/>
    <w:rsid w:val="005E103C"/>
    <w:rsid w:val="0061193D"/>
    <w:rsid w:val="00625650"/>
    <w:rsid w:val="006405DD"/>
    <w:rsid w:val="00674CD6"/>
    <w:rsid w:val="00690719"/>
    <w:rsid w:val="00690BDF"/>
    <w:rsid w:val="006D3996"/>
    <w:rsid w:val="006E067F"/>
    <w:rsid w:val="00735DFC"/>
    <w:rsid w:val="007379F3"/>
    <w:rsid w:val="007426AF"/>
    <w:rsid w:val="00742D1D"/>
    <w:rsid w:val="0075654A"/>
    <w:rsid w:val="007734DD"/>
    <w:rsid w:val="0077740D"/>
    <w:rsid w:val="007B15F3"/>
    <w:rsid w:val="007C5D19"/>
    <w:rsid w:val="007D2311"/>
    <w:rsid w:val="00835074"/>
    <w:rsid w:val="00893360"/>
    <w:rsid w:val="008B29B3"/>
    <w:rsid w:val="008C5369"/>
    <w:rsid w:val="008C6F15"/>
    <w:rsid w:val="008F409F"/>
    <w:rsid w:val="00925650"/>
    <w:rsid w:val="00940866"/>
    <w:rsid w:val="00954199"/>
    <w:rsid w:val="00970AA4"/>
    <w:rsid w:val="009B3499"/>
    <w:rsid w:val="009B6F27"/>
    <w:rsid w:val="009F15AB"/>
    <w:rsid w:val="00A207C4"/>
    <w:rsid w:val="00A40DBA"/>
    <w:rsid w:val="00A6283D"/>
    <w:rsid w:val="00A67909"/>
    <w:rsid w:val="00AA1A96"/>
    <w:rsid w:val="00AB6F38"/>
    <w:rsid w:val="00AD01E8"/>
    <w:rsid w:val="00B14957"/>
    <w:rsid w:val="00B42EFB"/>
    <w:rsid w:val="00B6010F"/>
    <w:rsid w:val="00B92F5E"/>
    <w:rsid w:val="00B949A6"/>
    <w:rsid w:val="00BB0DDF"/>
    <w:rsid w:val="00BB1661"/>
    <w:rsid w:val="00BD00C4"/>
    <w:rsid w:val="00BD52DF"/>
    <w:rsid w:val="00C2183D"/>
    <w:rsid w:val="00C51856"/>
    <w:rsid w:val="00C71E2E"/>
    <w:rsid w:val="00C7701F"/>
    <w:rsid w:val="00CD069B"/>
    <w:rsid w:val="00CE0B1F"/>
    <w:rsid w:val="00CF0E0C"/>
    <w:rsid w:val="00D00FB9"/>
    <w:rsid w:val="00D06224"/>
    <w:rsid w:val="00D1065B"/>
    <w:rsid w:val="00D24E3B"/>
    <w:rsid w:val="00D27131"/>
    <w:rsid w:val="00D5287D"/>
    <w:rsid w:val="00D62543"/>
    <w:rsid w:val="00D811F8"/>
    <w:rsid w:val="00D95879"/>
    <w:rsid w:val="00DA11F3"/>
    <w:rsid w:val="00DA5E14"/>
    <w:rsid w:val="00DA79C7"/>
    <w:rsid w:val="00DC35B3"/>
    <w:rsid w:val="00E160F8"/>
    <w:rsid w:val="00E17301"/>
    <w:rsid w:val="00E37A12"/>
    <w:rsid w:val="00E6447C"/>
    <w:rsid w:val="00E71133"/>
    <w:rsid w:val="00E751A7"/>
    <w:rsid w:val="00EA30E4"/>
    <w:rsid w:val="00EB5DBE"/>
    <w:rsid w:val="00ED096A"/>
    <w:rsid w:val="00EE095F"/>
    <w:rsid w:val="00F13509"/>
    <w:rsid w:val="00F5254C"/>
    <w:rsid w:val="00F9271F"/>
    <w:rsid w:val="00FC332A"/>
    <w:rsid w:val="00FE50AE"/>
    <w:rsid w:val="00FF15AE"/>
    <w:rsid w:val="00FF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E253B-6CBA-482D-9550-ED333572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6405DD"/>
    <w:rPr>
      <w:rFonts w:ascii="Tahoma" w:hAnsi="Tahoma"/>
    </w:rPr>
  </w:style>
  <w:style w:type="character" w:styleId="Hyperlink">
    <w:name w:val="Hyperlink"/>
    <w:rsid w:val="00690BDF"/>
    <w:rPr>
      <w:color w:val="000080"/>
      <w:u w:val="single"/>
    </w:rPr>
  </w:style>
  <w:style w:type="paragraph" w:customStyle="1" w:styleId="section">
    <w:name w:val="section"/>
    <w:basedOn w:val="Normal"/>
    <w:rsid w:val="00690BDF"/>
    <w:pPr>
      <w:autoSpaceDE w:val="0"/>
      <w:autoSpaceDN w:val="0"/>
      <w:spacing w:after="180"/>
      <w:ind w:left="367" w:right="856"/>
    </w:pPr>
    <w:rPr>
      <w:rFonts w:ascii="Arial" w:hAnsi="Arial" w:cs="Arial"/>
      <w:b/>
      <w:bCs/>
      <w:color w:val="000000"/>
    </w:rPr>
  </w:style>
  <w:style w:type="paragraph" w:customStyle="1" w:styleId="text-level1">
    <w:name w:val="text-level1"/>
    <w:basedOn w:val="Normal"/>
    <w:rsid w:val="00690BDF"/>
    <w:pPr>
      <w:autoSpaceDE w:val="0"/>
      <w:autoSpaceDN w:val="0"/>
      <w:spacing w:before="100" w:beforeAutospacing="1" w:after="100" w:afterAutospacing="1"/>
      <w:ind w:left="367" w:right="612"/>
    </w:pPr>
    <w:rPr>
      <w:rFonts w:ascii="Verdana" w:hAnsi="Verdana"/>
      <w:color w:val="000000"/>
      <w:sz w:val="20"/>
      <w:szCs w:val="20"/>
    </w:rPr>
  </w:style>
  <w:style w:type="character" w:customStyle="1" w:styleId="section11">
    <w:name w:val="section11"/>
    <w:rsid w:val="00690BDF"/>
    <w:rPr>
      <w:rFonts w:ascii="Arial" w:hAnsi="Arial" w:cs="Arial" w:hint="default"/>
      <w:b/>
      <w:bCs/>
      <w:color w:val="000000"/>
      <w:sz w:val="24"/>
      <w:szCs w:val="24"/>
    </w:rPr>
  </w:style>
  <w:style w:type="character" w:customStyle="1" w:styleId="section21">
    <w:name w:val="section21"/>
    <w:rsid w:val="00690BDF"/>
    <w:rPr>
      <w:rFonts w:ascii="Arial" w:hAnsi="Arial" w:cs="Arial" w:hint="default"/>
      <w:b/>
      <w:bCs/>
      <w:color w:val="000000"/>
      <w:sz w:val="24"/>
      <w:szCs w:val="24"/>
    </w:rPr>
  </w:style>
  <w:style w:type="paragraph" w:customStyle="1" w:styleId="text-level2">
    <w:name w:val="text-level2"/>
    <w:basedOn w:val="Normal"/>
    <w:rsid w:val="00690BDF"/>
    <w:pPr>
      <w:autoSpaceDE w:val="0"/>
      <w:autoSpaceDN w:val="0"/>
      <w:spacing w:before="100" w:beforeAutospacing="1" w:after="100" w:afterAutospacing="1"/>
      <w:ind w:left="612" w:right="612"/>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5487">
      <w:bodyDiv w:val="1"/>
      <w:marLeft w:val="0"/>
      <w:marRight w:val="0"/>
      <w:marTop w:val="0"/>
      <w:marBottom w:val="0"/>
      <w:divBdr>
        <w:top w:val="none" w:sz="0" w:space="0" w:color="auto"/>
        <w:left w:val="none" w:sz="0" w:space="0" w:color="auto"/>
        <w:bottom w:val="none" w:sz="0" w:space="0" w:color="auto"/>
        <w:right w:val="none" w:sz="0" w:space="0" w:color="auto"/>
      </w:divBdr>
      <w:divsChild>
        <w:div w:id="637225686">
          <w:marLeft w:val="0"/>
          <w:marRight w:val="0"/>
          <w:marTop w:val="0"/>
          <w:marBottom w:val="0"/>
          <w:divBdr>
            <w:top w:val="none" w:sz="0" w:space="0" w:color="auto"/>
            <w:left w:val="none" w:sz="0" w:space="0" w:color="auto"/>
            <w:bottom w:val="none" w:sz="0" w:space="0" w:color="auto"/>
            <w:right w:val="none" w:sz="0" w:space="0" w:color="auto"/>
          </w:divBdr>
          <w:divsChild>
            <w:div w:id="967394119">
              <w:marLeft w:val="0"/>
              <w:marRight w:val="0"/>
              <w:marTop w:val="0"/>
              <w:marBottom w:val="0"/>
              <w:divBdr>
                <w:top w:val="none" w:sz="0" w:space="0" w:color="auto"/>
                <w:left w:val="none" w:sz="0" w:space="0" w:color="auto"/>
                <w:bottom w:val="none" w:sz="0" w:space="0" w:color="auto"/>
                <w:right w:val="none" w:sz="0" w:space="0" w:color="auto"/>
              </w:divBdr>
              <w:divsChild>
                <w:div w:id="2103988555">
                  <w:marLeft w:val="0"/>
                  <w:marRight w:val="0"/>
                  <w:marTop w:val="0"/>
                  <w:marBottom w:val="0"/>
                  <w:divBdr>
                    <w:top w:val="none" w:sz="0" w:space="0" w:color="auto"/>
                    <w:left w:val="none" w:sz="0" w:space="0" w:color="auto"/>
                    <w:bottom w:val="none" w:sz="0" w:space="0" w:color="auto"/>
                    <w:right w:val="none" w:sz="0" w:space="0" w:color="auto"/>
                  </w:divBdr>
                  <w:divsChild>
                    <w:div w:id="1773476302">
                      <w:marLeft w:val="0"/>
                      <w:marRight w:val="0"/>
                      <w:marTop w:val="0"/>
                      <w:marBottom w:val="0"/>
                      <w:divBdr>
                        <w:top w:val="none" w:sz="0" w:space="0" w:color="auto"/>
                        <w:left w:val="none" w:sz="0" w:space="0" w:color="auto"/>
                        <w:bottom w:val="none" w:sz="0" w:space="0" w:color="auto"/>
                        <w:right w:val="none" w:sz="0" w:space="0" w:color="auto"/>
                      </w:divBdr>
                      <w:divsChild>
                        <w:div w:id="447621916">
                          <w:marLeft w:val="1"/>
                          <w:marRight w:val="1"/>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3980849">
      <w:bodyDiv w:val="1"/>
      <w:marLeft w:val="0"/>
      <w:marRight w:val="0"/>
      <w:marTop w:val="0"/>
      <w:marBottom w:val="0"/>
      <w:divBdr>
        <w:top w:val="none" w:sz="0" w:space="0" w:color="auto"/>
        <w:left w:val="none" w:sz="0" w:space="0" w:color="auto"/>
        <w:bottom w:val="none" w:sz="0" w:space="0" w:color="auto"/>
        <w:right w:val="none" w:sz="0" w:space="0" w:color="auto"/>
      </w:divBdr>
      <w:divsChild>
        <w:div w:id="1668904147">
          <w:marLeft w:val="0"/>
          <w:marRight w:val="0"/>
          <w:marTop w:val="0"/>
          <w:marBottom w:val="0"/>
          <w:divBdr>
            <w:top w:val="none" w:sz="0" w:space="0" w:color="auto"/>
            <w:left w:val="none" w:sz="0" w:space="0" w:color="auto"/>
            <w:bottom w:val="none" w:sz="0" w:space="0" w:color="auto"/>
            <w:right w:val="none" w:sz="0" w:space="0" w:color="auto"/>
          </w:divBdr>
          <w:divsChild>
            <w:div w:id="1243371338">
              <w:marLeft w:val="0"/>
              <w:marRight w:val="0"/>
              <w:marTop w:val="0"/>
              <w:marBottom w:val="0"/>
              <w:divBdr>
                <w:top w:val="none" w:sz="0" w:space="0" w:color="auto"/>
                <w:left w:val="none" w:sz="0" w:space="0" w:color="auto"/>
                <w:bottom w:val="none" w:sz="0" w:space="0" w:color="auto"/>
                <w:right w:val="none" w:sz="0" w:space="0" w:color="auto"/>
              </w:divBdr>
              <w:divsChild>
                <w:div w:id="1192643054">
                  <w:marLeft w:val="0"/>
                  <w:marRight w:val="0"/>
                  <w:marTop w:val="0"/>
                  <w:marBottom w:val="0"/>
                  <w:divBdr>
                    <w:top w:val="none" w:sz="0" w:space="0" w:color="auto"/>
                    <w:left w:val="none" w:sz="0" w:space="0" w:color="auto"/>
                    <w:bottom w:val="none" w:sz="0" w:space="0" w:color="auto"/>
                    <w:right w:val="none" w:sz="0" w:space="0" w:color="auto"/>
                  </w:divBdr>
                  <w:divsChild>
                    <w:div w:id="1874725817">
                      <w:marLeft w:val="0"/>
                      <w:marRight w:val="0"/>
                      <w:marTop w:val="0"/>
                      <w:marBottom w:val="0"/>
                      <w:divBdr>
                        <w:top w:val="none" w:sz="0" w:space="0" w:color="auto"/>
                        <w:left w:val="none" w:sz="0" w:space="0" w:color="auto"/>
                        <w:bottom w:val="none" w:sz="0" w:space="0" w:color="auto"/>
                        <w:right w:val="none" w:sz="0" w:space="0" w:color="auto"/>
                      </w:divBdr>
                      <w:divsChild>
                        <w:div w:id="534781116">
                          <w:marLeft w:val="1"/>
                          <w:marRight w:val="1"/>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cc/2/article2.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w.cornell.edu/ucc/2/article2.htm" TargetMode="External"/><Relationship Id="rId12" Type="http://schemas.openxmlformats.org/officeDocument/2006/relationships/hyperlink" Target="http://www.law.cornell.edu/ucc/2/article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cornell.edu/ucc/2/article2.htm" TargetMode="External"/><Relationship Id="rId11" Type="http://schemas.openxmlformats.org/officeDocument/2006/relationships/hyperlink" Target="http://www.law.cornell.edu/ucc/2/article2.htm" TargetMode="External"/><Relationship Id="rId5" Type="http://schemas.openxmlformats.org/officeDocument/2006/relationships/hyperlink" Target="http://www.law.cornell.edu/ucc/2/article2.htm" TargetMode="External"/><Relationship Id="rId10" Type="http://schemas.openxmlformats.org/officeDocument/2006/relationships/hyperlink" Target="http://www.law.cornell.edu/ucc/2/article2.htm" TargetMode="External"/><Relationship Id="rId4" Type="http://schemas.openxmlformats.org/officeDocument/2006/relationships/hyperlink" Target="http://www.law.cornell.edu/ucc/2/article2.htm" TargetMode="External"/><Relationship Id="rId9" Type="http://schemas.openxmlformats.org/officeDocument/2006/relationships/hyperlink" Target="http://www.law.cornell.edu/ucc/2/article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Uniform Commercial Code</vt:lpstr>
    </vt:vector>
  </TitlesOfParts>
  <Company>USDA Forest Service</Company>
  <LinksUpToDate>false</LinksUpToDate>
  <CharactersWithSpaces>3065</CharactersWithSpaces>
  <SharedDoc>false</SharedDoc>
  <HLinks>
    <vt:vector size="54" baseType="variant">
      <vt:variant>
        <vt:i4>393232</vt:i4>
      </vt:variant>
      <vt:variant>
        <vt:i4>24</vt:i4>
      </vt:variant>
      <vt:variant>
        <vt:i4>0</vt:i4>
      </vt:variant>
      <vt:variant>
        <vt:i4>5</vt:i4>
      </vt:variant>
      <vt:variant>
        <vt:lpwstr>http://www.law.cornell.edu/ucc/2/article2.htm</vt:lpwstr>
      </vt:variant>
      <vt:variant>
        <vt:lpwstr>s2-719#s2-719</vt:lpwstr>
      </vt:variant>
      <vt:variant>
        <vt:i4>458768</vt:i4>
      </vt:variant>
      <vt:variant>
        <vt:i4>21</vt:i4>
      </vt:variant>
      <vt:variant>
        <vt:i4>0</vt:i4>
      </vt:variant>
      <vt:variant>
        <vt:i4>5</vt:i4>
      </vt:variant>
      <vt:variant>
        <vt:lpwstr>http://www.law.cornell.edu/ucc/2/article2.htm</vt:lpwstr>
      </vt:variant>
      <vt:variant>
        <vt:lpwstr>s2-718#s2-718</vt:lpwstr>
      </vt:variant>
      <vt:variant>
        <vt:i4>7733290</vt:i4>
      </vt:variant>
      <vt:variant>
        <vt:i4>18</vt:i4>
      </vt:variant>
      <vt:variant>
        <vt:i4>0</vt:i4>
      </vt:variant>
      <vt:variant>
        <vt:i4>5</vt:i4>
      </vt:variant>
      <vt:variant>
        <vt:lpwstr>http://www.law.cornell.edu/ucc/2/article2.htm</vt:lpwstr>
      </vt:variant>
      <vt:variant>
        <vt:lpwstr>Goods#Goods</vt:lpwstr>
      </vt:variant>
      <vt:variant>
        <vt:i4>4653084</vt:i4>
      </vt:variant>
      <vt:variant>
        <vt:i4>15</vt:i4>
      </vt:variant>
      <vt:variant>
        <vt:i4>0</vt:i4>
      </vt:variant>
      <vt:variant>
        <vt:i4>5</vt:i4>
      </vt:variant>
      <vt:variant>
        <vt:lpwstr>http://www.law.cornell.edu/ucc/2/article2.htm</vt:lpwstr>
      </vt:variant>
      <vt:variant>
        <vt:lpwstr>contract#contract</vt:lpwstr>
      </vt:variant>
      <vt:variant>
        <vt:i4>7733291</vt:i4>
      </vt:variant>
      <vt:variant>
        <vt:i4>12</vt:i4>
      </vt:variant>
      <vt:variant>
        <vt:i4>0</vt:i4>
      </vt:variant>
      <vt:variant>
        <vt:i4>5</vt:i4>
      </vt:variant>
      <vt:variant>
        <vt:lpwstr>http://www.law.cornell.edu/ucc/2/article2.htm</vt:lpwstr>
      </vt:variant>
      <vt:variant>
        <vt:lpwstr>Buyer#Buyer</vt:lpwstr>
      </vt:variant>
      <vt:variant>
        <vt:i4>7733291</vt:i4>
      </vt:variant>
      <vt:variant>
        <vt:i4>9</vt:i4>
      </vt:variant>
      <vt:variant>
        <vt:i4>0</vt:i4>
      </vt:variant>
      <vt:variant>
        <vt:i4>5</vt:i4>
      </vt:variant>
      <vt:variant>
        <vt:lpwstr>http://www.law.cornell.edu/ucc/2/article2.htm</vt:lpwstr>
      </vt:variant>
      <vt:variant>
        <vt:lpwstr>Buyer#Buyer</vt:lpwstr>
      </vt:variant>
      <vt:variant>
        <vt:i4>589844</vt:i4>
      </vt:variant>
      <vt:variant>
        <vt:i4>6</vt:i4>
      </vt:variant>
      <vt:variant>
        <vt:i4>0</vt:i4>
      </vt:variant>
      <vt:variant>
        <vt:i4>5</vt:i4>
      </vt:variant>
      <vt:variant>
        <vt:lpwstr>http://www.law.cornell.edu/ucc/2/article2.htm</vt:lpwstr>
      </vt:variant>
      <vt:variant>
        <vt:lpwstr>s2-202#s2-202</vt:lpwstr>
      </vt:variant>
      <vt:variant>
        <vt:i4>7733290</vt:i4>
      </vt:variant>
      <vt:variant>
        <vt:i4>3</vt:i4>
      </vt:variant>
      <vt:variant>
        <vt:i4>0</vt:i4>
      </vt:variant>
      <vt:variant>
        <vt:i4>5</vt:i4>
      </vt:variant>
      <vt:variant>
        <vt:lpwstr>http://www.law.cornell.edu/ucc/2/article2.htm</vt:lpwstr>
      </vt:variant>
      <vt:variant>
        <vt:lpwstr>Goods#Goods</vt:lpwstr>
      </vt:variant>
      <vt:variant>
        <vt:i4>6225924</vt:i4>
      </vt:variant>
      <vt:variant>
        <vt:i4>0</vt:i4>
      </vt:variant>
      <vt:variant>
        <vt:i4>0</vt:i4>
      </vt:variant>
      <vt:variant>
        <vt:i4>5</vt:i4>
      </vt:variant>
      <vt:variant>
        <vt:lpwstr>http://www.law.cornell.edu/ucc/2/article2.htm</vt:lpwstr>
      </vt:variant>
      <vt:variant>
        <vt:lpwstr>Merchant#Merchant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Commercial Code</dc:title>
  <dc:subject/>
  <dc:creator>FSDefaultUser</dc:creator>
  <cp:keywords/>
  <dc:description/>
  <cp:lastModifiedBy>Jones, Dannette A -FS</cp:lastModifiedBy>
  <cp:revision>2</cp:revision>
  <dcterms:created xsi:type="dcterms:W3CDTF">2020-12-16T11:20:00Z</dcterms:created>
  <dcterms:modified xsi:type="dcterms:W3CDTF">2020-12-16T11:20:00Z</dcterms:modified>
</cp:coreProperties>
</file>