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0B85" w14:paraId="7F901EA4" w14:textId="77777777">
      <w:pPr>
        <w:pStyle w:val="Heading1"/>
        <w:ind w:left="0"/>
        <w:jc w:val="center"/>
      </w:pPr>
      <w:r>
        <w:t>SUPPORTING STATEMENT</w:t>
      </w:r>
    </w:p>
    <w:p w:rsidR="00370B85" w14:paraId="56F47F53" w14:textId="77777777">
      <w:pPr>
        <w:spacing w:before="22" w:line="259" w:lineRule="auto"/>
        <w:ind w:firstLine="14"/>
        <w:jc w:val="center"/>
        <w:rPr>
          <w:b/>
        </w:rPr>
      </w:pPr>
      <w:r>
        <w:rPr>
          <w:b/>
        </w:rPr>
        <w:t>U.S. Department of Commerce</w:t>
      </w:r>
    </w:p>
    <w:p w:rsidR="00370B85" w14:paraId="7CC575D4" w14:textId="77777777">
      <w:pPr>
        <w:spacing w:before="22" w:line="259" w:lineRule="auto"/>
        <w:ind w:firstLine="14"/>
        <w:jc w:val="center"/>
        <w:rPr>
          <w:b/>
        </w:rPr>
      </w:pPr>
      <w:r>
        <w:rPr>
          <w:b/>
        </w:rPr>
        <w:t>National Oceanic &amp; Atmospheric Administration</w:t>
      </w:r>
    </w:p>
    <w:p w:rsidR="00370B85" w14:paraId="3E464EAF" w14:textId="77777777">
      <w:pPr>
        <w:spacing w:line="259" w:lineRule="auto"/>
        <w:ind w:hanging="6"/>
        <w:jc w:val="center"/>
        <w:rPr>
          <w:b/>
        </w:rPr>
      </w:pPr>
      <w:r>
        <w:rPr>
          <w:b/>
        </w:rPr>
        <w:t xml:space="preserve">Alaska Halibut Fisheries: Charter </w:t>
      </w:r>
    </w:p>
    <w:p w:rsidR="00370B85" w14:paraId="2A457567" w14:textId="77777777">
      <w:pPr>
        <w:spacing w:line="259" w:lineRule="auto"/>
        <w:ind w:hanging="6"/>
        <w:jc w:val="center"/>
        <w:rPr>
          <w:b/>
        </w:rPr>
      </w:pPr>
      <w:r>
        <w:rPr>
          <w:b/>
        </w:rPr>
        <w:t>OMB Control No. 0648-0575</w:t>
      </w:r>
    </w:p>
    <w:p w:rsidR="00370B85" w14:paraId="45B5C47D" w14:textId="77777777">
      <w:pPr>
        <w:pBdr>
          <w:top w:val="nil"/>
          <w:left w:val="nil"/>
          <w:bottom w:val="nil"/>
          <w:right w:val="nil"/>
          <w:between w:val="nil"/>
        </w:pBdr>
        <w:spacing w:before="1"/>
        <w:jc w:val="center"/>
        <w:rPr>
          <w:b/>
          <w:color w:val="000000"/>
        </w:rPr>
      </w:pPr>
    </w:p>
    <w:p w:rsidR="009102A5" w14:paraId="693FC19B" w14:textId="77777777">
      <w:pPr>
        <w:pStyle w:val="Heading1"/>
        <w:spacing w:before="199"/>
        <w:ind w:left="0"/>
      </w:pPr>
    </w:p>
    <w:p w:rsidR="009102A5" w:rsidRPr="009102A5" w:rsidP="009102A5" w14:paraId="4DF33B1D" w14:textId="77777777">
      <w:pPr>
        <w:spacing w:before="1" w:line="398" w:lineRule="auto"/>
        <w:rPr>
          <w:rFonts w:eastAsia="Times New Roman"/>
          <w:b/>
        </w:rPr>
      </w:pPr>
      <w:r w:rsidRPr="009102A5">
        <w:rPr>
          <w:rFonts w:eastAsia="Times New Roman"/>
          <w:b/>
          <w:color w:val="000000"/>
        </w:rPr>
        <w:t>SUPPORTING STATEMENT PART A</w:t>
      </w:r>
      <w:r w:rsidRPr="009102A5">
        <w:rPr>
          <w:rFonts w:eastAsia="Times New Roman"/>
          <w:b/>
          <w:color w:val="1F497D"/>
        </w:rPr>
        <w:t xml:space="preserve"> </w:t>
      </w:r>
    </w:p>
    <w:p w:rsidR="00370B85" w14:paraId="072F9F48" w14:textId="77777777">
      <w:pPr>
        <w:pStyle w:val="Heading1"/>
        <w:spacing w:before="199"/>
        <w:ind w:left="0"/>
      </w:pPr>
      <w:r>
        <w:t>Abstract</w:t>
      </w:r>
    </w:p>
    <w:p w:rsidR="0096460D" w:rsidP="0096460D" w14:paraId="48FE352B" w14:textId="77777777">
      <w:pPr>
        <w:widowControl/>
        <w:outlineLvl w:val="0"/>
        <w:rPr>
          <w:rFonts w:eastAsia="Times New Roman"/>
          <w:bCs/>
        </w:rPr>
      </w:pPr>
    </w:p>
    <w:p w:rsidR="0096460D" w:rsidP="00450234" w14:paraId="5B4A8C4F" w14:textId="04108F46">
      <w:pPr>
        <w:widowControl/>
        <w:outlineLvl w:val="0"/>
        <w:rPr>
          <w:rFonts w:eastAsia="Times New Roman"/>
          <w:bCs/>
        </w:rPr>
      </w:pPr>
      <w:r>
        <w:rPr>
          <w:rFonts w:eastAsia="Times New Roman"/>
          <w:bCs/>
        </w:rPr>
        <w:t>This is a resubmission with the final rule, of a request by t</w:t>
      </w:r>
      <w:r w:rsidRPr="0096460D">
        <w:rPr>
          <w:rFonts w:eastAsia="Times New Roman"/>
          <w:bCs/>
        </w:rPr>
        <w:t xml:space="preserve">he </w:t>
      </w:r>
      <w:r w:rsidRPr="0096460D" w:rsidR="00506C74">
        <w:rPr>
          <w:rFonts w:eastAsia="Times New Roman"/>
          <w:bCs/>
        </w:rPr>
        <w:t xml:space="preserve">National Marine Fisheries Service (NMFS), Alaska Regional Office, </w:t>
      </w:r>
      <w:r>
        <w:rPr>
          <w:rFonts w:eastAsia="Times New Roman"/>
          <w:bCs/>
        </w:rPr>
        <w:t>for</w:t>
      </w:r>
      <w:r w:rsidRPr="0096460D">
        <w:rPr>
          <w:rFonts w:eastAsia="Times New Roman"/>
          <w:bCs/>
        </w:rPr>
        <w:t xml:space="preserve"> </w:t>
      </w:r>
      <w:r w:rsidR="00790FE9">
        <w:rPr>
          <w:rFonts w:eastAsia="Times New Roman"/>
          <w:bCs/>
        </w:rPr>
        <w:t>revision</w:t>
      </w:r>
      <w:r w:rsidRPr="0096460D" w:rsidR="00506C74">
        <w:rPr>
          <w:rFonts w:eastAsia="Times New Roman"/>
          <w:bCs/>
        </w:rPr>
        <w:t xml:space="preserve"> of this currently approved information collection. </w:t>
      </w:r>
    </w:p>
    <w:p w:rsidR="00812043" w:rsidP="00450234" w14:paraId="55F59CCC" w14:textId="77777777"/>
    <w:p w:rsidR="00790FE9" w:rsidP="00450234" w14:paraId="4A8D1FBE" w14:textId="777E1579">
      <w:r>
        <w:t xml:space="preserve">This revision </w:t>
      </w:r>
      <w:r w:rsidR="00E618F1">
        <w:t>add</w:t>
      </w:r>
      <w:r w:rsidR="00C2553E">
        <w:t>s</w:t>
      </w:r>
      <w:r w:rsidR="00E618F1">
        <w:t xml:space="preserve"> </w:t>
      </w:r>
      <w:r w:rsidRPr="00E618F1" w:rsidR="00E618F1">
        <w:t>requirements for the purchase and validation o</w:t>
      </w:r>
      <w:r w:rsidR="00E618F1">
        <w:t>f charter halibut stamps, add</w:t>
      </w:r>
      <w:r w:rsidR="00C2553E">
        <w:t>s</w:t>
      </w:r>
      <w:r w:rsidRPr="00E618F1" w:rsidR="00E618F1">
        <w:t xml:space="preserve"> </w:t>
      </w:r>
      <w:r w:rsidR="00A536C6">
        <w:t>a</w:t>
      </w:r>
      <w:r w:rsidRPr="00E618F1" w:rsidR="00A536C6">
        <w:t xml:space="preserve"> </w:t>
      </w:r>
      <w:r w:rsidRPr="00E618F1" w:rsidR="00E618F1">
        <w:t xml:space="preserve">new field to the existing ADF&amp;G saltwater charter logbook to </w:t>
      </w:r>
      <w:r>
        <w:t>validate the stamps</w:t>
      </w:r>
      <w:r w:rsidRPr="00E618F1" w:rsidR="00E618F1">
        <w:t xml:space="preserve">, and </w:t>
      </w:r>
      <w:r w:rsidR="00E618F1">
        <w:t>add</w:t>
      </w:r>
      <w:r w:rsidR="00C2553E">
        <w:t>s</w:t>
      </w:r>
      <w:r w:rsidRPr="00E618F1" w:rsidR="00E618F1">
        <w:t xml:space="preserve"> appeals for an Initial Administrative Determination received for incomplete payment of the stamp fee liability. </w:t>
      </w:r>
      <w:r w:rsidRPr="00D750E7">
        <w:t xml:space="preserve">This </w:t>
      </w:r>
      <w:r w:rsidR="00F51498">
        <w:t>revision</w:t>
      </w:r>
      <w:r w:rsidRPr="00D750E7">
        <w:t xml:space="preserve"> </w:t>
      </w:r>
      <w:r w:rsidR="00C2553E">
        <w:t>does</w:t>
      </w:r>
      <w:r w:rsidRPr="00D750E7" w:rsidR="00C2553E">
        <w:t xml:space="preserve"> </w:t>
      </w:r>
      <w:r w:rsidRPr="00D750E7">
        <w:t xml:space="preserve">not add new respondents to this collection but </w:t>
      </w:r>
      <w:r w:rsidR="00C2553E">
        <w:t>does</w:t>
      </w:r>
      <w:r w:rsidRPr="00D750E7" w:rsidR="00C2553E">
        <w:t xml:space="preserve"> </w:t>
      </w:r>
      <w:r w:rsidRPr="00D750E7">
        <w:t>increase t</w:t>
      </w:r>
      <w:r w:rsidR="00892BE2">
        <w:t>he time burden for the l</w:t>
      </w:r>
      <w:r w:rsidRPr="00D750E7">
        <w:t xml:space="preserve">ogbook from 4 minutes to 5 minutes to include 1 minute for the new field that </w:t>
      </w:r>
      <w:r w:rsidR="00C2553E">
        <w:t>is</w:t>
      </w:r>
      <w:r w:rsidRPr="00D750E7" w:rsidR="00C2553E">
        <w:t xml:space="preserve"> </w:t>
      </w:r>
      <w:r w:rsidRPr="00D750E7">
        <w:t>be</w:t>
      </w:r>
      <w:r w:rsidR="00C2553E">
        <w:t>ing</w:t>
      </w:r>
      <w:r w:rsidRPr="00D750E7">
        <w:t xml:space="preserve"> added to the logbook.</w:t>
      </w:r>
    </w:p>
    <w:p w:rsidR="00A536C6" w:rsidP="00450234" w14:paraId="23078980" w14:textId="77777777"/>
    <w:p w:rsidR="00A536C6" w:rsidP="00A536C6" w14:paraId="7332C64B" w14:textId="2C1ECE2D">
      <w:r>
        <w:t xml:space="preserve">This revision is due to the </w:t>
      </w:r>
      <w:r w:rsidR="00C2553E">
        <w:t xml:space="preserve">final </w:t>
      </w:r>
      <w:r>
        <w:t>rule (RIN 0648-BN18) that require</w:t>
      </w:r>
      <w:r w:rsidR="00C2553E">
        <w:t>s</w:t>
      </w:r>
      <w:r>
        <w:t xml:space="preserve"> a stamp for all charter vessel anglers 18 years of age or older for each calendar day they intend to catch and retain halibut on a charter vessel in </w:t>
      </w:r>
      <w:r w:rsidRPr="00566A4B">
        <w:t>International Pacific Halibut Commission</w:t>
      </w:r>
      <w:r>
        <w:t xml:space="preserve"> Regulatory Areas 2C </w:t>
      </w:r>
      <w:r w:rsidRPr="00566A4B">
        <w:t>(Southeast Alask</w:t>
      </w:r>
      <w:r>
        <w:t xml:space="preserve">a) and 3A (Southcentral Alaska). </w:t>
      </w:r>
      <w:r w:rsidRPr="00790FE9">
        <w:t>This rule is necessary to promote s</w:t>
      </w:r>
      <w:r>
        <w:t>tability</w:t>
      </w:r>
      <w:r w:rsidRPr="00790FE9">
        <w:t xml:space="preserve"> and economic </w:t>
      </w:r>
      <w:r>
        <w:t>viability</w:t>
      </w:r>
      <w:r w:rsidRPr="00790FE9">
        <w:t xml:space="preserve"> in the charter halibut fishery, and is intended to promote the goals and objectives of the </w:t>
      </w:r>
      <w:r w:rsidRPr="00566A4B">
        <w:t xml:space="preserve">Magnuson-Stevens </w:t>
      </w:r>
      <w:r>
        <w:t>Act</w:t>
      </w:r>
      <w:r w:rsidRPr="00566A4B">
        <w:t>,</w:t>
      </w:r>
      <w:r>
        <w:t xml:space="preserve"> the</w:t>
      </w:r>
      <w:r w:rsidRPr="00566A4B">
        <w:t xml:space="preserve"> </w:t>
      </w:r>
      <w:r w:rsidRPr="00790FE9">
        <w:t>Northern Pacific Halibut Act of 1982, and other applicable laws.</w:t>
      </w:r>
    </w:p>
    <w:p w:rsidR="00A02157" w:rsidP="00A02157" w14:paraId="7DEE206E" w14:textId="77777777"/>
    <w:p w:rsidR="00A02157" w:rsidP="00A02157" w14:paraId="335F1F76" w14:textId="6A756EEC">
      <w:r>
        <w:t xml:space="preserve">This information collection contains </w:t>
      </w:r>
      <w:r w:rsidR="004E774A">
        <w:t xml:space="preserve">the </w:t>
      </w:r>
      <w:r>
        <w:t>l</w:t>
      </w:r>
      <w:r w:rsidRPr="00782940">
        <w:t xml:space="preserve">ogbook, landing reports, </w:t>
      </w:r>
      <w:r>
        <w:t xml:space="preserve">permit and transfer </w:t>
      </w:r>
      <w:r w:rsidRPr="00782940">
        <w:t>applications</w:t>
      </w:r>
      <w:r>
        <w:t>,</w:t>
      </w:r>
      <w:r w:rsidRPr="00782940">
        <w:t xml:space="preserve"> and administrative appeals</w:t>
      </w:r>
      <w:r>
        <w:t xml:space="preserve"> for the </w:t>
      </w:r>
      <w:r w:rsidRPr="00D043EB">
        <w:t>Pacific halibut charter fishery</w:t>
      </w:r>
      <w:r>
        <w:t xml:space="preserve"> off Alaska. </w:t>
      </w:r>
      <w:r w:rsidRPr="00906B83">
        <w:t xml:space="preserve">This collection is necessary for NMFS to manage and administer the charter halibut fishery under the Charter Halibut Limited Access Program and the Pacific Halibut Catch Sharing Plan. </w:t>
      </w:r>
    </w:p>
    <w:p w:rsidR="00790FE9" w:rsidP="00450234" w14:paraId="6346C350" w14:textId="77777777"/>
    <w:p w:rsidR="00370B85" w:rsidP="00812043" w14:paraId="530BCB3B" w14:textId="77777777">
      <w:pPr>
        <w:pStyle w:val="Heading1"/>
        <w:spacing w:before="0"/>
        <w:ind w:left="0"/>
      </w:pPr>
      <w:r>
        <w:t>Justification</w:t>
      </w:r>
    </w:p>
    <w:p w:rsidR="00812043" w:rsidP="00812043" w14:paraId="0680876E" w14:textId="77777777">
      <w:pPr>
        <w:pStyle w:val="Heading1"/>
        <w:spacing w:before="0"/>
        <w:ind w:left="0"/>
      </w:pPr>
    </w:p>
    <w:p w:rsidR="00370B85" w:rsidP="00812043" w14:paraId="0BD83725" w14:textId="77777777">
      <w:pPr>
        <w:numPr>
          <w:ilvl w:val="0"/>
          <w:numId w:val="3"/>
        </w:numPr>
        <w:pBdr>
          <w:top w:val="nil"/>
          <w:left w:val="nil"/>
          <w:bottom w:val="nil"/>
          <w:right w:val="nil"/>
          <w:between w:val="nil"/>
        </w:pBdr>
        <w:tabs>
          <w:tab w:val="left" w:pos="360"/>
        </w:tabs>
        <w:spacing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4454" w:rsidP="00F64454" w14:paraId="00C8320E" w14:textId="77777777">
      <w:pPr>
        <w:widowControl/>
        <w:spacing w:after="20"/>
        <w:rPr>
          <w:rFonts w:eastAsia="Calibri"/>
        </w:rPr>
      </w:pPr>
    </w:p>
    <w:p w:rsidR="00F64454" w:rsidRPr="00525C2D" w:rsidP="007D49F5" w14:paraId="1B34EBA0" w14:textId="77777777">
      <w:pPr>
        <w:widowControl/>
        <w:rPr>
          <w:rFonts w:eastAsia="Calibri"/>
        </w:rPr>
      </w:pPr>
      <w:r w:rsidRPr="00525C2D">
        <w:rPr>
          <w:rFonts w:eastAsia="Calibri"/>
        </w:rPr>
        <w:t>Management of and regulations for Pacific halibut (</w:t>
      </w:r>
      <w:r w:rsidRPr="00525C2D">
        <w:rPr>
          <w:rFonts w:eastAsia="Calibri"/>
          <w:i/>
        </w:rPr>
        <w:t>Hippoglossus stenolepis</w:t>
      </w:r>
      <w:r w:rsidRPr="00525C2D">
        <w:rPr>
          <w:rFonts w:eastAsia="Calibri"/>
        </w:rPr>
        <w:t>) in Alaska are developed on the international, Federal, and state levels by the International Pacific Halibut Commission (IPHC), the N</w:t>
      </w:r>
      <w:r>
        <w:rPr>
          <w:rFonts w:eastAsia="Calibri"/>
        </w:rPr>
        <w:t>orth Pacific Fishery Management Council</w:t>
      </w:r>
      <w:r w:rsidRPr="00525C2D">
        <w:rPr>
          <w:rFonts w:eastAsia="Calibri"/>
        </w:rPr>
        <w:t xml:space="preserve"> (Council), National Marine Fisheries Service</w:t>
      </w:r>
      <w:r>
        <w:rPr>
          <w:rFonts w:eastAsia="Calibri"/>
        </w:rPr>
        <w:t xml:space="preserve"> (NMFS)</w:t>
      </w:r>
      <w:r w:rsidRPr="00525C2D">
        <w:rPr>
          <w:rFonts w:eastAsia="Calibri"/>
        </w:rPr>
        <w:t xml:space="preserve"> Alaska Region, and the State of Alaska Depart</w:t>
      </w:r>
      <w:r>
        <w:rPr>
          <w:rFonts w:eastAsia="Calibri"/>
        </w:rPr>
        <w:t xml:space="preserve">ment of Fish and Game (ADF&amp;G). </w:t>
      </w:r>
      <w:r w:rsidRPr="00525C2D">
        <w:rPr>
          <w:rFonts w:eastAsia="Calibri"/>
        </w:rPr>
        <w:t xml:space="preserve">The IPHC and NMFS manage fishing for Pacific halibut through regulations established under authority of the </w:t>
      </w:r>
      <w:hyperlink r:id="rId7" w:history="1">
        <w:r w:rsidRPr="004A2CE2">
          <w:rPr>
            <w:rStyle w:val="Hyperlink"/>
            <w:rFonts w:eastAsia="Calibri"/>
          </w:rPr>
          <w:t>Convention between the United States Halibut Fishery of the Northern Pacific Ocean and Bering Sea</w:t>
        </w:r>
      </w:hyperlink>
      <w:r>
        <w:rPr>
          <w:rStyle w:val="FootnoteReference"/>
          <w:rFonts w:eastAsia="Calibri"/>
        </w:rPr>
        <w:footnoteReference w:id="2"/>
      </w:r>
      <w:r w:rsidRPr="00525C2D">
        <w:rPr>
          <w:rFonts w:eastAsia="Calibri"/>
        </w:rPr>
        <w:t xml:space="preserve"> (Convention), </w:t>
      </w:r>
      <w:r w:rsidRPr="00525C2D">
        <w:rPr>
          <w:rFonts w:eastAsia="Calibri"/>
        </w:rPr>
        <w:t xml:space="preserve">the </w:t>
      </w:r>
      <w:hyperlink r:id="rId8" w:history="1">
        <w:r w:rsidRPr="00FB1784">
          <w:rPr>
            <w:rStyle w:val="Hyperlink"/>
            <w:rFonts w:eastAsia="Calibri"/>
          </w:rPr>
          <w:t>Northern Pacific Halibut Act of 1982, 16 U.S.C. 773c</w:t>
        </w:r>
      </w:hyperlink>
      <w:r>
        <w:rPr>
          <w:rStyle w:val="FootnoteReference"/>
          <w:rFonts w:eastAsia="Calibri"/>
        </w:rPr>
        <w:footnoteReference w:id="3"/>
      </w:r>
      <w:r w:rsidRPr="00525C2D">
        <w:rPr>
          <w:rFonts w:eastAsia="Calibri"/>
        </w:rPr>
        <w:t xml:space="preserve"> (Halibut Act), and </w:t>
      </w:r>
      <w:hyperlink r:id="rId9" w:history="1">
        <w:r>
          <w:rPr>
            <w:rStyle w:val="Hyperlink"/>
            <w:rFonts w:eastAsia="Calibri"/>
          </w:rPr>
          <w:t>s</w:t>
        </w:r>
        <w:r w:rsidRPr="00B27C02">
          <w:rPr>
            <w:rStyle w:val="Hyperlink"/>
            <w:rFonts w:eastAsia="Calibri"/>
          </w:rPr>
          <w:t>ection 303(b) of the Magnuson-Stevens Fishery Conservation and Management Act</w:t>
        </w:r>
      </w:hyperlink>
      <w:r>
        <w:rPr>
          <w:rStyle w:val="FootnoteReference"/>
          <w:rFonts w:eastAsia="Calibri"/>
        </w:rPr>
        <w:footnoteReference w:id="4"/>
      </w:r>
      <w:r w:rsidRPr="00525C2D">
        <w:rPr>
          <w:rFonts w:eastAsia="Calibri"/>
        </w:rPr>
        <w:t xml:space="preserve"> (16 U.S.C. 1801 </w:t>
      </w:r>
      <w:r w:rsidRPr="00525C2D">
        <w:rPr>
          <w:rFonts w:eastAsia="Calibri"/>
          <w:i/>
        </w:rPr>
        <w:t>et seq</w:t>
      </w:r>
      <w:r w:rsidRPr="00525C2D">
        <w:rPr>
          <w:rFonts w:eastAsia="Calibri"/>
        </w:rPr>
        <w:t>.).</w:t>
      </w:r>
      <w:r w:rsidR="00154F79">
        <w:rPr>
          <w:rFonts w:eastAsia="Calibri"/>
        </w:rPr>
        <w:t xml:space="preserve"> </w:t>
      </w:r>
    </w:p>
    <w:p w:rsidR="00F64454" w:rsidRPr="00525C2D" w:rsidP="007D49F5" w14:paraId="584016DE" w14:textId="77777777">
      <w:pPr>
        <w:widowControl/>
        <w:rPr>
          <w:rFonts w:eastAsia="Calibri"/>
        </w:rPr>
      </w:pPr>
    </w:p>
    <w:p w:rsidR="00F64454" w:rsidRPr="00525C2D" w:rsidP="007D49F5" w14:paraId="2DBA1B67" w14:textId="77777777">
      <w:pPr>
        <w:widowControl/>
        <w:rPr>
          <w:rFonts w:eastAsia="Calibri"/>
        </w:rPr>
      </w:pPr>
      <w:r w:rsidRPr="00525C2D">
        <w:rPr>
          <w:rFonts w:eastAsia="Calibri"/>
        </w:rPr>
        <w:t xml:space="preserve">NMFS manages the charter halibut fishery off Alaska under the Charter Halibut Limited Access Program </w:t>
      </w:r>
      <w:r>
        <w:rPr>
          <w:rFonts w:eastAsia="Calibri"/>
        </w:rPr>
        <w:t xml:space="preserve">(CHLAP), </w:t>
      </w:r>
      <w:r w:rsidRPr="00525C2D">
        <w:rPr>
          <w:rFonts w:eastAsia="Calibri"/>
        </w:rPr>
        <w:t>the Pacific Halibut Catch Sharing Plan</w:t>
      </w:r>
      <w:r>
        <w:rPr>
          <w:rFonts w:eastAsia="Calibri"/>
        </w:rPr>
        <w:t xml:space="preserve"> (CSP)</w:t>
      </w:r>
      <w:r w:rsidRPr="00590322" w:rsidR="00590322">
        <w:t xml:space="preserve"> </w:t>
      </w:r>
      <w:r w:rsidR="00590322">
        <w:t>f</w:t>
      </w:r>
      <w:r w:rsidRPr="00590322" w:rsidR="00590322">
        <w:rPr>
          <w:rFonts w:eastAsia="Calibri"/>
        </w:rPr>
        <w:t xml:space="preserve">or commercial and charter halibut fisheries in </w:t>
      </w:r>
      <w:r w:rsidR="00966907">
        <w:rPr>
          <w:rFonts w:eastAsia="Calibri"/>
        </w:rPr>
        <w:t xml:space="preserve">IPHC Regulatory </w:t>
      </w:r>
      <w:r w:rsidRPr="00590322" w:rsidR="00590322">
        <w:rPr>
          <w:rFonts w:eastAsia="Calibri"/>
        </w:rPr>
        <w:t>Areas 2C and 3A</w:t>
      </w:r>
      <w:r>
        <w:rPr>
          <w:rFonts w:eastAsia="Calibri"/>
        </w:rPr>
        <w:t>, and the Recreational Quota Entity (RQE) Program</w:t>
      </w:r>
      <w:r w:rsidRPr="00525C2D">
        <w:rPr>
          <w:rFonts w:eastAsia="Calibri"/>
        </w:rPr>
        <w:t xml:space="preserve">. Regulations for the charter halibut fishery off Alaska are determined annually by the Council and the IPHC. NMFS publishes these regulations each year as part of the </w:t>
      </w:r>
      <w:hyperlink r:id="rId10" w:history="1">
        <w:r w:rsidRPr="00525C2D">
          <w:rPr>
            <w:rFonts w:eastAsia="Calibri"/>
            <w:color w:val="0000FF"/>
            <w:u w:val="single"/>
          </w:rPr>
          <w:t>IPHC annual management measures</w:t>
        </w:r>
      </w:hyperlink>
      <w:r w:rsidRPr="003D0A14" w:rsidR="003D0A14">
        <w:rPr>
          <w:rFonts w:eastAsia="Calibri"/>
        </w:rPr>
        <w:t>.</w:t>
      </w:r>
      <w:r>
        <w:rPr>
          <w:rStyle w:val="FootnoteReference"/>
          <w:rFonts w:eastAsia="Calibri"/>
        </w:rPr>
        <w:footnoteReference w:id="5"/>
      </w:r>
      <w:r w:rsidRPr="00525C2D">
        <w:rPr>
          <w:rFonts w:eastAsia="Calibri"/>
        </w:rPr>
        <w:t xml:space="preserve"> </w:t>
      </w:r>
    </w:p>
    <w:p w:rsidR="00F64454" w:rsidP="007D49F5" w14:paraId="57BA0AFE" w14:textId="77777777">
      <w:pPr>
        <w:widowControl/>
        <w:rPr>
          <w:rFonts w:eastAsia="Calibri"/>
        </w:rPr>
      </w:pPr>
    </w:p>
    <w:p w:rsidR="00875B8B" w:rsidRPr="00525C2D" w:rsidP="00875B8B" w14:paraId="1744A48B" w14:textId="77777777">
      <w:pPr>
        <w:widowControl/>
        <w:rPr>
          <w:rFonts w:eastAsia="Calibri"/>
        </w:rPr>
      </w:pPr>
      <w:r w:rsidRPr="00892BE2">
        <w:rPr>
          <w:rFonts w:eastAsia="Calibri"/>
        </w:rPr>
        <w:t xml:space="preserve">This information collection contains the logbook, landing reports, permit and transfer applications, and administrative appeals for the Pacific halibut charter fishery off Alaska. </w:t>
      </w:r>
      <w:r w:rsidRPr="00525C2D">
        <w:rPr>
          <w:rFonts w:eastAsia="Calibri"/>
        </w:rPr>
        <w:t xml:space="preserve">This collection of information is necessary for NMFS to manage </w:t>
      </w:r>
      <w:r>
        <w:rPr>
          <w:rFonts w:eastAsia="Calibri"/>
        </w:rPr>
        <w:t xml:space="preserve">and administer </w:t>
      </w:r>
      <w:r w:rsidRPr="00525C2D">
        <w:rPr>
          <w:rFonts w:eastAsia="Calibri"/>
        </w:rPr>
        <w:t xml:space="preserve">the </w:t>
      </w:r>
      <w:r w:rsidRPr="00E86CA8">
        <w:rPr>
          <w:rFonts w:eastAsia="Calibri"/>
        </w:rPr>
        <w:t xml:space="preserve">charter halibut </w:t>
      </w:r>
      <w:r w:rsidRPr="00525C2D">
        <w:rPr>
          <w:rFonts w:eastAsia="Calibri"/>
        </w:rPr>
        <w:t>fishery under the CHLAP</w:t>
      </w:r>
      <w:r>
        <w:rPr>
          <w:rFonts w:eastAsia="Calibri"/>
        </w:rPr>
        <w:t xml:space="preserve">, </w:t>
      </w:r>
      <w:r w:rsidRPr="00525C2D">
        <w:rPr>
          <w:rFonts w:eastAsia="Calibri"/>
        </w:rPr>
        <w:t>the CSP</w:t>
      </w:r>
      <w:r>
        <w:rPr>
          <w:rFonts w:eastAsia="Calibri"/>
        </w:rPr>
        <w:t>, and the RQE Program</w:t>
      </w:r>
      <w:r w:rsidRPr="00525C2D">
        <w:rPr>
          <w:rFonts w:eastAsia="Calibri"/>
        </w:rPr>
        <w:t xml:space="preserve">. </w:t>
      </w:r>
      <w:r w:rsidRPr="00D750E7" w:rsidR="00D750E7">
        <w:rPr>
          <w:rFonts w:eastAsia="Calibri"/>
        </w:rPr>
        <w:t>This collection is an essential part of the sustainable management of the Pacific halibut fishery off Alaska, and is an integral element of ensuring regulatory compliance in the charter halibut fishing sector.</w:t>
      </w:r>
      <w:r w:rsidR="00D750E7">
        <w:rPr>
          <w:rFonts w:eastAsia="Calibri"/>
        </w:rPr>
        <w:t xml:space="preserve"> </w:t>
      </w:r>
      <w:r>
        <w:rPr>
          <w:rFonts w:eastAsia="Calibri"/>
        </w:rPr>
        <w:t>A limited access program with catch share elements provides stability and increases net benefits from the fishery, but does require additional administration to ensure compliance. I</w:t>
      </w:r>
      <w:r w:rsidRPr="00525C2D">
        <w:rPr>
          <w:rFonts w:eastAsia="Calibri"/>
        </w:rPr>
        <w:t>nformation on the CHLAP</w:t>
      </w:r>
      <w:r>
        <w:rPr>
          <w:rFonts w:eastAsia="Calibri"/>
        </w:rPr>
        <w:t>,</w:t>
      </w:r>
      <w:r w:rsidRPr="00525C2D">
        <w:rPr>
          <w:rFonts w:eastAsia="Calibri"/>
        </w:rPr>
        <w:t xml:space="preserve"> CSP</w:t>
      </w:r>
      <w:r>
        <w:rPr>
          <w:rFonts w:eastAsia="Calibri"/>
        </w:rPr>
        <w:t>, and the RQE Program</w:t>
      </w:r>
      <w:r w:rsidRPr="00525C2D">
        <w:rPr>
          <w:rFonts w:eastAsia="Calibri"/>
        </w:rPr>
        <w:t xml:space="preserve"> is on the </w:t>
      </w:r>
      <w:r w:rsidRPr="00502CFB">
        <w:rPr>
          <w:rFonts w:eastAsia="Calibri"/>
        </w:rPr>
        <w:t xml:space="preserve">NMFS Alaska Region website </w:t>
      </w:r>
      <w:r>
        <w:rPr>
          <w:rFonts w:eastAsia="Calibri"/>
        </w:rPr>
        <w:t xml:space="preserve">at </w:t>
      </w:r>
      <w:hyperlink r:id="rId11" w:history="1">
        <w:r w:rsidRPr="00386A61">
          <w:rPr>
            <w:rStyle w:val="Hyperlink"/>
            <w:rFonts w:eastAsia="Calibri"/>
          </w:rPr>
          <w:t>https://www.fisheries.noaa.gov/alaska/resources-fishing/sport-halibut-fishing-alaska</w:t>
        </w:r>
      </w:hyperlink>
      <w:r>
        <w:rPr>
          <w:rFonts w:eastAsia="Calibri"/>
        </w:rPr>
        <w:t xml:space="preserve"> </w:t>
      </w:r>
      <w:r w:rsidRPr="00525C2D">
        <w:rPr>
          <w:rFonts w:eastAsia="Calibri"/>
        </w:rPr>
        <w:t xml:space="preserve">and </w:t>
      </w:r>
      <w:r w:rsidR="006D6074">
        <w:rPr>
          <w:rFonts w:eastAsia="Calibri"/>
        </w:rPr>
        <w:t xml:space="preserve">in regulations </w:t>
      </w:r>
      <w:r w:rsidRPr="00525C2D">
        <w:rPr>
          <w:rFonts w:eastAsia="Calibri"/>
        </w:rPr>
        <w:t xml:space="preserve">at 50 CFR </w:t>
      </w:r>
      <w:hyperlink r:id="rId12" w:history="1">
        <w:r w:rsidRPr="00C731C8">
          <w:rPr>
            <w:rStyle w:val="Hyperlink"/>
            <w:rFonts w:eastAsia="Calibri"/>
          </w:rPr>
          <w:t>300.65</w:t>
        </w:r>
      </w:hyperlink>
      <w:r>
        <w:rPr>
          <w:rStyle w:val="FootnoteReference"/>
          <w:rFonts w:eastAsia="Calibri"/>
        </w:rPr>
        <w:footnoteReference w:id="6"/>
      </w:r>
      <w:r w:rsidRPr="00525C2D">
        <w:rPr>
          <w:rFonts w:eastAsia="Calibri"/>
        </w:rPr>
        <w:t xml:space="preserve"> and </w:t>
      </w:r>
      <w:hyperlink r:id="rId13" w:history="1">
        <w:r w:rsidRPr="00C731C8">
          <w:rPr>
            <w:rStyle w:val="Hyperlink"/>
            <w:rFonts w:eastAsia="Calibri"/>
          </w:rPr>
          <w:t>300.67</w:t>
        </w:r>
      </w:hyperlink>
      <w:r>
        <w:rPr>
          <w:rStyle w:val="FootnoteReference"/>
          <w:rFonts w:eastAsia="Calibri"/>
        </w:rPr>
        <w:footnoteReference w:id="7"/>
      </w:r>
      <w:r w:rsidRPr="00525C2D">
        <w:rPr>
          <w:rFonts w:eastAsia="Calibri"/>
        </w:rPr>
        <w:t xml:space="preserve">. </w:t>
      </w:r>
    </w:p>
    <w:p w:rsidR="00875B8B" w:rsidRPr="00525C2D" w:rsidP="00875B8B" w14:paraId="3F691C0C" w14:textId="77777777">
      <w:pPr>
        <w:widowControl/>
        <w:rPr>
          <w:rFonts w:eastAsia="Calibri"/>
        </w:rPr>
      </w:pPr>
    </w:p>
    <w:p w:rsidR="00F64454" w:rsidRPr="00525C2D" w:rsidP="007D49F5" w14:paraId="3E65D100" w14:textId="77777777">
      <w:pPr>
        <w:widowControl/>
        <w:rPr>
          <w:rFonts w:eastAsia="Calibri"/>
        </w:rPr>
      </w:pPr>
      <w:r w:rsidRPr="00525C2D">
        <w:rPr>
          <w:rFonts w:eastAsia="Calibri"/>
        </w:rPr>
        <w:t>NMFS implemented the CHLAP</w:t>
      </w:r>
      <w:r>
        <w:rPr>
          <w:rFonts w:eastAsia="Calibri"/>
        </w:rPr>
        <w:t xml:space="preserve"> in 2010</w:t>
      </w:r>
      <w:r w:rsidRPr="00525C2D">
        <w:rPr>
          <w:rFonts w:eastAsia="Calibri"/>
        </w:rPr>
        <w:t xml:space="preserve"> to meet allocation objectives in the charter halibut fishery and provide stability in this fishery by limiting the number of charter vessels that operate in IPHC regulatory areas 2C (Southeast Alaska; Area 2C) and 3A (Central Gulf of Alaska; Area 3A)</w:t>
      </w:r>
      <w:r w:rsidRPr="00525C2D">
        <w:t xml:space="preserve"> </w:t>
      </w:r>
      <w:r w:rsidRPr="00525C2D">
        <w:rPr>
          <w:rFonts w:eastAsia="Calibri"/>
        </w:rPr>
        <w:t>(</w:t>
      </w:r>
      <w:hyperlink r:id="rId14" w:history="1">
        <w:r w:rsidRPr="00351004">
          <w:rPr>
            <w:rStyle w:val="Hyperlink"/>
            <w:rFonts w:eastAsia="Calibri"/>
          </w:rPr>
          <w:t>75 FR 554, January 5, 2010</w:t>
        </w:r>
      </w:hyperlink>
      <w:r w:rsidRPr="00525C2D">
        <w:rPr>
          <w:rFonts w:eastAsia="Calibri"/>
        </w:rPr>
        <w:t>).</w:t>
      </w:r>
      <w:r>
        <w:rPr>
          <w:rStyle w:val="FootnoteReference"/>
          <w:rFonts w:eastAsia="Calibri"/>
        </w:rPr>
        <w:footnoteReference w:id="8"/>
      </w:r>
      <w:r w:rsidRPr="00525C2D">
        <w:rPr>
          <w:rFonts w:eastAsia="Calibri"/>
        </w:rPr>
        <w:t xml:space="preserve"> The CHLAP established new </w:t>
      </w:r>
      <w:r w:rsidRPr="00892BE2" w:rsidR="00892BE2">
        <w:rPr>
          <w:rFonts w:eastAsia="Calibri"/>
        </w:rPr>
        <w:t xml:space="preserve">Federal charter halibut permits </w:t>
      </w:r>
      <w:r w:rsidR="00892BE2">
        <w:rPr>
          <w:rFonts w:eastAsia="Calibri"/>
        </w:rPr>
        <w:t>(</w:t>
      </w:r>
      <w:r w:rsidRPr="00525C2D">
        <w:rPr>
          <w:rFonts w:eastAsia="Calibri"/>
        </w:rPr>
        <w:t>CHPs</w:t>
      </w:r>
      <w:r w:rsidR="00892BE2">
        <w:rPr>
          <w:rFonts w:eastAsia="Calibri"/>
        </w:rPr>
        <w:t>)</w:t>
      </w:r>
      <w:r w:rsidRPr="00525C2D">
        <w:rPr>
          <w:rFonts w:eastAsia="Calibri"/>
        </w:rPr>
        <w:t xml:space="preserve"> for operators in the charter halibut fishery in Areas 2C and 3A. </w:t>
      </w:r>
    </w:p>
    <w:p w:rsidR="00F64454" w:rsidP="007D49F5" w14:paraId="630FC244" w14:textId="77777777">
      <w:pPr>
        <w:widowControl/>
        <w:rPr>
          <w:rFonts w:eastAsia="Calibri"/>
        </w:rPr>
      </w:pPr>
    </w:p>
    <w:p w:rsidR="006D6074" w:rsidP="006D6074" w14:paraId="6E9C9FAA" w14:textId="77777777">
      <w:pPr>
        <w:widowControl/>
        <w:rPr>
          <w:rFonts w:eastAsia="Calibri"/>
        </w:rPr>
      </w:pPr>
      <w:r w:rsidRPr="006D6074">
        <w:rPr>
          <w:rFonts w:eastAsia="Calibri"/>
        </w:rPr>
        <w:t xml:space="preserve">Under the CHLAP, CHPs and </w:t>
      </w:r>
      <w:r w:rsidR="00AE35AF">
        <w:rPr>
          <w:rFonts w:eastAsia="Calibri"/>
        </w:rPr>
        <w:t>m</w:t>
      </w:r>
      <w:r w:rsidRPr="006D6074" w:rsidR="00AE35AF">
        <w:rPr>
          <w:rFonts w:eastAsia="Calibri"/>
        </w:rPr>
        <w:t xml:space="preserve">ilitary </w:t>
      </w:r>
      <w:r w:rsidRPr="006D6074">
        <w:rPr>
          <w:rFonts w:eastAsia="Calibri"/>
        </w:rPr>
        <w:t xml:space="preserve">CHPs are required at 50 CFR 300.67 for charter vessels operating in Areas 2C and 3A. </w:t>
      </w:r>
      <w:r w:rsidRPr="00525C2D">
        <w:rPr>
          <w:rFonts w:eastAsia="Calibri"/>
        </w:rPr>
        <w:t>Since February 1, 2011, all vessel operators in these areas with charter anglers catching and retaining halibut must have a valid CHP on board during every charter halibut vessel fishing trip.</w:t>
      </w:r>
      <w:r w:rsidRPr="006D6074">
        <w:t xml:space="preserve"> </w:t>
      </w:r>
      <w:r w:rsidRPr="006D6074">
        <w:rPr>
          <w:rFonts w:eastAsia="Calibri"/>
        </w:rPr>
        <w:t xml:space="preserve">To receive a CHP (other than a </w:t>
      </w:r>
      <w:r w:rsidR="00AE35AF">
        <w:rPr>
          <w:rFonts w:eastAsia="Calibri"/>
        </w:rPr>
        <w:t>m</w:t>
      </w:r>
      <w:r w:rsidRPr="006D6074" w:rsidR="00AE35AF">
        <w:rPr>
          <w:rFonts w:eastAsia="Calibri"/>
        </w:rPr>
        <w:t xml:space="preserve">ilitary </w:t>
      </w:r>
      <w:r w:rsidRPr="006D6074">
        <w:rPr>
          <w:rFonts w:eastAsia="Calibri"/>
        </w:rPr>
        <w:t xml:space="preserve">CHP or a </w:t>
      </w:r>
      <w:r w:rsidR="00AE35AF">
        <w:rPr>
          <w:rFonts w:eastAsia="Calibri"/>
        </w:rPr>
        <w:t>c</w:t>
      </w:r>
      <w:r w:rsidRPr="006D6074" w:rsidR="00AE35AF">
        <w:rPr>
          <w:rFonts w:eastAsia="Calibri"/>
        </w:rPr>
        <w:t xml:space="preserve">ommunity </w:t>
      </w:r>
      <w:r w:rsidRPr="006D6074">
        <w:rPr>
          <w:rFonts w:eastAsia="Calibri"/>
        </w:rPr>
        <w:t>CHP), an eligible applicant needed to apply during the application period</w:t>
      </w:r>
      <w:r>
        <w:rPr>
          <w:rFonts w:eastAsia="Calibri"/>
        </w:rPr>
        <w:t xml:space="preserve"> in 2010</w:t>
      </w:r>
      <w:r w:rsidRPr="006D6074">
        <w:rPr>
          <w:rFonts w:eastAsia="Calibri"/>
        </w:rPr>
        <w:t xml:space="preserve"> (</w:t>
      </w:r>
      <w:hyperlink r:id="rId15" w:history="1">
        <w:r w:rsidRPr="00354B2B">
          <w:rPr>
            <w:rStyle w:val="Hyperlink"/>
            <w:rFonts w:eastAsia="Calibri"/>
          </w:rPr>
          <w:t>75 FR 1595, January 12, 2010</w:t>
        </w:r>
      </w:hyperlink>
      <w:r>
        <w:rPr>
          <w:rFonts w:eastAsia="Calibri"/>
        </w:rPr>
        <w:t>).</w:t>
      </w:r>
      <w:r>
        <w:rPr>
          <w:rStyle w:val="FootnoteReference"/>
          <w:rFonts w:eastAsia="Calibri"/>
        </w:rPr>
        <w:footnoteReference w:id="9"/>
      </w:r>
      <w:r>
        <w:rPr>
          <w:rFonts w:eastAsia="Calibri"/>
        </w:rPr>
        <w:t xml:space="preserve"> </w:t>
      </w:r>
      <w:r w:rsidRPr="006D6074">
        <w:rPr>
          <w:rFonts w:eastAsia="Calibri"/>
        </w:rPr>
        <w:t xml:space="preserve">As the application period and selection process for initial issuance of CHPs has ended, no new CHPs (other than </w:t>
      </w:r>
      <w:r w:rsidR="00AE35AF">
        <w:rPr>
          <w:rFonts w:eastAsia="Calibri"/>
        </w:rPr>
        <w:t>m</w:t>
      </w:r>
      <w:r w:rsidRPr="006D6074" w:rsidR="00AE35AF">
        <w:rPr>
          <w:rFonts w:eastAsia="Calibri"/>
        </w:rPr>
        <w:t xml:space="preserve">ilitary </w:t>
      </w:r>
      <w:r w:rsidRPr="006D6074">
        <w:rPr>
          <w:rFonts w:eastAsia="Calibri"/>
        </w:rPr>
        <w:t xml:space="preserve">CHPs and </w:t>
      </w:r>
      <w:r w:rsidR="00AE35AF">
        <w:rPr>
          <w:rFonts w:eastAsia="Calibri"/>
        </w:rPr>
        <w:t>c</w:t>
      </w:r>
      <w:r w:rsidRPr="006D6074" w:rsidR="00AE35AF">
        <w:rPr>
          <w:rFonts w:eastAsia="Calibri"/>
        </w:rPr>
        <w:t xml:space="preserve">ommunity </w:t>
      </w:r>
      <w:r w:rsidRPr="006D6074">
        <w:rPr>
          <w:rFonts w:eastAsia="Calibri"/>
        </w:rPr>
        <w:t xml:space="preserve">CHPs) will be issued, and CHPs may only be obtained through transfer. Eligible applicants may apply for </w:t>
      </w:r>
      <w:r w:rsidR="00AE35AF">
        <w:rPr>
          <w:rFonts w:eastAsia="Calibri"/>
        </w:rPr>
        <w:t>m</w:t>
      </w:r>
      <w:r w:rsidRPr="006D6074" w:rsidR="00AE35AF">
        <w:rPr>
          <w:rFonts w:eastAsia="Calibri"/>
        </w:rPr>
        <w:t xml:space="preserve">ilitary </w:t>
      </w:r>
      <w:r w:rsidRPr="006D6074">
        <w:rPr>
          <w:rFonts w:eastAsia="Calibri"/>
        </w:rPr>
        <w:t xml:space="preserve">CHPs or </w:t>
      </w:r>
      <w:r w:rsidR="00AE35AF">
        <w:rPr>
          <w:rFonts w:eastAsia="Calibri"/>
        </w:rPr>
        <w:t>c</w:t>
      </w:r>
      <w:r w:rsidRPr="006D6074">
        <w:rPr>
          <w:rFonts w:eastAsia="Calibri"/>
        </w:rPr>
        <w:t xml:space="preserve">ommunity CHPs at any time. Community CHPs are approved under OMB Control Number 0648-0665 (Alaska Community Quota Entity </w:t>
      </w:r>
      <w:r w:rsidR="00966907">
        <w:rPr>
          <w:rFonts w:eastAsia="Calibri"/>
        </w:rPr>
        <w:t>[</w:t>
      </w:r>
      <w:r w:rsidRPr="006D6074">
        <w:rPr>
          <w:rFonts w:eastAsia="Calibri"/>
        </w:rPr>
        <w:t>CQE</w:t>
      </w:r>
      <w:r w:rsidR="00966907">
        <w:rPr>
          <w:rFonts w:eastAsia="Calibri"/>
        </w:rPr>
        <w:t>]</w:t>
      </w:r>
      <w:r w:rsidRPr="006D6074" w:rsidR="00966907">
        <w:rPr>
          <w:rFonts w:eastAsia="Calibri"/>
        </w:rPr>
        <w:t xml:space="preserve"> </w:t>
      </w:r>
      <w:r w:rsidRPr="006D6074">
        <w:rPr>
          <w:rFonts w:eastAsia="Calibri"/>
        </w:rPr>
        <w:t>Program).</w:t>
      </w:r>
    </w:p>
    <w:p w:rsidR="006D6074" w:rsidP="006D6074" w14:paraId="09A62B5B" w14:textId="77777777">
      <w:pPr>
        <w:widowControl/>
        <w:rPr>
          <w:rFonts w:eastAsia="Calibri"/>
        </w:rPr>
      </w:pPr>
    </w:p>
    <w:p w:rsidR="00F64454" w:rsidRPr="00525C2D" w:rsidP="007D49F5" w14:paraId="46D9F96E" w14:textId="77777777">
      <w:pPr>
        <w:widowControl/>
        <w:rPr>
          <w:rFonts w:eastAsia="Calibri"/>
        </w:rPr>
      </w:pPr>
      <w:r w:rsidRPr="00525C2D">
        <w:t xml:space="preserve">The charter halibut sector in Area 2C and 3A is managed to charter catch limits established </w:t>
      </w:r>
      <w:r w:rsidRPr="00194C45">
        <w:t xml:space="preserve">under the CSP. </w:t>
      </w:r>
      <w:r w:rsidRPr="00525C2D">
        <w:rPr>
          <w:rFonts w:eastAsia="Calibri"/>
        </w:rPr>
        <w:t>In January 2014, NMFS implemented the CSP to maintain stability, economic viability, and diversity of halibut user groups by addressing allocation conflicts between participants in the commercial and charter halibut fisheries (</w:t>
      </w:r>
      <w:hyperlink r:id="rId16" w:history="1">
        <w:r w:rsidRPr="00C60AB6">
          <w:rPr>
            <w:rStyle w:val="Hyperlink"/>
            <w:rFonts w:eastAsia="Calibri"/>
          </w:rPr>
          <w:t>78 FR 75844, December 12, 2013</w:t>
        </w:r>
      </w:hyperlink>
      <w:r w:rsidRPr="00525C2D">
        <w:rPr>
          <w:rFonts w:eastAsia="Calibri"/>
        </w:rPr>
        <w:t>).</w:t>
      </w:r>
      <w:r>
        <w:rPr>
          <w:rStyle w:val="FootnoteReference"/>
          <w:rFonts w:eastAsia="Calibri"/>
        </w:rPr>
        <w:footnoteReference w:id="10"/>
      </w:r>
      <w:r w:rsidRPr="00525C2D">
        <w:rPr>
          <w:rFonts w:eastAsia="Calibri"/>
        </w:rPr>
        <w:t xml:space="preserve"> The CSP establishes sector allocations that vary in proportion with levels of annual halibut abundance and that balance the needs of the charter and commercial halibut fisheries over a wide range of halibut abundance in each area. Under the CSP, the Council develops recommendations to the IPHC for charter angler harvest restrictions that are intended to limit harvest to the annual charter halibut fishery catch limit in each area. </w:t>
      </w:r>
    </w:p>
    <w:p w:rsidR="00875B8B" w:rsidP="00875B8B" w14:paraId="3342D3B8" w14:textId="77777777">
      <w:pPr>
        <w:widowControl/>
      </w:pPr>
    </w:p>
    <w:p w:rsidR="00F64454" w:rsidRPr="00525C2D" w:rsidP="007D49F5" w14:paraId="25C0FCC2" w14:textId="77777777">
      <w:pPr>
        <w:widowControl/>
        <w:rPr>
          <w:rFonts w:eastAsia="Calibri"/>
        </w:rPr>
      </w:pPr>
      <w:r w:rsidRPr="00525C2D">
        <w:rPr>
          <w:rFonts w:eastAsia="Calibri"/>
        </w:rPr>
        <w:t>The CSP includes the Guided Angler Fish (GAF) Program, which authorizes limited annual transfers of commercial halibut</w:t>
      </w:r>
      <w:r w:rsidRPr="00525C2D">
        <w:t xml:space="preserve"> </w:t>
      </w:r>
      <w:r w:rsidR="00892BE2">
        <w:t>individual fishing quota (</w:t>
      </w:r>
      <w:r w:rsidRPr="00525C2D">
        <w:rPr>
          <w:rFonts w:eastAsia="Calibri"/>
        </w:rPr>
        <w:t>IFQ</w:t>
      </w:r>
      <w:r w:rsidR="00892BE2">
        <w:rPr>
          <w:rFonts w:eastAsia="Calibri"/>
        </w:rPr>
        <w:t>)</w:t>
      </w:r>
      <w:r w:rsidRPr="00525C2D">
        <w:rPr>
          <w:rFonts w:eastAsia="Calibri"/>
        </w:rPr>
        <w:t xml:space="preserve"> as GAF to qualified CHP holders for harvest by charter vessel anglers in Areas 2C or 3A. GAF and GAF permits enable CHP holders to lease a limited amount of </w:t>
      </w:r>
      <w:r w:rsidRPr="00A8312B">
        <w:rPr>
          <w:rFonts w:eastAsia="Calibri"/>
        </w:rPr>
        <w:t>IFQ</w:t>
      </w:r>
      <w:r w:rsidRPr="00525C2D">
        <w:rPr>
          <w:rFonts w:eastAsia="Calibri"/>
        </w:rPr>
        <w:t xml:space="preserve"> from commercial quota </w:t>
      </w:r>
      <w:r w:rsidRPr="00525C2D">
        <w:rPr>
          <w:rFonts w:eastAsia="Calibri"/>
        </w:rPr>
        <w:t>share holders</w:t>
      </w:r>
      <w:r w:rsidRPr="00525C2D">
        <w:rPr>
          <w:rFonts w:eastAsia="Calibri"/>
        </w:rPr>
        <w:t xml:space="preserve"> to allow charter vessel anglers to harvest halibut in addition to, or instead of, the halibut harvested under the daily bag limit for charter anglers. GAF harvested in the charter halibut fishery is accounted for as commercial halibut IFQ harvest.</w:t>
      </w:r>
    </w:p>
    <w:p w:rsidR="005B4000" w:rsidP="007D49F5" w14:paraId="77AD59D1" w14:textId="77777777">
      <w:pPr>
        <w:adjustRightInd w:val="0"/>
      </w:pPr>
    </w:p>
    <w:p w:rsidR="005B4000" w:rsidP="005B4000" w14:paraId="505BA1BC" w14:textId="77777777">
      <w:pPr>
        <w:adjustRightInd w:val="0"/>
        <w:rPr>
          <w:rFonts w:eastAsia="Times New Roman"/>
        </w:rPr>
      </w:pPr>
      <w:r w:rsidRPr="008C788F">
        <w:rPr>
          <w:rFonts w:eastAsia="Times New Roman"/>
        </w:rPr>
        <w:t xml:space="preserve">The </w:t>
      </w:r>
      <w:r>
        <w:rPr>
          <w:rFonts w:eastAsia="Times New Roman"/>
        </w:rPr>
        <w:t>Recreational Quota Entity (</w:t>
      </w:r>
      <w:r w:rsidRPr="008C788F">
        <w:rPr>
          <w:rFonts w:eastAsia="Times New Roman"/>
        </w:rPr>
        <w:t>RQE</w:t>
      </w:r>
      <w:r>
        <w:rPr>
          <w:rFonts w:eastAsia="Times New Roman"/>
        </w:rPr>
        <w:t>)</w:t>
      </w:r>
      <w:r w:rsidRPr="008C788F">
        <w:rPr>
          <w:rFonts w:eastAsia="Times New Roman"/>
        </w:rPr>
        <w:t xml:space="preserve"> Program was established in 2018 as part of the </w:t>
      </w:r>
      <w:r w:rsidRPr="007A6493">
        <w:t xml:space="preserve">Pacific Halibut and Sablefish IFQ Program </w:t>
      </w:r>
      <w:r>
        <w:t>(</w:t>
      </w:r>
      <w:r w:rsidRPr="008C788F">
        <w:rPr>
          <w:rFonts w:eastAsia="Times New Roman"/>
        </w:rPr>
        <w:t>IFQ Program</w:t>
      </w:r>
      <w:r>
        <w:rPr>
          <w:rFonts w:eastAsia="Times New Roman"/>
        </w:rPr>
        <w:t>)</w:t>
      </w:r>
      <w:r w:rsidRPr="008C788F">
        <w:rPr>
          <w:rFonts w:eastAsia="Times New Roman"/>
        </w:rPr>
        <w:t xml:space="preserve"> in IPHC Regulatory Areas 2C and 3A</w:t>
      </w:r>
      <w:r>
        <w:rPr>
          <w:rFonts w:eastAsia="Times New Roman"/>
        </w:rPr>
        <w:t xml:space="preserve"> </w:t>
      </w:r>
      <w:r w:rsidRPr="007A6493">
        <w:t>(</w:t>
      </w:r>
      <w:hyperlink r:id="rId17" w:history="1">
        <w:r w:rsidRPr="003D0A14">
          <w:rPr>
            <w:rStyle w:val="Hyperlink"/>
          </w:rPr>
          <w:t>83 FR 47819, September 21, 2018</w:t>
        </w:r>
      </w:hyperlink>
      <w:r w:rsidRPr="007A6493">
        <w:t>)</w:t>
      </w:r>
      <w:r>
        <w:t>.</w:t>
      </w:r>
      <w:r>
        <w:rPr>
          <w:rStyle w:val="FootnoteReference"/>
        </w:rPr>
        <w:footnoteReference w:id="11"/>
      </w:r>
      <w:r w:rsidRPr="008C788F">
        <w:rPr>
          <w:rFonts w:eastAsia="Times New Roman"/>
        </w:rPr>
        <w:t xml:space="preserve"> Th</w:t>
      </w:r>
      <w:r w:rsidR="00966907">
        <w:rPr>
          <w:rFonts w:eastAsia="Times New Roman"/>
        </w:rPr>
        <w:t>is</w:t>
      </w:r>
      <w:r w:rsidRPr="008C788F">
        <w:rPr>
          <w:rFonts w:eastAsia="Times New Roman"/>
        </w:rPr>
        <w:t xml:space="preserve"> program allows a designated RQE, which is a non-profit entity qualified under NMFS rules, to purchase and hold a limited amount of commercial halibut quota share that would yield additional pounds of Recreational Fishing Quota on an annual basis to augment the amount of halibut available for harvest </w:t>
      </w:r>
      <w:r>
        <w:rPr>
          <w:rFonts w:eastAsia="Times New Roman"/>
        </w:rPr>
        <w:t>in the charter halibut fishery</w:t>
      </w:r>
      <w:r w:rsidRPr="008C788F">
        <w:rPr>
          <w:rFonts w:eastAsia="Times New Roman"/>
        </w:rPr>
        <w:t xml:space="preserve">. </w:t>
      </w:r>
      <w:r w:rsidRPr="007A6493">
        <w:t>The RQE Program provides a mechanism for the charter fishery to compensate the commercial IFQ fishery for halibut quota shares purchased from the commercial sector to increase the charter annual catch limits.</w:t>
      </w:r>
      <w:r>
        <w:t xml:space="preserve"> A functioning RQE Program is intended to promote long-term efficiency in the use of the halibut resource by allowing compensated transfers of quota shares between commercial quota </w:t>
      </w:r>
      <w:r>
        <w:t>share holders</w:t>
      </w:r>
      <w:r>
        <w:t xml:space="preserve"> and the charter fishery, through an RQE, under a “willing buyer and willing seller” approach. </w:t>
      </w:r>
      <w:r w:rsidR="008F7FBF">
        <w:rPr>
          <w:rFonts w:eastAsia="Times New Roman"/>
        </w:rPr>
        <w:t>O</w:t>
      </w:r>
      <w:r w:rsidRPr="008C788F">
        <w:rPr>
          <w:rFonts w:eastAsia="Times New Roman"/>
        </w:rPr>
        <w:t xml:space="preserve">n December 29, 2022, Congress </w:t>
      </w:r>
      <w:r w:rsidR="008F7FBF">
        <w:rPr>
          <w:rFonts w:eastAsia="Times New Roman"/>
        </w:rPr>
        <w:t>enacted</w:t>
      </w:r>
      <w:r w:rsidRPr="008C788F" w:rsidR="008F7FBF">
        <w:rPr>
          <w:rFonts w:eastAsia="Times New Roman"/>
        </w:rPr>
        <w:t xml:space="preserve"> </w:t>
      </w:r>
      <w:r w:rsidRPr="008C788F">
        <w:rPr>
          <w:rFonts w:eastAsia="Times New Roman"/>
        </w:rPr>
        <w:t>the Consolidated Appropriations Act, 2023.</w:t>
      </w:r>
      <w:r>
        <w:rPr>
          <w:rStyle w:val="FootnoteReference"/>
          <w:rFonts w:eastAsia="Times New Roman"/>
        </w:rPr>
        <w:footnoteReference w:id="12"/>
      </w:r>
      <w:r w:rsidRPr="008C788F">
        <w:rPr>
          <w:rFonts w:eastAsia="Times New Roman"/>
        </w:rPr>
        <w:t xml:space="preserve"> The portion of the Act at Division S, Title I, Section 106 authorizes the Council to recommend, and the Secretary of Commerce to approve, regulations that would collect fees from charter vessel operators to provide funding to the RQE</w:t>
      </w:r>
      <w:r>
        <w:rPr>
          <w:rFonts w:eastAsia="Times New Roman"/>
        </w:rPr>
        <w:t xml:space="preserve">. </w:t>
      </w:r>
    </w:p>
    <w:p w:rsidR="008F7FBF" w:rsidP="008F7FBF" w14:paraId="6658780B" w14:textId="77777777">
      <w:pPr>
        <w:adjustRightInd w:val="0"/>
      </w:pPr>
    </w:p>
    <w:p w:rsidR="003F63DE" w:rsidRPr="003F63DE" w:rsidP="003F63DE" w14:paraId="6B023A86" w14:textId="77777777">
      <w:pPr>
        <w:widowControl/>
        <w:autoSpaceDE w:val="0"/>
        <w:autoSpaceDN w:val="0"/>
        <w:adjustRightInd w:val="0"/>
        <w:rPr>
          <w:rFonts w:eastAsia="Times New Roman"/>
        </w:rPr>
      </w:pPr>
      <w:r w:rsidRPr="003F63DE">
        <w:rPr>
          <w:rFonts w:eastAsiaTheme="minorHAnsi" w:cstheme="minorBidi"/>
          <w:b/>
          <w:color w:val="C00000"/>
        </w:rPr>
        <w:t>Reasons for Revisions Due to the Rule (RIN 0648-</w:t>
      </w:r>
      <w:r w:rsidR="00F00D87">
        <w:rPr>
          <w:rFonts w:eastAsiaTheme="minorHAnsi" w:cstheme="minorBidi"/>
          <w:b/>
          <w:color w:val="C00000"/>
        </w:rPr>
        <w:t>BN18</w:t>
      </w:r>
      <w:r w:rsidRPr="003F63DE">
        <w:rPr>
          <w:rFonts w:eastAsiaTheme="minorHAnsi" w:cstheme="minorBidi"/>
          <w:b/>
          <w:color w:val="C00000"/>
        </w:rPr>
        <w:t>)</w:t>
      </w:r>
    </w:p>
    <w:p w:rsidR="003F63DE" w:rsidP="003F63DE" w14:paraId="4F8C2289" w14:textId="77777777">
      <w:pPr>
        <w:widowControl/>
        <w:autoSpaceDE w:val="0"/>
        <w:autoSpaceDN w:val="0"/>
        <w:adjustRightInd w:val="0"/>
        <w:rPr>
          <w:rFonts w:eastAsia="Times New Roman"/>
        </w:rPr>
      </w:pPr>
    </w:p>
    <w:p w:rsidR="003F63DE" w:rsidP="000D32EC" w14:paraId="4E15C559" w14:textId="3BFF24D5">
      <w:pPr>
        <w:adjustRightInd w:val="0"/>
        <w:rPr>
          <w:rFonts w:eastAsia="Times New Roman"/>
        </w:rPr>
      </w:pPr>
      <w:r>
        <w:rPr>
          <w:rFonts w:eastAsia="Times New Roman"/>
        </w:rPr>
        <w:t>This information collection is revi</w:t>
      </w:r>
      <w:r w:rsidR="005948C6">
        <w:rPr>
          <w:rFonts w:eastAsia="Times New Roman"/>
        </w:rPr>
        <w:t xml:space="preserve">sed due to the </w:t>
      </w:r>
      <w:r w:rsidR="008416D6">
        <w:rPr>
          <w:rFonts w:eastAsia="Times New Roman"/>
        </w:rPr>
        <w:t xml:space="preserve">final </w:t>
      </w:r>
      <w:r w:rsidR="005948C6">
        <w:rPr>
          <w:rFonts w:eastAsia="Times New Roman"/>
        </w:rPr>
        <w:t>rule that establish</w:t>
      </w:r>
      <w:r w:rsidR="008416D6">
        <w:rPr>
          <w:rFonts w:eastAsia="Times New Roman"/>
        </w:rPr>
        <w:t>es</w:t>
      </w:r>
      <w:r w:rsidR="005948C6">
        <w:rPr>
          <w:rFonts w:eastAsia="Times New Roman"/>
        </w:rPr>
        <w:t xml:space="preserve"> regulations to </w:t>
      </w:r>
      <w:r w:rsidRPr="005948C6" w:rsidR="005948C6">
        <w:rPr>
          <w:rFonts w:eastAsia="Times New Roman"/>
        </w:rPr>
        <w:t xml:space="preserve">require </w:t>
      </w:r>
      <w:r w:rsidR="005948C6">
        <w:rPr>
          <w:rFonts w:eastAsia="Times New Roman"/>
        </w:rPr>
        <w:t xml:space="preserve">a charter halibut stamp </w:t>
      </w:r>
      <w:r w:rsidRPr="005948C6" w:rsidR="005948C6">
        <w:rPr>
          <w:rFonts w:eastAsia="Times New Roman"/>
        </w:rPr>
        <w:t xml:space="preserve">for charter vessel anglers 18 years of age or older for each day they intend to catch and retain halibut on a charter vessel in </w:t>
      </w:r>
      <w:r w:rsidR="005948C6">
        <w:rPr>
          <w:rFonts w:eastAsia="Times New Roman"/>
        </w:rPr>
        <w:t>IPHC</w:t>
      </w:r>
      <w:r w:rsidRPr="005948C6" w:rsidR="005948C6">
        <w:rPr>
          <w:rFonts w:eastAsia="Times New Roman"/>
        </w:rPr>
        <w:t xml:space="preserve"> Regulatory Areas 2C </w:t>
      </w:r>
      <w:r w:rsidR="005948C6">
        <w:rPr>
          <w:rFonts w:eastAsia="Times New Roman"/>
        </w:rPr>
        <w:t>and 3A</w:t>
      </w:r>
      <w:r w:rsidRPr="005948C6" w:rsidR="005948C6">
        <w:rPr>
          <w:rFonts w:eastAsia="Times New Roman"/>
        </w:rPr>
        <w:t>.</w:t>
      </w:r>
      <w:r w:rsidRPr="003F63DE">
        <w:rPr>
          <w:rFonts w:eastAsia="Times New Roman"/>
        </w:rPr>
        <w:t xml:space="preserve"> This rule is necessary to promote </w:t>
      </w:r>
      <w:r w:rsidR="005948C6">
        <w:rPr>
          <w:rFonts w:eastAsia="Times New Roman"/>
        </w:rPr>
        <w:t>stability</w:t>
      </w:r>
      <w:r w:rsidRPr="003F63DE">
        <w:rPr>
          <w:rFonts w:eastAsia="Times New Roman"/>
        </w:rPr>
        <w:t xml:space="preserve"> and economic </w:t>
      </w:r>
      <w:r w:rsidR="005948C6">
        <w:rPr>
          <w:rFonts w:eastAsia="Times New Roman"/>
        </w:rPr>
        <w:t>viability</w:t>
      </w:r>
      <w:r w:rsidRPr="003F63DE">
        <w:rPr>
          <w:rFonts w:eastAsia="Times New Roman"/>
        </w:rPr>
        <w:t xml:space="preserve"> in the charter halibut fishery, and is intended to promote the goals and objectives of the </w:t>
      </w:r>
      <w:r w:rsidR="005948C6">
        <w:rPr>
          <w:rFonts w:eastAsia="Times New Roman"/>
        </w:rPr>
        <w:t xml:space="preserve">Magnuson-Stevens Act, the </w:t>
      </w:r>
      <w:r w:rsidRPr="003F63DE">
        <w:rPr>
          <w:rFonts w:eastAsia="Times New Roman"/>
        </w:rPr>
        <w:t>Halibut Act, and other applicable laws.</w:t>
      </w:r>
    </w:p>
    <w:p w:rsidR="008C788F" w:rsidP="000D32EC" w14:paraId="3440D088" w14:textId="77777777">
      <w:pPr>
        <w:adjustRightInd w:val="0"/>
        <w:rPr>
          <w:rFonts w:eastAsia="Times New Roman"/>
        </w:rPr>
      </w:pPr>
    </w:p>
    <w:p w:rsidR="00B81DEC" w:rsidP="00B81DEC" w14:paraId="358CCC25" w14:textId="6B4D133B">
      <w:pPr>
        <w:adjustRightInd w:val="0"/>
      </w:pPr>
      <w:r>
        <w:t>This information collection</w:t>
      </w:r>
      <w:r w:rsidRPr="00CC4A50">
        <w:t xml:space="preserve"> </w:t>
      </w:r>
      <w:r>
        <w:t xml:space="preserve">is revised </w:t>
      </w:r>
      <w:r w:rsidR="00FB3E67">
        <w:t xml:space="preserve">to </w:t>
      </w:r>
      <w:r w:rsidRPr="00CC4A50">
        <w:t>add</w:t>
      </w:r>
      <w:r w:rsidR="00FB3E67">
        <w:t xml:space="preserve"> </w:t>
      </w:r>
      <w:r>
        <w:t xml:space="preserve">requirements for </w:t>
      </w:r>
      <w:r w:rsidRPr="00CC4A50">
        <w:t xml:space="preserve">the </w:t>
      </w:r>
      <w:r>
        <w:t>p</w:t>
      </w:r>
      <w:r w:rsidRPr="00CC4A50">
        <w:t>urchase</w:t>
      </w:r>
      <w:r>
        <w:t xml:space="preserve"> and validation</w:t>
      </w:r>
      <w:r w:rsidRPr="00CC4A50">
        <w:t xml:space="preserve"> </w:t>
      </w:r>
      <w:r>
        <w:t>of</w:t>
      </w:r>
      <w:r w:rsidRPr="00CC4A50">
        <w:t xml:space="preserve"> </w:t>
      </w:r>
      <w:r>
        <w:t xml:space="preserve">the new </w:t>
      </w:r>
      <w:r w:rsidRPr="00CC4A50">
        <w:t xml:space="preserve">charter </w:t>
      </w:r>
      <w:r>
        <w:t xml:space="preserve">halibut stamps, </w:t>
      </w:r>
      <w:r w:rsidRPr="00D750E7" w:rsidR="00FB3E67">
        <w:t>add</w:t>
      </w:r>
      <w:r w:rsidRPr="00D750E7">
        <w:t xml:space="preserve"> a field to the existing</w:t>
      </w:r>
      <w:r w:rsidRPr="00D750E7" w:rsidR="00FB3E67">
        <w:t xml:space="preserve"> ADF&amp;G Saltwater Sport Fishing Charter Trip Logbook</w:t>
      </w:r>
      <w:r w:rsidRPr="00D750E7">
        <w:t xml:space="preserve"> </w:t>
      </w:r>
      <w:r w:rsidRPr="00D750E7" w:rsidR="00FB3E67">
        <w:t>(</w:t>
      </w:r>
      <w:r w:rsidRPr="00D750E7">
        <w:t>Charter Logbook</w:t>
      </w:r>
      <w:r w:rsidRPr="00D750E7" w:rsidR="00FB3E67">
        <w:t>)</w:t>
      </w:r>
      <w:r w:rsidRPr="00D750E7">
        <w:t xml:space="preserve"> to record the number of stamps validated on each charter</w:t>
      </w:r>
      <w:r w:rsidRPr="00D750E7" w:rsidR="00FB3E67">
        <w:t xml:space="preserve"> vessel fishing trip,</w:t>
      </w:r>
      <w:r w:rsidR="00FB3E67">
        <w:t xml:space="preserve"> and add</w:t>
      </w:r>
      <w:r w:rsidRPr="00CC4A50">
        <w:t xml:space="preserve"> appeals for an Initial Administrative Determination received for incomplete payment of the charter halibut stamp fee liability.</w:t>
      </w:r>
      <w:r>
        <w:t xml:space="preserve"> </w:t>
      </w:r>
    </w:p>
    <w:p w:rsidR="00B81DEC" w:rsidP="00B81DEC" w14:paraId="75808001" w14:textId="77777777">
      <w:pPr>
        <w:adjustRightInd w:val="0"/>
      </w:pPr>
    </w:p>
    <w:p w:rsidR="00B81DEC" w:rsidP="00B81DEC" w14:paraId="5DBB9B06" w14:textId="314027A5">
      <w:pPr>
        <w:adjustRightInd w:val="0"/>
        <w:rPr>
          <w:rFonts w:eastAsia="Times New Roman"/>
        </w:rPr>
      </w:pPr>
      <w:r w:rsidRPr="00D5724F">
        <w:rPr>
          <w:rFonts w:eastAsia="Times New Roman"/>
        </w:rPr>
        <w:t>Persons who hold CHPs, or their desig</w:t>
      </w:r>
      <w:r w:rsidRPr="009F1103">
        <w:rPr>
          <w:rFonts w:eastAsia="Times New Roman"/>
        </w:rPr>
        <w:t xml:space="preserve">nee, </w:t>
      </w:r>
      <w:r w:rsidR="00585AF2">
        <w:rPr>
          <w:rFonts w:eastAsia="Times New Roman"/>
        </w:rPr>
        <w:t>will</w:t>
      </w:r>
      <w:r w:rsidRPr="009F1103" w:rsidR="00585AF2">
        <w:rPr>
          <w:rFonts w:eastAsia="Times New Roman"/>
        </w:rPr>
        <w:t xml:space="preserve"> </w:t>
      </w:r>
      <w:r w:rsidRPr="009F1103">
        <w:rPr>
          <w:rFonts w:eastAsia="Times New Roman"/>
        </w:rPr>
        <w:t xml:space="preserve">purchase </w:t>
      </w:r>
      <w:r w:rsidR="009F7B65">
        <w:rPr>
          <w:rFonts w:eastAsia="Times New Roman"/>
        </w:rPr>
        <w:t xml:space="preserve">charter halibut </w:t>
      </w:r>
      <w:r w:rsidRPr="009F1103">
        <w:rPr>
          <w:rFonts w:eastAsia="Times New Roman"/>
        </w:rPr>
        <w:t>stamps from NMFS</w:t>
      </w:r>
      <w:r>
        <w:rPr>
          <w:rFonts w:eastAsia="Times New Roman"/>
        </w:rPr>
        <w:t xml:space="preserve"> through NMFS’s eFISH system. </w:t>
      </w:r>
      <w:r w:rsidR="009F7B65">
        <w:rPr>
          <w:rFonts w:eastAsia="Times New Roman"/>
        </w:rPr>
        <w:t>S</w:t>
      </w:r>
      <w:r>
        <w:rPr>
          <w:rFonts w:eastAsia="Times New Roman"/>
        </w:rPr>
        <w:t xml:space="preserve">tamps </w:t>
      </w:r>
      <w:r w:rsidR="00585AF2">
        <w:rPr>
          <w:rFonts w:eastAsia="Times New Roman"/>
        </w:rPr>
        <w:t>are</w:t>
      </w:r>
      <w:r>
        <w:rPr>
          <w:rFonts w:eastAsia="Times New Roman"/>
        </w:rPr>
        <w:t xml:space="preserve"> electronic, </w:t>
      </w:r>
      <w:r w:rsidRPr="00D5724F">
        <w:rPr>
          <w:rFonts w:eastAsia="Times New Roman"/>
        </w:rPr>
        <w:t xml:space="preserve">and the fee </w:t>
      </w:r>
      <w:r w:rsidR="00585AF2">
        <w:rPr>
          <w:rFonts w:eastAsia="Times New Roman"/>
        </w:rPr>
        <w:t>is</w:t>
      </w:r>
      <w:r w:rsidRPr="00D5724F" w:rsidR="00585AF2">
        <w:rPr>
          <w:rFonts w:eastAsia="Times New Roman"/>
        </w:rPr>
        <w:t xml:space="preserve"> </w:t>
      </w:r>
      <w:r w:rsidRPr="00D5724F">
        <w:rPr>
          <w:rFonts w:eastAsia="Times New Roman"/>
        </w:rPr>
        <w:t>$20.00</w:t>
      </w:r>
      <w:r w:rsidR="009F7B65">
        <w:rPr>
          <w:rFonts w:eastAsia="Times New Roman"/>
        </w:rPr>
        <w:t xml:space="preserve"> per stamp</w:t>
      </w:r>
      <w:r w:rsidRPr="00D5724F">
        <w:rPr>
          <w:rFonts w:eastAsia="Times New Roman"/>
        </w:rPr>
        <w:t xml:space="preserve">. </w:t>
      </w:r>
      <w:r>
        <w:rPr>
          <w:rFonts w:eastAsia="Times New Roman"/>
        </w:rPr>
        <w:t>C</w:t>
      </w:r>
      <w:r w:rsidRPr="009F1103">
        <w:rPr>
          <w:rFonts w:eastAsia="Times New Roman"/>
        </w:rPr>
        <w:t xml:space="preserve">harter vessel guides </w:t>
      </w:r>
      <w:r w:rsidR="00585AF2">
        <w:rPr>
          <w:rFonts w:eastAsia="Times New Roman"/>
        </w:rPr>
        <w:t>will</w:t>
      </w:r>
      <w:r w:rsidRPr="009F1103" w:rsidR="00585AF2">
        <w:rPr>
          <w:rFonts w:eastAsia="Times New Roman"/>
        </w:rPr>
        <w:t xml:space="preserve"> </w:t>
      </w:r>
      <w:r>
        <w:rPr>
          <w:rFonts w:eastAsia="Times New Roman"/>
        </w:rPr>
        <w:t xml:space="preserve">use </w:t>
      </w:r>
      <w:r w:rsidRPr="00590035">
        <w:rPr>
          <w:rFonts w:eastAsia="Times New Roman"/>
        </w:rPr>
        <w:t>the Charter Logbook to</w:t>
      </w:r>
      <w:r>
        <w:rPr>
          <w:rFonts w:eastAsia="Times New Roman"/>
        </w:rPr>
        <w:t xml:space="preserve"> </w:t>
      </w:r>
      <w:r w:rsidRPr="009F1103">
        <w:rPr>
          <w:rFonts w:eastAsia="Times New Roman"/>
        </w:rPr>
        <w:t xml:space="preserve">validate </w:t>
      </w:r>
      <w:r>
        <w:rPr>
          <w:rFonts w:eastAsia="Times New Roman"/>
        </w:rPr>
        <w:t>the</w:t>
      </w:r>
      <w:r w:rsidRPr="009F1103">
        <w:rPr>
          <w:rFonts w:eastAsia="Times New Roman"/>
        </w:rPr>
        <w:t xml:space="preserve"> stamp</w:t>
      </w:r>
      <w:r>
        <w:rPr>
          <w:rFonts w:eastAsia="Times New Roman"/>
        </w:rPr>
        <w:t>s</w:t>
      </w:r>
      <w:r w:rsidRPr="009F1103">
        <w:rPr>
          <w:rFonts w:eastAsia="Times New Roman"/>
        </w:rPr>
        <w:t xml:space="preserve"> for angler</w:t>
      </w:r>
      <w:r>
        <w:rPr>
          <w:rFonts w:eastAsia="Times New Roman"/>
        </w:rPr>
        <w:t>s</w:t>
      </w:r>
      <w:r w:rsidRPr="009F1103">
        <w:rPr>
          <w:rFonts w:eastAsia="Times New Roman"/>
        </w:rPr>
        <w:t xml:space="preserve"> intending to retain halibut. NMFS </w:t>
      </w:r>
      <w:r w:rsidR="00585AF2">
        <w:rPr>
          <w:rFonts w:eastAsia="Times New Roman"/>
        </w:rPr>
        <w:t>will</w:t>
      </w:r>
      <w:r w:rsidRPr="009F1103" w:rsidR="00585AF2">
        <w:rPr>
          <w:rFonts w:eastAsia="Times New Roman"/>
        </w:rPr>
        <w:t xml:space="preserve"> </w:t>
      </w:r>
      <w:r w:rsidRPr="009F1103">
        <w:rPr>
          <w:rFonts w:eastAsia="Times New Roman"/>
        </w:rPr>
        <w:t>make the collected fees from the stamp purchases available to</w:t>
      </w:r>
      <w:r>
        <w:rPr>
          <w:rFonts w:eastAsia="Times New Roman"/>
        </w:rPr>
        <w:t xml:space="preserve"> the </w:t>
      </w:r>
      <w:r w:rsidRPr="009F1103">
        <w:rPr>
          <w:rFonts w:eastAsia="Times New Roman"/>
        </w:rPr>
        <w:t>RQE to use on behalf of the chart</w:t>
      </w:r>
      <w:r>
        <w:rPr>
          <w:rFonts w:eastAsia="Times New Roman"/>
        </w:rPr>
        <w:t>er fishery to purchase halibut q</w:t>
      </w:r>
      <w:r w:rsidRPr="009F1103">
        <w:rPr>
          <w:rFonts w:eastAsia="Times New Roman"/>
        </w:rPr>
        <w:t xml:space="preserve">uota </w:t>
      </w:r>
      <w:r>
        <w:rPr>
          <w:rFonts w:eastAsia="Times New Roman"/>
        </w:rPr>
        <w:t xml:space="preserve">share issued in the </w:t>
      </w:r>
      <w:r w:rsidRPr="009F1103">
        <w:rPr>
          <w:rFonts w:eastAsia="Times New Roman"/>
        </w:rPr>
        <w:t>IFQ Program.</w:t>
      </w:r>
    </w:p>
    <w:p w:rsidR="00B81DEC" w:rsidP="000D32EC" w14:paraId="01372E58" w14:textId="77777777">
      <w:pPr>
        <w:adjustRightInd w:val="0"/>
        <w:rPr>
          <w:rFonts w:eastAsia="Times New Roman"/>
        </w:rPr>
      </w:pPr>
    </w:p>
    <w:p w:rsidR="00B81DEC" w:rsidP="00B81DEC" w14:paraId="3CF98E6E" w14:textId="14E17139">
      <w:pPr>
        <w:adjustRightInd w:val="0"/>
      </w:pPr>
      <w:r>
        <w:t xml:space="preserve">The </w:t>
      </w:r>
      <w:r w:rsidR="00585AF2">
        <w:t xml:space="preserve">new </w:t>
      </w:r>
      <w:r>
        <w:t>information collection requirements</w:t>
      </w:r>
      <w:r w:rsidRPr="004B3EC9">
        <w:t xml:space="preserve"> are necessary</w:t>
      </w:r>
      <w:r w:rsidR="00585AF2">
        <w:t xml:space="preserve"> for NMFS</w:t>
      </w:r>
      <w:r w:rsidRPr="004B3EC9">
        <w:t xml:space="preserve"> to collect </w:t>
      </w:r>
      <w:r w:rsidR="00585AF2">
        <w:t xml:space="preserve">the </w:t>
      </w:r>
      <w:r>
        <w:t>RQE Program fees, and administer</w:t>
      </w:r>
      <w:r w:rsidRPr="004B3EC9">
        <w:t xml:space="preserve"> and enforce the RQE </w:t>
      </w:r>
      <w:r>
        <w:t>P</w:t>
      </w:r>
      <w:r w:rsidRPr="004B3EC9">
        <w:t xml:space="preserve">rogram that was requested by the charter vessel industry. </w:t>
      </w:r>
      <w:r w:rsidR="00D750E7">
        <w:t xml:space="preserve">This rule </w:t>
      </w:r>
      <w:r w:rsidR="00585AF2">
        <w:t xml:space="preserve">does </w:t>
      </w:r>
      <w:r w:rsidR="00D750E7">
        <w:t xml:space="preserve">not add new respondents to this collection but </w:t>
      </w:r>
      <w:r w:rsidR="00585AF2">
        <w:t xml:space="preserve">does </w:t>
      </w:r>
      <w:r w:rsidR="00D750E7">
        <w:t>increase the time burden for the Charter Logbook from 4 minutes to 5 minutes to include</w:t>
      </w:r>
      <w:r>
        <w:t xml:space="preserve"> </w:t>
      </w:r>
      <w:r w:rsidRPr="004B3EC9">
        <w:t xml:space="preserve">1 minute for the </w:t>
      </w:r>
      <w:r w:rsidR="00D750E7">
        <w:t xml:space="preserve">new </w:t>
      </w:r>
      <w:r w:rsidRPr="004B3EC9">
        <w:t>field</w:t>
      </w:r>
      <w:r w:rsidR="00D750E7">
        <w:t xml:space="preserve"> that </w:t>
      </w:r>
      <w:r w:rsidR="00585AF2">
        <w:t>is being</w:t>
      </w:r>
      <w:r w:rsidR="00D750E7">
        <w:t xml:space="preserve"> added to the logbook to validate stamps</w:t>
      </w:r>
      <w:r>
        <w:t>.</w:t>
      </w:r>
    </w:p>
    <w:p w:rsidR="00B81DEC" w:rsidP="000D32EC" w14:paraId="4CD9EF19" w14:textId="77777777">
      <w:pPr>
        <w:adjustRightInd w:val="0"/>
        <w:rPr>
          <w:rFonts w:eastAsia="Times New Roman"/>
        </w:rPr>
      </w:pPr>
    </w:p>
    <w:p w:rsidR="00812043" w:rsidP="00812043" w14:paraId="5FB66EEB" w14:textId="77777777">
      <w:pPr>
        <w:pStyle w:val="Heading1"/>
        <w:numPr>
          <w:ilvl w:val="0"/>
          <w:numId w:val="3"/>
        </w:numPr>
        <w:tabs>
          <w:tab w:val="left" w:pos="360"/>
        </w:tabs>
        <w:spacing w:before="0"/>
        <w:ind w:left="274" w:hanging="274"/>
      </w:pPr>
      <w:r>
        <w:t>Indicate how, by whom, and for what purpose the information is to be used. Except for a new collection, indicate the actual use the agency has made of the information received from the current collection.</w:t>
      </w:r>
    </w:p>
    <w:p w:rsidR="00812043" w:rsidP="00812043" w14:paraId="74CA093B" w14:textId="77777777"/>
    <w:p w:rsidR="000411F4" w:rsidP="00812043" w14:paraId="2CC157BE" w14:textId="3E797FFA">
      <w:pPr>
        <w:rPr>
          <w:rFonts w:eastAsia="Calibri"/>
        </w:rPr>
      </w:pPr>
      <w:r>
        <w:t xml:space="preserve">Information on the requirements </w:t>
      </w:r>
      <w:r w:rsidR="00892BE2">
        <w:t xml:space="preserve">in this information collection </w:t>
      </w:r>
      <w:r>
        <w:t xml:space="preserve">is summarized in </w:t>
      </w:r>
      <w:r w:rsidR="00194C45">
        <w:t>the table</w:t>
      </w:r>
      <w:r>
        <w:t xml:space="preserve"> below</w:t>
      </w:r>
      <w:r w:rsidR="00194C45">
        <w:t>.</w:t>
      </w:r>
      <w:r w:rsidRPr="00EF116D" w:rsidR="00812043">
        <w:rPr>
          <w:rFonts w:eastAsia="Calibri"/>
        </w:rPr>
        <w:t xml:space="preserve"> </w:t>
      </w:r>
      <w:r>
        <w:rPr>
          <w:rFonts w:eastAsia="Calibri"/>
        </w:rPr>
        <w:t xml:space="preserve">The table includes a description of how </w:t>
      </w:r>
      <w:r w:rsidR="00DD62F0">
        <w:rPr>
          <w:rFonts w:eastAsia="Calibri"/>
        </w:rPr>
        <w:t>NMFS uses the information</w:t>
      </w:r>
      <w:r>
        <w:rPr>
          <w:rFonts w:eastAsia="Calibri"/>
        </w:rPr>
        <w:t xml:space="preserve">. Those uses will continue.  </w:t>
      </w:r>
    </w:p>
    <w:p w:rsidR="000411F4" w:rsidP="00812043" w14:paraId="03AF3228" w14:textId="77777777">
      <w:pPr>
        <w:rPr>
          <w:rFonts w:eastAsia="Calibri"/>
        </w:rPr>
      </w:pPr>
    </w:p>
    <w:p w:rsidR="00547289" w:rsidP="00812043" w14:paraId="05D110CD" w14:textId="5319798C">
      <w:r>
        <w:t>Additional information on these requirements is provided in th</w:t>
      </w:r>
      <w:r w:rsidR="0042168D">
        <w:t>e subsections below the table</w:t>
      </w:r>
      <w:r w:rsidRPr="00F37C65">
        <w:t>.</w:t>
      </w:r>
      <w:r w:rsidRPr="00547289">
        <w:t xml:space="preserve"> </w:t>
      </w:r>
      <w:r w:rsidR="00DB110F">
        <w:rPr>
          <w:rFonts w:eastAsia="Calibri"/>
        </w:rPr>
        <w:t>The</w:t>
      </w:r>
      <w:r w:rsidR="008B68A6">
        <w:rPr>
          <w:rFonts w:eastAsia="Calibri"/>
        </w:rPr>
        <w:t xml:space="preserve"> </w:t>
      </w:r>
      <w:r w:rsidR="00DB110F">
        <w:rPr>
          <w:rFonts w:eastAsia="Calibri"/>
        </w:rPr>
        <w:t>f</w:t>
      </w:r>
      <w:r w:rsidRPr="00EF116D" w:rsidR="00812043">
        <w:rPr>
          <w:rFonts w:eastAsia="Calibri"/>
        </w:rPr>
        <w:t xml:space="preserve">orms are available on </w:t>
      </w:r>
      <w:r w:rsidRPr="00DB110F" w:rsidR="00812043">
        <w:rPr>
          <w:rFonts w:eastAsia="Calibri"/>
        </w:rPr>
        <w:t xml:space="preserve">the </w:t>
      </w:r>
      <w:r w:rsidRPr="00DB110F" w:rsidR="00812043">
        <w:t>NMFS Alaska Region website</w:t>
      </w:r>
      <w:r w:rsidRPr="00DB110F" w:rsidR="00812043">
        <w:rPr>
          <w:rFonts w:eastAsia="Calibri"/>
        </w:rPr>
        <w:t xml:space="preserve"> </w:t>
      </w:r>
      <w:r w:rsidR="00DB110F">
        <w:rPr>
          <w:rFonts w:eastAsia="Calibri"/>
        </w:rPr>
        <w:t xml:space="preserve">at </w:t>
      </w:r>
      <w:hyperlink r:id="rId18" w:history="1">
        <w:r w:rsidRPr="00DB110F" w:rsidR="00DB110F">
          <w:rPr>
            <w:rStyle w:val="Hyperlink"/>
            <w:rFonts w:eastAsia="Calibri"/>
          </w:rPr>
          <w:t>https://www.fisheries.noaa.gov/permit/alaska-sport-charter-halibut-applications-and-reporting-forms</w:t>
        </w:r>
      </w:hyperlink>
      <w:r w:rsidR="00DB110F">
        <w:rPr>
          <w:rFonts w:eastAsia="Calibri"/>
        </w:rPr>
        <w:t xml:space="preserve">. </w:t>
      </w:r>
      <w:r w:rsidR="008B68A6">
        <w:rPr>
          <w:rFonts w:eastAsia="Calibri"/>
        </w:rPr>
        <w:t xml:space="preserve">Also available on this </w:t>
      </w:r>
      <w:r w:rsidR="00066CDD">
        <w:rPr>
          <w:rFonts w:eastAsia="Calibri"/>
        </w:rPr>
        <w:t xml:space="preserve">website </w:t>
      </w:r>
      <w:r w:rsidR="008B68A6">
        <w:rPr>
          <w:rFonts w:eastAsia="Calibri"/>
        </w:rPr>
        <w:t xml:space="preserve">is a link to the ADF&amp;G website, which provides information on the </w:t>
      </w:r>
      <w:r w:rsidRPr="008B68A6" w:rsidR="008B68A6">
        <w:rPr>
          <w:rFonts w:eastAsia="Calibri"/>
        </w:rPr>
        <w:t>Charter Logbook</w:t>
      </w:r>
      <w:r w:rsidR="008B68A6">
        <w:rPr>
          <w:rFonts w:eastAsia="Calibri"/>
        </w:rPr>
        <w:t xml:space="preserve">. </w:t>
      </w:r>
    </w:p>
    <w:p w:rsidR="00547289" w:rsidP="00812043" w14:paraId="407E3F65" w14:textId="77777777"/>
    <w:p w:rsidR="00CA5E66" w:rsidP="0069153B" w14:paraId="4652E500" w14:textId="77777777">
      <w:pPr>
        <w:pStyle w:val="Heading1"/>
        <w:tabs>
          <w:tab w:val="left" w:pos="360"/>
        </w:tabs>
        <w:spacing w:before="197"/>
        <w:ind w:left="0"/>
      </w:pPr>
    </w:p>
    <w:p w:rsidR="00F64454" w:rsidRPr="00E2700F" w:rsidP="00F64454" w14:paraId="75280CA2" w14:textId="77777777">
      <w:pPr>
        <w:pStyle w:val="Heading1"/>
        <w:spacing w:before="161"/>
        <w:ind w:left="0"/>
        <w:jc w:val="center"/>
        <w:rPr>
          <w:rFonts w:asciiTheme="minorHAnsi" w:hAnsiTheme="minorHAnsi" w:cstheme="minorHAnsi"/>
          <w:sz w:val="20"/>
          <w:szCs w:val="20"/>
        </w:rPr>
        <w:sectPr w:rsidSect="00840FCC">
          <w:footerReference w:type="default" r:id="rId19"/>
          <w:pgSz w:w="12240" w:h="15840" w:code="1"/>
          <w:pgMar w:top="634" w:right="1080" w:bottom="1195" w:left="1080" w:header="0" w:footer="720" w:gutter="0"/>
          <w:cols w:space="720"/>
        </w:sectPr>
      </w:pPr>
    </w:p>
    <w:p w:rsidR="00E72C7D" w:rsidRPr="00EF116D" w:rsidP="00EF116D" w14:paraId="1C79A8AD" w14:textId="77777777">
      <w:pPr>
        <w:ind w:left="144"/>
      </w:pPr>
    </w:p>
    <w:tbl>
      <w:tblPr>
        <w:tblStyle w:val="TableGrid"/>
        <w:tblW w:w="14357" w:type="dxa"/>
        <w:jc w:val="center"/>
        <w:tblLayout w:type="fixed"/>
        <w:tblLook w:val="04A0"/>
      </w:tblPr>
      <w:tblGrid>
        <w:gridCol w:w="1398"/>
        <w:gridCol w:w="1304"/>
        <w:gridCol w:w="932"/>
        <w:gridCol w:w="1217"/>
        <w:gridCol w:w="1212"/>
        <w:gridCol w:w="828"/>
        <w:gridCol w:w="1128"/>
        <w:gridCol w:w="1957"/>
        <w:gridCol w:w="3077"/>
        <w:gridCol w:w="1304"/>
      </w:tblGrid>
      <w:tr w14:paraId="3BC4724F" w14:textId="77777777" w:rsidTr="00684AE8">
        <w:tblPrEx>
          <w:tblW w:w="14357" w:type="dxa"/>
          <w:jc w:val="center"/>
          <w:tblLayout w:type="fixed"/>
          <w:tblLook w:val="04A0"/>
        </w:tblPrEx>
        <w:trPr>
          <w:trHeight w:val="1227"/>
          <w:tblHeader/>
          <w:jc w:val="center"/>
        </w:trPr>
        <w:tc>
          <w:tcPr>
            <w:tcW w:w="1398" w:type="dxa"/>
            <w:shd w:val="clear" w:color="auto" w:fill="C6D9F0" w:themeFill="text2" w:themeFillTint="33"/>
            <w:vAlign w:val="center"/>
          </w:tcPr>
          <w:p w:rsidR="00CE064E" w:rsidRPr="005F1B10" w:rsidP="006756A4" w14:paraId="0248B836" w14:textId="77777777">
            <w:pPr>
              <w:pStyle w:val="Heading1"/>
              <w:spacing w:before="0"/>
              <w:ind w:left="0"/>
              <w:jc w:val="center"/>
              <w:outlineLvl w:val="0"/>
              <w:rPr>
                <w:rFonts w:cstheme="minorHAnsi"/>
                <w:sz w:val="16"/>
                <w:szCs w:val="16"/>
              </w:rPr>
            </w:pPr>
            <w:r w:rsidRPr="005F1B10">
              <w:rPr>
                <w:rFonts w:cstheme="minorHAnsi"/>
                <w:sz w:val="16"/>
                <w:szCs w:val="16"/>
              </w:rPr>
              <w:t>Requirement</w:t>
            </w:r>
          </w:p>
        </w:tc>
        <w:tc>
          <w:tcPr>
            <w:tcW w:w="1304" w:type="dxa"/>
            <w:shd w:val="clear" w:color="auto" w:fill="C6D9F0" w:themeFill="text2" w:themeFillTint="33"/>
            <w:vAlign w:val="center"/>
          </w:tcPr>
          <w:p w:rsidR="00CE064E" w:rsidRPr="005F1B10" w:rsidP="006756A4" w14:paraId="3ACFAE68" w14:textId="77777777">
            <w:pPr>
              <w:pStyle w:val="Heading1"/>
              <w:spacing w:before="0"/>
              <w:ind w:left="0"/>
              <w:jc w:val="center"/>
              <w:outlineLvl w:val="0"/>
              <w:rPr>
                <w:rFonts w:cstheme="minorHAnsi"/>
                <w:sz w:val="16"/>
                <w:szCs w:val="16"/>
              </w:rPr>
            </w:pPr>
            <w:r w:rsidRPr="005F1B10">
              <w:rPr>
                <w:rFonts w:cstheme="minorHAnsi"/>
                <w:sz w:val="16"/>
                <w:szCs w:val="16"/>
              </w:rPr>
              <w:t>From whom will the information be collected?</w:t>
            </w:r>
          </w:p>
        </w:tc>
        <w:tc>
          <w:tcPr>
            <w:tcW w:w="932" w:type="dxa"/>
            <w:shd w:val="clear" w:color="auto" w:fill="C6D9F0" w:themeFill="text2" w:themeFillTint="33"/>
            <w:vAlign w:val="center"/>
          </w:tcPr>
          <w:p w:rsidR="00CE064E" w:rsidRPr="005F1B10" w:rsidP="006756A4" w14:paraId="4C62ADDD" w14:textId="77777777">
            <w:pPr>
              <w:pStyle w:val="Heading1"/>
              <w:spacing w:before="0"/>
              <w:ind w:left="0"/>
              <w:jc w:val="center"/>
              <w:outlineLvl w:val="0"/>
              <w:rPr>
                <w:rFonts w:cstheme="minorHAnsi"/>
                <w:sz w:val="16"/>
                <w:szCs w:val="16"/>
              </w:rPr>
            </w:pPr>
            <w:r w:rsidRPr="005F1B10">
              <w:rPr>
                <w:rFonts w:cstheme="minorHAnsi"/>
                <w:sz w:val="16"/>
                <w:szCs w:val="16"/>
              </w:rPr>
              <w:t>Statute</w:t>
            </w:r>
          </w:p>
        </w:tc>
        <w:tc>
          <w:tcPr>
            <w:tcW w:w="1217" w:type="dxa"/>
            <w:shd w:val="clear" w:color="auto" w:fill="C6D9F0" w:themeFill="text2" w:themeFillTint="33"/>
            <w:vAlign w:val="center"/>
          </w:tcPr>
          <w:p w:rsidR="00CE064E" w:rsidRPr="005F1B10" w:rsidP="006756A4" w14:paraId="00B4DF37" w14:textId="77777777">
            <w:pPr>
              <w:pStyle w:val="Heading1"/>
              <w:spacing w:before="0"/>
              <w:ind w:left="0"/>
              <w:jc w:val="center"/>
              <w:outlineLvl w:val="0"/>
              <w:rPr>
                <w:rFonts w:cstheme="minorHAnsi"/>
                <w:sz w:val="16"/>
                <w:szCs w:val="16"/>
              </w:rPr>
            </w:pPr>
            <w:r w:rsidRPr="005F1B10">
              <w:rPr>
                <w:rFonts w:cstheme="minorHAnsi"/>
                <w:sz w:val="16"/>
                <w:szCs w:val="16"/>
              </w:rPr>
              <w:t>Regulation</w:t>
            </w:r>
          </w:p>
          <w:p w:rsidR="00CE064E" w:rsidRPr="005F1B10" w:rsidP="006756A4" w14:paraId="35E3F1FC" w14:textId="77777777">
            <w:pPr>
              <w:pStyle w:val="Heading1"/>
              <w:spacing w:before="0"/>
              <w:ind w:left="0"/>
              <w:jc w:val="center"/>
              <w:outlineLvl w:val="0"/>
              <w:rPr>
                <w:rFonts w:cstheme="minorHAnsi"/>
                <w:sz w:val="16"/>
                <w:szCs w:val="16"/>
              </w:rPr>
            </w:pPr>
            <w:r w:rsidRPr="005F1B10">
              <w:rPr>
                <w:rFonts w:cstheme="minorHAnsi"/>
                <w:sz w:val="16"/>
                <w:szCs w:val="16"/>
              </w:rPr>
              <w:t>(50 CFR)</w:t>
            </w:r>
          </w:p>
        </w:tc>
        <w:tc>
          <w:tcPr>
            <w:tcW w:w="1212" w:type="dxa"/>
            <w:shd w:val="clear" w:color="auto" w:fill="C6D9F0" w:themeFill="text2" w:themeFillTint="33"/>
            <w:vAlign w:val="center"/>
          </w:tcPr>
          <w:p w:rsidR="00CE064E" w:rsidRPr="005F1B10" w:rsidP="006756A4" w14:paraId="04C72273" w14:textId="77777777">
            <w:pPr>
              <w:pStyle w:val="Heading1"/>
              <w:spacing w:before="0"/>
              <w:ind w:left="0"/>
              <w:jc w:val="center"/>
              <w:outlineLvl w:val="0"/>
              <w:rPr>
                <w:rFonts w:cstheme="minorHAnsi"/>
                <w:sz w:val="16"/>
                <w:szCs w:val="16"/>
              </w:rPr>
            </w:pPr>
            <w:r>
              <w:rPr>
                <w:rFonts w:cstheme="minorHAnsi"/>
                <w:sz w:val="16"/>
                <w:szCs w:val="16"/>
              </w:rPr>
              <w:t>URLs for Regulations</w:t>
            </w:r>
          </w:p>
        </w:tc>
        <w:tc>
          <w:tcPr>
            <w:tcW w:w="828" w:type="dxa"/>
            <w:shd w:val="clear" w:color="auto" w:fill="C6D9F0" w:themeFill="text2" w:themeFillTint="33"/>
            <w:vAlign w:val="center"/>
          </w:tcPr>
          <w:p w:rsidR="00CE064E" w:rsidRPr="005F1B10" w:rsidP="006756A4" w14:paraId="668142CF" w14:textId="77777777">
            <w:pPr>
              <w:pStyle w:val="Heading1"/>
              <w:spacing w:before="0"/>
              <w:ind w:left="0"/>
              <w:jc w:val="center"/>
              <w:outlineLvl w:val="0"/>
              <w:rPr>
                <w:rFonts w:cstheme="minorHAnsi"/>
                <w:sz w:val="16"/>
                <w:szCs w:val="16"/>
              </w:rPr>
            </w:pPr>
            <w:r w:rsidRPr="005F1B10">
              <w:rPr>
                <w:rFonts w:cstheme="minorHAnsi"/>
                <w:sz w:val="16"/>
                <w:szCs w:val="16"/>
              </w:rPr>
              <w:t>Form?</w:t>
            </w:r>
          </w:p>
          <w:p w:rsidR="00CE064E" w:rsidRPr="005F1B10" w:rsidP="006756A4" w14:paraId="07ECDF69" w14:textId="77777777">
            <w:pPr>
              <w:pStyle w:val="Heading1"/>
              <w:spacing w:before="0"/>
              <w:ind w:left="0"/>
              <w:jc w:val="center"/>
              <w:outlineLvl w:val="0"/>
              <w:rPr>
                <w:rFonts w:cstheme="minorHAnsi"/>
                <w:sz w:val="16"/>
                <w:szCs w:val="16"/>
              </w:rPr>
            </w:pPr>
          </w:p>
        </w:tc>
        <w:tc>
          <w:tcPr>
            <w:tcW w:w="1128" w:type="dxa"/>
            <w:shd w:val="clear" w:color="auto" w:fill="C6D9F0" w:themeFill="text2" w:themeFillTint="33"/>
            <w:vAlign w:val="center"/>
          </w:tcPr>
          <w:p w:rsidR="00CE064E" w:rsidRPr="005F1B10" w:rsidP="006756A4" w14:paraId="25437B50" w14:textId="77777777">
            <w:pPr>
              <w:pStyle w:val="Heading1"/>
              <w:spacing w:before="0"/>
              <w:ind w:left="0"/>
              <w:jc w:val="center"/>
              <w:outlineLvl w:val="0"/>
              <w:rPr>
                <w:rFonts w:cstheme="minorHAnsi"/>
                <w:sz w:val="16"/>
                <w:szCs w:val="16"/>
              </w:rPr>
            </w:pPr>
            <w:r w:rsidRPr="005F1B10">
              <w:rPr>
                <w:rFonts w:cstheme="minorHAnsi"/>
                <w:sz w:val="16"/>
                <w:szCs w:val="16"/>
              </w:rPr>
              <w:t>Submission Method</w:t>
            </w:r>
            <w:r w:rsidRPr="005F1B10">
              <w:rPr>
                <w:rFonts w:cstheme="minorHAnsi"/>
                <w:sz w:val="16"/>
                <w:szCs w:val="16"/>
                <w:vertAlign w:val="superscript"/>
              </w:rPr>
              <w:t>2</w:t>
            </w:r>
          </w:p>
        </w:tc>
        <w:tc>
          <w:tcPr>
            <w:tcW w:w="1957" w:type="dxa"/>
            <w:shd w:val="clear" w:color="auto" w:fill="C6D9F0" w:themeFill="text2" w:themeFillTint="33"/>
            <w:vAlign w:val="center"/>
          </w:tcPr>
          <w:p w:rsidR="00CE064E" w:rsidRPr="005F1B10" w:rsidP="006756A4" w14:paraId="28DE806F" w14:textId="77777777">
            <w:pPr>
              <w:pStyle w:val="Heading1"/>
              <w:spacing w:before="0"/>
              <w:ind w:left="0"/>
              <w:jc w:val="center"/>
              <w:outlineLvl w:val="0"/>
              <w:rPr>
                <w:rFonts w:cstheme="minorHAnsi"/>
                <w:sz w:val="16"/>
                <w:szCs w:val="16"/>
              </w:rPr>
            </w:pPr>
            <w:r w:rsidRPr="005F1B10">
              <w:rPr>
                <w:rFonts w:cstheme="minorHAnsi"/>
                <w:sz w:val="16"/>
                <w:szCs w:val="16"/>
              </w:rPr>
              <w:t>Frequency of Collection</w:t>
            </w:r>
          </w:p>
        </w:tc>
        <w:tc>
          <w:tcPr>
            <w:tcW w:w="3077" w:type="dxa"/>
            <w:shd w:val="clear" w:color="auto" w:fill="C6D9F0" w:themeFill="text2" w:themeFillTint="33"/>
            <w:vAlign w:val="center"/>
          </w:tcPr>
          <w:p w:rsidR="00CE064E" w:rsidRPr="005F1B10" w:rsidP="006756A4" w14:paraId="7AF1EA07" w14:textId="77777777">
            <w:pPr>
              <w:pStyle w:val="Heading1"/>
              <w:spacing w:before="0"/>
              <w:ind w:left="0"/>
              <w:jc w:val="center"/>
              <w:outlineLvl w:val="0"/>
              <w:rPr>
                <w:rFonts w:cstheme="minorHAnsi"/>
                <w:sz w:val="16"/>
                <w:szCs w:val="16"/>
              </w:rPr>
            </w:pPr>
            <w:r w:rsidRPr="005F1B10">
              <w:rPr>
                <w:rFonts w:cstheme="minorHAnsi"/>
                <w:sz w:val="16"/>
                <w:szCs w:val="16"/>
              </w:rPr>
              <w:t>Needs and Uses of Information Collected</w:t>
            </w:r>
          </w:p>
        </w:tc>
        <w:tc>
          <w:tcPr>
            <w:tcW w:w="1304" w:type="dxa"/>
            <w:shd w:val="clear" w:color="auto" w:fill="C6D9F0" w:themeFill="text2" w:themeFillTint="33"/>
            <w:vAlign w:val="center"/>
          </w:tcPr>
          <w:p w:rsidR="00CE064E" w:rsidRPr="005F1B10" w:rsidP="006756A4" w14:paraId="2DAC083A" w14:textId="77777777">
            <w:pPr>
              <w:pStyle w:val="Heading1"/>
              <w:spacing w:before="0"/>
              <w:ind w:left="0"/>
              <w:jc w:val="center"/>
              <w:outlineLvl w:val="0"/>
              <w:rPr>
                <w:rFonts w:cstheme="minorHAnsi"/>
                <w:sz w:val="16"/>
                <w:szCs w:val="16"/>
              </w:rPr>
            </w:pPr>
            <w:r w:rsidRPr="005F1B10">
              <w:rPr>
                <w:rFonts w:cstheme="minorHAnsi"/>
                <w:sz w:val="16"/>
                <w:szCs w:val="16"/>
              </w:rPr>
              <w:t>Will the information be shared with any other organizations inside or outside the Department of Commerce or the government?</w:t>
            </w:r>
          </w:p>
        </w:tc>
      </w:tr>
      <w:tr w14:paraId="0BAA9472" w14:textId="77777777" w:rsidTr="00684AE8">
        <w:tblPrEx>
          <w:tblW w:w="14357" w:type="dxa"/>
          <w:jc w:val="center"/>
          <w:tblLayout w:type="fixed"/>
          <w:tblLook w:val="04A0"/>
        </w:tblPrEx>
        <w:trPr>
          <w:trHeight w:val="1811"/>
          <w:jc w:val="center"/>
        </w:trPr>
        <w:tc>
          <w:tcPr>
            <w:tcW w:w="1398" w:type="dxa"/>
            <w:vAlign w:val="center"/>
          </w:tcPr>
          <w:p w:rsidR="00CE064E" w:rsidRPr="007B2B06" w:rsidP="009E15F3" w14:paraId="7A622759" w14:textId="77777777">
            <w:pPr>
              <w:rPr>
                <w:rFonts w:cstheme="minorHAnsi"/>
                <w:sz w:val="18"/>
                <w:szCs w:val="18"/>
              </w:rPr>
            </w:pPr>
            <w:r w:rsidRPr="007B2B06">
              <w:rPr>
                <w:rFonts w:cstheme="minorHAnsi"/>
                <w:sz w:val="18"/>
                <w:szCs w:val="18"/>
              </w:rPr>
              <w:t>Application for Annual Registration of Charter Halibut Permit (CHP)</w:t>
            </w:r>
          </w:p>
        </w:tc>
        <w:tc>
          <w:tcPr>
            <w:tcW w:w="1304" w:type="dxa"/>
            <w:vAlign w:val="center"/>
          </w:tcPr>
          <w:p w:rsidR="00CE064E" w:rsidRPr="007B2B06" w:rsidP="009E15F3" w14:paraId="228C7BB1" w14:textId="77777777">
            <w:pPr>
              <w:rPr>
                <w:rFonts w:cstheme="minorHAnsi"/>
                <w:sz w:val="18"/>
                <w:szCs w:val="18"/>
              </w:rPr>
            </w:pPr>
            <w:r w:rsidRPr="007B2B06">
              <w:rPr>
                <w:rFonts w:cstheme="minorHAnsi"/>
                <w:sz w:val="18"/>
                <w:szCs w:val="18"/>
              </w:rPr>
              <w:t>CHP holders</w:t>
            </w:r>
          </w:p>
        </w:tc>
        <w:tc>
          <w:tcPr>
            <w:tcW w:w="932" w:type="dxa"/>
            <w:vAlign w:val="center"/>
          </w:tcPr>
          <w:p w:rsidR="00CE064E" w:rsidRPr="007B2B06" w:rsidP="009E15F3" w14:paraId="0272009C" w14:textId="77777777">
            <w:pPr>
              <w:rPr>
                <w:rFonts w:cstheme="minorHAnsi"/>
                <w:sz w:val="18"/>
                <w:szCs w:val="18"/>
              </w:rPr>
            </w:pPr>
            <w:r w:rsidRPr="007B2B06">
              <w:rPr>
                <w:rFonts w:cstheme="minorHAnsi"/>
                <w:sz w:val="18"/>
                <w:szCs w:val="18"/>
              </w:rPr>
              <w:t>16 U.S.C. 773</w:t>
            </w:r>
          </w:p>
        </w:tc>
        <w:tc>
          <w:tcPr>
            <w:tcW w:w="1217" w:type="dxa"/>
            <w:vAlign w:val="center"/>
          </w:tcPr>
          <w:p w:rsidR="00CE064E" w:rsidRPr="007B2B06" w:rsidP="009E15F3" w14:paraId="6A8E02D6" w14:textId="77777777">
            <w:pPr>
              <w:rPr>
                <w:rFonts w:cstheme="minorHAnsi"/>
                <w:sz w:val="18"/>
                <w:szCs w:val="18"/>
              </w:rPr>
            </w:pPr>
            <w:hyperlink r:id="rId20" w:anchor="p-300.67(a)(4)" w:history="1">
              <w:r w:rsidRPr="007B2B06" w:rsidR="00506C74">
                <w:rPr>
                  <w:rStyle w:val="Hyperlink"/>
                  <w:rFonts w:cstheme="minorHAnsi"/>
                  <w:sz w:val="18"/>
                  <w:szCs w:val="18"/>
                </w:rPr>
                <w:t>300.67(a)(4)</w:t>
              </w:r>
            </w:hyperlink>
          </w:p>
        </w:tc>
        <w:tc>
          <w:tcPr>
            <w:tcW w:w="1212" w:type="dxa"/>
            <w:vAlign w:val="center"/>
          </w:tcPr>
          <w:p w:rsidR="00CE064E" w:rsidRPr="007B2B06" w:rsidP="00E02C6A" w14:paraId="650FC55A" w14:textId="77777777">
            <w:pPr>
              <w:rPr>
                <w:rFonts w:cstheme="minorHAnsi"/>
                <w:sz w:val="18"/>
                <w:szCs w:val="18"/>
              </w:rPr>
            </w:pPr>
            <w:hyperlink r:id="rId20" w:anchor="p-300.67(a)(4)" w:history="1">
              <w:r w:rsidRPr="007B2B06" w:rsidR="00E02C6A">
                <w:rPr>
                  <w:rStyle w:val="Hyperlink"/>
                  <w:rFonts w:cstheme="minorHAnsi"/>
                  <w:sz w:val="18"/>
                  <w:szCs w:val="18"/>
                </w:rPr>
                <w:t>https://www.ecfr.gov/current/title-50/part-300/section-300.67#p-300.67(a)(4)</w:t>
              </w:r>
            </w:hyperlink>
          </w:p>
        </w:tc>
        <w:tc>
          <w:tcPr>
            <w:tcW w:w="828" w:type="dxa"/>
            <w:vAlign w:val="center"/>
          </w:tcPr>
          <w:p w:rsidR="00CE064E" w:rsidRPr="007B2B06" w:rsidP="009E15F3" w14:paraId="2912F6F9" w14:textId="77777777">
            <w:pPr>
              <w:rPr>
                <w:rFonts w:cstheme="minorHAnsi"/>
                <w:sz w:val="18"/>
                <w:szCs w:val="18"/>
              </w:rPr>
            </w:pPr>
            <w:r w:rsidRPr="007B2B06">
              <w:rPr>
                <w:rFonts w:cstheme="minorHAnsi"/>
                <w:sz w:val="18"/>
                <w:szCs w:val="18"/>
              </w:rPr>
              <w:t>Yes</w:t>
            </w:r>
          </w:p>
        </w:tc>
        <w:tc>
          <w:tcPr>
            <w:tcW w:w="1128" w:type="dxa"/>
            <w:vAlign w:val="center"/>
          </w:tcPr>
          <w:p w:rsidR="00CE064E" w:rsidRPr="007B2B06" w:rsidP="00D24CF0" w14:paraId="579969CD" w14:textId="77777777">
            <w:pPr>
              <w:rPr>
                <w:rFonts w:eastAsia="Calibri" w:cstheme="minorHAnsi"/>
                <w:sz w:val="18"/>
                <w:szCs w:val="18"/>
                <w:highlight w:val="cyan"/>
              </w:rPr>
            </w:pPr>
            <w:r w:rsidRPr="007B2B06">
              <w:rPr>
                <w:rFonts w:eastAsia="Calibri" w:cstheme="minorHAnsi"/>
                <w:sz w:val="18"/>
                <w:szCs w:val="18"/>
              </w:rPr>
              <w:t>mail, delivery, fax, eFISH</w:t>
            </w:r>
          </w:p>
        </w:tc>
        <w:tc>
          <w:tcPr>
            <w:tcW w:w="1957" w:type="dxa"/>
            <w:vAlign w:val="center"/>
          </w:tcPr>
          <w:p w:rsidR="00CE064E" w:rsidRPr="007B2B06" w:rsidP="009E15F3" w14:paraId="337CB1EB" w14:textId="77777777">
            <w:pPr>
              <w:pStyle w:val="Heading1"/>
              <w:spacing w:before="161"/>
              <w:ind w:left="0"/>
              <w:outlineLvl w:val="0"/>
              <w:rPr>
                <w:rFonts w:cstheme="minorHAnsi"/>
                <w:b w:val="0"/>
                <w:sz w:val="18"/>
                <w:szCs w:val="18"/>
              </w:rPr>
            </w:pPr>
            <w:r w:rsidRPr="007B2B06">
              <w:rPr>
                <w:rFonts w:cstheme="minorHAnsi"/>
                <w:b w:val="0"/>
                <w:sz w:val="18"/>
                <w:szCs w:val="18"/>
              </w:rPr>
              <w:t>Annually</w:t>
            </w:r>
          </w:p>
        </w:tc>
        <w:tc>
          <w:tcPr>
            <w:tcW w:w="3077" w:type="dxa"/>
            <w:vAlign w:val="center"/>
          </w:tcPr>
          <w:p w:rsidR="00CE064E" w:rsidRPr="007B2B06" w:rsidP="009E15F3" w14:paraId="51C2530C" w14:textId="77777777">
            <w:pPr>
              <w:pStyle w:val="TableParagraph"/>
              <w:rPr>
                <w:rFonts w:cstheme="minorHAnsi"/>
                <w:sz w:val="18"/>
                <w:szCs w:val="18"/>
              </w:rPr>
            </w:pPr>
            <w:r w:rsidRPr="007B2B06">
              <w:rPr>
                <w:rFonts w:cstheme="minorHAnsi"/>
                <w:sz w:val="18"/>
                <w:szCs w:val="18"/>
              </w:rPr>
              <w:t>Used by CHP holders to register their transferrable and non-transferrable CHPs, except for military and community CHPs.</w:t>
            </w:r>
          </w:p>
          <w:p w:rsidR="00CE064E" w:rsidRPr="007B2B06" w:rsidP="00692211" w14:paraId="26F8C28F" w14:textId="72476428">
            <w:pPr>
              <w:pStyle w:val="Heading1"/>
              <w:spacing w:before="120"/>
              <w:ind w:left="0"/>
              <w:outlineLvl w:val="0"/>
              <w:rPr>
                <w:rFonts w:cstheme="minorHAnsi"/>
                <w:b w:val="0"/>
                <w:sz w:val="18"/>
                <w:szCs w:val="18"/>
              </w:rPr>
            </w:pPr>
            <w:r w:rsidRPr="007B2B06">
              <w:rPr>
                <w:rFonts w:cstheme="minorHAnsi"/>
                <w:b w:val="0"/>
                <w:sz w:val="18"/>
                <w:szCs w:val="18"/>
              </w:rPr>
              <w:t>Used by NMFS and the Council to obtain updated information on CHP-holder owner information, track CHP usage and latent capacity, decrease the number of invalid versions of CHPs used, help enforce the cap</w:t>
            </w:r>
            <w:r w:rsidR="00692211">
              <w:rPr>
                <w:rFonts w:cstheme="minorHAnsi"/>
                <w:b w:val="0"/>
                <w:sz w:val="18"/>
                <w:szCs w:val="18"/>
              </w:rPr>
              <w:t>s on CHP ownership, and better understand</w:t>
            </w:r>
            <w:r w:rsidRPr="007B2B06">
              <w:rPr>
                <w:rFonts w:cstheme="minorHAnsi"/>
                <w:b w:val="0"/>
                <w:sz w:val="18"/>
                <w:szCs w:val="18"/>
              </w:rPr>
              <w:t xml:space="preserve"> CHP use and leasing behavior.</w:t>
            </w:r>
          </w:p>
        </w:tc>
        <w:tc>
          <w:tcPr>
            <w:tcW w:w="1304" w:type="dxa"/>
            <w:vAlign w:val="center"/>
          </w:tcPr>
          <w:p w:rsidR="00CE064E" w:rsidRPr="007B2B06" w:rsidP="009E15F3" w14:paraId="304CC191" w14:textId="77777777">
            <w:pPr>
              <w:pStyle w:val="Heading1"/>
              <w:spacing w:before="161"/>
              <w:ind w:left="0"/>
              <w:outlineLvl w:val="0"/>
              <w:rPr>
                <w:rFonts w:cstheme="minorHAnsi"/>
                <w:b w:val="0"/>
                <w:sz w:val="18"/>
                <w:szCs w:val="18"/>
              </w:rPr>
            </w:pPr>
            <w:r w:rsidRPr="007B2B06">
              <w:rPr>
                <w:rFonts w:cstheme="minorHAnsi"/>
                <w:b w:val="0"/>
                <w:sz w:val="18"/>
                <w:szCs w:val="18"/>
              </w:rPr>
              <w:t xml:space="preserve">NMFS, the Council, and the public </w:t>
            </w:r>
          </w:p>
        </w:tc>
      </w:tr>
      <w:tr w14:paraId="1418507D" w14:textId="77777777" w:rsidTr="00684AE8">
        <w:tblPrEx>
          <w:tblW w:w="14357" w:type="dxa"/>
          <w:jc w:val="center"/>
          <w:tblLayout w:type="fixed"/>
          <w:tblLook w:val="04A0"/>
        </w:tblPrEx>
        <w:trPr>
          <w:trHeight w:val="1542"/>
          <w:jc w:val="center"/>
        </w:trPr>
        <w:tc>
          <w:tcPr>
            <w:tcW w:w="1398" w:type="dxa"/>
            <w:vAlign w:val="center"/>
          </w:tcPr>
          <w:p w:rsidR="00CE064E" w:rsidRPr="007B2B06" w:rsidP="009E15F3" w14:paraId="2A0D98CE" w14:textId="77777777">
            <w:pPr>
              <w:rPr>
                <w:rFonts w:cstheme="minorHAnsi"/>
                <w:sz w:val="18"/>
                <w:szCs w:val="18"/>
              </w:rPr>
            </w:pPr>
            <w:r w:rsidRPr="007B2B06">
              <w:rPr>
                <w:rFonts w:cstheme="minorHAnsi"/>
                <w:sz w:val="18"/>
                <w:szCs w:val="18"/>
              </w:rPr>
              <w:t>Application for Transfer of Charter Halibut Permit (CHP)</w:t>
            </w:r>
          </w:p>
        </w:tc>
        <w:tc>
          <w:tcPr>
            <w:tcW w:w="1304" w:type="dxa"/>
            <w:vAlign w:val="center"/>
          </w:tcPr>
          <w:p w:rsidR="00CE064E" w:rsidRPr="007B2B06" w:rsidP="009E15F3" w14:paraId="66ABE3EF" w14:textId="77777777">
            <w:pPr>
              <w:rPr>
                <w:rFonts w:cstheme="minorHAnsi"/>
                <w:sz w:val="18"/>
                <w:szCs w:val="18"/>
              </w:rPr>
            </w:pPr>
            <w:r w:rsidRPr="007B2B06">
              <w:rPr>
                <w:rFonts w:cstheme="minorHAnsi"/>
                <w:sz w:val="18"/>
                <w:szCs w:val="18"/>
              </w:rPr>
              <w:t>CHP holders</w:t>
            </w:r>
          </w:p>
        </w:tc>
        <w:tc>
          <w:tcPr>
            <w:tcW w:w="932" w:type="dxa"/>
            <w:vAlign w:val="center"/>
          </w:tcPr>
          <w:p w:rsidR="00CE064E" w:rsidRPr="007B2B06" w:rsidP="009E15F3" w14:paraId="6B544481" w14:textId="77777777">
            <w:pPr>
              <w:rPr>
                <w:rFonts w:cstheme="minorHAnsi"/>
                <w:sz w:val="18"/>
                <w:szCs w:val="18"/>
              </w:rPr>
            </w:pPr>
            <w:r w:rsidRPr="007B2B06">
              <w:rPr>
                <w:rFonts w:cstheme="minorHAnsi"/>
                <w:sz w:val="18"/>
                <w:szCs w:val="18"/>
              </w:rPr>
              <w:t>16 U.S.C. 773</w:t>
            </w:r>
          </w:p>
        </w:tc>
        <w:tc>
          <w:tcPr>
            <w:tcW w:w="1217" w:type="dxa"/>
            <w:vAlign w:val="center"/>
          </w:tcPr>
          <w:p w:rsidR="00CE064E" w:rsidRPr="007B2B06" w:rsidP="009E15F3" w14:paraId="1AD4EC4C" w14:textId="77777777">
            <w:pPr>
              <w:rPr>
                <w:rFonts w:cstheme="minorHAnsi"/>
                <w:sz w:val="18"/>
                <w:szCs w:val="18"/>
              </w:rPr>
            </w:pPr>
            <w:hyperlink r:id="rId20" w:anchor="p-300.67(i)" w:history="1">
              <w:r w:rsidRPr="007B2B06" w:rsidR="00506C74">
                <w:rPr>
                  <w:rStyle w:val="Hyperlink"/>
                  <w:rFonts w:cstheme="minorHAnsi"/>
                  <w:sz w:val="18"/>
                  <w:szCs w:val="18"/>
                </w:rPr>
                <w:t>300.67(i)</w:t>
              </w:r>
            </w:hyperlink>
          </w:p>
        </w:tc>
        <w:tc>
          <w:tcPr>
            <w:tcW w:w="1212" w:type="dxa"/>
            <w:vAlign w:val="center"/>
          </w:tcPr>
          <w:p w:rsidR="00CE064E" w:rsidRPr="007B2B06" w:rsidP="00E02C6A" w14:paraId="7579D495" w14:textId="77777777">
            <w:pPr>
              <w:rPr>
                <w:rFonts w:cstheme="minorHAnsi"/>
                <w:sz w:val="18"/>
                <w:szCs w:val="18"/>
              </w:rPr>
            </w:pPr>
            <w:hyperlink r:id="rId20" w:anchor="p-300.67(i)" w:history="1">
              <w:r w:rsidRPr="007B2B06" w:rsidR="00E02C6A">
                <w:rPr>
                  <w:rStyle w:val="Hyperlink"/>
                  <w:rFonts w:cstheme="minorHAnsi"/>
                  <w:sz w:val="18"/>
                  <w:szCs w:val="18"/>
                </w:rPr>
                <w:t>https://www.ecfr.gov/current/title-50/part-300/section-300.67#p-300.67(i)</w:t>
              </w:r>
            </w:hyperlink>
          </w:p>
        </w:tc>
        <w:tc>
          <w:tcPr>
            <w:tcW w:w="828" w:type="dxa"/>
            <w:vAlign w:val="center"/>
          </w:tcPr>
          <w:p w:rsidR="00CE064E" w:rsidRPr="007B2B06" w:rsidP="009E15F3" w14:paraId="5DDD4213" w14:textId="77777777">
            <w:pPr>
              <w:rPr>
                <w:rFonts w:cstheme="minorHAnsi"/>
                <w:sz w:val="18"/>
                <w:szCs w:val="18"/>
              </w:rPr>
            </w:pPr>
            <w:r w:rsidRPr="007B2B06">
              <w:rPr>
                <w:rFonts w:cstheme="minorHAnsi"/>
                <w:sz w:val="18"/>
                <w:szCs w:val="18"/>
              </w:rPr>
              <w:t>Yes</w:t>
            </w:r>
          </w:p>
        </w:tc>
        <w:tc>
          <w:tcPr>
            <w:tcW w:w="1128" w:type="dxa"/>
            <w:vAlign w:val="center"/>
          </w:tcPr>
          <w:p w:rsidR="00CE064E" w:rsidRPr="007B2B06" w:rsidP="009E15F3" w14:paraId="0C3CCD1D" w14:textId="77777777">
            <w:pPr>
              <w:rPr>
                <w:rFonts w:eastAsia="Calibri" w:cstheme="minorHAnsi"/>
                <w:sz w:val="18"/>
                <w:szCs w:val="18"/>
              </w:rPr>
            </w:pPr>
            <w:r w:rsidRPr="007B2B06">
              <w:rPr>
                <w:rFonts w:eastAsia="Calibri" w:cstheme="minorHAnsi"/>
                <w:sz w:val="18"/>
                <w:szCs w:val="18"/>
              </w:rPr>
              <w:t>Mail, delivery, or fax</w:t>
            </w:r>
          </w:p>
        </w:tc>
        <w:tc>
          <w:tcPr>
            <w:tcW w:w="1957" w:type="dxa"/>
            <w:vAlign w:val="center"/>
          </w:tcPr>
          <w:p w:rsidR="00CE064E" w:rsidRPr="007B2B06" w:rsidP="009E15F3" w14:paraId="13958ED4" w14:textId="77777777">
            <w:pPr>
              <w:pStyle w:val="Heading1"/>
              <w:spacing w:before="161"/>
              <w:ind w:left="0"/>
              <w:outlineLvl w:val="0"/>
              <w:rPr>
                <w:rFonts w:cstheme="minorHAnsi"/>
                <w:b w:val="0"/>
                <w:sz w:val="18"/>
                <w:szCs w:val="18"/>
              </w:rPr>
            </w:pPr>
            <w:r w:rsidRPr="007B2B06">
              <w:rPr>
                <w:rFonts w:cstheme="minorHAnsi"/>
                <w:b w:val="0"/>
                <w:sz w:val="18"/>
                <w:szCs w:val="18"/>
              </w:rPr>
              <w:t>As needed by the respondent</w:t>
            </w:r>
          </w:p>
        </w:tc>
        <w:tc>
          <w:tcPr>
            <w:tcW w:w="3077" w:type="dxa"/>
            <w:vAlign w:val="center"/>
          </w:tcPr>
          <w:p w:rsidR="00CE064E" w:rsidRPr="007B2B06" w:rsidP="009E15F3" w14:paraId="6B9524D1" w14:textId="77777777">
            <w:pPr>
              <w:pStyle w:val="TableParagraph"/>
              <w:rPr>
                <w:rFonts w:cstheme="minorHAnsi"/>
                <w:sz w:val="18"/>
                <w:szCs w:val="18"/>
              </w:rPr>
            </w:pPr>
            <w:r w:rsidRPr="007B2B06">
              <w:rPr>
                <w:rFonts w:cstheme="minorHAnsi"/>
                <w:sz w:val="18"/>
                <w:szCs w:val="18"/>
              </w:rPr>
              <w:t>Used by CHP holders to transfer a transferrable CHP to an individual or non-individual entity that meets the eligibility requirements.</w:t>
            </w:r>
          </w:p>
          <w:p w:rsidR="00CE064E" w:rsidRPr="007B2B06" w:rsidP="00586567" w14:paraId="53B262E8" w14:textId="77777777">
            <w:pPr>
              <w:pStyle w:val="Heading1"/>
              <w:spacing w:before="120"/>
              <w:ind w:left="0"/>
              <w:outlineLvl w:val="0"/>
              <w:rPr>
                <w:rFonts w:cstheme="minorHAnsi"/>
                <w:b w:val="0"/>
                <w:sz w:val="18"/>
                <w:szCs w:val="18"/>
              </w:rPr>
            </w:pPr>
            <w:r w:rsidRPr="007B2B06">
              <w:rPr>
                <w:rFonts w:cstheme="minorHAnsi"/>
                <w:b w:val="0"/>
                <w:sz w:val="18"/>
                <w:szCs w:val="18"/>
              </w:rPr>
              <w:t>Used by NMFS to determine whether the transfer meets the regulatory requirements.</w:t>
            </w:r>
          </w:p>
        </w:tc>
        <w:tc>
          <w:tcPr>
            <w:tcW w:w="1304" w:type="dxa"/>
            <w:vAlign w:val="center"/>
          </w:tcPr>
          <w:p w:rsidR="00CE064E" w:rsidRPr="007B2B06" w:rsidP="009E15F3" w14:paraId="7D893738" w14:textId="77777777">
            <w:pPr>
              <w:pStyle w:val="Heading1"/>
              <w:spacing w:before="161"/>
              <w:ind w:left="0"/>
              <w:outlineLvl w:val="0"/>
              <w:rPr>
                <w:rFonts w:cstheme="minorHAnsi"/>
                <w:b w:val="0"/>
                <w:sz w:val="18"/>
                <w:szCs w:val="18"/>
              </w:rPr>
            </w:pPr>
            <w:r w:rsidRPr="007B2B06">
              <w:rPr>
                <w:rFonts w:cstheme="minorHAnsi"/>
                <w:b w:val="0"/>
                <w:sz w:val="18"/>
                <w:szCs w:val="18"/>
              </w:rPr>
              <w:t>NMFS, the Council, and the public</w:t>
            </w:r>
          </w:p>
        </w:tc>
      </w:tr>
      <w:tr w14:paraId="1AD086E3" w14:textId="77777777" w:rsidTr="00684AE8">
        <w:tblPrEx>
          <w:tblW w:w="14357" w:type="dxa"/>
          <w:jc w:val="center"/>
          <w:tblLayout w:type="fixed"/>
          <w:tblLook w:val="04A0"/>
        </w:tblPrEx>
        <w:trPr>
          <w:trHeight w:val="1285"/>
          <w:jc w:val="center"/>
        </w:trPr>
        <w:tc>
          <w:tcPr>
            <w:tcW w:w="1398" w:type="dxa"/>
            <w:vAlign w:val="center"/>
          </w:tcPr>
          <w:p w:rsidR="00CE064E" w:rsidRPr="007B2B06" w:rsidP="009E15F3" w14:paraId="03D489AE" w14:textId="77777777">
            <w:pPr>
              <w:rPr>
                <w:rFonts w:cstheme="minorHAnsi"/>
                <w:sz w:val="18"/>
                <w:szCs w:val="18"/>
              </w:rPr>
            </w:pPr>
            <w:r w:rsidRPr="007B2B06">
              <w:rPr>
                <w:rFonts w:cstheme="minorHAnsi"/>
                <w:sz w:val="18"/>
                <w:szCs w:val="18"/>
              </w:rPr>
              <w:t>Application for Military Charter Halibut Permit</w:t>
            </w:r>
          </w:p>
        </w:tc>
        <w:tc>
          <w:tcPr>
            <w:tcW w:w="1304" w:type="dxa"/>
            <w:vAlign w:val="center"/>
          </w:tcPr>
          <w:p w:rsidR="00CE064E" w:rsidRPr="007B2B06" w:rsidP="009E15F3" w14:paraId="0BB28984" w14:textId="77777777">
            <w:pPr>
              <w:rPr>
                <w:rFonts w:cstheme="minorHAnsi"/>
                <w:sz w:val="18"/>
                <w:szCs w:val="18"/>
              </w:rPr>
            </w:pPr>
            <w:r w:rsidRPr="007B2B06">
              <w:rPr>
                <w:rFonts w:cstheme="minorHAnsi"/>
                <w:sz w:val="18"/>
                <w:szCs w:val="18"/>
              </w:rPr>
              <w:t>Military morale, welfare, and recreation programs</w:t>
            </w:r>
          </w:p>
        </w:tc>
        <w:tc>
          <w:tcPr>
            <w:tcW w:w="932" w:type="dxa"/>
            <w:vAlign w:val="center"/>
          </w:tcPr>
          <w:p w:rsidR="00CE064E" w:rsidRPr="007B2B06" w:rsidP="009E15F3" w14:paraId="5B52545C" w14:textId="77777777">
            <w:pPr>
              <w:rPr>
                <w:rFonts w:cstheme="minorHAnsi"/>
                <w:sz w:val="18"/>
                <w:szCs w:val="18"/>
              </w:rPr>
            </w:pPr>
            <w:r w:rsidRPr="007B2B06">
              <w:rPr>
                <w:rFonts w:cstheme="minorHAnsi"/>
                <w:sz w:val="18"/>
                <w:szCs w:val="18"/>
              </w:rPr>
              <w:t>16 U.S.C. 773</w:t>
            </w:r>
          </w:p>
        </w:tc>
        <w:tc>
          <w:tcPr>
            <w:tcW w:w="1217" w:type="dxa"/>
            <w:vAlign w:val="center"/>
          </w:tcPr>
          <w:p w:rsidR="00CE064E" w:rsidRPr="007B2B06" w:rsidP="009E15F3" w14:paraId="007B2B3C" w14:textId="77777777">
            <w:pPr>
              <w:rPr>
                <w:rFonts w:cstheme="minorHAnsi"/>
                <w:sz w:val="18"/>
                <w:szCs w:val="18"/>
              </w:rPr>
            </w:pPr>
            <w:hyperlink r:id="rId20" w:anchor="p-300.67(l)" w:history="1">
              <w:r w:rsidRPr="007B2B06" w:rsidR="00506C74">
                <w:rPr>
                  <w:rStyle w:val="Hyperlink"/>
                  <w:rFonts w:cstheme="minorHAnsi"/>
                  <w:sz w:val="18"/>
                  <w:szCs w:val="18"/>
                </w:rPr>
                <w:t>300.67(l)</w:t>
              </w:r>
            </w:hyperlink>
          </w:p>
        </w:tc>
        <w:tc>
          <w:tcPr>
            <w:tcW w:w="1212" w:type="dxa"/>
            <w:vAlign w:val="center"/>
          </w:tcPr>
          <w:p w:rsidR="00CE064E" w:rsidRPr="007B2B06" w:rsidP="00E02C6A" w14:paraId="10366029" w14:textId="77777777">
            <w:pPr>
              <w:rPr>
                <w:rFonts w:cstheme="minorHAnsi"/>
                <w:sz w:val="18"/>
                <w:szCs w:val="18"/>
              </w:rPr>
            </w:pPr>
            <w:hyperlink r:id="rId20" w:anchor="p-300.67(l)" w:history="1">
              <w:r w:rsidRPr="007B2B06" w:rsidR="00E02C6A">
                <w:rPr>
                  <w:rStyle w:val="Hyperlink"/>
                  <w:rFonts w:cstheme="minorHAnsi"/>
                  <w:sz w:val="18"/>
                  <w:szCs w:val="18"/>
                </w:rPr>
                <w:t>https://www.ecfr.gov/current/title-50/part-300/section-300.67#p-300.67(l)</w:t>
              </w:r>
            </w:hyperlink>
          </w:p>
        </w:tc>
        <w:tc>
          <w:tcPr>
            <w:tcW w:w="828" w:type="dxa"/>
            <w:vAlign w:val="center"/>
          </w:tcPr>
          <w:p w:rsidR="00CE064E" w:rsidRPr="007B2B06" w:rsidP="009E15F3" w14:paraId="1113C3B0" w14:textId="77777777">
            <w:pPr>
              <w:rPr>
                <w:rFonts w:cstheme="minorHAnsi"/>
                <w:sz w:val="18"/>
                <w:szCs w:val="18"/>
              </w:rPr>
            </w:pPr>
            <w:r w:rsidRPr="007B2B06">
              <w:rPr>
                <w:rFonts w:cstheme="minorHAnsi"/>
                <w:sz w:val="18"/>
                <w:szCs w:val="18"/>
              </w:rPr>
              <w:t>Yes</w:t>
            </w:r>
          </w:p>
        </w:tc>
        <w:tc>
          <w:tcPr>
            <w:tcW w:w="1128" w:type="dxa"/>
            <w:vAlign w:val="center"/>
          </w:tcPr>
          <w:p w:rsidR="00CE064E" w:rsidRPr="007B2B06" w:rsidP="009E15F3" w14:paraId="3E46FE28" w14:textId="77777777">
            <w:pPr>
              <w:rPr>
                <w:rFonts w:eastAsia="Calibri" w:cstheme="minorHAnsi"/>
                <w:sz w:val="18"/>
                <w:szCs w:val="18"/>
              </w:rPr>
            </w:pPr>
            <w:r w:rsidRPr="007B2B06">
              <w:rPr>
                <w:rFonts w:eastAsia="Calibri" w:cstheme="minorHAnsi"/>
                <w:sz w:val="18"/>
                <w:szCs w:val="18"/>
              </w:rPr>
              <w:t>Mail, delivery, or fax</w:t>
            </w:r>
          </w:p>
        </w:tc>
        <w:tc>
          <w:tcPr>
            <w:tcW w:w="1957" w:type="dxa"/>
            <w:vAlign w:val="center"/>
          </w:tcPr>
          <w:p w:rsidR="00CE064E" w:rsidRPr="007B2B06" w:rsidP="009E15F3" w14:paraId="4491241A" w14:textId="77777777">
            <w:pPr>
              <w:pStyle w:val="Heading1"/>
              <w:spacing w:before="161"/>
              <w:ind w:left="0"/>
              <w:outlineLvl w:val="0"/>
              <w:rPr>
                <w:rFonts w:cstheme="minorHAnsi"/>
                <w:b w:val="0"/>
                <w:sz w:val="18"/>
                <w:szCs w:val="18"/>
              </w:rPr>
            </w:pPr>
            <w:r w:rsidRPr="007B2B06">
              <w:rPr>
                <w:rFonts w:cstheme="minorHAnsi"/>
                <w:b w:val="0"/>
                <w:sz w:val="18"/>
                <w:szCs w:val="18"/>
              </w:rPr>
              <w:t>Once</w:t>
            </w:r>
          </w:p>
        </w:tc>
        <w:tc>
          <w:tcPr>
            <w:tcW w:w="3077" w:type="dxa"/>
            <w:vAlign w:val="center"/>
          </w:tcPr>
          <w:p w:rsidR="00CE064E" w:rsidRPr="007B2B06" w:rsidP="009E15F3" w14:paraId="0F22DA42" w14:textId="7E62F970">
            <w:pPr>
              <w:pStyle w:val="TableParagraph"/>
              <w:rPr>
                <w:rFonts w:cstheme="minorHAnsi"/>
                <w:sz w:val="18"/>
                <w:szCs w:val="18"/>
              </w:rPr>
            </w:pPr>
            <w:r w:rsidRPr="007B2B06">
              <w:rPr>
                <w:rFonts w:cstheme="minorHAnsi"/>
                <w:sz w:val="18"/>
                <w:szCs w:val="18"/>
              </w:rPr>
              <w:t xml:space="preserve">Used by a Morale, Welfare, and Recreation (MWR) Program of the U.S. Armed Services to apply for </w:t>
            </w:r>
            <w:r w:rsidRPr="007B2B06" w:rsidR="00F216C6">
              <w:rPr>
                <w:rFonts w:cstheme="minorHAnsi"/>
                <w:sz w:val="18"/>
                <w:szCs w:val="18"/>
              </w:rPr>
              <w:t>military CHP</w:t>
            </w:r>
            <w:r w:rsidR="00692211">
              <w:rPr>
                <w:rFonts w:cstheme="minorHAnsi"/>
                <w:sz w:val="18"/>
                <w:szCs w:val="18"/>
              </w:rPr>
              <w:t>s</w:t>
            </w:r>
            <w:r w:rsidRPr="007B2B06">
              <w:rPr>
                <w:rFonts w:cstheme="minorHAnsi"/>
                <w:sz w:val="18"/>
                <w:szCs w:val="18"/>
              </w:rPr>
              <w:t xml:space="preserve">. </w:t>
            </w:r>
          </w:p>
          <w:p w:rsidR="00CE064E" w:rsidRPr="007B2B06" w:rsidP="00586567" w14:paraId="471BBD2A" w14:textId="77777777">
            <w:pPr>
              <w:pStyle w:val="Heading1"/>
              <w:spacing w:before="120"/>
              <w:ind w:left="0"/>
              <w:outlineLvl w:val="0"/>
              <w:rPr>
                <w:rFonts w:cstheme="minorHAnsi"/>
                <w:b w:val="0"/>
                <w:sz w:val="18"/>
                <w:szCs w:val="18"/>
              </w:rPr>
            </w:pPr>
            <w:r w:rsidRPr="007B2B06">
              <w:rPr>
                <w:rFonts w:cstheme="minorHAnsi"/>
                <w:b w:val="0"/>
                <w:sz w:val="18"/>
                <w:szCs w:val="18"/>
              </w:rPr>
              <w:t xml:space="preserve">Used by NMFS to determine the applicant’s authority to apply for a CHP on behalf of the MWR Program and the eligibility of the program to receive a </w:t>
            </w:r>
            <w:r w:rsidRPr="007B2B06" w:rsidR="00F216C6">
              <w:rPr>
                <w:rFonts w:cstheme="minorHAnsi"/>
                <w:b w:val="0"/>
                <w:sz w:val="18"/>
                <w:szCs w:val="18"/>
              </w:rPr>
              <w:t>military CHP</w:t>
            </w:r>
            <w:r w:rsidRPr="007B2B06">
              <w:rPr>
                <w:rFonts w:cstheme="minorHAnsi"/>
                <w:b w:val="0"/>
                <w:sz w:val="18"/>
                <w:szCs w:val="18"/>
              </w:rPr>
              <w:t>.</w:t>
            </w:r>
          </w:p>
        </w:tc>
        <w:tc>
          <w:tcPr>
            <w:tcW w:w="1304" w:type="dxa"/>
            <w:vAlign w:val="center"/>
          </w:tcPr>
          <w:p w:rsidR="00CE064E" w:rsidRPr="007B2B06" w:rsidP="009E15F3" w14:paraId="0E34CE06" w14:textId="77777777">
            <w:pPr>
              <w:pStyle w:val="Heading1"/>
              <w:spacing w:before="161"/>
              <w:ind w:left="0"/>
              <w:outlineLvl w:val="0"/>
              <w:rPr>
                <w:rFonts w:cstheme="minorHAnsi"/>
                <w:b w:val="0"/>
                <w:sz w:val="18"/>
                <w:szCs w:val="18"/>
              </w:rPr>
            </w:pPr>
            <w:r w:rsidRPr="007B2B06">
              <w:rPr>
                <w:rFonts w:cstheme="minorHAnsi"/>
                <w:b w:val="0"/>
                <w:sz w:val="18"/>
                <w:szCs w:val="18"/>
              </w:rPr>
              <w:t>NMFS</w:t>
            </w:r>
            <w:r w:rsidRPr="007B2B06">
              <w:rPr>
                <w:rFonts w:cstheme="minorHAnsi"/>
              </w:rPr>
              <w:t xml:space="preserve"> </w:t>
            </w:r>
            <w:r w:rsidRPr="007B2B06">
              <w:rPr>
                <w:rFonts w:cstheme="minorHAnsi"/>
                <w:b w:val="0"/>
                <w:sz w:val="18"/>
                <w:szCs w:val="18"/>
              </w:rPr>
              <w:t>and the public</w:t>
            </w:r>
          </w:p>
        </w:tc>
      </w:tr>
      <w:tr w14:paraId="0198A925" w14:textId="77777777" w:rsidTr="00684AE8">
        <w:tblPrEx>
          <w:tblW w:w="14357" w:type="dxa"/>
          <w:jc w:val="center"/>
          <w:tblLayout w:type="fixed"/>
          <w:tblLook w:val="04A0"/>
        </w:tblPrEx>
        <w:trPr>
          <w:trHeight w:val="1811"/>
          <w:jc w:val="center"/>
        </w:trPr>
        <w:tc>
          <w:tcPr>
            <w:tcW w:w="1398" w:type="dxa"/>
            <w:vAlign w:val="center"/>
          </w:tcPr>
          <w:p w:rsidR="006563F2" w:rsidRPr="007B2B06" w:rsidP="003210A1" w14:paraId="4CD3699D" w14:textId="77777777">
            <w:pPr>
              <w:rPr>
                <w:rFonts w:cstheme="minorHAnsi"/>
                <w:sz w:val="18"/>
                <w:szCs w:val="18"/>
              </w:rPr>
            </w:pPr>
            <w:r w:rsidRPr="007B2B06">
              <w:rPr>
                <w:rFonts w:cstheme="minorHAnsi"/>
                <w:sz w:val="18"/>
                <w:szCs w:val="18"/>
              </w:rPr>
              <w:t xml:space="preserve">Purchase Charter Halibut Stamps </w:t>
            </w:r>
            <w:r w:rsidRPr="007B2B06" w:rsidR="007E7169">
              <w:rPr>
                <w:rFonts w:cstheme="minorHAnsi"/>
                <w:color w:val="C00000"/>
                <w:sz w:val="18"/>
                <w:szCs w:val="18"/>
              </w:rPr>
              <w:t>[</w:t>
            </w:r>
            <w:r w:rsidRPr="007B2B06" w:rsidR="007946A0">
              <w:rPr>
                <w:rFonts w:cstheme="minorHAnsi"/>
                <w:color w:val="C00000"/>
                <w:sz w:val="18"/>
                <w:szCs w:val="18"/>
              </w:rPr>
              <w:t>new collection</w:t>
            </w:r>
            <w:r w:rsidRPr="007B2B06" w:rsidR="007E7169">
              <w:rPr>
                <w:rFonts w:cstheme="minorHAnsi"/>
                <w:color w:val="C00000"/>
                <w:sz w:val="18"/>
                <w:szCs w:val="18"/>
              </w:rPr>
              <w:t>]</w:t>
            </w:r>
          </w:p>
        </w:tc>
        <w:tc>
          <w:tcPr>
            <w:tcW w:w="1304" w:type="dxa"/>
            <w:vAlign w:val="center"/>
          </w:tcPr>
          <w:p w:rsidR="006563F2" w:rsidRPr="007B2B06" w:rsidP="006563F2" w14:paraId="658779E2" w14:textId="77777777">
            <w:pPr>
              <w:rPr>
                <w:rFonts w:cstheme="minorHAnsi"/>
                <w:sz w:val="18"/>
                <w:szCs w:val="18"/>
              </w:rPr>
            </w:pPr>
            <w:r w:rsidRPr="007B2B06">
              <w:rPr>
                <w:rFonts w:cstheme="minorHAnsi"/>
                <w:sz w:val="18"/>
                <w:szCs w:val="18"/>
              </w:rPr>
              <w:t>CHP holders</w:t>
            </w:r>
          </w:p>
        </w:tc>
        <w:tc>
          <w:tcPr>
            <w:tcW w:w="932" w:type="dxa"/>
            <w:vAlign w:val="center"/>
          </w:tcPr>
          <w:p w:rsidR="007E7169" w:rsidRPr="007B2B06" w:rsidP="007E7169" w14:paraId="195BC8BE" w14:textId="77777777">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6563F2" w:rsidRPr="007B2B06" w:rsidP="007E7169" w14:paraId="7130DB3D" w14:textId="77777777">
            <w:pPr>
              <w:pStyle w:val="TableParagraph"/>
              <w:spacing w:before="9"/>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r w:rsidRPr="007B2B06">
              <w:rPr>
                <w:rFonts w:cstheme="minorHAnsi"/>
                <w:sz w:val="18"/>
                <w:szCs w:val="18"/>
              </w:rPr>
              <w:t>.</w:t>
            </w:r>
          </w:p>
        </w:tc>
        <w:tc>
          <w:tcPr>
            <w:tcW w:w="1217" w:type="dxa"/>
            <w:shd w:val="clear" w:color="auto" w:fill="auto"/>
            <w:vAlign w:val="center"/>
          </w:tcPr>
          <w:p w:rsidR="006563F2" w:rsidRPr="007B2B06" w:rsidP="007506B4" w14:paraId="7A57B887" w14:textId="77777777">
            <w:pPr>
              <w:rPr>
                <w:rFonts w:cstheme="minorHAnsi"/>
                <w:sz w:val="18"/>
                <w:szCs w:val="18"/>
              </w:rPr>
            </w:pPr>
            <w:r w:rsidRPr="007B2B06">
              <w:rPr>
                <w:rFonts w:cstheme="minorHAnsi"/>
                <w:sz w:val="18"/>
                <w:szCs w:val="18"/>
              </w:rPr>
              <w:t>679.46</w:t>
            </w:r>
            <w:r w:rsidRPr="007B2B06" w:rsidR="007E7169">
              <w:rPr>
                <w:rFonts w:cstheme="minorHAnsi"/>
                <w:sz w:val="18"/>
                <w:szCs w:val="18"/>
              </w:rPr>
              <w:t xml:space="preserve"> </w:t>
            </w:r>
            <w:r w:rsidRPr="007B2B06" w:rsidR="007E7169">
              <w:rPr>
                <w:rFonts w:cstheme="minorHAnsi"/>
                <w:color w:val="C00000"/>
                <w:sz w:val="18"/>
                <w:szCs w:val="18"/>
              </w:rPr>
              <w:t>[</w:t>
            </w:r>
            <w:r w:rsidRPr="007B2B06" w:rsidR="00952C15">
              <w:rPr>
                <w:rFonts w:cstheme="minorHAnsi"/>
                <w:color w:val="C00000"/>
                <w:sz w:val="18"/>
                <w:szCs w:val="18"/>
              </w:rPr>
              <w:t>new</w:t>
            </w:r>
            <w:r w:rsidRPr="007B2B06" w:rsidR="007E7169">
              <w:rPr>
                <w:rFonts w:cstheme="minorHAnsi"/>
                <w:color w:val="C00000"/>
                <w:sz w:val="18"/>
                <w:szCs w:val="18"/>
              </w:rPr>
              <w:t>]</w:t>
            </w:r>
          </w:p>
        </w:tc>
        <w:tc>
          <w:tcPr>
            <w:tcW w:w="1212" w:type="dxa"/>
            <w:vAlign w:val="center"/>
          </w:tcPr>
          <w:p w:rsidR="006563F2" w:rsidRPr="007B2B06" w:rsidP="006563F2" w14:paraId="124F1F89" w14:textId="77777777">
            <w:pPr>
              <w:rPr>
                <w:rFonts w:cstheme="minorHAnsi"/>
                <w:sz w:val="18"/>
                <w:szCs w:val="18"/>
              </w:rPr>
            </w:pPr>
            <w:r w:rsidRPr="007B2B06">
              <w:rPr>
                <w:rFonts w:cstheme="minorHAnsi"/>
                <w:sz w:val="18"/>
                <w:szCs w:val="18"/>
              </w:rPr>
              <w:t>—</w:t>
            </w:r>
          </w:p>
        </w:tc>
        <w:tc>
          <w:tcPr>
            <w:tcW w:w="828" w:type="dxa"/>
            <w:vAlign w:val="center"/>
          </w:tcPr>
          <w:p w:rsidR="006563F2" w:rsidRPr="007B2B06" w:rsidP="006563F2" w14:paraId="0079946E" w14:textId="77777777">
            <w:pPr>
              <w:rPr>
                <w:rFonts w:cstheme="minorHAnsi"/>
                <w:sz w:val="18"/>
                <w:szCs w:val="18"/>
              </w:rPr>
            </w:pPr>
            <w:r w:rsidRPr="007B2B06">
              <w:rPr>
                <w:rFonts w:cstheme="minorHAnsi"/>
                <w:sz w:val="18"/>
                <w:szCs w:val="18"/>
              </w:rPr>
              <w:t>No</w:t>
            </w:r>
          </w:p>
        </w:tc>
        <w:tc>
          <w:tcPr>
            <w:tcW w:w="1128" w:type="dxa"/>
            <w:vAlign w:val="center"/>
          </w:tcPr>
          <w:p w:rsidR="006563F2" w:rsidRPr="007B2B06" w:rsidP="006563F2" w14:paraId="533FE247" w14:textId="77777777">
            <w:pPr>
              <w:rPr>
                <w:rFonts w:eastAsia="Calibri" w:cstheme="minorHAnsi"/>
                <w:sz w:val="18"/>
                <w:szCs w:val="18"/>
              </w:rPr>
            </w:pPr>
            <w:r w:rsidRPr="007B2B06">
              <w:rPr>
                <w:rFonts w:eastAsia="Calibri" w:cstheme="minorHAnsi"/>
                <w:sz w:val="18"/>
                <w:szCs w:val="18"/>
              </w:rPr>
              <w:t>eFISH</w:t>
            </w:r>
          </w:p>
        </w:tc>
        <w:tc>
          <w:tcPr>
            <w:tcW w:w="1957" w:type="dxa"/>
            <w:vAlign w:val="center"/>
          </w:tcPr>
          <w:p w:rsidR="006563F2" w:rsidRPr="007B2B06" w:rsidP="006563F2" w14:paraId="54D89EFA" w14:textId="77777777">
            <w:pPr>
              <w:pStyle w:val="Heading1"/>
              <w:spacing w:before="161"/>
              <w:ind w:left="0"/>
              <w:outlineLvl w:val="0"/>
              <w:rPr>
                <w:rFonts w:cstheme="minorHAnsi"/>
                <w:b w:val="0"/>
                <w:sz w:val="18"/>
                <w:szCs w:val="18"/>
              </w:rPr>
            </w:pPr>
            <w:r w:rsidRPr="007B2B06">
              <w:rPr>
                <w:rFonts w:cstheme="minorHAnsi"/>
                <w:b w:val="0"/>
                <w:sz w:val="18"/>
                <w:szCs w:val="18"/>
              </w:rPr>
              <w:t>As needed</w:t>
            </w:r>
          </w:p>
        </w:tc>
        <w:tc>
          <w:tcPr>
            <w:tcW w:w="3077" w:type="dxa"/>
            <w:vAlign w:val="center"/>
          </w:tcPr>
          <w:p w:rsidR="006563F2" w:rsidRPr="007B2B06" w:rsidP="00586567" w14:paraId="1557B251" w14:textId="31D78579">
            <w:pPr>
              <w:pStyle w:val="TableParagraph"/>
              <w:rPr>
                <w:rFonts w:cstheme="minorHAnsi"/>
                <w:sz w:val="18"/>
                <w:szCs w:val="18"/>
              </w:rPr>
            </w:pPr>
            <w:r w:rsidRPr="007B2B06">
              <w:rPr>
                <w:rFonts w:cstheme="minorHAnsi"/>
                <w:sz w:val="18"/>
                <w:szCs w:val="18"/>
              </w:rPr>
              <w:t>Used by CHP holders to purchase electronic charter halibut stamps required for charter vessel angle</w:t>
            </w:r>
            <w:r w:rsidR="00454378">
              <w:rPr>
                <w:rFonts w:cstheme="minorHAnsi"/>
                <w:sz w:val="18"/>
                <w:szCs w:val="18"/>
              </w:rPr>
              <w:t xml:space="preserve">rs 18 years of age or older </w:t>
            </w:r>
            <w:r w:rsidRPr="007B2B06">
              <w:rPr>
                <w:rFonts w:cstheme="minorHAnsi"/>
                <w:sz w:val="18"/>
                <w:szCs w:val="18"/>
              </w:rPr>
              <w:t>each day they intend to catch and retain halibut on a charter vessel in</w:t>
            </w:r>
            <w:r w:rsidRPr="007B2B06" w:rsidR="00586567">
              <w:rPr>
                <w:rFonts w:cstheme="minorHAnsi"/>
                <w:sz w:val="18"/>
                <w:szCs w:val="18"/>
              </w:rPr>
              <w:t xml:space="preserve"> IPHC Regulatory Areas 2C or 3A</w:t>
            </w:r>
            <w:r w:rsidRPr="007B2B06">
              <w:rPr>
                <w:rFonts w:cstheme="minorHAnsi"/>
                <w:sz w:val="18"/>
                <w:szCs w:val="18"/>
              </w:rPr>
              <w:t>.</w:t>
            </w:r>
          </w:p>
          <w:p w:rsidR="00586567" w:rsidRPr="007B2B06" w:rsidP="00454378" w14:paraId="60608A91" w14:textId="77777777">
            <w:pPr>
              <w:pStyle w:val="TableParagraph"/>
              <w:spacing w:before="60"/>
              <w:rPr>
                <w:rFonts w:cstheme="minorHAnsi"/>
                <w:sz w:val="18"/>
                <w:szCs w:val="18"/>
              </w:rPr>
            </w:pPr>
            <w:r w:rsidRPr="007B2B06">
              <w:rPr>
                <w:rFonts w:cstheme="minorHAnsi"/>
                <w:sz w:val="18"/>
                <w:szCs w:val="18"/>
              </w:rPr>
              <w:t xml:space="preserve">Used by NMFS to </w:t>
            </w:r>
            <w:r w:rsidRPr="007B2B06" w:rsidR="00DE034A">
              <w:rPr>
                <w:rFonts w:cstheme="minorHAnsi"/>
                <w:sz w:val="18"/>
                <w:szCs w:val="18"/>
              </w:rPr>
              <w:t xml:space="preserve">collect RQE Program fees, and administer and enforce the RQE Program. </w:t>
            </w:r>
          </w:p>
        </w:tc>
        <w:tc>
          <w:tcPr>
            <w:tcW w:w="1304" w:type="dxa"/>
            <w:vAlign w:val="center"/>
          </w:tcPr>
          <w:p w:rsidR="006563F2" w:rsidRPr="007B2B06" w:rsidP="006563F2" w14:paraId="72B0BEE7" w14:textId="77777777">
            <w:pPr>
              <w:pStyle w:val="Heading1"/>
              <w:spacing w:before="161"/>
              <w:ind w:left="0"/>
              <w:outlineLvl w:val="0"/>
              <w:rPr>
                <w:rFonts w:cstheme="minorHAnsi"/>
                <w:b w:val="0"/>
                <w:sz w:val="18"/>
                <w:szCs w:val="18"/>
              </w:rPr>
            </w:pPr>
            <w:r w:rsidRPr="007B2B06">
              <w:rPr>
                <w:rFonts w:cstheme="minorHAnsi"/>
                <w:b w:val="0"/>
                <w:sz w:val="18"/>
                <w:szCs w:val="18"/>
              </w:rPr>
              <w:t>NMFS</w:t>
            </w:r>
          </w:p>
        </w:tc>
      </w:tr>
      <w:tr w14:paraId="1EF1353F" w14:textId="77777777" w:rsidTr="00684AE8">
        <w:tblPrEx>
          <w:tblW w:w="14357" w:type="dxa"/>
          <w:jc w:val="center"/>
          <w:tblLayout w:type="fixed"/>
          <w:tblLook w:val="04A0"/>
        </w:tblPrEx>
        <w:trPr>
          <w:trHeight w:val="1811"/>
          <w:jc w:val="center"/>
        </w:trPr>
        <w:tc>
          <w:tcPr>
            <w:tcW w:w="1398" w:type="dxa"/>
            <w:vAlign w:val="center"/>
          </w:tcPr>
          <w:p w:rsidR="00CE064E" w:rsidRPr="007B2B06" w:rsidP="009E15F3" w14:paraId="589DA26B" w14:textId="77777777">
            <w:pPr>
              <w:rPr>
                <w:rFonts w:cstheme="minorHAnsi"/>
                <w:sz w:val="18"/>
                <w:szCs w:val="18"/>
              </w:rPr>
            </w:pPr>
            <w:r w:rsidRPr="007B2B06">
              <w:rPr>
                <w:rFonts w:cstheme="minorHAnsi"/>
                <w:sz w:val="18"/>
                <w:szCs w:val="18"/>
              </w:rPr>
              <w:t>Application for Transfer Between IFQ and GAF and issuance of GAF permit</w:t>
            </w:r>
          </w:p>
        </w:tc>
        <w:tc>
          <w:tcPr>
            <w:tcW w:w="1304" w:type="dxa"/>
            <w:vAlign w:val="center"/>
          </w:tcPr>
          <w:p w:rsidR="00CE064E" w:rsidRPr="007B2B06" w:rsidP="009E15F3" w14:paraId="326CC2A2" w14:textId="77777777">
            <w:pPr>
              <w:rPr>
                <w:rFonts w:cstheme="minorHAnsi"/>
                <w:sz w:val="18"/>
                <w:szCs w:val="18"/>
              </w:rPr>
            </w:pPr>
            <w:r w:rsidRPr="007B2B06">
              <w:rPr>
                <w:rFonts w:cstheme="minorHAnsi"/>
                <w:sz w:val="18"/>
                <w:szCs w:val="18"/>
              </w:rPr>
              <w:t xml:space="preserve">CHP holders </w:t>
            </w:r>
          </w:p>
        </w:tc>
        <w:tc>
          <w:tcPr>
            <w:tcW w:w="932" w:type="dxa"/>
            <w:vAlign w:val="center"/>
          </w:tcPr>
          <w:p w:rsidR="00CE064E" w:rsidRPr="007B2B06" w:rsidP="009E15F3" w14:paraId="1173850A" w14:textId="77777777">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CE064E" w:rsidRPr="007B2B06" w:rsidP="009E15F3" w14:paraId="17C38F5A" w14:textId="77777777">
            <w:pPr>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p>
        </w:tc>
        <w:tc>
          <w:tcPr>
            <w:tcW w:w="1217" w:type="dxa"/>
            <w:vAlign w:val="center"/>
          </w:tcPr>
          <w:p w:rsidR="00CE064E" w:rsidRPr="007B2B06" w:rsidP="009E15F3" w14:paraId="445F2472" w14:textId="77777777">
            <w:pPr>
              <w:rPr>
                <w:rFonts w:cstheme="minorHAnsi"/>
                <w:sz w:val="18"/>
                <w:szCs w:val="18"/>
              </w:rPr>
            </w:pPr>
            <w:hyperlink r:id="rId21" w:anchor="p-300.65(c)(5)(ii)" w:history="1">
              <w:r w:rsidRPr="007B2B06" w:rsidR="00506C74">
                <w:rPr>
                  <w:rStyle w:val="Hyperlink"/>
                  <w:rFonts w:cstheme="minorHAnsi"/>
                  <w:sz w:val="18"/>
                  <w:szCs w:val="18"/>
                </w:rPr>
                <w:t>300.65(c)(5)(ii)</w:t>
              </w:r>
            </w:hyperlink>
          </w:p>
          <w:p w:rsidR="00CE064E" w:rsidRPr="007B2B06" w:rsidP="009E15F3" w14:paraId="1105FE76" w14:textId="77777777">
            <w:pPr>
              <w:rPr>
                <w:rFonts w:cstheme="minorHAnsi"/>
                <w:sz w:val="18"/>
                <w:szCs w:val="18"/>
              </w:rPr>
            </w:pPr>
            <w:r w:rsidRPr="007B2B06">
              <w:rPr>
                <w:rFonts w:cstheme="minorHAnsi"/>
                <w:sz w:val="18"/>
                <w:szCs w:val="18"/>
              </w:rPr>
              <w:t xml:space="preserve">and </w:t>
            </w:r>
            <w:hyperlink r:id="rId21" w:anchor="p-300.65(c)(5)(iii)" w:history="1">
              <w:r w:rsidRPr="007B2B06">
                <w:rPr>
                  <w:rStyle w:val="Hyperlink"/>
                  <w:rFonts w:cstheme="minorHAnsi"/>
                  <w:sz w:val="18"/>
                  <w:szCs w:val="18"/>
                </w:rPr>
                <w:t>(c)(5)(iii)</w:t>
              </w:r>
            </w:hyperlink>
          </w:p>
        </w:tc>
        <w:tc>
          <w:tcPr>
            <w:tcW w:w="1212" w:type="dxa"/>
            <w:vAlign w:val="center"/>
          </w:tcPr>
          <w:p w:rsidR="00CE064E" w:rsidRPr="007B2B06" w:rsidP="00E02C6A" w14:paraId="2DFFAE90" w14:textId="77777777">
            <w:pPr>
              <w:rPr>
                <w:rFonts w:cstheme="minorHAnsi"/>
                <w:sz w:val="18"/>
                <w:szCs w:val="18"/>
              </w:rPr>
            </w:pPr>
            <w:hyperlink r:id="rId21" w:anchor="p-300.65(c)(5)(ii)" w:history="1">
              <w:r w:rsidRPr="007B2B06" w:rsidR="00506C74">
                <w:rPr>
                  <w:rStyle w:val="Hyperlink"/>
                  <w:rFonts w:cstheme="minorHAnsi"/>
                  <w:sz w:val="18"/>
                  <w:szCs w:val="18"/>
                </w:rPr>
                <w:t>https://www.ecfr.gov/current/title-50/part-300/section-300.65#p-300.65(c)(5)(ii)</w:t>
              </w:r>
            </w:hyperlink>
            <w:r w:rsidRPr="007B2B06" w:rsidR="00506C74">
              <w:rPr>
                <w:rFonts w:cstheme="minorHAnsi"/>
                <w:sz w:val="18"/>
                <w:szCs w:val="18"/>
              </w:rPr>
              <w:t xml:space="preserve"> and </w:t>
            </w:r>
            <w:hyperlink r:id="rId21" w:anchor="p-300.65(c)(5)(iii)" w:history="1">
              <w:r w:rsidRPr="007B2B06" w:rsidR="00506C74">
                <w:rPr>
                  <w:rStyle w:val="Hyperlink"/>
                  <w:rFonts w:cstheme="minorHAnsi"/>
                  <w:sz w:val="18"/>
                  <w:szCs w:val="18"/>
                </w:rPr>
                <w:t>https://www.ecfr.gov/current/title-50/part-300/section-300.65#p-300.65(c)(5)(iii)</w:t>
              </w:r>
            </w:hyperlink>
          </w:p>
        </w:tc>
        <w:tc>
          <w:tcPr>
            <w:tcW w:w="828" w:type="dxa"/>
            <w:vAlign w:val="center"/>
          </w:tcPr>
          <w:p w:rsidR="00CE064E" w:rsidRPr="007B2B06" w:rsidP="009E15F3" w14:paraId="44D89EE8" w14:textId="77777777">
            <w:pPr>
              <w:rPr>
                <w:rFonts w:cstheme="minorHAnsi"/>
                <w:sz w:val="18"/>
                <w:szCs w:val="18"/>
              </w:rPr>
            </w:pPr>
            <w:r w:rsidRPr="007B2B06">
              <w:rPr>
                <w:rFonts w:cstheme="minorHAnsi"/>
                <w:sz w:val="18"/>
                <w:szCs w:val="18"/>
              </w:rPr>
              <w:t>Yes</w:t>
            </w:r>
          </w:p>
        </w:tc>
        <w:tc>
          <w:tcPr>
            <w:tcW w:w="1128" w:type="dxa"/>
            <w:vAlign w:val="center"/>
          </w:tcPr>
          <w:p w:rsidR="00CE064E" w:rsidRPr="007B2B06" w:rsidP="009E15F3" w14:paraId="455506E5" w14:textId="77777777">
            <w:pPr>
              <w:rPr>
                <w:rFonts w:eastAsia="Calibri" w:cstheme="minorHAnsi"/>
                <w:sz w:val="18"/>
                <w:szCs w:val="18"/>
              </w:rPr>
            </w:pPr>
            <w:r w:rsidRPr="007B2B06">
              <w:rPr>
                <w:rFonts w:eastAsia="Calibri" w:cstheme="minorHAnsi"/>
                <w:sz w:val="18"/>
                <w:szCs w:val="18"/>
              </w:rPr>
              <w:t>Mail, delivery, or fax</w:t>
            </w:r>
          </w:p>
        </w:tc>
        <w:tc>
          <w:tcPr>
            <w:tcW w:w="1957" w:type="dxa"/>
            <w:vAlign w:val="center"/>
          </w:tcPr>
          <w:p w:rsidR="00CE064E" w:rsidRPr="007B2B06" w:rsidP="009E15F3" w14:paraId="69F64625" w14:textId="77777777">
            <w:pPr>
              <w:pStyle w:val="Heading1"/>
              <w:spacing w:before="161"/>
              <w:ind w:left="0"/>
              <w:outlineLvl w:val="0"/>
              <w:rPr>
                <w:rFonts w:cstheme="minorHAnsi"/>
                <w:b w:val="0"/>
                <w:sz w:val="18"/>
                <w:szCs w:val="18"/>
              </w:rPr>
            </w:pPr>
            <w:r w:rsidRPr="007B2B06">
              <w:rPr>
                <w:rFonts w:cstheme="minorHAnsi"/>
                <w:b w:val="0"/>
                <w:sz w:val="18"/>
                <w:szCs w:val="18"/>
              </w:rPr>
              <w:t xml:space="preserve">As needed by the respondent </w:t>
            </w:r>
          </w:p>
        </w:tc>
        <w:tc>
          <w:tcPr>
            <w:tcW w:w="3077" w:type="dxa"/>
            <w:vAlign w:val="center"/>
          </w:tcPr>
          <w:p w:rsidR="00CE064E" w:rsidRPr="007B2B06" w:rsidP="00454378" w14:paraId="27EDFA2C" w14:textId="77777777">
            <w:pPr>
              <w:pStyle w:val="TableParagraph"/>
              <w:spacing w:before="60"/>
              <w:rPr>
                <w:rFonts w:cstheme="minorHAnsi"/>
                <w:sz w:val="18"/>
                <w:szCs w:val="18"/>
              </w:rPr>
            </w:pPr>
            <w:r w:rsidRPr="007B2B06">
              <w:rPr>
                <w:rFonts w:cstheme="minorHAnsi"/>
                <w:sz w:val="18"/>
                <w:szCs w:val="18"/>
              </w:rPr>
              <w:t>Used by CHP holders to transfer Area 2C or 3A commercial halibut IFQ for use as GAF or to return unused GAF to the IFQ permit holder from which it was obtained.</w:t>
            </w:r>
          </w:p>
          <w:p w:rsidR="00CE064E" w:rsidRPr="007B2B06" w:rsidP="00454378" w14:paraId="6FA31FB5" w14:textId="77777777">
            <w:pPr>
              <w:pStyle w:val="Heading1"/>
              <w:spacing w:before="60"/>
              <w:ind w:left="0"/>
              <w:outlineLvl w:val="0"/>
              <w:rPr>
                <w:rFonts w:cstheme="minorHAnsi"/>
                <w:b w:val="0"/>
                <w:sz w:val="18"/>
                <w:szCs w:val="18"/>
              </w:rPr>
            </w:pPr>
            <w:r w:rsidRPr="007B2B06">
              <w:rPr>
                <w:rFonts w:cstheme="minorHAnsi"/>
                <w:b w:val="0"/>
                <w:sz w:val="18"/>
                <w:szCs w:val="18"/>
              </w:rPr>
              <w:t>Used by NMFS to determine the eligibility of the transfer to occur, to transfer GAF to the CHP holder or return unused GAF to the IFQ permit holder, and to issue a GAF permit.</w:t>
            </w:r>
          </w:p>
        </w:tc>
        <w:tc>
          <w:tcPr>
            <w:tcW w:w="1304" w:type="dxa"/>
            <w:vAlign w:val="center"/>
          </w:tcPr>
          <w:p w:rsidR="00CE064E" w:rsidRPr="007B2B06" w:rsidP="009E15F3" w14:paraId="600445A8" w14:textId="77777777">
            <w:pPr>
              <w:pStyle w:val="Heading1"/>
              <w:spacing w:before="161"/>
              <w:ind w:left="0"/>
              <w:outlineLvl w:val="0"/>
              <w:rPr>
                <w:rFonts w:cstheme="minorHAnsi"/>
                <w:b w:val="0"/>
                <w:sz w:val="18"/>
                <w:szCs w:val="18"/>
              </w:rPr>
            </w:pPr>
            <w:r w:rsidRPr="007B2B06">
              <w:rPr>
                <w:rFonts w:cstheme="minorHAnsi"/>
                <w:b w:val="0"/>
                <w:sz w:val="18"/>
                <w:szCs w:val="18"/>
              </w:rPr>
              <w:t>NMFS and the public</w:t>
            </w:r>
          </w:p>
        </w:tc>
      </w:tr>
      <w:tr w14:paraId="0CD81D0A" w14:textId="77777777" w:rsidTr="00684AE8">
        <w:tblPrEx>
          <w:tblW w:w="14357" w:type="dxa"/>
          <w:jc w:val="center"/>
          <w:tblLayout w:type="fixed"/>
          <w:tblLook w:val="04A0"/>
        </w:tblPrEx>
        <w:trPr>
          <w:trHeight w:val="452"/>
          <w:jc w:val="center"/>
        </w:trPr>
        <w:tc>
          <w:tcPr>
            <w:tcW w:w="1398" w:type="dxa"/>
            <w:vAlign w:val="center"/>
          </w:tcPr>
          <w:p w:rsidR="00CE064E" w:rsidRPr="007B2B06" w:rsidP="00F771AB" w14:paraId="269464FD" w14:textId="77777777">
            <w:pPr>
              <w:rPr>
                <w:rFonts w:cstheme="minorHAnsi"/>
                <w:sz w:val="18"/>
                <w:szCs w:val="18"/>
              </w:rPr>
            </w:pPr>
            <w:r w:rsidRPr="007B2B06">
              <w:rPr>
                <w:rFonts w:cstheme="minorHAnsi"/>
                <w:sz w:val="18"/>
                <w:szCs w:val="18"/>
              </w:rPr>
              <w:t xml:space="preserve">Electronic and manual GAF landing report </w:t>
            </w:r>
          </w:p>
        </w:tc>
        <w:tc>
          <w:tcPr>
            <w:tcW w:w="1304" w:type="dxa"/>
            <w:vAlign w:val="center"/>
          </w:tcPr>
          <w:p w:rsidR="00CE064E" w:rsidRPr="007B2B06" w:rsidP="00F771AB" w14:paraId="25F3131B" w14:textId="77777777">
            <w:pPr>
              <w:rPr>
                <w:rFonts w:cstheme="minorHAnsi"/>
                <w:sz w:val="18"/>
                <w:szCs w:val="18"/>
              </w:rPr>
            </w:pPr>
            <w:r w:rsidRPr="007B2B06">
              <w:rPr>
                <w:rFonts w:cstheme="minorHAnsi"/>
                <w:sz w:val="18"/>
                <w:szCs w:val="18"/>
              </w:rPr>
              <w:t>GAF permit holders</w:t>
            </w:r>
          </w:p>
        </w:tc>
        <w:tc>
          <w:tcPr>
            <w:tcW w:w="932" w:type="dxa"/>
            <w:vAlign w:val="center"/>
          </w:tcPr>
          <w:p w:rsidR="00CE064E" w:rsidRPr="007B2B06" w:rsidP="00F771AB" w14:paraId="7930BA70" w14:textId="77777777">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CE064E" w:rsidRPr="007B2B06" w:rsidP="00F771AB" w14:paraId="5D6D4D67" w14:textId="77777777">
            <w:pPr>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p>
        </w:tc>
        <w:tc>
          <w:tcPr>
            <w:tcW w:w="1217" w:type="dxa"/>
            <w:vAlign w:val="center"/>
          </w:tcPr>
          <w:p w:rsidR="00CE064E" w:rsidRPr="007B2B06" w:rsidP="00F771AB" w14:paraId="453F45DB" w14:textId="77777777">
            <w:pPr>
              <w:rPr>
                <w:rFonts w:cstheme="minorHAnsi"/>
                <w:sz w:val="18"/>
                <w:szCs w:val="18"/>
              </w:rPr>
            </w:pPr>
            <w:hyperlink r:id="rId21" w:anchor="p-300.65(d)(4)(iii)" w:history="1">
              <w:r w:rsidRPr="007B2B06" w:rsidR="00506C74">
                <w:rPr>
                  <w:rStyle w:val="Hyperlink"/>
                  <w:rFonts w:cstheme="minorHAnsi"/>
                  <w:sz w:val="18"/>
                  <w:szCs w:val="18"/>
                </w:rPr>
                <w:t>300.65(d)(4)(iii)</w:t>
              </w:r>
            </w:hyperlink>
          </w:p>
        </w:tc>
        <w:tc>
          <w:tcPr>
            <w:tcW w:w="1212" w:type="dxa"/>
            <w:vAlign w:val="center"/>
          </w:tcPr>
          <w:p w:rsidR="00CE064E" w:rsidRPr="007B2B06" w:rsidP="00E02C6A" w14:paraId="2767A971" w14:textId="77777777">
            <w:pPr>
              <w:rPr>
                <w:rFonts w:cstheme="minorHAnsi"/>
                <w:sz w:val="18"/>
                <w:szCs w:val="18"/>
              </w:rPr>
            </w:pPr>
            <w:hyperlink r:id="rId21" w:anchor="p-300.65(d)(4)(iii)" w:history="1">
              <w:r w:rsidRPr="007B2B06" w:rsidR="00506C74">
                <w:rPr>
                  <w:rStyle w:val="Hyperlink"/>
                  <w:rFonts w:cstheme="minorHAnsi"/>
                  <w:sz w:val="18"/>
                  <w:szCs w:val="18"/>
                </w:rPr>
                <w:t>https://www.ecfr.gov/current/title-50/part-300/section-300.65#p-300.65(d)(4)(iii)</w:t>
              </w:r>
            </w:hyperlink>
          </w:p>
        </w:tc>
        <w:tc>
          <w:tcPr>
            <w:tcW w:w="828" w:type="dxa"/>
            <w:vAlign w:val="center"/>
          </w:tcPr>
          <w:p w:rsidR="00CE064E" w:rsidRPr="007B2B06" w:rsidP="00F771AB" w14:paraId="4EDC2772" w14:textId="77777777">
            <w:pPr>
              <w:rPr>
                <w:rFonts w:cstheme="minorHAnsi"/>
                <w:sz w:val="18"/>
                <w:szCs w:val="18"/>
              </w:rPr>
            </w:pPr>
            <w:r w:rsidRPr="007B2B06">
              <w:rPr>
                <w:rFonts w:cstheme="minorHAnsi"/>
                <w:sz w:val="18"/>
                <w:szCs w:val="18"/>
              </w:rPr>
              <w:t>Yes</w:t>
            </w:r>
          </w:p>
        </w:tc>
        <w:tc>
          <w:tcPr>
            <w:tcW w:w="1128" w:type="dxa"/>
            <w:vAlign w:val="center"/>
          </w:tcPr>
          <w:p w:rsidR="00CE064E" w:rsidRPr="007B2B06" w:rsidP="00C53E02" w14:paraId="6EE2209F" w14:textId="77777777">
            <w:pPr>
              <w:pStyle w:val="ListParagraph"/>
              <w:numPr>
                <w:ilvl w:val="0"/>
                <w:numId w:val="20"/>
              </w:numPr>
              <w:spacing w:before="0"/>
              <w:ind w:left="144" w:hanging="144"/>
              <w:rPr>
                <w:rFonts w:eastAsia="Times New Roman" w:cstheme="minorHAnsi"/>
                <w:sz w:val="18"/>
                <w:szCs w:val="18"/>
              </w:rPr>
            </w:pPr>
            <w:r w:rsidRPr="007B2B06">
              <w:rPr>
                <w:rFonts w:eastAsia="Times New Roman" w:cstheme="minorHAnsi"/>
                <w:sz w:val="18"/>
                <w:szCs w:val="18"/>
              </w:rPr>
              <w:t xml:space="preserve">Electronic report: eFISH </w:t>
            </w:r>
          </w:p>
          <w:p w:rsidR="00CE064E" w:rsidRPr="007B2B06" w:rsidP="00C53E02" w14:paraId="740A564A" w14:textId="77777777">
            <w:pPr>
              <w:pStyle w:val="ListParagraph"/>
              <w:numPr>
                <w:ilvl w:val="0"/>
                <w:numId w:val="20"/>
              </w:numPr>
              <w:spacing w:before="40"/>
              <w:ind w:left="144" w:hanging="144"/>
              <w:rPr>
                <w:rFonts w:eastAsia="Calibri" w:cstheme="minorHAnsi"/>
                <w:sz w:val="18"/>
                <w:szCs w:val="18"/>
              </w:rPr>
            </w:pPr>
            <w:r w:rsidRPr="007B2B06">
              <w:rPr>
                <w:rFonts w:eastAsia="Times New Roman" w:cstheme="minorHAnsi"/>
                <w:sz w:val="18"/>
                <w:szCs w:val="18"/>
              </w:rPr>
              <w:t>Manual report</w:t>
            </w:r>
            <w:r w:rsidRPr="007B2B06">
              <w:rPr>
                <w:rFonts w:eastAsia="Times New Roman" w:cstheme="minorHAnsi"/>
                <w:sz w:val="18"/>
                <w:szCs w:val="18"/>
                <w:vertAlign w:val="superscript"/>
              </w:rPr>
              <w:t>2</w:t>
            </w:r>
            <w:r w:rsidRPr="007B2B06">
              <w:rPr>
                <w:rFonts w:eastAsia="Times New Roman" w:cstheme="minorHAnsi"/>
                <w:sz w:val="18"/>
                <w:szCs w:val="18"/>
              </w:rPr>
              <w:t>: Fax or email</w:t>
            </w:r>
          </w:p>
        </w:tc>
        <w:tc>
          <w:tcPr>
            <w:tcW w:w="1957" w:type="dxa"/>
            <w:vAlign w:val="center"/>
          </w:tcPr>
          <w:p w:rsidR="00CE064E" w:rsidRPr="007B2B06" w:rsidP="00F771AB" w14:paraId="4B9D4FB1" w14:textId="77777777">
            <w:pPr>
              <w:pStyle w:val="Heading1"/>
              <w:spacing w:before="0"/>
              <w:ind w:left="0"/>
              <w:outlineLvl w:val="0"/>
              <w:rPr>
                <w:rFonts w:cstheme="minorHAnsi"/>
                <w:b w:val="0"/>
                <w:sz w:val="18"/>
                <w:szCs w:val="18"/>
              </w:rPr>
            </w:pPr>
            <w:r w:rsidRPr="007B2B06">
              <w:rPr>
                <w:rFonts w:cstheme="minorHAnsi"/>
                <w:b w:val="0"/>
                <w:sz w:val="18"/>
                <w:szCs w:val="18"/>
              </w:rPr>
              <w:t>Must be submitted by 23:59 hours Alaska local time on the last calendar day of a charter vessel fishing trip.</w:t>
            </w:r>
          </w:p>
        </w:tc>
        <w:tc>
          <w:tcPr>
            <w:tcW w:w="3077" w:type="dxa"/>
            <w:vAlign w:val="center"/>
          </w:tcPr>
          <w:p w:rsidR="00CE064E" w:rsidRPr="007B2B06" w:rsidP="00F771AB" w14:paraId="6D07080C" w14:textId="77777777">
            <w:pPr>
              <w:pStyle w:val="TableParagraph"/>
              <w:rPr>
                <w:rFonts w:cstheme="minorHAnsi"/>
                <w:sz w:val="18"/>
                <w:szCs w:val="18"/>
              </w:rPr>
            </w:pPr>
            <w:r w:rsidRPr="007B2B06">
              <w:rPr>
                <w:rFonts w:cstheme="minorHAnsi"/>
                <w:sz w:val="18"/>
                <w:szCs w:val="18"/>
              </w:rPr>
              <w:t>Used by GAF permit holder to report GAF landings.</w:t>
            </w:r>
          </w:p>
          <w:p w:rsidR="00CE064E" w:rsidRPr="007B2B06" w:rsidP="00454378" w14:paraId="41CCB0E4" w14:textId="77777777">
            <w:pPr>
              <w:pStyle w:val="Heading1"/>
              <w:spacing w:before="60"/>
              <w:ind w:left="0"/>
              <w:outlineLvl w:val="0"/>
              <w:rPr>
                <w:rFonts w:cstheme="minorHAnsi"/>
                <w:b w:val="0"/>
                <w:sz w:val="18"/>
                <w:szCs w:val="18"/>
              </w:rPr>
            </w:pPr>
            <w:r w:rsidRPr="007B2B06">
              <w:rPr>
                <w:rFonts w:cstheme="minorHAnsi"/>
                <w:b w:val="0"/>
                <w:sz w:val="18"/>
                <w:szCs w:val="18"/>
              </w:rPr>
              <w:t>Used by NMFS management and NOAA Office of Law Enforcement (NOAA OLE) to manage permit accounts, track GAF harvests, and monitor transfers between IFQ and GAF.</w:t>
            </w:r>
          </w:p>
        </w:tc>
        <w:tc>
          <w:tcPr>
            <w:tcW w:w="1304" w:type="dxa"/>
            <w:vAlign w:val="center"/>
          </w:tcPr>
          <w:p w:rsidR="00CE064E" w:rsidRPr="007B2B06" w:rsidP="00F771AB" w14:paraId="64AAF078" w14:textId="77777777">
            <w:pPr>
              <w:pStyle w:val="Heading1"/>
              <w:spacing w:before="161"/>
              <w:ind w:left="0"/>
              <w:outlineLvl w:val="0"/>
              <w:rPr>
                <w:rFonts w:cstheme="minorHAnsi"/>
                <w:b w:val="0"/>
                <w:sz w:val="18"/>
                <w:szCs w:val="18"/>
              </w:rPr>
            </w:pPr>
            <w:r w:rsidRPr="007B2B06">
              <w:rPr>
                <w:rFonts w:cstheme="minorHAnsi"/>
                <w:b w:val="0"/>
                <w:sz w:val="18"/>
                <w:szCs w:val="18"/>
              </w:rPr>
              <w:t>NMFS</w:t>
            </w:r>
          </w:p>
        </w:tc>
      </w:tr>
      <w:tr w14:paraId="45EDEB48" w14:textId="77777777" w:rsidTr="00684AE8">
        <w:tblPrEx>
          <w:tblW w:w="14357" w:type="dxa"/>
          <w:jc w:val="center"/>
          <w:tblLayout w:type="fixed"/>
          <w:tblLook w:val="04A0"/>
        </w:tblPrEx>
        <w:trPr>
          <w:trHeight w:val="452"/>
          <w:jc w:val="center"/>
        </w:trPr>
        <w:tc>
          <w:tcPr>
            <w:tcW w:w="1398" w:type="dxa"/>
            <w:vAlign w:val="center"/>
          </w:tcPr>
          <w:p w:rsidR="00CE064E" w:rsidRPr="007B2B06" w:rsidP="00F771AB" w14:paraId="59DEBC42" w14:textId="77777777">
            <w:pPr>
              <w:rPr>
                <w:rFonts w:cstheme="minorHAnsi"/>
                <w:sz w:val="18"/>
                <w:szCs w:val="18"/>
              </w:rPr>
            </w:pPr>
            <w:r w:rsidRPr="007B2B06">
              <w:rPr>
                <w:rFonts w:cstheme="minorHAnsi"/>
                <w:sz w:val="18"/>
                <w:szCs w:val="18"/>
              </w:rPr>
              <w:t>GAF permit log</w:t>
            </w:r>
          </w:p>
        </w:tc>
        <w:tc>
          <w:tcPr>
            <w:tcW w:w="1304" w:type="dxa"/>
            <w:vAlign w:val="center"/>
          </w:tcPr>
          <w:p w:rsidR="00CE064E" w:rsidRPr="007B2B06" w:rsidP="00F771AB" w14:paraId="50E90F96" w14:textId="77777777">
            <w:pPr>
              <w:rPr>
                <w:rFonts w:cstheme="minorHAnsi"/>
                <w:sz w:val="18"/>
                <w:szCs w:val="18"/>
              </w:rPr>
            </w:pPr>
            <w:r w:rsidRPr="007B2B06">
              <w:rPr>
                <w:rFonts w:cstheme="minorHAnsi"/>
                <w:sz w:val="18"/>
                <w:szCs w:val="18"/>
              </w:rPr>
              <w:t>GAF permit holders</w:t>
            </w:r>
          </w:p>
        </w:tc>
        <w:tc>
          <w:tcPr>
            <w:tcW w:w="932" w:type="dxa"/>
            <w:vAlign w:val="center"/>
          </w:tcPr>
          <w:p w:rsidR="00CE064E" w:rsidRPr="007B2B06" w:rsidP="00F771AB" w14:paraId="1807BEA4" w14:textId="77777777">
            <w:pPr>
              <w:pStyle w:val="TableParagraph"/>
              <w:spacing w:before="9"/>
              <w:rPr>
                <w:rFonts w:cstheme="minorHAnsi"/>
                <w:sz w:val="18"/>
                <w:szCs w:val="18"/>
              </w:rPr>
            </w:pPr>
            <w:r w:rsidRPr="007B2B06">
              <w:rPr>
                <w:rFonts w:cstheme="minorHAnsi"/>
                <w:sz w:val="18"/>
                <w:szCs w:val="18"/>
              </w:rPr>
              <w:t>16 U.S.C. 773</w:t>
            </w:r>
            <w:r w:rsidR="00454378">
              <w:rPr>
                <w:rFonts w:cstheme="minorHAnsi"/>
                <w:sz w:val="18"/>
                <w:szCs w:val="18"/>
              </w:rPr>
              <w:t xml:space="preserve"> </w:t>
            </w:r>
            <w:r w:rsidRPr="007B2B06">
              <w:rPr>
                <w:rFonts w:cstheme="minorHAnsi"/>
                <w:sz w:val="18"/>
                <w:szCs w:val="18"/>
              </w:rPr>
              <w:t>and</w:t>
            </w:r>
          </w:p>
          <w:p w:rsidR="00CE064E" w:rsidRPr="007B2B06" w:rsidP="00F771AB" w14:paraId="7C29688D" w14:textId="77777777">
            <w:pPr>
              <w:rPr>
                <w:rFonts w:cstheme="minorHAnsi"/>
                <w:sz w:val="18"/>
                <w:szCs w:val="18"/>
              </w:rPr>
            </w:pPr>
            <w:r w:rsidRPr="007B2B06">
              <w:rPr>
                <w:rFonts w:cstheme="minorHAnsi"/>
                <w:sz w:val="18"/>
                <w:szCs w:val="18"/>
              </w:rPr>
              <w:t xml:space="preserve">16 U.S.C. 1801 </w:t>
            </w:r>
            <w:r w:rsidRPr="007B2B06">
              <w:rPr>
                <w:rFonts w:cstheme="minorHAnsi"/>
                <w:i/>
                <w:sz w:val="18"/>
                <w:szCs w:val="18"/>
              </w:rPr>
              <w:t>et seq.</w:t>
            </w:r>
          </w:p>
        </w:tc>
        <w:tc>
          <w:tcPr>
            <w:tcW w:w="1217" w:type="dxa"/>
            <w:vAlign w:val="center"/>
          </w:tcPr>
          <w:p w:rsidR="00CE064E" w:rsidRPr="007B2B06" w:rsidP="00F771AB" w14:paraId="5B9CD44B" w14:textId="77777777">
            <w:pPr>
              <w:rPr>
                <w:rFonts w:cstheme="minorHAnsi"/>
                <w:sz w:val="18"/>
                <w:szCs w:val="18"/>
              </w:rPr>
            </w:pPr>
            <w:hyperlink r:id="rId21" w:anchor="p-300.65(d)(4)(iii)(E)(2)" w:history="1">
              <w:r w:rsidRPr="007B2B06" w:rsidR="00506C74">
                <w:rPr>
                  <w:rStyle w:val="Hyperlink"/>
                  <w:rFonts w:cstheme="minorHAnsi"/>
                  <w:sz w:val="18"/>
                  <w:szCs w:val="18"/>
                </w:rPr>
                <w:t>300.65(d)(4)(iii)(E)(</w:t>
              </w:r>
              <w:r w:rsidRPr="007B2B06" w:rsidR="00506C74">
                <w:rPr>
                  <w:rStyle w:val="Hyperlink"/>
                  <w:rFonts w:cstheme="minorHAnsi"/>
                  <w:i/>
                  <w:sz w:val="18"/>
                  <w:szCs w:val="18"/>
                </w:rPr>
                <w:t>2</w:t>
              </w:r>
              <w:r w:rsidRPr="007B2B06" w:rsidR="00506C74">
                <w:rPr>
                  <w:rStyle w:val="Hyperlink"/>
                  <w:rFonts w:cstheme="minorHAnsi"/>
                  <w:sz w:val="18"/>
                  <w:szCs w:val="18"/>
                </w:rPr>
                <w:t>)</w:t>
              </w:r>
            </w:hyperlink>
            <w:r w:rsidRPr="007B2B06" w:rsidR="00506C74">
              <w:rPr>
                <w:rFonts w:cstheme="minorHAnsi"/>
                <w:sz w:val="18"/>
                <w:szCs w:val="18"/>
              </w:rPr>
              <w:t xml:space="preserve"> </w:t>
            </w:r>
          </w:p>
        </w:tc>
        <w:tc>
          <w:tcPr>
            <w:tcW w:w="1212" w:type="dxa"/>
            <w:vAlign w:val="center"/>
          </w:tcPr>
          <w:p w:rsidR="00CE064E" w:rsidRPr="007B2B06" w:rsidP="00E02C6A" w14:paraId="2A8930D1" w14:textId="77777777">
            <w:pPr>
              <w:rPr>
                <w:rFonts w:cstheme="minorHAnsi"/>
                <w:sz w:val="18"/>
                <w:szCs w:val="18"/>
              </w:rPr>
            </w:pPr>
            <w:hyperlink r:id="rId21" w:anchor="p-300.65(d)(4)(iii)(E)(2)" w:history="1">
              <w:r w:rsidRPr="007B2B06" w:rsidR="00506C74">
                <w:rPr>
                  <w:rStyle w:val="Hyperlink"/>
                  <w:rFonts w:cstheme="minorHAnsi"/>
                  <w:sz w:val="18"/>
                  <w:szCs w:val="18"/>
                </w:rPr>
                <w:t>https://www.ecfr.gov/current/title-50/part-300/section-300.65#p-300.65(d)(4)(iii)(E)(2)</w:t>
              </w:r>
            </w:hyperlink>
          </w:p>
        </w:tc>
        <w:tc>
          <w:tcPr>
            <w:tcW w:w="828" w:type="dxa"/>
            <w:vAlign w:val="center"/>
          </w:tcPr>
          <w:p w:rsidR="00CE064E" w:rsidRPr="007B2B06" w:rsidP="00F771AB" w14:paraId="6C228728" w14:textId="77777777">
            <w:pPr>
              <w:rPr>
                <w:rFonts w:cstheme="minorHAnsi"/>
                <w:sz w:val="18"/>
                <w:szCs w:val="18"/>
              </w:rPr>
            </w:pPr>
            <w:r w:rsidRPr="007B2B06">
              <w:rPr>
                <w:rFonts w:cstheme="minorHAnsi"/>
                <w:sz w:val="18"/>
                <w:szCs w:val="18"/>
              </w:rPr>
              <w:t>Yes</w:t>
            </w:r>
          </w:p>
        </w:tc>
        <w:tc>
          <w:tcPr>
            <w:tcW w:w="1128" w:type="dxa"/>
            <w:vAlign w:val="center"/>
          </w:tcPr>
          <w:p w:rsidR="00CE064E" w:rsidRPr="007B2B06" w:rsidP="00F771AB" w14:paraId="03A80372" w14:textId="77777777">
            <w:pPr>
              <w:rPr>
                <w:rFonts w:eastAsia="Calibri" w:cstheme="minorHAnsi"/>
                <w:sz w:val="18"/>
                <w:szCs w:val="18"/>
              </w:rPr>
            </w:pPr>
            <w:r w:rsidRPr="007B2B06">
              <w:rPr>
                <w:rFonts w:eastAsia="Calibri" w:cstheme="minorHAnsi"/>
                <w:sz w:val="18"/>
                <w:szCs w:val="18"/>
              </w:rPr>
              <w:t>Not submitted</w:t>
            </w:r>
          </w:p>
        </w:tc>
        <w:tc>
          <w:tcPr>
            <w:tcW w:w="1957" w:type="dxa"/>
            <w:vAlign w:val="center"/>
          </w:tcPr>
          <w:p w:rsidR="00CE064E" w:rsidRPr="007B2B06" w:rsidP="00F771AB" w14:paraId="5F98CDE8" w14:textId="77777777">
            <w:pPr>
              <w:pStyle w:val="Heading1"/>
              <w:spacing w:before="0"/>
              <w:ind w:left="0"/>
              <w:outlineLvl w:val="0"/>
              <w:rPr>
                <w:rFonts w:cstheme="minorHAnsi"/>
                <w:b w:val="0"/>
                <w:sz w:val="18"/>
                <w:szCs w:val="18"/>
              </w:rPr>
            </w:pPr>
            <w:r w:rsidRPr="007B2B06">
              <w:rPr>
                <w:rFonts w:cstheme="minorHAnsi"/>
                <w:b w:val="0"/>
                <w:sz w:val="18"/>
                <w:szCs w:val="18"/>
              </w:rPr>
              <w:t>Must be available for enforcement officers to review when they board a vessel.</w:t>
            </w:r>
          </w:p>
        </w:tc>
        <w:tc>
          <w:tcPr>
            <w:tcW w:w="3077" w:type="dxa"/>
            <w:vAlign w:val="center"/>
          </w:tcPr>
          <w:p w:rsidR="00CE064E" w:rsidRPr="007B2B06" w:rsidP="00F771AB" w14:paraId="04201E8B" w14:textId="77777777">
            <w:pPr>
              <w:pStyle w:val="TableParagraph"/>
              <w:rPr>
                <w:rFonts w:cstheme="minorHAnsi"/>
                <w:sz w:val="18"/>
                <w:szCs w:val="18"/>
              </w:rPr>
            </w:pPr>
            <w:r w:rsidRPr="007B2B06">
              <w:rPr>
                <w:rFonts w:cstheme="minorHAnsi"/>
                <w:sz w:val="18"/>
                <w:szCs w:val="18"/>
              </w:rPr>
              <w:t xml:space="preserve">Used by a GAF permit holder to record a GAF Report submission confirmation number and GAF fish information after a trip in which GAF halibut were retained. </w:t>
            </w:r>
          </w:p>
          <w:p w:rsidR="00CE064E" w:rsidRPr="007B2B06" w:rsidP="00454378" w14:paraId="5F406521" w14:textId="77777777">
            <w:pPr>
              <w:pStyle w:val="Heading1"/>
              <w:spacing w:before="60"/>
              <w:ind w:left="0"/>
              <w:outlineLvl w:val="0"/>
              <w:rPr>
                <w:rFonts w:cstheme="minorHAnsi"/>
                <w:b w:val="0"/>
                <w:sz w:val="18"/>
                <w:szCs w:val="18"/>
              </w:rPr>
            </w:pPr>
            <w:r w:rsidRPr="007B2B06">
              <w:rPr>
                <w:rFonts w:cstheme="minorHAnsi"/>
                <w:b w:val="0"/>
                <w:sz w:val="18"/>
                <w:szCs w:val="18"/>
              </w:rPr>
              <w:t xml:space="preserve">Used by NMFS management and NOAA OLE staff to cross reference electronic GAF report data and charter logbook data. </w:t>
            </w:r>
          </w:p>
        </w:tc>
        <w:tc>
          <w:tcPr>
            <w:tcW w:w="1304" w:type="dxa"/>
            <w:vAlign w:val="center"/>
          </w:tcPr>
          <w:p w:rsidR="00CE064E" w:rsidRPr="007B2B06" w:rsidP="00F771AB" w14:paraId="44748A64" w14:textId="77777777">
            <w:pPr>
              <w:pStyle w:val="Heading1"/>
              <w:spacing w:before="161"/>
              <w:ind w:left="0"/>
              <w:outlineLvl w:val="0"/>
              <w:rPr>
                <w:rFonts w:cstheme="minorHAnsi"/>
                <w:b w:val="0"/>
                <w:sz w:val="18"/>
                <w:szCs w:val="18"/>
              </w:rPr>
            </w:pPr>
            <w:r w:rsidRPr="007B2B06">
              <w:rPr>
                <w:rFonts w:cstheme="minorHAnsi"/>
                <w:b w:val="0"/>
                <w:sz w:val="18"/>
                <w:szCs w:val="18"/>
              </w:rPr>
              <w:t>NMFS</w:t>
            </w:r>
          </w:p>
        </w:tc>
      </w:tr>
      <w:tr w14:paraId="5DAB0313" w14:textId="77777777" w:rsidTr="00684AE8">
        <w:tblPrEx>
          <w:tblW w:w="14357" w:type="dxa"/>
          <w:jc w:val="center"/>
          <w:tblLayout w:type="fixed"/>
          <w:tblLook w:val="04A0"/>
        </w:tblPrEx>
        <w:trPr>
          <w:trHeight w:val="452"/>
          <w:jc w:val="center"/>
        </w:trPr>
        <w:tc>
          <w:tcPr>
            <w:tcW w:w="1398" w:type="dxa"/>
            <w:vAlign w:val="center"/>
          </w:tcPr>
          <w:p w:rsidR="00CE064E" w:rsidRPr="007B2B06" w:rsidP="009E15F3" w14:paraId="5367F189" w14:textId="77777777">
            <w:pPr>
              <w:rPr>
                <w:rFonts w:cstheme="minorHAnsi"/>
                <w:sz w:val="18"/>
                <w:szCs w:val="18"/>
              </w:rPr>
            </w:pPr>
            <w:r w:rsidRPr="007B2B06">
              <w:rPr>
                <w:rFonts w:cstheme="minorHAnsi"/>
                <w:sz w:val="18"/>
                <w:szCs w:val="18"/>
              </w:rPr>
              <w:t>Administrative Appeals</w:t>
            </w:r>
          </w:p>
        </w:tc>
        <w:tc>
          <w:tcPr>
            <w:tcW w:w="1304" w:type="dxa"/>
            <w:vAlign w:val="center"/>
          </w:tcPr>
          <w:p w:rsidR="00CE064E" w:rsidRPr="007B2B06" w:rsidP="009E15F3" w14:paraId="55AA0071" w14:textId="77777777">
            <w:pPr>
              <w:rPr>
                <w:rFonts w:cstheme="minorHAnsi"/>
                <w:sz w:val="18"/>
                <w:szCs w:val="18"/>
              </w:rPr>
            </w:pPr>
            <w:r w:rsidRPr="007B2B06">
              <w:rPr>
                <w:rFonts w:cstheme="minorHAnsi"/>
                <w:sz w:val="18"/>
                <w:szCs w:val="18"/>
              </w:rPr>
              <w:t>CHP holders</w:t>
            </w:r>
          </w:p>
        </w:tc>
        <w:tc>
          <w:tcPr>
            <w:tcW w:w="932" w:type="dxa"/>
            <w:vAlign w:val="center"/>
          </w:tcPr>
          <w:p w:rsidR="00CE064E" w:rsidRPr="007B2B06" w:rsidP="009E15F3" w14:paraId="75DFC990" w14:textId="77777777">
            <w:pPr>
              <w:pStyle w:val="TableParagraph"/>
              <w:spacing w:before="9"/>
              <w:rPr>
                <w:rFonts w:cstheme="minorHAnsi"/>
                <w:sz w:val="18"/>
                <w:szCs w:val="18"/>
              </w:rPr>
            </w:pPr>
            <w:r w:rsidRPr="007B2B06">
              <w:rPr>
                <w:rFonts w:cstheme="minorHAnsi"/>
                <w:sz w:val="18"/>
                <w:szCs w:val="18"/>
              </w:rPr>
              <w:t>16 U.S.C. 773</w:t>
            </w:r>
          </w:p>
          <w:p w:rsidR="00CE064E" w:rsidRPr="007B2B06" w:rsidP="009E15F3" w14:paraId="25448357" w14:textId="77777777">
            <w:pPr>
              <w:rPr>
                <w:rFonts w:cstheme="minorHAnsi"/>
                <w:sz w:val="18"/>
                <w:szCs w:val="18"/>
              </w:rPr>
            </w:pPr>
          </w:p>
        </w:tc>
        <w:tc>
          <w:tcPr>
            <w:tcW w:w="1217" w:type="dxa"/>
            <w:vAlign w:val="center"/>
          </w:tcPr>
          <w:p w:rsidR="00CE064E" w:rsidRPr="007B2B06" w:rsidP="0059431E" w14:paraId="506F54FB" w14:textId="77777777">
            <w:pPr>
              <w:rPr>
                <w:rFonts w:cstheme="minorHAnsi"/>
                <w:sz w:val="18"/>
                <w:szCs w:val="18"/>
              </w:rPr>
            </w:pPr>
            <w:hyperlink r:id="rId21" w:anchor="p-300.65(c)(5)(ii)(B)(4)(iii)" w:history="1">
              <w:r w:rsidRPr="007B2B06" w:rsidR="00506C74">
                <w:rPr>
                  <w:rStyle w:val="Hyperlink"/>
                  <w:rFonts w:eastAsia="Arial" w:cstheme="minorHAnsi"/>
                  <w:sz w:val="18"/>
                  <w:szCs w:val="18"/>
                </w:rPr>
                <w:t>300</w:t>
              </w:r>
              <w:r w:rsidRPr="007B2B06" w:rsidR="00506C74">
                <w:rPr>
                  <w:rStyle w:val="Hyperlink"/>
                  <w:rFonts w:cstheme="minorHAnsi"/>
                  <w:sz w:val="18"/>
                  <w:szCs w:val="18"/>
                </w:rPr>
                <w:t>.65(c)(5)(ii)(B)(</w:t>
              </w:r>
              <w:r w:rsidRPr="007B2B06" w:rsidR="00506C74">
                <w:rPr>
                  <w:rStyle w:val="Hyperlink"/>
                  <w:rFonts w:cstheme="minorHAnsi"/>
                  <w:i/>
                  <w:sz w:val="18"/>
                  <w:szCs w:val="18"/>
                </w:rPr>
                <w:t>4</w:t>
              </w:r>
              <w:r w:rsidRPr="007B2B06" w:rsidR="00506C74">
                <w:rPr>
                  <w:rStyle w:val="Hyperlink"/>
                  <w:rFonts w:cstheme="minorHAnsi"/>
                  <w:sz w:val="18"/>
                  <w:szCs w:val="18"/>
                </w:rPr>
                <w:t>)(</w:t>
              </w:r>
              <w:r w:rsidRPr="007B2B06" w:rsidR="00506C74">
                <w:rPr>
                  <w:rStyle w:val="Hyperlink"/>
                  <w:rFonts w:cstheme="minorHAnsi"/>
                  <w:i/>
                  <w:sz w:val="18"/>
                  <w:szCs w:val="18"/>
                </w:rPr>
                <w:t>iii</w:t>
              </w:r>
              <w:r w:rsidRPr="007B2B06" w:rsidR="00506C74">
                <w:rPr>
                  <w:rStyle w:val="Hyperlink"/>
                  <w:rFonts w:cstheme="minorHAnsi"/>
                  <w:sz w:val="18"/>
                  <w:szCs w:val="18"/>
                </w:rPr>
                <w:t>)</w:t>
              </w:r>
            </w:hyperlink>
            <w:r w:rsidRPr="007B2B06" w:rsidR="00506C74">
              <w:rPr>
                <w:rFonts w:cstheme="minorHAnsi"/>
                <w:sz w:val="18"/>
                <w:szCs w:val="18"/>
              </w:rPr>
              <w:t xml:space="preserve">, </w:t>
            </w:r>
            <w:hyperlink r:id="rId20" w:anchor="p-300.67(a)(4)(iii)" w:history="1">
              <w:r w:rsidRPr="007B2B06" w:rsidR="00506C74">
                <w:rPr>
                  <w:rStyle w:val="Hyperlink"/>
                  <w:rFonts w:cstheme="minorHAnsi"/>
                  <w:sz w:val="18"/>
                  <w:szCs w:val="18"/>
                </w:rPr>
                <w:t>300.67(a)(4)(iii)</w:t>
              </w:r>
            </w:hyperlink>
            <w:r w:rsidRPr="007B2B06" w:rsidR="000A2927">
              <w:rPr>
                <w:rFonts w:cstheme="minorHAnsi"/>
                <w:sz w:val="18"/>
                <w:szCs w:val="18"/>
              </w:rPr>
              <w:t xml:space="preserve">; </w:t>
            </w:r>
            <w:r w:rsidRPr="007B2B06" w:rsidR="00506C74">
              <w:rPr>
                <w:rFonts w:cstheme="minorHAnsi"/>
                <w:sz w:val="18"/>
                <w:szCs w:val="18"/>
              </w:rPr>
              <w:t xml:space="preserve"> </w:t>
            </w:r>
            <w:hyperlink r:id="rId20" w:anchor="p-300.67(h)(6)" w:history="1">
              <w:r w:rsidRPr="007B2B06" w:rsidR="00506C74">
                <w:rPr>
                  <w:rStyle w:val="Hyperlink"/>
                  <w:rFonts w:cstheme="minorHAnsi"/>
                  <w:sz w:val="18"/>
                  <w:szCs w:val="18"/>
                </w:rPr>
                <w:t>300.67(h)(6)</w:t>
              </w:r>
            </w:hyperlink>
            <w:r w:rsidRPr="007B2B06" w:rsidR="000A2927">
              <w:rPr>
                <w:rStyle w:val="Hyperlink"/>
                <w:rFonts w:cstheme="minorHAnsi"/>
                <w:color w:val="auto"/>
                <w:sz w:val="18"/>
                <w:szCs w:val="18"/>
                <w:u w:val="none"/>
              </w:rPr>
              <w:t xml:space="preserve">; and 679.46(a)(1)((vii) </w:t>
            </w:r>
            <w:r w:rsidRPr="007B2B06" w:rsidR="000A2927">
              <w:rPr>
                <w:rStyle w:val="Hyperlink"/>
                <w:rFonts w:cstheme="minorHAnsi"/>
                <w:color w:val="C00000"/>
                <w:sz w:val="18"/>
                <w:szCs w:val="18"/>
                <w:u w:val="none"/>
              </w:rPr>
              <w:t>[</w:t>
            </w:r>
            <w:r w:rsidRPr="007B2B06" w:rsidR="00952C15">
              <w:rPr>
                <w:rStyle w:val="Hyperlink"/>
                <w:rFonts w:cstheme="minorHAnsi"/>
                <w:color w:val="C00000"/>
                <w:sz w:val="18"/>
                <w:szCs w:val="18"/>
                <w:u w:val="none"/>
              </w:rPr>
              <w:t>new</w:t>
            </w:r>
            <w:r w:rsidRPr="007B2B06" w:rsidR="000A2927">
              <w:rPr>
                <w:rStyle w:val="Hyperlink"/>
                <w:rFonts w:cstheme="minorHAnsi"/>
                <w:color w:val="C00000"/>
                <w:sz w:val="18"/>
                <w:szCs w:val="18"/>
                <w:u w:val="none"/>
              </w:rPr>
              <w:t>]</w:t>
            </w:r>
          </w:p>
        </w:tc>
        <w:tc>
          <w:tcPr>
            <w:tcW w:w="1212" w:type="dxa"/>
            <w:vAlign w:val="center"/>
          </w:tcPr>
          <w:p w:rsidR="00CE064E" w:rsidRPr="007B2B06" w:rsidP="00454378" w14:paraId="5A1BF9BF" w14:textId="77777777">
            <w:pPr>
              <w:pStyle w:val="ListParagraph"/>
              <w:spacing w:before="0" w:after="60"/>
              <w:ind w:left="0" w:firstLine="0"/>
              <w:rPr>
                <w:rFonts w:cstheme="minorHAnsi"/>
                <w:sz w:val="18"/>
                <w:szCs w:val="18"/>
              </w:rPr>
            </w:pPr>
            <w:hyperlink r:id="rId21" w:anchor="p-300.65(c)(5)(ii)(B)(4)(iii)" w:history="1">
              <w:r w:rsidRPr="007B2B06" w:rsidR="00506C74">
                <w:rPr>
                  <w:rStyle w:val="Hyperlink"/>
                  <w:rFonts w:cstheme="minorHAnsi"/>
                  <w:sz w:val="18"/>
                  <w:szCs w:val="18"/>
                </w:rPr>
                <w:t>https://www.ecfr.gov/current/title-50/part-300/section-300.65#p-300.65(c)(5)(ii)(B)(4)(iii)</w:t>
              </w:r>
            </w:hyperlink>
            <w:r w:rsidRPr="007B2B06" w:rsidR="00B271C2">
              <w:rPr>
                <w:rFonts w:cstheme="minorHAnsi"/>
                <w:sz w:val="18"/>
                <w:szCs w:val="18"/>
              </w:rPr>
              <w:t xml:space="preserve">; </w:t>
            </w:r>
            <w:hyperlink r:id="rId20" w:anchor="p-300.67(a)(4)(iii)" w:history="1">
              <w:r w:rsidRPr="007B2B06" w:rsidR="00A172A6">
                <w:rPr>
                  <w:rStyle w:val="Hyperlink"/>
                  <w:rFonts w:cstheme="minorHAnsi"/>
                  <w:sz w:val="18"/>
                  <w:szCs w:val="18"/>
                </w:rPr>
                <w:t>https://www.ecfr.gov/current/title-50/part-300/section-300.67#p-300.67(a)(4)(iii)</w:t>
              </w:r>
            </w:hyperlink>
            <w:r w:rsidRPr="007B2B06" w:rsidR="00B271C2">
              <w:rPr>
                <w:rFonts w:cstheme="minorHAnsi"/>
                <w:sz w:val="18"/>
                <w:szCs w:val="18"/>
              </w:rPr>
              <w:t xml:space="preserve">; and </w:t>
            </w:r>
            <w:hyperlink r:id="rId20" w:anchor="p-300.67(h)(6)" w:history="1">
              <w:r w:rsidRPr="007B2B06" w:rsidR="00A172A6">
                <w:rPr>
                  <w:rStyle w:val="Hyperlink"/>
                  <w:rFonts w:cstheme="minorHAnsi"/>
                  <w:sz w:val="18"/>
                  <w:szCs w:val="18"/>
                </w:rPr>
                <w:t>https://www.ecfr.gov/current/title-50/part-300/section-300.67#p-300.67(h)(6)</w:t>
              </w:r>
            </w:hyperlink>
          </w:p>
        </w:tc>
        <w:tc>
          <w:tcPr>
            <w:tcW w:w="828" w:type="dxa"/>
            <w:vAlign w:val="center"/>
          </w:tcPr>
          <w:p w:rsidR="00CE064E" w:rsidRPr="007B2B06" w:rsidP="009E15F3" w14:paraId="7E49090C" w14:textId="77777777">
            <w:pPr>
              <w:rPr>
                <w:rFonts w:cstheme="minorHAnsi"/>
                <w:sz w:val="18"/>
                <w:szCs w:val="18"/>
              </w:rPr>
            </w:pPr>
            <w:r w:rsidRPr="007B2B06">
              <w:rPr>
                <w:rFonts w:cstheme="minorHAnsi"/>
                <w:sz w:val="18"/>
                <w:szCs w:val="18"/>
              </w:rPr>
              <w:t>No</w:t>
            </w:r>
          </w:p>
        </w:tc>
        <w:tc>
          <w:tcPr>
            <w:tcW w:w="1128" w:type="dxa"/>
            <w:vAlign w:val="center"/>
          </w:tcPr>
          <w:p w:rsidR="00CE064E" w:rsidRPr="007B2B06" w:rsidP="00C53E02" w14:paraId="52ED0A71" w14:textId="77777777">
            <w:pPr>
              <w:rPr>
                <w:rFonts w:eastAsia="Calibri" w:cstheme="minorHAnsi"/>
                <w:sz w:val="18"/>
                <w:szCs w:val="18"/>
              </w:rPr>
            </w:pPr>
            <w:r w:rsidRPr="007B2B06">
              <w:rPr>
                <w:rFonts w:eastAsia="Calibri" w:cstheme="minorHAnsi"/>
                <w:sz w:val="18"/>
                <w:szCs w:val="18"/>
              </w:rPr>
              <w:t>Mail, delivery, or fax</w:t>
            </w:r>
            <w:r w:rsidRPr="007B2B06">
              <w:rPr>
                <w:rFonts w:eastAsia="Calibri" w:cstheme="minorHAnsi"/>
                <w:sz w:val="18"/>
                <w:szCs w:val="18"/>
                <w:vertAlign w:val="superscript"/>
              </w:rPr>
              <w:t>3</w:t>
            </w:r>
          </w:p>
        </w:tc>
        <w:tc>
          <w:tcPr>
            <w:tcW w:w="1957" w:type="dxa"/>
            <w:vAlign w:val="center"/>
          </w:tcPr>
          <w:p w:rsidR="00CE064E" w:rsidRPr="007B2B06" w:rsidP="009E15F3" w14:paraId="6AB67F45" w14:textId="77777777">
            <w:pPr>
              <w:pStyle w:val="Heading1"/>
              <w:spacing w:before="161"/>
              <w:ind w:left="0"/>
              <w:outlineLvl w:val="0"/>
              <w:rPr>
                <w:rFonts w:cstheme="minorHAnsi"/>
                <w:b w:val="0"/>
                <w:sz w:val="18"/>
                <w:szCs w:val="18"/>
              </w:rPr>
            </w:pPr>
            <w:r w:rsidRPr="007B2B06">
              <w:rPr>
                <w:rFonts w:cstheme="minorHAnsi"/>
                <w:b w:val="0"/>
                <w:sz w:val="18"/>
                <w:szCs w:val="18"/>
              </w:rPr>
              <w:t>As needed by the respondent</w:t>
            </w:r>
          </w:p>
        </w:tc>
        <w:tc>
          <w:tcPr>
            <w:tcW w:w="3077" w:type="dxa"/>
            <w:vAlign w:val="center"/>
          </w:tcPr>
          <w:p w:rsidR="00CE064E" w:rsidRPr="007B2B06" w:rsidP="009E15F3" w14:paraId="763D5B52" w14:textId="77777777">
            <w:pPr>
              <w:pStyle w:val="TableParagraph"/>
              <w:rPr>
                <w:rFonts w:cstheme="minorHAnsi"/>
                <w:sz w:val="18"/>
                <w:szCs w:val="18"/>
              </w:rPr>
            </w:pPr>
            <w:r w:rsidRPr="007B2B06">
              <w:rPr>
                <w:rFonts w:cstheme="minorHAnsi"/>
                <w:sz w:val="18"/>
                <w:szCs w:val="18"/>
              </w:rPr>
              <w:t xml:space="preserve">Used by a CHP holder who receives an Initial Administrative Determination to appeal </w:t>
            </w:r>
            <w:r w:rsidRPr="007B2B06" w:rsidR="00586567">
              <w:rPr>
                <w:rFonts w:cstheme="minorHAnsi"/>
                <w:sz w:val="18"/>
                <w:szCs w:val="18"/>
              </w:rPr>
              <w:t xml:space="preserve">a decision </w:t>
            </w:r>
            <w:r w:rsidRPr="007B2B06">
              <w:rPr>
                <w:rFonts w:cstheme="minorHAnsi"/>
                <w:sz w:val="18"/>
                <w:szCs w:val="18"/>
              </w:rPr>
              <w:t xml:space="preserve">by NMFS. </w:t>
            </w:r>
          </w:p>
          <w:p w:rsidR="00CE064E" w:rsidRPr="007B2B06" w:rsidP="00454378" w14:paraId="2AE55027" w14:textId="77777777">
            <w:pPr>
              <w:pStyle w:val="Heading1"/>
              <w:spacing w:before="60"/>
              <w:ind w:left="0"/>
              <w:outlineLvl w:val="0"/>
              <w:rPr>
                <w:rFonts w:cstheme="minorHAnsi"/>
                <w:b w:val="0"/>
                <w:sz w:val="18"/>
                <w:szCs w:val="18"/>
              </w:rPr>
            </w:pPr>
            <w:r w:rsidRPr="007B2B06">
              <w:rPr>
                <w:rFonts w:cstheme="minorHAnsi"/>
                <w:b w:val="0"/>
                <w:sz w:val="18"/>
                <w:szCs w:val="18"/>
              </w:rPr>
              <w:t>Used by NMFS to assess information provided by the appellee in relation to a previous program application denial.</w:t>
            </w:r>
          </w:p>
        </w:tc>
        <w:tc>
          <w:tcPr>
            <w:tcW w:w="1304" w:type="dxa"/>
            <w:vAlign w:val="center"/>
          </w:tcPr>
          <w:p w:rsidR="00CE064E" w:rsidRPr="007B2B06" w:rsidP="009E15F3" w14:paraId="3A40A948" w14:textId="77777777">
            <w:pPr>
              <w:pStyle w:val="Heading1"/>
              <w:spacing w:before="161"/>
              <w:ind w:left="0"/>
              <w:outlineLvl w:val="0"/>
              <w:rPr>
                <w:rFonts w:cstheme="minorHAnsi"/>
                <w:b w:val="0"/>
                <w:sz w:val="18"/>
                <w:szCs w:val="18"/>
              </w:rPr>
            </w:pPr>
            <w:r w:rsidRPr="007B2B06">
              <w:rPr>
                <w:rFonts w:cstheme="minorHAnsi"/>
                <w:b w:val="0"/>
                <w:sz w:val="18"/>
                <w:szCs w:val="18"/>
              </w:rPr>
              <w:t xml:space="preserve">NMFS National Appeals Office </w:t>
            </w:r>
          </w:p>
        </w:tc>
      </w:tr>
      <w:tr w14:paraId="16EA9645" w14:textId="77777777" w:rsidTr="00684AE8">
        <w:tblPrEx>
          <w:tblW w:w="14357" w:type="dxa"/>
          <w:jc w:val="center"/>
          <w:tblLayout w:type="fixed"/>
          <w:tblLook w:val="04A0"/>
        </w:tblPrEx>
        <w:trPr>
          <w:trHeight w:val="452"/>
          <w:jc w:val="center"/>
        </w:trPr>
        <w:tc>
          <w:tcPr>
            <w:tcW w:w="1398" w:type="dxa"/>
            <w:vAlign w:val="center"/>
          </w:tcPr>
          <w:p w:rsidR="00CE064E" w:rsidRPr="007B2B06" w:rsidP="00684AE8" w14:paraId="04A1DA87" w14:textId="77777777">
            <w:pPr>
              <w:keepLines/>
              <w:rPr>
                <w:rFonts w:cstheme="minorHAnsi"/>
                <w:sz w:val="18"/>
                <w:szCs w:val="18"/>
              </w:rPr>
            </w:pPr>
            <w:r w:rsidRPr="007B2B06">
              <w:rPr>
                <w:rFonts w:cstheme="minorHAnsi"/>
                <w:sz w:val="18"/>
                <w:szCs w:val="18"/>
              </w:rPr>
              <w:t>ADF&amp;G Saltwater Sport Fishing Charter Trip Logbook</w:t>
            </w:r>
          </w:p>
        </w:tc>
        <w:tc>
          <w:tcPr>
            <w:tcW w:w="1304" w:type="dxa"/>
            <w:vAlign w:val="center"/>
          </w:tcPr>
          <w:p w:rsidR="00CE064E" w:rsidRPr="007B2B06" w:rsidP="00684AE8" w14:paraId="504932BA" w14:textId="77777777">
            <w:pPr>
              <w:keepLines/>
              <w:rPr>
                <w:rFonts w:cstheme="minorHAnsi"/>
                <w:sz w:val="18"/>
                <w:szCs w:val="18"/>
              </w:rPr>
            </w:pPr>
            <w:r w:rsidRPr="007B2B06">
              <w:rPr>
                <w:rFonts w:cstheme="minorHAnsi"/>
                <w:sz w:val="18"/>
                <w:szCs w:val="18"/>
              </w:rPr>
              <w:t>CHP holders</w:t>
            </w:r>
          </w:p>
        </w:tc>
        <w:tc>
          <w:tcPr>
            <w:tcW w:w="932" w:type="dxa"/>
            <w:vAlign w:val="center"/>
          </w:tcPr>
          <w:p w:rsidR="00CE064E" w:rsidRPr="007B2B06" w:rsidP="00684AE8" w14:paraId="232BE090" w14:textId="77777777">
            <w:pPr>
              <w:pStyle w:val="TableParagraph"/>
              <w:keepLines/>
              <w:spacing w:before="9"/>
              <w:rPr>
                <w:rFonts w:cstheme="minorHAnsi"/>
                <w:sz w:val="18"/>
                <w:szCs w:val="18"/>
              </w:rPr>
            </w:pPr>
            <w:r w:rsidRPr="007B2B06">
              <w:rPr>
                <w:rFonts w:cstheme="minorHAnsi"/>
                <w:sz w:val="18"/>
                <w:szCs w:val="18"/>
              </w:rPr>
              <w:t>16 U.S.C. 773</w:t>
            </w:r>
          </w:p>
          <w:p w:rsidR="00CE064E" w:rsidRPr="007B2B06" w:rsidP="00684AE8" w14:paraId="6552C9BB" w14:textId="77777777">
            <w:pPr>
              <w:keepLines/>
              <w:rPr>
                <w:rFonts w:cstheme="minorHAnsi"/>
                <w:sz w:val="18"/>
                <w:szCs w:val="18"/>
              </w:rPr>
            </w:pPr>
          </w:p>
        </w:tc>
        <w:tc>
          <w:tcPr>
            <w:tcW w:w="1217" w:type="dxa"/>
            <w:vAlign w:val="center"/>
          </w:tcPr>
          <w:p w:rsidR="00CE064E" w:rsidRPr="007B2B06" w:rsidP="00684AE8" w14:paraId="3411E779" w14:textId="77777777">
            <w:pPr>
              <w:keepLines/>
              <w:rPr>
                <w:rFonts w:cstheme="minorHAnsi"/>
                <w:sz w:val="18"/>
                <w:szCs w:val="18"/>
              </w:rPr>
            </w:pPr>
            <w:hyperlink r:id="rId21" w:anchor="p-300.65(d)" w:history="1">
              <w:r w:rsidRPr="007B2B06" w:rsidR="00506C74">
                <w:rPr>
                  <w:rStyle w:val="Hyperlink"/>
                  <w:rFonts w:cstheme="minorHAnsi"/>
                  <w:sz w:val="18"/>
                  <w:szCs w:val="18"/>
                </w:rPr>
                <w:t>300.65(d)</w:t>
              </w:r>
            </w:hyperlink>
            <w:r w:rsidRPr="007B2B06" w:rsidR="001B7629">
              <w:rPr>
                <w:rStyle w:val="Hyperlink"/>
                <w:rFonts w:cstheme="minorHAnsi"/>
                <w:color w:val="auto"/>
                <w:sz w:val="18"/>
                <w:szCs w:val="18"/>
              </w:rPr>
              <w:t xml:space="preserve"> </w:t>
            </w:r>
            <w:r w:rsidRPr="007B2B06" w:rsidR="001B7629">
              <w:rPr>
                <w:rStyle w:val="Hyperlink"/>
                <w:rFonts w:cstheme="minorHAnsi"/>
                <w:color w:val="auto"/>
                <w:sz w:val="18"/>
                <w:szCs w:val="18"/>
                <w:u w:val="none"/>
              </w:rPr>
              <w:t>and 679.46(a)</w:t>
            </w:r>
            <w:r w:rsidRPr="007B2B06" w:rsidR="0059431E">
              <w:rPr>
                <w:rStyle w:val="Hyperlink"/>
                <w:rFonts w:cstheme="minorHAnsi"/>
                <w:color w:val="auto"/>
                <w:sz w:val="18"/>
                <w:szCs w:val="18"/>
                <w:u w:val="none"/>
              </w:rPr>
              <w:t>(1)</w:t>
            </w:r>
            <w:r w:rsidRPr="007B2B06" w:rsidR="001B7629">
              <w:rPr>
                <w:rStyle w:val="Hyperlink"/>
                <w:rFonts w:cstheme="minorHAnsi"/>
                <w:color w:val="auto"/>
                <w:sz w:val="18"/>
                <w:szCs w:val="18"/>
                <w:u w:val="none"/>
              </w:rPr>
              <w:t xml:space="preserve">(i) </w:t>
            </w:r>
            <w:r w:rsidRPr="007B2B06" w:rsidR="001B7629">
              <w:rPr>
                <w:rStyle w:val="Hyperlink"/>
                <w:rFonts w:cstheme="minorHAnsi"/>
                <w:color w:val="C00000"/>
                <w:sz w:val="18"/>
                <w:szCs w:val="18"/>
                <w:u w:val="none"/>
              </w:rPr>
              <w:t>[</w:t>
            </w:r>
            <w:r w:rsidRPr="007B2B06" w:rsidR="00952C15">
              <w:rPr>
                <w:rStyle w:val="Hyperlink"/>
                <w:rFonts w:cstheme="minorHAnsi"/>
                <w:color w:val="C00000"/>
                <w:sz w:val="18"/>
                <w:szCs w:val="18"/>
                <w:u w:val="none"/>
              </w:rPr>
              <w:t>new</w:t>
            </w:r>
            <w:r w:rsidRPr="007B2B06" w:rsidR="001B7629">
              <w:rPr>
                <w:rStyle w:val="Hyperlink"/>
                <w:rFonts w:cstheme="minorHAnsi"/>
                <w:color w:val="C00000"/>
                <w:sz w:val="18"/>
                <w:szCs w:val="18"/>
                <w:u w:val="none"/>
              </w:rPr>
              <w:t>]</w:t>
            </w:r>
          </w:p>
        </w:tc>
        <w:tc>
          <w:tcPr>
            <w:tcW w:w="1212" w:type="dxa"/>
            <w:vAlign w:val="center"/>
          </w:tcPr>
          <w:p w:rsidR="00CE064E" w:rsidRPr="007B2B06" w:rsidP="00684AE8" w14:paraId="2DE9CCF2" w14:textId="77777777">
            <w:pPr>
              <w:keepLines/>
              <w:rPr>
                <w:rFonts w:cstheme="minorHAnsi"/>
                <w:sz w:val="18"/>
                <w:szCs w:val="18"/>
              </w:rPr>
            </w:pPr>
            <w:hyperlink r:id="rId21" w:anchor="p-300.65(d)" w:history="1">
              <w:r w:rsidRPr="007B2B06" w:rsidR="00E02C6A">
                <w:rPr>
                  <w:rStyle w:val="Hyperlink"/>
                  <w:rFonts w:cstheme="minorHAnsi"/>
                  <w:sz w:val="18"/>
                  <w:szCs w:val="18"/>
                </w:rPr>
                <w:t>https://www.ecfr.gov/current/title-50/part-300/section-300.65#p-300.65(d)</w:t>
              </w:r>
            </w:hyperlink>
          </w:p>
        </w:tc>
        <w:tc>
          <w:tcPr>
            <w:tcW w:w="828" w:type="dxa"/>
            <w:vAlign w:val="center"/>
          </w:tcPr>
          <w:p w:rsidR="00CE064E" w:rsidRPr="007B2B06" w:rsidP="00684AE8" w14:paraId="7D683E65" w14:textId="77777777">
            <w:pPr>
              <w:keepLines/>
              <w:rPr>
                <w:rFonts w:cstheme="minorHAnsi"/>
                <w:sz w:val="18"/>
                <w:szCs w:val="18"/>
              </w:rPr>
            </w:pPr>
            <w:r w:rsidRPr="007B2B06">
              <w:rPr>
                <w:rFonts w:cstheme="minorHAnsi"/>
                <w:sz w:val="18"/>
                <w:szCs w:val="18"/>
              </w:rPr>
              <w:t>ADF&amp;G form</w:t>
            </w:r>
          </w:p>
        </w:tc>
        <w:tc>
          <w:tcPr>
            <w:tcW w:w="1128" w:type="dxa"/>
            <w:vAlign w:val="center"/>
          </w:tcPr>
          <w:p w:rsidR="00CE064E" w:rsidRPr="007B2B06" w:rsidP="00684AE8" w14:paraId="232EAAC5" w14:textId="77777777">
            <w:pPr>
              <w:keepLines/>
              <w:rPr>
                <w:rFonts w:eastAsia="Calibri" w:cstheme="minorHAnsi"/>
                <w:sz w:val="18"/>
                <w:szCs w:val="18"/>
              </w:rPr>
            </w:pPr>
            <w:r w:rsidRPr="007B2B06">
              <w:rPr>
                <w:rFonts w:eastAsia="Calibri" w:cstheme="minorHAnsi"/>
                <w:sz w:val="18"/>
                <w:szCs w:val="18"/>
              </w:rPr>
              <w:t>Mail</w:t>
            </w:r>
            <w:r w:rsidRPr="007B2B06">
              <w:rPr>
                <w:rFonts w:eastAsia="Calibri" w:cstheme="minorHAnsi"/>
                <w:sz w:val="18"/>
                <w:szCs w:val="18"/>
                <w:vertAlign w:val="superscript"/>
              </w:rPr>
              <w:t>4</w:t>
            </w:r>
            <w:r w:rsidRPr="007B2B06">
              <w:rPr>
                <w:rFonts w:eastAsia="Calibri" w:cstheme="minorHAnsi"/>
                <w:sz w:val="18"/>
                <w:szCs w:val="18"/>
              </w:rPr>
              <w:t xml:space="preserve"> or ADF&amp;G electronic logbook</w:t>
            </w:r>
          </w:p>
        </w:tc>
        <w:tc>
          <w:tcPr>
            <w:tcW w:w="1957" w:type="dxa"/>
            <w:vAlign w:val="center"/>
          </w:tcPr>
          <w:p w:rsidR="00CE064E" w:rsidRPr="007B2B06" w:rsidP="00684AE8" w14:paraId="505A07A1" w14:textId="77777777">
            <w:pPr>
              <w:keepLines/>
              <w:adjustRightInd w:val="0"/>
              <w:rPr>
                <w:rFonts w:eastAsia="Times New Roman" w:cstheme="minorHAnsi"/>
                <w:sz w:val="18"/>
                <w:szCs w:val="18"/>
              </w:rPr>
            </w:pPr>
            <w:r w:rsidRPr="007B2B06">
              <w:rPr>
                <w:rFonts w:eastAsia="Times New Roman" w:cstheme="minorHAnsi"/>
                <w:sz w:val="18"/>
                <w:szCs w:val="18"/>
              </w:rPr>
              <w:t>For a charter vessel fishing trip during which halibut were caught and retained</w:t>
            </w:r>
          </w:p>
          <w:p w:rsidR="00CE064E" w:rsidRPr="007B2B06" w:rsidP="00684AE8" w14:paraId="28E390F1" w14:textId="77777777">
            <w:pPr>
              <w:keepLines/>
              <w:numPr>
                <w:ilvl w:val="0"/>
                <w:numId w:val="13"/>
              </w:numPr>
              <w:tabs>
                <w:tab w:val="left" w:pos="360"/>
                <w:tab w:val="left" w:pos="720"/>
                <w:tab w:val="left" w:pos="1080"/>
              </w:tabs>
              <w:adjustRightInd w:val="0"/>
              <w:ind w:left="144" w:hanging="144"/>
              <w:contextualSpacing/>
              <w:rPr>
                <w:rFonts w:eastAsia="Times New Roman" w:cstheme="minorHAnsi"/>
                <w:sz w:val="18"/>
                <w:szCs w:val="18"/>
              </w:rPr>
            </w:pPr>
            <w:r w:rsidRPr="007B2B06">
              <w:rPr>
                <w:rFonts w:eastAsia="Times New Roman" w:cstheme="minorHAnsi"/>
                <w:i/>
                <w:sz w:val="18"/>
                <w:szCs w:val="18"/>
              </w:rPr>
              <w:t>on or after the first Monday in April and on or before December 31</w:t>
            </w:r>
            <w:r w:rsidRPr="007B2B06">
              <w:rPr>
                <w:rFonts w:eastAsia="Times New Roman" w:cstheme="minorHAnsi"/>
                <w:sz w:val="18"/>
                <w:szCs w:val="18"/>
              </w:rPr>
              <w:t xml:space="preserve">, must be submitted to ADF&amp;G and postmarked or received no later than 14 calendar days after the Monday of the fishing week (as defined in 50 CFR 300.61) </w:t>
            </w:r>
          </w:p>
          <w:p w:rsidR="00CE064E" w:rsidRPr="007B2B06" w:rsidP="00684AE8" w14:paraId="3D3C4524" w14:textId="77777777">
            <w:pPr>
              <w:pStyle w:val="Heading1"/>
              <w:keepLines/>
              <w:numPr>
                <w:ilvl w:val="0"/>
                <w:numId w:val="13"/>
              </w:numPr>
              <w:spacing w:before="0"/>
              <w:ind w:left="144" w:hanging="144"/>
              <w:outlineLvl w:val="0"/>
              <w:rPr>
                <w:rFonts w:cstheme="minorHAnsi"/>
                <w:b w:val="0"/>
                <w:sz w:val="18"/>
                <w:szCs w:val="18"/>
              </w:rPr>
            </w:pPr>
            <w:r w:rsidRPr="007B2B06">
              <w:rPr>
                <w:rFonts w:eastAsia="Times New Roman" w:cstheme="minorHAnsi"/>
                <w:b w:val="0"/>
                <w:bCs w:val="0"/>
                <w:i/>
                <w:sz w:val="18"/>
                <w:szCs w:val="18"/>
              </w:rPr>
              <w:t xml:space="preserve">on January 1 through the first Sunday in April, </w:t>
            </w:r>
            <w:r w:rsidRPr="007B2B06">
              <w:rPr>
                <w:rFonts w:eastAsia="Times New Roman" w:cstheme="minorHAnsi"/>
                <w:b w:val="0"/>
                <w:bCs w:val="0"/>
                <w:sz w:val="18"/>
                <w:szCs w:val="18"/>
              </w:rPr>
              <w:t>must be submitted to ADF&amp;G and postmarked or received no later than the second Monday in April.</w:t>
            </w:r>
          </w:p>
        </w:tc>
        <w:tc>
          <w:tcPr>
            <w:tcW w:w="3077" w:type="dxa"/>
            <w:vAlign w:val="center"/>
          </w:tcPr>
          <w:p w:rsidR="00CE064E" w:rsidRPr="007B2B06" w:rsidP="00684AE8" w14:paraId="4C355CE1" w14:textId="77777777">
            <w:pPr>
              <w:pStyle w:val="TableParagraph"/>
              <w:keepLines/>
              <w:rPr>
                <w:rFonts w:cstheme="minorHAnsi"/>
                <w:sz w:val="18"/>
                <w:szCs w:val="18"/>
              </w:rPr>
            </w:pPr>
            <w:r w:rsidRPr="007B2B06">
              <w:rPr>
                <w:rFonts w:cstheme="minorHAnsi"/>
                <w:sz w:val="18"/>
                <w:szCs w:val="18"/>
              </w:rPr>
              <w:t>Used by the charter vessel operators to record all halibut caught and</w:t>
            </w:r>
            <w:r w:rsidRPr="007B2B06" w:rsidR="00586567">
              <w:rPr>
                <w:rFonts w:cstheme="minorHAnsi"/>
                <w:sz w:val="18"/>
                <w:szCs w:val="18"/>
              </w:rPr>
              <w:t xml:space="preserve"> kept by charter vessel anglers and to validate the charter halibut stamps required for a charter vessel fishing trip.</w:t>
            </w:r>
          </w:p>
          <w:p w:rsidR="00CE064E" w:rsidRPr="007B2B06" w:rsidP="00684AE8" w14:paraId="363905AC" w14:textId="77777777">
            <w:pPr>
              <w:pStyle w:val="Heading1"/>
              <w:keepLines/>
              <w:spacing w:before="60"/>
              <w:ind w:left="0"/>
              <w:outlineLvl w:val="0"/>
              <w:rPr>
                <w:rFonts w:cstheme="minorHAnsi"/>
                <w:b w:val="0"/>
                <w:sz w:val="18"/>
                <w:szCs w:val="18"/>
              </w:rPr>
            </w:pPr>
            <w:r w:rsidRPr="007B2B06">
              <w:rPr>
                <w:rFonts w:cstheme="minorHAnsi"/>
                <w:b w:val="0"/>
                <w:sz w:val="18"/>
                <w:szCs w:val="18"/>
              </w:rPr>
              <w:t>Used by NMFS as the basis for estimating annual charter harvests of halibut relative to the charter catch limits</w:t>
            </w:r>
            <w:r w:rsidRPr="007B2B06" w:rsidR="008403ED">
              <w:rPr>
                <w:rFonts w:cstheme="minorHAnsi"/>
                <w:b w:val="0"/>
                <w:sz w:val="18"/>
                <w:szCs w:val="18"/>
              </w:rPr>
              <w:t>.</w:t>
            </w:r>
          </w:p>
        </w:tc>
        <w:tc>
          <w:tcPr>
            <w:tcW w:w="1304" w:type="dxa"/>
            <w:vAlign w:val="center"/>
          </w:tcPr>
          <w:p w:rsidR="00CE064E" w:rsidRPr="007B2B06" w:rsidP="009E15F3" w14:paraId="449B5A78" w14:textId="77777777">
            <w:pPr>
              <w:pStyle w:val="Heading1"/>
              <w:spacing w:before="161"/>
              <w:ind w:left="0"/>
              <w:outlineLvl w:val="0"/>
              <w:rPr>
                <w:rFonts w:cstheme="minorHAnsi"/>
                <w:b w:val="0"/>
                <w:sz w:val="18"/>
                <w:szCs w:val="18"/>
              </w:rPr>
            </w:pPr>
            <w:r w:rsidRPr="007B2B06">
              <w:rPr>
                <w:rFonts w:cstheme="minorHAnsi"/>
                <w:b w:val="0"/>
                <w:sz w:val="18"/>
                <w:szCs w:val="18"/>
              </w:rPr>
              <w:t>ADFG shares the data with NMFS.</w:t>
            </w:r>
          </w:p>
        </w:tc>
      </w:tr>
    </w:tbl>
    <w:p w:rsidR="00F64454" w:rsidRPr="007B2B06" w:rsidP="00C0738E" w14:paraId="4093A564" w14:textId="77777777">
      <w:pPr>
        <w:widowControl/>
        <w:rPr>
          <w:rFonts w:eastAsia="Calibri" w:asciiTheme="minorHAnsi" w:hAnsiTheme="minorHAnsi" w:cstheme="minorHAnsi"/>
          <w:sz w:val="18"/>
          <w:szCs w:val="18"/>
        </w:rPr>
      </w:pPr>
      <w:r w:rsidRPr="007B2B06">
        <w:rPr>
          <w:rFonts w:eastAsia="Calibri" w:asciiTheme="minorHAnsi" w:hAnsiTheme="minorHAnsi" w:cstheme="minorHAnsi"/>
          <w:sz w:val="18"/>
          <w:szCs w:val="18"/>
          <w:vertAlign w:val="superscript"/>
        </w:rPr>
        <w:t>1</w:t>
      </w:r>
      <w:r w:rsidRPr="007B2B06">
        <w:rPr>
          <w:rFonts w:eastAsia="Calibri" w:asciiTheme="minorHAnsi" w:hAnsiTheme="minorHAnsi" w:cstheme="minorHAnsi"/>
          <w:sz w:val="18"/>
          <w:szCs w:val="18"/>
        </w:rPr>
        <w:t xml:space="preserve"> </w:t>
      </w:r>
      <w:r w:rsidRPr="007B2B06">
        <w:rPr>
          <w:rFonts w:eastAsia="Calibri" w:asciiTheme="minorHAnsi" w:hAnsiTheme="minorHAnsi" w:cstheme="minorHAnsi"/>
          <w:b/>
          <w:sz w:val="18"/>
          <w:szCs w:val="18"/>
        </w:rPr>
        <w:t>Mail</w:t>
      </w:r>
      <w:r w:rsidRPr="007B2B06">
        <w:rPr>
          <w:rFonts w:eastAsia="Calibri" w:asciiTheme="minorHAnsi" w:hAnsiTheme="minorHAnsi" w:cstheme="minorHAnsi"/>
          <w:sz w:val="18"/>
          <w:szCs w:val="18"/>
        </w:rPr>
        <w:t>: NMFS Alaska Region, Restricted Access Management, P.O. Box 21668, Juneau, AK 99802-1668</w:t>
      </w:r>
    </w:p>
    <w:p w:rsidR="00F64454" w:rsidRPr="0061436F" w:rsidP="00C0738E" w14:paraId="7B3CBC60" w14:textId="77777777">
      <w:pPr>
        <w:widowControl/>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Delivery</w:t>
      </w:r>
      <w:r w:rsidRPr="0061436F">
        <w:rPr>
          <w:rFonts w:eastAsia="Calibri" w:asciiTheme="minorHAnsi" w:hAnsiTheme="minorHAnsi" w:cstheme="minorHAnsi"/>
          <w:sz w:val="18"/>
          <w:szCs w:val="18"/>
        </w:rPr>
        <w:t>: 709 West 9</w:t>
      </w:r>
      <w:r w:rsidRPr="0061436F">
        <w:rPr>
          <w:rFonts w:eastAsia="Calibri" w:asciiTheme="minorHAnsi" w:hAnsiTheme="minorHAnsi" w:cstheme="minorHAnsi"/>
          <w:sz w:val="18"/>
          <w:szCs w:val="18"/>
          <w:vertAlign w:val="superscript"/>
        </w:rPr>
        <w:t>th</w:t>
      </w:r>
      <w:r w:rsidRPr="0061436F">
        <w:rPr>
          <w:rFonts w:eastAsia="Calibri" w:asciiTheme="minorHAnsi" w:hAnsiTheme="minorHAnsi" w:cstheme="minorHAnsi"/>
          <w:sz w:val="18"/>
          <w:szCs w:val="18"/>
        </w:rPr>
        <w:t xml:space="preserve"> Street, Room 713, Juneau, AK, 99801</w:t>
      </w:r>
    </w:p>
    <w:p w:rsidR="00F64454" w:rsidRPr="0061436F" w:rsidP="00C0738E" w14:paraId="6413A0EA" w14:textId="77777777">
      <w:pPr>
        <w:widowControl/>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Pr="0061436F">
        <w:rPr>
          <w:rFonts w:eastAsia="Calibri" w:asciiTheme="minorHAnsi" w:hAnsiTheme="minorHAnsi" w:cstheme="minorHAnsi"/>
          <w:b/>
          <w:sz w:val="18"/>
          <w:szCs w:val="18"/>
        </w:rPr>
        <w:t>Fax</w:t>
      </w:r>
      <w:r w:rsidRPr="0061436F">
        <w:rPr>
          <w:rFonts w:eastAsia="Calibri" w:asciiTheme="minorHAnsi" w:hAnsiTheme="minorHAnsi" w:cstheme="minorHAnsi"/>
          <w:sz w:val="18"/>
          <w:szCs w:val="18"/>
        </w:rPr>
        <w:t>: (907) 586-7354</w:t>
      </w:r>
    </w:p>
    <w:p w:rsidR="008F1804" w:rsidRPr="0061436F" w:rsidP="00C0738E" w14:paraId="60111C87" w14:textId="77777777">
      <w:pPr>
        <w:widowControl/>
        <w:rPr>
          <w:rFonts w:eastAsia="Calibri" w:asciiTheme="minorHAnsi" w:hAnsiTheme="minorHAnsi" w:cstheme="minorHAnsi"/>
          <w:sz w:val="18"/>
          <w:szCs w:val="18"/>
        </w:rPr>
      </w:pPr>
      <w:r w:rsidRPr="0061436F">
        <w:rPr>
          <w:rFonts w:eastAsia="Calibri" w:asciiTheme="minorHAnsi" w:hAnsiTheme="minorHAnsi" w:cstheme="minorHAnsi"/>
          <w:sz w:val="18"/>
          <w:szCs w:val="18"/>
        </w:rPr>
        <w:t xml:space="preserve"> </w:t>
      </w:r>
      <w:r w:rsidR="00EF116D">
        <w:rPr>
          <w:rFonts w:eastAsia="Calibri" w:asciiTheme="minorHAnsi" w:hAnsiTheme="minorHAnsi" w:cstheme="minorHAnsi"/>
          <w:sz w:val="18"/>
          <w:szCs w:val="18"/>
        </w:rPr>
        <w:t xml:space="preserve"> </w:t>
      </w:r>
      <w:r w:rsidRPr="00EF116D">
        <w:rPr>
          <w:rFonts w:eastAsia="Calibri" w:asciiTheme="minorHAnsi" w:hAnsiTheme="minorHAnsi" w:cstheme="minorHAnsi"/>
          <w:b/>
          <w:sz w:val="18"/>
          <w:szCs w:val="18"/>
        </w:rPr>
        <w:t>eFISH</w:t>
      </w:r>
      <w:r w:rsidRPr="0061436F">
        <w:rPr>
          <w:rFonts w:eastAsia="Calibri" w:asciiTheme="minorHAnsi" w:hAnsiTheme="minorHAnsi" w:cstheme="minorHAnsi"/>
          <w:sz w:val="18"/>
          <w:szCs w:val="18"/>
        </w:rPr>
        <w:t xml:space="preserve"> is the NMFS Alaska Region’s online Fisheries Information System</w:t>
      </w:r>
      <w:r w:rsidR="00EF116D">
        <w:rPr>
          <w:rFonts w:eastAsia="Calibri" w:asciiTheme="minorHAnsi" w:hAnsiTheme="minorHAnsi" w:cstheme="minorHAnsi"/>
          <w:sz w:val="18"/>
          <w:szCs w:val="18"/>
        </w:rPr>
        <w:t xml:space="preserve">. </w:t>
      </w:r>
      <w:hyperlink r:id="rId22" w:history="1">
        <w:r w:rsidRPr="00EF116D" w:rsidR="00EF116D">
          <w:rPr>
            <w:rStyle w:val="Hyperlink"/>
            <w:rFonts w:eastAsia="Calibri" w:asciiTheme="minorHAnsi" w:hAnsiTheme="minorHAnsi" w:cstheme="minorHAnsi"/>
            <w:sz w:val="18"/>
            <w:szCs w:val="18"/>
          </w:rPr>
          <w:t>https://alaskafisheries.noaa.gov/webapps/efish/login</w:t>
        </w:r>
      </w:hyperlink>
    </w:p>
    <w:p w:rsidR="00C53E02" w:rsidP="00C0738E" w14:paraId="0B8059FD" w14:textId="77777777">
      <w:pPr>
        <w:widowControl/>
        <w:tabs>
          <w:tab w:val="left" w:pos="360"/>
          <w:tab w:val="left" w:pos="720"/>
          <w:tab w:val="left" w:pos="1080"/>
        </w:tabs>
        <w:rPr>
          <w:rFonts w:asciiTheme="minorHAnsi" w:hAnsiTheme="minorHAnsi" w:cstheme="minorHAnsi"/>
          <w:sz w:val="18"/>
          <w:szCs w:val="18"/>
        </w:rPr>
      </w:pPr>
      <w:r>
        <w:rPr>
          <w:rFonts w:asciiTheme="minorHAnsi" w:hAnsiTheme="minorHAnsi" w:cstheme="minorHAnsi"/>
          <w:sz w:val="18"/>
          <w:szCs w:val="18"/>
          <w:vertAlign w:val="superscript"/>
        </w:rPr>
        <w:t>2</w:t>
      </w:r>
      <w:r w:rsidRPr="0061436F" w:rsidR="00F64454">
        <w:rPr>
          <w:rFonts w:asciiTheme="minorHAnsi" w:hAnsiTheme="minorHAnsi" w:cstheme="minorHAnsi"/>
          <w:sz w:val="18"/>
          <w:szCs w:val="18"/>
        </w:rPr>
        <w:t xml:space="preserve"> </w:t>
      </w:r>
      <w:r w:rsidRPr="0061436F">
        <w:rPr>
          <w:rFonts w:asciiTheme="minorHAnsi" w:hAnsiTheme="minorHAnsi" w:cstheme="minorHAnsi"/>
          <w:sz w:val="18"/>
          <w:szCs w:val="18"/>
        </w:rPr>
        <w:t>If a GAF permit holder is unable to submit a GAF landings report due to hardware, software, or Internet failure for a period longer than the required reporting time, or a correction must be made to information already submitted, the GAF permit holder must contact NOAA Office of Law Enforcement</w:t>
      </w:r>
      <w:r>
        <w:rPr>
          <w:rFonts w:asciiTheme="minorHAnsi" w:hAnsiTheme="minorHAnsi" w:cstheme="minorHAnsi"/>
          <w:sz w:val="18"/>
          <w:szCs w:val="18"/>
        </w:rPr>
        <w:t xml:space="preserve"> (NOAA OLE)</w:t>
      </w:r>
      <w:r w:rsidRPr="0061436F">
        <w:rPr>
          <w:rFonts w:asciiTheme="minorHAnsi" w:hAnsiTheme="minorHAnsi" w:cstheme="minorHAnsi"/>
          <w:sz w:val="18"/>
          <w:szCs w:val="18"/>
        </w:rPr>
        <w:t>, Juneau, AK, 800-304-4846 (Select Option 1</w:t>
      </w:r>
      <w:r w:rsidRPr="00771BF3">
        <w:rPr>
          <w:rFonts w:asciiTheme="minorHAnsi" w:hAnsiTheme="minorHAnsi" w:cstheme="minorHAnsi"/>
          <w:sz w:val="18"/>
          <w:szCs w:val="18"/>
        </w:rPr>
        <w:t>).</w:t>
      </w:r>
      <w:r w:rsidR="005F629D">
        <w:rPr>
          <w:rFonts w:asciiTheme="minorHAnsi" w:hAnsiTheme="minorHAnsi" w:cstheme="minorHAnsi"/>
          <w:sz w:val="18"/>
          <w:szCs w:val="18"/>
          <w:vertAlign w:val="superscript"/>
        </w:rPr>
        <w:t xml:space="preserve"> </w:t>
      </w:r>
      <w:r w:rsidRPr="00771BF3">
        <w:rPr>
          <w:rFonts w:asciiTheme="minorHAnsi" w:hAnsiTheme="minorHAnsi" w:cstheme="minorHAnsi"/>
          <w:sz w:val="18"/>
          <w:szCs w:val="18"/>
        </w:rPr>
        <w:t>The GAF Manual Landing Report is submitted to NOAA OLE by fax (907-586-7313) or email (enf.dataclerk@noaa.gov).</w:t>
      </w:r>
    </w:p>
    <w:p w:rsidR="00F64454" w:rsidRPr="0061436F" w:rsidP="00C0738E" w14:paraId="5608E473" w14:textId="77777777">
      <w:pPr>
        <w:widowControl/>
        <w:tabs>
          <w:tab w:val="left" w:pos="360"/>
          <w:tab w:val="left" w:pos="720"/>
          <w:tab w:val="left" w:pos="1080"/>
        </w:tabs>
        <w:rPr>
          <w:rFonts w:asciiTheme="minorHAnsi" w:hAnsiTheme="minorHAnsi" w:cstheme="minorHAnsi"/>
          <w:sz w:val="18"/>
          <w:szCs w:val="18"/>
        </w:rPr>
      </w:pPr>
      <w:r w:rsidRPr="00C53E02">
        <w:rPr>
          <w:rFonts w:asciiTheme="minorHAnsi" w:hAnsiTheme="minorHAnsi" w:cstheme="minorHAnsi"/>
          <w:sz w:val="18"/>
          <w:szCs w:val="18"/>
          <w:vertAlign w:val="superscript"/>
        </w:rPr>
        <w:t>3</w:t>
      </w:r>
      <w:r>
        <w:rPr>
          <w:rFonts w:asciiTheme="minorHAnsi" w:hAnsiTheme="minorHAnsi" w:cstheme="minorHAnsi"/>
          <w:sz w:val="18"/>
          <w:szCs w:val="18"/>
          <w:vertAlign w:val="superscript"/>
        </w:rPr>
        <w:t xml:space="preserve"> </w:t>
      </w:r>
      <w:r w:rsidRPr="0061436F">
        <w:rPr>
          <w:rFonts w:asciiTheme="minorHAnsi" w:hAnsiTheme="minorHAnsi" w:cstheme="minorHAnsi"/>
          <w:b/>
          <w:sz w:val="18"/>
          <w:szCs w:val="18"/>
        </w:rPr>
        <w:t>Mail or delivery</w:t>
      </w:r>
      <w:r w:rsidRPr="0061436F">
        <w:rPr>
          <w:rFonts w:asciiTheme="minorHAnsi" w:hAnsiTheme="minorHAnsi" w:cstheme="minorHAnsi"/>
          <w:sz w:val="18"/>
          <w:szCs w:val="18"/>
        </w:rPr>
        <w:t xml:space="preserve">: National Appeals Office, 1315 East-West Highway, Silver Spring, MD 20910; </w:t>
      </w:r>
      <w:r w:rsidRPr="0061436F">
        <w:rPr>
          <w:rFonts w:asciiTheme="minorHAnsi" w:hAnsiTheme="minorHAnsi" w:cstheme="minorHAnsi"/>
          <w:b/>
          <w:sz w:val="18"/>
          <w:szCs w:val="18"/>
        </w:rPr>
        <w:t>Fax</w:t>
      </w:r>
      <w:r w:rsidRPr="0061436F">
        <w:rPr>
          <w:rFonts w:asciiTheme="minorHAnsi" w:hAnsiTheme="minorHAnsi" w:cstheme="minorHAnsi"/>
          <w:sz w:val="18"/>
          <w:szCs w:val="18"/>
        </w:rPr>
        <w:t>: (307) 713-2384.</w:t>
      </w:r>
    </w:p>
    <w:p w:rsidR="00C53E02" w:rsidP="00C0738E" w14:paraId="2E30E9B1" w14:textId="77777777">
      <w:pPr>
        <w:widowControl/>
        <w:tabs>
          <w:tab w:val="left" w:pos="360"/>
          <w:tab w:val="left" w:pos="720"/>
          <w:tab w:val="left" w:pos="1080"/>
        </w:tabs>
        <w:rPr>
          <w:rFonts w:asciiTheme="minorHAnsi" w:hAnsiTheme="minorHAnsi" w:cstheme="minorHAnsi"/>
          <w:sz w:val="18"/>
          <w:szCs w:val="18"/>
        </w:rPr>
      </w:pPr>
      <w:r>
        <w:rPr>
          <w:rFonts w:asciiTheme="minorHAnsi" w:hAnsiTheme="minorHAnsi" w:cstheme="minorHAnsi"/>
          <w:sz w:val="18"/>
          <w:szCs w:val="18"/>
          <w:vertAlign w:val="superscript"/>
        </w:rPr>
        <w:t>4</w:t>
      </w:r>
      <w:r w:rsidRPr="0061436F" w:rsidR="00F64454">
        <w:rPr>
          <w:rFonts w:eastAsia="Calibri" w:asciiTheme="minorHAnsi" w:hAnsiTheme="minorHAnsi" w:cstheme="minorHAnsi"/>
          <w:sz w:val="18"/>
          <w:szCs w:val="18"/>
        </w:rPr>
        <w:t xml:space="preserve"> </w:t>
      </w:r>
      <w:r w:rsidRPr="0061436F" w:rsidR="00F64454">
        <w:rPr>
          <w:rFonts w:eastAsia="Calibri" w:asciiTheme="minorHAnsi" w:hAnsiTheme="minorHAnsi" w:cstheme="minorHAnsi"/>
          <w:b/>
          <w:sz w:val="18"/>
          <w:szCs w:val="18"/>
        </w:rPr>
        <w:t>Mail</w:t>
      </w:r>
      <w:r w:rsidRPr="0061436F" w:rsidR="00F64454">
        <w:rPr>
          <w:rFonts w:eastAsia="Calibri" w:asciiTheme="minorHAnsi" w:hAnsiTheme="minorHAnsi" w:cstheme="minorHAnsi"/>
          <w:sz w:val="18"/>
          <w:szCs w:val="18"/>
        </w:rPr>
        <w:t>: Alaska Department of Fish and Game, Division of Sport Fish – RTS, Logbook Program, 333 Raspberry Road, Anchorage, AK 99518-1565.</w:t>
      </w:r>
    </w:p>
    <w:p w:rsidR="00C53E02" w:rsidRPr="00E72C7D" w:rsidP="00C0738E" w14:paraId="258203F1" w14:textId="77777777">
      <w:pPr>
        <w:widowControl/>
        <w:tabs>
          <w:tab w:val="left" w:pos="360"/>
          <w:tab w:val="left" w:pos="720"/>
          <w:tab w:val="left" w:pos="1080"/>
        </w:tabs>
        <w:rPr>
          <w:rFonts w:asciiTheme="minorHAnsi" w:hAnsiTheme="minorHAnsi" w:cstheme="minorHAnsi"/>
          <w:sz w:val="18"/>
          <w:szCs w:val="18"/>
        </w:rPr>
        <w:sectPr w:rsidSect="00FB4224">
          <w:pgSz w:w="15840" w:h="12240" w:orient="landscape"/>
          <w:pgMar w:top="1080" w:right="720" w:bottom="1080" w:left="720" w:header="0" w:footer="720" w:gutter="0"/>
          <w:cols w:space="720"/>
          <w:docGrid w:linePitch="326"/>
        </w:sectPr>
      </w:pPr>
    </w:p>
    <w:p w:rsidR="00675A35" w:rsidP="00675A35" w14:paraId="07DE09D3" w14:textId="77777777">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p>
    <w:p w:rsidR="009D226E" w:rsidRPr="00FE2A5B" w:rsidP="00E170D1" w14:paraId="6C2B8BE3" w14:textId="77777777">
      <w:pPr>
        <w:widowControl/>
        <w:autoSpaceDE w:val="0"/>
        <w:autoSpaceDN w:val="0"/>
        <w:rPr>
          <w:rFonts w:eastAsia="Batang"/>
          <w:b/>
        </w:rPr>
      </w:pPr>
      <w:r w:rsidRPr="00283C4A">
        <w:rPr>
          <w:rFonts w:eastAsia="Batang"/>
          <w:b/>
        </w:rPr>
        <w:t>Changes to this Collection Since the Last Extension</w:t>
      </w:r>
    </w:p>
    <w:p w:rsidR="00E170D1" w:rsidP="00E170D1" w14:paraId="5DA2720F" w14:textId="77777777">
      <w:pPr>
        <w:widowControl/>
        <w:tabs>
          <w:tab w:val="left" w:pos="360"/>
          <w:tab w:val="left" w:pos="720"/>
          <w:tab w:val="left" w:pos="1080"/>
          <w:tab w:val="left" w:pos="1440"/>
        </w:tabs>
      </w:pPr>
    </w:p>
    <w:p w:rsidR="00285688" w:rsidP="00285688" w14:paraId="3BFE872F" w14:textId="77777777">
      <w:pPr>
        <w:widowControl/>
        <w:tabs>
          <w:tab w:val="left" w:pos="-1180"/>
          <w:tab w:val="left" w:pos="-720"/>
          <w:tab w:val="left" w:pos="0"/>
          <w:tab w:val="left" w:pos="360"/>
          <w:tab w:val="left" w:pos="720"/>
          <w:tab w:val="left" w:pos="1080"/>
        </w:tabs>
        <w:autoSpaceDE w:val="0"/>
        <w:autoSpaceDN w:val="0"/>
        <w:adjustRightInd w:val="0"/>
        <w:rPr>
          <w:rFonts w:eastAsia="Times New Roman"/>
        </w:rPr>
      </w:pPr>
      <w:r>
        <w:t>No changes have been made to this collection since the last extension of this information collection was approved by OMB in 2024.</w:t>
      </w:r>
    </w:p>
    <w:p w:rsidR="00285688" w:rsidRPr="00285688" w:rsidP="002012E6" w14:paraId="2E94F8D5" w14:textId="77777777">
      <w:pPr>
        <w:adjustRightInd w:val="0"/>
      </w:pPr>
    </w:p>
    <w:p w:rsidR="00F64454" w:rsidRPr="00CE1D0A" w:rsidP="002012E6" w14:paraId="241AC64B" w14:textId="77777777">
      <w:pPr>
        <w:widowControl/>
        <w:tabs>
          <w:tab w:val="left" w:pos="720"/>
          <w:tab w:val="left" w:pos="1080"/>
          <w:tab w:val="left" w:pos="1440"/>
        </w:tabs>
        <w:rPr>
          <w:b/>
        </w:rPr>
      </w:pPr>
      <w:r w:rsidRPr="00CE1D0A">
        <w:rPr>
          <w:b/>
        </w:rPr>
        <w:t>Application for Annual Registration of Charter Halibut Permit (CHP)</w:t>
      </w:r>
      <w:r w:rsidRPr="00E77975">
        <w:rPr>
          <w:b/>
          <w:color w:val="C00000"/>
        </w:rPr>
        <w:t xml:space="preserve"> </w:t>
      </w:r>
      <w:r w:rsidRPr="00FE1296" w:rsidR="00FE1296">
        <w:rPr>
          <w:b/>
        </w:rPr>
        <w:t>[No changes]</w:t>
      </w:r>
    </w:p>
    <w:p w:rsidR="002012E6" w:rsidP="002012E6" w14:paraId="758D2710" w14:textId="77777777">
      <w:pPr>
        <w:widowControl/>
        <w:tabs>
          <w:tab w:val="left" w:pos="720"/>
          <w:tab w:val="left" w:pos="1080"/>
          <w:tab w:val="left" w:pos="1440"/>
        </w:tabs>
      </w:pPr>
    </w:p>
    <w:p w:rsidR="00F64454" w:rsidRPr="00C24695" w:rsidP="002012E6" w14:paraId="3235E697" w14:textId="12F253FF">
      <w:pPr>
        <w:widowControl/>
        <w:tabs>
          <w:tab w:val="left" w:pos="720"/>
          <w:tab w:val="left" w:pos="1080"/>
          <w:tab w:val="left" w:pos="1440"/>
        </w:tabs>
      </w:pPr>
      <w:r w:rsidRPr="009169C2">
        <w:t>CHP holders in Areas 2C and 3A are required to annually register their CHPs</w:t>
      </w:r>
      <w:r w:rsidR="006C25A5">
        <w:t>.</w:t>
      </w:r>
      <w:r w:rsidR="002E6722">
        <w:t xml:space="preserve"> </w:t>
      </w:r>
      <w:r w:rsidRPr="00C24695">
        <w:t xml:space="preserve">This </w:t>
      </w:r>
      <w:r>
        <w:t>requirement</w:t>
      </w:r>
      <w:r w:rsidRPr="00C24695">
        <w:t xml:space="preserve"> does not include </w:t>
      </w:r>
      <w:r>
        <w:t xml:space="preserve">holders of </w:t>
      </w:r>
      <w:r w:rsidR="00F216C6">
        <w:t>military CHP</w:t>
      </w:r>
      <w:r w:rsidRPr="00C24695">
        <w:t xml:space="preserve">s (described below) or </w:t>
      </w:r>
      <w:r w:rsidR="00F216C6">
        <w:t>community CHP</w:t>
      </w:r>
      <w:r w:rsidRPr="00C24695">
        <w:t>s (approved under OMB Control No. 0648-0665)</w:t>
      </w:r>
      <w:r w:rsidRPr="00C24695">
        <w:rPr>
          <w:bCs/>
        </w:rPr>
        <w:t xml:space="preserve">, but does include transferrable CHPs held by </w:t>
      </w:r>
      <w:r w:rsidR="0073413A">
        <w:rPr>
          <w:bCs/>
        </w:rPr>
        <w:t>Community Quota Entities (</w:t>
      </w:r>
      <w:r w:rsidRPr="00C24695">
        <w:rPr>
          <w:bCs/>
        </w:rPr>
        <w:t>CQEs</w:t>
      </w:r>
      <w:r w:rsidR="0073413A">
        <w:rPr>
          <w:bCs/>
        </w:rPr>
        <w:t>)</w:t>
      </w:r>
      <w:r w:rsidRPr="00C24695">
        <w:rPr>
          <w:bCs/>
        </w:rPr>
        <w:t>.</w:t>
      </w:r>
      <w:r w:rsidRPr="002B30C9">
        <w:t xml:space="preserve"> </w:t>
      </w:r>
      <w:r>
        <w:t>The annual registration requirement was implemented in 2019 (</w:t>
      </w:r>
      <w:r w:rsidRPr="009169C2">
        <w:t>84 FR 64023; November 20, 2019</w:t>
      </w:r>
      <w:r>
        <w:t>)</w:t>
      </w:r>
      <w:r w:rsidR="00D40206">
        <w:t>.</w:t>
      </w:r>
      <w:r w:rsidRPr="006C25A5" w:rsidR="006C25A5">
        <w:t xml:space="preserve"> </w:t>
      </w:r>
      <w:r w:rsidRPr="009169C2">
        <w:t xml:space="preserve">Prior to </w:t>
      </w:r>
      <w:r w:rsidR="00D40206">
        <w:t>this action,</w:t>
      </w:r>
      <w:r w:rsidRPr="009169C2">
        <w:t xml:space="preserve"> a CHP remained valid until amended, revoked, suspended, or superseded by a more recent version issued by NMFS.</w:t>
      </w:r>
    </w:p>
    <w:p w:rsidR="00F64454" w:rsidRPr="00C24695" w:rsidP="00F64454" w14:paraId="58DC034C" w14:textId="77777777">
      <w:pPr>
        <w:widowControl/>
        <w:tabs>
          <w:tab w:val="left" w:pos="720"/>
          <w:tab w:val="left" w:pos="1080"/>
          <w:tab w:val="left" w:pos="1440"/>
        </w:tabs>
      </w:pPr>
    </w:p>
    <w:p w:rsidR="00F64454" w:rsidP="00F64454" w14:paraId="0B776FA7" w14:textId="13488D3F">
      <w:pPr>
        <w:widowControl/>
        <w:tabs>
          <w:tab w:val="left" w:pos="720"/>
          <w:tab w:val="left" w:pos="1080"/>
          <w:tab w:val="left" w:pos="1440"/>
        </w:tabs>
      </w:pPr>
      <w:r w:rsidRPr="00C24695">
        <w:t xml:space="preserve">The registration process provides a systematic way </w:t>
      </w:r>
      <w:r w:rsidR="00585AF2">
        <w:t xml:space="preserve">for NMFS </w:t>
      </w:r>
      <w:r w:rsidRPr="00C24695">
        <w:t xml:space="preserve">to update information on holders of transferrable CHPs, improve enforcement of CHP usage on the water, and facilitate the retirement of non-transferrable CHPs. </w:t>
      </w:r>
      <w:r>
        <w:t xml:space="preserve">Without this, there are limited tools available to ensure that only valid CHPs are being used in the fishery. </w:t>
      </w:r>
    </w:p>
    <w:p w:rsidR="00F64454" w:rsidRPr="00C24695" w:rsidP="00F64454" w14:paraId="00030282" w14:textId="77777777">
      <w:pPr>
        <w:widowControl/>
        <w:tabs>
          <w:tab w:val="left" w:pos="720"/>
          <w:tab w:val="left" w:pos="1080"/>
          <w:tab w:val="left" w:pos="1440"/>
        </w:tabs>
      </w:pPr>
    </w:p>
    <w:p w:rsidR="00F64454" w:rsidRPr="00C24695" w:rsidP="00F64454" w14:paraId="0E83E87B" w14:textId="77777777">
      <w:pPr>
        <w:widowControl/>
        <w:tabs>
          <w:tab w:val="left" w:pos="720"/>
          <w:tab w:val="left" w:pos="1080"/>
          <w:tab w:val="left" w:pos="1440"/>
        </w:tabs>
      </w:pPr>
      <w:r>
        <w:t>A</w:t>
      </w:r>
      <w:r w:rsidRPr="00C24695">
        <w:t xml:space="preserve"> CHP </w:t>
      </w:r>
      <w:r>
        <w:t>is</w:t>
      </w:r>
      <w:r w:rsidRPr="00C24695">
        <w:t xml:space="preserve"> valid </w:t>
      </w:r>
      <w:r>
        <w:t xml:space="preserve">only </w:t>
      </w:r>
      <w:r w:rsidRPr="00C24695">
        <w:t>for the calendar year for which it is registered</w:t>
      </w:r>
      <w:r>
        <w:t xml:space="preserve"> with NMFS</w:t>
      </w:r>
      <w:r w:rsidRPr="00C24695">
        <w:t xml:space="preserve">. CHP holders may register their permits for the season any time after January 1 of that year. </w:t>
      </w:r>
    </w:p>
    <w:p w:rsidR="00F64454" w:rsidRPr="00C24695" w:rsidP="00F64454" w14:paraId="757A7373" w14:textId="77777777">
      <w:pPr>
        <w:widowControl/>
        <w:tabs>
          <w:tab w:val="left" w:pos="720"/>
          <w:tab w:val="left" w:pos="1080"/>
          <w:tab w:val="left" w:pos="1440"/>
        </w:tabs>
      </w:pPr>
    </w:p>
    <w:p w:rsidR="00F64454" w:rsidRPr="00C24695" w:rsidP="00F64454" w14:paraId="75ABF65A" w14:textId="77777777">
      <w:pPr>
        <w:widowControl/>
        <w:tabs>
          <w:tab w:val="left" w:pos="720"/>
          <w:tab w:val="left" w:pos="1080"/>
          <w:tab w:val="left" w:pos="1440"/>
        </w:tabs>
      </w:pPr>
      <w:r w:rsidRPr="00C24695">
        <w:t xml:space="preserve">There is no deadline for registration of a CHP; however, vessel operators in Areas 2C and 3A must have an original, valid CHP on board during every charter vessel fishing trip on which Pacific halibut are caught and retained. A halibut charter operator </w:t>
      </w:r>
      <w:r w:rsidR="00D40206">
        <w:t>must</w:t>
      </w:r>
      <w:r w:rsidRPr="00C24695">
        <w:t xml:space="preserve"> ensure that a registered, valid CHP is in </w:t>
      </w:r>
      <w:r w:rsidR="00D40206">
        <w:t>their</w:t>
      </w:r>
      <w:r w:rsidRPr="00C24695">
        <w:t xml:space="preserve"> possession before conducting a charter halibut fishing trip. </w:t>
      </w:r>
    </w:p>
    <w:p w:rsidR="00F64454" w:rsidRPr="00C24695" w:rsidP="00F64454" w14:paraId="6116CEC2" w14:textId="77777777">
      <w:pPr>
        <w:keepNext/>
        <w:widowControl/>
        <w:tabs>
          <w:tab w:val="left" w:pos="720"/>
          <w:tab w:val="left" w:pos="1080"/>
          <w:tab w:val="left" w:pos="1440"/>
        </w:tabs>
      </w:pPr>
    </w:p>
    <w:p w:rsidR="00F64454" w:rsidP="00F64454" w14:paraId="4306D041" w14:textId="77777777">
      <w:pPr>
        <w:widowControl/>
        <w:tabs>
          <w:tab w:val="left" w:pos="720"/>
          <w:tab w:val="left" w:pos="1080"/>
          <w:tab w:val="left" w:pos="1440"/>
        </w:tabs>
      </w:pPr>
      <w:r w:rsidRPr="00C24695">
        <w:t>T</w:t>
      </w:r>
      <w:r>
        <w:t>his</w:t>
      </w:r>
      <w:r w:rsidRPr="00C24695">
        <w:t xml:space="preserve"> application collects </w:t>
      </w:r>
      <w:r>
        <w:t xml:space="preserve">permit holder information, </w:t>
      </w:r>
      <w:r w:rsidRPr="00D1576D">
        <w:t>CHP identification, CHP ownership</w:t>
      </w:r>
      <w:r>
        <w:t xml:space="preserve"> </w:t>
      </w:r>
      <w:r w:rsidRPr="00D1576D">
        <w:t>and affiliation</w:t>
      </w:r>
      <w:r>
        <w:t xml:space="preserve"> information</w:t>
      </w:r>
      <w:r w:rsidRPr="00D1576D">
        <w:t xml:space="preserve">, </w:t>
      </w:r>
      <w:r>
        <w:t>and</w:t>
      </w:r>
      <w:r w:rsidRPr="00D1576D">
        <w:t xml:space="preserve"> </w:t>
      </w:r>
      <w:r>
        <w:t xml:space="preserve">a </w:t>
      </w:r>
      <w:r w:rsidRPr="00D1576D">
        <w:t xml:space="preserve">question </w:t>
      </w:r>
      <w:r>
        <w:t xml:space="preserve">regarding whether financial compensation was received for allowing another person to use the CHP in the previous fishing year. </w:t>
      </w:r>
    </w:p>
    <w:p w:rsidR="00F64454" w:rsidP="00F64454" w14:paraId="7770170A" w14:textId="77777777">
      <w:pPr>
        <w:keepNext/>
        <w:widowControl/>
        <w:tabs>
          <w:tab w:val="left" w:pos="720"/>
          <w:tab w:val="left" w:pos="1080"/>
          <w:tab w:val="left" w:pos="1440"/>
        </w:tabs>
      </w:pPr>
    </w:p>
    <w:p w:rsidR="00F64454" w:rsidP="002012E6" w14:paraId="2230DB23" w14:textId="77777777">
      <w:pPr>
        <w:widowControl/>
        <w:tabs>
          <w:tab w:val="left" w:pos="720"/>
          <w:tab w:val="left" w:pos="1080"/>
          <w:tab w:val="left" w:pos="1440"/>
        </w:tabs>
      </w:pPr>
      <w:r w:rsidRPr="003E6A27">
        <w:rPr>
          <w:bCs/>
        </w:rPr>
        <w:t xml:space="preserve">A CHP holder submits a separate registration form for each CHP with a unique ownership structure. CHPs with the identical ownership and affiliation information may be registered on the same form. </w:t>
      </w:r>
      <w:r w:rsidR="00771BF3">
        <w:rPr>
          <w:bCs/>
        </w:rPr>
        <w:t>“</w:t>
      </w:r>
    </w:p>
    <w:p w:rsidR="004109A6" w:rsidRPr="00C24695" w:rsidP="002012E6" w14:paraId="475394F9" w14:textId="77777777">
      <w:pPr>
        <w:widowControl/>
        <w:tabs>
          <w:tab w:val="left" w:pos="720"/>
          <w:tab w:val="left" w:pos="1080"/>
          <w:tab w:val="left" w:pos="1440"/>
        </w:tabs>
      </w:pPr>
    </w:p>
    <w:p w:rsidR="00F64454" w:rsidRPr="00C0394F" w:rsidP="002012E6" w14:paraId="6C86E454" w14:textId="77777777">
      <w:pPr>
        <w:keepNext/>
        <w:widowControl/>
        <w:tabs>
          <w:tab w:val="left" w:pos="720"/>
          <w:tab w:val="left" w:pos="1080"/>
          <w:tab w:val="left" w:pos="1440"/>
        </w:tabs>
        <w:rPr>
          <w:b/>
          <w:color w:val="C00000"/>
        </w:rPr>
      </w:pPr>
      <w:r w:rsidRPr="00CE1D0A">
        <w:rPr>
          <w:b/>
        </w:rPr>
        <w:t>Application for Transfer of Charter Halibut Permit (CHP</w:t>
      </w:r>
      <w:r w:rsidRPr="00FE1296">
        <w:rPr>
          <w:b/>
        </w:rPr>
        <w:t xml:space="preserve">) </w:t>
      </w:r>
      <w:r w:rsidRPr="00FE1296" w:rsidR="00C0394F">
        <w:rPr>
          <w:b/>
        </w:rPr>
        <w:t>[</w:t>
      </w:r>
      <w:r w:rsidRPr="00FE1296" w:rsidR="00FE1296">
        <w:rPr>
          <w:b/>
        </w:rPr>
        <w:t>No changes</w:t>
      </w:r>
      <w:r w:rsidRPr="00FE1296" w:rsidR="00C0394F">
        <w:rPr>
          <w:b/>
        </w:rPr>
        <w:t>]</w:t>
      </w:r>
    </w:p>
    <w:p w:rsidR="002012E6" w:rsidP="002012E6" w14:paraId="4271BB5D" w14:textId="77777777">
      <w:pPr>
        <w:widowControl/>
        <w:tabs>
          <w:tab w:val="left" w:pos="360"/>
          <w:tab w:val="left" w:pos="720"/>
          <w:tab w:val="left" w:pos="1080"/>
        </w:tabs>
      </w:pPr>
    </w:p>
    <w:p w:rsidR="00F64454" w:rsidRPr="002F6485" w:rsidP="002012E6" w14:paraId="0DF25C7C" w14:textId="3AC8BFC5">
      <w:pPr>
        <w:widowControl/>
        <w:tabs>
          <w:tab w:val="left" w:pos="360"/>
          <w:tab w:val="left" w:pos="720"/>
          <w:tab w:val="left" w:pos="1080"/>
        </w:tabs>
      </w:pPr>
      <w:r w:rsidRPr="002F6485">
        <w:t xml:space="preserve">The application period and initial issuance of CHPs ended in 2010 (other than for </w:t>
      </w:r>
      <w:r w:rsidR="00F216C6">
        <w:t>military CHP</w:t>
      </w:r>
      <w:r w:rsidRPr="002F6485">
        <w:t xml:space="preserve">s, see below, and </w:t>
      </w:r>
      <w:r w:rsidR="00F216C6">
        <w:t>community CHP</w:t>
      </w:r>
      <w:r w:rsidRPr="002F6485">
        <w:t>s, see OMB Control No. 0648-0665); therefore, a CHP may be obtained only through transfer. The CHPs were issued as either transferrable or non-transferrable, based on certain minimum participation criteria. Non-transferrable CHPs are invalid once the permit holder dies or the holding entity dissolves, or new shareholders or partners are added to the business.</w:t>
      </w:r>
    </w:p>
    <w:p w:rsidR="00F64454" w:rsidRPr="002F6485" w:rsidP="00F64454" w14:paraId="25D2BF2A" w14:textId="77777777">
      <w:pPr>
        <w:widowControl/>
        <w:tabs>
          <w:tab w:val="left" w:pos="360"/>
          <w:tab w:val="left" w:pos="720"/>
          <w:tab w:val="left" w:pos="1080"/>
        </w:tabs>
      </w:pPr>
    </w:p>
    <w:p w:rsidR="00F64454" w:rsidP="00F64454" w14:paraId="20FC77FD" w14:textId="028667EE">
      <w:pPr>
        <w:widowControl/>
        <w:tabs>
          <w:tab w:val="left" w:pos="360"/>
          <w:tab w:val="left" w:pos="720"/>
          <w:tab w:val="left" w:pos="1080"/>
        </w:tabs>
      </w:pPr>
      <w:r>
        <w:t xml:space="preserve">The application form collects identification information of the CHP(s) to be transferred; transferor and transferee identification and contact information; transferee ownership and affiliation information; and transaction information. This application </w:t>
      </w:r>
      <w:r w:rsidRPr="00D36E4E">
        <w:t>requires return of the original CHP</w:t>
      </w:r>
      <w:r>
        <w:t>(s)</w:t>
      </w:r>
      <w:r w:rsidRPr="00D36E4E">
        <w:t>.</w:t>
      </w:r>
    </w:p>
    <w:p w:rsidR="00F64454" w:rsidP="00F64454" w14:paraId="1093F490" w14:textId="77777777">
      <w:pPr>
        <w:widowControl/>
        <w:tabs>
          <w:tab w:val="left" w:pos="360"/>
          <w:tab w:val="left" w:pos="720"/>
          <w:tab w:val="left" w:pos="1080"/>
        </w:tabs>
      </w:pPr>
    </w:p>
    <w:p w:rsidR="00F64454" w:rsidP="00F64454" w14:paraId="1719EF03" w14:textId="77777777">
      <w:pPr>
        <w:widowControl/>
        <w:tabs>
          <w:tab w:val="left" w:pos="360"/>
          <w:tab w:val="left" w:pos="720"/>
          <w:tab w:val="left" w:pos="1080"/>
          <w:tab w:val="left" w:pos="1440"/>
        </w:tabs>
      </w:pPr>
      <w:r w:rsidRPr="008F471C">
        <w:t xml:space="preserve">This application is not used by holders of </w:t>
      </w:r>
      <w:r w:rsidR="00F216C6">
        <w:t>military CHP</w:t>
      </w:r>
      <w:r w:rsidRPr="008F471C">
        <w:t xml:space="preserve">s or </w:t>
      </w:r>
      <w:r w:rsidR="00F216C6">
        <w:t>community CHP</w:t>
      </w:r>
      <w:r w:rsidRPr="008F471C">
        <w:t xml:space="preserve">s. </w:t>
      </w:r>
      <w:r w:rsidR="00F216C6">
        <w:t>Military CHP</w:t>
      </w:r>
      <w:r w:rsidRPr="008F471C">
        <w:t xml:space="preserve">s are non-transferrable, and transferors of </w:t>
      </w:r>
      <w:r w:rsidR="00F216C6">
        <w:t>community CHP</w:t>
      </w:r>
      <w:r w:rsidRPr="008F471C">
        <w:t>s use a separate application approved under OMB Control No. 0648-0665.</w:t>
      </w:r>
    </w:p>
    <w:p w:rsidR="00E170D1" w:rsidRPr="002F6485" w:rsidP="002012E6" w14:paraId="58F3107E" w14:textId="77777777">
      <w:pPr>
        <w:widowControl/>
        <w:tabs>
          <w:tab w:val="left" w:pos="360"/>
          <w:tab w:val="left" w:pos="720"/>
          <w:tab w:val="left" w:pos="1080"/>
          <w:tab w:val="left" w:pos="1440"/>
        </w:tabs>
      </w:pPr>
    </w:p>
    <w:p w:rsidR="00F64454" w:rsidRPr="00CE1D0A" w:rsidP="002012E6" w14:paraId="7FCC99C5" w14:textId="77777777">
      <w:pPr>
        <w:widowControl/>
        <w:tabs>
          <w:tab w:val="left" w:pos="720"/>
          <w:tab w:val="left" w:pos="1080"/>
          <w:tab w:val="left" w:pos="1440"/>
        </w:tabs>
        <w:rPr>
          <w:b/>
        </w:rPr>
      </w:pPr>
      <w:r w:rsidRPr="00CE1D0A">
        <w:rPr>
          <w:b/>
        </w:rPr>
        <w:t xml:space="preserve">Application for Military Charter Halibut Permit </w:t>
      </w:r>
      <w:r w:rsidRPr="00FE1296" w:rsidR="00FE1296">
        <w:rPr>
          <w:b/>
        </w:rPr>
        <w:t>[No changes]</w:t>
      </w:r>
    </w:p>
    <w:p w:rsidR="002012E6" w:rsidP="002012E6" w14:paraId="671951D4" w14:textId="77777777">
      <w:pPr>
        <w:widowControl/>
        <w:tabs>
          <w:tab w:val="left" w:pos="360"/>
          <w:tab w:val="left" w:pos="720"/>
          <w:tab w:val="left" w:pos="1080"/>
        </w:tabs>
      </w:pPr>
    </w:p>
    <w:p w:rsidR="00F64454" w:rsidRPr="002F6485" w:rsidP="002012E6" w14:paraId="67341F43" w14:textId="670FE035">
      <w:pPr>
        <w:widowControl/>
        <w:tabs>
          <w:tab w:val="left" w:pos="360"/>
          <w:tab w:val="left" w:pos="720"/>
          <w:tab w:val="left" w:pos="1080"/>
        </w:tabs>
      </w:pPr>
      <w:r w:rsidRPr="002F6485">
        <w:t xml:space="preserve">A </w:t>
      </w:r>
      <w:r w:rsidR="00F216C6">
        <w:t>military CHP</w:t>
      </w:r>
      <w:r w:rsidRPr="002F6485">
        <w:t xml:space="preserve"> is available a</w:t>
      </w:r>
      <w:r w:rsidR="00290A82">
        <w:t>t no cost and is required for a</w:t>
      </w:r>
      <w:r w:rsidRPr="002F6485">
        <w:t xml:space="preserve"> </w:t>
      </w:r>
      <w:r w:rsidRPr="00290A82" w:rsidR="00290A82">
        <w:t xml:space="preserve">Morale, Welfare, and Recreation (MWR) Program of the U.S. Armed Services </w:t>
      </w:r>
      <w:r w:rsidRPr="002F6485">
        <w:t>to operate a charter halibut vessel in Areas 2C and 3A. Military CHPs do not require annual registration and do not expire</w:t>
      </w:r>
      <w:r>
        <w:t>.</w:t>
      </w:r>
    </w:p>
    <w:p w:rsidR="00F64454" w:rsidP="00F64454" w14:paraId="55A0418D" w14:textId="77777777">
      <w:pPr>
        <w:widowControl/>
        <w:tabs>
          <w:tab w:val="left" w:pos="360"/>
          <w:tab w:val="left" w:pos="720"/>
          <w:tab w:val="left" w:pos="1080"/>
        </w:tabs>
      </w:pPr>
    </w:p>
    <w:p w:rsidR="00F64454" w:rsidRPr="002F6485" w:rsidP="00F64454" w14:paraId="7FFFB3DB" w14:textId="77777777">
      <w:pPr>
        <w:widowControl/>
        <w:tabs>
          <w:tab w:val="left" w:pos="360"/>
          <w:tab w:val="left" w:pos="720"/>
          <w:tab w:val="left" w:pos="1080"/>
        </w:tabs>
      </w:pPr>
      <w:r w:rsidRPr="002F6485">
        <w:t xml:space="preserve">A </w:t>
      </w:r>
      <w:r w:rsidR="00F216C6">
        <w:t>military CHP</w:t>
      </w:r>
      <w:r w:rsidRPr="002F6485">
        <w:t xml:space="preserve"> is non-transferable, issued without angler endorsements, and is valid only in the regulatory area designated on the permit. An MWR Program may hold multiple </w:t>
      </w:r>
      <w:r w:rsidR="00F216C6">
        <w:t>military CHP</w:t>
      </w:r>
      <w:r w:rsidRPr="002F6485">
        <w:t>s; however, NMFS reserves the right to limit the number of permits.</w:t>
      </w:r>
    </w:p>
    <w:p w:rsidR="00F64454" w:rsidRPr="00253251" w:rsidP="00F64454" w14:paraId="0FA3DF82" w14:textId="77777777">
      <w:pPr>
        <w:widowControl/>
        <w:tabs>
          <w:tab w:val="left" w:pos="360"/>
          <w:tab w:val="left" w:pos="720"/>
          <w:tab w:val="left" w:pos="1080"/>
        </w:tabs>
      </w:pPr>
    </w:p>
    <w:p w:rsidR="00F64454" w:rsidP="00F64454" w14:paraId="1CC236F3" w14:textId="77777777">
      <w:pPr>
        <w:widowControl/>
        <w:tabs>
          <w:tab w:val="left" w:pos="720"/>
          <w:tab w:val="left" w:pos="1080"/>
          <w:tab w:val="left" w:pos="1440"/>
        </w:tabs>
      </w:pPr>
      <w:r w:rsidRPr="00253251">
        <w:t>Th</w:t>
      </w:r>
      <w:r>
        <w:t>e</w:t>
      </w:r>
      <w:r w:rsidRPr="00253251">
        <w:t xml:space="preserve"> information collected on this application includes the applicant’s name, business address, and branch of the U.S. military represented and the number of charter permits requested for each IPHC regulatory area. Additionally, official documentation </w:t>
      </w:r>
      <w:r>
        <w:t xml:space="preserve">must be attached </w:t>
      </w:r>
      <w:r w:rsidRPr="00253251">
        <w:t xml:space="preserve">showing the individual completing the application has the authority to apply for a </w:t>
      </w:r>
      <w:r w:rsidR="00F216C6">
        <w:t>military CHP</w:t>
      </w:r>
      <w:r w:rsidRPr="00253251">
        <w:t xml:space="preserve"> on behalf of the MWR Program.</w:t>
      </w:r>
    </w:p>
    <w:p w:rsidR="00C31C3B" w:rsidP="00F64454" w14:paraId="61C2CF02" w14:textId="77777777">
      <w:pPr>
        <w:widowControl/>
        <w:tabs>
          <w:tab w:val="left" w:pos="720"/>
          <w:tab w:val="left" w:pos="1080"/>
          <w:tab w:val="left" w:pos="1440"/>
        </w:tabs>
      </w:pPr>
    </w:p>
    <w:p w:rsidR="00F64454" w:rsidP="00C31C3B" w14:paraId="098C6B8D" w14:textId="77777777">
      <w:pPr>
        <w:widowControl/>
        <w:tabs>
          <w:tab w:val="left" w:pos="720"/>
          <w:tab w:val="left" w:pos="1080"/>
          <w:tab w:val="left" w:pos="1440"/>
        </w:tabs>
      </w:pPr>
      <w:r w:rsidRPr="00A77E68">
        <w:t xml:space="preserve">Three entities hold </w:t>
      </w:r>
      <w:r w:rsidR="00F216C6">
        <w:t>military CHP</w:t>
      </w:r>
      <w:r w:rsidRPr="00A77E68">
        <w:t xml:space="preserve">s: Eielson Air Force Base MWR Program, Seward Army Resort, and the U.S. Army MWR (Ft. Greely). NMFS has issued seven </w:t>
      </w:r>
      <w:r w:rsidR="00F216C6">
        <w:t>military CHP</w:t>
      </w:r>
      <w:r w:rsidRPr="00A77E68">
        <w:t>s, but none have been issued since 2012. For purpose</w:t>
      </w:r>
      <w:r>
        <w:t>s of this analysis, one response</w:t>
      </w:r>
      <w:r w:rsidRPr="00A77E68">
        <w:t xml:space="preserve"> is used</w:t>
      </w:r>
      <w:r>
        <w:t xml:space="preserve"> in the tables in Q12 and Q14</w:t>
      </w:r>
      <w:r w:rsidRPr="00A77E68">
        <w:t>.</w:t>
      </w:r>
    </w:p>
    <w:p w:rsidR="006563F2" w:rsidP="002012E6" w14:paraId="6B06C24F" w14:textId="77777777">
      <w:pPr>
        <w:widowControl/>
        <w:tabs>
          <w:tab w:val="left" w:pos="720"/>
          <w:tab w:val="left" w:pos="1080"/>
          <w:tab w:val="left" w:pos="1440"/>
        </w:tabs>
      </w:pPr>
    </w:p>
    <w:p w:rsidR="00ED3DED" w:rsidRPr="00B431BD" w:rsidP="002012E6" w14:paraId="7D59327A" w14:textId="77777777">
      <w:pPr>
        <w:adjustRightInd w:val="0"/>
        <w:rPr>
          <w:b/>
          <w:color w:val="C00000"/>
        </w:rPr>
      </w:pPr>
      <w:r w:rsidRPr="002A5D00">
        <w:rPr>
          <w:b/>
        </w:rPr>
        <w:t xml:space="preserve">Purchase </w:t>
      </w:r>
      <w:r w:rsidR="00327C38">
        <w:rPr>
          <w:b/>
        </w:rPr>
        <w:t>c</w:t>
      </w:r>
      <w:r w:rsidRPr="002A5D00">
        <w:rPr>
          <w:b/>
        </w:rPr>
        <w:t xml:space="preserve">harter </w:t>
      </w:r>
      <w:r w:rsidR="00327C38">
        <w:rPr>
          <w:b/>
        </w:rPr>
        <w:t>h</w:t>
      </w:r>
      <w:r w:rsidRPr="002A5D00" w:rsidR="00327C38">
        <w:rPr>
          <w:b/>
        </w:rPr>
        <w:t xml:space="preserve">alibut </w:t>
      </w:r>
      <w:r w:rsidR="00327C38">
        <w:rPr>
          <w:b/>
        </w:rPr>
        <w:t>s</w:t>
      </w:r>
      <w:r w:rsidRPr="002A5D00" w:rsidR="00327C38">
        <w:rPr>
          <w:b/>
        </w:rPr>
        <w:t xml:space="preserve">tamps </w:t>
      </w:r>
      <w:r w:rsidRPr="002A5D00">
        <w:rPr>
          <w:b/>
          <w:color w:val="C00000"/>
        </w:rPr>
        <w:t>[New]</w:t>
      </w:r>
    </w:p>
    <w:p w:rsidR="002012E6" w:rsidP="00B256A2" w14:paraId="1D97D5C7" w14:textId="77777777">
      <w:pPr>
        <w:widowControl/>
        <w:tabs>
          <w:tab w:val="left" w:pos="720"/>
          <w:tab w:val="left" w:pos="1080"/>
          <w:tab w:val="left" w:pos="1440"/>
        </w:tabs>
        <w:rPr>
          <w:rFonts w:eastAsia="Calibri"/>
        </w:rPr>
      </w:pPr>
    </w:p>
    <w:p w:rsidR="00B256A2" w:rsidP="00B256A2" w14:paraId="61F2742B" w14:textId="6530D63D">
      <w:pPr>
        <w:widowControl/>
        <w:tabs>
          <w:tab w:val="left" w:pos="720"/>
          <w:tab w:val="left" w:pos="1080"/>
          <w:tab w:val="left" w:pos="1440"/>
        </w:tabs>
      </w:pPr>
      <w:r>
        <w:rPr>
          <w:rFonts w:eastAsia="Calibri"/>
        </w:rPr>
        <w:t>T</w:t>
      </w:r>
      <w:r w:rsidRPr="00310131" w:rsidR="001835BB">
        <w:rPr>
          <w:rFonts w:eastAsia="Calibri"/>
        </w:rPr>
        <w:t>his rule (RIN 0648-</w:t>
      </w:r>
      <w:r w:rsidR="001835BB">
        <w:rPr>
          <w:rFonts w:eastAsia="Calibri"/>
        </w:rPr>
        <w:t xml:space="preserve">BN18) </w:t>
      </w:r>
      <w:r>
        <w:rPr>
          <w:rFonts w:eastAsia="Calibri"/>
        </w:rPr>
        <w:t>add</w:t>
      </w:r>
      <w:r w:rsidR="00BD0CB9">
        <w:rPr>
          <w:rFonts w:eastAsia="Calibri"/>
        </w:rPr>
        <w:t>s</w:t>
      </w:r>
      <w:r>
        <w:rPr>
          <w:rFonts w:eastAsia="Calibri"/>
        </w:rPr>
        <w:t xml:space="preserve"> </w:t>
      </w:r>
      <w:r w:rsidR="003A5586">
        <w:rPr>
          <w:rFonts w:eastAsia="Calibri"/>
        </w:rPr>
        <w:t xml:space="preserve">a new section, </w:t>
      </w:r>
      <w:r w:rsidR="001835BB">
        <w:rPr>
          <w:rFonts w:eastAsia="Calibri"/>
        </w:rPr>
        <w:t>50 CFR 679.46</w:t>
      </w:r>
      <w:r w:rsidR="003A5586">
        <w:rPr>
          <w:rFonts w:eastAsia="Calibri"/>
        </w:rPr>
        <w:t xml:space="preserve">, </w:t>
      </w:r>
      <w:r w:rsidR="003A5586">
        <w:t>that</w:t>
      </w:r>
      <w:r w:rsidR="001835BB">
        <w:t xml:space="preserve"> </w:t>
      </w:r>
      <w:r w:rsidRPr="008C788F" w:rsidR="008C788F">
        <w:t>require</w:t>
      </w:r>
      <w:r w:rsidR="001835BB">
        <w:t>s</w:t>
      </w:r>
      <w:r w:rsidRPr="008C788F" w:rsidR="008C788F">
        <w:t xml:space="preserve"> a </w:t>
      </w:r>
      <w:r>
        <w:t xml:space="preserve">charter halibut </w:t>
      </w:r>
      <w:r w:rsidRPr="008C788F" w:rsidR="008C788F">
        <w:t xml:space="preserve">stamp for all charter vessel anglers 18 years of age or older for each calendar day they intend to catch and retain halibut on a charter vessel in IPHC Regulatory Areas 2C and 3A. </w:t>
      </w:r>
      <w:r>
        <w:t xml:space="preserve">The </w:t>
      </w:r>
      <w:r w:rsidR="00BE5D51">
        <w:t>c</w:t>
      </w:r>
      <w:r>
        <w:t xml:space="preserve">harter halibut stamps must be obtained and applicable fees paid by persons who (1) have a valid registration with the </w:t>
      </w:r>
      <w:r w:rsidR="009914E5">
        <w:t>ADF&amp;G</w:t>
      </w:r>
      <w:r>
        <w:t xml:space="preserve"> to provide sport fishing guide services in Alaska on saltwater; and (2) hold a valid </w:t>
      </w:r>
      <w:r w:rsidR="003A5586">
        <w:t>CHP</w:t>
      </w:r>
      <w:r w:rsidR="00636322">
        <w:t xml:space="preserve">, a </w:t>
      </w:r>
      <w:r w:rsidR="00F216C6">
        <w:t>community CHP</w:t>
      </w:r>
      <w:r w:rsidR="00636322">
        <w:t xml:space="preserve">, or a </w:t>
      </w:r>
      <w:r w:rsidR="00F216C6">
        <w:t>military CHP</w:t>
      </w:r>
      <w:r>
        <w:t>.</w:t>
      </w:r>
    </w:p>
    <w:p w:rsidR="00041148" w:rsidP="00B256A2" w14:paraId="2D5F8D95" w14:textId="77777777">
      <w:pPr>
        <w:widowControl/>
        <w:tabs>
          <w:tab w:val="left" w:pos="720"/>
          <w:tab w:val="left" w:pos="1080"/>
          <w:tab w:val="left" w:pos="1440"/>
        </w:tabs>
      </w:pPr>
    </w:p>
    <w:p w:rsidR="00041148" w:rsidP="00041148" w14:paraId="45C75F8D" w14:textId="0E35A329">
      <w:pPr>
        <w:widowControl/>
        <w:tabs>
          <w:tab w:val="left" w:pos="720"/>
          <w:tab w:val="left" w:pos="1080"/>
          <w:tab w:val="left" w:pos="1440"/>
        </w:tabs>
      </w:pPr>
      <w:r>
        <w:t>The fee is $20.00 per stamp.</w:t>
      </w:r>
      <w:r w:rsidRPr="00B256A2">
        <w:t xml:space="preserve"> </w:t>
      </w:r>
      <w:r w:rsidRPr="00C93546">
        <w:t>Fee payment must occur prior to the end of the fishing year</w:t>
      </w:r>
      <w:r>
        <w:t>,</w:t>
      </w:r>
      <w:r w:rsidRPr="00C93546">
        <w:t xml:space="preserve"> and </w:t>
      </w:r>
      <w:r>
        <w:t xml:space="preserve">validation of the stamps (see </w:t>
      </w:r>
      <w:r w:rsidRPr="00C929DE">
        <w:t>ADF&amp;G Saltwater Spor</w:t>
      </w:r>
      <w:r>
        <w:t>t Fishing Charter Trip Logbook [</w:t>
      </w:r>
      <w:r w:rsidRPr="00C929DE">
        <w:t>Charter Logbook</w:t>
      </w:r>
      <w:r>
        <w:t xml:space="preserve">], below) </w:t>
      </w:r>
      <w:r w:rsidRPr="00C93546">
        <w:t>must occur before the charter vessel begins each charter vessel fishing trip.</w:t>
      </w:r>
      <w:r w:rsidRPr="007B5EA9">
        <w:t xml:space="preserve"> The $20.00 fee appl</w:t>
      </w:r>
      <w:r w:rsidR="00653CA5">
        <w:t>ies</w:t>
      </w:r>
      <w:r w:rsidRPr="007B5EA9">
        <w:t xml:space="preserve"> to each day a stamp is required for a</w:t>
      </w:r>
      <w:r>
        <w:t>n</w:t>
      </w:r>
      <w:r w:rsidRPr="007B5EA9">
        <w:t xml:space="preserve"> angler who intends to catch and retain halibut. </w:t>
      </w:r>
      <w:r w:rsidRPr="001A7A55" w:rsidR="000B6148">
        <w:t xml:space="preserve">The CHP holder </w:t>
      </w:r>
      <w:r w:rsidR="00653CA5">
        <w:t>will</w:t>
      </w:r>
      <w:r w:rsidRPr="001A7A55" w:rsidR="00653CA5">
        <w:t xml:space="preserve"> </w:t>
      </w:r>
      <w:r w:rsidRPr="001A7A55" w:rsidR="000B6148">
        <w:t xml:space="preserve">be responsible </w:t>
      </w:r>
      <w:r w:rsidRPr="00F050CF" w:rsidR="00F050CF">
        <w:t>for cr</w:t>
      </w:r>
      <w:r w:rsidR="00F050CF">
        <w:t>eating the eFish online account to purchase stamps</w:t>
      </w:r>
      <w:r w:rsidRPr="00F050CF" w:rsidR="00F050CF">
        <w:t xml:space="preserve"> </w:t>
      </w:r>
      <w:r w:rsidR="00F050CF">
        <w:t xml:space="preserve">and </w:t>
      </w:r>
      <w:r w:rsidRPr="001A7A55" w:rsidR="000B6148">
        <w:t>for ensuring that fee</w:t>
      </w:r>
      <w:r w:rsidR="00267DB7">
        <w:t xml:space="preserve">s are paid for the stamps. For </w:t>
      </w:r>
      <w:r w:rsidR="00F216C6">
        <w:t>military CHP</w:t>
      </w:r>
      <w:r w:rsidR="000B6148">
        <w:t>s</w:t>
      </w:r>
      <w:r w:rsidRPr="001A7A55" w:rsidR="000B6148">
        <w:t>, the MWR</w:t>
      </w:r>
      <w:r w:rsidR="00636322">
        <w:t xml:space="preserve"> Program</w:t>
      </w:r>
      <w:r w:rsidRPr="001A7A55" w:rsidR="000B6148">
        <w:t xml:space="preserve"> </w:t>
      </w:r>
      <w:r w:rsidR="00653CA5">
        <w:t>is</w:t>
      </w:r>
      <w:r w:rsidRPr="001A7A55" w:rsidR="000B6148">
        <w:t xml:space="preserve"> </w:t>
      </w:r>
      <w:r w:rsidR="00267DB7">
        <w:t xml:space="preserve">considered the CHP holder. For </w:t>
      </w:r>
      <w:r w:rsidR="00F216C6">
        <w:t>community CHP</w:t>
      </w:r>
      <w:r w:rsidR="000B6148">
        <w:t>s</w:t>
      </w:r>
      <w:r w:rsidRPr="001A7A55" w:rsidR="000B6148">
        <w:t xml:space="preserve">, the CQE </w:t>
      </w:r>
      <w:r w:rsidR="00653CA5">
        <w:t>is</w:t>
      </w:r>
      <w:r w:rsidRPr="001A7A55" w:rsidR="000B6148">
        <w:t xml:space="preserve"> considered the CHP holder. </w:t>
      </w:r>
      <w:r w:rsidRPr="001835BB" w:rsidR="000B6148">
        <w:t xml:space="preserve">A </w:t>
      </w:r>
      <w:r w:rsidR="000B6148">
        <w:t xml:space="preserve">CHP holder </w:t>
      </w:r>
      <w:r w:rsidR="00653CA5">
        <w:t>is</w:t>
      </w:r>
      <w:r w:rsidRPr="001835BB" w:rsidR="000B6148">
        <w:t xml:space="preserve"> responsible for purchasing, at minimum, the number of charter halibut stamps that are validated in a fishing year and to comply w</w:t>
      </w:r>
      <w:r w:rsidR="000B6148">
        <w:t>ith the requirements of 50 CFR 679.46</w:t>
      </w:r>
      <w:r w:rsidRPr="001835BB" w:rsidR="000B6148">
        <w:t>.</w:t>
      </w:r>
      <w:r w:rsidRPr="003C4BC5" w:rsidR="003C4BC5">
        <w:t xml:space="preserve"> If the number of stamp</w:t>
      </w:r>
      <w:r w:rsidR="003C4BC5">
        <w:t>s validated</w:t>
      </w:r>
      <w:r w:rsidRPr="003C4BC5" w:rsidR="003C4BC5">
        <w:t xml:space="preserve"> exceeds the number of stamps purchased on an account, then NMFS </w:t>
      </w:r>
      <w:r w:rsidR="00653CA5">
        <w:t>will</w:t>
      </w:r>
      <w:r w:rsidRPr="003C4BC5" w:rsidR="00653CA5">
        <w:t xml:space="preserve"> </w:t>
      </w:r>
      <w:r w:rsidRPr="003C4BC5" w:rsidR="003C4BC5">
        <w:t>notify the CHP holder and give them the opportunity to reconcile the account payments prior to the annual fee payment deadline (see Administrative Appeals, below).</w:t>
      </w:r>
    </w:p>
    <w:p w:rsidR="00B256A2" w:rsidP="00B256A2" w14:paraId="0CA97693" w14:textId="77777777">
      <w:pPr>
        <w:widowControl/>
        <w:tabs>
          <w:tab w:val="left" w:pos="720"/>
          <w:tab w:val="left" w:pos="1080"/>
          <w:tab w:val="left" w:pos="1440"/>
        </w:tabs>
      </w:pPr>
    </w:p>
    <w:p w:rsidR="00B256A2" w:rsidP="00C31C3B" w14:paraId="5C368A6A" w14:textId="1F7D004F">
      <w:pPr>
        <w:widowControl/>
        <w:tabs>
          <w:tab w:val="left" w:pos="720"/>
          <w:tab w:val="left" w:pos="1080"/>
          <w:tab w:val="left" w:pos="1440"/>
        </w:tabs>
      </w:pPr>
      <w:r>
        <w:t xml:space="preserve">The stamps </w:t>
      </w:r>
      <w:r w:rsidR="00653CA5">
        <w:t>are</w:t>
      </w:r>
      <w:r>
        <w:t xml:space="preserve"> electronic</w:t>
      </w:r>
      <w:r w:rsidR="002A5D00">
        <w:t xml:space="preserve"> and </w:t>
      </w:r>
      <w:r w:rsidR="00653CA5">
        <w:t xml:space="preserve">may </w:t>
      </w:r>
      <w:r w:rsidR="002A5D00">
        <w:t xml:space="preserve">be </w:t>
      </w:r>
      <w:r w:rsidRPr="008C788F" w:rsidR="000B6148">
        <w:t>purchase</w:t>
      </w:r>
      <w:r w:rsidR="002A5D00">
        <w:t>d at any time</w:t>
      </w:r>
      <w:r w:rsidRPr="008C788F" w:rsidR="000B6148">
        <w:t xml:space="preserve"> and </w:t>
      </w:r>
      <w:r w:rsidR="00267DB7">
        <w:t xml:space="preserve">in </w:t>
      </w:r>
      <w:r w:rsidR="002A5D00">
        <w:t>any quantity</w:t>
      </w:r>
      <w:r w:rsidRPr="002A5D00" w:rsidR="000B6148">
        <w:t xml:space="preserve">. </w:t>
      </w:r>
      <w:r w:rsidRPr="000B6148" w:rsidR="000B6148">
        <w:t>To purchase stam</w:t>
      </w:r>
      <w:r w:rsidR="00267DB7">
        <w:t>ps</w:t>
      </w:r>
      <w:r w:rsidRPr="000B6148" w:rsidR="000B6148">
        <w:t xml:space="preserve"> </w:t>
      </w:r>
      <w:r w:rsidR="000B6148">
        <w:t xml:space="preserve">a </w:t>
      </w:r>
      <w:r w:rsidRPr="000B6148" w:rsidR="000B6148">
        <w:t>CHP holder</w:t>
      </w:r>
      <w:r w:rsidR="000B6148">
        <w:t>, or their designee,</w:t>
      </w:r>
      <w:r w:rsidRPr="000B6148" w:rsidR="000B6148">
        <w:t xml:space="preserve"> access</w:t>
      </w:r>
      <w:r w:rsidR="00653CA5">
        <w:t>es</w:t>
      </w:r>
      <w:r w:rsidRPr="000B6148" w:rsidR="000B6148">
        <w:t xml:space="preserve"> eFISH using their user ID and temporary password issued by NMFS.</w:t>
      </w:r>
      <w:r w:rsidR="003A5586">
        <w:t xml:space="preserve"> </w:t>
      </w:r>
      <w:r w:rsidRPr="001A7A55" w:rsidR="001A7A55">
        <w:t xml:space="preserve">eFish </w:t>
      </w:r>
      <w:r w:rsidR="000B6148">
        <w:t xml:space="preserve">is NMFS Alaska Region’s secure, online Fisheries Information System and is </w:t>
      </w:r>
      <w:r w:rsidR="001A7A55">
        <w:t xml:space="preserve">currently </w:t>
      </w:r>
      <w:r w:rsidRPr="001A7A55" w:rsidR="001A7A55">
        <w:t xml:space="preserve">accessed by </w:t>
      </w:r>
      <w:r w:rsidR="000B6148">
        <w:t>CHP holders</w:t>
      </w:r>
      <w:r w:rsidRPr="001A7A55" w:rsidR="001A7A55">
        <w:t xml:space="preserve"> for a variety of purposes, including the annual registration of CHPs and recording the harvest of GAF. </w:t>
      </w:r>
    </w:p>
    <w:p w:rsidR="00A1520F" w:rsidP="00C31C3B" w14:paraId="3368FA5F" w14:textId="77777777">
      <w:pPr>
        <w:widowControl/>
        <w:tabs>
          <w:tab w:val="left" w:pos="720"/>
          <w:tab w:val="left" w:pos="1080"/>
          <w:tab w:val="left" w:pos="1440"/>
        </w:tabs>
      </w:pPr>
    </w:p>
    <w:p w:rsidR="00041148" w:rsidP="00041148" w14:paraId="5D59DDA2" w14:textId="77777777">
      <w:pPr>
        <w:widowControl/>
        <w:tabs>
          <w:tab w:val="left" w:pos="720"/>
          <w:tab w:val="left" w:pos="1080"/>
          <w:tab w:val="left" w:pos="1440"/>
        </w:tabs>
      </w:pPr>
      <w:r>
        <w:t>F</w:t>
      </w:r>
      <w:r w:rsidRPr="00F62478">
        <w:t xml:space="preserve">ee payments must be made electronically through eFISH in U.S. dollars by automated clearing house, credit card, or electronic check drawn on a U.S. bank account. Payment instructions are posted on the NMFS Alaska Region website. To </w:t>
      </w:r>
      <w:r>
        <w:t xml:space="preserve">pay the </w:t>
      </w:r>
      <w:r w:rsidRPr="00F62478">
        <w:t>fee, participants select the payments tab and select the link for the appropriate fee. The fee payment page summarizes their fee liability and transactions. After selecting “submit payment,” the participant is redirected to a pay.gov payment entry screen. The participant provides the following information in pay.gov: payment amount, billing address, account holder name, payment method, and information associated with the payment method.</w:t>
      </w:r>
    </w:p>
    <w:p w:rsidR="00041148" w:rsidP="00041148" w14:paraId="5B9888DC" w14:textId="77777777">
      <w:pPr>
        <w:widowControl/>
        <w:tabs>
          <w:tab w:val="left" w:pos="720"/>
          <w:tab w:val="left" w:pos="1080"/>
          <w:tab w:val="left" w:pos="1440"/>
        </w:tabs>
      </w:pPr>
    </w:p>
    <w:p w:rsidR="00041148" w:rsidP="00041148" w14:paraId="05C7472D" w14:textId="40902863">
      <w:pPr>
        <w:widowControl/>
        <w:tabs>
          <w:tab w:val="left" w:pos="720"/>
          <w:tab w:val="left" w:pos="1080"/>
          <w:tab w:val="left" w:pos="1440"/>
        </w:tabs>
      </w:pPr>
      <w:r>
        <w:t xml:space="preserve">NMFS </w:t>
      </w:r>
      <w:r w:rsidR="00653CA5">
        <w:t xml:space="preserve">will </w:t>
      </w:r>
      <w:r>
        <w:t xml:space="preserve">use </w:t>
      </w:r>
      <w:r w:rsidR="002A5D00">
        <w:t xml:space="preserve">the </w:t>
      </w:r>
      <w:r>
        <w:t>information</w:t>
      </w:r>
      <w:r w:rsidR="002A5D00">
        <w:t xml:space="preserve"> collected</w:t>
      </w:r>
      <w:r>
        <w:t xml:space="preserve"> to collect RQE Program fees, and administer and enforce the RQE P</w:t>
      </w:r>
      <w:r w:rsidRPr="00DE034A">
        <w:t xml:space="preserve">rogram that was requested by the charter vessel industry. </w:t>
      </w:r>
      <w:r w:rsidRPr="00041148">
        <w:t>The fee provide</w:t>
      </w:r>
      <w:r w:rsidR="00653CA5">
        <w:t>s</w:t>
      </w:r>
      <w:r w:rsidRPr="00041148">
        <w:t xml:space="preserve"> the RQE Program with meaningful funding that benefits the entire charter halibut sector while limiting the cost burden experienced by the individual CHP holders that pay the fee.</w:t>
      </w:r>
    </w:p>
    <w:p w:rsidR="00041148" w:rsidP="003A5586" w14:paraId="4902485D" w14:textId="77777777">
      <w:pPr>
        <w:widowControl/>
        <w:tabs>
          <w:tab w:val="left" w:pos="720"/>
          <w:tab w:val="left" w:pos="1080"/>
          <w:tab w:val="left" w:pos="1440"/>
        </w:tabs>
      </w:pPr>
    </w:p>
    <w:p w:rsidR="003A5586" w:rsidP="003A5586" w14:paraId="779EE868" w14:textId="22278F6D">
      <w:pPr>
        <w:widowControl/>
        <w:tabs>
          <w:tab w:val="left" w:pos="720"/>
          <w:tab w:val="left" w:pos="1080"/>
          <w:tab w:val="left" w:pos="1440"/>
        </w:tabs>
      </w:pPr>
      <w:r w:rsidRPr="00AE704B">
        <w:t xml:space="preserve">Once purchased, the stamps </w:t>
      </w:r>
      <w:r w:rsidR="00653CA5">
        <w:t>are</w:t>
      </w:r>
      <w:r w:rsidRPr="00AE704B">
        <w:t xml:space="preserve"> linked to the eFish account of the CHP holder that purchased them. Stamps </w:t>
      </w:r>
      <w:r>
        <w:t xml:space="preserve">are not transferrable and </w:t>
      </w:r>
      <w:r w:rsidRPr="00AE704B">
        <w:t>do not expire</w:t>
      </w:r>
      <w:r>
        <w:t xml:space="preserve">. Stamps that </w:t>
      </w:r>
      <w:r w:rsidRPr="00AE704B">
        <w:t>have not been validated by the end of the fishing year</w:t>
      </w:r>
      <w:r>
        <w:t xml:space="preserve"> </w:t>
      </w:r>
      <w:r w:rsidRPr="00AE704B">
        <w:t>roll over into the next fishing year. If a CHP is revoked or invalidated, the stamps remain linked to the account that held that CHP. Should another valid CHP be transferred to the person or entity associated with that eFish account, the stamps may then be used for the valid CHP.</w:t>
      </w:r>
    </w:p>
    <w:p w:rsidR="00DE034A" w:rsidP="00A1520F" w14:paraId="2646C8B5" w14:textId="77777777">
      <w:pPr>
        <w:widowControl/>
        <w:tabs>
          <w:tab w:val="left" w:pos="720"/>
          <w:tab w:val="left" w:pos="1080"/>
          <w:tab w:val="left" w:pos="1440"/>
        </w:tabs>
      </w:pPr>
    </w:p>
    <w:p w:rsidR="009D53EC" w:rsidP="00F050CF" w14:paraId="048E8307" w14:textId="62B6073C">
      <w:r w:rsidRPr="00DE034A">
        <w:t>NMFS expects that CHP holder</w:t>
      </w:r>
      <w:r>
        <w:t>s</w:t>
      </w:r>
      <w:r w:rsidRPr="00DE034A">
        <w:t xml:space="preserve"> </w:t>
      </w:r>
      <w:r w:rsidR="00653CA5">
        <w:t>will</w:t>
      </w:r>
      <w:r w:rsidRPr="00DE034A" w:rsidR="00653CA5">
        <w:t xml:space="preserve"> </w:t>
      </w:r>
      <w:r w:rsidRPr="00DE034A">
        <w:t>purchase stamps at least once per season, and likely at some periodic monthly or weekly interval</w:t>
      </w:r>
      <w:r>
        <w:t>. In Area 2C, 274 unique persons hold 529 CHPs. In Area 3A, 300 unique persons hold 426 CHPs</w:t>
      </w:r>
      <w:r w:rsidR="00267DB7">
        <w:t xml:space="preserve">. </w:t>
      </w:r>
      <w:r>
        <w:t>Not all of these persons and permits are active in any particular year.  On average, 247 businesses annually have been active in the charter fishery in Area 2C</w:t>
      </w:r>
      <w:r w:rsidR="00267DB7">
        <w:t>,</w:t>
      </w:r>
      <w:r>
        <w:t xml:space="preserve"> and 228 businesses annually have been active in Area 3A. </w:t>
      </w:r>
      <w:r w:rsidR="00267DB7">
        <w:t>A</w:t>
      </w:r>
      <w:r>
        <w:t xml:space="preserve"> total of 475 CHP holders annually are expected to have eFISH accounts and purchase stamps. The active businesses in Area 2C are expected to purchase and validate approximately 107,500 halibut stamps annually. The active businesses in Area 3A are expected to purchase and validate approximately 112,100 halibut stamps annually.</w:t>
      </w:r>
    </w:p>
    <w:p w:rsidR="009D53EC" w:rsidP="00A1520F" w14:paraId="6A454AA7" w14:textId="77777777">
      <w:pPr>
        <w:widowControl/>
        <w:tabs>
          <w:tab w:val="left" w:pos="720"/>
          <w:tab w:val="left" w:pos="1080"/>
          <w:tab w:val="left" w:pos="1440"/>
        </w:tabs>
      </w:pPr>
    </w:p>
    <w:p w:rsidR="00A1520F" w:rsidP="00A1520F" w14:paraId="7F4DE1D3" w14:textId="7C40834D">
      <w:pPr>
        <w:widowControl/>
        <w:tabs>
          <w:tab w:val="left" w:pos="720"/>
          <w:tab w:val="left" w:pos="1080"/>
          <w:tab w:val="left" w:pos="1440"/>
        </w:tabs>
      </w:pPr>
      <w:r>
        <w:t xml:space="preserve">The time burden is estimated </w:t>
      </w:r>
      <w:r w:rsidRPr="00DE034A">
        <w:t xml:space="preserve">at </w:t>
      </w:r>
      <w:r w:rsidRPr="00DE034A" w:rsidR="00DE034A">
        <w:t>5</w:t>
      </w:r>
      <w:r w:rsidRPr="00DE034A">
        <w:t xml:space="preserve"> minutes</w:t>
      </w:r>
      <w:r w:rsidR="00DE034A">
        <w:t xml:space="preserve"> to purchase charter halibut stamps</w:t>
      </w:r>
      <w:r w:rsidRPr="00DE034A">
        <w:t>.</w:t>
      </w:r>
      <w:r>
        <w:t xml:space="preserve"> </w:t>
      </w:r>
    </w:p>
    <w:p w:rsidR="00E92351" w:rsidP="002012E6" w14:paraId="69DD50D7" w14:textId="77777777">
      <w:pPr>
        <w:widowControl/>
      </w:pPr>
    </w:p>
    <w:p w:rsidR="00F64454" w:rsidRPr="00CE1D0A" w:rsidP="002012E6" w14:paraId="6A73253D" w14:textId="77777777">
      <w:pPr>
        <w:widowControl/>
        <w:rPr>
          <w:b/>
        </w:rPr>
      </w:pPr>
      <w:r w:rsidRPr="00CE1D0A">
        <w:rPr>
          <w:b/>
        </w:rPr>
        <w:t xml:space="preserve">Application for Transfer (Lease) </w:t>
      </w:r>
      <w:r w:rsidR="002D636A">
        <w:rPr>
          <w:b/>
        </w:rPr>
        <w:t>b</w:t>
      </w:r>
      <w:r w:rsidR="00CE1D0A">
        <w:rPr>
          <w:b/>
        </w:rPr>
        <w:t>e</w:t>
      </w:r>
      <w:r w:rsidRPr="00CE1D0A" w:rsidR="000E6278">
        <w:rPr>
          <w:b/>
        </w:rPr>
        <w:t xml:space="preserve">tween </w:t>
      </w:r>
      <w:r w:rsidRPr="00CE1D0A">
        <w:rPr>
          <w:b/>
        </w:rPr>
        <w:t xml:space="preserve">Individual Fishing Quota (IFQ) and Guided Angler Fish (GAF) and issuance of GAF permit </w:t>
      </w:r>
      <w:r w:rsidRPr="00FE1296" w:rsidR="00FE1296">
        <w:rPr>
          <w:b/>
        </w:rPr>
        <w:t>[No change]</w:t>
      </w:r>
    </w:p>
    <w:p w:rsidR="002012E6" w:rsidP="002012E6" w14:paraId="1DD7AC1C" w14:textId="77777777">
      <w:pPr>
        <w:widowControl/>
        <w:tabs>
          <w:tab w:val="left" w:pos="360"/>
          <w:tab w:val="left" w:pos="720"/>
          <w:tab w:val="left" w:pos="1080"/>
          <w:tab w:val="left" w:pos="1440"/>
        </w:tabs>
      </w:pPr>
    </w:p>
    <w:p w:rsidR="000F5741" w:rsidP="002012E6" w14:paraId="5E688CE5" w14:textId="2002933F">
      <w:pPr>
        <w:widowControl/>
        <w:tabs>
          <w:tab w:val="left" w:pos="360"/>
          <w:tab w:val="left" w:pos="720"/>
          <w:tab w:val="left" w:pos="1080"/>
          <w:tab w:val="left" w:pos="1440"/>
        </w:tabs>
      </w:pPr>
      <w:r w:rsidRPr="002F6485">
        <w:t xml:space="preserve">A </w:t>
      </w:r>
      <w:r>
        <w:t xml:space="preserve">person holding a </w:t>
      </w:r>
      <w:r w:rsidRPr="002F6485">
        <w:t xml:space="preserve">CHP or </w:t>
      </w:r>
      <w:r>
        <w:t>military CHP</w:t>
      </w:r>
      <w:r w:rsidRPr="002F6485">
        <w:t xml:space="preserve"> </w:t>
      </w:r>
      <w:r>
        <w:t>m</w:t>
      </w:r>
      <w:r w:rsidRPr="002F6485">
        <w:t>ay voluntarily participate in the GAF Program, which allows transfer of commercial halibut IFQ for use as GAF by charter vessel anglers</w:t>
      </w:r>
      <w:r w:rsidRPr="00C53640">
        <w:t xml:space="preserve"> to provide anglers an opportunity to harvest a number or size of halibut over and above the CSP restriction in place for Area 2C or 3A</w:t>
      </w:r>
      <w:r>
        <w:t xml:space="preserve">. </w:t>
      </w:r>
      <w:r w:rsidRPr="00525C2D">
        <w:t xml:space="preserve">Use of GAF and the associated GAF permit are voluntary, but the regulations require submittal and approval of a complete application for transfer in order to transfer between IFQ and GAF and for the CHP holder to receive a GAF permit. </w:t>
      </w:r>
    </w:p>
    <w:p w:rsidR="000F5741" w:rsidP="00F64454" w14:paraId="6BF21112" w14:textId="77777777">
      <w:pPr>
        <w:widowControl/>
        <w:tabs>
          <w:tab w:val="left" w:pos="360"/>
          <w:tab w:val="left" w:pos="720"/>
          <w:tab w:val="left" w:pos="1080"/>
          <w:tab w:val="left" w:pos="1440"/>
        </w:tabs>
      </w:pPr>
    </w:p>
    <w:p w:rsidR="00F64454" w:rsidRPr="002F6485" w:rsidP="00F64454" w14:paraId="4085BE40" w14:textId="77777777">
      <w:pPr>
        <w:widowControl/>
        <w:tabs>
          <w:tab w:val="left" w:pos="360"/>
          <w:tab w:val="left" w:pos="720"/>
          <w:tab w:val="left" w:pos="1080"/>
          <w:tab w:val="left" w:pos="1440"/>
        </w:tabs>
      </w:pPr>
      <w:r w:rsidRPr="002F6485">
        <w:t xml:space="preserve">On approval of the </w:t>
      </w:r>
      <w:r w:rsidRPr="00145783">
        <w:t xml:space="preserve">Application for Transfer </w:t>
      </w:r>
      <w:r w:rsidR="002D636A">
        <w:t>b</w:t>
      </w:r>
      <w:r w:rsidRPr="00145783">
        <w:t>etween IFQ and GAF</w:t>
      </w:r>
      <w:r w:rsidRPr="002F6485">
        <w:t xml:space="preserve">, NMFS issues a GAF permit to the CHP holder receiving GAF. </w:t>
      </w:r>
      <w:r w:rsidRPr="00286F69" w:rsidR="00286F69">
        <w:t xml:space="preserve">Some GAF transfers are “self-transfers;” that is, the same person </w:t>
      </w:r>
      <w:r w:rsidR="00286F69">
        <w:t>holds</w:t>
      </w:r>
      <w:r w:rsidRPr="00286F69" w:rsidR="00286F69">
        <w:t xml:space="preserve"> both the IFQ and the CHP and transfer</w:t>
      </w:r>
      <w:r w:rsidR="00286F69">
        <w:t>s</w:t>
      </w:r>
      <w:r w:rsidRPr="00286F69" w:rsidR="00286F69">
        <w:t xml:space="preserve"> the IFQ to themselves.</w:t>
      </w:r>
      <w:r w:rsidR="00286F69">
        <w:t xml:space="preserve"> </w:t>
      </w:r>
      <w:r w:rsidRPr="002F6485">
        <w:t>A GAF permit authorizes the CHP holder designated on that GAF permit to allow charter vessel anglers to retain halibut in excess of the effective CSP restriction, up to the limits on GAF use at § 300.65(c)(5)(iv).</w:t>
      </w:r>
      <w:r w:rsidR="00154F79">
        <w:t xml:space="preserve"> </w:t>
      </w:r>
    </w:p>
    <w:p w:rsidR="00F64454" w:rsidRPr="002F6485" w:rsidP="00F64454" w14:paraId="65E06780" w14:textId="77777777">
      <w:pPr>
        <w:widowControl/>
        <w:tabs>
          <w:tab w:val="left" w:pos="360"/>
          <w:tab w:val="left" w:pos="720"/>
          <w:tab w:val="left" w:pos="1080"/>
          <w:tab w:val="left" w:pos="1440"/>
        </w:tabs>
      </w:pPr>
      <w:r w:rsidRPr="002F6485">
        <w:t xml:space="preserve"> </w:t>
      </w:r>
    </w:p>
    <w:p w:rsidR="00F64454" w:rsidRPr="002F6485" w:rsidP="00F64454" w14:paraId="6CEF99ED" w14:textId="77777777">
      <w:pPr>
        <w:widowControl/>
        <w:tabs>
          <w:tab w:val="left" w:pos="360"/>
          <w:tab w:val="left" w:pos="720"/>
          <w:tab w:val="left" w:pos="1080"/>
          <w:tab w:val="left" w:pos="1440"/>
        </w:tabs>
      </w:pPr>
      <w:r w:rsidRPr="002F6485">
        <w:t xml:space="preserve">CHP holders requesting GAF must specify the CHP to which the GAF permit will be linked. Each GAF permit is linked to only one CHP or </w:t>
      </w:r>
      <w:r w:rsidR="00F216C6">
        <w:t>military CHP</w:t>
      </w:r>
      <w:r w:rsidRPr="002F6485">
        <w:t xml:space="preserve"> in Area 2C or Area 3A, and the link may not be changed during that year. NMFS will issue a revised GAF permit to the GAF permit holder each time during the year that it approves a transfer between IFQ and GAF for that GAF permit. </w:t>
      </w:r>
    </w:p>
    <w:p w:rsidR="00F64454" w:rsidRPr="002F6485" w:rsidP="00F64454" w14:paraId="3EF0FFAD" w14:textId="77777777">
      <w:pPr>
        <w:widowControl/>
        <w:tabs>
          <w:tab w:val="left" w:pos="360"/>
          <w:tab w:val="left" w:pos="720"/>
          <w:tab w:val="left" w:pos="1080"/>
          <w:tab w:val="left" w:pos="1440"/>
        </w:tabs>
      </w:pPr>
    </w:p>
    <w:p w:rsidR="00F64454" w:rsidRPr="002F6485" w:rsidP="00F64454" w14:paraId="3E8D5CF3" w14:textId="77777777">
      <w:pPr>
        <w:widowControl/>
        <w:tabs>
          <w:tab w:val="left" w:pos="360"/>
          <w:tab w:val="left" w:pos="720"/>
          <w:tab w:val="left" w:pos="1080"/>
          <w:tab w:val="left" w:pos="1440"/>
        </w:tabs>
      </w:pPr>
      <w:r w:rsidRPr="002F6485">
        <w:t xml:space="preserve">CQEs that hold </w:t>
      </w:r>
      <w:r w:rsidR="00F216C6">
        <w:t>community CHP</w:t>
      </w:r>
      <w:r w:rsidRPr="002F6485">
        <w:t>s are also eligible to receive IFQ as GAF. The application for transfer between IFQ and GAF by a CQE is approved under OMB Control No. 0648-0665.</w:t>
      </w:r>
    </w:p>
    <w:p w:rsidR="00F64454" w:rsidRPr="002F6485" w:rsidP="00F64454" w14:paraId="5033AC98" w14:textId="77777777">
      <w:pPr>
        <w:widowControl/>
        <w:tabs>
          <w:tab w:val="left" w:pos="360"/>
          <w:tab w:val="left" w:pos="720"/>
          <w:tab w:val="left" w:pos="1080"/>
          <w:tab w:val="left" w:pos="1440"/>
        </w:tabs>
      </w:pPr>
    </w:p>
    <w:p w:rsidR="00F64454" w:rsidRPr="002F6485" w:rsidP="00F64454" w14:paraId="697126A5" w14:textId="77777777">
      <w:pPr>
        <w:widowControl/>
        <w:tabs>
          <w:tab w:val="left" w:pos="360"/>
          <w:tab w:val="left" w:pos="720"/>
          <w:tab w:val="left" w:pos="1080"/>
          <w:tab w:val="left" w:pos="1440"/>
        </w:tabs>
      </w:pPr>
      <w:r w:rsidRPr="002F6485">
        <w:t xml:space="preserve">GAF permits expire at 11:59 pm on the day prior to the automatic GAF return date. NMFS returns unused GAF to the IFQ permit from which it originated 15 days before the end of the commercial halibut fishing season for that year. GAF may not be retained by charter vessel anglers on or after this return date. No application is required for the automatic return of unused GAF. </w:t>
      </w:r>
    </w:p>
    <w:p w:rsidR="00F64454" w:rsidRPr="002F6485" w:rsidP="00F64454" w14:paraId="34E48991" w14:textId="77777777">
      <w:pPr>
        <w:widowControl/>
        <w:tabs>
          <w:tab w:val="left" w:pos="360"/>
          <w:tab w:val="left" w:pos="720"/>
          <w:tab w:val="left" w:pos="1080"/>
          <w:tab w:val="left" w:pos="1440"/>
        </w:tabs>
      </w:pPr>
    </w:p>
    <w:p w:rsidR="00F64454" w:rsidRPr="002F6485" w:rsidP="00F64454" w14:paraId="3E7E62A8" w14:textId="77777777">
      <w:pPr>
        <w:widowControl/>
        <w:tabs>
          <w:tab w:val="left" w:pos="360"/>
          <w:tab w:val="left" w:pos="720"/>
          <w:tab w:val="left" w:pos="1080"/>
          <w:tab w:val="left" w:pos="1440"/>
        </w:tabs>
      </w:pPr>
      <w:r w:rsidRPr="002F6485">
        <w:t>GAF permit holders who wish to return unused GAF prior to the automatic GAF return date may use this application to transfer the GAF back to the IFQ permit holder from which it was obtained. Applications to return unused GAF are accepted only from August 1 through August 31.</w:t>
      </w:r>
    </w:p>
    <w:p w:rsidR="00F64454" w:rsidRPr="002F6485" w:rsidP="00F64454" w14:paraId="119B9EDA" w14:textId="77777777">
      <w:pPr>
        <w:widowControl/>
        <w:tabs>
          <w:tab w:val="left" w:pos="360"/>
          <w:tab w:val="left" w:pos="720"/>
          <w:tab w:val="left" w:pos="1080"/>
          <w:tab w:val="left" w:pos="1440"/>
        </w:tabs>
      </w:pPr>
    </w:p>
    <w:p w:rsidR="00F64454" w:rsidRPr="002F6485" w:rsidP="00F64454" w14:paraId="1A29C02E" w14:textId="77777777">
      <w:pPr>
        <w:widowControl/>
        <w:tabs>
          <w:tab w:val="left" w:pos="360"/>
          <w:tab w:val="left" w:pos="720"/>
          <w:tab w:val="left" w:pos="1080"/>
          <w:tab w:val="left" w:pos="1440"/>
        </w:tabs>
      </w:pPr>
      <w:r w:rsidRPr="002F6485">
        <w:t xml:space="preserve">NMFS will not approve an application to transfer IFQ to GAF before annual IFQ is issued for each year or after one month prior to the closing of the commercial halibut fishing season for that year. Applications to transfer IFQ to GAF will not be accepted during the one month prior to the automatic GAF return date to ensure that all GAF transactions are completed before the automatic return date. </w:t>
      </w:r>
    </w:p>
    <w:p w:rsidR="00F64454" w:rsidRPr="002F6485" w:rsidP="00F64454" w14:paraId="4EBE53EA" w14:textId="77777777">
      <w:pPr>
        <w:widowControl/>
        <w:tabs>
          <w:tab w:val="left" w:pos="360"/>
          <w:tab w:val="left" w:pos="720"/>
          <w:tab w:val="left" w:pos="1080"/>
          <w:tab w:val="left" w:pos="1440"/>
        </w:tabs>
      </w:pPr>
    </w:p>
    <w:p w:rsidR="00F64454" w:rsidRPr="002F6485" w:rsidP="00F64454" w14:paraId="76A6227A" w14:textId="77777777">
      <w:pPr>
        <w:widowControl/>
        <w:tabs>
          <w:tab w:val="left" w:pos="360"/>
          <w:tab w:val="left" w:pos="720"/>
          <w:tab w:val="left" w:pos="1080"/>
          <w:tab w:val="left" w:pos="1440"/>
        </w:tabs>
      </w:pPr>
      <w:r w:rsidRPr="002F6485">
        <w:t xml:space="preserve">Persons who submit an Application for Transfer </w:t>
      </w:r>
      <w:r>
        <w:t>b</w:t>
      </w:r>
      <w:r w:rsidRPr="002F6485">
        <w:t xml:space="preserve">etween IFQ and GAF will receive notification of NMFS’s decision to approve or disapprove the transfer. </w:t>
      </w:r>
    </w:p>
    <w:p w:rsidR="00F64454" w:rsidRPr="002F6485" w:rsidP="00F64454" w14:paraId="5E85A6CB" w14:textId="77777777">
      <w:pPr>
        <w:widowControl/>
        <w:tabs>
          <w:tab w:val="left" w:pos="360"/>
          <w:tab w:val="left" w:pos="720"/>
          <w:tab w:val="left" w:pos="1080"/>
          <w:tab w:val="left" w:pos="1440"/>
        </w:tabs>
      </w:pPr>
    </w:p>
    <w:p w:rsidR="00F64454" w:rsidRPr="002F6485" w:rsidP="00F64454" w14:paraId="485C98FB" w14:textId="77777777">
      <w:pPr>
        <w:widowControl/>
        <w:tabs>
          <w:tab w:val="left" w:pos="360"/>
          <w:tab w:val="left" w:pos="720"/>
          <w:tab w:val="left" w:pos="1080"/>
          <w:tab w:val="left" w:pos="1440"/>
        </w:tabs>
      </w:pPr>
      <w:r w:rsidRPr="002F6485">
        <w:t xml:space="preserve">NMFS issues GAF in numbers of fish, basing the conversion between annual IFQ and GAF on average weight of halibut landed in each region’s charter halibut fishery (Area 2C or 3A) during the previous year, as determined by the </w:t>
      </w:r>
      <w:r w:rsidR="009914E5">
        <w:t>ADF&amp;G</w:t>
      </w:r>
      <w:r w:rsidRPr="002F6485">
        <w:t>. The number of GAF requested is deducted from or added to the annual IFQ permit in round weight equivalent pounds.</w:t>
      </w:r>
    </w:p>
    <w:p w:rsidR="00F64454" w:rsidRPr="002F6485" w:rsidP="00F64454" w14:paraId="2365A9DB" w14:textId="77777777">
      <w:pPr>
        <w:widowControl/>
        <w:tabs>
          <w:tab w:val="left" w:pos="360"/>
          <w:tab w:val="left" w:pos="720"/>
          <w:tab w:val="left" w:pos="1080"/>
          <w:tab w:val="left" w:pos="1440"/>
        </w:tabs>
      </w:pPr>
    </w:p>
    <w:p w:rsidR="00F64454" w:rsidRPr="002F6485" w:rsidP="00F64454" w14:paraId="0E31F3C7" w14:textId="77777777">
      <w:pPr>
        <w:widowControl/>
        <w:tabs>
          <w:tab w:val="left" w:pos="360"/>
          <w:tab w:val="left" w:pos="720"/>
          <w:tab w:val="left" w:pos="1080"/>
          <w:tab w:val="left" w:pos="1440"/>
        </w:tabs>
      </w:pPr>
      <w:r w:rsidRPr="002F6485">
        <w:t>The IFQ permit holder is responsible for all IFQ cost recovery fees resulting from the transferred GAF. No fees will be assessed for any unused GAF unless it is later harvested by the IFQ permit holder. IFQ cost recovery fees are authorized under OMB Control No. 0648-0711.</w:t>
      </w:r>
    </w:p>
    <w:p w:rsidR="00F64454" w:rsidRPr="002F6485" w:rsidP="00F64454" w14:paraId="2D61DC21" w14:textId="77777777">
      <w:pPr>
        <w:widowControl/>
        <w:tabs>
          <w:tab w:val="left" w:pos="360"/>
          <w:tab w:val="left" w:pos="720"/>
          <w:tab w:val="left" w:pos="1080"/>
          <w:tab w:val="left" w:pos="1440"/>
        </w:tabs>
      </w:pPr>
    </w:p>
    <w:p w:rsidR="00F64454" w:rsidRPr="002F6485" w:rsidP="00F64454" w14:paraId="1E46B8BB" w14:textId="77777777">
      <w:pPr>
        <w:widowControl/>
        <w:adjustRightInd w:val="0"/>
        <w:rPr>
          <w:szCs w:val="18"/>
        </w:rPr>
      </w:pPr>
      <w:r w:rsidRPr="002F6485">
        <w:rPr>
          <w:szCs w:val="18"/>
        </w:rPr>
        <w:t>To report GAF landings, the GAF permit holder must submit a GAF landing report</w:t>
      </w:r>
      <w:r w:rsidR="00C11880">
        <w:rPr>
          <w:szCs w:val="18"/>
        </w:rPr>
        <w:t xml:space="preserve"> (see below)</w:t>
      </w:r>
      <w:r w:rsidRPr="002F6485">
        <w:rPr>
          <w:szCs w:val="18"/>
        </w:rPr>
        <w:t xml:space="preserve">. </w:t>
      </w:r>
    </w:p>
    <w:p w:rsidR="00F64454" w:rsidRPr="002F6485" w:rsidP="00F64454" w14:paraId="1A299023" w14:textId="77777777">
      <w:pPr>
        <w:widowControl/>
      </w:pPr>
    </w:p>
    <w:p w:rsidR="00F64454" w:rsidRPr="002F6485" w:rsidP="00F64454" w14:paraId="478B5D04" w14:textId="77777777">
      <w:pPr>
        <w:widowControl/>
      </w:pPr>
      <w:r w:rsidRPr="002F6485">
        <w:t xml:space="preserve">As the GAF program is voluntary, CHP holders can weigh their own costs and benefits of participating in the program. </w:t>
      </w:r>
    </w:p>
    <w:p w:rsidR="00F64454" w:rsidP="00F64454" w14:paraId="487C352C" w14:textId="77777777">
      <w:pPr>
        <w:widowControl/>
        <w:tabs>
          <w:tab w:val="left" w:pos="360"/>
          <w:tab w:val="left" w:pos="720"/>
          <w:tab w:val="left" w:pos="1080"/>
          <w:tab w:val="left" w:pos="1440"/>
        </w:tabs>
      </w:pPr>
    </w:p>
    <w:p w:rsidR="00F64454" w:rsidP="002012E6" w14:paraId="6010C734" w14:textId="77777777">
      <w:pPr>
        <w:widowControl/>
        <w:tabs>
          <w:tab w:val="left" w:pos="360"/>
          <w:tab w:val="left" w:pos="720"/>
          <w:tab w:val="left" w:pos="1080"/>
          <w:tab w:val="left" w:pos="1440"/>
        </w:tabs>
      </w:pPr>
      <w:r>
        <w:t xml:space="preserve">The application collects transferor and transferee identification and contact information, IFQ and/or </w:t>
      </w:r>
      <w:r w:rsidRPr="002A55EB">
        <w:t>GAF permit information, and transaction information.</w:t>
      </w:r>
      <w:r>
        <w:t xml:space="preserve"> Both the </w:t>
      </w:r>
      <w:r w:rsidRPr="002A55EB">
        <w:t>transferor and the transferee or their authorized representatives</w:t>
      </w:r>
      <w:r>
        <w:t xml:space="preserve"> are required to sign this </w:t>
      </w:r>
      <w:r w:rsidRPr="00F928BF">
        <w:t xml:space="preserve">application. </w:t>
      </w:r>
    </w:p>
    <w:p w:rsidR="00F64454" w:rsidP="002012E6" w14:paraId="7EB6F725" w14:textId="77777777">
      <w:pPr>
        <w:widowControl/>
        <w:tabs>
          <w:tab w:val="left" w:pos="360"/>
          <w:tab w:val="left" w:pos="720"/>
          <w:tab w:val="left" w:pos="1080"/>
          <w:tab w:val="left" w:pos="1440"/>
        </w:tabs>
        <w:rPr>
          <w:b/>
        </w:rPr>
      </w:pPr>
    </w:p>
    <w:p w:rsidR="000962C3" w:rsidP="002012E6" w14:paraId="4C343DCD" w14:textId="2370A0A9">
      <w:pPr>
        <w:adjustRightInd w:val="0"/>
        <w:rPr>
          <w:b/>
        </w:rPr>
      </w:pPr>
      <w:r w:rsidRPr="002D636A">
        <w:rPr>
          <w:b/>
        </w:rPr>
        <w:t xml:space="preserve">Electronic and manual GAF landing </w:t>
      </w:r>
      <w:r w:rsidRPr="00FE1296">
        <w:rPr>
          <w:b/>
        </w:rPr>
        <w:t xml:space="preserve">report </w:t>
      </w:r>
      <w:r w:rsidRPr="00FE1296" w:rsidR="00AE0086">
        <w:rPr>
          <w:b/>
        </w:rPr>
        <w:t>[</w:t>
      </w:r>
      <w:r w:rsidRPr="00FE1296" w:rsidR="00FE1296">
        <w:rPr>
          <w:b/>
        </w:rPr>
        <w:t>No change</w:t>
      </w:r>
      <w:r w:rsidRPr="00FE1296" w:rsidR="00AE0086">
        <w:rPr>
          <w:b/>
        </w:rPr>
        <w:t>]</w:t>
      </w:r>
    </w:p>
    <w:p w:rsidR="002012E6" w:rsidRPr="003137A8" w:rsidP="002012E6" w14:paraId="32D0437E" w14:textId="77777777">
      <w:pPr>
        <w:adjustRightInd w:val="0"/>
        <w:rPr>
          <w:b/>
          <w:color w:val="C00000"/>
        </w:rPr>
      </w:pPr>
    </w:p>
    <w:p w:rsidR="000962C3" w:rsidRPr="00C75422" w:rsidP="002012E6" w14:paraId="0B33C8F4" w14:textId="77777777">
      <w:pPr>
        <w:adjustRightInd w:val="0"/>
      </w:pPr>
      <w:r w:rsidRPr="00C75422">
        <w:t xml:space="preserve">A GAF permit holder, who is also the </w:t>
      </w:r>
      <w:r>
        <w:t>CHP</w:t>
      </w:r>
      <w:r w:rsidRPr="00C75422">
        <w:t xml:space="preserve"> holder, must obtain at his or her own expense the technology (computer and Internet connection) required to support the NMFS-approved electronic reporting system to report GAF halibut landings (eFIS</w:t>
      </w:r>
      <w:r>
        <w:t xml:space="preserve">H). </w:t>
      </w:r>
      <w:r w:rsidRPr="00C75422">
        <w:t>The GAF program is voluntary, and charter permit holders can weigh their own costs and benefits of participating in the program.</w:t>
      </w:r>
    </w:p>
    <w:p w:rsidR="000962C3" w:rsidRPr="00C75422" w:rsidP="000962C3" w14:paraId="5CB0E632" w14:textId="77777777">
      <w:pPr>
        <w:adjustRightInd w:val="0"/>
      </w:pPr>
    </w:p>
    <w:p w:rsidR="000962C3" w:rsidP="000962C3" w14:paraId="097BF6CA" w14:textId="77777777">
      <w:pPr>
        <w:adjustRightInd w:val="0"/>
      </w:pPr>
      <w:r w:rsidRPr="00C75422">
        <w:t xml:space="preserve">A GAF permit holder must use </w:t>
      </w:r>
      <w:r>
        <w:t>eFISH,</w:t>
      </w:r>
      <w:r w:rsidRPr="00C75422">
        <w:t xml:space="preserve"> the NMFS-approved electronic reporting system on the Alask</w:t>
      </w:r>
      <w:r>
        <w:t xml:space="preserve">a Region web site, </w:t>
      </w:r>
      <w:r w:rsidRPr="00C75422">
        <w:t>to submi</w:t>
      </w:r>
      <w:r>
        <w:t xml:space="preserve">t a GAF landing report. </w:t>
      </w:r>
      <w:r w:rsidRPr="00E75D8A">
        <w:t>The GAF permit holder must enter information for each GAF halibut retained by an angler on a charter vessel fishing trip in Area 2C or 3A</w:t>
      </w:r>
      <w:r>
        <w:t xml:space="preserve">. The GAF electronic landing report collects number and length of GAF retained; vessel, guide license, and GAF permit numbers; and for community CHPs only, the </w:t>
      </w:r>
      <w:r w:rsidRPr="00CE1765">
        <w:t>community or port where charter vessel fishing trip</w:t>
      </w:r>
      <w:r>
        <w:t xml:space="preserve"> began and ended.</w:t>
      </w:r>
    </w:p>
    <w:p w:rsidR="000962C3" w:rsidRPr="00C75422" w:rsidP="000962C3" w14:paraId="73B76910" w14:textId="77777777">
      <w:pPr>
        <w:adjustRightInd w:val="0"/>
      </w:pPr>
    </w:p>
    <w:p w:rsidR="000962C3" w:rsidRPr="00C75422" w:rsidP="004C527D" w14:paraId="5E46882A" w14:textId="77777777">
      <w:pPr>
        <w:widowControl/>
        <w:adjustRightInd w:val="0"/>
      </w:pPr>
      <w:r w:rsidRPr="00251686">
        <w:t xml:space="preserve">GAF harvested in the charter halibut fishery is accounted for as commercial halibut IFQ harvest. </w:t>
      </w:r>
      <w:r w:rsidRPr="00C75422">
        <w:t xml:space="preserve">GAF permit holders are required to report GAF landings in eFISH in a timely fashion in order to debit those landings from the IFQ holder’s account as soon as possible, and to flag any other potential problems. Electronic reporting alerts GAF permit holders of their account balance and alerts the GAF permit holder and </w:t>
      </w:r>
      <w:r>
        <w:t xml:space="preserve">NOAA Office of Law Enforcement (NOAA </w:t>
      </w:r>
      <w:r w:rsidRPr="00E75D8A">
        <w:t>OLE</w:t>
      </w:r>
      <w:r>
        <w:t>)</w:t>
      </w:r>
      <w:r w:rsidRPr="00C75422">
        <w:t xml:space="preserve"> if the account has been overdrawn. Without electronic reporting, more GAF accounts would likely be overdrawn. </w:t>
      </w:r>
    </w:p>
    <w:p w:rsidR="000962C3" w:rsidRPr="00C75422" w:rsidP="000962C3" w14:paraId="52E2AF1D" w14:textId="77777777">
      <w:pPr>
        <w:adjustRightInd w:val="0"/>
      </w:pPr>
    </w:p>
    <w:p w:rsidR="000962C3" w:rsidRPr="00C75422" w:rsidP="000962C3" w14:paraId="5D64CF0A" w14:textId="77777777">
      <w:pPr>
        <w:adjustRightInd w:val="0"/>
      </w:pPr>
      <w:r w:rsidRPr="00251686">
        <w:t>The GAF reporting requirements in this information collection allow NMFS to track GAF harvests and properly debit GAF from the appropriate IFQ accounts.</w:t>
      </w:r>
      <w:r>
        <w:t xml:space="preserve"> </w:t>
      </w:r>
      <w:r w:rsidRPr="00C75422">
        <w:t>Electronic GAF reporting is required:</w:t>
      </w:r>
    </w:p>
    <w:p w:rsidR="000962C3" w:rsidRPr="00C75422" w:rsidP="00734DB8" w14:paraId="7F6794DC" w14:textId="77777777">
      <w:pPr>
        <w:adjustRightInd w:val="0"/>
        <w:ind w:left="720" w:hanging="360"/>
      </w:pPr>
      <w:r>
        <w:t>1.</w:t>
      </w:r>
      <w:r>
        <w:tab/>
      </w:r>
      <w:r w:rsidRPr="00C75422">
        <w:t>For respondents to access current account balances for account management and regulatory compliance</w:t>
      </w:r>
    </w:p>
    <w:p w:rsidR="000962C3" w:rsidRPr="00C75422" w:rsidP="00734DB8" w14:paraId="43C6C125" w14:textId="77777777">
      <w:pPr>
        <w:tabs>
          <w:tab w:val="left" w:pos="360"/>
          <w:tab w:val="left" w:pos="720"/>
          <w:tab w:val="left" w:pos="1080"/>
        </w:tabs>
        <w:adjustRightInd w:val="0"/>
        <w:ind w:left="360"/>
      </w:pPr>
      <w:r>
        <w:t>2.</w:t>
      </w:r>
      <w:r>
        <w:tab/>
      </w:r>
      <w:r w:rsidRPr="00C75422">
        <w:t>For NMFS management:</w:t>
      </w:r>
    </w:p>
    <w:p w:rsidR="000962C3" w:rsidRPr="00C75422" w:rsidP="00734DB8" w14:paraId="3AEC80C8" w14:textId="77777777">
      <w:pPr>
        <w:tabs>
          <w:tab w:val="left" w:pos="360"/>
          <w:tab w:val="left" w:pos="720"/>
          <w:tab w:val="left" w:pos="1080"/>
        </w:tabs>
        <w:adjustRightInd w:val="0"/>
        <w:ind w:left="720"/>
      </w:pPr>
      <w:r w:rsidRPr="00C75422">
        <w:t>•</w:t>
      </w:r>
      <w:r w:rsidRPr="00C75422">
        <w:tab/>
        <w:t>To monitor account transfers and GAF landings history.</w:t>
      </w:r>
      <w:r>
        <w:t xml:space="preserve"> </w:t>
      </w:r>
    </w:p>
    <w:p w:rsidR="000962C3" w:rsidRPr="00C75422" w:rsidP="00734DB8" w14:paraId="1E15586B" w14:textId="77777777">
      <w:pPr>
        <w:tabs>
          <w:tab w:val="left" w:pos="360"/>
          <w:tab w:val="left" w:pos="720"/>
          <w:tab w:val="left" w:pos="1080"/>
        </w:tabs>
        <w:adjustRightInd w:val="0"/>
        <w:ind w:left="720"/>
      </w:pPr>
      <w:r w:rsidRPr="00C75422">
        <w:t>•</w:t>
      </w:r>
      <w:r w:rsidRPr="00C75422">
        <w:tab/>
        <w:t>To manage permit accounts, conduct transfers, and assess fees.</w:t>
      </w:r>
    </w:p>
    <w:p w:rsidR="000962C3" w:rsidRPr="00C75422" w:rsidP="00734DB8" w14:paraId="33EDB998" w14:textId="77777777">
      <w:pPr>
        <w:tabs>
          <w:tab w:val="left" w:pos="360"/>
          <w:tab w:val="left" w:pos="720"/>
          <w:tab w:val="left" w:pos="1080"/>
        </w:tabs>
        <w:adjustRightInd w:val="0"/>
        <w:ind w:left="360"/>
      </w:pPr>
      <w:r>
        <w:t>3.</w:t>
      </w:r>
      <w:r>
        <w:tab/>
      </w:r>
      <w:r w:rsidRPr="00C75422">
        <w:t>For OLE:</w:t>
      </w:r>
    </w:p>
    <w:p w:rsidR="000962C3" w:rsidRPr="00C75422" w:rsidP="00734DB8" w14:paraId="41F5C2F4" w14:textId="77777777">
      <w:pPr>
        <w:tabs>
          <w:tab w:val="left" w:pos="360"/>
          <w:tab w:val="left" w:pos="720"/>
          <w:tab w:val="left" w:pos="1080"/>
        </w:tabs>
        <w:adjustRightInd w:val="0"/>
        <w:ind w:left="720"/>
      </w:pPr>
      <w:r w:rsidRPr="00C75422">
        <w:t>•</w:t>
      </w:r>
      <w:r w:rsidRPr="00C75422">
        <w:tab/>
        <w:t xml:space="preserve">To monitor transfers between IFQ and GAF </w:t>
      </w:r>
    </w:p>
    <w:p w:rsidR="000962C3" w:rsidP="00734DB8" w14:paraId="0C44D01A" w14:textId="77777777">
      <w:pPr>
        <w:tabs>
          <w:tab w:val="left" w:pos="360"/>
          <w:tab w:val="left" w:pos="720"/>
          <w:tab w:val="left" w:pos="1080"/>
        </w:tabs>
        <w:adjustRightInd w:val="0"/>
        <w:ind w:left="720"/>
      </w:pPr>
      <w:r w:rsidRPr="00C75422">
        <w:t>•</w:t>
      </w:r>
      <w:r w:rsidRPr="00C75422">
        <w:tab/>
        <w:t>To monitor compliance with authorized GAF harvests and other program rules.</w:t>
      </w:r>
    </w:p>
    <w:p w:rsidR="00734DB8" w:rsidP="000962C3" w14:paraId="46F03788" w14:textId="77777777">
      <w:pPr>
        <w:tabs>
          <w:tab w:val="left" w:pos="360"/>
          <w:tab w:val="left" w:pos="720"/>
          <w:tab w:val="left" w:pos="1080"/>
        </w:tabs>
        <w:adjustRightInd w:val="0"/>
        <w:ind w:left="1080"/>
      </w:pPr>
    </w:p>
    <w:p w:rsidR="00734DB8" w:rsidRPr="00907F2D" w:rsidP="00734DB8" w14:paraId="088F3E31" w14:textId="77777777">
      <w:pPr>
        <w:adjustRightInd w:val="0"/>
      </w:pPr>
      <w:r w:rsidRPr="00C75422">
        <w:t xml:space="preserve">Upon submission of a daily electronic GAF landing report, eFISH issues a GAF </w:t>
      </w:r>
      <w:r>
        <w:t>r</w:t>
      </w:r>
      <w:r w:rsidRPr="00C75422">
        <w:t>eport submission confirmation number which the GAF permit holder must record on the GAF permit log on the back of the GAF permit.</w:t>
      </w:r>
      <w:r>
        <w:t xml:space="preserve"> </w:t>
      </w:r>
      <w:r w:rsidRPr="00907F2D">
        <w:t xml:space="preserve">This confirmation number allows cross reference of the Charter Logbook data and the electronic GAF report by management and </w:t>
      </w:r>
      <w:r>
        <w:t xml:space="preserve">NOAA </w:t>
      </w:r>
      <w:r w:rsidRPr="00907F2D">
        <w:t>OLE staff.</w:t>
      </w:r>
    </w:p>
    <w:p w:rsidR="00734DB8" w:rsidP="00734DB8" w14:paraId="7A5192D9" w14:textId="77777777">
      <w:pPr>
        <w:adjustRightInd w:val="0"/>
      </w:pPr>
    </w:p>
    <w:p w:rsidR="00734DB8" w:rsidP="00734DB8" w14:paraId="267B7FC0" w14:textId="77777777">
      <w:pPr>
        <w:adjustRightInd w:val="0"/>
      </w:pPr>
      <w:r>
        <w:t>Some GAF permit holders are in remote locations (operating out of remote lodges) and do not always have reliable internet access. I</w:t>
      </w:r>
      <w:r w:rsidRPr="00A80ED2">
        <w:t xml:space="preserve">f a GAF permit holder is unable to submit </w:t>
      </w:r>
      <w:r w:rsidR="00504A3E">
        <w:t>the</w:t>
      </w:r>
      <w:r>
        <w:t xml:space="preserve"> </w:t>
      </w:r>
      <w:r w:rsidRPr="00A80ED2">
        <w:t xml:space="preserve">GAF landings report </w:t>
      </w:r>
      <w:r w:rsidR="00504A3E">
        <w:t xml:space="preserve">electronically </w:t>
      </w:r>
      <w:r w:rsidRPr="00A80ED2">
        <w:t>due to hardware, software, or Internet failure for a period longer than the required reporting time, or a correction must be made t</w:t>
      </w:r>
      <w:r>
        <w:t>o information already submitted, the permit holder must contact NOAA OLE</w:t>
      </w:r>
      <w:r w:rsidR="00F771AB">
        <w:t xml:space="preserve"> by telephone</w:t>
      </w:r>
      <w:r>
        <w:t xml:space="preserve">. </w:t>
      </w:r>
      <w:r w:rsidR="00FE1296">
        <w:t xml:space="preserve">A </w:t>
      </w:r>
      <w:r>
        <w:t xml:space="preserve">GAF manual landing report form </w:t>
      </w:r>
      <w:r w:rsidR="00FE1296">
        <w:t>is available</w:t>
      </w:r>
      <w:r w:rsidRPr="00FE1296" w:rsidR="00FE1296">
        <w:t xml:space="preserve"> on the NMFS AKR website</w:t>
      </w:r>
      <w:r w:rsidR="00FE1296">
        <w:t xml:space="preserve"> </w:t>
      </w:r>
      <w:r w:rsidR="002313FD">
        <w:t>to</w:t>
      </w:r>
      <w:r>
        <w:t xml:space="preserve"> </w:t>
      </w:r>
      <w:r w:rsidR="00816F9C">
        <w:t xml:space="preserve">help </w:t>
      </w:r>
      <w:r w:rsidR="002313FD">
        <w:t>streamline</w:t>
      </w:r>
      <w:r>
        <w:t xml:space="preserve"> the submission of manual landing information for </w:t>
      </w:r>
      <w:r w:rsidR="00C81EDC">
        <w:t xml:space="preserve">GAF permit holders </w:t>
      </w:r>
      <w:r>
        <w:t xml:space="preserve">and NOAA OLE, and </w:t>
      </w:r>
      <w:r w:rsidR="00C27DB5">
        <w:t xml:space="preserve">to </w:t>
      </w:r>
      <w:r>
        <w:t xml:space="preserve">help ensure the correct information is submitted </w:t>
      </w:r>
      <w:r w:rsidR="007323E3">
        <w:t>on time</w:t>
      </w:r>
      <w:r>
        <w:t xml:space="preserve">. </w:t>
      </w:r>
      <w:r w:rsidR="00F35FA6">
        <w:t xml:space="preserve">GAF permit holders </w:t>
      </w:r>
      <w:r w:rsidR="007323E3">
        <w:t>must still telephone NOAA OLE as required at §</w:t>
      </w:r>
      <w:r w:rsidRPr="007323E3" w:rsidR="007323E3">
        <w:t xml:space="preserve"> 300.65(d)(4)(iii)(A)(</w:t>
      </w:r>
      <w:r w:rsidRPr="007323E3" w:rsidR="007323E3">
        <w:rPr>
          <w:i/>
        </w:rPr>
        <w:t>4</w:t>
      </w:r>
      <w:r w:rsidRPr="007323E3" w:rsidR="007323E3">
        <w:t>)</w:t>
      </w:r>
      <w:r w:rsidR="007323E3">
        <w:t xml:space="preserve"> but </w:t>
      </w:r>
      <w:r w:rsidR="00FE1296">
        <w:t xml:space="preserve">may </w:t>
      </w:r>
      <w:r w:rsidR="007323E3">
        <w:t xml:space="preserve">then </w:t>
      </w:r>
      <w:r w:rsidR="00C27DB5">
        <w:t xml:space="preserve">use the form to submit the information by fax or email. </w:t>
      </w:r>
    </w:p>
    <w:p w:rsidR="00734DB8" w:rsidP="00734DB8" w14:paraId="6AE0B865" w14:textId="77777777">
      <w:pPr>
        <w:tabs>
          <w:tab w:val="left" w:pos="360"/>
          <w:tab w:val="left" w:pos="720"/>
          <w:tab w:val="left" w:pos="1080"/>
        </w:tabs>
        <w:adjustRightInd w:val="0"/>
      </w:pPr>
    </w:p>
    <w:p w:rsidR="000962C3" w:rsidP="009A2826" w14:paraId="4A0EFE1E" w14:textId="376DE9DA">
      <w:pPr>
        <w:adjustRightInd w:val="0"/>
        <w:rPr>
          <w:b/>
        </w:rPr>
      </w:pPr>
      <w:r w:rsidRPr="002D636A">
        <w:rPr>
          <w:b/>
        </w:rPr>
        <w:t xml:space="preserve">GAF permit log </w:t>
      </w:r>
      <w:r w:rsidRPr="00FE1296" w:rsidR="00FE1296">
        <w:rPr>
          <w:b/>
        </w:rPr>
        <w:t>[No change]</w:t>
      </w:r>
    </w:p>
    <w:p w:rsidR="009A2826" w:rsidRPr="002D636A" w:rsidP="009A2826" w14:paraId="0EB12445" w14:textId="77777777">
      <w:pPr>
        <w:adjustRightInd w:val="0"/>
        <w:rPr>
          <w:b/>
        </w:rPr>
      </w:pPr>
    </w:p>
    <w:p w:rsidR="000962C3" w:rsidRPr="00BE3082" w:rsidP="000962C3" w14:paraId="3C378F74" w14:textId="77777777">
      <w:pPr>
        <w:tabs>
          <w:tab w:val="left" w:pos="360"/>
          <w:tab w:val="left" w:pos="720"/>
          <w:tab w:val="left" w:pos="1080"/>
          <w:tab w:val="left" w:pos="1440"/>
        </w:tabs>
        <w:adjustRightInd w:val="0"/>
        <w:ind w:right="-180"/>
      </w:pPr>
      <w:r w:rsidRPr="00BE3082">
        <w:t>Upon receipt of a GAF electronic landing report, eFISH issues a confirmation number for the GAF permit holder (respondent) to keep as evidence that NMFS received the GAF landing report and the GAF</w:t>
      </w:r>
      <w:r>
        <w:t xml:space="preserve"> account was properly debited. A GAF permit log is printed o</w:t>
      </w:r>
      <w:r w:rsidRPr="00BE3082">
        <w:t>n the back of each GAF permit</w:t>
      </w:r>
      <w:r>
        <w:t xml:space="preserve">. </w:t>
      </w:r>
      <w:r w:rsidRPr="00BE3082">
        <w:t>The GAF permit holder must record the confirmation number</w:t>
      </w:r>
      <w:r>
        <w:t>, the date the GAF was retained, and the length of the GAF</w:t>
      </w:r>
      <w:r w:rsidRPr="00BE3082">
        <w:t xml:space="preserve"> on the GAF permit log after a trip in wh</w:t>
      </w:r>
      <w:r>
        <w:t xml:space="preserve">ich GAF halibut were retained. </w:t>
      </w:r>
      <w:r w:rsidRPr="00BE3082">
        <w:t>This information must be available for enforcement officers to review when they board a vessel.</w:t>
      </w:r>
    </w:p>
    <w:p w:rsidR="000962C3" w:rsidRPr="00BE3082" w:rsidP="000962C3" w14:paraId="3A8724B7" w14:textId="77777777">
      <w:pPr>
        <w:adjustRightInd w:val="0"/>
      </w:pPr>
    </w:p>
    <w:p w:rsidR="000962C3" w:rsidP="000962C3" w14:paraId="6D985692" w14:textId="77777777">
      <w:pPr>
        <w:pBdr>
          <w:top w:val="nil"/>
          <w:left w:val="nil"/>
          <w:bottom w:val="nil"/>
          <w:right w:val="nil"/>
          <w:between w:val="nil"/>
        </w:pBdr>
      </w:pPr>
      <w:r w:rsidRPr="00BE3082">
        <w:t xml:space="preserve">A GAF permit holder may have several GAF permits and GAF permit logs by the end of the season. The GAF permit holder is required to retain all GAF permits and GAF permit logs, along with their </w:t>
      </w:r>
      <w:r w:rsidR="00232F10">
        <w:t>Charter</w:t>
      </w:r>
      <w:r w:rsidRPr="00BE3082">
        <w:t xml:space="preserve"> </w:t>
      </w:r>
      <w:r w:rsidR="00232F10">
        <w:t>L</w:t>
      </w:r>
      <w:r w:rsidRPr="00BE3082" w:rsidR="00232F10">
        <w:t>ogbooks</w:t>
      </w:r>
      <w:r w:rsidRPr="00BE3082">
        <w:t xml:space="preserve">, for two years for inspection upon request of an authorized enforcement officer. </w:t>
      </w:r>
    </w:p>
    <w:p w:rsidR="000962C3" w:rsidP="000962C3" w14:paraId="083E13EE" w14:textId="77777777">
      <w:pPr>
        <w:widowControl/>
        <w:rPr>
          <w:b/>
        </w:rPr>
      </w:pPr>
    </w:p>
    <w:p w:rsidR="00F64454" w:rsidRPr="009A2826" w:rsidP="004C527D" w14:paraId="508F52B9" w14:textId="77777777">
      <w:pPr>
        <w:keepNext/>
        <w:keepLines/>
        <w:widowControl/>
        <w:autoSpaceDE w:val="0"/>
        <w:autoSpaceDN w:val="0"/>
        <w:adjustRightInd w:val="0"/>
        <w:spacing w:before="120" w:after="120"/>
        <w:outlineLvl w:val="2"/>
        <w:rPr>
          <w:b/>
        </w:rPr>
      </w:pPr>
      <w:r w:rsidRPr="00E91AAF">
        <w:rPr>
          <w:b/>
        </w:rPr>
        <w:t xml:space="preserve">Administrative </w:t>
      </w:r>
      <w:r w:rsidR="00327C38">
        <w:rPr>
          <w:b/>
        </w:rPr>
        <w:t>a</w:t>
      </w:r>
      <w:r w:rsidRPr="00E91AAF" w:rsidR="00327C38">
        <w:rPr>
          <w:b/>
        </w:rPr>
        <w:t xml:space="preserve">ppeals </w:t>
      </w:r>
      <w:r w:rsidRPr="009A2826" w:rsidR="00036A35">
        <w:rPr>
          <w:rFonts w:eastAsia="Times New Roman"/>
          <w:b/>
          <w:color w:val="C00000"/>
        </w:rPr>
        <w:t xml:space="preserve">[REVISED: </w:t>
      </w:r>
      <w:r w:rsidRPr="009A2826" w:rsidR="00E91AAF">
        <w:rPr>
          <w:rFonts w:eastAsia="Times New Roman"/>
          <w:b/>
          <w:color w:val="C00000"/>
        </w:rPr>
        <w:t>Added appeal for incomplete payment of charter halibut stamp fee liability]</w:t>
      </w:r>
    </w:p>
    <w:p w:rsidR="00036A35" w:rsidRPr="00FF2F7A" w:rsidP="00036A35" w14:paraId="25656511" w14:textId="77777777">
      <w:pPr>
        <w:keepNext/>
        <w:widowControl/>
        <w:autoSpaceDE w:val="0"/>
        <w:autoSpaceDN w:val="0"/>
        <w:rPr>
          <w:rFonts w:eastAsia="Times New Roman"/>
        </w:rPr>
      </w:pPr>
      <w:r w:rsidRPr="00FF2F7A">
        <w:rPr>
          <w:rFonts w:eastAsia="Times New Roman"/>
          <w:noProof/>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88900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7900" cy="0"/>
                        </a:xfrm>
                        <a:prstGeom prst="line">
                          <a:avLst/>
                        </a:prstGeom>
                        <a:noFill/>
                        <a:ln w="254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3360" from="9pt,7pt" to="486pt,7pt" strokecolor="#4a7ebb" strokeweight="2pt"/>
            </w:pict>
          </mc:Fallback>
        </mc:AlternateContent>
      </w:r>
    </w:p>
    <w:p w:rsidR="00E91AAF" w:rsidRPr="00FF2F7A" w:rsidP="00036A35" w14:paraId="3DE2F932" w14:textId="7EE782B8">
      <w:pPr>
        <w:keepNext/>
        <w:widowControl/>
        <w:autoSpaceDE w:val="0"/>
        <w:autoSpaceDN w:val="0"/>
        <w:ind w:left="288" w:right="288"/>
        <w:rPr>
          <w:rFonts w:eastAsia="Times New Roman"/>
        </w:rPr>
      </w:pPr>
      <w:r w:rsidRPr="00FF2F7A">
        <w:rPr>
          <w:rFonts w:eastAsia="Times New Roman"/>
          <w:b/>
          <w:color w:val="C00000"/>
        </w:rPr>
        <w:t>Revision:</w:t>
      </w:r>
      <w:r w:rsidRPr="00FF2F7A">
        <w:rPr>
          <w:rFonts w:eastAsia="Times New Roman"/>
          <w:color w:val="C00000"/>
        </w:rPr>
        <w:t xml:space="preserve"> </w:t>
      </w:r>
      <w:r w:rsidRPr="00FF2F7A">
        <w:rPr>
          <w:rFonts w:eastAsia="Times New Roman"/>
        </w:rPr>
        <w:t>This rule add</w:t>
      </w:r>
      <w:r w:rsidR="005A2290">
        <w:rPr>
          <w:rFonts w:eastAsia="Times New Roman"/>
        </w:rPr>
        <w:t>s</w:t>
      </w:r>
      <w:r w:rsidRPr="00FF2F7A">
        <w:rPr>
          <w:rFonts w:eastAsia="Times New Roman"/>
        </w:rPr>
        <w:t xml:space="preserve"> regulations</w:t>
      </w:r>
      <w:r w:rsidRPr="00FF2F7A" w:rsidR="00113B4D">
        <w:rPr>
          <w:rFonts w:eastAsia="Times New Roman"/>
        </w:rPr>
        <w:t xml:space="preserve"> at </w:t>
      </w:r>
      <w:r w:rsidRPr="00FF2F7A" w:rsidR="00873FB8">
        <w:rPr>
          <w:rFonts w:eastAsia="Times New Roman"/>
        </w:rPr>
        <w:t>§679.46(a)(1)</w:t>
      </w:r>
      <w:r w:rsidR="0067020D">
        <w:rPr>
          <w:rFonts w:eastAsia="Times New Roman"/>
        </w:rPr>
        <w:t>(vii)</w:t>
      </w:r>
      <w:r w:rsidRPr="00FF2F7A" w:rsidR="00873FB8">
        <w:rPr>
          <w:rFonts w:eastAsia="Times New Roman"/>
        </w:rPr>
        <w:t xml:space="preserve"> </w:t>
      </w:r>
      <w:r w:rsidRPr="00FF2F7A">
        <w:rPr>
          <w:rFonts w:eastAsia="Times New Roman"/>
        </w:rPr>
        <w:t xml:space="preserve">for a CHP holder to appeal an Initial Administrative Decision (IAD) received for incomplete payment of the charter halibut fee liability. </w:t>
      </w:r>
      <w:r w:rsidRPr="002A5D00" w:rsidR="002F5557">
        <w:t xml:space="preserve">If the number of stamp validations exceeds the number of stamps purchased on an account, then NMFS </w:t>
      </w:r>
      <w:r w:rsidR="005A2290">
        <w:t>will</w:t>
      </w:r>
      <w:r w:rsidRPr="002A5D00" w:rsidR="005A2290">
        <w:t xml:space="preserve"> </w:t>
      </w:r>
      <w:r w:rsidRPr="002A5D00" w:rsidR="002F5557">
        <w:t>notify the CHP holder and give them the opportunity to reconcile the account payments prior to the annual fee payment deadline.</w:t>
      </w:r>
      <w:r w:rsidR="002F5557">
        <w:t xml:space="preserve"> </w:t>
      </w:r>
      <w:r w:rsidRPr="00C93546" w:rsidR="002F5557">
        <w:t xml:space="preserve">A </w:t>
      </w:r>
      <w:r w:rsidR="002F5557">
        <w:t>CHP holder</w:t>
      </w:r>
      <w:r w:rsidRPr="00C93546" w:rsidR="002F5557">
        <w:t xml:space="preserve"> </w:t>
      </w:r>
      <w:r w:rsidR="005A2290">
        <w:t xml:space="preserve">will </w:t>
      </w:r>
      <w:r w:rsidR="002F5557">
        <w:t>have</w:t>
      </w:r>
      <w:r w:rsidRPr="00C93546" w:rsidR="002F5557">
        <w:t xml:space="preserve"> 30 days from the date of the notice to either pay the fee liability or provide evidence and an explanation demonstrating how the fee liability determination is in error.</w:t>
      </w:r>
      <w:r w:rsidR="002F5557">
        <w:t xml:space="preserve"> If a CHP holder does not pay the fee liability or provide evidence and an explanation demonstrating how the fee liability determination is in error, and the Regional Administrator determines that the CHP holder’s evidence and explanation do not support a reversal or modification of the fee liability notice, then the Regional Administrator may issue an IAD upholding the fee liability determination. </w:t>
      </w:r>
      <w:r w:rsidRPr="00FF2F7A">
        <w:rPr>
          <w:rFonts w:eastAsia="Times New Roman"/>
        </w:rPr>
        <w:t xml:space="preserve">The </w:t>
      </w:r>
      <w:r w:rsidR="002F5557">
        <w:rPr>
          <w:rFonts w:eastAsia="Times New Roman"/>
        </w:rPr>
        <w:t xml:space="preserve">process to appeal an IAD </w:t>
      </w:r>
      <w:r w:rsidR="005A2290">
        <w:rPr>
          <w:rFonts w:eastAsia="Times New Roman"/>
        </w:rPr>
        <w:t>will</w:t>
      </w:r>
      <w:r w:rsidRPr="00FF2F7A" w:rsidR="005A2290">
        <w:rPr>
          <w:rFonts w:eastAsia="Times New Roman"/>
        </w:rPr>
        <w:t xml:space="preserve"> </w:t>
      </w:r>
      <w:r w:rsidRPr="00FF2F7A">
        <w:rPr>
          <w:rFonts w:eastAsia="Times New Roman"/>
        </w:rPr>
        <w:t>be the same as the current process described below. The estimates currently used in this supporting statement for the number of respondents and responses for appeals are conservative; therefore, no changes are made to the respondents, responses, or burden for administrative appeals because of this rule.</w:t>
      </w:r>
    </w:p>
    <w:p w:rsidR="00036A35" w:rsidRPr="00FF2F7A" w:rsidP="00036A35" w14:paraId="477EB999" w14:textId="60E322DE">
      <w:pPr>
        <w:keepNext/>
        <w:widowControl/>
        <w:autoSpaceDE w:val="0"/>
        <w:autoSpaceDN w:val="0"/>
        <w:rPr>
          <w:rFonts w:eastAsia="Times New Roman"/>
        </w:rPr>
      </w:pPr>
      <w:r w:rsidRPr="00FF2F7A">
        <w:rPr>
          <w:rFonts w:eastAsia="Times New Roman"/>
          <w:noProof/>
          <w:highlight w:val="cyan"/>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58420</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057900" cy="0"/>
                        </a:xfrm>
                        <a:prstGeom prst="line">
                          <a:avLst/>
                        </a:prstGeom>
                        <a:noFill/>
                        <a:ln w="254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mso-height-percent:0;mso-height-relative:margin;mso-width-percent:0;mso-width-relative:margin;mso-wrap-distance-bottom:0;mso-wrap-distance-left:9pt;mso-wrap-distance-right:9pt;mso-wrap-distance-top:0;mso-wrap-style:square;position:absolute;visibility:visible;z-index:251665408" from="9pt,4.6pt" to="486pt,4.6pt" strokecolor="#4a7ebb" strokeweight="2pt"/>
            </w:pict>
          </mc:Fallback>
        </mc:AlternateContent>
      </w:r>
    </w:p>
    <w:p w:rsidR="00F64454" w:rsidP="000962C3" w14:paraId="63A2F287" w14:textId="77777777">
      <w:pPr>
        <w:widowControl/>
        <w:tabs>
          <w:tab w:val="left" w:pos="360"/>
          <w:tab w:val="left" w:pos="720"/>
          <w:tab w:val="left" w:pos="1080"/>
          <w:tab w:val="left" w:pos="1440"/>
        </w:tabs>
      </w:pPr>
      <w:r w:rsidRPr="002F6485">
        <w:t xml:space="preserve">If NMFS disapproves an Application for Transfer </w:t>
      </w:r>
      <w:r w:rsidR="00CA5E66">
        <w:t>between</w:t>
      </w:r>
      <w:r w:rsidRPr="002F6485" w:rsidR="00CA5E66">
        <w:t xml:space="preserve"> </w:t>
      </w:r>
      <w:r w:rsidRPr="002F6485">
        <w:t>IFQ and GAF or an Application for Annual Registration of CHP, NMFS will provide the reason in writing by mail, posted on the date of that decision, and provide the applicant with a 30-day evidentiary period to correct deficiencies in the application. NMFS will send an Initial Administrative Determination (IAD) to the applicant following the expiration of the 30-day evidentiary period if NMFS determines there is sufficient reason to deny the application.</w:t>
      </w:r>
      <w:r w:rsidR="00154F79">
        <w:t xml:space="preserve"> </w:t>
      </w:r>
    </w:p>
    <w:p w:rsidR="000D6213" w:rsidP="005F1AF7" w14:paraId="7D3F1DF9" w14:textId="77777777">
      <w:pPr>
        <w:widowControl/>
      </w:pPr>
    </w:p>
    <w:p w:rsidR="00E91AAF" w:rsidRPr="00E91AAF" w:rsidP="00873FB8" w14:paraId="796DE01A" w14:textId="37995826">
      <w:pPr>
        <w:widowControl/>
        <w:tabs>
          <w:tab w:val="left" w:pos="360"/>
          <w:tab w:val="left" w:pos="720"/>
          <w:tab w:val="left" w:pos="1080"/>
          <w:tab w:val="left" w:pos="1440"/>
        </w:tabs>
        <w:rPr>
          <w:rFonts w:eastAsia="Calibri"/>
        </w:rPr>
      </w:pPr>
      <w:r w:rsidRPr="00E91AAF">
        <w:t>A</w:t>
      </w:r>
      <w:r w:rsidR="00873FB8">
        <w:t xml:space="preserve"> person </w:t>
      </w:r>
      <w:r w:rsidRPr="00E91AAF">
        <w:t>that receives an IAD may appeal the decision.</w:t>
      </w:r>
      <w:r w:rsidR="00ED717A">
        <w:rPr>
          <w:rFonts w:eastAsia="Calibri"/>
        </w:rPr>
        <w:t xml:space="preserve"> </w:t>
      </w:r>
      <w:r w:rsidRPr="00E91AAF">
        <w:rPr>
          <w:rFonts w:eastAsia="Calibri"/>
        </w:rPr>
        <w:t>Administrative appeals of adverse decisions made by NMFS Alaska Region must be submitted to t</w:t>
      </w:r>
      <w:r w:rsidR="009A65AB">
        <w:rPr>
          <w:rFonts w:eastAsia="Calibri"/>
        </w:rPr>
        <w:t>he NMFS National Appeals Office</w:t>
      </w:r>
      <w:r>
        <w:rPr>
          <w:rStyle w:val="FootnoteReference"/>
          <w:rFonts w:eastAsia="Calibri"/>
        </w:rPr>
        <w:footnoteReference w:id="13"/>
      </w:r>
      <w:r w:rsidRPr="00E91AAF">
        <w:rPr>
          <w:rFonts w:eastAsia="Calibri"/>
        </w:rPr>
        <w:t xml:space="preserve"> under the appeals process set out </w:t>
      </w:r>
      <w:r w:rsidRPr="00221E77">
        <w:rPr>
          <w:rFonts w:eastAsia="Calibri"/>
        </w:rPr>
        <w:t xml:space="preserve">at </w:t>
      </w:r>
      <w:r w:rsidRPr="00221E77">
        <w:rPr>
          <w:rFonts w:eastAsia="Calibri"/>
          <w:bCs/>
        </w:rPr>
        <w:t>15 CFR part 906</w:t>
      </w:r>
      <w:r w:rsidRPr="00E91AAF">
        <w:rPr>
          <w:rFonts w:eastAsia="Calibri"/>
        </w:rPr>
        <w:t>.</w:t>
      </w:r>
      <w:r w:rsidRPr="00E91AAF">
        <w:rPr>
          <w:rFonts w:eastAsia="Times New Roman"/>
        </w:rPr>
        <w:t xml:space="preserve"> </w:t>
      </w:r>
    </w:p>
    <w:p w:rsidR="000D6213" w:rsidP="003805E9" w14:paraId="073B2F06" w14:textId="77777777">
      <w:pPr>
        <w:widowControl/>
        <w:tabs>
          <w:tab w:val="left" w:pos="360"/>
          <w:tab w:val="left" w:pos="720"/>
          <w:tab w:val="left" w:pos="1080"/>
          <w:tab w:val="left" w:pos="1440"/>
        </w:tabs>
      </w:pPr>
    </w:p>
    <w:p w:rsidR="00036A35" w:rsidRPr="00565B66" w:rsidP="003805E9" w14:paraId="0487AA1D" w14:textId="77777777">
      <w:pPr>
        <w:widowControl/>
        <w:autoSpaceDE w:val="0"/>
        <w:autoSpaceDN w:val="0"/>
        <w:adjustRightInd w:val="0"/>
        <w:outlineLvl w:val="2"/>
        <w:rPr>
          <w:rFonts w:eastAsia="Times New Roman"/>
          <w:b/>
          <w:color w:val="1F4D78"/>
        </w:rPr>
      </w:pPr>
      <w:r w:rsidRPr="002D636A">
        <w:rPr>
          <w:b/>
        </w:rPr>
        <w:t xml:space="preserve">ADF&amp;G Saltwater Sport Fishing Charter Trip </w:t>
      </w:r>
      <w:r w:rsidRPr="009914E5">
        <w:rPr>
          <w:b/>
        </w:rPr>
        <w:t>Logbook</w:t>
      </w:r>
      <w:r w:rsidR="009914E5">
        <w:rPr>
          <w:b/>
        </w:rPr>
        <w:t xml:space="preserve"> (Charter Logbook)</w:t>
      </w:r>
      <w:r w:rsidRPr="00036A35" w:rsidR="00154F79">
        <w:t xml:space="preserve"> </w:t>
      </w:r>
      <w:r w:rsidRPr="00565B66" w:rsidR="00D762E9">
        <w:rPr>
          <w:b/>
          <w:color w:val="C00000"/>
        </w:rPr>
        <w:t>[</w:t>
      </w:r>
      <w:r w:rsidRPr="00565B66">
        <w:rPr>
          <w:b/>
          <w:color w:val="C00000"/>
        </w:rPr>
        <w:t xml:space="preserve">REVISED: </w:t>
      </w:r>
      <w:r w:rsidRPr="00565B66">
        <w:rPr>
          <w:rFonts w:eastAsia="Times New Roman"/>
          <w:b/>
          <w:color w:val="C00000"/>
        </w:rPr>
        <w:t xml:space="preserve">Added regulations </w:t>
      </w:r>
      <w:r w:rsidRPr="00565B66" w:rsidR="00873FB8">
        <w:rPr>
          <w:rFonts w:eastAsia="Times New Roman"/>
          <w:b/>
          <w:color w:val="C00000"/>
        </w:rPr>
        <w:t>for validation of charter halibut stamps</w:t>
      </w:r>
      <w:r w:rsidRPr="00565B66">
        <w:rPr>
          <w:rFonts w:eastAsia="Times New Roman"/>
          <w:b/>
          <w:color w:val="C00000"/>
        </w:rPr>
        <w:t>]</w:t>
      </w:r>
    </w:p>
    <w:p w:rsidR="00036A35" w:rsidRPr="007B2B06" w:rsidP="00036A35" w14:paraId="6395BF19" w14:textId="77777777">
      <w:pPr>
        <w:keepNext/>
        <w:widowControl/>
        <w:autoSpaceDE w:val="0"/>
        <w:autoSpaceDN w:val="0"/>
        <w:rPr>
          <w:rFonts w:eastAsia="Times New Roman"/>
        </w:rPr>
      </w:pPr>
      <w:r w:rsidRPr="00FF2F7A">
        <w:rPr>
          <w:rFonts w:eastAsia="Times New Roman"/>
          <w:noProof/>
          <w:highlight w:val="cyan"/>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142875</wp:posOffset>
                </wp:positionV>
                <wp:extent cx="6057900" cy="0"/>
                <wp:effectExtent l="0" t="0" r="19050"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7900" cy="0"/>
                        </a:xfrm>
                        <a:prstGeom prst="line">
                          <a:avLst/>
                        </a:prstGeom>
                        <a:noFill/>
                        <a:ln w="254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7" style="flip:y;mso-height-percent:0;mso-height-relative:margin;mso-width-percent:0;mso-width-relative:margin;mso-wrap-distance-bottom:0;mso-wrap-distance-left:9pt;mso-wrap-distance-right:9pt;mso-wrap-distance-top:0;mso-wrap-style:square;position:absolute;visibility:visible;z-index:251659264" from="9pt,11.25pt" to="486pt,11.25pt" strokecolor="#4a7ebb" strokeweight="2pt"/>
            </w:pict>
          </mc:Fallback>
        </mc:AlternateContent>
      </w:r>
    </w:p>
    <w:p w:rsidR="004B2ECF" w:rsidP="00FF2F7A" w14:paraId="02D11480" w14:textId="4CB718A9">
      <w:pPr>
        <w:widowControl/>
        <w:autoSpaceDE w:val="0"/>
        <w:autoSpaceDN w:val="0"/>
        <w:ind w:left="288" w:right="288"/>
      </w:pPr>
      <w:r w:rsidRPr="00FF2F7A">
        <w:rPr>
          <w:rFonts w:eastAsia="Times New Roman"/>
          <w:b/>
          <w:color w:val="C00000"/>
        </w:rPr>
        <w:t>Revision:</w:t>
      </w:r>
      <w:r w:rsidRPr="00FF2F7A">
        <w:rPr>
          <w:rFonts w:eastAsia="Times New Roman"/>
          <w:color w:val="C00000"/>
        </w:rPr>
        <w:t xml:space="preserve"> </w:t>
      </w:r>
      <w:r w:rsidRPr="00FF2F7A">
        <w:rPr>
          <w:rFonts w:eastAsia="Times New Roman"/>
        </w:rPr>
        <w:t xml:space="preserve">This </w:t>
      </w:r>
      <w:r w:rsidRPr="00FF2F7A" w:rsidR="00B71470">
        <w:rPr>
          <w:rFonts w:eastAsia="Times New Roman"/>
        </w:rPr>
        <w:t>rule add</w:t>
      </w:r>
      <w:r w:rsidR="005A2290">
        <w:rPr>
          <w:rFonts w:eastAsia="Times New Roman"/>
        </w:rPr>
        <w:t>s</w:t>
      </w:r>
      <w:r w:rsidRPr="00FF2F7A" w:rsidR="00B71470">
        <w:rPr>
          <w:rFonts w:eastAsia="Times New Roman"/>
        </w:rPr>
        <w:t xml:space="preserve"> regulations at §</w:t>
      </w:r>
      <w:r w:rsidRPr="00FF2F7A" w:rsidR="00745CF1">
        <w:rPr>
          <w:rFonts w:eastAsia="Times New Roman"/>
        </w:rPr>
        <w:t>679.46(a)</w:t>
      </w:r>
      <w:r w:rsidRPr="00FF2F7A" w:rsidR="0059431E">
        <w:rPr>
          <w:rFonts w:eastAsia="Times New Roman"/>
        </w:rPr>
        <w:t>(1)</w:t>
      </w:r>
      <w:r w:rsidRPr="00FF2F7A" w:rsidR="00B71470">
        <w:rPr>
          <w:rFonts w:eastAsia="Times New Roman"/>
        </w:rPr>
        <w:t>(i)</w:t>
      </w:r>
      <w:r w:rsidRPr="00FF2F7A">
        <w:rPr>
          <w:rFonts w:eastAsia="Times New Roman"/>
        </w:rPr>
        <w:t xml:space="preserve"> that require </w:t>
      </w:r>
      <w:r w:rsidRPr="00FF2F7A" w:rsidR="002D6D16">
        <w:rPr>
          <w:rFonts w:eastAsia="Times New Roman"/>
        </w:rPr>
        <w:t xml:space="preserve">validation of charter halibut stamps in the Charter Logbook. The charter vessel guide </w:t>
      </w:r>
      <w:r w:rsidR="005A2290">
        <w:rPr>
          <w:rFonts w:eastAsia="Times New Roman"/>
        </w:rPr>
        <w:t>is</w:t>
      </w:r>
      <w:r w:rsidRPr="00FF2F7A" w:rsidR="002D6D16">
        <w:rPr>
          <w:rFonts w:eastAsia="Times New Roman"/>
        </w:rPr>
        <w:t xml:space="preserve"> responsible for ensuring there is a validated charter halibut stamp for each charter vessel angler 18 years of age or older aboard the charter vessel who intends to retain halibut on that day.</w:t>
      </w:r>
      <w:r w:rsidRPr="00FF2F7A" w:rsidR="002D6D16">
        <w:t xml:space="preserve"> </w:t>
      </w:r>
      <w:r w:rsidRPr="00FF2F7A" w:rsidR="00B71470">
        <w:t xml:space="preserve">Before a trip begins, </w:t>
      </w:r>
      <w:r w:rsidRPr="00FF2F7A" w:rsidR="002D6D16">
        <w:rPr>
          <w:rFonts w:eastAsia="Times New Roman"/>
        </w:rPr>
        <w:t>guide</w:t>
      </w:r>
      <w:r w:rsidRPr="00FF2F7A" w:rsidR="00B71470">
        <w:rPr>
          <w:rFonts w:eastAsia="Times New Roman"/>
        </w:rPr>
        <w:t>s</w:t>
      </w:r>
      <w:r w:rsidRPr="00FF2F7A" w:rsidR="002D6D16">
        <w:rPr>
          <w:rFonts w:eastAsia="Times New Roman"/>
        </w:rPr>
        <w:t xml:space="preserve"> </w:t>
      </w:r>
      <w:r w:rsidR="005A2290">
        <w:rPr>
          <w:rFonts w:eastAsia="Times New Roman"/>
        </w:rPr>
        <w:t>are</w:t>
      </w:r>
      <w:r w:rsidRPr="00FF2F7A" w:rsidR="00B71470">
        <w:rPr>
          <w:rFonts w:eastAsia="Times New Roman"/>
        </w:rPr>
        <w:t xml:space="preserve"> required to</w:t>
      </w:r>
      <w:r w:rsidRPr="00FF2F7A" w:rsidR="002D6D16">
        <w:rPr>
          <w:rFonts w:eastAsia="Times New Roman"/>
        </w:rPr>
        <w:t xml:space="preserve"> validate </w:t>
      </w:r>
      <w:r w:rsidRPr="00FF2F7A" w:rsidR="00567532">
        <w:rPr>
          <w:rFonts w:eastAsia="Times New Roman"/>
        </w:rPr>
        <w:t>the</w:t>
      </w:r>
      <w:r w:rsidRPr="00FF2F7A" w:rsidR="002D6D16">
        <w:rPr>
          <w:rFonts w:eastAsia="Times New Roman"/>
        </w:rPr>
        <w:t xml:space="preserve"> stamps</w:t>
      </w:r>
      <w:r w:rsidRPr="00FF2F7A" w:rsidR="00DA6EFA">
        <w:rPr>
          <w:rFonts w:eastAsia="Times New Roman"/>
        </w:rPr>
        <w:t xml:space="preserve"> </w:t>
      </w:r>
      <w:r w:rsidRPr="00FF2F7A" w:rsidR="002D6D16">
        <w:rPr>
          <w:rFonts w:eastAsia="Times New Roman"/>
        </w:rPr>
        <w:t xml:space="preserve">by recording in the </w:t>
      </w:r>
      <w:r w:rsidRPr="00FF2F7A" w:rsidR="00567532">
        <w:rPr>
          <w:rFonts w:eastAsia="Times New Roman"/>
        </w:rPr>
        <w:t>l</w:t>
      </w:r>
      <w:r w:rsidRPr="00FF2F7A" w:rsidR="002D6D16">
        <w:rPr>
          <w:rFonts w:eastAsia="Times New Roman"/>
        </w:rPr>
        <w:t xml:space="preserve">ogbook the number of stamps </w:t>
      </w:r>
      <w:r w:rsidRPr="00FF2F7A" w:rsidR="00B71470">
        <w:t>needed for that charter trip</w:t>
      </w:r>
      <w:r w:rsidRPr="00FF2F7A" w:rsidR="002D6D16">
        <w:rPr>
          <w:rFonts w:eastAsia="Times New Roman"/>
        </w:rPr>
        <w:t>.</w:t>
      </w:r>
      <w:r w:rsidRPr="00FF2F7A" w:rsidR="00DA6EFA">
        <w:t xml:space="preserve"> </w:t>
      </w:r>
      <w:r w:rsidRPr="009E7DC1">
        <w:rPr>
          <w:rFonts w:eastAsia="Times New Roman"/>
        </w:rPr>
        <w:t xml:space="preserve">A new field </w:t>
      </w:r>
      <w:r w:rsidR="005A2290">
        <w:rPr>
          <w:rFonts w:eastAsia="Times New Roman"/>
        </w:rPr>
        <w:t>is being</w:t>
      </w:r>
      <w:r w:rsidRPr="009E7DC1">
        <w:rPr>
          <w:rFonts w:eastAsia="Times New Roman"/>
        </w:rPr>
        <w:t xml:space="preserve"> added to the logbook to record the number of stamps validated for that trip.</w:t>
      </w:r>
      <w:r w:rsidRPr="004B2ECF">
        <w:rPr>
          <w:rFonts w:eastAsia="Times New Roman"/>
        </w:rPr>
        <w:t xml:space="preserve"> </w:t>
      </w:r>
      <w:r w:rsidRPr="00FF2F7A">
        <w:rPr>
          <w:rFonts w:eastAsia="Times New Roman"/>
        </w:rPr>
        <w:t>Pre-trip validation is an enforcement feature that prevent</w:t>
      </w:r>
      <w:r w:rsidR="005A2290">
        <w:rPr>
          <w:rFonts w:eastAsia="Times New Roman"/>
        </w:rPr>
        <w:t>s</w:t>
      </w:r>
      <w:r w:rsidRPr="00FF2F7A">
        <w:rPr>
          <w:rFonts w:eastAsia="Times New Roman"/>
        </w:rPr>
        <w:t xml:space="preserve"> guides from opportunistically validating stamps only when they believe they may be intercepted by enforcement officers, and also provide</w:t>
      </w:r>
      <w:r w:rsidR="005A2290">
        <w:rPr>
          <w:rFonts w:eastAsia="Times New Roman"/>
        </w:rPr>
        <w:t>s</w:t>
      </w:r>
      <w:r w:rsidRPr="00FF2F7A">
        <w:rPr>
          <w:rFonts w:eastAsia="Times New Roman"/>
        </w:rPr>
        <w:t xml:space="preserve"> an enforcement component to the RQE fee program.</w:t>
      </w:r>
    </w:p>
    <w:p w:rsidR="004B2ECF" w:rsidP="00FF2F7A" w14:paraId="2A0C33FD" w14:textId="77777777">
      <w:pPr>
        <w:widowControl/>
        <w:autoSpaceDE w:val="0"/>
        <w:autoSpaceDN w:val="0"/>
        <w:ind w:left="288" w:right="288"/>
      </w:pPr>
    </w:p>
    <w:p w:rsidR="00DA6EFA" w:rsidRPr="00FF2F7A" w:rsidP="00FF2F7A" w14:paraId="31334150" w14:textId="31514E9F">
      <w:pPr>
        <w:widowControl/>
        <w:autoSpaceDE w:val="0"/>
        <w:autoSpaceDN w:val="0"/>
        <w:ind w:left="288" w:right="288"/>
        <w:rPr>
          <w:rFonts w:eastAsia="Times New Roman"/>
        </w:rPr>
      </w:pPr>
      <w:r w:rsidRPr="00FF2F7A">
        <w:t>A</w:t>
      </w:r>
      <w:r w:rsidRPr="00FF2F7A">
        <w:rPr>
          <w:rFonts w:eastAsia="Times New Roman"/>
        </w:rPr>
        <w:t xml:space="preserve"> stamp </w:t>
      </w:r>
      <w:r w:rsidR="005A2290">
        <w:rPr>
          <w:rFonts w:eastAsia="Times New Roman"/>
        </w:rPr>
        <w:t>is</w:t>
      </w:r>
      <w:r w:rsidRPr="00FF2F7A">
        <w:rPr>
          <w:rFonts w:eastAsia="Times New Roman"/>
        </w:rPr>
        <w:t xml:space="preserve"> valid from the time that it is validated, Alaska local time (A.l.t.), through 2400 A.l.t. on the calendar day for which it was validated and </w:t>
      </w:r>
      <w:r w:rsidR="005A2290">
        <w:rPr>
          <w:rFonts w:eastAsia="Times New Roman"/>
        </w:rPr>
        <w:t>is not</w:t>
      </w:r>
      <w:r w:rsidRPr="00FF2F7A">
        <w:rPr>
          <w:rFonts w:eastAsia="Times New Roman"/>
        </w:rPr>
        <w:t xml:space="preserve"> transferable between charter vessel anglers or separate charter vessel fishing trips. For the purposes of stamps, a charter vessel fishing trip that spans multiple days </w:t>
      </w:r>
      <w:r w:rsidR="005A2290">
        <w:rPr>
          <w:rFonts w:eastAsia="Times New Roman"/>
        </w:rPr>
        <w:t xml:space="preserve">must </w:t>
      </w:r>
      <w:r w:rsidRPr="00FF2F7A">
        <w:rPr>
          <w:rFonts w:eastAsia="Times New Roman"/>
        </w:rPr>
        <w:t>treat each calendar day as an individual charter vessel fishing trip, meaning that a stamp need</w:t>
      </w:r>
      <w:r w:rsidR="005A2290">
        <w:rPr>
          <w:rFonts w:eastAsia="Times New Roman"/>
        </w:rPr>
        <w:t>s</w:t>
      </w:r>
      <w:r w:rsidRPr="00FF2F7A">
        <w:rPr>
          <w:rFonts w:eastAsia="Times New Roman"/>
        </w:rPr>
        <w:t xml:space="preserve"> to be validated for each angler on each calendar day. </w:t>
      </w:r>
    </w:p>
    <w:p w:rsidR="00DA6EFA" w:rsidRPr="00FF2F7A" w:rsidP="00FF2F7A" w14:paraId="165D60B9" w14:textId="77777777">
      <w:pPr>
        <w:widowControl/>
        <w:autoSpaceDE w:val="0"/>
        <w:autoSpaceDN w:val="0"/>
        <w:ind w:left="288" w:right="288"/>
      </w:pPr>
    </w:p>
    <w:p w:rsidR="00DA6EFA" w:rsidRPr="00FF2F7A" w:rsidP="00FF2F7A" w14:paraId="175457B3" w14:textId="12D34B17">
      <w:pPr>
        <w:widowControl/>
        <w:autoSpaceDE w:val="0"/>
        <w:autoSpaceDN w:val="0"/>
        <w:ind w:left="288" w:right="288"/>
      </w:pPr>
      <w:r>
        <w:t>T</w:t>
      </w:r>
      <w:r w:rsidRPr="00FF2F7A">
        <w:t xml:space="preserve">he ADF&amp;G </w:t>
      </w:r>
      <w:r>
        <w:t>will share i</w:t>
      </w:r>
      <w:r w:rsidRPr="00FF2F7A">
        <w:t xml:space="preserve">nformation </w:t>
      </w:r>
      <w:r w:rsidRPr="00FF2F7A" w:rsidR="00567532">
        <w:t xml:space="preserve">on stamp validation from Charter Logbooks with NMFS. NMFS </w:t>
      </w:r>
      <w:r>
        <w:t xml:space="preserve">will </w:t>
      </w:r>
      <w:r w:rsidRPr="00FF2F7A" w:rsidR="00567532">
        <w:t>merge the stamp validation information back to the individual CHP holder accounts</w:t>
      </w:r>
      <w:r w:rsidRPr="00FF2F7A" w:rsidR="00506C74">
        <w:t xml:space="preserve"> so that the</w:t>
      </w:r>
      <w:r w:rsidRPr="00FF2F7A" w:rsidR="00567532">
        <w:t xml:space="preserve"> accounts contain a record of stamp purchases and validations. CHP holders </w:t>
      </w:r>
      <w:r>
        <w:t>must</w:t>
      </w:r>
      <w:r w:rsidRPr="00FF2F7A" w:rsidR="00567532">
        <w:t xml:space="preserve"> maintain their accounts so that stamp validations do not exceed stamp purchases at the end of a fishing year.</w:t>
      </w:r>
    </w:p>
    <w:p w:rsidR="00567532" w:rsidRPr="00FF2F7A" w:rsidP="00036A35" w14:paraId="19B5343D" w14:textId="77777777">
      <w:pPr>
        <w:keepNext/>
        <w:widowControl/>
        <w:autoSpaceDE w:val="0"/>
        <w:autoSpaceDN w:val="0"/>
        <w:ind w:left="288" w:right="288"/>
      </w:pPr>
    </w:p>
    <w:p w:rsidR="00567532" w:rsidRPr="007B2B06" w:rsidP="00036A35" w14:paraId="57A1C334" w14:textId="5C8C0DF8">
      <w:pPr>
        <w:keepNext/>
        <w:widowControl/>
        <w:autoSpaceDE w:val="0"/>
        <w:autoSpaceDN w:val="0"/>
        <w:ind w:left="288" w:right="288"/>
        <w:rPr>
          <w:rFonts w:eastAsia="Times New Roman"/>
        </w:rPr>
      </w:pPr>
      <w:r w:rsidRPr="00FF2F7A">
        <w:t xml:space="preserve">The time burden for the Charter Logbook </w:t>
      </w:r>
      <w:r w:rsidR="005A2290">
        <w:t>is</w:t>
      </w:r>
      <w:r w:rsidRPr="00FF2F7A">
        <w:t xml:space="preserve"> increased from 4 minutes to 5 minutes to include 1 minute for validating stamps. This rule </w:t>
      </w:r>
      <w:r w:rsidR="005A2290">
        <w:t>does</w:t>
      </w:r>
      <w:r w:rsidRPr="00FF2F7A" w:rsidR="005A2290">
        <w:t xml:space="preserve"> </w:t>
      </w:r>
      <w:r w:rsidRPr="00FF2F7A">
        <w:t xml:space="preserve">not change the number of respondents or responses for the logbook. </w:t>
      </w:r>
      <w:r w:rsidRPr="00FF2F7A" w:rsidR="003564A2">
        <w:t xml:space="preserve">This logbook is already completed for every charter vessel fishing trip, and the </w:t>
      </w:r>
      <w:r w:rsidR="005A2290">
        <w:t xml:space="preserve">new </w:t>
      </w:r>
      <w:r w:rsidRPr="00FF2F7A" w:rsidR="003564A2">
        <w:t xml:space="preserve">stamp validation field </w:t>
      </w:r>
      <w:r w:rsidR="005A2290">
        <w:t xml:space="preserve">must </w:t>
      </w:r>
      <w:r w:rsidRPr="00FF2F7A" w:rsidR="003564A2">
        <w:t>be completed for every charter vessel fishing trip that intends to retain halibut.</w:t>
      </w:r>
    </w:p>
    <w:p w:rsidR="00036A35" w:rsidRPr="00FF2F7A" w:rsidP="00036A35" w14:paraId="73CA80D2" w14:textId="77777777">
      <w:pPr>
        <w:keepNext/>
        <w:widowControl/>
        <w:autoSpaceDE w:val="0"/>
        <w:autoSpaceDN w:val="0"/>
        <w:rPr>
          <w:rFonts w:eastAsia="Times New Roman"/>
        </w:rPr>
      </w:pPr>
      <w:r w:rsidRPr="00FF2F7A">
        <w:rPr>
          <w:rFonts w:eastAsia="Times New Roman"/>
          <w:noProof/>
          <w:highlight w:val="cyan"/>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50800</wp:posOffset>
                </wp:positionV>
                <wp:extent cx="6057900" cy="0"/>
                <wp:effectExtent l="0" t="0" r="19050"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6057900" cy="0"/>
                        </a:xfrm>
                        <a:prstGeom prst="line">
                          <a:avLst/>
                        </a:prstGeom>
                        <a:noFill/>
                        <a:ln w="254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8" style="mso-height-percent:0;mso-height-relative:margin;mso-width-percent:0;mso-width-relative:margin;mso-wrap-distance-bottom:0;mso-wrap-distance-left:9pt;mso-wrap-distance-right:9pt;mso-wrap-distance-top:0;mso-wrap-style:square;position:absolute;visibility:visible;z-index:251661312" from="9pt,4pt" to="486pt,4pt" strokecolor="#4a7ebb" strokeweight="2pt"/>
            </w:pict>
          </mc:Fallback>
        </mc:AlternateContent>
      </w:r>
    </w:p>
    <w:p w:rsidR="00F64454" w:rsidRPr="00F10509" w:rsidP="000962C3" w14:paraId="3ABCFDD0" w14:textId="77777777">
      <w:pPr>
        <w:adjustRightInd w:val="0"/>
      </w:pPr>
      <w:r w:rsidRPr="00565D66">
        <w:t>Regulations at 50 CFR 300.65</w:t>
      </w:r>
      <w:r w:rsidR="001A71A0">
        <w:t>(d)</w:t>
      </w:r>
      <w:r w:rsidRPr="00565D66">
        <w:t xml:space="preserve"> require halibut charter vessels operating in IPHC Areas 2C and 3A to </w:t>
      </w:r>
      <w:r w:rsidRPr="00194C45" w:rsidR="008F7FBF">
        <w:t>record all</w:t>
      </w:r>
      <w:r w:rsidRPr="00525C2D" w:rsidR="008F7FBF">
        <w:t xml:space="preserve"> halibut caught and kept by charter vessel anglers in the </w:t>
      </w:r>
      <w:r w:rsidRPr="00232F10" w:rsidR="008F7FBF">
        <w:t xml:space="preserve">ADF&amp;G Saltwater Sport Fishing Charter Trip Logbook </w:t>
      </w:r>
      <w:r w:rsidR="008F7FBF">
        <w:t>(</w:t>
      </w:r>
      <w:r w:rsidRPr="00525C2D" w:rsidR="008F7FBF">
        <w:t>Charter Logbook</w:t>
      </w:r>
      <w:r w:rsidR="008F7FBF">
        <w:t xml:space="preserve">) and to </w:t>
      </w:r>
      <w:r w:rsidRPr="00565D66">
        <w:t>submit Charter Logbook data sheets.</w:t>
      </w:r>
      <w:r w:rsidR="00154F79">
        <w:t xml:space="preserve"> </w:t>
      </w:r>
      <w:r w:rsidRPr="00565D66">
        <w:t>The Charter Logbook is the primary reporting requirement for operators in the charter fisheries for all species harvested in saltwater in Areas 2C and 3A.</w:t>
      </w:r>
      <w:r w:rsidR="00154F79">
        <w:t xml:space="preserve"> </w:t>
      </w:r>
      <w:r w:rsidRPr="00525C2D" w:rsidR="008F7FBF">
        <w:t xml:space="preserve">Logbook reporting is the basis for estimating annual charter harvests of halibut relative to the charter catch limits. </w:t>
      </w:r>
      <w:r w:rsidRPr="00565D66">
        <w:t>ADF&amp;G compiles the Charter Logbook data to show where fishing occurs, the extent of participation, and the species and the numbers of fish caught and harvested by individual anglers. In recent years, the ADF&amp;G added Charter Logbook reporting requirements to accommodate Federal halibut charter regulations.</w:t>
      </w:r>
      <w:r w:rsidR="00154F79">
        <w:t xml:space="preserve"> </w:t>
      </w:r>
      <w:r w:rsidR="008F7FBF">
        <w:t xml:space="preserve">More information on the </w:t>
      </w:r>
      <w:r w:rsidRPr="005068E5" w:rsidR="008F7FBF">
        <w:t>Charter Logbook</w:t>
      </w:r>
      <w:r w:rsidR="008F7FBF">
        <w:t xml:space="preserve"> is available on the ADF&amp;G website at </w:t>
      </w:r>
      <w:hyperlink r:id="rId23" w:history="1">
        <w:r w:rsidRPr="00BD2C59" w:rsidR="008F7FBF">
          <w:rPr>
            <w:rStyle w:val="Hyperlink"/>
          </w:rPr>
          <w:t>https://www.adfg.alaska.gov/index.cfm?adfg=SFGuidesLicense.Logbook</w:t>
        </w:r>
      </w:hyperlink>
      <w:r w:rsidR="008F7FBF">
        <w:t>.</w:t>
      </w:r>
    </w:p>
    <w:p w:rsidR="00F64454" w:rsidRPr="002712A9" w:rsidP="000962C3" w14:paraId="7F61E269" w14:textId="77777777">
      <w:pPr>
        <w:adjustRightInd w:val="0"/>
      </w:pPr>
    </w:p>
    <w:p w:rsidR="00F64454" w:rsidRPr="00F10509" w:rsidP="000962C3" w14:paraId="6937CBC8" w14:textId="2C60390F">
      <w:pPr>
        <w:adjustRightInd w:val="0"/>
      </w:pPr>
      <w:r w:rsidRPr="00590322">
        <w:t>ADF&amp;G implemented electronic logbooks (</w:t>
      </w:r>
      <w:r w:rsidRPr="00590322">
        <w:t>eLogbooks</w:t>
      </w:r>
      <w:r w:rsidRPr="00590322">
        <w:t xml:space="preserve">) in 2021 and requires that charter operators use </w:t>
      </w:r>
      <w:r w:rsidRPr="00590322">
        <w:t>eLogbooks</w:t>
      </w:r>
      <w:r w:rsidRPr="00590322">
        <w:t xml:space="preserve"> to report their sport fishing activity in Area 2C</w:t>
      </w:r>
      <w:r w:rsidR="008F7FBF">
        <w:t>.</w:t>
      </w:r>
      <w:r w:rsidR="00434152">
        <w:t xml:space="preserve">Iin Area 3A, </w:t>
      </w:r>
      <w:r w:rsidR="00302F33">
        <w:t>eLogbook</w:t>
      </w:r>
      <w:r w:rsidR="00500853">
        <w:t>s</w:t>
      </w:r>
      <w:r w:rsidR="00500853">
        <w:t xml:space="preserve"> are currently optional </w:t>
      </w:r>
      <w:r>
        <w:t>but will be</w:t>
      </w:r>
      <w:r w:rsidR="00A538B1">
        <w:t xml:space="preserve"> required </w:t>
      </w:r>
      <w:r>
        <w:t>beginning in</w:t>
      </w:r>
      <w:r w:rsidR="00500853">
        <w:t xml:space="preserve"> 2025. </w:t>
      </w:r>
      <w:r w:rsidRPr="00565D66" w:rsidR="002442B4">
        <w:t xml:space="preserve">Since the implementation of </w:t>
      </w:r>
      <w:r w:rsidR="00023149">
        <w:t xml:space="preserve">the </w:t>
      </w:r>
      <w:r w:rsidR="00302F33">
        <w:t>eLogbook</w:t>
      </w:r>
      <w:r w:rsidR="00023149">
        <w:t>,</w:t>
      </w:r>
      <w:r w:rsidRPr="00565D66" w:rsidR="002442B4">
        <w:t xml:space="preserve"> </w:t>
      </w:r>
      <w:r w:rsidRPr="00044336" w:rsidR="00044336">
        <w:t xml:space="preserve">ADF&amp;G recommends that operators who use </w:t>
      </w:r>
      <w:r w:rsidR="00044336">
        <w:t xml:space="preserve">an </w:t>
      </w:r>
      <w:r w:rsidRPr="00044336" w:rsidR="00044336">
        <w:t>eLogbook retain a paper logbook at all times to use in the event of technical difficulty or equipment failure.</w:t>
      </w:r>
      <w:r w:rsidR="00044336">
        <w:t xml:space="preserve"> </w:t>
      </w:r>
      <w:r w:rsidRPr="00565D66">
        <w:t xml:space="preserve">The information collected </w:t>
      </w:r>
      <w:r w:rsidRPr="00565D66" w:rsidR="002442B4">
        <w:t xml:space="preserve">and reporting requirements for </w:t>
      </w:r>
      <w:r w:rsidRPr="00565D66">
        <w:t>each logbook format is the same.</w:t>
      </w:r>
      <w:r w:rsidRPr="00F10509">
        <w:t xml:space="preserve"> </w:t>
      </w:r>
    </w:p>
    <w:p w:rsidR="00F64454" w:rsidRPr="002712A9" w:rsidP="000962C3" w14:paraId="1C919864" w14:textId="77777777">
      <w:pPr>
        <w:adjustRightInd w:val="0"/>
      </w:pPr>
    </w:p>
    <w:p w:rsidR="00F64454" w:rsidRPr="00565D66" w:rsidP="000962C3" w14:paraId="188FFAEA" w14:textId="77777777">
      <w:pPr>
        <w:tabs>
          <w:tab w:val="left" w:pos="360"/>
        </w:tabs>
        <w:adjustRightInd w:val="0"/>
      </w:pPr>
      <w:r w:rsidRPr="00565D66">
        <w:t>The charter vessel guide is responsible for complying with the following recordkeeping and reporting requirements by the end of the calendar day or by the end of the charter vessel fishing trip, whichever comes first.</w:t>
      </w:r>
    </w:p>
    <w:p w:rsidR="00F64454" w:rsidRPr="00565D66" w:rsidP="00F64454" w14:paraId="66999A87" w14:textId="77777777">
      <w:pPr>
        <w:numPr>
          <w:ilvl w:val="0"/>
          <w:numId w:val="14"/>
        </w:numPr>
        <w:tabs>
          <w:tab w:val="left" w:pos="360"/>
          <w:tab w:val="left" w:pos="720"/>
          <w:tab w:val="left" w:pos="1080"/>
        </w:tabs>
        <w:autoSpaceDE w:val="0"/>
        <w:autoSpaceDN w:val="0"/>
        <w:adjustRightInd w:val="0"/>
        <w:contextualSpacing/>
      </w:pPr>
      <w:r w:rsidRPr="00565D66">
        <w:t>Use a separate data sheet for each calendar day that halibut are caught and retained during a multi-day trip.</w:t>
      </w:r>
      <w:r w:rsidR="00154F79">
        <w:t xml:space="preserve"> </w:t>
      </w:r>
    </w:p>
    <w:p w:rsidR="00F64454" w:rsidRPr="00565D66" w:rsidP="00F64454" w14:paraId="2DCA1DBD" w14:textId="77777777">
      <w:pPr>
        <w:numPr>
          <w:ilvl w:val="0"/>
          <w:numId w:val="14"/>
        </w:numPr>
        <w:tabs>
          <w:tab w:val="left" w:pos="360"/>
          <w:tab w:val="left" w:pos="720"/>
          <w:tab w:val="left" w:pos="1080"/>
        </w:tabs>
        <w:autoSpaceDE w:val="0"/>
        <w:autoSpaceDN w:val="0"/>
        <w:adjustRightInd w:val="0"/>
        <w:contextualSpacing/>
      </w:pPr>
      <w:r w:rsidRPr="00565D66">
        <w:t>Use a separate data sheet for each charter vessel fishing trip if two or more trips were taken on the same day.</w:t>
      </w:r>
      <w:r w:rsidR="00154F79">
        <w:t xml:space="preserve"> </w:t>
      </w:r>
    </w:p>
    <w:p w:rsidR="00F64454" w:rsidRPr="00565D66" w:rsidP="00F64454" w14:paraId="3DE39654" w14:textId="77777777">
      <w:pPr>
        <w:numPr>
          <w:ilvl w:val="0"/>
          <w:numId w:val="14"/>
        </w:numPr>
        <w:tabs>
          <w:tab w:val="left" w:pos="360"/>
          <w:tab w:val="left" w:pos="720"/>
          <w:tab w:val="left" w:pos="1080"/>
        </w:tabs>
        <w:autoSpaceDE w:val="0"/>
        <w:autoSpaceDN w:val="0"/>
        <w:adjustRightInd w:val="0"/>
        <w:contextualSpacing/>
      </w:pPr>
      <w:r w:rsidRPr="00565D66">
        <w:t>Record each charter fishing trip on one data sheet, unless halibut are caught in both Area 2C and in Area 3A, in which case use an additional data sheet to record halibut caught in the second area.</w:t>
      </w:r>
      <w:r w:rsidR="00154F79">
        <w:t xml:space="preserve"> </w:t>
      </w:r>
    </w:p>
    <w:p w:rsidR="00F64454" w:rsidRPr="00565D66" w:rsidP="00F64454" w14:paraId="5F0AF6F8" w14:textId="77777777">
      <w:pPr>
        <w:numPr>
          <w:ilvl w:val="0"/>
          <w:numId w:val="14"/>
        </w:numPr>
        <w:tabs>
          <w:tab w:val="left" w:pos="360"/>
          <w:tab w:val="left" w:pos="720"/>
          <w:tab w:val="left" w:pos="1080"/>
        </w:tabs>
        <w:autoSpaceDE w:val="0"/>
        <w:autoSpaceDN w:val="0"/>
        <w:adjustRightInd w:val="0"/>
        <w:contextualSpacing/>
      </w:pPr>
      <w:r w:rsidRPr="00565D66">
        <w:t>Retain all data sheets showing halibut harvest for 2 years after the end of the fishing year for which the logbook was issued.</w:t>
      </w:r>
      <w:r w:rsidR="00154F79">
        <w:t xml:space="preserve"> </w:t>
      </w:r>
    </w:p>
    <w:p w:rsidR="00F64454" w:rsidRPr="00565D66" w:rsidP="00F64454" w14:paraId="42B17BDC" w14:textId="77777777">
      <w:pPr>
        <w:numPr>
          <w:ilvl w:val="0"/>
          <w:numId w:val="14"/>
        </w:numPr>
        <w:tabs>
          <w:tab w:val="left" w:pos="0"/>
          <w:tab w:val="left" w:pos="360"/>
        </w:tabs>
        <w:autoSpaceDE w:val="0"/>
        <w:autoSpaceDN w:val="0"/>
        <w:adjustRightInd w:val="0"/>
        <w:contextualSpacing/>
      </w:pPr>
      <w:r w:rsidRPr="00565D66">
        <w:t>Make the data sheets available for inspection upon the request of an authorized officer.</w:t>
      </w:r>
    </w:p>
    <w:p w:rsidR="00F64454" w:rsidRPr="00F10509" w:rsidP="00F64454" w14:paraId="2DE972C0" w14:textId="77777777">
      <w:pPr>
        <w:tabs>
          <w:tab w:val="left" w:pos="360"/>
          <w:tab w:val="left" w:pos="720"/>
          <w:tab w:val="left" w:pos="1080"/>
        </w:tabs>
        <w:adjustRightInd w:val="0"/>
      </w:pPr>
    </w:p>
    <w:p w:rsidR="00F64454" w:rsidRPr="00154F79" w:rsidP="00F64454" w14:paraId="6FE402B1" w14:textId="77777777">
      <w:pPr>
        <w:adjustRightInd w:val="0"/>
      </w:pPr>
      <w:r w:rsidRPr="00154F79">
        <w:t>The deadlines to submit the Charter Logbook data sheets are as follows:</w:t>
      </w:r>
    </w:p>
    <w:p w:rsidR="00F64454" w:rsidRPr="00154F79" w:rsidP="00F64454" w14:paraId="1948436E" w14:textId="77777777">
      <w:pPr>
        <w:adjustRightInd w:val="0"/>
      </w:pPr>
      <w:r w:rsidRPr="00154F79">
        <w:t>For a charter vessel fishing trip during which halibut were caught and retained</w:t>
      </w:r>
    </w:p>
    <w:p w:rsidR="00F64454" w:rsidRPr="00154F79" w:rsidP="00F64454" w14:paraId="044F81A5" w14:textId="77777777">
      <w:pPr>
        <w:numPr>
          <w:ilvl w:val="0"/>
          <w:numId w:val="13"/>
        </w:numPr>
        <w:tabs>
          <w:tab w:val="left" w:pos="360"/>
          <w:tab w:val="left" w:pos="720"/>
          <w:tab w:val="left" w:pos="1080"/>
        </w:tabs>
        <w:autoSpaceDE w:val="0"/>
        <w:autoSpaceDN w:val="0"/>
        <w:adjustRightInd w:val="0"/>
        <w:contextualSpacing/>
      </w:pPr>
      <w:r w:rsidRPr="00154F79">
        <w:rPr>
          <w:i/>
        </w:rPr>
        <w:t>on or after the first Monday in April and on or before December 31,</w:t>
      </w:r>
      <w:r w:rsidRPr="00154F79">
        <w:t xml:space="preserve"> data sheets must be submitted to the ADF&amp;G and postmarked or received no later than 14 calendar days after the Monday of the fishing week (as defined in 50 CFR 300.61) </w:t>
      </w:r>
    </w:p>
    <w:p w:rsidR="00F64454" w:rsidRPr="00154F79" w:rsidP="00F64454" w14:paraId="792D50A2" w14:textId="77777777">
      <w:pPr>
        <w:numPr>
          <w:ilvl w:val="0"/>
          <w:numId w:val="13"/>
        </w:numPr>
        <w:tabs>
          <w:tab w:val="left" w:pos="360"/>
          <w:tab w:val="left" w:pos="720"/>
          <w:tab w:val="left" w:pos="1080"/>
        </w:tabs>
        <w:autoSpaceDE w:val="0"/>
        <w:autoSpaceDN w:val="0"/>
        <w:adjustRightInd w:val="0"/>
        <w:contextualSpacing/>
      </w:pPr>
      <w:r w:rsidRPr="00154F79">
        <w:rPr>
          <w:i/>
        </w:rPr>
        <w:t xml:space="preserve">on January 1 through the first Sunday in April, </w:t>
      </w:r>
      <w:r w:rsidRPr="00154F79">
        <w:t>data sheets must be submitted to the ADF&amp;G and postmarked or received no later than the second Monday in April.</w:t>
      </w:r>
      <w:r w:rsidR="00154F79">
        <w:t xml:space="preserve"> </w:t>
      </w:r>
    </w:p>
    <w:p w:rsidR="00F64454" w:rsidRPr="00154F79" w:rsidP="00F64454" w14:paraId="5A7B51CF" w14:textId="77777777">
      <w:pPr>
        <w:tabs>
          <w:tab w:val="left" w:pos="360"/>
          <w:tab w:val="left" w:pos="720"/>
          <w:tab w:val="left" w:pos="1080"/>
        </w:tabs>
        <w:adjustRightInd w:val="0"/>
        <w:ind w:left="720"/>
        <w:contextualSpacing/>
        <w:rPr>
          <w:b/>
          <w:i/>
        </w:rPr>
      </w:pPr>
    </w:p>
    <w:p w:rsidR="00F64454" w:rsidRPr="00154F79" w:rsidP="00F64454" w14:paraId="47FE4EE3" w14:textId="77777777">
      <w:pPr>
        <w:adjustRightInd w:val="0"/>
      </w:pPr>
      <w:r w:rsidRPr="00FF2F7A">
        <w:t xml:space="preserve">Current Federal regulations require charter vessel guides to enter the names and sport </w:t>
      </w:r>
      <w:r w:rsidRPr="00FF2F7A">
        <w:t>fishin</w:t>
      </w:r>
      <w:r>
        <w:t>n</w:t>
      </w:r>
      <w:r w:rsidRPr="00FF2F7A">
        <w:t>g</w:t>
      </w:r>
      <w:r w:rsidRPr="00FF2F7A">
        <w:t xml:space="preserve"> license numbers of the charter vessel anglers on Charter Logbooks before a trip begins. </w:t>
      </w:r>
      <w:r w:rsidRPr="00154F79">
        <w:t xml:space="preserve">A complete Charter Logbook includes the date of fishing trip, guide license number, GAF permit number, Alaska sport fishing license numbers and names and signatures of clients, </w:t>
      </w:r>
      <w:r w:rsidRPr="00154F79" w:rsidR="004609A4">
        <w:t xml:space="preserve">Alaska residency, </w:t>
      </w:r>
      <w:r w:rsidRPr="00154F79">
        <w:t xml:space="preserve">the catch of any halibut, any GAF halibut retained, and a signature certifying the accuracy of the entry. </w:t>
      </w:r>
    </w:p>
    <w:p w:rsidR="009E7DC1" w:rsidP="009E7DC1" w14:paraId="02252865" w14:textId="77777777">
      <w:pPr>
        <w:adjustRightInd w:val="0"/>
      </w:pPr>
    </w:p>
    <w:p w:rsidR="009F49FB" w:rsidP="00F64454" w14:paraId="668B5A92" w14:textId="77777777">
      <w:pPr>
        <w:adjustRightInd w:val="0"/>
      </w:pPr>
      <w:r w:rsidRPr="00154F79">
        <w:t xml:space="preserve">If GAF halibut are caught and kept during a charter vessel fishing trip, the guide must record the GAF permit number on the logbook data sheet for that trip and have a copy of the GAF permit and GAF permit log on board the vessel during that trip. The GAF permit number in the logbook allows ADF&amp;G and </w:t>
      </w:r>
      <w:r w:rsidR="00F56791">
        <w:t xml:space="preserve">NOAA </w:t>
      </w:r>
      <w:r w:rsidRPr="00154F79">
        <w:t>OLE staff to cross reference the GAF electronic reports and the GAF permits and logs.</w:t>
      </w:r>
      <w:r w:rsidRPr="009847A5">
        <w:t xml:space="preserve"> </w:t>
      </w:r>
    </w:p>
    <w:p w:rsidR="009E7DC1" w:rsidP="009E7DC1" w14:paraId="0B1E6F82" w14:textId="77777777">
      <w:pPr>
        <w:adjustRightInd w:val="0"/>
      </w:pPr>
    </w:p>
    <w:p w:rsidR="009E7DC1" w:rsidRPr="00154F79" w:rsidP="009E7DC1" w14:paraId="29A877E3" w14:textId="77777777">
      <w:pPr>
        <w:adjustRightInd w:val="0"/>
      </w:pPr>
      <w:r w:rsidRPr="00154F79">
        <w:t>Each charter vessel angler who retains halibut caught in IPHC areas 2C or 3A must acknowledge that his or her name, license number (if required), and number of halibut retained are recorded correctly by signing the Charter Logbook data sheet on the line that corresponds to the angler's information.</w:t>
      </w:r>
      <w:r>
        <w:t xml:space="preserve"> </w:t>
      </w:r>
      <w:r w:rsidRPr="00154F79">
        <w:t xml:space="preserve">Because the charter vessel guide must verify the signature of each charter vessel angler, the cost and burden of the angler signature are included in the </w:t>
      </w:r>
      <w:r>
        <w:t>this logbook’s</w:t>
      </w:r>
      <w:r w:rsidRPr="00154F79">
        <w:t xml:space="preserve"> burden and cost.</w:t>
      </w:r>
    </w:p>
    <w:p w:rsidR="00B431BD" w:rsidP="00F64454" w14:paraId="3F0C1901" w14:textId="77777777">
      <w:pPr>
        <w:adjustRightInd w:val="0"/>
      </w:pPr>
    </w:p>
    <w:p w:rsidR="00370B85" w:rsidP="00812043" w14:paraId="4E28178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4454" w:rsidP="00B7052D" w14:paraId="731B598D" w14:textId="77777777">
      <w:pPr>
        <w:widowControl/>
      </w:pPr>
    </w:p>
    <w:p w:rsidR="00106C47" w:rsidP="000F49D9" w14:paraId="3240E140" w14:textId="571369B0">
      <w:pPr>
        <w:widowControl/>
        <w:tabs>
          <w:tab w:val="left" w:pos="360"/>
          <w:tab w:val="left" w:pos="720"/>
          <w:tab w:val="left" w:pos="1080"/>
        </w:tabs>
        <w:adjustRightInd w:val="0"/>
      </w:pPr>
      <w:r>
        <w:t>The charter halibut stamps required by t</w:t>
      </w:r>
      <w:r w:rsidR="00506C74">
        <w:t>his rule (RIN 0648-BN18)</w:t>
      </w:r>
      <w:r>
        <w:t xml:space="preserve"> </w:t>
      </w:r>
      <w:r w:rsidR="00434152">
        <w:t>will be</w:t>
      </w:r>
      <w:r>
        <w:t xml:space="preserve"> </w:t>
      </w:r>
      <w:r w:rsidR="00506C74">
        <w:t>purchase</w:t>
      </w:r>
      <w:r>
        <w:t>d</w:t>
      </w:r>
      <w:r w:rsidR="00506C74">
        <w:t xml:space="preserve"> electronically through eFISH. </w:t>
      </w:r>
      <w:r w:rsidRPr="004C4232" w:rsidR="00506C74">
        <w:t xml:space="preserve">The GAF </w:t>
      </w:r>
      <w:r w:rsidR="00506C74">
        <w:t>e</w:t>
      </w:r>
      <w:r w:rsidRPr="004C4232" w:rsidR="00506C74">
        <w:t xml:space="preserve">lectronic </w:t>
      </w:r>
      <w:r w:rsidR="00506C74">
        <w:t>l</w:t>
      </w:r>
      <w:r w:rsidRPr="004C4232" w:rsidR="00506C74">
        <w:t xml:space="preserve">anding </w:t>
      </w:r>
      <w:r w:rsidR="00506C74">
        <w:t>r</w:t>
      </w:r>
      <w:r w:rsidRPr="004C4232" w:rsidR="00506C74">
        <w:t xml:space="preserve">eport is submitted </w:t>
      </w:r>
      <w:r w:rsidR="00221E77">
        <w:t>electronically</w:t>
      </w:r>
      <w:r w:rsidRPr="004C4232" w:rsidR="00221E77">
        <w:t xml:space="preserve"> </w:t>
      </w:r>
      <w:r w:rsidRPr="004C4232" w:rsidR="00506C74">
        <w:t xml:space="preserve">to NMFS through eFISH. </w:t>
      </w:r>
    </w:p>
    <w:p w:rsidR="00106C47" w:rsidP="000F49D9" w14:paraId="7DBB002D" w14:textId="77777777">
      <w:pPr>
        <w:widowControl/>
        <w:tabs>
          <w:tab w:val="left" w:pos="360"/>
          <w:tab w:val="left" w:pos="720"/>
          <w:tab w:val="left" w:pos="1080"/>
        </w:tabs>
        <w:adjustRightInd w:val="0"/>
      </w:pPr>
    </w:p>
    <w:p w:rsidR="00F64454" w:rsidRPr="004C4232" w:rsidP="000F49D9" w14:paraId="7B47694F" w14:textId="79EF245B">
      <w:pPr>
        <w:widowControl/>
        <w:tabs>
          <w:tab w:val="left" w:pos="360"/>
          <w:tab w:val="left" w:pos="720"/>
          <w:tab w:val="left" w:pos="1080"/>
        </w:tabs>
        <w:adjustRightInd w:val="0"/>
      </w:pPr>
      <w:r>
        <w:t>T</w:t>
      </w:r>
      <w:r w:rsidRPr="004C4232" w:rsidR="004C660D">
        <w:t xml:space="preserve">he </w:t>
      </w:r>
      <w:r w:rsidR="004C660D">
        <w:t xml:space="preserve">Application for Annual Registration of </w:t>
      </w:r>
      <w:r w:rsidRPr="004C4232" w:rsidR="004C660D">
        <w:t xml:space="preserve">CHP may be submitted </w:t>
      </w:r>
      <w:r w:rsidR="00221E77">
        <w:t xml:space="preserve">electronically </w:t>
      </w:r>
      <w:r w:rsidR="004C660D">
        <w:t>to NMFS through eFISH</w:t>
      </w:r>
      <w:r w:rsidR="00106C47">
        <w:t>, and about 50 percent are submitted electronically</w:t>
      </w:r>
      <w:r w:rsidR="004C660D">
        <w:t>.</w:t>
      </w:r>
    </w:p>
    <w:p w:rsidR="00F64454" w:rsidRPr="00B7052D" w:rsidP="000F49D9" w14:paraId="7D9FFBE6" w14:textId="77777777">
      <w:pPr>
        <w:widowControl/>
        <w:ind w:left="131"/>
        <w:rPr>
          <w:color w:val="000000"/>
        </w:rPr>
      </w:pPr>
    </w:p>
    <w:p w:rsidR="00F64454" w:rsidP="000F49D9" w14:paraId="7D8F9EA9" w14:textId="77777777">
      <w:pPr>
        <w:widowControl/>
        <w:rPr>
          <w:color w:val="000000"/>
        </w:rPr>
      </w:pPr>
      <w:r w:rsidRPr="00ED2615">
        <w:rPr>
          <w:rFonts w:eastAsia="Times New Roman"/>
        </w:rPr>
        <w:t>eFISH</w:t>
      </w:r>
      <w:r w:rsidRPr="002650EA">
        <w:rPr>
          <w:rFonts w:eastAsia="Times New Roman"/>
        </w:rPr>
        <w:t xml:space="preserve"> is the NMFS Alaska Region online Fisheries Information System. </w:t>
      </w:r>
      <w:r w:rsidRPr="002650EA">
        <w:rPr>
          <w:rFonts w:eastAsia="Times New Roman"/>
          <w:color w:val="000000"/>
        </w:rPr>
        <w:t xml:space="preserve">eFISH provides an online method to submit applications and access to participants’ NMFS permit accounts. </w:t>
      </w:r>
      <w:r w:rsidRPr="00B7052D">
        <w:rPr>
          <w:color w:val="000000"/>
        </w:rPr>
        <w:t xml:space="preserve">eFISH allows participants to </w:t>
      </w:r>
      <w:r w:rsidR="00636322">
        <w:rPr>
          <w:color w:val="000000"/>
        </w:rPr>
        <w:t xml:space="preserve">pay fees; </w:t>
      </w:r>
      <w:r w:rsidRPr="00B7052D">
        <w:rPr>
          <w:color w:val="000000"/>
        </w:rPr>
        <w:t xml:space="preserve">check account balances, vessel balances, and landing ledger reports; </w:t>
      </w:r>
      <w:r w:rsidR="00636322">
        <w:rPr>
          <w:color w:val="000000"/>
        </w:rPr>
        <w:t xml:space="preserve">check </w:t>
      </w:r>
      <w:r w:rsidRPr="00B7052D">
        <w:rPr>
          <w:color w:val="000000"/>
        </w:rPr>
        <w:t>quota share ho</w:t>
      </w:r>
      <w:r w:rsidR="00636322">
        <w:rPr>
          <w:color w:val="000000"/>
        </w:rPr>
        <w:t>ldings reports and</w:t>
      </w:r>
      <w:r w:rsidRPr="00B7052D">
        <w:rPr>
          <w:color w:val="000000"/>
        </w:rPr>
        <w:t xml:space="preserve"> processor quota share holding reports from various fisheries; report landings; conduct quota transfers; renew certain fishery permits; and check a GAF permit balance. Permit holders access eFISH through a User ID and password issued by NMFS. Instructions for using eFISH are posted on the NMFS Alaska Region website at </w:t>
      </w:r>
      <w:hyperlink r:id="rId24" w:history="1">
        <w:r w:rsidRPr="00B7052D">
          <w:rPr>
            <w:color w:val="0000FF"/>
            <w:u w:val="single"/>
          </w:rPr>
          <w:t>https://alaskafisheries.noaa.gov/node/30749</w:t>
        </w:r>
      </w:hyperlink>
      <w:r w:rsidRPr="00B7052D">
        <w:rPr>
          <w:color w:val="000000"/>
        </w:rPr>
        <w:t>.</w:t>
      </w:r>
    </w:p>
    <w:p w:rsidR="00954E13" w:rsidP="000F49D9" w14:paraId="09C6C032" w14:textId="77777777">
      <w:pPr>
        <w:widowControl/>
        <w:rPr>
          <w:color w:val="000000"/>
        </w:rPr>
      </w:pPr>
    </w:p>
    <w:p w:rsidR="00954E13" w:rsidRPr="00154F79" w:rsidP="000F49D9" w14:paraId="28C7E8F3" w14:textId="516F88A0">
      <w:pPr>
        <w:widowControl/>
        <w:tabs>
          <w:tab w:val="left" w:pos="360"/>
          <w:tab w:val="left" w:pos="720"/>
          <w:tab w:val="left" w:pos="1080"/>
        </w:tabs>
        <w:adjustRightInd w:val="0"/>
      </w:pPr>
      <w:r w:rsidRPr="00154F79">
        <w:t>In 2021, ADF&amp;G trans</w:t>
      </w:r>
      <w:r>
        <w:t xml:space="preserve">itioned to electronic logbooks </w:t>
      </w:r>
      <w:r w:rsidRPr="00154F79">
        <w:t>for charter operators and guides. The e</w:t>
      </w:r>
      <w:r>
        <w:t xml:space="preserve">lectronic logbook </w:t>
      </w:r>
      <w:r w:rsidRPr="00154F79">
        <w:t>is a web-based application that is designed to work on most smartphones, tablets, laptops, and desktop computers. ADF&amp;G recommends that operators us</w:t>
      </w:r>
      <w:r w:rsidR="00221E77">
        <w:t>ing</w:t>
      </w:r>
      <w:r>
        <w:t xml:space="preserve"> an</w:t>
      </w:r>
      <w:r w:rsidRPr="00154F79">
        <w:t xml:space="preserve"> </w:t>
      </w:r>
      <w:r>
        <w:t>electronic logbook</w:t>
      </w:r>
      <w:r w:rsidRPr="00154F79">
        <w:t xml:space="preserve"> retain a paper logbook at all times to use in the event of technical difficulty or equipment failure.</w:t>
      </w:r>
      <w:r>
        <w:t xml:space="preserve"> </w:t>
      </w:r>
      <w:r w:rsidR="000A38E8">
        <w:t xml:space="preserve">The electronic logbook is required in Area 2A. </w:t>
      </w:r>
      <w:r w:rsidR="00106C47">
        <w:t xml:space="preserve">Currently about 50% of logbooks are submitted electronically, but this percentage will increase beginning in 2025, when electronic </w:t>
      </w:r>
      <w:r w:rsidR="000A38E8">
        <w:t>logbooks will be required in Area 3A.</w:t>
      </w:r>
    </w:p>
    <w:p w:rsidR="00954E13" w:rsidP="000F49D9" w14:paraId="18408141" w14:textId="77777777">
      <w:pPr>
        <w:widowControl/>
        <w:rPr>
          <w:color w:val="000000"/>
        </w:rPr>
      </w:pPr>
    </w:p>
    <w:p w:rsidR="002650EA" w:rsidP="000F49D9" w14:paraId="4367FAC9" w14:textId="77777777">
      <w:pPr>
        <w:widowControl/>
        <w:rPr>
          <w:color w:val="000000"/>
        </w:rPr>
      </w:pPr>
      <w:r w:rsidRPr="00954E13">
        <w:rPr>
          <w:color w:val="000000"/>
        </w:rPr>
        <w:t xml:space="preserve">The Application for Transfer of CHP cannot be submitted electronically because it requires return of the original CHPs. </w:t>
      </w:r>
    </w:p>
    <w:p w:rsidR="00221E77" w:rsidP="00221E77" w14:paraId="47BE3486" w14:textId="77777777">
      <w:pPr>
        <w:widowControl/>
        <w:rPr>
          <w:color w:val="000000"/>
        </w:rPr>
      </w:pPr>
    </w:p>
    <w:p w:rsidR="00221E77" w:rsidRPr="00954E13" w:rsidP="00221E77" w14:paraId="01725612" w14:textId="4A98172F">
      <w:pPr>
        <w:widowControl/>
        <w:rPr>
          <w:color w:val="000000"/>
        </w:rPr>
      </w:pPr>
      <w:r w:rsidRPr="00954E13">
        <w:rPr>
          <w:color w:val="000000"/>
        </w:rPr>
        <w:t xml:space="preserve">All of the applications are posted on the NMFS Alaska Region website at </w:t>
      </w:r>
      <w:hyperlink r:id="rId25" w:history="1">
        <w:r w:rsidRPr="00954E13">
          <w:rPr>
            <w:rStyle w:val="Hyperlink"/>
          </w:rPr>
          <w:t>https://www.fisheries.noaa.gov/permit/alaska-sport-charter-halibut-applications-and-reporting-forms</w:t>
        </w:r>
      </w:hyperlink>
      <w:r w:rsidRPr="00954E13">
        <w:rPr>
          <w:color w:val="000000"/>
        </w:rPr>
        <w:t xml:space="preserve"> as fillable pdfs for respondents to download, print, and mail, deliver, or fax to NMFS. </w:t>
      </w:r>
    </w:p>
    <w:p w:rsidR="00954E13" w:rsidP="000F49D9" w14:paraId="070CC8B0" w14:textId="77777777">
      <w:pPr>
        <w:widowControl/>
        <w:rPr>
          <w:color w:val="000000"/>
        </w:rPr>
      </w:pPr>
    </w:p>
    <w:p w:rsidR="002650EA" w:rsidP="000F49D9" w14:paraId="107BCF59" w14:textId="77777777">
      <w:pPr>
        <w:widowControl/>
        <w:rPr>
          <w:color w:val="000000"/>
        </w:rPr>
      </w:pPr>
      <w:r w:rsidRPr="00435B0B">
        <w:rPr>
          <w:color w:val="000000"/>
        </w:rPr>
        <w:t xml:space="preserve">NMFS Alaska Region is working toward offering more online services. The current data entry and retrieval system is nearing the end of its life, and a new integrated system is in development. As this system is developed, we will be transitioning to the new system which will allow </w:t>
      </w:r>
      <w:r w:rsidRPr="00435B0B" w:rsidR="00435B0B">
        <w:rPr>
          <w:color w:val="000000"/>
        </w:rPr>
        <w:t>all of the information will be entered online and submitted directly and automatically into a database</w:t>
      </w:r>
    </w:p>
    <w:p w:rsidR="00154F79" w:rsidRPr="004C4232" w:rsidP="00565B66" w14:paraId="78CE40C7" w14:textId="77777777">
      <w:pPr>
        <w:widowControl/>
        <w:tabs>
          <w:tab w:val="left" w:pos="360"/>
          <w:tab w:val="left" w:pos="720"/>
          <w:tab w:val="left" w:pos="1080"/>
        </w:tabs>
        <w:adjustRightInd w:val="0"/>
      </w:pPr>
    </w:p>
    <w:p w:rsidR="00370B85" w:rsidP="00565B66" w14:paraId="1B97FC0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r w:rsidR="001E533C">
        <w:rPr>
          <w:b/>
          <w:color w:val="000000"/>
        </w:rPr>
        <w:t>.</w:t>
      </w:r>
    </w:p>
    <w:p w:rsidR="00C96456" w:rsidP="00565B66" w14:paraId="30AC0AAF" w14:textId="77777777">
      <w:pPr>
        <w:widowControl/>
        <w:autoSpaceDE w:val="0"/>
        <w:autoSpaceDN w:val="0"/>
        <w:rPr>
          <w:rFonts w:eastAsia="Arial"/>
          <w:lang w:bidi="en-US"/>
        </w:rPr>
      </w:pPr>
    </w:p>
    <w:p w:rsidR="00C96456" w:rsidP="00565B66" w14:paraId="53229E42" w14:textId="77777777">
      <w:pPr>
        <w:widowControl/>
        <w:autoSpaceDE w:val="0"/>
        <w:autoSpaceDN w:val="0"/>
        <w:rPr>
          <w:rFonts w:eastAsia="Arial"/>
          <w:lang w:bidi="en-US"/>
        </w:rPr>
      </w:pPr>
      <w:r w:rsidRPr="00C96456">
        <w:rPr>
          <w:rFonts w:eastAsia="Arial"/>
          <w:lang w:bidi="en-US"/>
        </w:rPr>
        <w:t xml:space="preserve">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charter halibut fishery, and there are not alternate means or methods to perform the functions laid out in this supporting statement. </w:t>
      </w:r>
    </w:p>
    <w:p w:rsidR="00C96456" w:rsidRPr="00C96456" w:rsidP="00565B66" w14:paraId="721E3D23" w14:textId="77777777">
      <w:pPr>
        <w:widowControl/>
        <w:autoSpaceDE w:val="0"/>
        <w:autoSpaceDN w:val="0"/>
        <w:rPr>
          <w:rFonts w:eastAsia="Arial"/>
          <w:lang w:bidi="en-US"/>
        </w:rPr>
      </w:pPr>
    </w:p>
    <w:p w:rsidR="00F64454" w:rsidP="00565B66" w14:paraId="0D1C6EE4" w14:textId="77777777">
      <w:pPr>
        <w:pStyle w:val="BodyText"/>
        <w:widowControl/>
        <w:spacing w:before="0"/>
        <w:ind w:left="0"/>
      </w:pPr>
      <w:r w:rsidRPr="00FA1A9D">
        <w:t xml:space="preserve">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w:t>
      </w:r>
      <w:r w:rsidR="00687819">
        <w:t>ADF&amp;G</w:t>
      </w:r>
      <w:r w:rsidRPr="00FA1A9D">
        <w:t xml:space="preserve"> and the </w:t>
      </w:r>
      <w:r w:rsidR="00687819">
        <w:t>IPHC</w:t>
      </w:r>
      <w:r w:rsidRPr="00FA1A9D">
        <w:t xml:space="preserve">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C96456" w:rsidP="00565B66" w14:paraId="16D6C805" w14:textId="77777777">
      <w:pPr>
        <w:pStyle w:val="BodyText"/>
        <w:widowControl/>
        <w:spacing w:before="0"/>
        <w:ind w:left="0"/>
      </w:pPr>
    </w:p>
    <w:p w:rsidR="00370B85" w:rsidRPr="003536F8" w:rsidP="00565B66" w14:paraId="48C41B38" w14:textId="77777777">
      <w:pPr>
        <w:widowControl/>
        <w:numPr>
          <w:ilvl w:val="0"/>
          <w:numId w:val="3"/>
        </w:numPr>
        <w:pBdr>
          <w:top w:val="nil"/>
          <w:left w:val="nil"/>
          <w:bottom w:val="nil"/>
          <w:right w:val="nil"/>
          <w:between w:val="nil"/>
        </w:pBdr>
        <w:tabs>
          <w:tab w:val="left" w:pos="360"/>
        </w:tabs>
        <w:ind w:left="0" w:firstLine="0"/>
        <w:rPr>
          <w:b/>
          <w:color w:val="000000"/>
        </w:rPr>
      </w:pPr>
      <w:r w:rsidRPr="003536F8">
        <w:rPr>
          <w:b/>
          <w:color w:val="000000"/>
        </w:rPr>
        <w:t>If the collection of information impacts small businesses or other small entities, describe any methods used to minimize burden.</w:t>
      </w:r>
    </w:p>
    <w:p w:rsidR="00F64454" w:rsidP="00565B66" w14:paraId="2654FE0D" w14:textId="77777777">
      <w:pPr>
        <w:widowControl/>
      </w:pPr>
    </w:p>
    <w:p w:rsidR="00F64454" w:rsidRPr="002C19B2" w:rsidP="00565B66" w14:paraId="25A2EFDF" w14:textId="25BEAF7B">
      <w:pPr>
        <w:widowControl/>
      </w:pPr>
      <w:r w:rsidRPr="002C19B2">
        <w:t xml:space="preserve">This information collection impacts small entities but does not impose a significant effect on them. </w:t>
      </w:r>
      <w:r w:rsidRPr="00AD589C">
        <w:t>NMFS attempts to minimize the burden of this collection on all respondents.</w:t>
      </w:r>
      <w:r w:rsidR="00154F79">
        <w:t xml:space="preserve"> </w:t>
      </w:r>
      <w:r w:rsidR="00566680">
        <w:t>F</w:t>
      </w:r>
      <w:r w:rsidRPr="00566680" w:rsidR="00566680">
        <w:t>or R</w:t>
      </w:r>
      <w:r w:rsidR="00566680">
        <w:t xml:space="preserve">egulatory Flex Act </w:t>
      </w:r>
      <w:r w:rsidRPr="00566680" w:rsidR="00566680">
        <w:t xml:space="preserve">purposes, those entities that are directly regulated by </w:t>
      </w:r>
      <w:r w:rsidR="00566680">
        <w:t>th</w:t>
      </w:r>
      <w:r w:rsidR="003536F8">
        <w:t>is</w:t>
      </w:r>
      <w:r w:rsidR="00566680">
        <w:t xml:space="preserve"> </w:t>
      </w:r>
      <w:r w:rsidR="003536F8">
        <w:t xml:space="preserve">rule </w:t>
      </w:r>
      <w:r w:rsidR="00566680">
        <w:t>(RIN 0648-BN18) are considered small entities.</w:t>
      </w:r>
    </w:p>
    <w:p w:rsidR="00F64454" w:rsidP="00565B66" w14:paraId="76D90BDC" w14:textId="77777777">
      <w:pPr>
        <w:widowControl/>
      </w:pPr>
    </w:p>
    <w:p w:rsidR="00F64454" w:rsidRPr="002C19B2" w:rsidP="000F49D9" w14:paraId="7FA8EC8E" w14:textId="77777777">
      <w:pPr>
        <w:widowControl/>
      </w:pPr>
      <w:r w:rsidRPr="002C19B2">
        <w:t xml:space="preserve">Although NMFS requires annual registration of CHPs, the information requested in the registration application should be readily available to the CHP holder and does not require specific port, vessel, or user information that could unduly constrain charter operators in unpredictable circumstances. </w:t>
      </w:r>
    </w:p>
    <w:p w:rsidR="00F64454" w:rsidP="000F49D9" w14:paraId="0E880AAF" w14:textId="77777777">
      <w:pPr>
        <w:widowControl/>
      </w:pPr>
    </w:p>
    <w:p w:rsidR="00F64454" w:rsidRPr="002C19B2" w:rsidP="000F49D9" w14:paraId="140EA23C" w14:textId="77777777">
      <w:pPr>
        <w:widowControl/>
      </w:pPr>
      <w:r w:rsidRPr="002C19B2">
        <w:t xml:space="preserve">Military CHPs and </w:t>
      </w:r>
      <w:r w:rsidR="00F216C6">
        <w:t>community CHP</w:t>
      </w:r>
      <w:r w:rsidRPr="002C19B2">
        <w:t xml:space="preserve">s do not expire and are not required to be registered annually, which saves these permit holders the time burden and expense of registration. As </w:t>
      </w:r>
      <w:r w:rsidR="00F216C6">
        <w:t>military CHP</w:t>
      </w:r>
      <w:r w:rsidRPr="002C19B2">
        <w:t xml:space="preserve">s and </w:t>
      </w:r>
      <w:r w:rsidR="00F216C6">
        <w:t>community CHP</w:t>
      </w:r>
      <w:r w:rsidRPr="002C19B2">
        <w:t xml:space="preserve">s were issued to provide access opportunities for military personnel and economic benefits to small rural communities, an annual registration process that could result in limiting the use of these permits would be inconsistent with the purpose of these special permits. Additionally, </w:t>
      </w:r>
      <w:r w:rsidR="00F216C6">
        <w:t>community CHP</w:t>
      </w:r>
      <w:r w:rsidRPr="002C19B2">
        <w:t>s have an existing annual reporting requirement.</w:t>
      </w:r>
      <w:r w:rsidR="00154F79">
        <w:t xml:space="preserve"> </w:t>
      </w:r>
    </w:p>
    <w:p w:rsidR="00F64454" w:rsidP="000F49D9" w14:paraId="1072964A" w14:textId="77777777">
      <w:pPr>
        <w:widowControl/>
      </w:pPr>
    </w:p>
    <w:p w:rsidR="00F64454" w:rsidRPr="002C19B2" w:rsidP="000F49D9" w14:paraId="16FC5B18" w14:textId="77777777">
      <w:pPr>
        <w:widowControl/>
      </w:pPr>
      <w:r w:rsidRPr="002C19B2">
        <w:t xml:space="preserve">CHP transfers and transfers between IFQ and GAF are voluntary and done only when the permit holder deems necessary. </w:t>
      </w:r>
    </w:p>
    <w:p w:rsidR="00F64454" w:rsidP="000F49D9" w14:paraId="6A3F62C3" w14:textId="77777777">
      <w:pPr>
        <w:widowControl/>
      </w:pPr>
    </w:p>
    <w:p w:rsidR="00F64454" w:rsidRPr="002C19B2" w:rsidP="000F49D9" w14:paraId="1CBCB1C7" w14:textId="77777777">
      <w:pPr>
        <w:widowControl/>
      </w:pPr>
      <w:r w:rsidRPr="002C19B2">
        <w:t xml:space="preserve">A toll-free phone number is available for participants to contact NMFS Restricted Access Management staff for help or information. </w:t>
      </w:r>
    </w:p>
    <w:p w:rsidR="00F64454" w:rsidP="00565B66" w14:paraId="0DFCD818" w14:textId="77777777">
      <w:pPr>
        <w:widowControl/>
      </w:pPr>
    </w:p>
    <w:p w:rsidR="00F64454" w:rsidP="00565B66" w14:paraId="37FAB80F" w14:textId="77777777">
      <w:pPr>
        <w:widowControl/>
      </w:pPr>
      <w:r w:rsidRPr="002C19B2">
        <w:t xml:space="preserve">The CHP applications and the application to transfer between IFQ and GAF are available online as fillable pdfs. The </w:t>
      </w:r>
      <w:r w:rsidR="00F216C6">
        <w:t>military CHP</w:t>
      </w:r>
      <w:r w:rsidRPr="002C19B2">
        <w:t xml:space="preserve"> application</w:t>
      </w:r>
      <w:r w:rsidR="00044336">
        <w:t>, the application to transfer a CHP,</w:t>
      </w:r>
      <w:r w:rsidRPr="002C19B2">
        <w:t xml:space="preserve"> and the application to transfer between IFQ and GAF may be submitted by fax. The application for annual registration of a CHP may be submitted by </w:t>
      </w:r>
      <w:r w:rsidRPr="00B22197">
        <w:t>fax</w:t>
      </w:r>
      <w:r w:rsidRPr="00B22197" w:rsidR="00044336">
        <w:t xml:space="preserve"> or online using eFISH</w:t>
      </w:r>
      <w:r w:rsidRPr="00B22197">
        <w:t xml:space="preserve">. </w:t>
      </w:r>
      <w:r w:rsidRPr="002C19B2">
        <w:t xml:space="preserve">eFISH may also be used to check a GAF permit balance, enter GAF landings, and report a GAF landing. </w:t>
      </w:r>
    </w:p>
    <w:p w:rsidR="00F64454" w:rsidRPr="002C19B2" w:rsidP="00565B66" w14:paraId="2873D8CA" w14:textId="77777777">
      <w:pPr>
        <w:widowControl/>
      </w:pPr>
    </w:p>
    <w:p w:rsidR="00370B85" w:rsidP="00565B66" w14:paraId="7F507FD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64454" w:rsidP="00565B66" w14:paraId="4E455FBA" w14:textId="77777777">
      <w:pPr>
        <w:widowControl/>
      </w:pPr>
    </w:p>
    <w:p w:rsidR="00F64454" w:rsidRPr="0003267E" w:rsidP="00565B66" w14:paraId="56764FE4" w14:textId="77777777">
      <w:pPr>
        <w:widowControl/>
      </w:pPr>
      <w:r w:rsidRPr="0003267E">
        <w:t xml:space="preserve">This information collection is required to manage commercial and charter halibut fishing under the Halibut Act, the Magnuson-Stevens Act (16 U.S.C. 1801, </w:t>
      </w:r>
      <w:r w:rsidRPr="00B7052D">
        <w:rPr>
          <w:i/>
        </w:rPr>
        <w:t>et seq</w:t>
      </w:r>
      <w:r w:rsidRPr="0003267E">
        <w:t xml:space="preserve">.), and under 50 CFR parts 300 and 679. </w:t>
      </w:r>
    </w:p>
    <w:p w:rsidR="00F64454" w:rsidP="00565B66" w14:paraId="13E3B832" w14:textId="77777777">
      <w:pPr>
        <w:widowControl/>
      </w:pPr>
    </w:p>
    <w:p w:rsidR="00F64454" w:rsidRPr="0003267E" w:rsidP="00565B66" w14:paraId="221E0BE4" w14:textId="77777777">
      <w:pPr>
        <w:widowControl/>
      </w:pPr>
      <w:r w:rsidRPr="0003267E">
        <w:t xml:space="preserve">It would not be possible to effectively manage the CHLAP, the CSP, or carry out the mandates of the Halibut Act and the Magnuson-Stevens Act if this collection were not conducted or conducted less frequently. It provides the Council and NMFS with information about the organization and fishing activity of charter halibut businesses, and provides a process to track and limit the number of CHPs and to transfer halibut between the commercial and charter halibut sectors. This information and process are necessary to reduce overcrowding of productive halibut grounds and address allocation conflicts between commercial and charter halibut fisheries participants, while balancing the needs of all who depend on halibut for food, sport, or livelihood. </w:t>
      </w:r>
    </w:p>
    <w:p w:rsidR="00F64454" w:rsidRPr="0003267E" w:rsidP="00565B66" w14:paraId="75BAE65E" w14:textId="77777777">
      <w:pPr>
        <w:widowControl/>
        <w:adjustRightInd w:val="0"/>
      </w:pPr>
    </w:p>
    <w:p w:rsidR="00F64454" w:rsidRPr="00154F79" w:rsidP="00565B66" w14:paraId="1E249B5D" w14:textId="77777777">
      <w:pPr>
        <w:widowControl/>
        <w:adjustRightInd w:val="0"/>
      </w:pPr>
      <w:r w:rsidRPr="00154F79">
        <w:t xml:space="preserve">Management measures to limit charter harvests to their catch limits are established annually by the IPHC. The selection of the appropriate management measures is based in part on estimated harvest under the previous annual management measures, and estimates of future catch limits and charter angler effort. Charter angler harvest is estimated from the </w:t>
      </w:r>
      <w:r w:rsidRPr="00C96456" w:rsidR="00C96456">
        <w:t>ADF&amp;G Saltwater Sport Fishing Charter Trip Logbook</w:t>
      </w:r>
      <w:r w:rsidR="00C96456">
        <w:t>.</w:t>
      </w:r>
    </w:p>
    <w:p w:rsidR="00F64454" w:rsidRPr="00154F79" w:rsidP="00565B66" w14:paraId="7D68F1F5" w14:textId="77777777">
      <w:pPr>
        <w:widowControl/>
        <w:adjustRightInd w:val="0"/>
      </w:pPr>
    </w:p>
    <w:p w:rsidR="00F64454" w:rsidP="00565B66" w14:paraId="3E174688" w14:textId="77777777">
      <w:pPr>
        <w:widowControl/>
        <w:tabs>
          <w:tab w:val="left" w:pos="360"/>
          <w:tab w:val="left" w:pos="720"/>
          <w:tab w:val="left" w:pos="1080"/>
        </w:tabs>
        <w:adjustRightInd w:val="0"/>
      </w:pPr>
      <w:r w:rsidRPr="00154F79">
        <w:t xml:space="preserve">Without the </w:t>
      </w:r>
      <w:r w:rsidRPr="00C96456" w:rsidR="00C96456">
        <w:t>ADF&amp;G Saltwater Sport Fishing Charter Trip Logbook</w:t>
      </w:r>
      <w:r w:rsidRPr="00154F79">
        <w:t>, or a similar collection of information, it would be difficult, if not impossible, to estimate charter harvest with any level of confidence. Therefore, it would be unknown if modifications to the annual management measures were required to limit harvest to the charter catch allocation. This uncertainty could lead to conflicts between the charter and commercial sectors, if it were perceived that the commercial sector was being held to its catch limits under the CSP, but the charter sector was allowed to exceed their limits. Without reliable estimates of charter harvest, the goals of the CSP to maintain each sector’s catch to its limit under the CSP could be compromised and the sustainability of the fishery could be potentially threatened.</w:t>
      </w:r>
      <w:r w:rsidRPr="0003267E">
        <w:t xml:space="preserve"> </w:t>
      </w:r>
    </w:p>
    <w:p w:rsidR="00154F79" w:rsidRPr="00B7052D" w:rsidP="00565B66" w14:paraId="1DF99312" w14:textId="77777777">
      <w:pPr>
        <w:widowControl/>
        <w:tabs>
          <w:tab w:val="left" w:pos="360"/>
          <w:tab w:val="left" w:pos="720"/>
          <w:tab w:val="left" w:pos="1080"/>
        </w:tabs>
        <w:adjustRightInd w:val="0"/>
      </w:pPr>
    </w:p>
    <w:p w:rsidR="00370B85" w:rsidP="00565B66" w14:paraId="0A8BCDD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833403" w:rsidP="000F49D9" w14:paraId="306482B4" w14:textId="1FD21B44">
      <w:pPr>
        <w:widowControl/>
        <w:spacing w:before="120"/>
      </w:pPr>
      <w:r>
        <w:t xml:space="preserve">Under this </w:t>
      </w:r>
      <w:r w:rsidRPr="00833403" w:rsidR="00506C74">
        <w:t>rule (RIN 0648-BN18)</w:t>
      </w:r>
      <w:r>
        <w:t>,</w:t>
      </w:r>
      <w:r w:rsidRPr="00833403" w:rsidR="00506C74">
        <w:t xml:space="preserve"> the purchase of charter halibut stamps could occur more often than quarterly because CHP holders </w:t>
      </w:r>
      <w:r>
        <w:t>may</w:t>
      </w:r>
      <w:r w:rsidRPr="00833403">
        <w:t xml:space="preserve"> </w:t>
      </w:r>
      <w:r w:rsidRPr="00833403" w:rsidR="00506C74">
        <w:t>purchase stamps at any time to suit their needs.</w:t>
      </w:r>
    </w:p>
    <w:p w:rsidR="00F64454" w:rsidP="000F49D9" w14:paraId="1AF705D0" w14:textId="5A6CC1DD">
      <w:pPr>
        <w:widowControl/>
        <w:spacing w:before="120"/>
        <w:rPr>
          <w:color w:val="2F5496"/>
        </w:rPr>
      </w:pPr>
      <w:r w:rsidRPr="00154F79">
        <w:t xml:space="preserve">One collection requires respondents to report information to the agency more often than quarterly. Under 50 CFR 300.65(d), ADF&amp;G Saltwater Sport Fishing Charter Trip Logbook data sheets must be submitted to the ADF&amp;G and postmarked or received no later than 14 calendar days after the Monday of the fishing week (as defined in 50 CFR 300.61) in which the halibut were caught and retained between the first Monday in April and on or before December 31. This information is required </w:t>
      </w:r>
      <w:r w:rsidR="006D5497">
        <w:t xml:space="preserve">for NMFS </w:t>
      </w:r>
      <w:r w:rsidRPr="00154F79">
        <w:t>to monitor, manage, and develop management measures for the charter halibut fishery</w:t>
      </w:r>
      <w:r w:rsidRPr="00833403">
        <w:t xml:space="preserve">. </w:t>
      </w:r>
    </w:p>
    <w:p w:rsidR="000B5B89" w:rsidRPr="000B5B89" w:rsidP="000F49D9" w14:paraId="11A6CEE9"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prepare a written response to a collection of information in fewer than 30 days after receipt of it.</w:t>
      </w:r>
    </w:p>
    <w:p w:rsidR="000B5B89" w:rsidRPr="000B5B89" w:rsidP="000F49D9" w14:paraId="475C8C06"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submit more than an original and two copies of any document.</w:t>
      </w:r>
    </w:p>
    <w:p w:rsidR="000B5B89" w:rsidRPr="000B5B89" w:rsidP="000F49D9" w14:paraId="447491AE"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retain records, other than health, medical,</w:t>
      </w:r>
      <w:r w:rsidR="0090635B">
        <w:rPr>
          <w:rFonts w:eastAsia="Times New Roman"/>
        </w:rPr>
        <w:t xml:space="preserve"> government contract, grant-in-</w:t>
      </w:r>
      <w:r w:rsidRPr="000B5B89">
        <w:rPr>
          <w:rFonts w:eastAsia="Times New Roman"/>
        </w:rPr>
        <w:t>aid, or tax records for more than three years.</w:t>
      </w:r>
    </w:p>
    <w:p w:rsidR="000B5B89" w:rsidRPr="000B5B89" w:rsidP="000F49D9" w14:paraId="47058F56" w14:textId="77777777">
      <w:pPr>
        <w:widowControl/>
        <w:pBdr>
          <w:top w:val="nil"/>
          <w:left w:val="nil"/>
          <w:bottom w:val="nil"/>
          <w:right w:val="nil"/>
          <w:between w:val="nil"/>
        </w:pBdr>
        <w:spacing w:before="120"/>
        <w:rPr>
          <w:rFonts w:eastAsia="Times New Roman"/>
        </w:rPr>
      </w:pPr>
      <w:r w:rsidRPr="000B5B89">
        <w:rPr>
          <w:rFonts w:eastAsia="Times New Roman"/>
        </w:rPr>
        <w:t>This collection is not in connection with a statistical survey, that is not designed to produce valid and reliable results that can be generalized to the universe of study.</w:t>
      </w:r>
      <w:r w:rsidRPr="000B5B89">
        <w:rPr>
          <w:rFonts w:eastAsia="Times New Roman"/>
        </w:rPr>
        <w:tab/>
      </w:r>
    </w:p>
    <w:p w:rsidR="000B5B89" w:rsidRPr="000B5B89" w:rsidP="000F49D9" w14:paraId="3B58A8E4"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the use of a statistical data classification that has not been reviewed and approved by OMB.</w:t>
      </w:r>
    </w:p>
    <w:p w:rsidR="000B5B89" w:rsidRPr="000B5B89" w:rsidP="000F49D9" w14:paraId="5353F3B7"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B5B89" w:rsidP="000F49D9" w14:paraId="56B998DB" w14:textId="77777777">
      <w:pPr>
        <w:widowControl/>
        <w:pBdr>
          <w:top w:val="nil"/>
          <w:left w:val="nil"/>
          <w:bottom w:val="nil"/>
          <w:right w:val="nil"/>
          <w:between w:val="nil"/>
        </w:pBdr>
        <w:spacing w:before="120"/>
        <w:rPr>
          <w:rFonts w:eastAsia="Times New Roman"/>
        </w:rPr>
      </w:pPr>
      <w:r w:rsidRPr="000B5B89">
        <w:rPr>
          <w:rFonts w:eastAsia="Times New Roman"/>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8764DE" w:rsidP="00565B66" w14:paraId="292A008C" w14:textId="77777777">
      <w:pPr>
        <w:widowControl/>
        <w:pBdr>
          <w:top w:val="nil"/>
          <w:left w:val="nil"/>
          <w:bottom w:val="nil"/>
          <w:right w:val="nil"/>
          <w:between w:val="nil"/>
        </w:pBdr>
        <w:rPr>
          <w:rFonts w:eastAsia="Times New Roman"/>
        </w:rPr>
      </w:pPr>
    </w:p>
    <w:p w:rsidR="00370B85" w:rsidRPr="00D30258" w:rsidP="00565B66" w14:paraId="4B63BF6B" w14:textId="77777777">
      <w:pPr>
        <w:widowControl/>
        <w:numPr>
          <w:ilvl w:val="0"/>
          <w:numId w:val="3"/>
        </w:numPr>
        <w:pBdr>
          <w:top w:val="nil"/>
          <w:left w:val="nil"/>
          <w:bottom w:val="nil"/>
          <w:right w:val="nil"/>
          <w:between w:val="nil"/>
        </w:pBdr>
        <w:tabs>
          <w:tab w:val="left" w:pos="360"/>
        </w:tabs>
        <w:ind w:left="0" w:firstLine="0"/>
        <w:rPr>
          <w:b/>
          <w:color w:val="000000"/>
        </w:rPr>
      </w:pPr>
      <w:r w:rsidRPr="0069505F">
        <w:rPr>
          <w:b/>
          <w:color w:val="000000"/>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D30258">
        <w:rPr>
          <w:b/>
          <w:color w:val="000000"/>
        </w:rPr>
        <w:t>Specifically address comments received on cost and hour burden.</w:t>
      </w:r>
    </w:p>
    <w:p w:rsidR="00F64454" w:rsidRPr="00D30258" w:rsidP="00565B66" w14:paraId="4CB34D6D" w14:textId="77777777">
      <w:pPr>
        <w:widowControl/>
        <w:adjustRightInd w:val="0"/>
      </w:pPr>
    </w:p>
    <w:p w:rsidR="00FB7400" w:rsidRPr="007A021C" w:rsidP="00565B66" w14:paraId="15AE3B79" w14:textId="3E4371D6">
      <w:pPr>
        <w:widowControl/>
        <w:tabs>
          <w:tab w:val="left" w:pos="360"/>
        </w:tabs>
      </w:pPr>
      <w:r w:rsidRPr="00D30258">
        <w:t>A proposed rule (</w:t>
      </w:r>
      <w:r w:rsidRPr="00D30258" w:rsidR="006D5497">
        <w:t>89 FR 86772</w:t>
      </w:r>
      <w:r w:rsidRPr="00D30258">
        <w:t xml:space="preserve">) soliciting public comments published </w:t>
      </w:r>
      <w:r w:rsidRPr="00D30258" w:rsidR="006D5497">
        <w:t>on October 31, 2024.</w:t>
      </w:r>
      <w:r>
        <w:rPr>
          <w:rStyle w:val="FootnoteReference"/>
        </w:rPr>
        <w:footnoteReference w:id="14"/>
      </w:r>
      <w:r w:rsidRPr="00D30258" w:rsidR="006D5497">
        <w:t xml:space="preserve"> </w:t>
      </w:r>
      <w:r w:rsidRPr="00D30258" w:rsidR="0036745B">
        <w:rPr>
          <w:rFonts w:eastAsia="Times New Roman"/>
        </w:rPr>
        <w:t>Six</w:t>
      </w:r>
      <w:r w:rsidRPr="00D30258" w:rsidR="006D5497">
        <w:rPr>
          <w:rFonts w:eastAsia="Times New Roman"/>
        </w:rPr>
        <w:t xml:space="preserve"> comments </w:t>
      </w:r>
      <w:r w:rsidRPr="00D30258" w:rsidR="002012E6">
        <w:rPr>
          <w:rFonts w:eastAsia="Times New Roman"/>
        </w:rPr>
        <w:t xml:space="preserve">were received </w:t>
      </w:r>
      <w:r w:rsidRPr="00D30258" w:rsidR="0036745B">
        <w:rPr>
          <w:rFonts w:eastAsia="Times New Roman"/>
        </w:rPr>
        <w:t>on the information collection require</w:t>
      </w:r>
      <w:r w:rsidRPr="00D30258" w:rsidR="002012E6">
        <w:rPr>
          <w:rFonts w:eastAsia="Times New Roman"/>
        </w:rPr>
        <w:t>ments being added by this rule</w:t>
      </w:r>
      <w:r w:rsidRPr="00D30258" w:rsidR="006D5497">
        <w:rPr>
          <w:rFonts w:eastAsia="Times New Roman"/>
        </w:rPr>
        <w:t>.</w:t>
      </w:r>
      <w:r w:rsidRPr="00D30258" w:rsidR="002810AF">
        <w:rPr>
          <w:rFonts w:eastAsia="Times New Roman"/>
        </w:rPr>
        <w:t xml:space="preserve"> These comments and NMFS responses are </w:t>
      </w:r>
      <w:r w:rsidRPr="00D30258" w:rsidR="00BD5379">
        <w:rPr>
          <w:rFonts w:eastAsia="Times New Roman"/>
        </w:rPr>
        <w:t>included</w:t>
      </w:r>
      <w:r w:rsidRPr="00D30258" w:rsidR="002810AF">
        <w:rPr>
          <w:rFonts w:eastAsia="Times New Roman"/>
        </w:rPr>
        <w:t xml:space="preserve"> in the final rule and </w:t>
      </w:r>
      <w:r w:rsidRPr="00D30258" w:rsidR="00BD5379">
        <w:rPr>
          <w:rFonts w:eastAsia="Times New Roman"/>
        </w:rPr>
        <w:t xml:space="preserve">provided </w:t>
      </w:r>
      <w:r w:rsidRPr="00D30258" w:rsidR="002810AF">
        <w:rPr>
          <w:rFonts w:eastAsia="Times New Roman"/>
        </w:rPr>
        <w:t>below.</w:t>
      </w:r>
    </w:p>
    <w:p w:rsidR="0036745B" w:rsidRPr="007A021C" w:rsidP="00565B66" w14:paraId="7C2244F9" w14:textId="0D66BE81">
      <w:pPr>
        <w:widowControl/>
        <w:pBdr>
          <w:top w:val="nil"/>
          <w:left w:val="nil"/>
          <w:bottom w:val="nil"/>
          <w:right w:val="nil"/>
          <w:between w:val="nil"/>
        </w:pBdr>
      </w:pPr>
    </w:p>
    <w:p w:rsidR="00087150" w:rsidRPr="007A021C" w:rsidP="00087150" w14:paraId="0289501E" w14:textId="4A6DD84E">
      <w:pPr>
        <w:widowControl/>
        <w:pBdr>
          <w:top w:val="nil"/>
          <w:left w:val="nil"/>
          <w:bottom w:val="nil"/>
          <w:right w:val="nil"/>
          <w:between w:val="nil"/>
        </w:pBdr>
      </w:pPr>
      <w:r w:rsidRPr="00D30258">
        <w:rPr>
          <w:i/>
        </w:rPr>
        <w:t>Comment</w:t>
      </w:r>
      <w:r w:rsidRPr="007A021C">
        <w:t>: The RQE Program fee collection places an extra burden on the CQE to purchase and manage stamps throughout the fishing year.</w:t>
      </w:r>
    </w:p>
    <w:p w:rsidR="00087150" w:rsidRPr="007A021C" w:rsidP="00087150" w14:paraId="07F66249" w14:textId="77777777">
      <w:pPr>
        <w:widowControl/>
        <w:pBdr>
          <w:top w:val="nil"/>
          <w:left w:val="nil"/>
          <w:bottom w:val="nil"/>
          <w:right w:val="nil"/>
          <w:between w:val="nil"/>
        </w:pBdr>
      </w:pPr>
    </w:p>
    <w:p w:rsidR="0036745B" w:rsidRPr="007A021C" w:rsidP="00087150" w14:paraId="39A71B61" w14:textId="3D24362F">
      <w:pPr>
        <w:widowControl/>
        <w:pBdr>
          <w:top w:val="nil"/>
          <w:left w:val="nil"/>
          <w:bottom w:val="nil"/>
          <w:right w:val="nil"/>
          <w:between w:val="nil"/>
        </w:pBdr>
      </w:pPr>
      <w:r w:rsidRPr="00D30258">
        <w:rPr>
          <w:i/>
        </w:rPr>
        <w:t>Response</w:t>
      </w:r>
      <w:r w:rsidRPr="007A021C">
        <w:t xml:space="preserve">: NMFS acknowledges this comment. As described in the proposed rule, CQEs participate in the Charter Halibut Limited Access Program and may be granted Community CHPs by NMFS. Charter operations that use community CHPs are subject to the same annual management measures as all other charter halibut operations. Similarly, the administrative and management burden by CQEs and all other charter halibut operations are expected to be offset by the benefits of the RQE Program. NMFS designed the elements of the fee collection to minimize the administrative burden to the extent practicable. </w:t>
      </w:r>
      <w:r w:rsidR="00BD5379">
        <w:t>A</w:t>
      </w:r>
      <w:r w:rsidRPr="007A021C" w:rsidR="00BD5379">
        <w:t xml:space="preserve"> </w:t>
      </w:r>
      <w:r w:rsidRPr="007A021C">
        <w:t>CQE would have significant flexibility to administer their stamps in the way that is most advantageous to them.</w:t>
      </w:r>
    </w:p>
    <w:p w:rsidR="00087150" w:rsidRPr="007A021C" w:rsidP="00087150" w14:paraId="37AD0DB0" w14:textId="7B57427B">
      <w:pPr>
        <w:widowControl/>
        <w:pBdr>
          <w:top w:val="nil"/>
          <w:left w:val="nil"/>
          <w:bottom w:val="nil"/>
          <w:right w:val="nil"/>
          <w:between w:val="nil"/>
        </w:pBdr>
      </w:pPr>
    </w:p>
    <w:p w:rsidR="00087150" w:rsidRPr="007A021C" w:rsidP="00087150" w14:paraId="7066A4A0" w14:textId="722152BE">
      <w:pPr>
        <w:widowControl/>
        <w:pBdr>
          <w:top w:val="nil"/>
          <w:left w:val="nil"/>
          <w:bottom w:val="nil"/>
          <w:right w:val="nil"/>
          <w:between w:val="nil"/>
        </w:pBdr>
      </w:pPr>
      <w:r w:rsidRPr="00D30258">
        <w:rPr>
          <w:i/>
        </w:rPr>
        <w:t>Comment</w:t>
      </w:r>
      <w:r w:rsidRPr="007A021C">
        <w:t>: The removal of the multi-day stamp option adversely impacts the intent-based validation of stamps. Charter vessel operators may have to validate a stamp for every fishing trip, regardless of target species. It is unrealistic to expect enforcement officers to intuitively determine target species at sea.</w:t>
      </w:r>
    </w:p>
    <w:p w:rsidR="007A021C" w:rsidP="00087150" w14:paraId="4445DDA3" w14:textId="77777777">
      <w:pPr>
        <w:widowControl/>
        <w:pBdr>
          <w:top w:val="nil"/>
          <w:left w:val="nil"/>
          <w:bottom w:val="nil"/>
          <w:right w:val="nil"/>
          <w:between w:val="nil"/>
        </w:pBdr>
      </w:pPr>
    </w:p>
    <w:p w:rsidR="00087150" w:rsidRPr="007A021C" w:rsidP="00087150" w14:paraId="5D9E673C" w14:textId="2071AEA6">
      <w:pPr>
        <w:widowControl/>
        <w:pBdr>
          <w:top w:val="nil"/>
          <w:left w:val="nil"/>
          <w:bottom w:val="nil"/>
          <w:right w:val="nil"/>
          <w:between w:val="nil"/>
        </w:pBdr>
      </w:pPr>
      <w:r w:rsidRPr="00D30258">
        <w:rPr>
          <w:i/>
        </w:rPr>
        <w:t>Response</w:t>
      </w:r>
      <w:r w:rsidRPr="007A021C">
        <w:t xml:space="preserve">: The requirement for a halibut stamp is based on the angler’s desire to catch and retain a halibut at the beginning of a charter vessel fishing trip; as such, enforcement officers do not have to determine the target species or the intentions of the angler. Rather, the presence of retained halibut will determine whether validated stamps are necessary for that charter vessel trip. Note that these regulations do not prohibit the catch and release of halibut without a halibut stamp. Additionally, under the </w:t>
      </w:r>
      <w:r w:rsidRPr="00D30258">
        <w:t>Council’s</w:t>
      </w:r>
      <w:r w:rsidRPr="007A021C">
        <w:t xml:space="preserve"> motion, a multi-day stamp would require validation prior to the start of a fishing trip on a given day. Functionally, this is the same as the daily stamp.</w:t>
      </w:r>
    </w:p>
    <w:p w:rsidR="00087150" w:rsidRPr="007A021C" w:rsidP="00087150" w14:paraId="48726AD9" w14:textId="4FA0D631">
      <w:pPr>
        <w:widowControl/>
        <w:pBdr>
          <w:top w:val="nil"/>
          <w:left w:val="nil"/>
          <w:bottom w:val="nil"/>
          <w:right w:val="nil"/>
          <w:between w:val="nil"/>
        </w:pBdr>
      </w:pPr>
    </w:p>
    <w:p w:rsidR="00087150" w:rsidRPr="007A021C" w:rsidP="00087150" w14:paraId="0C25ACFA" w14:textId="5114138A">
      <w:pPr>
        <w:widowControl/>
        <w:pBdr>
          <w:top w:val="nil"/>
          <w:left w:val="nil"/>
          <w:bottom w:val="nil"/>
          <w:right w:val="nil"/>
          <w:between w:val="nil"/>
        </w:pBdr>
      </w:pPr>
      <w:r w:rsidRPr="00D30258">
        <w:rPr>
          <w:i/>
        </w:rPr>
        <w:t>Comment</w:t>
      </w:r>
      <w:r w:rsidRPr="007A021C">
        <w:t>: CHP holders who lease their CHP to multiple charter vessel operators may have issues tracking stamp validations. Stamps should be assigned to the charter vessel operators and specific CHPs, instead of being lumped into a single eFish account. CHP holders who hold multiple CHPs should be allowed to create individual eFish accounts for each CHP to ease the burden of tracking individual lessees and their validations.</w:t>
      </w:r>
    </w:p>
    <w:p w:rsidR="007A021C" w:rsidP="00087150" w14:paraId="00984A34" w14:textId="77777777">
      <w:pPr>
        <w:widowControl/>
        <w:pBdr>
          <w:top w:val="nil"/>
          <w:left w:val="nil"/>
          <w:bottom w:val="nil"/>
          <w:right w:val="nil"/>
          <w:between w:val="nil"/>
        </w:pBdr>
      </w:pPr>
    </w:p>
    <w:p w:rsidR="00087150" w:rsidRPr="007A021C" w:rsidP="00087150" w14:paraId="365B371B" w14:textId="2B874CC1">
      <w:pPr>
        <w:widowControl/>
        <w:pBdr>
          <w:top w:val="nil"/>
          <w:left w:val="nil"/>
          <w:bottom w:val="nil"/>
          <w:right w:val="nil"/>
          <w:between w:val="nil"/>
        </w:pBdr>
      </w:pPr>
      <w:r w:rsidRPr="00D30258">
        <w:rPr>
          <w:i/>
        </w:rPr>
        <w:t>Response</w:t>
      </w:r>
      <w:r w:rsidRPr="007A021C">
        <w:t>: Tracking the use of charter halibut stamps will begin with halibut stamp validation on ADF&amp;G logbooks. Among other things, logbooks document the CHP(s) that are being used, the vessel number, and identifiers for the ADF&amp;G registered business that is associated with each charter vessel trip. The logbook data will be collected by ADF&amp;G and shared with NMFS. NMFS intends to merge this data to the eFish charter halibut stamp accounts of CHP holders. This process is expected to allow CHP holders to effectively track the validation of stamps associated with each unique CHP.</w:t>
      </w:r>
    </w:p>
    <w:p w:rsidR="000E69AD" w:rsidRPr="007A021C" w:rsidP="00087150" w14:paraId="0017BE7B" w14:textId="28ECFF07">
      <w:pPr>
        <w:widowControl/>
        <w:pBdr>
          <w:top w:val="nil"/>
          <w:left w:val="nil"/>
          <w:bottom w:val="nil"/>
          <w:right w:val="nil"/>
          <w:between w:val="nil"/>
        </w:pBdr>
      </w:pPr>
    </w:p>
    <w:p w:rsidR="000E69AD" w:rsidRPr="007A021C" w:rsidP="000E69AD" w14:paraId="1EC54A40" w14:textId="68A1CFFE">
      <w:pPr>
        <w:widowControl/>
        <w:pBdr>
          <w:top w:val="nil"/>
          <w:left w:val="nil"/>
          <w:bottom w:val="nil"/>
          <w:right w:val="nil"/>
          <w:between w:val="nil"/>
        </w:pBdr>
      </w:pPr>
      <w:r w:rsidRPr="00D30258">
        <w:rPr>
          <w:i/>
        </w:rPr>
        <w:t>Comment</w:t>
      </w:r>
      <w:r w:rsidRPr="007A021C">
        <w:t>: The RQE fee collection will cause logistical issues for charter vessel operators that operate out of remote ports.</w:t>
      </w:r>
    </w:p>
    <w:p w:rsidR="007A021C" w:rsidP="000E69AD" w14:paraId="5B525ACC" w14:textId="77777777">
      <w:pPr>
        <w:widowControl/>
        <w:pBdr>
          <w:top w:val="nil"/>
          <w:left w:val="nil"/>
          <w:bottom w:val="nil"/>
          <w:right w:val="nil"/>
          <w:between w:val="nil"/>
        </w:pBdr>
      </w:pPr>
    </w:p>
    <w:p w:rsidR="000E69AD" w:rsidRPr="007A021C" w:rsidP="000E69AD" w14:paraId="27007DB2" w14:textId="3CDB790D">
      <w:pPr>
        <w:widowControl/>
        <w:pBdr>
          <w:top w:val="nil"/>
          <w:left w:val="nil"/>
          <w:bottom w:val="nil"/>
          <w:right w:val="nil"/>
          <w:between w:val="nil"/>
        </w:pBdr>
      </w:pPr>
      <w:r w:rsidRPr="00D30258">
        <w:rPr>
          <w:i/>
        </w:rPr>
        <w:t>Response</w:t>
      </w:r>
      <w:r w:rsidRPr="007A021C">
        <w:t>: NMFS disagrees. This program was designed to flexibly address the unique qualities of the many business models that operate under the Charter Halibut Limited Access Program. Halibut stamps may be purchased at any time, and in quantities that make sense to a particular business. In the case of charter vessels that operate out of remote ports, stamps may be purchased prior to departing for the remote location, and validation of stamps does not require charter vessel operators to be in non-remote ports. This is also consistent with the current ability of operators in remote ports to comply with all other logbook requirements. In the event an operator has an insufficient number of stamps, they may continue to operate but must correct the deficiency prior to the end of the year, which is well after all known remote lodges cease operations for the year.</w:t>
      </w:r>
    </w:p>
    <w:p w:rsidR="000E69AD" w:rsidRPr="007A021C" w:rsidP="000E69AD" w14:paraId="6CB82547" w14:textId="1EB920B6">
      <w:pPr>
        <w:widowControl/>
        <w:pBdr>
          <w:top w:val="nil"/>
          <w:left w:val="nil"/>
          <w:bottom w:val="nil"/>
          <w:right w:val="nil"/>
          <w:between w:val="nil"/>
        </w:pBdr>
      </w:pPr>
    </w:p>
    <w:p w:rsidR="000E69AD" w:rsidRPr="007A021C" w:rsidP="000E69AD" w14:paraId="015708AB" w14:textId="59D5131C">
      <w:pPr>
        <w:widowControl/>
        <w:pBdr>
          <w:top w:val="nil"/>
          <w:left w:val="nil"/>
          <w:bottom w:val="nil"/>
          <w:right w:val="nil"/>
          <w:between w:val="nil"/>
        </w:pBdr>
      </w:pPr>
      <w:r w:rsidRPr="00D30258">
        <w:rPr>
          <w:i/>
        </w:rPr>
        <w:t>Comment</w:t>
      </w:r>
      <w:r w:rsidRPr="007A021C">
        <w:t xml:space="preserve">: Unused stamps should be refundable or, at least, transferable. This will cost the CHP holder money as these stamps are not able to be refunded or validated a second time. </w:t>
      </w:r>
    </w:p>
    <w:p w:rsidR="007A021C" w:rsidP="000E69AD" w14:paraId="69A9B55C" w14:textId="77777777">
      <w:pPr>
        <w:widowControl/>
        <w:pBdr>
          <w:top w:val="nil"/>
          <w:left w:val="nil"/>
          <w:bottom w:val="nil"/>
          <w:right w:val="nil"/>
          <w:between w:val="nil"/>
        </w:pBdr>
      </w:pPr>
    </w:p>
    <w:p w:rsidR="000E69AD" w:rsidRPr="007A021C" w:rsidP="000E69AD" w14:paraId="3F2896F9" w14:textId="36AEC433">
      <w:pPr>
        <w:widowControl/>
        <w:pBdr>
          <w:top w:val="nil"/>
          <w:left w:val="nil"/>
          <w:bottom w:val="nil"/>
          <w:right w:val="nil"/>
          <w:between w:val="nil"/>
        </w:pBdr>
      </w:pPr>
      <w:r w:rsidRPr="00D30258">
        <w:rPr>
          <w:i/>
        </w:rPr>
        <w:t>Response</w:t>
      </w:r>
      <w:r w:rsidRPr="007A021C">
        <w:t>: NMFS disagrees. As described in the preamble to the proposed rule, NMFS considered, but decided against, allowing for the transfer and reimbursement of purchased stamps. Given the purchase-as-needed flexibility built into the RQE Program fee collection, NMFS determined that allowing stamp transfers and reimbursements would serve limited purposes and materially increase the complexity and administrative costs associated with fee collection without proportionate benefits. CHP holders are allowed to purchase stamps at any time during the season, allowing CHP holders to maintain an operable amount of stamps without the need to stockpile stamps. CHP holders may also lease their CHPs to other users to deplete any unused stamps prior to the transfer of a CHP. Additionally, CHP holders are able to reconcile stamp deficits at the end of the year without penalty. Furthermore, stamps not used in a fishing year do not expire and rollover into all subsequent fishing years until used (validated).</w:t>
      </w:r>
    </w:p>
    <w:p w:rsidR="000E69AD" w:rsidRPr="007A021C" w:rsidP="000E69AD" w14:paraId="42FEA09E" w14:textId="142ACFBA">
      <w:pPr>
        <w:widowControl/>
        <w:pBdr>
          <w:top w:val="nil"/>
          <w:left w:val="nil"/>
          <w:bottom w:val="nil"/>
          <w:right w:val="nil"/>
          <w:between w:val="nil"/>
        </w:pBdr>
      </w:pPr>
    </w:p>
    <w:p w:rsidR="000E69AD" w:rsidRPr="007A021C" w:rsidP="000E69AD" w14:paraId="496FBFE7" w14:textId="5587C935">
      <w:pPr>
        <w:widowControl/>
        <w:pBdr>
          <w:top w:val="nil"/>
          <w:left w:val="nil"/>
          <w:bottom w:val="nil"/>
          <w:right w:val="nil"/>
          <w:between w:val="nil"/>
        </w:pBdr>
      </w:pPr>
    </w:p>
    <w:p w:rsidR="000E69AD" w:rsidP="000E69AD" w14:paraId="0A25093F" w14:textId="3380826E">
      <w:pPr>
        <w:widowControl/>
        <w:pBdr>
          <w:top w:val="nil"/>
          <w:left w:val="nil"/>
          <w:bottom w:val="nil"/>
          <w:right w:val="nil"/>
          <w:between w:val="nil"/>
        </w:pBdr>
      </w:pPr>
      <w:r w:rsidRPr="00D30258">
        <w:rPr>
          <w:i/>
        </w:rPr>
        <w:t>Comment</w:t>
      </w:r>
      <w:r w:rsidRPr="007A021C">
        <w:t xml:space="preserve">: Charter vessel operators leasing a </w:t>
      </w:r>
      <w:r w:rsidRPr="007A021C">
        <w:t>nontransferable</w:t>
      </w:r>
      <w:r w:rsidRPr="007A021C">
        <w:t xml:space="preserve"> CHP should be responsible for purchasing and tracking the stamps associated with that CHP.</w:t>
      </w:r>
    </w:p>
    <w:p w:rsidR="00D30258" w:rsidRPr="007A021C" w:rsidP="000E69AD" w14:paraId="3DE217BF" w14:textId="77777777">
      <w:pPr>
        <w:widowControl/>
        <w:pBdr>
          <w:top w:val="nil"/>
          <w:left w:val="nil"/>
          <w:bottom w:val="nil"/>
          <w:right w:val="nil"/>
          <w:between w:val="nil"/>
        </w:pBdr>
      </w:pPr>
    </w:p>
    <w:p w:rsidR="000E69AD" w:rsidRPr="007A021C" w:rsidP="000E69AD" w14:paraId="553ED63C" w14:textId="2F466B30">
      <w:pPr>
        <w:widowControl/>
        <w:pBdr>
          <w:top w:val="nil"/>
          <w:left w:val="nil"/>
          <w:bottom w:val="nil"/>
          <w:right w:val="nil"/>
          <w:between w:val="nil"/>
        </w:pBdr>
      </w:pPr>
      <w:r w:rsidRPr="00D30258">
        <w:rPr>
          <w:i/>
        </w:rPr>
        <w:t>Response</w:t>
      </w:r>
      <w:r w:rsidRPr="007A021C">
        <w:t xml:space="preserve">: See </w:t>
      </w:r>
      <w:r w:rsidR="00D30258">
        <w:t>the response to the comment ab</w:t>
      </w:r>
      <w:r w:rsidRPr="007A021C">
        <w:t>ove for response on leases and paying for stamps</w:t>
      </w:r>
    </w:p>
    <w:p w:rsidR="000E69AD" w:rsidRPr="007A021C" w:rsidP="000E69AD" w14:paraId="3E46999D" w14:textId="7A6FB224">
      <w:pPr>
        <w:widowControl/>
        <w:pBdr>
          <w:top w:val="nil"/>
          <w:left w:val="nil"/>
          <w:bottom w:val="nil"/>
          <w:right w:val="nil"/>
          <w:between w:val="nil"/>
        </w:pBdr>
      </w:pPr>
    </w:p>
    <w:p w:rsidR="00370B85" w:rsidP="00565B66" w14:paraId="34DA0D0A"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56B16" w:rsidP="00565B66" w14:paraId="2C33194B" w14:textId="77777777">
      <w:pPr>
        <w:widowControl/>
        <w:adjustRightInd w:val="0"/>
      </w:pPr>
    </w:p>
    <w:p w:rsidR="00F64454" w:rsidP="00565B66" w14:paraId="3F5E11DC" w14:textId="77777777">
      <w:pPr>
        <w:widowControl/>
        <w:adjustRightInd w:val="0"/>
      </w:pPr>
      <w:r w:rsidRPr="00D0226E">
        <w:t>No payment or gift to respondents is provided under this program.</w:t>
      </w:r>
    </w:p>
    <w:p w:rsidR="00154F79" w:rsidRPr="00D0226E" w:rsidP="00565B66" w14:paraId="16E006EE" w14:textId="77777777">
      <w:pPr>
        <w:widowControl/>
        <w:adjustRightInd w:val="0"/>
      </w:pPr>
    </w:p>
    <w:p w:rsidR="00370B85" w:rsidP="00565B66" w14:paraId="2B76A26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56B16" w:rsidP="00565B66" w14:paraId="0141A111" w14:textId="77777777">
      <w:pPr>
        <w:widowControl/>
      </w:pPr>
    </w:p>
    <w:p w:rsidR="002666A4" w:rsidP="00565B66" w14:paraId="4DCCB382" w14:textId="3D26771C">
      <w:pPr>
        <w:widowControl/>
      </w:pPr>
      <w:r w:rsidRPr="00C94732">
        <w:t xml:space="preserve">All information collections by NMFS Alaska Region are protected under confidentiality provisions of section 402(b) of the Magnuson-Stevens Act as amended in 2006 (16 U.S.C. 1801, </w:t>
      </w:r>
      <w:r w:rsidRPr="00B7052D">
        <w:rPr>
          <w:i/>
        </w:rPr>
        <w:t>et seq</w:t>
      </w:r>
      <w:r w:rsidRPr="00C94732">
        <w:t xml:space="preserve">.) and under </w:t>
      </w:r>
      <w:hyperlink r:id="rId26">
        <w:r w:rsidRPr="00C94732">
          <w:t>NOAA</w:t>
        </w:r>
      </w:hyperlink>
      <w:hyperlink r:id="rId26">
        <w:r w:rsidRPr="00C94732">
          <w:t xml:space="preserve"> Administrative Order 216-100,</w:t>
        </w:r>
      </w:hyperlink>
      <w:r w:rsidRPr="00C94732">
        <w:t xml:space="preserve"> which sets forth procedures to protect confidentiality of fishery statistics. </w:t>
      </w:r>
    </w:p>
    <w:p w:rsidR="002666A4" w:rsidP="00565B66" w14:paraId="0F8DF657" w14:textId="77777777">
      <w:pPr>
        <w:widowControl/>
      </w:pPr>
    </w:p>
    <w:p w:rsidR="00E56B16" w:rsidRPr="00C94732" w:rsidP="00565B66" w14:paraId="54302A4A" w14:textId="77777777">
      <w:pPr>
        <w:widowControl/>
      </w:pPr>
      <w:r w:rsidRPr="00C94732">
        <w:t xml:space="preserve">The System of Records Notices (SORNs) that cover this information collection is </w:t>
      </w:r>
      <w:hyperlink r:id="rId27" w:history="1">
        <w:r w:rsidRPr="00D152BF">
          <w:rPr>
            <w:rStyle w:val="Hyperlink"/>
          </w:rPr>
          <w:t>COMMERCE/NOAA-6,</w:t>
        </w:r>
        <w:r w:rsidRPr="00B7052D">
          <w:rPr>
            <w:rStyle w:val="Hyperlink"/>
            <w:sz w:val="20"/>
            <w:szCs w:val="20"/>
          </w:rPr>
          <w:t xml:space="preserve"> </w:t>
        </w:r>
        <w:r w:rsidRPr="00D152BF">
          <w:rPr>
            <w:rStyle w:val="Hyperlink"/>
          </w:rPr>
          <w:t>Fishermen's Statistical Data</w:t>
        </w:r>
      </w:hyperlink>
      <w:r>
        <w:rPr>
          <w:rStyle w:val="FootnoteReference"/>
        </w:rPr>
        <w:footnoteReference w:id="15"/>
      </w:r>
      <w:r w:rsidRPr="00C94732">
        <w:t xml:space="preserve"> and </w:t>
      </w:r>
      <w:hyperlink r:id="rId28" w:history="1">
        <w:r w:rsidRPr="00B7052D">
          <w:rPr>
            <w:color w:val="0000FF"/>
            <w:u w:val="single"/>
          </w:rPr>
          <w:t>COMMERCE/NOAA-19, Permits and Registrations for United States Federally Regulated Fisheries</w:t>
        </w:r>
      </w:hyperlink>
      <w:r>
        <w:rPr>
          <w:rStyle w:val="FootnoteReference"/>
        </w:rPr>
        <w:footnoteReference w:id="16"/>
      </w:r>
      <w:r w:rsidRPr="00572CD9" w:rsidR="00572CD9">
        <w:t>.</w:t>
      </w:r>
      <w:r w:rsidRPr="00C94732">
        <w:t xml:space="preserve"> An amended Privacy Act SORN for COMMERCE/NOAA-19 was published in the </w:t>
      </w:r>
      <w:r w:rsidRPr="00B7052D">
        <w:rPr>
          <w:i/>
        </w:rPr>
        <w:t>Federal Register</w:t>
      </w:r>
      <w:r w:rsidRPr="00C94732">
        <w:t xml:space="preserve"> on August 7, 2015 (80 FR 47457), and became effective September 15, 2015 (80 FR 55327).</w:t>
      </w:r>
    </w:p>
    <w:p w:rsidR="00565B66" w:rsidP="00565B66" w14:paraId="3C9B043A" w14:textId="77777777">
      <w:pPr>
        <w:pStyle w:val="BodyText"/>
        <w:widowControl/>
        <w:spacing w:before="0"/>
        <w:ind w:left="0"/>
      </w:pPr>
    </w:p>
    <w:p w:rsidR="00E56B16" w:rsidP="00565B66" w14:paraId="56D34C0C" w14:textId="3007F6FD">
      <w:pPr>
        <w:pStyle w:val="BodyText"/>
        <w:widowControl/>
        <w:spacing w:before="0"/>
        <w:ind w:left="0"/>
      </w:pPr>
      <w:r w:rsidRPr="00E823AD">
        <w:t xml:space="preserve">The Privacy Impact Assessment that covers this information collection is </w:t>
      </w:r>
      <w:hyperlink r:id="rId29" w:history="1">
        <w:r w:rsidRPr="00E823AD">
          <w:rPr>
            <w:rStyle w:val="Hyperlink"/>
          </w:rPr>
          <w:t>NOAA NMFS Alaska Region Local Area Network (NOAA4700)</w:t>
        </w:r>
      </w:hyperlink>
      <w:r w:rsidRPr="00572CD9" w:rsidR="00572CD9">
        <w:rPr>
          <w:rStyle w:val="Hyperlink"/>
          <w:color w:val="auto"/>
          <w:u w:val="none"/>
        </w:rPr>
        <w:t>.</w:t>
      </w:r>
      <w:r>
        <w:rPr>
          <w:rStyle w:val="FootnoteReference"/>
        </w:rPr>
        <w:footnoteReference w:id="17"/>
      </w:r>
    </w:p>
    <w:p w:rsidR="00154F79" w:rsidRPr="00E823AD" w:rsidP="00565B66" w14:paraId="0319492C" w14:textId="77777777">
      <w:pPr>
        <w:pStyle w:val="BodyText"/>
        <w:widowControl/>
        <w:spacing w:before="0"/>
        <w:ind w:left="0"/>
      </w:pPr>
    </w:p>
    <w:p w:rsidR="00370B85" w:rsidP="00565B66" w14:paraId="7C18C42B" w14:textId="2C0F0525">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B16" w:rsidP="00565B66" w14:paraId="5D2AA5C0" w14:textId="77777777">
      <w:pPr>
        <w:widowControl/>
        <w:spacing w:line="259" w:lineRule="auto"/>
      </w:pPr>
    </w:p>
    <w:p w:rsidR="00E56B16" w:rsidP="00565B66" w14:paraId="48259888" w14:textId="77777777">
      <w:pPr>
        <w:widowControl/>
        <w:spacing w:line="259" w:lineRule="auto"/>
        <w:rPr>
          <w:color w:val="2F5496"/>
        </w:rPr>
      </w:pPr>
      <w:r w:rsidRPr="00AC1977">
        <w:t>This information collection does not involve information of a sensitive nature</w:t>
      </w:r>
      <w:r w:rsidR="00066CDD">
        <w:t>.</w:t>
      </w:r>
      <w:r>
        <w:rPr>
          <w:color w:val="2F5496"/>
        </w:rPr>
        <w:t xml:space="preserve"> </w:t>
      </w:r>
    </w:p>
    <w:p w:rsidR="00EF5648" w:rsidP="00565B66" w14:paraId="655974D1" w14:textId="77777777">
      <w:pPr>
        <w:widowControl/>
        <w:spacing w:line="259" w:lineRule="auto"/>
      </w:pPr>
    </w:p>
    <w:p w:rsidR="00370B85" w:rsidP="00565B66" w14:paraId="33E366D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E56B16" w:rsidP="00565B66" w14:paraId="35ED3C0B" w14:textId="77777777">
      <w:pPr>
        <w:widowControl/>
      </w:pPr>
    </w:p>
    <w:p w:rsidR="003C44B0" w:rsidP="00565B66" w14:paraId="69254816" w14:textId="1718CB1C">
      <w:pPr>
        <w:widowControl/>
      </w:pPr>
      <w:r>
        <w:t xml:space="preserve">The revision to this information collection for the </w:t>
      </w:r>
      <w:r w:rsidR="001C4B22">
        <w:t>final</w:t>
      </w:r>
      <w:r w:rsidRPr="005B171C" w:rsidR="001C4B22">
        <w:t xml:space="preserve"> </w:t>
      </w:r>
      <w:r w:rsidRPr="005B171C" w:rsidR="005B171C">
        <w:t>rule (RIN 0648-</w:t>
      </w:r>
      <w:r>
        <w:t>BN18</w:t>
      </w:r>
      <w:r w:rsidRPr="005B171C" w:rsidR="005B171C">
        <w:t xml:space="preserve">) </w:t>
      </w:r>
      <w:r>
        <w:t>add</w:t>
      </w:r>
      <w:r w:rsidR="001C4B22">
        <w:t>s</w:t>
      </w:r>
      <w:r w:rsidR="00BC4770">
        <w:t xml:space="preserve"> information collection</w:t>
      </w:r>
      <w:r>
        <w:t xml:space="preserve"> requirements for the purchase and validation of charter halibut stamps and </w:t>
      </w:r>
      <w:r w:rsidR="00BC4770">
        <w:t xml:space="preserve">for </w:t>
      </w:r>
      <w:r>
        <w:t>appeal</w:t>
      </w:r>
      <w:r w:rsidR="00BC4770">
        <w:t>s.</w:t>
      </w:r>
      <w:r>
        <w:t xml:space="preserve"> The rule </w:t>
      </w:r>
      <w:r w:rsidR="001C4B22">
        <w:t xml:space="preserve">does </w:t>
      </w:r>
      <w:r>
        <w:t xml:space="preserve">not add any new respondents to this collection but </w:t>
      </w:r>
      <w:r w:rsidR="001C4B22">
        <w:t xml:space="preserve">does </w:t>
      </w:r>
      <w:r>
        <w:t>increase the time burden for the Charter Logbook from 4 minutes to 5 minutes to include validation of stamps.</w:t>
      </w:r>
    </w:p>
    <w:p w:rsidR="003C44B0" w:rsidP="00565B66" w14:paraId="564B68E1" w14:textId="77777777">
      <w:pPr>
        <w:widowControl/>
      </w:pPr>
    </w:p>
    <w:p w:rsidR="003C44B0" w:rsidRPr="00230825" w:rsidP="00A51B6B" w14:paraId="2603675E" w14:textId="423EABEB">
      <w:pPr>
        <w:widowControl/>
        <w:ind w:right="-144"/>
        <w:rPr>
          <w:strike/>
        </w:rPr>
      </w:pPr>
      <w:r>
        <w:t xml:space="preserve">A new collection, purchase of charter halibut stamps, has been added to the table below. </w:t>
      </w:r>
      <w:r w:rsidRPr="00C8529A">
        <w:t xml:space="preserve">NMFS expects CHP holders </w:t>
      </w:r>
      <w:r w:rsidR="001C4B22">
        <w:t>will</w:t>
      </w:r>
      <w:r w:rsidRPr="00C8529A" w:rsidR="001C4B22">
        <w:t xml:space="preserve"> </w:t>
      </w:r>
      <w:r w:rsidRPr="00C8529A">
        <w:t>purchase stamps at least once per season, and likely at periodic monthly or weekly interval</w:t>
      </w:r>
      <w:r w:rsidR="003A0DFB">
        <w:t>s</w:t>
      </w:r>
      <w:r w:rsidRPr="00C8529A">
        <w:t>. In Area 2C, 274 unique persons hold 529 CHPs. In Area 3A, 300 unique persons hold 426 CHPs. Not all of persons and permits are active in any particular year. On average, 247 businesses annually have been active in the charter fishery in Area 2C</w:t>
      </w:r>
      <w:r w:rsidR="003A0DFB">
        <w:t>,</w:t>
      </w:r>
      <w:r w:rsidRPr="00C8529A">
        <w:t xml:space="preserve"> and 228 businesses annually have been active in Area 3A. Therefore, a total of 475 CHP holder</w:t>
      </w:r>
      <w:r>
        <w:t>s annually are expected to p</w:t>
      </w:r>
      <w:r w:rsidRPr="00C8529A">
        <w:t xml:space="preserve">urchase stamps. </w:t>
      </w:r>
    </w:p>
    <w:p w:rsidR="003C44B0" w:rsidP="00565B66" w14:paraId="6BA13CA4" w14:textId="77777777">
      <w:pPr>
        <w:widowControl/>
      </w:pPr>
    </w:p>
    <w:p w:rsidR="00093DA9" w:rsidP="00A51B6B" w14:paraId="23A041F6" w14:textId="5BA71235">
      <w:pPr>
        <w:widowControl/>
        <w:ind w:right="-144"/>
      </w:pPr>
      <w:r>
        <w:t xml:space="preserve">The table </w:t>
      </w:r>
      <w:r w:rsidR="003A0DFB">
        <w:t>was</w:t>
      </w:r>
      <w:r>
        <w:t xml:space="preserve"> updated to </w:t>
      </w:r>
      <w:r w:rsidR="003A0DFB">
        <w:t xml:space="preserve">show </w:t>
      </w:r>
      <w:r>
        <w:t xml:space="preserve">recent data on CHP holders and to use the current rates </w:t>
      </w:r>
      <w:r w:rsidR="003C44B0">
        <w:t xml:space="preserve">available (May 2024) </w:t>
      </w:r>
      <w:r>
        <w:t>from the U</w:t>
      </w:r>
      <w:r w:rsidR="003C44B0">
        <w:t xml:space="preserve">.S. Bureau of Labor Statistics </w:t>
      </w:r>
      <w:r w:rsidR="00C424AB">
        <w:t>for Alaska mean hourly wage (</w:t>
      </w:r>
      <w:hyperlink r:id="rId30" w:history="1">
        <w:r w:rsidR="00C424AB">
          <w:rPr>
            <w:color w:val="0000FF" w:themeColor="hyperlink"/>
            <w:u w:val="single"/>
          </w:rPr>
          <w:t>https://www.bls.gov/oes/current/oes_ak.htm</w:t>
        </w:r>
      </w:hyperlink>
      <w:r w:rsidRPr="000B7170" w:rsidR="00C424AB">
        <w:t>)</w:t>
      </w:r>
      <w:r w:rsidRPr="00287801" w:rsidR="00B05D91">
        <w:t>. The rate $</w:t>
      </w:r>
      <w:r w:rsidR="00B05D91">
        <w:t>2</w:t>
      </w:r>
      <w:r w:rsidR="00C51EB1">
        <w:t>4.21</w:t>
      </w:r>
      <w:r w:rsidRPr="00287801" w:rsidR="00B05D91">
        <w:t xml:space="preserve"> is for Occupation Code 45-0000 (Farming, Fishing, and Forestry Occupations</w:t>
      </w:r>
      <w:r w:rsidR="003A0DFB">
        <w:t>)</w:t>
      </w:r>
      <w:r w:rsidR="00C51EB1">
        <w:t>,</w:t>
      </w:r>
      <w:r w:rsidR="00C424AB">
        <w:t xml:space="preserve"> and $2</w:t>
      </w:r>
      <w:r w:rsidR="00C51EB1">
        <w:t>3.68</w:t>
      </w:r>
      <w:r w:rsidR="00C424AB">
        <w:t xml:space="preserve"> is</w:t>
      </w:r>
      <w:r w:rsidRPr="00C424AB" w:rsidR="00C424AB">
        <w:t xml:space="preserve"> for Occupation Code</w:t>
      </w:r>
      <w:r w:rsidR="00C424AB">
        <w:t xml:space="preserve"> 39-9032 (Recreation Workers). </w:t>
      </w:r>
    </w:p>
    <w:p w:rsidR="00640801" w:rsidRPr="00A51B6B" w:rsidP="00B05D91" w14:paraId="560F40E0" w14:textId="77777777">
      <w:pPr>
        <w:spacing w:line="259" w:lineRule="auto"/>
        <w:ind w:hanging="43"/>
      </w:pPr>
    </w:p>
    <w:tbl>
      <w:tblPr>
        <w:tblW w:w="11080" w:type="dxa"/>
        <w:jc w:val="center"/>
        <w:tblLayout w:type="fixed"/>
        <w:tblLook w:val="04A0"/>
      </w:tblPr>
      <w:tblGrid>
        <w:gridCol w:w="2246"/>
        <w:gridCol w:w="1094"/>
        <w:gridCol w:w="1170"/>
        <w:gridCol w:w="1440"/>
        <w:gridCol w:w="1170"/>
        <w:gridCol w:w="1080"/>
        <w:gridCol w:w="810"/>
        <w:gridCol w:w="1080"/>
        <w:gridCol w:w="990"/>
      </w:tblGrid>
      <w:tr w14:paraId="19FE9F0A" w14:textId="77777777" w:rsidTr="00FB4224">
        <w:tblPrEx>
          <w:tblW w:w="11080" w:type="dxa"/>
          <w:jc w:val="center"/>
          <w:tblLayout w:type="fixed"/>
          <w:tblLook w:val="04A0"/>
        </w:tblPrEx>
        <w:trPr>
          <w:trHeight w:val="809"/>
          <w:jc w:val="center"/>
        </w:trPr>
        <w:tc>
          <w:tcPr>
            <w:tcW w:w="2246"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E56B16" w:rsidRPr="00D64DF9" w:rsidP="00565B66" w14:paraId="2238A84B"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Information Collection</w:t>
            </w:r>
          </w:p>
        </w:tc>
        <w:tc>
          <w:tcPr>
            <w:tcW w:w="1094" w:type="dxa"/>
            <w:tcBorders>
              <w:top w:val="single" w:sz="8" w:space="0" w:color="auto"/>
              <w:left w:val="nil"/>
              <w:bottom w:val="single" w:sz="8" w:space="0" w:color="auto"/>
              <w:right w:val="single" w:sz="8" w:space="0" w:color="000000"/>
            </w:tcBorders>
            <w:shd w:val="clear" w:color="000000" w:fill="BDD7EE"/>
            <w:vAlign w:val="center"/>
            <w:hideMark/>
          </w:tcPr>
          <w:p w:rsidR="00E56B16" w:rsidRPr="00D64DF9" w:rsidP="00565B66" w14:paraId="729D13B1"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Type of Respondent (e.g., Occupational Title)</w:t>
            </w:r>
          </w:p>
        </w:tc>
        <w:tc>
          <w:tcPr>
            <w:tcW w:w="1170" w:type="dxa"/>
            <w:tcBorders>
              <w:top w:val="single" w:sz="8" w:space="0" w:color="auto"/>
              <w:left w:val="nil"/>
              <w:bottom w:val="single" w:sz="8" w:space="0" w:color="auto"/>
              <w:right w:val="single" w:sz="8" w:space="0" w:color="000000"/>
            </w:tcBorders>
            <w:shd w:val="clear" w:color="000000" w:fill="BDD7EE"/>
            <w:vAlign w:val="center"/>
            <w:hideMark/>
          </w:tcPr>
          <w:p w:rsidR="00E56B16" w:rsidRPr="00D64DF9" w:rsidP="00565B66" w14:paraId="0F097453"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 of Respondents/year</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565B66" w14:paraId="78C053EA"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Annual # of Responses / Respondent</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565B66" w14:paraId="056027F4"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Total # of Annual Responses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565B66" w14:paraId="54E97D80"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 xml:space="preserve">Burden </w:t>
            </w:r>
            <w:r w:rsidRPr="00D64DF9">
              <w:rPr>
                <w:rFonts w:ascii="Calibri" w:hAnsi="Calibri" w:cs="Calibri"/>
                <w:b/>
                <w:bCs/>
                <w:color w:val="000000"/>
                <w:sz w:val="16"/>
                <w:szCs w:val="16"/>
              </w:rPr>
              <w:t>Hrs</w:t>
            </w:r>
            <w:r w:rsidRPr="00D64DF9">
              <w:rPr>
                <w:rFonts w:ascii="Calibri" w:hAnsi="Calibri" w:cs="Calibri"/>
                <w:b/>
                <w:bCs/>
                <w:color w:val="000000"/>
                <w:sz w:val="16"/>
                <w:szCs w:val="16"/>
              </w:rPr>
              <w:t xml:space="preserve"> / Response</w:t>
            </w:r>
          </w:p>
        </w:tc>
        <w:tc>
          <w:tcPr>
            <w:tcW w:w="81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565B66" w14:paraId="1C808ABE"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 xml:space="preserve">Total Annual Burden </w:t>
            </w:r>
            <w:r w:rsidRPr="00D64DF9">
              <w:rPr>
                <w:rFonts w:ascii="Calibri" w:hAnsi="Calibri" w:cs="Calibri"/>
                <w:b/>
                <w:bCs/>
                <w:color w:val="000000"/>
                <w:sz w:val="16"/>
                <w:szCs w:val="16"/>
              </w:rPr>
              <w:t>Hrs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565B66" w14:paraId="0A575C70"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Hourly Wage Rate</w:t>
            </w:r>
            <w:r w:rsidR="00154F79">
              <w:rPr>
                <w:rFonts w:ascii="Calibri" w:hAnsi="Calibri" w:cs="Calibri"/>
                <w:b/>
                <w:bCs/>
                <w:color w:val="000000"/>
                <w:sz w:val="16"/>
                <w:szCs w:val="16"/>
              </w:rPr>
              <w:t xml:space="preserve"> </w:t>
            </w:r>
            <w:r w:rsidRPr="00D64DF9">
              <w:rPr>
                <w:rFonts w:ascii="Calibri" w:hAnsi="Calibri" w:cs="Calibri"/>
                <w:b/>
                <w:bCs/>
                <w:color w:val="000000"/>
                <w:sz w:val="16"/>
                <w:szCs w:val="16"/>
              </w:rPr>
              <w:t>(for Type of Respondent)</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E56B16" w:rsidRPr="00D64DF9" w:rsidP="00565B66" w14:paraId="5481FE1E" w14:textId="77777777">
            <w:pPr>
              <w:keepNext/>
              <w:keepLines/>
              <w:widowControl/>
              <w:jc w:val="center"/>
              <w:rPr>
                <w:rFonts w:ascii="Calibri" w:hAnsi="Calibri" w:cs="Calibri"/>
                <w:b/>
                <w:bCs/>
                <w:color w:val="000000"/>
                <w:sz w:val="16"/>
                <w:szCs w:val="16"/>
              </w:rPr>
            </w:pPr>
            <w:r w:rsidRPr="00D64DF9">
              <w:rPr>
                <w:rFonts w:ascii="Calibri" w:hAnsi="Calibri" w:cs="Calibri"/>
                <w:b/>
                <w:bCs/>
                <w:color w:val="000000"/>
                <w:sz w:val="16"/>
                <w:szCs w:val="16"/>
              </w:rPr>
              <w:t>Total Annual Wage Burden Costs</w:t>
            </w:r>
          </w:p>
        </w:tc>
      </w:tr>
      <w:tr w14:paraId="30A67D37" w14:textId="77777777" w:rsidTr="00506C7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RPr="00940A9C" w:rsidP="00565B66" w14:paraId="582809D0"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ADF&amp;G Saltwater Sport Fishing Charter Trip Logbook</w:t>
            </w:r>
          </w:p>
        </w:tc>
        <w:tc>
          <w:tcPr>
            <w:tcW w:w="1094" w:type="dxa"/>
            <w:tcBorders>
              <w:top w:val="nil"/>
              <w:left w:val="nil"/>
              <w:bottom w:val="single" w:sz="4" w:space="0" w:color="auto"/>
              <w:right w:val="single" w:sz="4" w:space="0" w:color="auto"/>
            </w:tcBorders>
            <w:shd w:val="clear" w:color="auto" w:fill="auto"/>
            <w:vAlign w:val="center"/>
          </w:tcPr>
          <w:p w:rsidR="00DC3F89" w:rsidRPr="00940A9C" w:rsidP="00565B66" w14:paraId="130D5FD6" w14:textId="77777777">
            <w:pPr>
              <w:keepNext/>
              <w:keepLines/>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565B66" w14:paraId="03223E1B" w14:textId="77777777">
            <w:pPr>
              <w:keepNext/>
              <w:keepLines/>
              <w:widowControl/>
              <w:jc w:val="center"/>
              <w:rPr>
                <w:rFonts w:ascii="Calibri" w:hAnsi="Calibri" w:cs="Calibri"/>
                <w:color w:val="000000"/>
                <w:sz w:val="18"/>
                <w:szCs w:val="18"/>
              </w:rPr>
            </w:pPr>
            <w:r>
              <w:rPr>
                <w:rFonts w:asciiTheme="minorHAnsi" w:hAnsiTheme="minorHAnsi" w:cstheme="minorHAnsi"/>
                <w:sz w:val="18"/>
                <w:szCs w:val="18"/>
              </w:rPr>
              <w:t>574</w:t>
            </w:r>
            <w:r>
              <w:rPr>
                <w:rFonts w:asciiTheme="minorHAnsi" w:hAnsiTheme="minorHAnsi" w:cstheme="minorHAnsi"/>
                <w:sz w:val="18"/>
                <w:szCs w:val="18"/>
                <w:vertAlign w:val="superscript"/>
              </w:rPr>
              <w:t>6</w:t>
            </w:r>
          </w:p>
        </w:tc>
        <w:tc>
          <w:tcPr>
            <w:tcW w:w="1440" w:type="dxa"/>
            <w:tcBorders>
              <w:top w:val="nil"/>
              <w:left w:val="nil"/>
              <w:bottom w:val="single" w:sz="4" w:space="0" w:color="auto"/>
              <w:right w:val="single" w:sz="4" w:space="0" w:color="auto"/>
            </w:tcBorders>
            <w:shd w:val="clear" w:color="auto" w:fill="auto"/>
            <w:vAlign w:val="center"/>
          </w:tcPr>
          <w:p w:rsidR="00DC3F89" w:rsidRPr="00680824" w:rsidP="00565B66" w14:paraId="53B54F79" w14:textId="77777777">
            <w:pPr>
              <w:keepNext/>
              <w:keepLines/>
              <w:widowControl/>
              <w:jc w:val="center"/>
              <w:rPr>
                <w:rFonts w:ascii="Calibri" w:hAnsi="Calibri" w:cs="Calibri"/>
                <w:color w:val="000000"/>
                <w:sz w:val="18"/>
                <w:szCs w:val="18"/>
              </w:rPr>
            </w:pPr>
            <w:r w:rsidRPr="00A122EB">
              <w:rPr>
                <w:rFonts w:asciiTheme="minorHAnsi" w:hAnsiTheme="minorHAnsi" w:cstheme="minorHAnsi"/>
                <w:sz w:val="18"/>
                <w:szCs w:val="18"/>
              </w:rPr>
              <w:t>Avg. 35 trips per CHP</w:t>
            </w:r>
          </w:p>
        </w:tc>
        <w:tc>
          <w:tcPr>
            <w:tcW w:w="1170" w:type="dxa"/>
            <w:tcBorders>
              <w:top w:val="nil"/>
              <w:left w:val="nil"/>
              <w:bottom w:val="single" w:sz="4" w:space="0" w:color="auto"/>
              <w:right w:val="single" w:sz="4" w:space="0" w:color="auto"/>
            </w:tcBorders>
            <w:shd w:val="clear" w:color="auto" w:fill="auto"/>
          </w:tcPr>
          <w:p w:rsidR="00DC3F89" w:rsidRPr="00A122EB" w:rsidP="00565B66" w14:paraId="6DB6C19A" w14:textId="77777777">
            <w:pPr>
              <w:keepNext/>
              <w:keepLines/>
              <w:jc w:val="center"/>
              <w:rPr>
                <w:rFonts w:asciiTheme="minorHAnsi" w:hAnsiTheme="minorHAnsi" w:cstheme="minorHAnsi"/>
                <w:sz w:val="18"/>
                <w:szCs w:val="18"/>
              </w:rPr>
            </w:pPr>
            <w:r w:rsidRPr="00A122EB">
              <w:rPr>
                <w:rFonts w:asciiTheme="minorHAnsi" w:hAnsiTheme="minorHAnsi" w:cstheme="minorHAnsi"/>
                <w:sz w:val="18"/>
                <w:szCs w:val="18"/>
              </w:rPr>
              <w:t>37,310</w:t>
            </w:r>
          </w:p>
          <w:p w:rsidR="00DC3F89" w:rsidRPr="00680824" w:rsidP="00565B66" w14:paraId="172E3054" w14:textId="77777777">
            <w:pPr>
              <w:keepNext/>
              <w:keepLines/>
              <w:widowControl/>
              <w:jc w:val="center"/>
              <w:rPr>
                <w:rFonts w:ascii="Calibri" w:hAnsi="Calibri" w:cs="Calibri"/>
                <w:color w:val="000000"/>
                <w:sz w:val="18"/>
                <w:szCs w:val="18"/>
              </w:rPr>
            </w:pPr>
            <w:r w:rsidRPr="00A122EB">
              <w:rPr>
                <w:rFonts w:asciiTheme="minorHAnsi" w:hAnsiTheme="minorHAnsi" w:cstheme="minorHAnsi"/>
                <w:sz w:val="18"/>
                <w:szCs w:val="18"/>
              </w:rPr>
              <w:t>(35 trips x 1,066 CHPs)</w:t>
            </w:r>
          </w:p>
        </w:tc>
        <w:tc>
          <w:tcPr>
            <w:tcW w:w="1080" w:type="dxa"/>
            <w:tcBorders>
              <w:top w:val="nil"/>
              <w:left w:val="nil"/>
              <w:bottom w:val="single" w:sz="4" w:space="0" w:color="auto"/>
              <w:right w:val="single" w:sz="4" w:space="0" w:color="auto"/>
            </w:tcBorders>
            <w:shd w:val="clear" w:color="auto" w:fill="auto"/>
            <w:vAlign w:val="center"/>
          </w:tcPr>
          <w:p w:rsidR="00DC3F89" w:rsidRPr="00680824" w:rsidP="00565B66" w14:paraId="6200B1E6" w14:textId="77777777">
            <w:pPr>
              <w:keepNext/>
              <w:keepLines/>
              <w:jc w:val="center"/>
              <w:rPr>
                <w:rFonts w:ascii="Calibri" w:hAnsi="Calibri" w:cs="Calibri"/>
                <w:color w:val="000000"/>
                <w:sz w:val="18"/>
                <w:szCs w:val="18"/>
              </w:rPr>
            </w:pPr>
            <w:r>
              <w:rPr>
                <w:rFonts w:ascii="Calibri" w:hAnsi="Calibri" w:cs="Calibri"/>
                <w:color w:val="000000"/>
                <w:sz w:val="18"/>
                <w:szCs w:val="18"/>
              </w:rPr>
              <w:t>5</w:t>
            </w:r>
            <w:r w:rsidRPr="00A122EB">
              <w:rPr>
                <w:rFonts w:ascii="Calibri" w:hAnsi="Calibri" w:cs="Calibri"/>
                <w:color w:val="000000"/>
                <w:sz w:val="18"/>
                <w:szCs w:val="18"/>
              </w:rPr>
              <w:t xml:space="preserve"> min</w:t>
            </w:r>
          </w:p>
        </w:tc>
        <w:tc>
          <w:tcPr>
            <w:tcW w:w="810" w:type="dxa"/>
            <w:tcBorders>
              <w:top w:val="nil"/>
              <w:left w:val="nil"/>
              <w:bottom w:val="single" w:sz="4" w:space="0" w:color="auto"/>
              <w:right w:val="single" w:sz="4" w:space="0" w:color="auto"/>
            </w:tcBorders>
            <w:shd w:val="clear" w:color="auto" w:fill="auto"/>
            <w:vAlign w:val="center"/>
          </w:tcPr>
          <w:p w:rsidR="00DC3F89" w:rsidRPr="00680824" w:rsidP="00565B66" w14:paraId="4FB5A4E9" w14:textId="77777777">
            <w:pPr>
              <w:keepNext/>
              <w:keepLines/>
              <w:widowControl/>
              <w:jc w:val="center"/>
              <w:rPr>
                <w:rFonts w:ascii="Calibri" w:hAnsi="Calibri" w:cs="Calibri"/>
                <w:color w:val="000000"/>
                <w:sz w:val="18"/>
                <w:szCs w:val="18"/>
              </w:rPr>
            </w:pPr>
            <w:r w:rsidRPr="00C51EB1">
              <w:rPr>
                <w:rFonts w:ascii="Calibri" w:hAnsi="Calibri" w:cs="Calibri"/>
                <w:color w:val="000000"/>
                <w:sz w:val="18"/>
                <w:szCs w:val="18"/>
              </w:rPr>
              <w:t>3,109</w:t>
            </w:r>
          </w:p>
        </w:tc>
        <w:tc>
          <w:tcPr>
            <w:tcW w:w="1080" w:type="dxa"/>
            <w:tcBorders>
              <w:top w:val="nil"/>
              <w:left w:val="nil"/>
              <w:bottom w:val="single" w:sz="4" w:space="0" w:color="auto"/>
              <w:right w:val="single" w:sz="4" w:space="0" w:color="auto"/>
            </w:tcBorders>
            <w:shd w:val="clear" w:color="auto" w:fill="auto"/>
            <w:noWrap/>
            <w:vAlign w:val="center"/>
          </w:tcPr>
          <w:p w:rsidR="00DC3F89" w:rsidP="00565B66" w14:paraId="06846F1E"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P="00565B66" w14:paraId="21A777AA" w14:textId="77777777">
            <w:pPr>
              <w:keepNext/>
              <w:keepLines/>
              <w:widowControl/>
              <w:jc w:val="center"/>
              <w:rPr>
                <w:rFonts w:ascii="Calibri" w:hAnsi="Calibri" w:cs="Calibri"/>
                <w:color w:val="000000"/>
                <w:sz w:val="18"/>
                <w:szCs w:val="18"/>
              </w:rPr>
            </w:pPr>
            <w:r w:rsidRPr="00C51EB1">
              <w:rPr>
                <w:rFonts w:ascii="Calibri" w:hAnsi="Calibri" w:cs="Calibri"/>
                <w:color w:val="000000"/>
                <w:sz w:val="18"/>
                <w:szCs w:val="18"/>
              </w:rPr>
              <w:t>75,269</w:t>
            </w:r>
          </w:p>
        </w:tc>
      </w:tr>
      <w:tr w14:paraId="33C2C63F" w14:textId="77777777" w:rsidTr="00506C7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RPr="00940A9C" w:rsidP="00565B66" w14:paraId="7E1E7341"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Electronic and manual GAF landing report</w:t>
            </w:r>
          </w:p>
        </w:tc>
        <w:tc>
          <w:tcPr>
            <w:tcW w:w="1094" w:type="dxa"/>
            <w:tcBorders>
              <w:top w:val="nil"/>
              <w:left w:val="nil"/>
              <w:bottom w:val="single" w:sz="4" w:space="0" w:color="auto"/>
              <w:right w:val="single" w:sz="4" w:space="0" w:color="auto"/>
            </w:tcBorders>
            <w:shd w:val="clear" w:color="auto" w:fill="auto"/>
            <w:vAlign w:val="center"/>
          </w:tcPr>
          <w:p w:rsidR="00DC3F89" w:rsidP="00565B66" w14:paraId="7138815E" w14:textId="77777777">
            <w:pPr>
              <w:keepNext/>
              <w:keepLines/>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565B66" w14:paraId="1FC7DDA0" w14:textId="77777777">
            <w:pPr>
              <w:keepNext/>
              <w:keepLines/>
              <w:widowControl/>
              <w:jc w:val="center"/>
              <w:rPr>
                <w:rFonts w:asciiTheme="minorHAnsi" w:hAnsiTheme="minorHAnsi" w:cstheme="minorHAnsi"/>
                <w:sz w:val="18"/>
                <w:szCs w:val="18"/>
              </w:rPr>
            </w:pPr>
            <w:r>
              <w:rPr>
                <w:rFonts w:ascii="Calibri" w:hAnsi="Calibri" w:cs="Calibri"/>
                <w:color w:val="000000"/>
                <w:sz w:val="18"/>
                <w:szCs w:val="18"/>
              </w:rPr>
              <w:t>96</w:t>
            </w:r>
          </w:p>
        </w:tc>
        <w:tc>
          <w:tcPr>
            <w:tcW w:w="1440" w:type="dxa"/>
            <w:tcBorders>
              <w:top w:val="nil"/>
              <w:left w:val="nil"/>
              <w:bottom w:val="single" w:sz="4" w:space="0" w:color="auto"/>
              <w:right w:val="single" w:sz="4" w:space="0" w:color="auto"/>
            </w:tcBorders>
            <w:shd w:val="clear" w:color="auto" w:fill="auto"/>
            <w:vAlign w:val="center"/>
          </w:tcPr>
          <w:p w:rsidR="00DC3F89" w:rsidRPr="00A122EB" w:rsidP="00565B66" w14:paraId="518DFAF2" w14:textId="77777777">
            <w:pPr>
              <w:keepNext/>
              <w:keepLines/>
              <w:widowControl/>
              <w:jc w:val="center"/>
              <w:rPr>
                <w:rFonts w:asciiTheme="minorHAnsi" w:hAnsiTheme="minorHAnsi" w:cstheme="minorHAnsi"/>
                <w:sz w:val="18"/>
                <w:szCs w:val="18"/>
              </w:rPr>
            </w:pPr>
            <w:r>
              <w:rPr>
                <w:rFonts w:ascii="Calibri" w:hAnsi="Calibri" w:cs="Calibri"/>
                <w:color w:val="000000"/>
                <w:sz w:val="18"/>
                <w:szCs w:val="18"/>
              </w:rPr>
              <w:t xml:space="preserve">Average </w:t>
            </w:r>
            <w:r w:rsidRPr="00242ADD">
              <w:rPr>
                <w:rFonts w:ascii="Calibri" w:hAnsi="Calibri" w:cs="Calibri"/>
                <w:color w:val="000000"/>
                <w:sz w:val="18"/>
                <w:szCs w:val="18"/>
              </w:rPr>
              <w:t>12</w:t>
            </w:r>
            <w:r>
              <w:rPr>
                <w:rFonts w:ascii="Calibri" w:hAnsi="Calibri" w:cs="Calibri"/>
                <w:color w:val="000000"/>
                <w:sz w:val="18"/>
                <w:szCs w:val="18"/>
                <w:vertAlign w:val="superscript"/>
              </w:rPr>
              <w:t xml:space="preserve"> </w:t>
            </w:r>
            <w:r>
              <w:rPr>
                <w:rFonts w:ascii="Calibri" w:hAnsi="Calibri" w:cs="Calibri"/>
                <w:color w:val="000000"/>
                <w:sz w:val="18"/>
                <w:szCs w:val="18"/>
              </w:rPr>
              <w:t>trips per respondent and 1 response per trip</w:t>
            </w:r>
          </w:p>
        </w:tc>
        <w:tc>
          <w:tcPr>
            <w:tcW w:w="1170" w:type="dxa"/>
            <w:tcBorders>
              <w:top w:val="nil"/>
              <w:left w:val="nil"/>
              <w:bottom w:val="single" w:sz="4" w:space="0" w:color="auto"/>
              <w:right w:val="single" w:sz="4" w:space="0" w:color="auto"/>
            </w:tcBorders>
            <w:shd w:val="clear" w:color="auto" w:fill="auto"/>
            <w:vAlign w:val="center"/>
          </w:tcPr>
          <w:p w:rsidR="00DC3F89" w:rsidRPr="00A122EB" w:rsidP="00565B66" w14:paraId="4EE0FC1E" w14:textId="77777777">
            <w:pPr>
              <w:keepNext/>
              <w:keepLines/>
              <w:jc w:val="center"/>
              <w:rPr>
                <w:rFonts w:asciiTheme="minorHAnsi" w:hAnsiTheme="minorHAnsi" w:cstheme="minorHAnsi"/>
                <w:sz w:val="18"/>
                <w:szCs w:val="18"/>
              </w:rPr>
            </w:pPr>
            <w:r w:rsidRPr="00242ADD">
              <w:rPr>
                <w:rFonts w:ascii="Calibri" w:hAnsi="Calibri" w:cs="Calibri"/>
                <w:color w:val="000000"/>
                <w:sz w:val="18"/>
                <w:szCs w:val="18"/>
              </w:rPr>
              <w:t>1,152</w:t>
            </w:r>
          </w:p>
        </w:tc>
        <w:tc>
          <w:tcPr>
            <w:tcW w:w="1080" w:type="dxa"/>
            <w:tcBorders>
              <w:top w:val="nil"/>
              <w:left w:val="nil"/>
              <w:bottom w:val="single" w:sz="4" w:space="0" w:color="auto"/>
              <w:right w:val="single" w:sz="4" w:space="0" w:color="auto"/>
            </w:tcBorders>
            <w:shd w:val="clear" w:color="auto" w:fill="auto"/>
            <w:vAlign w:val="center"/>
          </w:tcPr>
          <w:p w:rsidR="00DC3F89" w:rsidP="00565B66" w14:paraId="2834DB73" w14:textId="77777777">
            <w:pPr>
              <w:keepNext/>
              <w:keepLines/>
              <w:jc w:val="center"/>
              <w:rPr>
                <w:rFonts w:ascii="Calibri" w:hAnsi="Calibri" w:cs="Calibri"/>
                <w:color w:val="000000"/>
                <w:sz w:val="18"/>
                <w:szCs w:val="18"/>
              </w:rPr>
            </w:pPr>
            <w:r w:rsidRPr="00940A9C">
              <w:rPr>
                <w:rFonts w:ascii="Calibri" w:hAnsi="Calibri" w:cs="Calibri"/>
                <w:color w:val="000000"/>
                <w:sz w:val="18"/>
                <w:szCs w:val="18"/>
              </w:rPr>
              <w:t>5 min</w:t>
            </w:r>
          </w:p>
        </w:tc>
        <w:tc>
          <w:tcPr>
            <w:tcW w:w="810" w:type="dxa"/>
            <w:tcBorders>
              <w:top w:val="nil"/>
              <w:left w:val="nil"/>
              <w:bottom w:val="single" w:sz="4" w:space="0" w:color="auto"/>
              <w:right w:val="single" w:sz="4" w:space="0" w:color="auto"/>
            </w:tcBorders>
            <w:shd w:val="clear" w:color="auto" w:fill="auto"/>
            <w:vAlign w:val="center"/>
          </w:tcPr>
          <w:p w:rsidR="00DC3F89" w:rsidRPr="00C51EB1" w:rsidP="00565B66" w14:paraId="0ED3885F" w14:textId="77777777">
            <w:pPr>
              <w:keepNext/>
              <w:keepLines/>
              <w:widowControl/>
              <w:jc w:val="center"/>
              <w:rPr>
                <w:rFonts w:ascii="Calibri" w:hAnsi="Calibri" w:cs="Calibri"/>
                <w:color w:val="000000"/>
                <w:sz w:val="18"/>
                <w:szCs w:val="18"/>
              </w:rPr>
            </w:pPr>
            <w:r w:rsidRPr="00242ADD">
              <w:rPr>
                <w:rFonts w:ascii="Calibri" w:hAnsi="Calibri" w:cs="Calibri"/>
                <w:color w:val="000000"/>
                <w:sz w:val="18"/>
                <w:szCs w:val="18"/>
              </w:rPr>
              <w:t>96</w:t>
            </w:r>
          </w:p>
        </w:tc>
        <w:tc>
          <w:tcPr>
            <w:tcW w:w="1080" w:type="dxa"/>
            <w:tcBorders>
              <w:top w:val="nil"/>
              <w:left w:val="nil"/>
              <w:bottom w:val="single" w:sz="4" w:space="0" w:color="auto"/>
              <w:right w:val="single" w:sz="4" w:space="0" w:color="auto"/>
            </w:tcBorders>
            <w:shd w:val="clear" w:color="auto" w:fill="auto"/>
            <w:noWrap/>
            <w:vAlign w:val="center"/>
          </w:tcPr>
          <w:p w:rsidR="00DC3F89" w:rsidP="00565B66" w14:paraId="642363D3"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RPr="00C51EB1" w:rsidP="00565B66" w14:paraId="3CB98226"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2,324</w:t>
            </w:r>
          </w:p>
        </w:tc>
      </w:tr>
      <w:tr w14:paraId="69834514" w14:textId="77777777" w:rsidTr="00506C7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RPr="00940A9C" w:rsidP="00565B66" w14:paraId="523C1B94"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GAF permit log</w:t>
            </w:r>
          </w:p>
        </w:tc>
        <w:tc>
          <w:tcPr>
            <w:tcW w:w="1094" w:type="dxa"/>
            <w:tcBorders>
              <w:top w:val="nil"/>
              <w:left w:val="nil"/>
              <w:bottom w:val="single" w:sz="4" w:space="0" w:color="auto"/>
              <w:right w:val="single" w:sz="4" w:space="0" w:color="auto"/>
            </w:tcBorders>
            <w:shd w:val="clear" w:color="auto" w:fill="auto"/>
            <w:vAlign w:val="center"/>
          </w:tcPr>
          <w:p w:rsidR="00DC3F89" w:rsidP="00565B66" w14:paraId="66FADB8C" w14:textId="77777777">
            <w:pPr>
              <w:keepNext/>
              <w:keepLines/>
              <w:jc w:val="center"/>
              <w:rPr>
                <w:rFonts w:ascii="Calibri" w:hAnsi="Calibri" w:cs="Calibri"/>
                <w:color w:val="000000"/>
                <w:sz w:val="18"/>
                <w:szCs w:val="18"/>
              </w:rPr>
            </w:pPr>
            <w:r w:rsidRPr="00940A9C">
              <w:rPr>
                <w:rFonts w:ascii="Calibri" w:hAnsi="Calibri" w:cs="Calibri"/>
                <w:color w:val="000000"/>
                <w:sz w:val="18"/>
                <w:szCs w:val="18"/>
              </w:rPr>
              <w:t>Fisherm</w:t>
            </w:r>
            <w:r>
              <w:rPr>
                <w:rFonts w:ascii="Calibri" w:hAnsi="Calibri" w:cs="Calibri"/>
                <w:color w:val="000000"/>
                <w:sz w:val="18"/>
                <w:szCs w:val="18"/>
              </w:rPr>
              <w:t>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565B66" w14:paraId="40C58172" w14:textId="77777777">
            <w:pPr>
              <w:keepNext/>
              <w:keepLines/>
              <w:widowControl/>
              <w:jc w:val="center"/>
              <w:rPr>
                <w:rFonts w:asciiTheme="minorHAnsi" w:hAnsiTheme="minorHAnsi" w:cstheme="minorHAnsi"/>
                <w:sz w:val="18"/>
                <w:szCs w:val="18"/>
              </w:rPr>
            </w:pPr>
            <w:r>
              <w:rPr>
                <w:rFonts w:ascii="Calibri" w:hAnsi="Calibri" w:cs="Calibri"/>
                <w:color w:val="000000"/>
                <w:sz w:val="18"/>
                <w:szCs w:val="18"/>
              </w:rPr>
              <w:t>96</w:t>
            </w:r>
          </w:p>
        </w:tc>
        <w:tc>
          <w:tcPr>
            <w:tcW w:w="1440" w:type="dxa"/>
            <w:tcBorders>
              <w:top w:val="nil"/>
              <w:left w:val="nil"/>
              <w:bottom w:val="single" w:sz="4" w:space="0" w:color="auto"/>
              <w:right w:val="single" w:sz="4" w:space="0" w:color="auto"/>
            </w:tcBorders>
            <w:shd w:val="clear" w:color="auto" w:fill="auto"/>
            <w:vAlign w:val="center"/>
          </w:tcPr>
          <w:p w:rsidR="00DC3F89" w:rsidRPr="00A122EB" w:rsidP="00565B66" w14:paraId="7403C85B" w14:textId="77777777">
            <w:pPr>
              <w:keepNext/>
              <w:keepLines/>
              <w:widowControl/>
              <w:jc w:val="center"/>
              <w:rPr>
                <w:rFonts w:asciiTheme="minorHAnsi" w:hAnsiTheme="minorHAnsi" w:cstheme="minorHAnsi"/>
                <w:sz w:val="18"/>
                <w:szCs w:val="18"/>
              </w:rPr>
            </w:pPr>
            <w:r w:rsidRPr="00242ADD">
              <w:rPr>
                <w:rFonts w:ascii="Calibri" w:hAnsi="Calibri" w:cs="Calibri"/>
                <w:color w:val="000000"/>
                <w:sz w:val="18"/>
                <w:szCs w:val="18"/>
              </w:rPr>
              <w:t>Average 12 trips per respondent and 1 response per trip</w:t>
            </w:r>
          </w:p>
        </w:tc>
        <w:tc>
          <w:tcPr>
            <w:tcW w:w="1170" w:type="dxa"/>
            <w:tcBorders>
              <w:top w:val="nil"/>
              <w:left w:val="nil"/>
              <w:bottom w:val="single" w:sz="4" w:space="0" w:color="auto"/>
              <w:right w:val="single" w:sz="4" w:space="0" w:color="auto"/>
            </w:tcBorders>
            <w:shd w:val="clear" w:color="auto" w:fill="auto"/>
            <w:vAlign w:val="center"/>
          </w:tcPr>
          <w:p w:rsidR="00DC3F89" w:rsidRPr="00A122EB" w:rsidP="00565B66" w14:paraId="502A3202" w14:textId="77777777">
            <w:pPr>
              <w:keepNext/>
              <w:keepLines/>
              <w:jc w:val="center"/>
              <w:rPr>
                <w:rFonts w:asciiTheme="minorHAnsi" w:hAnsiTheme="minorHAnsi" w:cstheme="minorHAnsi"/>
                <w:sz w:val="18"/>
                <w:szCs w:val="18"/>
              </w:rPr>
            </w:pPr>
            <w:r w:rsidRPr="00242ADD">
              <w:rPr>
                <w:rFonts w:ascii="Calibri" w:hAnsi="Calibri" w:cs="Calibri"/>
                <w:color w:val="000000"/>
                <w:sz w:val="18"/>
                <w:szCs w:val="18"/>
              </w:rPr>
              <w:t>1,152</w:t>
            </w:r>
          </w:p>
        </w:tc>
        <w:tc>
          <w:tcPr>
            <w:tcW w:w="1080" w:type="dxa"/>
            <w:tcBorders>
              <w:top w:val="nil"/>
              <w:left w:val="nil"/>
              <w:bottom w:val="single" w:sz="4" w:space="0" w:color="auto"/>
              <w:right w:val="single" w:sz="4" w:space="0" w:color="auto"/>
            </w:tcBorders>
            <w:shd w:val="clear" w:color="auto" w:fill="auto"/>
            <w:vAlign w:val="center"/>
          </w:tcPr>
          <w:p w:rsidR="00DC3F89" w:rsidP="00565B66" w14:paraId="7DCD66BE" w14:textId="77777777">
            <w:pPr>
              <w:keepNext/>
              <w:keepLines/>
              <w:jc w:val="center"/>
              <w:rPr>
                <w:rFonts w:ascii="Calibri" w:hAnsi="Calibri" w:cs="Calibri"/>
                <w:color w:val="000000"/>
                <w:sz w:val="18"/>
                <w:szCs w:val="18"/>
              </w:rPr>
            </w:pPr>
            <w:r w:rsidRPr="00940A9C">
              <w:rPr>
                <w:rFonts w:ascii="Calibri" w:hAnsi="Calibri" w:cs="Calibri"/>
                <w:color w:val="000000"/>
                <w:sz w:val="18"/>
                <w:szCs w:val="18"/>
              </w:rPr>
              <w:t>2 min</w:t>
            </w:r>
          </w:p>
        </w:tc>
        <w:tc>
          <w:tcPr>
            <w:tcW w:w="810" w:type="dxa"/>
            <w:tcBorders>
              <w:top w:val="nil"/>
              <w:left w:val="nil"/>
              <w:bottom w:val="single" w:sz="4" w:space="0" w:color="auto"/>
              <w:right w:val="single" w:sz="4" w:space="0" w:color="auto"/>
            </w:tcBorders>
            <w:shd w:val="clear" w:color="auto" w:fill="auto"/>
            <w:vAlign w:val="center"/>
          </w:tcPr>
          <w:p w:rsidR="00DC3F89" w:rsidRPr="00C51EB1" w:rsidP="00565B66" w14:paraId="4BEB7611" w14:textId="77777777">
            <w:pPr>
              <w:keepNext/>
              <w:keepLines/>
              <w:widowControl/>
              <w:jc w:val="center"/>
              <w:rPr>
                <w:rFonts w:ascii="Calibri" w:hAnsi="Calibri" w:cs="Calibri"/>
                <w:color w:val="000000"/>
                <w:sz w:val="18"/>
                <w:szCs w:val="18"/>
              </w:rPr>
            </w:pPr>
            <w:r w:rsidRPr="00242ADD">
              <w:rPr>
                <w:rFonts w:ascii="Calibri" w:hAnsi="Calibri" w:cs="Calibri"/>
                <w:color w:val="000000"/>
                <w:sz w:val="18"/>
                <w:szCs w:val="18"/>
              </w:rPr>
              <w:t>38</w:t>
            </w:r>
          </w:p>
        </w:tc>
        <w:tc>
          <w:tcPr>
            <w:tcW w:w="1080" w:type="dxa"/>
            <w:tcBorders>
              <w:top w:val="nil"/>
              <w:left w:val="nil"/>
              <w:bottom w:val="single" w:sz="4" w:space="0" w:color="auto"/>
              <w:right w:val="single" w:sz="4" w:space="0" w:color="auto"/>
            </w:tcBorders>
            <w:shd w:val="clear" w:color="auto" w:fill="auto"/>
            <w:noWrap/>
            <w:vAlign w:val="center"/>
          </w:tcPr>
          <w:p w:rsidR="00DC3F89" w:rsidP="00565B66" w14:paraId="231D4B82"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RPr="00C51EB1" w:rsidP="00565B66" w14:paraId="35E69231"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920</w:t>
            </w:r>
          </w:p>
        </w:tc>
      </w:tr>
      <w:tr w14:paraId="7769C02A"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565B66" w14:paraId="6BFE03F4"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Application for Annual Registration of Charter Halibut Permit (CHP)</w:t>
            </w:r>
          </w:p>
        </w:tc>
        <w:tc>
          <w:tcPr>
            <w:tcW w:w="1094" w:type="dxa"/>
            <w:tcBorders>
              <w:top w:val="nil"/>
              <w:left w:val="nil"/>
              <w:bottom w:val="single" w:sz="4" w:space="0" w:color="auto"/>
              <w:right w:val="single" w:sz="4" w:space="0" w:color="auto"/>
            </w:tcBorders>
            <w:shd w:val="clear" w:color="auto" w:fill="auto"/>
            <w:vAlign w:val="center"/>
            <w:hideMark/>
          </w:tcPr>
          <w:p w:rsidR="00E56B16" w:rsidRPr="00940A9C" w:rsidP="00565B66" w14:paraId="0AEA92DE" w14:textId="77777777">
            <w:pPr>
              <w:keepNext/>
              <w:keepLines/>
              <w:jc w:val="center"/>
              <w:rPr>
                <w:rFonts w:ascii="Calibri" w:hAnsi="Calibri" w:cs="Calibri"/>
                <w:color w:val="000000"/>
                <w:sz w:val="18"/>
                <w:szCs w:val="18"/>
              </w:rPr>
            </w:pPr>
            <w:r w:rsidRPr="00940A9C">
              <w:rPr>
                <w:rFonts w:ascii="Calibri" w:hAnsi="Calibri" w:cs="Calibri"/>
                <w:color w:val="000000"/>
                <w:sz w:val="18"/>
                <w:szCs w:val="18"/>
              </w:rPr>
              <w:t>Fisherm</w:t>
            </w:r>
            <w:r w:rsidR="00434D67">
              <w:rPr>
                <w:rFonts w:ascii="Calibri" w:hAnsi="Calibri" w:cs="Calibri"/>
                <w:color w:val="000000"/>
                <w:sz w:val="18"/>
                <w:szCs w:val="18"/>
              </w:rPr>
              <w:t>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hideMark/>
          </w:tcPr>
          <w:p w:rsidR="00E56B16" w:rsidRPr="00680824" w:rsidP="00565B66" w14:paraId="6410FF6D"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600</w:t>
            </w:r>
            <w:r w:rsidRPr="00D51111">
              <w:rPr>
                <w:rFonts w:ascii="Calibri" w:hAnsi="Calibri" w:cs="Calibri"/>
                <w:color w:val="000000"/>
                <w:sz w:val="18"/>
                <w:szCs w:val="18"/>
                <w:vertAlign w:val="superscript"/>
              </w:rPr>
              <w:t>1</w:t>
            </w:r>
          </w:p>
        </w:tc>
        <w:tc>
          <w:tcPr>
            <w:tcW w:w="1440" w:type="dxa"/>
            <w:tcBorders>
              <w:top w:val="nil"/>
              <w:left w:val="nil"/>
              <w:bottom w:val="single" w:sz="4" w:space="0" w:color="auto"/>
              <w:right w:val="single" w:sz="4" w:space="0" w:color="auto"/>
            </w:tcBorders>
            <w:shd w:val="clear" w:color="auto" w:fill="auto"/>
            <w:vAlign w:val="center"/>
            <w:hideMark/>
          </w:tcPr>
          <w:p w:rsidR="00E56B16" w:rsidRPr="00680824" w:rsidP="00565B66" w14:paraId="7B23DBF3" w14:textId="77777777">
            <w:pPr>
              <w:keepNext/>
              <w:keepLines/>
              <w:widowControl/>
              <w:jc w:val="center"/>
              <w:rPr>
                <w:rFonts w:ascii="Calibri" w:hAnsi="Calibri" w:cs="Calibri"/>
                <w:color w:val="000000"/>
                <w:sz w:val="18"/>
                <w:szCs w:val="18"/>
              </w:rPr>
            </w:pPr>
            <w:r w:rsidRPr="00680824">
              <w:rPr>
                <w:rFonts w:ascii="Calibri" w:hAnsi="Calibri" w:cs="Calibri"/>
                <w:color w:val="000000"/>
                <w:sz w:val="18"/>
                <w:szCs w:val="18"/>
              </w:rPr>
              <w:t>V</w:t>
            </w:r>
            <w:r w:rsidRPr="00680824" w:rsidR="00680824">
              <w:rPr>
                <w:rFonts w:ascii="Calibri" w:hAnsi="Calibri" w:cs="Calibri"/>
                <w:color w:val="000000"/>
                <w:sz w:val="18"/>
                <w:szCs w:val="18"/>
              </w:rPr>
              <w:t>aries</w:t>
            </w:r>
          </w:p>
        </w:tc>
        <w:tc>
          <w:tcPr>
            <w:tcW w:w="1170" w:type="dxa"/>
            <w:tcBorders>
              <w:top w:val="nil"/>
              <w:left w:val="nil"/>
              <w:bottom w:val="single" w:sz="4" w:space="0" w:color="auto"/>
              <w:right w:val="single" w:sz="4" w:space="0" w:color="auto"/>
            </w:tcBorders>
            <w:shd w:val="clear" w:color="auto" w:fill="auto"/>
            <w:vAlign w:val="center"/>
            <w:hideMark/>
          </w:tcPr>
          <w:p w:rsidR="00E56B16" w:rsidRPr="00680824" w:rsidP="00565B66" w14:paraId="29B9F3F0" w14:textId="77777777">
            <w:pPr>
              <w:keepNext/>
              <w:keepLines/>
              <w:widowControl/>
              <w:jc w:val="center"/>
              <w:rPr>
                <w:rFonts w:ascii="Calibri" w:hAnsi="Calibri" w:cs="Calibri"/>
                <w:color w:val="000000"/>
                <w:sz w:val="18"/>
                <w:szCs w:val="18"/>
              </w:rPr>
            </w:pPr>
            <w:r w:rsidRPr="00680824">
              <w:rPr>
                <w:rFonts w:ascii="Calibri" w:hAnsi="Calibri" w:cs="Calibri"/>
                <w:color w:val="000000"/>
                <w:sz w:val="18"/>
                <w:szCs w:val="18"/>
              </w:rPr>
              <w:t>1,000</w:t>
            </w:r>
            <w:r w:rsidRPr="00D51111">
              <w:rPr>
                <w:rFonts w:ascii="Calibri" w:hAnsi="Calibri" w:cs="Calibri"/>
                <w:color w:val="000000"/>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rsidR="00E56B16" w:rsidRPr="00680824" w:rsidP="00565B66" w14:paraId="5DCFFF00" w14:textId="77777777">
            <w:pPr>
              <w:keepNext/>
              <w:keepLines/>
              <w:jc w:val="center"/>
              <w:rPr>
                <w:rFonts w:ascii="Calibri" w:hAnsi="Calibri" w:cs="Calibri"/>
                <w:color w:val="000000"/>
                <w:sz w:val="18"/>
                <w:szCs w:val="18"/>
              </w:rPr>
            </w:pPr>
            <w:r w:rsidRPr="00680824">
              <w:rPr>
                <w:rFonts w:ascii="Calibri" w:hAnsi="Calibri" w:cs="Calibri"/>
                <w:color w:val="000000"/>
                <w:sz w:val="18"/>
                <w:szCs w:val="18"/>
              </w:rPr>
              <w:t>15 min</w:t>
            </w:r>
          </w:p>
        </w:tc>
        <w:tc>
          <w:tcPr>
            <w:tcW w:w="810" w:type="dxa"/>
            <w:tcBorders>
              <w:top w:val="nil"/>
              <w:left w:val="nil"/>
              <w:bottom w:val="single" w:sz="4" w:space="0" w:color="auto"/>
              <w:right w:val="single" w:sz="4" w:space="0" w:color="auto"/>
            </w:tcBorders>
            <w:shd w:val="clear" w:color="auto" w:fill="auto"/>
            <w:vAlign w:val="center"/>
            <w:hideMark/>
          </w:tcPr>
          <w:p w:rsidR="00E56B16" w:rsidRPr="00680824" w:rsidP="00565B66" w14:paraId="0F76816A" w14:textId="77777777">
            <w:pPr>
              <w:keepNext/>
              <w:keepLines/>
              <w:widowControl/>
              <w:jc w:val="center"/>
              <w:rPr>
                <w:rFonts w:ascii="Calibri" w:hAnsi="Calibri" w:cs="Calibri"/>
                <w:color w:val="000000"/>
                <w:sz w:val="18"/>
                <w:szCs w:val="18"/>
              </w:rPr>
            </w:pPr>
            <w:r w:rsidRPr="00680824">
              <w:rPr>
                <w:rFonts w:ascii="Calibri" w:hAnsi="Calibri" w:cs="Calibri"/>
                <w:color w:val="000000"/>
                <w:sz w:val="18"/>
                <w:szCs w:val="18"/>
              </w:rPr>
              <w:t>250</w:t>
            </w:r>
          </w:p>
        </w:tc>
        <w:tc>
          <w:tcPr>
            <w:tcW w:w="1080" w:type="dxa"/>
            <w:tcBorders>
              <w:top w:val="nil"/>
              <w:left w:val="nil"/>
              <w:bottom w:val="single" w:sz="4" w:space="0" w:color="auto"/>
              <w:right w:val="single" w:sz="4" w:space="0" w:color="auto"/>
            </w:tcBorders>
            <w:shd w:val="clear" w:color="auto" w:fill="auto"/>
            <w:noWrap/>
            <w:vAlign w:val="center"/>
            <w:hideMark/>
          </w:tcPr>
          <w:p w:rsidR="00E56B16" w:rsidRPr="00940A9C" w:rsidP="00565B66" w14:paraId="504F6DE3"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E56B16" w:rsidRPr="00940A9C" w:rsidP="00565B66" w14:paraId="12378804"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6,053</w:t>
            </w:r>
          </w:p>
        </w:tc>
      </w:tr>
      <w:tr w14:paraId="0429ABA8"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565B66" w14:paraId="2EFE0CBC"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Application for Transfer of Charter Halibut Permit (CHP)</w:t>
            </w:r>
          </w:p>
        </w:tc>
        <w:tc>
          <w:tcPr>
            <w:tcW w:w="1094" w:type="dxa"/>
            <w:tcBorders>
              <w:top w:val="nil"/>
              <w:left w:val="nil"/>
              <w:bottom w:val="single" w:sz="4" w:space="0" w:color="auto"/>
              <w:right w:val="single" w:sz="4" w:space="0" w:color="auto"/>
            </w:tcBorders>
            <w:shd w:val="clear" w:color="auto" w:fill="auto"/>
            <w:vAlign w:val="center"/>
            <w:hideMark/>
          </w:tcPr>
          <w:p w:rsidR="00E56B16" w:rsidRPr="00940A9C" w:rsidP="00565B66" w14:paraId="633B5D57" w14:textId="77777777">
            <w:pPr>
              <w:keepNext/>
              <w:keepLines/>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hideMark/>
          </w:tcPr>
          <w:p w:rsidR="00E56B16" w:rsidRPr="008764DE" w:rsidP="00565B66" w14:paraId="7778B2A9" w14:textId="77777777">
            <w:pPr>
              <w:keepNext/>
              <w:keepLines/>
              <w:widowControl/>
              <w:jc w:val="center"/>
              <w:rPr>
                <w:rFonts w:ascii="Calibri" w:hAnsi="Calibri" w:cs="Calibri"/>
                <w:color w:val="000000"/>
                <w:sz w:val="18"/>
                <w:szCs w:val="18"/>
                <w:highlight w:val="cyan"/>
              </w:rPr>
            </w:pPr>
            <w:r w:rsidRPr="00632AA7">
              <w:rPr>
                <w:rFonts w:ascii="Calibri" w:hAnsi="Calibri" w:cs="Calibri"/>
                <w:color w:val="000000"/>
                <w:sz w:val="18"/>
                <w:szCs w:val="18"/>
              </w:rPr>
              <w:t>10</w:t>
            </w:r>
            <w:r w:rsidRPr="0044481D">
              <w:rPr>
                <w:rFonts w:ascii="Calibri" w:hAnsi="Calibri" w:cs="Calibri"/>
                <w:color w:val="000000"/>
                <w:sz w:val="18"/>
                <w:szCs w:val="18"/>
              </w:rPr>
              <w:t>0</w:t>
            </w:r>
            <w:r w:rsidRPr="006A48C3" w:rsidR="0044481D">
              <w:rPr>
                <w:rFonts w:ascii="Calibri" w:hAnsi="Calibri" w:cs="Calibri"/>
                <w:color w:val="000000"/>
                <w:sz w:val="18"/>
                <w:szCs w:val="18"/>
                <w:vertAlign w:val="superscript"/>
              </w:rPr>
              <w:t>2</w:t>
            </w:r>
          </w:p>
        </w:tc>
        <w:tc>
          <w:tcPr>
            <w:tcW w:w="1440" w:type="dxa"/>
            <w:tcBorders>
              <w:top w:val="nil"/>
              <w:left w:val="nil"/>
              <w:bottom w:val="single" w:sz="4" w:space="0" w:color="auto"/>
              <w:right w:val="single" w:sz="4" w:space="0" w:color="auto"/>
            </w:tcBorders>
            <w:shd w:val="clear" w:color="auto" w:fill="auto"/>
            <w:vAlign w:val="center"/>
            <w:hideMark/>
          </w:tcPr>
          <w:p w:rsidR="00E56B16" w:rsidRPr="00632AA7" w:rsidP="00565B66" w14:paraId="6C6AF859" w14:textId="77777777">
            <w:pPr>
              <w:keepNext/>
              <w:keepLines/>
              <w:widowControl/>
              <w:jc w:val="center"/>
              <w:rPr>
                <w:rFonts w:ascii="Calibri" w:hAnsi="Calibri" w:cs="Calibri"/>
                <w:color w:val="000000"/>
                <w:sz w:val="18"/>
                <w:szCs w:val="18"/>
              </w:rPr>
            </w:pPr>
            <w:r w:rsidRPr="00632AA7">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56B16" w:rsidRPr="00632AA7" w:rsidP="00565B66" w14:paraId="5EC67161" w14:textId="77777777">
            <w:pPr>
              <w:keepNext/>
              <w:keepLines/>
              <w:widowControl/>
              <w:jc w:val="center"/>
              <w:rPr>
                <w:rFonts w:ascii="Calibri" w:hAnsi="Calibri" w:cs="Calibri"/>
                <w:color w:val="000000"/>
                <w:sz w:val="18"/>
                <w:szCs w:val="18"/>
              </w:rPr>
            </w:pPr>
            <w:r w:rsidRPr="00632AA7">
              <w:rPr>
                <w:rFonts w:ascii="Calibri" w:hAnsi="Calibri" w:cs="Calibri"/>
                <w:color w:val="000000"/>
                <w:sz w:val="18"/>
                <w:szCs w:val="18"/>
              </w:rPr>
              <w:t>50</w:t>
            </w:r>
          </w:p>
        </w:tc>
        <w:tc>
          <w:tcPr>
            <w:tcW w:w="1080" w:type="dxa"/>
            <w:tcBorders>
              <w:top w:val="nil"/>
              <w:left w:val="nil"/>
              <w:bottom w:val="single" w:sz="4" w:space="0" w:color="auto"/>
              <w:right w:val="single" w:sz="4" w:space="0" w:color="auto"/>
            </w:tcBorders>
            <w:shd w:val="clear" w:color="auto" w:fill="auto"/>
            <w:vAlign w:val="center"/>
            <w:hideMark/>
          </w:tcPr>
          <w:p w:rsidR="00E56B16" w:rsidRPr="00940A9C" w:rsidP="00565B66" w14:paraId="7DF88A99" w14:textId="77777777">
            <w:pPr>
              <w:keepNext/>
              <w:keepLines/>
              <w:jc w:val="center"/>
              <w:rPr>
                <w:rFonts w:ascii="Calibri" w:hAnsi="Calibri" w:cs="Calibri"/>
                <w:color w:val="000000"/>
                <w:sz w:val="18"/>
                <w:szCs w:val="18"/>
              </w:rPr>
            </w:pPr>
            <w:r w:rsidRPr="00940A9C">
              <w:rPr>
                <w:rFonts w:ascii="Calibri" w:hAnsi="Calibri" w:cs="Calibri"/>
                <w:color w:val="000000"/>
                <w:sz w:val="18"/>
                <w:szCs w:val="18"/>
              </w:rPr>
              <w:t xml:space="preserve">2 </w:t>
            </w:r>
            <w:r w:rsidRPr="00940A9C">
              <w:rPr>
                <w:rFonts w:ascii="Calibri" w:hAnsi="Calibri" w:cs="Calibri"/>
                <w:color w:val="000000"/>
                <w:sz w:val="18"/>
                <w:szCs w:val="18"/>
              </w:rPr>
              <w:t>hrs</w:t>
            </w:r>
          </w:p>
        </w:tc>
        <w:tc>
          <w:tcPr>
            <w:tcW w:w="810" w:type="dxa"/>
            <w:tcBorders>
              <w:top w:val="nil"/>
              <w:left w:val="nil"/>
              <w:bottom w:val="single" w:sz="4" w:space="0" w:color="auto"/>
              <w:right w:val="single" w:sz="4" w:space="0" w:color="auto"/>
            </w:tcBorders>
            <w:shd w:val="clear" w:color="auto" w:fill="auto"/>
            <w:vAlign w:val="center"/>
            <w:hideMark/>
          </w:tcPr>
          <w:p w:rsidR="00E56B16" w:rsidRPr="008764DE" w:rsidP="00565B66" w14:paraId="42EA1328" w14:textId="77777777">
            <w:pPr>
              <w:keepNext/>
              <w:keepLines/>
              <w:widowControl/>
              <w:jc w:val="center"/>
              <w:rPr>
                <w:rFonts w:ascii="Calibri" w:hAnsi="Calibri" w:cs="Calibri"/>
                <w:color w:val="000000"/>
                <w:sz w:val="18"/>
                <w:szCs w:val="18"/>
                <w:highlight w:val="cyan"/>
              </w:rPr>
            </w:pPr>
            <w:r w:rsidRPr="00632AA7">
              <w:rPr>
                <w:rFonts w:ascii="Calibri" w:hAnsi="Calibri" w:cs="Calibri"/>
                <w:color w:val="000000"/>
                <w:sz w:val="18"/>
                <w:szCs w:val="18"/>
              </w:rPr>
              <w:t>100</w:t>
            </w:r>
          </w:p>
        </w:tc>
        <w:tc>
          <w:tcPr>
            <w:tcW w:w="1080" w:type="dxa"/>
            <w:tcBorders>
              <w:top w:val="nil"/>
              <w:left w:val="nil"/>
              <w:bottom w:val="single" w:sz="4" w:space="0" w:color="auto"/>
              <w:right w:val="single" w:sz="4" w:space="0" w:color="auto"/>
            </w:tcBorders>
            <w:shd w:val="clear" w:color="auto" w:fill="auto"/>
            <w:noWrap/>
            <w:vAlign w:val="center"/>
            <w:hideMark/>
          </w:tcPr>
          <w:p w:rsidR="00E56B16" w:rsidRPr="00940A9C" w:rsidP="00565B66" w14:paraId="28EDBDE0" w14:textId="77777777">
            <w:pPr>
              <w:keepNext/>
              <w:keepLines/>
              <w:jc w:val="center"/>
              <w:rPr>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E56B16" w:rsidRPr="00940A9C" w:rsidP="00565B66" w14:paraId="4399F3C5"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2,421</w:t>
            </w:r>
          </w:p>
        </w:tc>
      </w:tr>
      <w:tr w14:paraId="787A79CA"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hideMark/>
          </w:tcPr>
          <w:p w:rsidR="00E56B16" w:rsidRPr="00940A9C" w:rsidP="00565B66" w14:paraId="4DAAEC66"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Application for Military Charter Halibut Permit</w:t>
            </w:r>
          </w:p>
        </w:tc>
        <w:tc>
          <w:tcPr>
            <w:tcW w:w="1094" w:type="dxa"/>
            <w:tcBorders>
              <w:top w:val="nil"/>
              <w:left w:val="nil"/>
              <w:bottom w:val="single" w:sz="4" w:space="0" w:color="auto"/>
              <w:right w:val="single" w:sz="4" w:space="0" w:color="auto"/>
            </w:tcBorders>
            <w:shd w:val="clear" w:color="auto" w:fill="auto"/>
            <w:vAlign w:val="center"/>
            <w:hideMark/>
          </w:tcPr>
          <w:p w:rsidR="00E56B16" w:rsidRPr="00940A9C" w:rsidP="00565B66" w14:paraId="313BF0E1" w14:textId="77777777">
            <w:pPr>
              <w:keepNext/>
              <w:keepLines/>
              <w:jc w:val="center"/>
              <w:rPr>
                <w:rFonts w:ascii="Calibri" w:hAnsi="Calibri" w:cs="Calibri"/>
                <w:color w:val="000000"/>
                <w:sz w:val="18"/>
                <w:szCs w:val="18"/>
              </w:rPr>
            </w:pPr>
            <w:r w:rsidRPr="00940A9C">
              <w:rPr>
                <w:rFonts w:ascii="Calibri" w:hAnsi="Calibri" w:cs="Calibri"/>
                <w:color w:val="000000"/>
                <w:sz w:val="18"/>
                <w:szCs w:val="18"/>
              </w:rPr>
              <w:t>Military Personnel</w:t>
            </w:r>
          </w:p>
        </w:tc>
        <w:tc>
          <w:tcPr>
            <w:tcW w:w="1170" w:type="dxa"/>
            <w:tcBorders>
              <w:top w:val="nil"/>
              <w:left w:val="nil"/>
              <w:bottom w:val="single" w:sz="4" w:space="0" w:color="auto"/>
              <w:right w:val="single" w:sz="4" w:space="0" w:color="auto"/>
            </w:tcBorders>
            <w:shd w:val="clear" w:color="auto" w:fill="auto"/>
            <w:vAlign w:val="center"/>
            <w:hideMark/>
          </w:tcPr>
          <w:p w:rsidR="00E56B16" w:rsidRPr="00545886" w:rsidP="00565B66" w14:paraId="6394A9D3" w14:textId="77777777">
            <w:pPr>
              <w:keepNext/>
              <w:keepLines/>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440" w:type="dxa"/>
            <w:tcBorders>
              <w:top w:val="nil"/>
              <w:left w:val="nil"/>
              <w:bottom w:val="single" w:sz="4" w:space="0" w:color="auto"/>
              <w:right w:val="single" w:sz="4" w:space="0" w:color="auto"/>
            </w:tcBorders>
            <w:shd w:val="clear" w:color="auto" w:fill="auto"/>
            <w:vAlign w:val="center"/>
            <w:hideMark/>
          </w:tcPr>
          <w:p w:rsidR="00E56B16" w:rsidRPr="00545886" w:rsidP="00565B66" w14:paraId="5943E56F" w14:textId="77777777">
            <w:pPr>
              <w:keepNext/>
              <w:keepLines/>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E56B16" w:rsidRPr="00545886" w:rsidP="00565B66" w14:paraId="1CC5AEBD" w14:textId="77777777">
            <w:pPr>
              <w:keepNext/>
              <w:keepLines/>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E56B16" w:rsidRPr="00545886" w:rsidP="00565B66" w14:paraId="66CD5336" w14:textId="77777777">
            <w:pPr>
              <w:keepNext/>
              <w:keepLines/>
              <w:jc w:val="center"/>
              <w:rPr>
                <w:rFonts w:ascii="Calibri" w:hAnsi="Calibri" w:cs="Calibri"/>
                <w:color w:val="000000"/>
                <w:sz w:val="18"/>
                <w:szCs w:val="18"/>
              </w:rPr>
            </w:pPr>
            <w:r w:rsidRPr="00545886">
              <w:rPr>
                <w:rFonts w:ascii="Calibri" w:hAnsi="Calibri" w:cs="Calibri"/>
                <w:color w:val="000000"/>
                <w:sz w:val="18"/>
                <w:szCs w:val="18"/>
              </w:rPr>
              <w:t xml:space="preserve">0.5 </w:t>
            </w:r>
            <w:r w:rsidRPr="00545886">
              <w:rPr>
                <w:rFonts w:ascii="Calibri" w:hAnsi="Calibri" w:cs="Calibri"/>
                <w:color w:val="000000"/>
                <w:sz w:val="18"/>
                <w:szCs w:val="18"/>
              </w:rPr>
              <w:t>hr</w:t>
            </w:r>
          </w:p>
        </w:tc>
        <w:tc>
          <w:tcPr>
            <w:tcW w:w="810" w:type="dxa"/>
            <w:tcBorders>
              <w:top w:val="nil"/>
              <w:left w:val="nil"/>
              <w:bottom w:val="single" w:sz="4" w:space="0" w:color="auto"/>
              <w:right w:val="single" w:sz="4" w:space="0" w:color="auto"/>
            </w:tcBorders>
            <w:shd w:val="clear" w:color="auto" w:fill="auto"/>
            <w:vAlign w:val="center"/>
            <w:hideMark/>
          </w:tcPr>
          <w:p w:rsidR="00E56B16" w:rsidRPr="00545886" w:rsidP="00565B66" w14:paraId="6DFE348D" w14:textId="77777777">
            <w:pPr>
              <w:keepNext/>
              <w:keepLines/>
              <w:widowControl/>
              <w:jc w:val="center"/>
              <w:rPr>
                <w:rFonts w:ascii="Calibri" w:hAnsi="Calibri" w:cs="Calibri"/>
                <w:color w:val="000000"/>
                <w:sz w:val="18"/>
                <w:szCs w:val="18"/>
              </w:rPr>
            </w:pPr>
            <w:r w:rsidRPr="00545886">
              <w:rPr>
                <w:rFonts w:ascii="Calibri" w:hAnsi="Calibri" w:cs="Calibri"/>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rsidR="00E56B16" w:rsidRPr="00940A9C" w:rsidP="00565B66" w14:paraId="4C3301AE" w14:textId="77777777">
            <w:pPr>
              <w:keepNext/>
              <w:keepLines/>
              <w:jc w:val="center"/>
              <w:rPr>
                <w:rFonts w:asciiTheme="minorHAnsi" w:hAnsiTheme="minorHAnsi" w:cstheme="minorHAnsi"/>
                <w:sz w:val="18"/>
                <w:szCs w:val="18"/>
              </w:rPr>
            </w:pPr>
            <w:r>
              <w:rPr>
                <w:rFonts w:asciiTheme="minorHAnsi" w:hAnsiTheme="minorHAnsi" w:cstheme="minorHAnsi"/>
                <w:sz w:val="18"/>
                <w:szCs w:val="18"/>
              </w:rPr>
              <w:t>23.68</w:t>
            </w:r>
          </w:p>
        </w:tc>
        <w:tc>
          <w:tcPr>
            <w:tcW w:w="990" w:type="dxa"/>
            <w:tcBorders>
              <w:top w:val="nil"/>
              <w:left w:val="nil"/>
              <w:bottom w:val="single" w:sz="4" w:space="0" w:color="auto"/>
              <w:right w:val="single" w:sz="8" w:space="0" w:color="auto"/>
            </w:tcBorders>
            <w:shd w:val="clear" w:color="auto" w:fill="auto"/>
            <w:noWrap/>
            <w:vAlign w:val="center"/>
          </w:tcPr>
          <w:p w:rsidR="00E56B16" w:rsidRPr="00940A9C" w:rsidP="00565B66" w14:paraId="5BD43ECF"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24</w:t>
            </w:r>
          </w:p>
        </w:tc>
      </w:tr>
      <w:tr w14:paraId="1B9B6E71"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P="00565B66" w14:paraId="0D9F3E7C"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Application for Transfer (Lease) Between Individual Fishing Quota (IFQ) and Guided Angler Fish (GAF) and issuance of GAF permit</w:t>
            </w:r>
          </w:p>
        </w:tc>
        <w:tc>
          <w:tcPr>
            <w:tcW w:w="1094" w:type="dxa"/>
            <w:tcBorders>
              <w:top w:val="nil"/>
              <w:left w:val="nil"/>
              <w:bottom w:val="single" w:sz="4" w:space="0" w:color="auto"/>
              <w:right w:val="single" w:sz="4" w:space="0" w:color="auto"/>
            </w:tcBorders>
            <w:shd w:val="clear" w:color="auto" w:fill="auto"/>
            <w:vAlign w:val="center"/>
          </w:tcPr>
          <w:p w:rsidR="00DC3F89" w:rsidP="00565B66" w14:paraId="312CD784" w14:textId="77777777">
            <w:pPr>
              <w:keepNext/>
              <w:keepLines/>
              <w:jc w:val="center"/>
              <w:rPr>
                <w:rFonts w:ascii="Calibri" w:hAnsi="Calibri" w:cs="Calibri"/>
                <w:color w:val="000000"/>
                <w:sz w:val="18"/>
                <w:szCs w:val="18"/>
              </w:rPr>
            </w:pPr>
            <w:r>
              <w:rPr>
                <w:rFonts w:ascii="Calibri" w:hAnsi="Calibri" w:cs="Calibri"/>
                <w:color w:val="000000"/>
                <w:sz w:val="18"/>
                <w:szCs w:val="18"/>
              </w:rPr>
              <w:t>Fisherme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565B66" w14:paraId="2054ACD6" w14:textId="77777777">
            <w:pPr>
              <w:keepNext/>
              <w:keepLines/>
              <w:widowControl/>
              <w:jc w:val="center"/>
              <w:rPr>
                <w:rFonts w:ascii="Calibri" w:hAnsi="Calibri" w:cs="Calibri"/>
                <w:color w:val="000000"/>
                <w:sz w:val="18"/>
                <w:szCs w:val="18"/>
              </w:rPr>
            </w:pPr>
            <w:r w:rsidRPr="000D0A11">
              <w:rPr>
                <w:rFonts w:ascii="Calibri" w:hAnsi="Calibri" w:cs="Calibri"/>
                <w:color w:val="000000"/>
                <w:sz w:val="18"/>
                <w:szCs w:val="18"/>
              </w:rPr>
              <w:t>96</w:t>
            </w:r>
            <w:r>
              <w:rPr>
                <w:rFonts w:ascii="Calibri" w:hAnsi="Calibri" w:cs="Calibri"/>
                <w:color w:val="000000"/>
                <w:sz w:val="18"/>
                <w:szCs w:val="18"/>
                <w:vertAlign w:val="superscript"/>
              </w:rPr>
              <w:t>4</w:t>
            </w:r>
          </w:p>
        </w:tc>
        <w:tc>
          <w:tcPr>
            <w:tcW w:w="1440" w:type="dxa"/>
            <w:tcBorders>
              <w:top w:val="nil"/>
              <w:left w:val="nil"/>
              <w:bottom w:val="single" w:sz="4" w:space="0" w:color="auto"/>
              <w:right w:val="single" w:sz="4" w:space="0" w:color="auto"/>
            </w:tcBorders>
            <w:shd w:val="clear" w:color="auto" w:fill="auto"/>
            <w:vAlign w:val="center"/>
          </w:tcPr>
          <w:p w:rsidR="00DC3F89" w:rsidP="00565B66" w14:paraId="6B7744F6"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Varies</w:t>
            </w:r>
          </w:p>
        </w:tc>
        <w:tc>
          <w:tcPr>
            <w:tcW w:w="1170" w:type="dxa"/>
            <w:tcBorders>
              <w:top w:val="nil"/>
              <w:left w:val="nil"/>
              <w:bottom w:val="single" w:sz="4" w:space="0" w:color="auto"/>
              <w:right w:val="single" w:sz="4" w:space="0" w:color="auto"/>
            </w:tcBorders>
            <w:shd w:val="clear" w:color="auto" w:fill="auto"/>
            <w:vAlign w:val="center"/>
          </w:tcPr>
          <w:p w:rsidR="00DC3F89" w:rsidP="00565B66" w14:paraId="599D8C8C" w14:textId="77777777">
            <w:pPr>
              <w:keepNext/>
              <w:keepLines/>
              <w:widowControl/>
              <w:jc w:val="center"/>
              <w:rPr>
                <w:rFonts w:ascii="Calibri" w:hAnsi="Calibri" w:cs="Calibri"/>
                <w:color w:val="000000"/>
                <w:sz w:val="18"/>
                <w:szCs w:val="18"/>
              </w:rPr>
            </w:pPr>
            <w:r w:rsidRPr="000D0A11">
              <w:rPr>
                <w:rFonts w:ascii="Calibri" w:hAnsi="Calibri" w:cs="Calibri"/>
                <w:color w:val="000000"/>
                <w:sz w:val="18"/>
                <w:szCs w:val="18"/>
              </w:rPr>
              <w:t>600</w:t>
            </w:r>
            <w:r>
              <w:rPr>
                <w:rFonts w:ascii="Calibri" w:hAnsi="Calibri" w:cs="Calibri"/>
                <w:color w:val="000000"/>
                <w:sz w:val="18"/>
                <w:szCs w:val="18"/>
                <w:vertAlign w:val="superscript"/>
              </w:rPr>
              <w:t>4</w:t>
            </w:r>
          </w:p>
        </w:tc>
        <w:tc>
          <w:tcPr>
            <w:tcW w:w="1080" w:type="dxa"/>
            <w:tcBorders>
              <w:top w:val="nil"/>
              <w:left w:val="nil"/>
              <w:bottom w:val="single" w:sz="4" w:space="0" w:color="auto"/>
              <w:right w:val="single" w:sz="4" w:space="0" w:color="auto"/>
            </w:tcBorders>
            <w:shd w:val="clear" w:color="auto" w:fill="auto"/>
            <w:vAlign w:val="center"/>
          </w:tcPr>
          <w:p w:rsidR="00DC3F89" w:rsidP="00565B66" w14:paraId="0C25C861" w14:textId="77777777">
            <w:pPr>
              <w:keepNext/>
              <w:keepLines/>
              <w:jc w:val="center"/>
              <w:rPr>
                <w:rFonts w:ascii="Calibri" w:hAnsi="Calibri" w:cs="Calibri"/>
                <w:color w:val="000000"/>
                <w:sz w:val="18"/>
                <w:szCs w:val="18"/>
              </w:rPr>
            </w:pPr>
            <w:r w:rsidRPr="004E50B7">
              <w:rPr>
                <w:rFonts w:ascii="Calibri" w:hAnsi="Calibri" w:cs="Calibri"/>
                <w:color w:val="000000"/>
                <w:sz w:val="18"/>
                <w:szCs w:val="18"/>
              </w:rPr>
              <w:t xml:space="preserve">1.5 </w:t>
            </w:r>
            <w:r w:rsidRPr="004E50B7">
              <w:rPr>
                <w:rFonts w:ascii="Calibri" w:hAnsi="Calibri" w:cs="Calibri"/>
                <w:color w:val="000000"/>
                <w:sz w:val="18"/>
                <w:szCs w:val="18"/>
              </w:rPr>
              <w:t>hrs</w:t>
            </w:r>
          </w:p>
        </w:tc>
        <w:tc>
          <w:tcPr>
            <w:tcW w:w="810" w:type="dxa"/>
            <w:tcBorders>
              <w:top w:val="nil"/>
              <w:left w:val="nil"/>
              <w:bottom w:val="single" w:sz="4" w:space="0" w:color="auto"/>
              <w:right w:val="single" w:sz="4" w:space="0" w:color="auto"/>
            </w:tcBorders>
            <w:shd w:val="clear" w:color="auto" w:fill="auto"/>
            <w:vAlign w:val="center"/>
          </w:tcPr>
          <w:p w:rsidR="00DC3F89" w:rsidP="00565B66" w14:paraId="2084EBD6" w14:textId="77777777">
            <w:pPr>
              <w:keepNext/>
              <w:keepLines/>
              <w:widowControl/>
              <w:jc w:val="center"/>
              <w:rPr>
                <w:rFonts w:ascii="Calibri" w:hAnsi="Calibri" w:cs="Calibri"/>
                <w:color w:val="000000"/>
                <w:sz w:val="18"/>
                <w:szCs w:val="18"/>
              </w:rPr>
            </w:pPr>
            <w:r w:rsidRPr="004E50B7">
              <w:rPr>
                <w:rFonts w:ascii="Calibri" w:hAnsi="Calibri" w:cs="Calibri"/>
                <w:color w:val="000000"/>
                <w:sz w:val="18"/>
                <w:szCs w:val="18"/>
              </w:rPr>
              <w:t>900</w:t>
            </w:r>
          </w:p>
        </w:tc>
        <w:tc>
          <w:tcPr>
            <w:tcW w:w="1080" w:type="dxa"/>
            <w:tcBorders>
              <w:top w:val="nil"/>
              <w:left w:val="nil"/>
              <w:bottom w:val="single" w:sz="4" w:space="0" w:color="auto"/>
              <w:right w:val="single" w:sz="4" w:space="0" w:color="auto"/>
            </w:tcBorders>
            <w:shd w:val="clear" w:color="auto" w:fill="auto"/>
            <w:noWrap/>
            <w:vAlign w:val="center"/>
          </w:tcPr>
          <w:p w:rsidR="00DC3F89" w:rsidP="00565B66" w14:paraId="265825DE" w14:textId="77777777">
            <w:pPr>
              <w:keepNext/>
              <w:keepLines/>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P="00565B66" w14:paraId="1EB1872C"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21,789</w:t>
            </w:r>
          </w:p>
        </w:tc>
      </w:tr>
      <w:tr w14:paraId="52AB1C34"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DC3F89" w:rsidP="00565B66" w14:paraId="34E89528" w14:textId="77777777">
            <w:pPr>
              <w:keepNext/>
              <w:keepLines/>
              <w:jc w:val="center"/>
              <w:rPr>
                <w:rFonts w:asciiTheme="minorHAnsi" w:hAnsiTheme="minorHAnsi" w:cstheme="minorHAnsi"/>
                <w:sz w:val="18"/>
                <w:szCs w:val="18"/>
              </w:rPr>
            </w:pPr>
            <w:r w:rsidRPr="00940A9C">
              <w:rPr>
                <w:rFonts w:asciiTheme="minorHAnsi" w:hAnsiTheme="minorHAnsi" w:cstheme="minorHAnsi"/>
                <w:sz w:val="18"/>
                <w:szCs w:val="18"/>
              </w:rPr>
              <w:t>Administrative Appeals</w:t>
            </w:r>
          </w:p>
        </w:tc>
        <w:tc>
          <w:tcPr>
            <w:tcW w:w="1094" w:type="dxa"/>
            <w:tcBorders>
              <w:top w:val="nil"/>
              <w:left w:val="nil"/>
              <w:bottom w:val="single" w:sz="4" w:space="0" w:color="auto"/>
              <w:right w:val="single" w:sz="4" w:space="0" w:color="auto"/>
            </w:tcBorders>
            <w:shd w:val="clear" w:color="auto" w:fill="auto"/>
            <w:vAlign w:val="center"/>
          </w:tcPr>
          <w:p w:rsidR="00DC3F89" w:rsidP="00565B66" w14:paraId="59AEEA89" w14:textId="77777777">
            <w:pPr>
              <w:keepNext/>
              <w:keepLines/>
              <w:jc w:val="center"/>
              <w:rPr>
                <w:rFonts w:ascii="Calibri" w:hAnsi="Calibri" w:cs="Calibri"/>
                <w:color w:val="000000"/>
                <w:sz w:val="18"/>
                <w:szCs w:val="18"/>
              </w:rPr>
            </w:pPr>
            <w:r w:rsidRPr="00940A9C">
              <w:rPr>
                <w:rFonts w:ascii="Calibri" w:hAnsi="Calibri" w:cs="Calibri"/>
                <w:color w:val="000000"/>
                <w:sz w:val="18"/>
                <w:szCs w:val="18"/>
              </w:rPr>
              <w:t>Fisherm</w:t>
            </w:r>
            <w:r>
              <w:rPr>
                <w:rFonts w:ascii="Calibri" w:hAnsi="Calibri" w:cs="Calibri"/>
                <w:color w:val="000000"/>
                <w:sz w:val="18"/>
                <w:szCs w:val="18"/>
              </w:rPr>
              <w:t>e</w:t>
            </w:r>
            <w:r w:rsidRPr="00940A9C">
              <w:rPr>
                <w:rFonts w:ascii="Calibri" w:hAnsi="Calibri" w:cs="Calibri"/>
                <w:color w:val="000000"/>
                <w:sz w:val="18"/>
                <w:szCs w:val="18"/>
              </w:rPr>
              <w:t>n</w:t>
            </w:r>
          </w:p>
        </w:tc>
        <w:tc>
          <w:tcPr>
            <w:tcW w:w="1170" w:type="dxa"/>
            <w:tcBorders>
              <w:top w:val="nil"/>
              <w:left w:val="nil"/>
              <w:bottom w:val="single" w:sz="4" w:space="0" w:color="auto"/>
              <w:right w:val="single" w:sz="4" w:space="0" w:color="auto"/>
            </w:tcBorders>
            <w:shd w:val="clear" w:color="auto" w:fill="auto"/>
            <w:vAlign w:val="center"/>
          </w:tcPr>
          <w:p w:rsidR="00DC3F89" w:rsidP="00565B66" w14:paraId="26685CCB" w14:textId="77777777">
            <w:pPr>
              <w:keepNext/>
              <w:keepLines/>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440" w:type="dxa"/>
            <w:tcBorders>
              <w:top w:val="nil"/>
              <w:left w:val="nil"/>
              <w:bottom w:val="single" w:sz="4" w:space="0" w:color="auto"/>
              <w:right w:val="single" w:sz="4" w:space="0" w:color="auto"/>
            </w:tcBorders>
            <w:shd w:val="clear" w:color="auto" w:fill="auto"/>
            <w:vAlign w:val="center"/>
          </w:tcPr>
          <w:p w:rsidR="00DC3F89" w:rsidP="00565B66" w14:paraId="0CBC951E" w14:textId="77777777">
            <w:pPr>
              <w:keepNext/>
              <w:keepLines/>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170" w:type="dxa"/>
            <w:tcBorders>
              <w:top w:val="nil"/>
              <w:left w:val="nil"/>
              <w:bottom w:val="single" w:sz="4" w:space="0" w:color="auto"/>
              <w:right w:val="single" w:sz="4" w:space="0" w:color="auto"/>
            </w:tcBorders>
            <w:shd w:val="clear" w:color="auto" w:fill="auto"/>
            <w:vAlign w:val="center"/>
          </w:tcPr>
          <w:p w:rsidR="00DC3F89" w:rsidP="00565B66" w14:paraId="39B14A4F" w14:textId="77777777">
            <w:pPr>
              <w:keepNext/>
              <w:keepLines/>
              <w:widowControl/>
              <w:jc w:val="center"/>
              <w:rPr>
                <w:rFonts w:ascii="Calibri" w:hAnsi="Calibri" w:cs="Calibri"/>
                <w:color w:val="000000"/>
                <w:sz w:val="18"/>
                <w:szCs w:val="18"/>
              </w:rPr>
            </w:pPr>
            <w:r w:rsidRPr="003D0C39">
              <w:rPr>
                <w:rFonts w:ascii="Calibri" w:hAnsi="Calibri" w:cs="Calibri"/>
                <w:color w:val="000000"/>
                <w:sz w:val="18"/>
                <w:szCs w:val="18"/>
              </w:rPr>
              <w:t>1</w:t>
            </w:r>
            <w:r>
              <w:rPr>
                <w:rFonts w:ascii="Calibri" w:hAnsi="Calibri" w:cs="Calibri"/>
                <w:color w:val="000000"/>
                <w:sz w:val="18"/>
                <w:szCs w:val="18"/>
                <w:vertAlign w:val="superscript"/>
              </w:rPr>
              <w:t>5</w:t>
            </w:r>
          </w:p>
        </w:tc>
        <w:tc>
          <w:tcPr>
            <w:tcW w:w="1080" w:type="dxa"/>
            <w:tcBorders>
              <w:top w:val="nil"/>
              <w:left w:val="nil"/>
              <w:bottom w:val="single" w:sz="4" w:space="0" w:color="auto"/>
              <w:right w:val="single" w:sz="4" w:space="0" w:color="auto"/>
            </w:tcBorders>
            <w:shd w:val="clear" w:color="auto" w:fill="auto"/>
            <w:vAlign w:val="center"/>
          </w:tcPr>
          <w:p w:rsidR="00DC3F89" w:rsidP="00565B66" w14:paraId="617C8B32" w14:textId="77777777">
            <w:pPr>
              <w:keepNext/>
              <w:keepLines/>
              <w:jc w:val="center"/>
              <w:rPr>
                <w:rFonts w:ascii="Calibri" w:hAnsi="Calibri" w:cs="Calibri"/>
                <w:color w:val="000000"/>
                <w:sz w:val="18"/>
                <w:szCs w:val="18"/>
              </w:rPr>
            </w:pPr>
            <w:r w:rsidRPr="003D0C39">
              <w:rPr>
                <w:rFonts w:ascii="Calibri" w:hAnsi="Calibri" w:cs="Calibri"/>
                <w:color w:val="000000"/>
                <w:sz w:val="18"/>
                <w:szCs w:val="18"/>
              </w:rPr>
              <w:t xml:space="preserve">4 </w:t>
            </w:r>
            <w:r w:rsidRPr="003D0C39">
              <w:rPr>
                <w:rFonts w:ascii="Calibri" w:hAnsi="Calibri" w:cs="Calibri"/>
                <w:color w:val="000000"/>
                <w:sz w:val="18"/>
                <w:szCs w:val="18"/>
              </w:rPr>
              <w:t>hrs</w:t>
            </w:r>
          </w:p>
        </w:tc>
        <w:tc>
          <w:tcPr>
            <w:tcW w:w="810" w:type="dxa"/>
            <w:tcBorders>
              <w:top w:val="nil"/>
              <w:left w:val="nil"/>
              <w:bottom w:val="single" w:sz="4" w:space="0" w:color="auto"/>
              <w:right w:val="single" w:sz="4" w:space="0" w:color="auto"/>
            </w:tcBorders>
            <w:shd w:val="clear" w:color="auto" w:fill="auto"/>
            <w:vAlign w:val="center"/>
          </w:tcPr>
          <w:p w:rsidR="00DC3F89" w:rsidP="00565B66" w14:paraId="01F4D67C" w14:textId="77777777">
            <w:pPr>
              <w:keepNext/>
              <w:keepLines/>
              <w:widowControl/>
              <w:jc w:val="center"/>
              <w:rPr>
                <w:rFonts w:ascii="Calibri" w:hAnsi="Calibri" w:cs="Calibri"/>
                <w:color w:val="000000"/>
                <w:sz w:val="18"/>
                <w:szCs w:val="18"/>
              </w:rPr>
            </w:pPr>
            <w:r w:rsidRPr="003D0C39">
              <w:rPr>
                <w:rFonts w:ascii="Calibri" w:hAnsi="Calibri" w:cs="Calibri"/>
                <w:color w:val="000000"/>
                <w:sz w:val="18"/>
                <w:szCs w:val="18"/>
              </w:rPr>
              <w:t>4</w:t>
            </w:r>
          </w:p>
        </w:tc>
        <w:tc>
          <w:tcPr>
            <w:tcW w:w="1080" w:type="dxa"/>
            <w:tcBorders>
              <w:top w:val="nil"/>
              <w:left w:val="nil"/>
              <w:bottom w:val="single" w:sz="4" w:space="0" w:color="auto"/>
              <w:right w:val="single" w:sz="4" w:space="0" w:color="auto"/>
            </w:tcBorders>
            <w:shd w:val="clear" w:color="auto" w:fill="auto"/>
            <w:noWrap/>
            <w:vAlign w:val="center"/>
          </w:tcPr>
          <w:p w:rsidR="00DC3F89" w:rsidP="00565B66" w14:paraId="28D4F3F1" w14:textId="77777777">
            <w:pPr>
              <w:keepNext/>
              <w:keepLines/>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DC3F89" w:rsidP="00565B66" w14:paraId="0C9F346E"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97</w:t>
            </w:r>
          </w:p>
        </w:tc>
      </w:tr>
      <w:tr w14:paraId="2D39417E" w14:textId="77777777" w:rsidTr="00FB4224">
        <w:tblPrEx>
          <w:tblW w:w="11080" w:type="dxa"/>
          <w:jc w:val="center"/>
          <w:tblLayout w:type="fixed"/>
          <w:tblLook w:val="04A0"/>
        </w:tblPrEx>
        <w:trPr>
          <w:trHeight w:val="278"/>
          <w:jc w:val="center"/>
        </w:trPr>
        <w:tc>
          <w:tcPr>
            <w:tcW w:w="2246" w:type="dxa"/>
            <w:tcBorders>
              <w:top w:val="nil"/>
              <w:left w:val="single" w:sz="8" w:space="0" w:color="auto"/>
              <w:bottom w:val="single" w:sz="4" w:space="0" w:color="auto"/>
              <w:right w:val="single" w:sz="4" w:space="0" w:color="auto"/>
            </w:tcBorders>
            <w:shd w:val="clear" w:color="auto" w:fill="auto"/>
            <w:vAlign w:val="center"/>
          </w:tcPr>
          <w:p w:rsidR="00ED3DED" w:rsidRPr="00940A9C" w:rsidP="00565B66" w14:paraId="0965D23B" w14:textId="77777777">
            <w:pPr>
              <w:keepNext/>
              <w:keepLines/>
              <w:jc w:val="center"/>
              <w:rPr>
                <w:rFonts w:asciiTheme="minorHAnsi" w:hAnsiTheme="minorHAnsi" w:cstheme="minorHAnsi"/>
                <w:sz w:val="18"/>
                <w:szCs w:val="18"/>
              </w:rPr>
            </w:pPr>
            <w:r>
              <w:rPr>
                <w:rFonts w:asciiTheme="minorHAnsi" w:hAnsiTheme="minorHAnsi" w:cstheme="minorHAnsi"/>
                <w:sz w:val="18"/>
                <w:szCs w:val="18"/>
              </w:rPr>
              <w:t>Purchase of Charter Halibut Stamps</w:t>
            </w:r>
          </w:p>
        </w:tc>
        <w:tc>
          <w:tcPr>
            <w:tcW w:w="1094" w:type="dxa"/>
            <w:tcBorders>
              <w:top w:val="nil"/>
              <w:left w:val="nil"/>
              <w:bottom w:val="single" w:sz="4" w:space="0" w:color="auto"/>
              <w:right w:val="single" w:sz="4" w:space="0" w:color="auto"/>
            </w:tcBorders>
            <w:shd w:val="clear" w:color="auto" w:fill="auto"/>
            <w:vAlign w:val="center"/>
          </w:tcPr>
          <w:p w:rsidR="00ED3DED" w:rsidRPr="00940A9C" w:rsidP="00565B66" w14:paraId="223EE505" w14:textId="77777777">
            <w:pPr>
              <w:keepNext/>
              <w:keepLines/>
              <w:jc w:val="center"/>
              <w:rPr>
                <w:rFonts w:ascii="Calibri" w:hAnsi="Calibri" w:cs="Calibri"/>
                <w:color w:val="000000"/>
                <w:sz w:val="18"/>
                <w:szCs w:val="18"/>
              </w:rPr>
            </w:pPr>
            <w:r>
              <w:rPr>
                <w:rFonts w:ascii="Calibri" w:hAnsi="Calibri" w:cs="Calibri"/>
                <w:color w:val="000000"/>
                <w:sz w:val="18"/>
                <w:szCs w:val="18"/>
              </w:rPr>
              <w:t>Fishermen</w:t>
            </w:r>
          </w:p>
        </w:tc>
        <w:tc>
          <w:tcPr>
            <w:tcW w:w="1170" w:type="dxa"/>
            <w:tcBorders>
              <w:top w:val="nil"/>
              <w:left w:val="nil"/>
              <w:bottom w:val="single" w:sz="4" w:space="0" w:color="auto"/>
              <w:right w:val="single" w:sz="4" w:space="0" w:color="auto"/>
            </w:tcBorders>
            <w:shd w:val="clear" w:color="auto" w:fill="auto"/>
            <w:vAlign w:val="center"/>
          </w:tcPr>
          <w:p w:rsidR="00ED3DED" w:rsidRPr="000D0A11" w:rsidP="00565B66" w14:paraId="61E4C482"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475</w:t>
            </w:r>
            <w:r w:rsidR="00180C5A">
              <w:rPr>
                <w:rFonts w:ascii="Calibri" w:hAnsi="Calibri" w:cs="Calibri"/>
                <w:color w:val="000000"/>
                <w:sz w:val="18"/>
                <w:szCs w:val="18"/>
                <w:vertAlign w:val="superscript"/>
              </w:rPr>
              <w:t>3</w:t>
            </w:r>
          </w:p>
        </w:tc>
        <w:tc>
          <w:tcPr>
            <w:tcW w:w="1440" w:type="dxa"/>
            <w:tcBorders>
              <w:top w:val="nil"/>
              <w:left w:val="nil"/>
              <w:bottom w:val="single" w:sz="4" w:space="0" w:color="auto"/>
              <w:right w:val="single" w:sz="4" w:space="0" w:color="auto"/>
            </w:tcBorders>
            <w:shd w:val="clear" w:color="auto" w:fill="auto"/>
            <w:vAlign w:val="center"/>
          </w:tcPr>
          <w:p w:rsidR="00ED3DED" w:rsidP="00565B66" w14:paraId="2053AB4F"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Varies</w:t>
            </w:r>
          </w:p>
        </w:tc>
        <w:tc>
          <w:tcPr>
            <w:tcW w:w="1170" w:type="dxa"/>
            <w:tcBorders>
              <w:top w:val="nil"/>
              <w:left w:val="nil"/>
              <w:bottom w:val="single" w:sz="4" w:space="0" w:color="auto"/>
              <w:right w:val="single" w:sz="4" w:space="0" w:color="auto"/>
            </w:tcBorders>
            <w:shd w:val="clear" w:color="auto" w:fill="auto"/>
            <w:vAlign w:val="center"/>
          </w:tcPr>
          <w:p w:rsidR="00ED3DED" w:rsidRPr="000D0A11" w:rsidP="00565B66" w14:paraId="44DFC7BF"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475</w:t>
            </w:r>
            <w:r w:rsidR="00180C5A">
              <w:rPr>
                <w:rFonts w:ascii="Calibri" w:hAnsi="Calibri" w:cs="Calibri"/>
                <w:color w:val="000000"/>
                <w:sz w:val="18"/>
                <w:szCs w:val="18"/>
                <w:vertAlign w:val="superscript"/>
              </w:rPr>
              <w:t>3</w:t>
            </w:r>
          </w:p>
        </w:tc>
        <w:tc>
          <w:tcPr>
            <w:tcW w:w="1080" w:type="dxa"/>
            <w:tcBorders>
              <w:top w:val="nil"/>
              <w:left w:val="nil"/>
              <w:bottom w:val="single" w:sz="4" w:space="0" w:color="auto"/>
              <w:right w:val="single" w:sz="4" w:space="0" w:color="auto"/>
            </w:tcBorders>
            <w:shd w:val="clear" w:color="auto" w:fill="auto"/>
            <w:vAlign w:val="center"/>
          </w:tcPr>
          <w:p w:rsidR="00ED3DED" w:rsidRPr="004E50B7" w:rsidP="00565B66" w14:paraId="57FEC041" w14:textId="77777777">
            <w:pPr>
              <w:keepNext/>
              <w:keepLines/>
              <w:jc w:val="center"/>
              <w:rPr>
                <w:rFonts w:ascii="Calibri" w:hAnsi="Calibri" w:cs="Calibri"/>
                <w:color w:val="000000"/>
                <w:sz w:val="18"/>
                <w:szCs w:val="18"/>
              </w:rPr>
            </w:pPr>
            <w:r>
              <w:rPr>
                <w:rFonts w:ascii="Calibri" w:hAnsi="Calibri" w:cs="Calibri"/>
                <w:color w:val="000000"/>
                <w:sz w:val="18"/>
                <w:szCs w:val="18"/>
              </w:rPr>
              <w:t>5 min</w:t>
            </w:r>
          </w:p>
        </w:tc>
        <w:tc>
          <w:tcPr>
            <w:tcW w:w="810" w:type="dxa"/>
            <w:tcBorders>
              <w:top w:val="nil"/>
              <w:left w:val="nil"/>
              <w:bottom w:val="single" w:sz="4" w:space="0" w:color="auto"/>
              <w:right w:val="single" w:sz="4" w:space="0" w:color="auto"/>
            </w:tcBorders>
            <w:shd w:val="clear" w:color="auto" w:fill="auto"/>
            <w:vAlign w:val="center"/>
          </w:tcPr>
          <w:p w:rsidR="00ED3DED" w:rsidRPr="004E50B7" w:rsidP="00565B66" w14:paraId="63225D98"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center"/>
          </w:tcPr>
          <w:p w:rsidR="00ED3DED" w:rsidRPr="004E50B7" w:rsidP="00565B66" w14:paraId="386D8435" w14:textId="77777777">
            <w:pPr>
              <w:keepNext/>
              <w:keepLines/>
              <w:jc w:val="center"/>
              <w:rPr>
                <w:rFonts w:ascii="Calibri" w:hAnsi="Calibri" w:cs="Calibri"/>
                <w:color w:val="000000"/>
                <w:sz w:val="18"/>
                <w:szCs w:val="18"/>
              </w:rPr>
            </w:pPr>
            <w:r>
              <w:rPr>
                <w:rFonts w:ascii="Calibri" w:hAnsi="Calibri" w:cs="Calibri"/>
                <w:color w:val="000000"/>
                <w:sz w:val="18"/>
                <w:szCs w:val="18"/>
              </w:rPr>
              <w:t>24.21</w:t>
            </w:r>
          </w:p>
        </w:tc>
        <w:tc>
          <w:tcPr>
            <w:tcW w:w="990" w:type="dxa"/>
            <w:tcBorders>
              <w:top w:val="nil"/>
              <w:left w:val="nil"/>
              <w:bottom w:val="single" w:sz="4" w:space="0" w:color="auto"/>
              <w:right w:val="single" w:sz="8" w:space="0" w:color="auto"/>
            </w:tcBorders>
            <w:shd w:val="clear" w:color="auto" w:fill="auto"/>
            <w:noWrap/>
            <w:vAlign w:val="center"/>
          </w:tcPr>
          <w:p w:rsidR="00ED3DED" w:rsidRPr="004E50B7" w:rsidP="00565B66" w14:paraId="5C75C5FC" w14:textId="77777777">
            <w:pPr>
              <w:keepNext/>
              <w:keepLines/>
              <w:widowControl/>
              <w:jc w:val="center"/>
              <w:rPr>
                <w:rFonts w:ascii="Calibri" w:hAnsi="Calibri" w:cs="Calibri"/>
                <w:color w:val="000000"/>
                <w:sz w:val="18"/>
                <w:szCs w:val="18"/>
              </w:rPr>
            </w:pPr>
            <w:r>
              <w:rPr>
                <w:rFonts w:ascii="Calibri" w:hAnsi="Calibri" w:cs="Calibri"/>
                <w:color w:val="000000"/>
                <w:sz w:val="18"/>
                <w:szCs w:val="18"/>
              </w:rPr>
              <w:t>968</w:t>
            </w:r>
          </w:p>
        </w:tc>
      </w:tr>
      <w:tr w14:paraId="339BE015" w14:textId="77777777" w:rsidTr="00FB4224">
        <w:tblPrEx>
          <w:tblW w:w="11080" w:type="dxa"/>
          <w:jc w:val="center"/>
          <w:tblLayout w:type="fixed"/>
          <w:tblLook w:val="04A0"/>
        </w:tblPrEx>
        <w:trPr>
          <w:trHeight w:val="336"/>
          <w:jc w:val="center"/>
        </w:trPr>
        <w:tc>
          <w:tcPr>
            <w:tcW w:w="2246" w:type="dxa"/>
            <w:tcBorders>
              <w:top w:val="nil"/>
              <w:left w:val="single" w:sz="8" w:space="0" w:color="auto"/>
              <w:bottom w:val="single" w:sz="8" w:space="0" w:color="auto"/>
              <w:right w:val="single" w:sz="8" w:space="0" w:color="auto"/>
            </w:tcBorders>
            <w:shd w:val="clear" w:color="000000" w:fill="DDEBF7"/>
            <w:noWrap/>
            <w:vAlign w:val="center"/>
            <w:hideMark/>
          </w:tcPr>
          <w:p w:rsidR="00E56B16" w:rsidRPr="00671D0D" w:rsidP="00565B66" w14:paraId="08925CAA" w14:textId="77777777">
            <w:pPr>
              <w:keepNext/>
              <w:keepLines/>
              <w:widowControl/>
              <w:rPr>
                <w:rFonts w:ascii="Calibri" w:hAnsi="Calibri" w:cs="Calibri"/>
                <w:b/>
                <w:bCs/>
                <w:color w:val="000000"/>
                <w:sz w:val="18"/>
                <w:szCs w:val="18"/>
              </w:rPr>
            </w:pPr>
            <w:r w:rsidRPr="00671D0D">
              <w:rPr>
                <w:rFonts w:ascii="Calibri" w:hAnsi="Calibri" w:cs="Calibri"/>
                <w:b/>
                <w:bCs/>
                <w:color w:val="000000"/>
                <w:sz w:val="18"/>
                <w:szCs w:val="18"/>
              </w:rPr>
              <w:t>Totals</w:t>
            </w:r>
          </w:p>
        </w:tc>
        <w:tc>
          <w:tcPr>
            <w:tcW w:w="1094" w:type="dxa"/>
            <w:tcBorders>
              <w:top w:val="nil"/>
              <w:left w:val="nil"/>
              <w:bottom w:val="single" w:sz="8" w:space="0" w:color="auto"/>
              <w:right w:val="single" w:sz="8" w:space="0" w:color="auto"/>
            </w:tcBorders>
            <w:shd w:val="clear" w:color="000000" w:fill="000000"/>
            <w:noWrap/>
            <w:vAlign w:val="center"/>
            <w:hideMark/>
          </w:tcPr>
          <w:p w:rsidR="00E56B16" w:rsidRPr="00671D0D" w:rsidP="00565B66" w14:paraId="71F989B8" w14:textId="77777777">
            <w:pPr>
              <w:keepNext/>
              <w:keepLines/>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170" w:type="dxa"/>
            <w:tcBorders>
              <w:top w:val="nil"/>
              <w:left w:val="nil"/>
              <w:bottom w:val="single" w:sz="8" w:space="0" w:color="auto"/>
              <w:right w:val="single" w:sz="8" w:space="0" w:color="auto"/>
            </w:tcBorders>
            <w:shd w:val="clear" w:color="000000" w:fill="000000"/>
            <w:noWrap/>
            <w:vAlign w:val="center"/>
            <w:hideMark/>
          </w:tcPr>
          <w:p w:rsidR="00E56B16" w:rsidRPr="00671D0D" w:rsidP="00565B66" w14:paraId="0D255F3E" w14:textId="77777777">
            <w:pPr>
              <w:keepNext/>
              <w:keepLines/>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440" w:type="dxa"/>
            <w:tcBorders>
              <w:top w:val="nil"/>
              <w:left w:val="nil"/>
              <w:bottom w:val="single" w:sz="8" w:space="0" w:color="auto"/>
              <w:right w:val="single" w:sz="8" w:space="0" w:color="auto"/>
            </w:tcBorders>
            <w:shd w:val="clear" w:color="000000" w:fill="000000"/>
            <w:noWrap/>
            <w:vAlign w:val="center"/>
            <w:hideMark/>
          </w:tcPr>
          <w:p w:rsidR="00E56B16" w:rsidRPr="00671D0D" w:rsidP="00565B66" w14:paraId="6DC389B0" w14:textId="77777777">
            <w:pPr>
              <w:keepNext/>
              <w:keepLines/>
              <w:widowControl/>
              <w:rPr>
                <w:rFonts w:ascii="Calibri" w:hAnsi="Calibri" w:cs="Calibri"/>
                <w:b/>
                <w:bCs/>
                <w:color w:val="000000"/>
                <w:sz w:val="18"/>
                <w:szCs w:val="18"/>
              </w:rPr>
            </w:pPr>
            <w:r w:rsidRPr="00671D0D">
              <w:rPr>
                <w:rFonts w:ascii="Calibri" w:hAnsi="Calibri" w:cs="Calibri"/>
                <w:b/>
                <w:bCs/>
                <w:color w:val="000000"/>
                <w:sz w:val="18"/>
                <w:szCs w:val="18"/>
              </w:rPr>
              <w:t> </w:t>
            </w:r>
          </w:p>
        </w:tc>
        <w:tc>
          <w:tcPr>
            <w:tcW w:w="1170" w:type="dxa"/>
            <w:tcBorders>
              <w:top w:val="nil"/>
              <w:left w:val="nil"/>
              <w:bottom w:val="single" w:sz="8" w:space="0" w:color="auto"/>
              <w:right w:val="single" w:sz="8" w:space="0" w:color="auto"/>
            </w:tcBorders>
            <w:shd w:val="clear" w:color="000000" w:fill="DDEBF7"/>
            <w:noWrap/>
            <w:vAlign w:val="center"/>
            <w:hideMark/>
          </w:tcPr>
          <w:p w:rsidR="00E56B16" w:rsidRPr="0039499C" w:rsidP="00565B66" w14:paraId="01861FAD" w14:textId="77777777">
            <w:pPr>
              <w:keepNext/>
              <w:keepLines/>
              <w:widowControl/>
              <w:jc w:val="center"/>
              <w:rPr>
                <w:rFonts w:ascii="Calibri" w:hAnsi="Calibri" w:cs="Calibri"/>
                <w:b/>
                <w:bCs/>
                <w:color w:val="000000"/>
                <w:sz w:val="18"/>
                <w:szCs w:val="18"/>
              </w:rPr>
            </w:pPr>
            <w:r w:rsidRPr="0039499C">
              <w:rPr>
                <w:rFonts w:ascii="Calibri" w:hAnsi="Calibri" w:cs="Calibri"/>
                <w:b/>
                <w:bCs/>
                <w:color w:val="000000"/>
                <w:sz w:val="18"/>
                <w:szCs w:val="18"/>
              </w:rPr>
              <w:t>41,741</w:t>
            </w:r>
          </w:p>
        </w:tc>
        <w:tc>
          <w:tcPr>
            <w:tcW w:w="1080" w:type="dxa"/>
            <w:tcBorders>
              <w:top w:val="nil"/>
              <w:left w:val="nil"/>
              <w:bottom w:val="single" w:sz="8" w:space="0" w:color="auto"/>
              <w:right w:val="single" w:sz="8" w:space="0" w:color="auto"/>
            </w:tcBorders>
            <w:shd w:val="clear" w:color="000000" w:fill="000000"/>
            <w:noWrap/>
            <w:vAlign w:val="center"/>
            <w:hideMark/>
          </w:tcPr>
          <w:p w:rsidR="00E56B16" w:rsidRPr="0039499C" w:rsidP="00565B66" w14:paraId="1179D158" w14:textId="77777777">
            <w:pPr>
              <w:keepNext/>
              <w:keepLines/>
              <w:widowControl/>
              <w:jc w:val="center"/>
              <w:rPr>
                <w:rFonts w:ascii="Calibri" w:hAnsi="Calibri" w:cs="Calibri"/>
                <w:b/>
                <w:bCs/>
                <w:color w:val="000000"/>
                <w:sz w:val="18"/>
                <w:szCs w:val="18"/>
              </w:rPr>
            </w:pPr>
          </w:p>
        </w:tc>
        <w:tc>
          <w:tcPr>
            <w:tcW w:w="810" w:type="dxa"/>
            <w:tcBorders>
              <w:top w:val="nil"/>
              <w:left w:val="nil"/>
              <w:bottom w:val="single" w:sz="8" w:space="0" w:color="auto"/>
              <w:right w:val="single" w:sz="8" w:space="0" w:color="auto"/>
            </w:tcBorders>
            <w:shd w:val="clear" w:color="000000" w:fill="DDEBF7"/>
            <w:noWrap/>
            <w:vAlign w:val="center"/>
            <w:hideMark/>
          </w:tcPr>
          <w:p w:rsidR="00E56B16" w:rsidRPr="0039499C" w:rsidP="00565B66" w14:paraId="0960D7DE" w14:textId="77777777">
            <w:pPr>
              <w:keepNext/>
              <w:keepLines/>
              <w:widowControl/>
              <w:jc w:val="center"/>
              <w:rPr>
                <w:rFonts w:ascii="Calibri" w:hAnsi="Calibri" w:cs="Calibri"/>
                <w:b/>
                <w:bCs/>
                <w:color w:val="000000"/>
                <w:sz w:val="18"/>
                <w:szCs w:val="18"/>
              </w:rPr>
            </w:pPr>
            <w:r w:rsidRPr="0039499C">
              <w:rPr>
                <w:rFonts w:ascii="Calibri" w:hAnsi="Calibri" w:cs="Calibri"/>
                <w:b/>
                <w:bCs/>
                <w:color w:val="000000"/>
                <w:sz w:val="18"/>
                <w:szCs w:val="18"/>
              </w:rPr>
              <w:t>4,538</w:t>
            </w:r>
          </w:p>
        </w:tc>
        <w:tc>
          <w:tcPr>
            <w:tcW w:w="1080" w:type="dxa"/>
            <w:tcBorders>
              <w:top w:val="nil"/>
              <w:left w:val="nil"/>
              <w:bottom w:val="single" w:sz="8" w:space="0" w:color="auto"/>
              <w:right w:val="single" w:sz="8" w:space="0" w:color="auto"/>
            </w:tcBorders>
            <w:shd w:val="clear" w:color="000000" w:fill="000000"/>
            <w:noWrap/>
            <w:vAlign w:val="center"/>
            <w:hideMark/>
          </w:tcPr>
          <w:p w:rsidR="00E56B16" w:rsidRPr="0039499C" w:rsidP="00565B66" w14:paraId="634615C8" w14:textId="77777777">
            <w:pPr>
              <w:keepNext/>
              <w:keepLines/>
              <w:widowControl/>
              <w:jc w:val="center"/>
              <w:rPr>
                <w:rFonts w:ascii="Calibri" w:hAnsi="Calibri" w:cs="Calibri"/>
                <w:b/>
                <w:bCs/>
                <w:color w:val="000000"/>
                <w:sz w:val="18"/>
                <w:szCs w:val="18"/>
              </w:rPr>
            </w:pPr>
          </w:p>
        </w:tc>
        <w:tc>
          <w:tcPr>
            <w:tcW w:w="990" w:type="dxa"/>
            <w:tcBorders>
              <w:top w:val="nil"/>
              <w:left w:val="nil"/>
              <w:bottom w:val="single" w:sz="8" w:space="0" w:color="auto"/>
              <w:right w:val="single" w:sz="8" w:space="0" w:color="auto"/>
            </w:tcBorders>
            <w:shd w:val="clear" w:color="000000" w:fill="DDEBF7"/>
            <w:noWrap/>
            <w:vAlign w:val="center"/>
            <w:hideMark/>
          </w:tcPr>
          <w:p w:rsidR="00E56B16" w:rsidRPr="0039499C" w:rsidP="00565B66" w14:paraId="12BE8FB5" w14:textId="77777777">
            <w:pPr>
              <w:keepNext/>
              <w:keepLines/>
              <w:widowControl/>
              <w:jc w:val="center"/>
              <w:rPr>
                <w:rFonts w:ascii="Calibri" w:hAnsi="Calibri" w:cs="Calibri"/>
                <w:b/>
                <w:bCs/>
                <w:color w:val="000000"/>
                <w:sz w:val="18"/>
                <w:szCs w:val="18"/>
              </w:rPr>
            </w:pPr>
            <w:r w:rsidRPr="0039499C">
              <w:rPr>
                <w:rFonts w:ascii="Calibri" w:hAnsi="Calibri" w:cs="Calibri"/>
                <w:b/>
                <w:bCs/>
                <w:color w:val="000000"/>
                <w:sz w:val="18"/>
                <w:szCs w:val="18"/>
              </w:rPr>
              <w:t>$</w:t>
            </w:r>
            <w:r w:rsidRPr="0039499C" w:rsidR="005D1FEC">
              <w:rPr>
                <w:rFonts w:ascii="Calibri" w:hAnsi="Calibri" w:cs="Calibri"/>
                <w:b/>
                <w:bCs/>
                <w:color w:val="000000"/>
                <w:sz w:val="18"/>
                <w:szCs w:val="18"/>
              </w:rPr>
              <w:t>109,865</w:t>
            </w:r>
          </w:p>
        </w:tc>
      </w:tr>
    </w:tbl>
    <w:p w:rsidR="00E56B16" w:rsidRPr="00390FA1" w:rsidP="00A51B6B" w14:paraId="7DF04A7C" w14:textId="77777777">
      <w:pPr>
        <w:ind w:left="-317" w:right="-576" w:hanging="115"/>
        <w:rPr>
          <w:rFonts w:asciiTheme="minorHAnsi" w:hAnsiTheme="minorHAnsi" w:cstheme="minorHAnsi"/>
          <w:sz w:val="18"/>
          <w:szCs w:val="18"/>
        </w:rPr>
      </w:pPr>
      <w:r w:rsidRPr="00390FA1">
        <w:rPr>
          <w:rFonts w:asciiTheme="minorHAnsi" w:hAnsiTheme="minorHAnsi" w:cstheme="minorHAnsi"/>
          <w:sz w:val="18"/>
          <w:szCs w:val="18"/>
          <w:vertAlign w:val="superscript"/>
        </w:rPr>
        <w:t>1</w:t>
      </w:r>
      <w:r w:rsidRPr="00390FA1">
        <w:rPr>
          <w:rFonts w:asciiTheme="minorHAnsi" w:hAnsiTheme="minorHAnsi" w:cstheme="minorHAnsi"/>
          <w:sz w:val="18"/>
          <w:szCs w:val="18"/>
        </w:rPr>
        <w:t xml:space="preserve"> The respondent and response estimates were determined as follows: The current number of CHP holders is </w:t>
      </w:r>
      <w:r w:rsidR="00230825">
        <w:rPr>
          <w:rFonts w:asciiTheme="minorHAnsi" w:hAnsiTheme="minorHAnsi" w:cstheme="minorHAnsi"/>
          <w:sz w:val="18"/>
          <w:szCs w:val="18"/>
        </w:rPr>
        <w:t>550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 xml:space="preserve">(not including military and community CHP holders). The estimated respondents consist of the </w:t>
      </w:r>
      <w:r w:rsidR="00230825">
        <w:rPr>
          <w:rFonts w:asciiTheme="minorHAnsi" w:hAnsiTheme="minorHAnsi" w:cstheme="minorHAnsi"/>
          <w:sz w:val="18"/>
          <w:szCs w:val="18"/>
        </w:rPr>
        <w:t>550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current holders plus 50 transfers expected to occur each year that would then need to be registered (</w:t>
      </w:r>
      <w:r w:rsidRPr="00390FA1" w:rsidR="00230825">
        <w:rPr>
          <w:rFonts w:asciiTheme="minorHAnsi" w:hAnsiTheme="minorHAnsi" w:cstheme="minorHAnsi"/>
          <w:sz w:val="18"/>
          <w:szCs w:val="18"/>
        </w:rPr>
        <w:t>5</w:t>
      </w:r>
      <w:r w:rsidR="00230825">
        <w:rPr>
          <w:rFonts w:asciiTheme="minorHAnsi" w:hAnsiTheme="minorHAnsi" w:cstheme="minorHAnsi"/>
          <w:sz w:val="18"/>
          <w:szCs w:val="18"/>
        </w:rPr>
        <w:t>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 xml:space="preserve">+ 50 = </w:t>
      </w:r>
      <w:r w:rsidR="00230825">
        <w:rPr>
          <w:rFonts w:asciiTheme="minorHAnsi" w:hAnsiTheme="minorHAnsi" w:cstheme="minorHAnsi"/>
          <w:sz w:val="18"/>
          <w:szCs w:val="18"/>
        </w:rPr>
        <w:t>600</w:t>
      </w:r>
      <w:r w:rsidRPr="00390FA1">
        <w:rPr>
          <w:rFonts w:asciiTheme="minorHAnsi" w:hAnsiTheme="minorHAnsi" w:cstheme="minorHAnsi"/>
          <w:sz w:val="18"/>
          <w:szCs w:val="18"/>
        </w:rPr>
        <w:t xml:space="preserve">). This estimate is an annual maximum because NMFS expects that not all CHP holders would register their permits every year, and permits with identical ownership and affiliation may be registered on the same form. The </w:t>
      </w:r>
      <w:r w:rsidRPr="00390FA1" w:rsidR="00230825">
        <w:rPr>
          <w:rFonts w:asciiTheme="minorHAnsi" w:hAnsiTheme="minorHAnsi" w:cstheme="minorHAnsi"/>
          <w:sz w:val="18"/>
          <w:szCs w:val="18"/>
        </w:rPr>
        <w:t>5</w:t>
      </w:r>
      <w:r w:rsidR="00230825">
        <w:rPr>
          <w:rFonts w:asciiTheme="minorHAnsi" w:hAnsiTheme="minorHAnsi" w:cstheme="minorHAnsi"/>
          <w:sz w:val="18"/>
          <w:szCs w:val="18"/>
        </w:rPr>
        <w:t>50</w:t>
      </w:r>
      <w:r w:rsidRPr="00390FA1" w:rsidR="00230825">
        <w:rPr>
          <w:rFonts w:asciiTheme="minorHAnsi" w:hAnsiTheme="minorHAnsi" w:cstheme="minorHAnsi"/>
          <w:sz w:val="18"/>
          <w:szCs w:val="18"/>
        </w:rPr>
        <w:t xml:space="preserve"> </w:t>
      </w:r>
      <w:r w:rsidRPr="00390FA1" w:rsidR="00D51111">
        <w:rPr>
          <w:rFonts w:asciiTheme="minorHAnsi" w:hAnsiTheme="minorHAnsi" w:cstheme="minorHAnsi"/>
          <w:sz w:val="18"/>
          <w:szCs w:val="18"/>
        </w:rPr>
        <w:t xml:space="preserve">CHP </w:t>
      </w:r>
      <w:r w:rsidRPr="00390FA1">
        <w:rPr>
          <w:rFonts w:asciiTheme="minorHAnsi" w:hAnsiTheme="minorHAnsi" w:cstheme="minorHAnsi"/>
          <w:sz w:val="18"/>
          <w:szCs w:val="18"/>
        </w:rPr>
        <w:t>holders hold 955 CHPs (not including military and community CHPs) and when added to the expected 50 annual transfers that would need to be registered, equal roughly 1,000 CHPs, or 1,000 responses annually.</w:t>
      </w:r>
    </w:p>
    <w:p w:rsidR="00E56B16" w:rsidP="00A51B6B" w14:paraId="0666747B" w14:textId="77777777">
      <w:pPr>
        <w:ind w:left="-317" w:right="-576" w:hanging="115"/>
        <w:rPr>
          <w:rFonts w:asciiTheme="minorHAnsi" w:hAnsiTheme="minorHAnsi" w:cstheme="minorHAnsi"/>
          <w:sz w:val="18"/>
          <w:szCs w:val="18"/>
        </w:rPr>
      </w:pPr>
      <w:r w:rsidRPr="00390FA1">
        <w:rPr>
          <w:rFonts w:asciiTheme="minorHAnsi" w:hAnsiTheme="minorHAnsi" w:cstheme="minorHAnsi"/>
          <w:sz w:val="18"/>
          <w:szCs w:val="18"/>
          <w:vertAlign w:val="superscript"/>
        </w:rPr>
        <w:t>2</w:t>
      </w:r>
      <w:r w:rsidRPr="00390FA1" w:rsidR="00632AA7">
        <w:rPr>
          <w:rFonts w:asciiTheme="minorHAnsi" w:hAnsiTheme="minorHAnsi" w:cstheme="minorHAnsi"/>
          <w:sz w:val="18"/>
          <w:szCs w:val="18"/>
          <w:vertAlign w:val="superscript"/>
        </w:rPr>
        <w:t xml:space="preserve"> </w:t>
      </w:r>
      <w:r w:rsidRPr="00390FA1">
        <w:rPr>
          <w:rFonts w:asciiTheme="minorHAnsi" w:hAnsiTheme="minorHAnsi" w:cstheme="minorHAnsi"/>
          <w:sz w:val="18"/>
          <w:szCs w:val="18"/>
        </w:rPr>
        <w:t xml:space="preserve">The </w:t>
      </w:r>
      <w:r w:rsidRPr="00390FA1" w:rsidR="00D51111">
        <w:rPr>
          <w:rFonts w:asciiTheme="minorHAnsi" w:hAnsiTheme="minorHAnsi" w:cstheme="minorHAnsi"/>
          <w:sz w:val="18"/>
          <w:szCs w:val="18"/>
        </w:rPr>
        <w:t xml:space="preserve">transfer </w:t>
      </w:r>
      <w:r w:rsidRPr="00390FA1">
        <w:rPr>
          <w:rFonts w:asciiTheme="minorHAnsi" w:hAnsiTheme="minorHAnsi" w:cstheme="minorHAnsi"/>
          <w:sz w:val="18"/>
          <w:szCs w:val="18"/>
        </w:rPr>
        <w:t>application is completed by two respondents, the transferor and the transferee.</w:t>
      </w:r>
    </w:p>
    <w:p w:rsidR="008403ED" w:rsidRPr="00390FA1" w:rsidP="00A51B6B" w14:paraId="238F48DC" w14:textId="77777777">
      <w:pPr>
        <w:ind w:left="-317" w:right="-576" w:hanging="115"/>
        <w:rPr>
          <w:rFonts w:asciiTheme="minorHAnsi" w:hAnsiTheme="minorHAnsi" w:cstheme="minorHAnsi"/>
          <w:sz w:val="18"/>
          <w:szCs w:val="18"/>
        </w:rPr>
      </w:pPr>
      <w:r>
        <w:rPr>
          <w:rFonts w:asciiTheme="minorHAnsi" w:hAnsiTheme="minorHAnsi" w:cstheme="minorHAnsi"/>
          <w:sz w:val="18"/>
          <w:szCs w:val="18"/>
          <w:vertAlign w:val="superscript"/>
        </w:rPr>
        <w:t>3</w:t>
      </w:r>
      <w:r>
        <w:rPr>
          <w:rFonts w:asciiTheme="minorHAnsi" w:hAnsiTheme="minorHAnsi" w:cstheme="minorHAnsi"/>
          <w:sz w:val="18"/>
          <w:szCs w:val="18"/>
        </w:rPr>
        <w:t xml:space="preserve"> As</w:t>
      </w:r>
      <w:r w:rsidRPr="00403BFE">
        <w:t xml:space="preserve"> </w:t>
      </w:r>
      <w:r>
        <w:rPr>
          <w:rFonts w:asciiTheme="minorHAnsi" w:hAnsiTheme="minorHAnsi" w:cstheme="minorHAnsi"/>
          <w:sz w:val="18"/>
          <w:szCs w:val="18"/>
        </w:rPr>
        <w:t xml:space="preserve">not all CHP holders </w:t>
      </w:r>
      <w:r w:rsidRPr="00403BFE">
        <w:rPr>
          <w:rFonts w:asciiTheme="minorHAnsi" w:hAnsiTheme="minorHAnsi" w:cstheme="minorHAnsi"/>
          <w:sz w:val="18"/>
          <w:szCs w:val="18"/>
        </w:rPr>
        <w:t>and permits are active in any particular year</w:t>
      </w:r>
      <w:r>
        <w:rPr>
          <w:rFonts w:asciiTheme="minorHAnsi" w:hAnsiTheme="minorHAnsi" w:cstheme="minorHAnsi"/>
          <w:sz w:val="18"/>
          <w:szCs w:val="18"/>
        </w:rPr>
        <w:t xml:space="preserve">, the number of respondents </w:t>
      </w:r>
      <w:r w:rsidRPr="00403BFE">
        <w:rPr>
          <w:rFonts w:asciiTheme="minorHAnsi" w:hAnsiTheme="minorHAnsi" w:cstheme="minorHAnsi"/>
          <w:sz w:val="18"/>
          <w:szCs w:val="18"/>
        </w:rPr>
        <w:t>expected to have eFISH accounts and purchase stamps</w:t>
      </w:r>
      <w:r>
        <w:rPr>
          <w:rFonts w:asciiTheme="minorHAnsi" w:hAnsiTheme="minorHAnsi" w:cstheme="minorHAnsi"/>
          <w:sz w:val="18"/>
          <w:szCs w:val="18"/>
        </w:rPr>
        <w:t xml:space="preserve"> is estimated at 475 CHP holders. The number of responses per respondent will vary because stamps may be purchased at any time. </w:t>
      </w:r>
      <w:r w:rsidRPr="00403BFE">
        <w:rPr>
          <w:rFonts w:asciiTheme="minorHAnsi" w:hAnsiTheme="minorHAnsi" w:cstheme="minorHAnsi"/>
          <w:sz w:val="18"/>
          <w:szCs w:val="18"/>
        </w:rPr>
        <w:t>NMFS expects that CHP holders would purchase stamps at least once per season, and likely at some periodic monthly or weekly interval</w:t>
      </w:r>
      <w:r>
        <w:rPr>
          <w:rFonts w:asciiTheme="minorHAnsi" w:hAnsiTheme="minorHAnsi" w:cstheme="minorHAnsi"/>
          <w:sz w:val="18"/>
          <w:szCs w:val="18"/>
        </w:rPr>
        <w:t xml:space="preserve">. The total number of responses used is 475, which equals once per season. If the proposed rule is implemented, the responses will be updated in future supporting statements to more accurately reflect how often stamps are purchased annually. </w:t>
      </w:r>
    </w:p>
    <w:p w:rsidR="00E56B16" w:rsidRPr="00390FA1" w:rsidP="00A51B6B" w14:paraId="4AEADFE9" w14:textId="77777777">
      <w:pPr>
        <w:ind w:left="-317" w:right="-576" w:hanging="115"/>
        <w:rPr>
          <w:rFonts w:asciiTheme="minorHAnsi" w:hAnsiTheme="minorHAnsi" w:cstheme="minorHAnsi"/>
          <w:sz w:val="18"/>
          <w:szCs w:val="18"/>
        </w:rPr>
      </w:pPr>
      <w:r>
        <w:rPr>
          <w:rFonts w:asciiTheme="minorHAnsi" w:hAnsiTheme="minorHAnsi" w:cstheme="minorHAnsi"/>
          <w:sz w:val="18"/>
          <w:szCs w:val="18"/>
          <w:vertAlign w:val="superscript"/>
        </w:rPr>
        <w:t>4</w:t>
      </w:r>
      <w:r w:rsidRPr="00390FA1">
        <w:rPr>
          <w:rFonts w:asciiTheme="minorHAnsi" w:hAnsiTheme="minorHAnsi" w:cstheme="minorHAnsi"/>
          <w:sz w:val="18"/>
          <w:szCs w:val="18"/>
          <w:vertAlign w:val="superscript"/>
        </w:rPr>
        <w:t xml:space="preserve"> </w:t>
      </w:r>
      <w:r w:rsidR="00403BFE">
        <w:rPr>
          <w:rFonts w:asciiTheme="minorHAnsi" w:hAnsiTheme="minorHAnsi" w:cstheme="minorHAnsi"/>
          <w:sz w:val="18"/>
          <w:szCs w:val="18"/>
        </w:rPr>
        <w:t>I</w:t>
      </w:r>
      <w:r w:rsidRPr="00390FA1" w:rsidR="000D0A11">
        <w:rPr>
          <w:rFonts w:asciiTheme="minorHAnsi" w:hAnsiTheme="minorHAnsi" w:cstheme="minorHAnsi"/>
          <w:sz w:val="18"/>
          <w:szCs w:val="18"/>
        </w:rPr>
        <w:t xml:space="preserve">n 2023, NMFS processed 600 IFQ to GAF transfers </w:t>
      </w:r>
      <w:r w:rsidRPr="00390FA1" w:rsidR="007A0166">
        <w:rPr>
          <w:rFonts w:asciiTheme="minorHAnsi" w:hAnsiTheme="minorHAnsi" w:cstheme="minorHAnsi"/>
          <w:sz w:val="18"/>
          <w:szCs w:val="18"/>
        </w:rPr>
        <w:t>for</w:t>
      </w:r>
      <w:r w:rsidRPr="00390FA1" w:rsidR="000D0A11">
        <w:rPr>
          <w:rFonts w:asciiTheme="minorHAnsi" w:hAnsiTheme="minorHAnsi" w:cstheme="minorHAnsi"/>
          <w:sz w:val="18"/>
          <w:szCs w:val="18"/>
        </w:rPr>
        <w:t xml:space="preserve"> 96 different charter halibut permit holders. Approximately 5% of the GAF permits transferred in 2023 were “self-transfers</w:t>
      </w:r>
      <w:r w:rsidRPr="00390FA1" w:rsidR="007A0166">
        <w:rPr>
          <w:rFonts w:asciiTheme="minorHAnsi" w:hAnsiTheme="minorHAnsi" w:cstheme="minorHAnsi"/>
          <w:sz w:val="18"/>
          <w:szCs w:val="18"/>
        </w:rPr>
        <w:t>;</w:t>
      </w:r>
      <w:r w:rsidRPr="00390FA1" w:rsidR="000D0A11">
        <w:rPr>
          <w:rFonts w:asciiTheme="minorHAnsi" w:hAnsiTheme="minorHAnsi" w:cstheme="minorHAnsi"/>
          <w:sz w:val="18"/>
          <w:szCs w:val="18"/>
        </w:rPr>
        <w:t xml:space="preserve">” that is, the same person held both the IFQ and the </w:t>
      </w:r>
      <w:r w:rsidRPr="00390FA1" w:rsidR="00286F69">
        <w:rPr>
          <w:rFonts w:asciiTheme="minorHAnsi" w:hAnsiTheme="minorHAnsi" w:cstheme="minorHAnsi"/>
          <w:sz w:val="18"/>
          <w:szCs w:val="18"/>
        </w:rPr>
        <w:t>CHP</w:t>
      </w:r>
      <w:r w:rsidRPr="00390FA1" w:rsidR="000D0A11">
        <w:rPr>
          <w:rFonts w:asciiTheme="minorHAnsi" w:hAnsiTheme="minorHAnsi" w:cstheme="minorHAnsi"/>
          <w:sz w:val="18"/>
          <w:szCs w:val="18"/>
        </w:rPr>
        <w:t>, and they transferred the IFQ to themselves.</w:t>
      </w:r>
    </w:p>
    <w:p w:rsidR="00F4408C" w:rsidRPr="00390FA1" w:rsidP="00A51B6B" w14:paraId="2F9CCC21" w14:textId="77777777">
      <w:pPr>
        <w:ind w:left="-317" w:right="-576" w:hanging="115"/>
        <w:rPr>
          <w:rFonts w:asciiTheme="minorHAnsi" w:hAnsiTheme="minorHAnsi" w:cstheme="minorHAnsi"/>
          <w:sz w:val="18"/>
          <w:szCs w:val="18"/>
        </w:rPr>
      </w:pPr>
      <w:r>
        <w:rPr>
          <w:rFonts w:asciiTheme="minorHAnsi" w:hAnsiTheme="minorHAnsi" w:cstheme="minorHAnsi"/>
          <w:sz w:val="18"/>
          <w:szCs w:val="18"/>
          <w:vertAlign w:val="superscript"/>
        </w:rPr>
        <w:t>5</w:t>
      </w:r>
      <w:r w:rsidRPr="00390FA1">
        <w:rPr>
          <w:rFonts w:asciiTheme="minorHAnsi" w:hAnsiTheme="minorHAnsi" w:cstheme="minorHAnsi"/>
          <w:sz w:val="18"/>
          <w:szCs w:val="18"/>
        </w:rPr>
        <w:t xml:space="preserve"> No appeals have been filed. For purposes of this analysis, one response is used.</w:t>
      </w:r>
    </w:p>
    <w:p w:rsidR="00E56B16" w:rsidP="00A51B6B" w14:paraId="2D4FE9B4" w14:textId="77777777">
      <w:pPr>
        <w:ind w:left="-317" w:right="-576" w:hanging="115"/>
        <w:rPr>
          <w:rFonts w:asciiTheme="minorHAnsi" w:hAnsiTheme="minorHAnsi" w:cstheme="minorHAnsi"/>
          <w:sz w:val="18"/>
          <w:szCs w:val="18"/>
        </w:rPr>
      </w:pPr>
      <w:r>
        <w:rPr>
          <w:rFonts w:asciiTheme="minorHAnsi" w:hAnsiTheme="minorHAnsi" w:cstheme="minorHAnsi"/>
          <w:sz w:val="18"/>
          <w:szCs w:val="18"/>
          <w:vertAlign w:val="superscript"/>
        </w:rPr>
        <w:t>6</w:t>
      </w:r>
      <w:r w:rsidRPr="00390FA1">
        <w:rPr>
          <w:rFonts w:asciiTheme="minorHAnsi" w:hAnsiTheme="minorHAnsi" w:cstheme="minorHAnsi"/>
          <w:sz w:val="18"/>
          <w:szCs w:val="18"/>
        </w:rPr>
        <w:t xml:space="preserve"> The number of respondents is </w:t>
      </w:r>
      <w:r w:rsidRPr="00390FA1" w:rsidR="00B62573">
        <w:rPr>
          <w:rFonts w:asciiTheme="minorHAnsi" w:hAnsiTheme="minorHAnsi" w:cstheme="minorHAnsi"/>
          <w:sz w:val="18"/>
          <w:szCs w:val="18"/>
        </w:rPr>
        <w:t xml:space="preserve">estimated </w:t>
      </w:r>
      <w:r w:rsidRPr="00390FA1">
        <w:rPr>
          <w:rFonts w:asciiTheme="minorHAnsi" w:hAnsiTheme="minorHAnsi" w:cstheme="minorHAnsi"/>
          <w:sz w:val="18"/>
          <w:szCs w:val="18"/>
        </w:rPr>
        <w:t xml:space="preserve">to equal the number of </w:t>
      </w:r>
      <w:r w:rsidRPr="00390FA1" w:rsidR="00B62573">
        <w:rPr>
          <w:rFonts w:asciiTheme="minorHAnsi" w:hAnsiTheme="minorHAnsi" w:cstheme="minorHAnsi"/>
          <w:sz w:val="18"/>
          <w:szCs w:val="18"/>
        </w:rPr>
        <w:t xml:space="preserve">regular, military, and community </w:t>
      </w:r>
      <w:r w:rsidRPr="00390FA1">
        <w:rPr>
          <w:rFonts w:asciiTheme="minorHAnsi" w:hAnsiTheme="minorHAnsi" w:cstheme="minorHAnsi"/>
          <w:sz w:val="18"/>
          <w:szCs w:val="18"/>
        </w:rPr>
        <w:t>CHP holders</w:t>
      </w:r>
      <w:r w:rsidRPr="00390FA1" w:rsidR="00B62573">
        <w:rPr>
          <w:rFonts w:asciiTheme="minorHAnsi" w:hAnsiTheme="minorHAnsi" w:cstheme="minorHAnsi"/>
          <w:sz w:val="18"/>
          <w:szCs w:val="18"/>
        </w:rPr>
        <w:t xml:space="preserve">, which is approximately </w:t>
      </w:r>
      <w:r w:rsidRPr="00230825" w:rsidR="00230825">
        <w:rPr>
          <w:rFonts w:asciiTheme="minorHAnsi" w:hAnsiTheme="minorHAnsi" w:cstheme="minorHAnsi"/>
          <w:sz w:val="18"/>
          <w:szCs w:val="18"/>
        </w:rPr>
        <w:t xml:space="preserve">574 </w:t>
      </w:r>
      <w:r w:rsidRPr="00230825">
        <w:rPr>
          <w:rFonts w:asciiTheme="minorHAnsi" w:hAnsiTheme="minorHAnsi" w:cstheme="minorHAnsi"/>
          <w:sz w:val="18"/>
          <w:szCs w:val="18"/>
        </w:rPr>
        <w:t>(</w:t>
      </w:r>
      <w:r w:rsidRPr="00230825" w:rsidR="00230825">
        <w:rPr>
          <w:rFonts w:asciiTheme="minorHAnsi" w:hAnsiTheme="minorHAnsi" w:cstheme="minorHAnsi"/>
          <w:sz w:val="18"/>
          <w:szCs w:val="18"/>
        </w:rPr>
        <w:t>550</w:t>
      </w:r>
      <w:r w:rsidRPr="00390FA1" w:rsidR="00230825">
        <w:rPr>
          <w:rFonts w:asciiTheme="minorHAnsi" w:hAnsiTheme="minorHAnsi" w:cstheme="minorHAnsi"/>
          <w:sz w:val="18"/>
          <w:szCs w:val="18"/>
        </w:rPr>
        <w:t xml:space="preserve"> </w:t>
      </w:r>
      <w:r w:rsidRPr="00390FA1">
        <w:rPr>
          <w:rFonts w:asciiTheme="minorHAnsi" w:hAnsiTheme="minorHAnsi" w:cstheme="minorHAnsi"/>
          <w:sz w:val="18"/>
          <w:szCs w:val="18"/>
        </w:rPr>
        <w:t xml:space="preserve">regular, 3 military, and </w:t>
      </w:r>
      <w:r w:rsidRPr="00390FA1" w:rsidR="008B4786">
        <w:rPr>
          <w:rFonts w:asciiTheme="minorHAnsi" w:hAnsiTheme="minorHAnsi" w:cstheme="minorHAnsi"/>
          <w:sz w:val="18"/>
          <w:szCs w:val="18"/>
        </w:rPr>
        <w:t>2</w:t>
      </w:r>
      <w:r w:rsidR="008B4786">
        <w:rPr>
          <w:rFonts w:asciiTheme="minorHAnsi" w:hAnsiTheme="minorHAnsi" w:cstheme="minorHAnsi"/>
          <w:sz w:val="18"/>
          <w:szCs w:val="18"/>
        </w:rPr>
        <w:t>1</w:t>
      </w:r>
      <w:r w:rsidRPr="00390FA1">
        <w:rPr>
          <w:rFonts w:asciiTheme="minorHAnsi" w:hAnsiTheme="minorHAnsi" w:cstheme="minorHAnsi"/>
          <w:sz w:val="18"/>
          <w:szCs w:val="18"/>
        </w:rPr>
        <w:t>community CHP holders) holding 1,066 CHP permits (955 regular, 7 military, and 104 community CHPs).</w:t>
      </w:r>
    </w:p>
    <w:p w:rsidR="00370B85" w:rsidRPr="00A51B6B" w:rsidP="00565B66" w14:paraId="6DC55E74" w14:textId="06C99C3D">
      <w:pPr>
        <w:widowControl/>
        <w:spacing w:line="259" w:lineRule="auto"/>
      </w:pPr>
    </w:p>
    <w:p w:rsidR="00370B85" w:rsidP="00565B66" w14:paraId="47C56D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44481D" w:rsidP="00565B66" w14:paraId="7C0A37F5" w14:textId="77777777">
      <w:pPr>
        <w:widowControl/>
        <w:pBdr>
          <w:top w:val="nil"/>
          <w:left w:val="nil"/>
          <w:bottom w:val="nil"/>
          <w:right w:val="nil"/>
          <w:between w:val="nil"/>
        </w:pBdr>
        <w:tabs>
          <w:tab w:val="left" w:pos="360"/>
        </w:tabs>
        <w:rPr>
          <w:color w:val="000000"/>
        </w:rPr>
      </w:pPr>
    </w:p>
    <w:p w:rsidR="001F6DC7" w:rsidP="00565B66" w14:paraId="2F11A6BE" w14:textId="77777777">
      <w:pPr>
        <w:widowControl/>
        <w:pBdr>
          <w:top w:val="nil"/>
          <w:left w:val="nil"/>
          <w:bottom w:val="nil"/>
          <w:right w:val="nil"/>
          <w:between w:val="nil"/>
        </w:pBdr>
        <w:tabs>
          <w:tab w:val="left" w:pos="360"/>
        </w:tabs>
        <w:rPr>
          <w:color w:val="000000"/>
        </w:rPr>
      </w:pPr>
      <w:r w:rsidRPr="0044481D">
        <w:rPr>
          <w:color w:val="000000"/>
        </w:rPr>
        <w:t>Operating costs account for the typical inclusive general office services packages that include expenses for email, fax, copying, mailing, and printing.</w:t>
      </w:r>
      <w:r>
        <w:rPr>
          <w:color w:val="000000"/>
        </w:rPr>
        <w:t xml:space="preserve"> </w:t>
      </w:r>
    </w:p>
    <w:p w:rsidR="001F6DC7" w:rsidP="00565B66" w14:paraId="5336A0DD" w14:textId="77777777">
      <w:pPr>
        <w:widowControl/>
        <w:pBdr>
          <w:top w:val="nil"/>
          <w:left w:val="nil"/>
          <w:bottom w:val="nil"/>
          <w:right w:val="nil"/>
          <w:between w:val="nil"/>
        </w:pBdr>
        <w:tabs>
          <w:tab w:val="left" w:pos="360"/>
        </w:tabs>
        <w:rPr>
          <w:color w:val="000000"/>
        </w:rPr>
      </w:pPr>
    </w:p>
    <w:p w:rsidR="001F6DC7" w:rsidRPr="0090635B" w:rsidP="00565B66" w14:paraId="71C60FF4" w14:textId="77777777">
      <w:pPr>
        <w:pStyle w:val="BodyText"/>
        <w:widowControl/>
        <w:spacing w:before="0"/>
        <w:ind w:left="0"/>
      </w:pPr>
      <w:r w:rsidRPr="0090635B">
        <w:rPr>
          <w:color w:val="000000"/>
        </w:rPr>
        <w:t xml:space="preserve">Some participants </w:t>
      </w:r>
      <w:r w:rsidRPr="0090635B" w:rsidR="0090635B">
        <w:rPr>
          <w:color w:val="000000"/>
        </w:rPr>
        <w:t xml:space="preserve">in the CHLAP and </w:t>
      </w:r>
      <w:r w:rsidRPr="005B02CC" w:rsidR="0090635B">
        <w:rPr>
          <w:color w:val="000000"/>
        </w:rPr>
        <w:t xml:space="preserve">CHP programs </w:t>
      </w:r>
      <w:r w:rsidRPr="005B02CC">
        <w:rPr>
          <w:color w:val="000000"/>
        </w:rPr>
        <w:t xml:space="preserve">submit more than one instrument in this information collection. Therefore, the number </w:t>
      </w:r>
      <w:r w:rsidRPr="004D40DD">
        <w:rPr>
          <w:color w:val="000000"/>
        </w:rPr>
        <w:t xml:space="preserve">of unique respondents is used to show the estimate of individual participants who </w:t>
      </w:r>
      <w:r w:rsidR="00117433">
        <w:rPr>
          <w:color w:val="000000"/>
        </w:rPr>
        <w:t>could be</w:t>
      </w:r>
      <w:r w:rsidRPr="004D40DD" w:rsidR="00117433">
        <w:rPr>
          <w:color w:val="000000"/>
        </w:rPr>
        <w:t xml:space="preserve"> </w:t>
      </w:r>
      <w:r w:rsidRPr="004D40DD">
        <w:rPr>
          <w:color w:val="000000"/>
        </w:rPr>
        <w:t>expected to annually submit information during the renewal period for this information collection.</w:t>
      </w:r>
      <w:r w:rsidRPr="004D40DD" w:rsidR="0090635B">
        <w:rPr>
          <w:color w:val="000000"/>
        </w:rPr>
        <w:t xml:space="preserve"> </w:t>
      </w:r>
      <w:r w:rsidRPr="004D40DD">
        <w:t xml:space="preserve">The estimated number of unique respondents </w:t>
      </w:r>
      <w:r w:rsidR="00117433">
        <w:t xml:space="preserve">is 574 and </w:t>
      </w:r>
      <w:r w:rsidRPr="004D40DD">
        <w:t xml:space="preserve">consists of </w:t>
      </w:r>
      <w:r w:rsidR="00117433">
        <w:rPr>
          <w:rFonts w:eastAsia="Calibri"/>
        </w:rPr>
        <w:t>approximately 550</w:t>
      </w:r>
      <w:r w:rsidRPr="004D40DD" w:rsidR="00117433">
        <w:rPr>
          <w:rFonts w:eastAsia="Calibri"/>
        </w:rPr>
        <w:t xml:space="preserve"> </w:t>
      </w:r>
      <w:r w:rsidRPr="004D40DD">
        <w:rPr>
          <w:rFonts w:eastAsia="Calibri"/>
        </w:rPr>
        <w:t>CHP</w:t>
      </w:r>
      <w:r w:rsidRPr="004D40DD" w:rsidR="005B02CC">
        <w:rPr>
          <w:rFonts w:eastAsia="Calibri"/>
        </w:rPr>
        <w:t xml:space="preserve"> </w:t>
      </w:r>
      <w:r w:rsidRPr="004D40DD">
        <w:rPr>
          <w:rFonts w:eastAsia="Calibri"/>
        </w:rPr>
        <w:t>holders</w:t>
      </w:r>
      <w:r w:rsidR="00117433">
        <w:rPr>
          <w:rFonts w:eastAsia="Calibri"/>
        </w:rPr>
        <w:t xml:space="preserve">, 3 </w:t>
      </w:r>
      <w:r w:rsidR="00F216C6">
        <w:rPr>
          <w:rFonts w:eastAsia="Calibri"/>
        </w:rPr>
        <w:t>military CHP</w:t>
      </w:r>
      <w:r w:rsidR="00117433">
        <w:rPr>
          <w:rFonts w:eastAsia="Calibri"/>
        </w:rPr>
        <w:t xml:space="preserve"> holders, and 21 </w:t>
      </w:r>
      <w:r w:rsidR="00F216C6">
        <w:rPr>
          <w:rFonts w:eastAsia="Calibri"/>
        </w:rPr>
        <w:t>community CHP</w:t>
      </w:r>
      <w:r w:rsidR="00117433">
        <w:rPr>
          <w:rFonts w:eastAsia="Calibri"/>
        </w:rPr>
        <w:t xml:space="preserve"> holders</w:t>
      </w:r>
      <w:r w:rsidRPr="004D40DD">
        <w:rPr>
          <w:rFonts w:eastAsia="Calibri"/>
        </w:rPr>
        <w:t>.</w:t>
      </w:r>
      <w:r w:rsidRPr="0090635B">
        <w:rPr>
          <w:rFonts w:eastAsia="Calibri"/>
        </w:rPr>
        <w:t xml:space="preserve"> </w:t>
      </w:r>
    </w:p>
    <w:p w:rsidR="0044481D" w:rsidRPr="005B02CC" w:rsidP="00EC3F2D" w14:paraId="565F0364" w14:textId="77777777">
      <w:pPr>
        <w:pBdr>
          <w:top w:val="nil"/>
          <w:left w:val="nil"/>
          <w:bottom w:val="nil"/>
          <w:right w:val="nil"/>
          <w:between w:val="nil"/>
        </w:pBdr>
        <w:tabs>
          <w:tab w:val="left" w:pos="360"/>
        </w:tabs>
        <w:rPr>
          <w:color w:val="000000"/>
        </w:rPr>
      </w:pPr>
    </w:p>
    <w:tbl>
      <w:tblPr>
        <w:tblW w:w="10686" w:type="dxa"/>
        <w:jc w:val="center"/>
        <w:tblLayout w:type="fixed"/>
        <w:tblLook w:val="04A0"/>
      </w:tblPr>
      <w:tblGrid>
        <w:gridCol w:w="3274"/>
        <w:gridCol w:w="1277"/>
        <w:gridCol w:w="1829"/>
        <w:gridCol w:w="1530"/>
        <w:gridCol w:w="1710"/>
        <w:gridCol w:w="1066"/>
      </w:tblGrid>
      <w:tr w14:paraId="7EA1D8BD" w14:textId="77777777" w:rsidTr="00D85FE8">
        <w:tblPrEx>
          <w:tblW w:w="10686" w:type="dxa"/>
          <w:jc w:val="center"/>
          <w:tblLayout w:type="fixed"/>
          <w:tblLook w:val="04A0"/>
        </w:tblPrEx>
        <w:trPr>
          <w:trHeight w:val="548"/>
          <w:jc w:val="center"/>
        </w:trPr>
        <w:tc>
          <w:tcPr>
            <w:tcW w:w="3274"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2E7184" w:rsidRPr="00940A9C" w:rsidP="00A538B1" w14:paraId="161207FF"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Information Collection</w:t>
            </w:r>
          </w:p>
        </w:tc>
        <w:tc>
          <w:tcPr>
            <w:tcW w:w="1277" w:type="dxa"/>
            <w:tcBorders>
              <w:top w:val="single" w:sz="8" w:space="0" w:color="auto"/>
              <w:left w:val="nil"/>
              <w:bottom w:val="single" w:sz="8" w:space="0" w:color="auto"/>
              <w:right w:val="single" w:sz="8" w:space="0" w:color="000000"/>
            </w:tcBorders>
            <w:shd w:val="clear" w:color="000000" w:fill="BDD7EE"/>
            <w:vAlign w:val="center"/>
            <w:hideMark/>
          </w:tcPr>
          <w:p w:rsidR="002E7184" w:rsidRPr="00940A9C" w:rsidP="000A2824" w14:paraId="4CC96DFE"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 of Respondents/year</w:t>
            </w:r>
          </w:p>
        </w:tc>
        <w:tc>
          <w:tcPr>
            <w:tcW w:w="1829"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668D977E"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Annual # of Responses / Respondent</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60F99E07"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 xml:space="preserve"> Total # of Annual Responses</w:t>
            </w:r>
          </w:p>
        </w:tc>
        <w:tc>
          <w:tcPr>
            <w:tcW w:w="1710"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A538B1" w14:paraId="633069E7"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Cost Burden / Respondent</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2E7184" w:rsidRPr="00940A9C" w:rsidP="000A2824" w14:paraId="535BAA51" w14:textId="77777777">
            <w:pPr>
              <w:widowControl/>
              <w:jc w:val="center"/>
              <w:rPr>
                <w:rFonts w:ascii="Calibri" w:hAnsi="Calibri" w:cs="Calibri"/>
                <w:b/>
                <w:bCs/>
                <w:color w:val="000000"/>
                <w:sz w:val="18"/>
                <w:szCs w:val="18"/>
              </w:rPr>
            </w:pPr>
            <w:r w:rsidRPr="00940A9C">
              <w:rPr>
                <w:rFonts w:ascii="Calibri" w:hAnsi="Calibri" w:cs="Calibri"/>
                <w:b/>
                <w:bCs/>
                <w:color w:val="000000"/>
                <w:sz w:val="18"/>
                <w:szCs w:val="18"/>
              </w:rPr>
              <w:t>Total Annual Cost Burden</w:t>
            </w:r>
          </w:p>
        </w:tc>
      </w:tr>
      <w:tr w14:paraId="175421C3" w14:textId="77777777" w:rsidTr="00506C74">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tcPr>
          <w:p w:rsidR="00DC3F89" w:rsidRPr="00940A9C" w:rsidP="00DC3F89" w14:paraId="2204B968" w14:textId="77777777">
            <w:pPr>
              <w:jc w:val="center"/>
              <w:rPr>
                <w:rFonts w:asciiTheme="minorHAnsi" w:hAnsiTheme="minorHAnsi" w:cstheme="minorHAnsi"/>
                <w:sz w:val="18"/>
                <w:szCs w:val="18"/>
              </w:rPr>
            </w:pPr>
            <w:r w:rsidRPr="00940A9C">
              <w:rPr>
                <w:rFonts w:asciiTheme="minorHAnsi" w:hAnsiTheme="minorHAnsi" w:cstheme="minorHAnsi"/>
                <w:sz w:val="18"/>
                <w:szCs w:val="18"/>
              </w:rPr>
              <w:t xml:space="preserve">ADF&amp;G Saltwater Sport Fishing Charter Trip Logbook </w:t>
            </w:r>
          </w:p>
        </w:tc>
        <w:tc>
          <w:tcPr>
            <w:tcW w:w="1277" w:type="dxa"/>
            <w:tcBorders>
              <w:top w:val="nil"/>
              <w:left w:val="nil"/>
              <w:bottom w:val="single" w:sz="4" w:space="0" w:color="auto"/>
              <w:right w:val="single" w:sz="4" w:space="0" w:color="auto"/>
            </w:tcBorders>
            <w:shd w:val="clear" w:color="auto" w:fill="auto"/>
            <w:vAlign w:val="center"/>
          </w:tcPr>
          <w:p w:rsidR="00DC3F89" w:rsidP="00DC3F89" w14:paraId="2A49903E" w14:textId="77777777">
            <w:pPr>
              <w:widowControl/>
              <w:jc w:val="center"/>
              <w:rPr>
                <w:rFonts w:ascii="Calibri" w:hAnsi="Calibri" w:cs="Calibri"/>
                <w:color w:val="000000"/>
                <w:sz w:val="18"/>
                <w:szCs w:val="18"/>
              </w:rPr>
            </w:pPr>
            <w:r>
              <w:rPr>
                <w:rFonts w:ascii="Calibri" w:hAnsi="Calibri" w:cs="Calibri"/>
                <w:color w:val="000000"/>
                <w:sz w:val="18"/>
                <w:szCs w:val="18"/>
              </w:rPr>
              <w:t>574</w:t>
            </w:r>
          </w:p>
        </w:tc>
        <w:tc>
          <w:tcPr>
            <w:tcW w:w="1829" w:type="dxa"/>
            <w:tcBorders>
              <w:top w:val="nil"/>
              <w:left w:val="nil"/>
              <w:bottom w:val="single" w:sz="4" w:space="0" w:color="auto"/>
              <w:right w:val="single" w:sz="4" w:space="0" w:color="auto"/>
            </w:tcBorders>
            <w:shd w:val="clear" w:color="auto" w:fill="auto"/>
            <w:vAlign w:val="center"/>
          </w:tcPr>
          <w:p w:rsidR="00DC3F89" w:rsidRPr="00680824" w:rsidP="00DC3F89" w14:paraId="632F5C9C" w14:textId="77777777">
            <w:pPr>
              <w:widowControl/>
              <w:jc w:val="center"/>
              <w:rPr>
                <w:rFonts w:ascii="Calibri" w:hAnsi="Calibri" w:cs="Calibri"/>
                <w:color w:val="000000"/>
                <w:sz w:val="18"/>
                <w:szCs w:val="18"/>
              </w:rPr>
            </w:pPr>
            <w:r w:rsidRPr="00A122EB">
              <w:rPr>
                <w:rFonts w:asciiTheme="minorHAnsi" w:hAnsiTheme="minorHAnsi" w:cstheme="minorHAnsi"/>
                <w:sz w:val="18"/>
                <w:szCs w:val="18"/>
              </w:rPr>
              <w:t>Avg. 35 trips per CHP</w:t>
            </w:r>
          </w:p>
        </w:tc>
        <w:tc>
          <w:tcPr>
            <w:tcW w:w="1530" w:type="dxa"/>
            <w:tcBorders>
              <w:top w:val="nil"/>
              <w:left w:val="nil"/>
              <w:bottom w:val="single" w:sz="4" w:space="0" w:color="auto"/>
              <w:right w:val="single" w:sz="4" w:space="0" w:color="auto"/>
            </w:tcBorders>
            <w:shd w:val="clear" w:color="auto" w:fill="auto"/>
          </w:tcPr>
          <w:p w:rsidR="00DC3F89" w:rsidRPr="00A122EB" w:rsidP="00DC3F89" w14:paraId="2B00AE74" w14:textId="77777777">
            <w:pPr>
              <w:jc w:val="center"/>
              <w:rPr>
                <w:rFonts w:asciiTheme="minorHAnsi" w:hAnsiTheme="minorHAnsi" w:cstheme="minorHAnsi"/>
                <w:sz w:val="18"/>
                <w:szCs w:val="18"/>
              </w:rPr>
            </w:pPr>
            <w:r w:rsidRPr="00A122EB">
              <w:rPr>
                <w:rFonts w:asciiTheme="minorHAnsi" w:hAnsiTheme="minorHAnsi" w:cstheme="minorHAnsi"/>
                <w:sz w:val="18"/>
                <w:szCs w:val="18"/>
              </w:rPr>
              <w:t>37,310</w:t>
            </w:r>
          </w:p>
          <w:p w:rsidR="00DC3F89" w:rsidP="00DC3F89" w14:paraId="5431738D" w14:textId="77777777">
            <w:pPr>
              <w:widowControl/>
              <w:jc w:val="center"/>
              <w:rPr>
                <w:rFonts w:ascii="Calibri" w:hAnsi="Calibri" w:cs="Calibri"/>
                <w:color w:val="000000"/>
                <w:sz w:val="18"/>
                <w:szCs w:val="18"/>
              </w:rPr>
            </w:pPr>
            <w:r w:rsidRPr="00A122EB">
              <w:rPr>
                <w:rFonts w:asciiTheme="minorHAnsi" w:hAnsiTheme="minorHAnsi" w:cstheme="minorHAnsi"/>
                <w:sz w:val="18"/>
                <w:szCs w:val="18"/>
              </w:rPr>
              <w:t>(35 trips x 1,066 CHPs)</w:t>
            </w:r>
          </w:p>
        </w:tc>
        <w:tc>
          <w:tcPr>
            <w:tcW w:w="1710" w:type="dxa"/>
            <w:tcBorders>
              <w:top w:val="nil"/>
              <w:left w:val="nil"/>
              <w:bottom w:val="single" w:sz="4" w:space="0" w:color="auto"/>
              <w:right w:val="single" w:sz="4" w:space="0" w:color="auto"/>
            </w:tcBorders>
            <w:shd w:val="clear" w:color="auto" w:fill="auto"/>
            <w:vAlign w:val="center"/>
          </w:tcPr>
          <w:p w:rsidR="00DC3F89" w:rsidRPr="00940A9C" w:rsidP="00DC3F89" w14:paraId="082AD925" w14:textId="77777777">
            <w:pPr>
              <w:widowControl/>
              <w:jc w:val="center"/>
              <w:rPr>
                <w:rFonts w:ascii="Calibri" w:hAnsi="Calibri" w:cs="Calibri"/>
                <w:color w:val="000000"/>
                <w:sz w:val="18"/>
                <w:szCs w:val="18"/>
              </w:rPr>
            </w:pPr>
            <w:r w:rsidRPr="00A122EB">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auto" w:fill="auto"/>
            <w:vAlign w:val="center"/>
          </w:tcPr>
          <w:p w:rsidR="00DC3F89" w:rsidP="00DC3F89" w14:paraId="6ED909A6" w14:textId="77777777">
            <w:pPr>
              <w:widowControl/>
              <w:jc w:val="center"/>
              <w:rPr>
                <w:rFonts w:ascii="Calibri" w:hAnsi="Calibri" w:cs="Calibri"/>
                <w:color w:val="000000"/>
                <w:sz w:val="18"/>
                <w:szCs w:val="18"/>
              </w:rPr>
            </w:pPr>
            <w:r>
              <w:rPr>
                <w:rFonts w:ascii="Calibri" w:hAnsi="Calibri" w:cs="Calibri"/>
                <w:color w:val="000000"/>
                <w:sz w:val="18"/>
                <w:szCs w:val="18"/>
              </w:rPr>
              <w:t>74,620</w:t>
            </w:r>
          </w:p>
        </w:tc>
      </w:tr>
      <w:tr w14:paraId="206F5912"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tcPr>
          <w:p w:rsidR="00DC3F89" w:rsidRPr="00940A9C" w:rsidP="00DC3F89" w14:paraId="11A00471" w14:textId="77777777">
            <w:pPr>
              <w:jc w:val="center"/>
              <w:rPr>
                <w:rFonts w:asciiTheme="minorHAnsi" w:hAnsiTheme="minorHAnsi" w:cstheme="minorHAnsi"/>
                <w:sz w:val="18"/>
                <w:szCs w:val="18"/>
              </w:rPr>
            </w:pPr>
            <w:r w:rsidRPr="00940A9C">
              <w:rPr>
                <w:rFonts w:asciiTheme="minorHAnsi" w:hAnsiTheme="minorHAnsi" w:cstheme="minorHAnsi"/>
                <w:sz w:val="18"/>
                <w:szCs w:val="18"/>
              </w:rPr>
              <w:t xml:space="preserve">Electronic and manual GAF landing report </w:t>
            </w:r>
          </w:p>
        </w:tc>
        <w:tc>
          <w:tcPr>
            <w:tcW w:w="1277" w:type="dxa"/>
            <w:tcBorders>
              <w:top w:val="nil"/>
              <w:left w:val="nil"/>
              <w:bottom w:val="single" w:sz="4" w:space="0" w:color="auto"/>
              <w:right w:val="single" w:sz="4" w:space="0" w:color="auto"/>
            </w:tcBorders>
            <w:shd w:val="clear" w:color="auto" w:fill="auto"/>
            <w:vAlign w:val="center"/>
          </w:tcPr>
          <w:p w:rsidR="00DC3F89" w:rsidP="00DC3F89" w14:paraId="42D72B48" w14:textId="77777777">
            <w:pPr>
              <w:widowControl/>
              <w:jc w:val="center"/>
              <w:rPr>
                <w:rFonts w:ascii="Calibri" w:hAnsi="Calibri" w:cs="Calibri"/>
                <w:color w:val="000000"/>
                <w:sz w:val="18"/>
                <w:szCs w:val="18"/>
              </w:rPr>
            </w:pPr>
            <w:r w:rsidRPr="008F1430">
              <w:rPr>
                <w:rFonts w:ascii="Calibri" w:hAnsi="Calibri" w:cs="Calibri"/>
                <w:color w:val="000000"/>
                <w:sz w:val="18"/>
                <w:szCs w:val="18"/>
              </w:rPr>
              <w:t>96</w:t>
            </w:r>
          </w:p>
        </w:tc>
        <w:tc>
          <w:tcPr>
            <w:tcW w:w="1829" w:type="dxa"/>
            <w:tcBorders>
              <w:top w:val="nil"/>
              <w:left w:val="nil"/>
              <w:bottom w:val="single" w:sz="4" w:space="0" w:color="auto"/>
              <w:right w:val="single" w:sz="4" w:space="0" w:color="auto"/>
            </w:tcBorders>
            <w:shd w:val="clear" w:color="auto" w:fill="auto"/>
            <w:vAlign w:val="center"/>
          </w:tcPr>
          <w:p w:rsidR="00DC3F89" w:rsidRPr="00680824" w:rsidP="00DC3F89" w14:paraId="53A446E4" w14:textId="77777777">
            <w:pPr>
              <w:widowControl/>
              <w:jc w:val="center"/>
              <w:rPr>
                <w:rFonts w:ascii="Calibri" w:hAnsi="Calibri" w:cs="Calibri"/>
                <w:color w:val="000000"/>
                <w:sz w:val="18"/>
                <w:szCs w:val="18"/>
              </w:rPr>
            </w:pPr>
            <w:r w:rsidRPr="008F1430">
              <w:rPr>
                <w:rFonts w:asciiTheme="minorHAnsi" w:hAnsiTheme="minorHAnsi" w:cstheme="minorHAnsi"/>
                <w:sz w:val="18"/>
                <w:szCs w:val="18"/>
              </w:rPr>
              <w:t>Average 12 trips per respondent and 1 response per trip</w:t>
            </w:r>
          </w:p>
        </w:tc>
        <w:tc>
          <w:tcPr>
            <w:tcW w:w="1530" w:type="dxa"/>
            <w:tcBorders>
              <w:top w:val="nil"/>
              <w:left w:val="nil"/>
              <w:bottom w:val="single" w:sz="4" w:space="0" w:color="auto"/>
              <w:right w:val="single" w:sz="4" w:space="0" w:color="auto"/>
            </w:tcBorders>
            <w:shd w:val="clear" w:color="auto" w:fill="auto"/>
            <w:vAlign w:val="center"/>
          </w:tcPr>
          <w:p w:rsidR="00DC3F89" w:rsidP="00DC3F89" w14:paraId="60407B95" w14:textId="77777777">
            <w:pPr>
              <w:widowControl/>
              <w:jc w:val="center"/>
              <w:rPr>
                <w:rFonts w:ascii="Calibri" w:hAnsi="Calibri" w:cs="Calibri"/>
                <w:color w:val="000000"/>
                <w:sz w:val="18"/>
                <w:szCs w:val="18"/>
              </w:rPr>
            </w:pPr>
            <w:r>
              <w:rPr>
                <w:rFonts w:ascii="Calibri" w:hAnsi="Calibri" w:cs="Calibri"/>
                <w:color w:val="000000"/>
                <w:sz w:val="18"/>
                <w:szCs w:val="18"/>
              </w:rPr>
              <w:t>1,152</w:t>
            </w:r>
          </w:p>
        </w:tc>
        <w:tc>
          <w:tcPr>
            <w:tcW w:w="1710" w:type="dxa"/>
            <w:tcBorders>
              <w:top w:val="nil"/>
              <w:left w:val="nil"/>
              <w:bottom w:val="single" w:sz="4" w:space="0" w:color="auto"/>
              <w:right w:val="single" w:sz="4" w:space="0" w:color="auto"/>
            </w:tcBorders>
            <w:shd w:val="clear" w:color="auto" w:fill="auto"/>
            <w:vAlign w:val="center"/>
          </w:tcPr>
          <w:p w:rsidR="00DC3F89" w:rsidRPr="00940A9C" w:rsidP="00DC3F89" w14:paraId="24D1EC68" w14:textId="77777777">
            <w:pPr>
              <w:widowControl/>
              <w:jc w:val="center"/>
              <w:rPr>
                <w:rFonts w:ascii="Calibri" w:hAnsi="Calibri" w:cs="Calibri"/>
                <w:color w:val="000000"/>
                <w:sz w:val="18"/>
                <w:szCs w:val="18"/>
              </w:rPr>
            </w:pPr>
            <w:r w:rsidRPr="00940A9C">
              <w:rPr>
                <w:rFonts w:ascii="Calibri" w:hAnsi="Calibri" w:cs="Calibri"/>
                <w:color w:val="000000"/>
                <w:sz w:val="18"/>
                <w:szCs w:val="18"/>
              </w:rPr>
              <w:t>0</w:t>
            </w:r>
          </w:p>
        </w:tc>
        <w:tc>
          <w:tcPr>
            <w:tcW w:w="1066" w:type="dxa"/>
            <w:tcBorders>
              <w:top w:val="nil"/>
              <w:left w:val="nil"/>
              <w:bottom w:val="single" w:sz="4" w:space="0" w:color="auto"/>
              <w:right w:val="single" w:sz="8" w:space="0" w:color="auto"/>
            </w:tcBorders>
            <w:shd w:val="clear" w:color="auto" w:fill="auto"/>
            <w:vAlign w:val="center"/>
          </w:tcPr>
          <w:p w:rsidR="00DC3F89" w:rsidP="00DC3F89" w14:paraId="24670D20" w14:textId="77777777">
            <w:pPr>
              <w:widowControl/>
              <w:jc w:val="center"/>
              <w:rPr>
                <w:rFonts w:ascii="Calibri" w:hAnsi="Calibri" w:cs="Calibri"/>
                <w:color w:val="000000"/>
                <w:sz w:val="18"/>
                <w:szCs w:val="18"/>
              </w:rPr>
            </w:pPr>
            <w:r w:rsidRPr="008F1430">
              <w:rPr>
                <w:rFonts w:ascii="Calibri" w:hAnsi="Calibri" w:cs="Calibri"/>
                <w:color w:val="000000"/>
                <w:sz w:val="18"/>
                <w:szCs w:val="18"/>
              </w:rPr>
              <w:t>0</w:t>
            </w:r>
          </w:p>
        </w:tc>
      </w:tr>
      <w:tr w14:paraId="7D976D97"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tcPr>
          <w:p w:rsidR="00DC3F89" w:rsidRPr="00940A9C" w:rsidP="00DC3F89" w14:paraId="6AB8D636" w14:textId="77777777">
            <w:pPr>
              <w:jc w:val="center"/>
              <w:rPr>
                <w:rFonts w:asciiTheme="minorHAnsi" w:hAnsiTheme="minorHAnsi" w:cstheme="minorHAnsi"/>
                <w:sz w:val="18"/>
                <w:szCs w:val="18"/>
              </w:rPr>
            </w:pPr>
            <w:r w:rsidRPr="00940A9C">
              <w:rPr>
                <w:rFonts w:asciiTheme="minorHAnsi" w:hAnsiTheme="minorHAnsi" w:cstheme="minorHAnsi"/>
                <w:sz w:val="18"/>
                <w:szCs w:val="18"/>
              </w:rPr>
              <w:t>GAF permit log</w:t>
            </w:r>
          </w:p>
        </w:tc>
        <w:tc>
          <w:tcPr>
            <w:tcW w:w="1277" w:type="dxa"/>
            <w:tcBorders>
              <w:top w:val="nil"/>
              <w:left w:val="nil"/>
              <w:bottom w:val="single" w:sz="4" w:space="0" w:color="auto"/>
              <w:right w:val="single" w:sz="4" w:space="0" w:color="auto"/>
            </w:tcBorders>
            <w:shd w:val="clear" w:color="auto" w:fill="auto"/>
            <w:vAlign w:val="center"/>
          </w:tcPr>
          <w:p w:rsidR="00DC3F89" w:rsidP="00DC3F89" w14:paraId="4FFECB2E" w14:textId="77777777">
            <w:pPr>
              <w:widowControl/>
              <w:jc w:val="center"/>
              <w:rPr>
                <w:rFonts w:ascii="Calibri" w:hAnsi="Calibri" w:cs="Calibri"/>
                <w:color w:val="000000"/>
                <w:sz w:val="18"/>
                <w:szCs w:val="18"/>
              </w:rPr>
            </w:pPr>
            <w:r w:rsidRPr="008F1430">
              <w:rPr>
                <w:rFonts w:ascii="Calibri" w:hAnsi="Calibri" w:cs="Calibri"/>
                <w:color w:val="000000"/>
                <w:sz w:val="18"/>
                <w:szCs w:val="18"/>
              </w:rPr>
              <w:t>96</w:t>
            </w:r>
          </w:p>
        </w:tc>
        <w:tc>
          <w:tcPr>
            <w:tcW w:w="1829" w:type="dxa"/>
            <w:tcBorders>
              <w:top w:val="nil"/>
              <w:left w:val="nil"/>
              <w:bottom w:val="single" w:sz="4" w:space="0" w:color="auto"/>
              <w:right w:val="single" w:sz="4" w:space="0" w:color="auto"/>
            </w:tcBorders>
            <w:shd w:val="clear" w:color="auto" w:fill="auto"/>
            <w:vAlign w:val="center"/>
          </w:tcPr>
          <w:p w:rsidR="00DC3F89" w:rsidRPr="00680824" w:rsidP="00DC3F89" w14:paraId="7CC57D52" w14:textId="77777777">
            <w:pPr>
              <w:widowControl/>
              <w:jc w:val="center"/>
              <w:rPr>
                <w:rFonts w:ascii="Calibri" w:hAnsi="Calibri" w:cs="Calibri"/>
                <w:color w:val="000000"/>
                <w:sz w:val="18"/>
                <w:szCs w:val="18"/>
              </w:rPr>
            </w:pPr>
            <w:r w:rsidRPr="008F1430">
              <w:rPr>
                <w:rFonts w:asciiTheme="minorHAnsi" w:hAnsiTheme="minorHAnsi" w:cstheme="minorHAnsi"/>
                <w:sz w:val="18"/>
                <w:szCs w:val="18"/>
              </w:rPr>
              <w:t>Average 12 trips per respondent and 1 response per trip</w:t>
            </w:r>
          </w:p>
        </w:tc>
        <w:tc>
          <w:tcPr>
            <w:tcW w:w="1530" w:type="dxa"/>
            <w:tcBorders>
              <w:top w:val="nil"/>
              <w:left w:val="nil"/>
              <w:bottom w:val="single" w:sz="4" w:space="0" w:color="auto"/>
              <w:right w:val="single" w:sz="4" w:space="0" w:color="auto"/>
            </w:tcBorders>
            <w:shd w:val="clear" w:color="auto" w:fill="auto"/>
            <w:vAlign w:val="center"/>
          </w:tcPr>
          <w:p w:rsidR="00DC3F89" w:rsidP="00DC3F89" w14:paraId="3F65BC48" w14:textId="77777777">
            <w:pPr>
              <w:widowControl/>
              <w:jc w:val="center"/>
              <w:rPr>
                <w:rFonts w:ascii="Calibri" w:hAnsi="Calibri" w:cs="Calibri"/>
                <w:color w:val="000000"/>
                <w:sz w:val="18"/>
                <w:szCs w:val="18"/>
              </w:rPr>
            </w:pPr>
            <w:r>
              <w:rPr>
                <w:rFonts w:ascii="Calibri" w:hAnsi="Calibri" w:cs="Calibri"/>
                <w:color w:val="000000"/>
                <w:sz w:val="18"/>
                <w:szCs w:val="18"/>
              </w:rPr>
              <w:t>1,152</w:t>
            </w:r>
          </w:p>
        </w:tc>
        <w:tc>
          <w:tcPr>
            <w:tcW w:w="1710" w:type="dxa"/>
            <w:tcBorders>
              <w:top w:val="nil"/>
              <w:left w:val="nil"/>
              <w:bottom w:val="single" w:sz="4" w:space="0" w:color="auto"/>
              <w:right w:val="single" w:sz="4" w:space="0" w:color="auto"/>
            </w:tcBorders>
            <w:shd w:val="clear" w:color="auto" w:fill="auto"/>
            <w:vAlign w:val="center"/>
          </w:tcPr>
          <w:p w:rsidR="00DC3F89" w:rsidRPr="00940A9C" w:rsidP="00DC3F89" w14:paraId="3CF4FBFC" w14:textId="77777777">
            <w:pPr>
              <w:widowControl/>
              <w:jc w:val="center"/>
              <w:rPr>
                <w:rFonts w:ascii="Calibri" w:hAnsi="Calibri" w:cs="Calibri"/>
                <w:color w:val="000000"/>
                <w:sz w:val="18"/>
                <w:szCs w:val="18"/>
              </w:rPr>
            </w:pPr>
            <w:r w:rsidRPr="00940A9C">
              <w:rPr>
                <w:rFonts w:ascii="Calibri" w:hAnsi="Calibri" w:cs="Calibri"/>
                <w:color w:val="000000"/>
                <w:sz w:val="18"/>
                <w:szCs w:val="18"/>
              </w:rPr>
              <w:t>0</w:t>
            </w:r>
          </w:p>
        </w:tc>
        <w:tc>
          <w:tcPr>
            <w:tcW w:w="1066" w:type="dxa"/>
            <w:tcBorders>
              <w:top w:val="nil"/>
              <w:left w:val="nil"/>
              <w:bottom w:val="single" w:sz="4" w:space="0" w:color="auto"/>
              <w:right w:val="single" w:sz="8" w:space="0" w:color="auto"/>
            </w:tcBorders>
            <w:shd w:val="clear" w:color="auto" w:fill="auto"/>
            <w:vAlign w:val="center"/>
          </w:tcPr>
          <w:p w:rsidR="00DC3F89" w:rsidP="00DC3F89" w14:paraId="1D73C69E" w14:textId="77777777">
            <w:pPr>
              <w:widowControl/>
              <w:jc w:val="center"/>
              <w:rPr>
                <w:rFonts w:ascii="Calibri" w:hAnsi="Calibri" w:cs="Calibri"/>
                <w:color w:val="000000"/>
                <w:sz w:val="18"/>
                <w:szCs w:val="18"/>
              </w:rPr>
            </w:pPr>
            <w:r w:rsidRPr="008F1430">
              <w:rPr>
                <w:rFonts w:ascii="Calibri" w:hAnsi="Calibri" w:cs="Calibri"/>
                <w:color w:val="000000"/>
                <w:sz w:val="18"/>
                <w:szCs w:val="18"/>
              </w:rPr>
              <w:t>0</w:t>
            </w:r>
          </w:p>
        </w:tc>
      </w:tr>
      <w:tr w14:paraId="666A1866"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35544406"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Annual Registration of Charter Halibut Permit (CHP)</w:t>
            </w:r>
          </w:p>
        </w:tc>
        <w:tc>
          <w:tcPr>
            <w:tcW w:w="1277" w:type="dxa"/>
            <w:tcBorders>
              <w:top w:val="nil"/>
              <w:left w:val="nil"/>
              <w:bottom w:val="single" w:sz="4" w:space="0" w:color="auto"/>
              <w:right w:val="single" w:sz="4" w:space="0" w:color="auto"/>
            </w:tcBorders>
            <w:shd w:val="clear" w:color="auto" w:fill="auto"/>
            <w:vAlign w:val="center"/>
            <w:hideMark/>
          </w:tcPr>
          <w:p w:rsidR="002E7184" w:rsidRPr="00680824" w:rsidP="000A2824" w14:paraId="7CC271EB" w14:textId="77777777">
            <w:pPr>
              <w:widowControl/>
              <w:jc w:val="center"/>
              <w:rPr>
                <w:rFonts w:ascii="Calibri" w:hAnsi="Calibri" w:cs="Calibri"/>
                <w:color w:val="000000"/>
                <w:sz w:val="18"/>
                <w:szCs w:val="18"/>
              </w:rPr>
            </w:pPr>
            <w:r>
              <w:rPr>
                <w:rFonts w:ascii="Calibri" w:hAnsi="Calibri" w:cs="Calibri"/>
                <w:color w:val="000000"/>
                <w:sz w:val="18"/>
                <w:szCs w:val="18"/>
              </w:rPr>
              <w:t>600</w:t>
            </w:r>
          </w:p>
        </w:tc>
        <w:tc>
          <w:tcPr>
            <w:tcW w:w="1829" w:type="dxa"/>
            <w:tcBorders>
              <w:top w:val="nil"/>
              <w:left w:val="nil"/>
              <w:bottom w:val="single" w:sz="4" w:space="0" w:color="auto"/>
              <w:right w:val="single" w:sz="4" w:space="0" w:color="auto"/>
            </w:tcBorders>
            <w:shd w:val="clear" w:color="auto" w:fill="auto"/>
            <w:vAlign w:val="center"/>
          </w:tcPr>
          <w:p w:rsidR="002E7184" w:rsidRPr="00680824" w:rsidP="000A2824" w14:paraId="4A99391C" w14:textId="77777777">
            <w:pPr>
              <w:widowControl/>
              <w:jc w:val="center"/>
              <w:rPr>
                <w:rFonts w:ascii="Calibri" w:hAnsi="Calibri" w:cs="Calibri"/>
                <w:color w:val="000000"/>
                <w:sz w:val="18"/>
                <w:szCs w:val="18"/>
              </w:rPr>
            </w:pPr>
            <w:r w:rsidRPr="00680824">
              <w:rPr>
                <w:rFonts w:ascii="Calibri" w:hAnsi="Calibri" w:cs="Calibri"/>
                <w:color w:val="000000"/>
                <w:sz w:val="18"/>
                <w:szCs w:val="18"/>
              </w:rPr>
              <w:t>V</w:t>
            </w:r>
            <w:r w:rsidRPr="00680824" w:rsidR="00680824">
              <w:rPr>
                <w:rFonts w:ascii="Calibri" w:hAnsi="Calibri" w:cs="Calibri"/>
                <w:color w:val="000000"/>
                <w:sz w:val="18"/>
                <w:szCs w:val="18"/>
              </w:rPr>
              <w:t>aries</w:t>
            </w:r>
          </w:p>
        </w:tc>
        <w:tc>
          <w:tcPr>
            <w:tcW w:w="1530" w:type="dxa"/>
            <w:tcBorders>
              <w:top w:val="nil"/>
              <w:left w:val="nil"/>
              <w:bottom w:val="single" w:sz="4" w:space="0" w:color="auto"/>
              <w:right w:val="single" w:sz="4" w:space="0" w:color="auto"/>
            </w:tcBorders>
            <w:shd w:val="clear" w:color="auto" w:fill="auto"/>
            <w:vAlign w:val="center"/>
          </w:tcPr>
          <w:p w:rsidR="002E7184" w:rsidRPr="00940A9C" w:rsidP="000A2824" w14:paraId="7330C102" w14:textId="77777777">
            <w:pPr>
              <w:widowControl/>
              <w:jc w:val="center"/>
              <w:rPr>
                <w:rFonts w:ascii="Calibri" w:hAnsi="Calibri" w:cs="Calibri"/>
                <w:color w:val="000000"/>
                <w:sz w:val="18"/>
                <w:szCs w:val="18"/>
              </w:rPr>
            </w:pPr>
            <w:r>
              <w:rPr>
                <w:rFonts w:ascii="Calibri" w:hAnsi="Calibri" w:cs="Calibri"/>
                <w:color w:val="000000"/>
                <w:sz w:val="18"/>
                <w:szCs w:val="18"/>
              </w:rPr>
              <w:t>1,000</w:t>
            </w:r>
          </w:p>
        </w:tc>
        <w:tc>
          <w:tcPr>
            <w:tcW w:w="1710" w:type="dxa"/>
            <w:tcBorders>
              <w:top w:val="nil"/>
              <w:left w:val="nil"/>
              <w:bottom w:val="single" w:sz="4" w:space="0" w:color="auto"/>
              <w:right w:val="single" w:sz="4" w:space="0" w:color="auto"/>
            </w:tcBorders>
            <w:shd w:val="clear" w:color="auto" w:fill="auto"/>
            <w:vAlign w:val="center"/>
            <w:hideMark/>
          </w:tcPr>
          <w:p w:rsidR="002E7184" w:rsidRPr="00940A9C" w:rsidP="000A2824" w14:paraId="306961C3"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auto" w:fill="auto"/>
            <w:vAlign w:val="center"/>
            <w:hideMark/>
          </w:tcPr>
          <w:p w:rsidR="002E7184" w:rsidRPr="00545886" w:rsidP="000A2824" w14:paraId="55D84F61" w14:textId="77777777">
            <w:pPr>
              <w:widowControl/>
              <w:jc w:val="center"/>
              <w:rPr>
                <w:rFonts w:ascii="Calibri" w:hAnsi="Calibri" w:cs="Calibri"/>
                <w:color w:val="000000"/>
                <w:sz w:val="18"/>
                <w:szCs w:val="18"/>
                <w:highlight w:val="cyan"/>
              </w:rPr>
            </w:pPr>
            <w:r>
              <w:rPr>
                <w:rFonts w:ascii="Calibri" w:hAnsi="Calibri" w:cs="Calibri"/>
                <w:color w:val="000000"/>
                <w:sz w:val="18"/>
                <w:szCs w:val="18"/>
              </w:rPr>
              <w:t>5,000</w:t>
            </w:r>
          </w:p>
        </w:tc>
      </w:tr>
      <w:tr w14:paraId="525A19A9"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0F36EAEF"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of Charter Halibut Permit (CHP)</w:t>
            </w:r>
          </w:p>
        </w:tc>
        <w:tc>
          <w:tcPr>
            <w:tcW w:w="1277" w:type="dxa"/>
            <w:tcBorders>
              <w:top w:val="nil"/>
              <w:left w:val="nil"/>
              <w:bottom w:val="single" w:sz="4" w:space="0" w:color="auto"/>
              <w:right w:val="single" w:sz="4" w:space="0" w:color="auto"/>
            </w:tcBorders>
            <w:shd w:val="clear" w:color="000000" w:fill="FFFFFF"/>
            <w:vAlign w:val="center"/>
            <w:hideMark/>
          </w:tcPr>
          <w:p w:rsidR="002E7184" w:rsidRPr="00545886" w:rsidP="000A2824" w14:paraId="48DF7930" w14:textId="77777777">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100</w:t>
            </w:r>
          </w:p>
        </w:tc>
        <w:tc>
          <w:tcPr>
            <w:tcW w:w="1829" w:type="dxa"/>
            <w:tcBorders>
              <w:top w:val="nil"/>
              <w:left w:val="nil"/>
              <w:bottom w:val="single" w:sz="4" w:space="0" w:color="auto"/>
              <w:right w:val="single" w:sz="4" w:space="0" w:color="auto"/>
            </w:tcBorders>
            <w:shd w:val="clear" w:color="000000" w:fill="FFFFFF"/>
            <w:vAlign w:val="center"/>
          </w:tcPr>
          <w:p w:rsidR="002E7184" w:rsidRPr="00940A9C" w:rsidP="000A2824" w14:paraId="40390047" w14:textId="77777777">
            <w:pPr>
              <w:widowControl/>
              <w:jc w:val="center"/>
              <w:rPr>
                <w:rFonts w:ascii="Calibri" w:hAnsi="Calibri" w:cs="Calibri"/>
                <w:color w:val="000000"/>
                <w:sz w:val="18"/>
                <w:szCs w:val="18"/>
              </w:rPr>
            </w:pPr>
            <w:r>
              <w:rPr>
                <w:rFonts w:ascii="Calibri" w:hAnsi="Calibri" w:cs="Calibri"/>
                <w:color w:val="000000"/>
                <w:sz w:val="18"/>
                <w:szCs w:val="18"/>
              </w:rPr>
              <w:t>1</w:t>
            </w:r>
          </w:p>
        </w:tc>
        <w:tc>
          <w:tcPr>
            <w:tcW w:w="1530" w:type="dxa"/>
            <w:tcBorders>
              <w:top w:val="nil"/>
              <w:left w:val="nil"/>
              <w:bottom w:val="single" w:sz="4" w:space="0" w:color="auto"/>
              <w:right w:val="single" w:sz="4" w:space="0" w:color="auto"/>
            </w:tcBorders>
            <w:shd w:val="clear" w:color="000000" w:fill="FFFFFF"/>
            <w:vAlign w:val="center"/>
          </w:tcPr>
          <w:p w:rsidR="002E7184" w:rsidRPr="00940A9C" w:rsidP="000A2824" w14:paraId="65CC7576" w14:textId="77777777">
            <w:pPr>
              <w:widowControl/>
              <w:jc w:val="center"/>
              <w:rPr>
                <w:rFonts w:ascii="Calibri" w:hAnsi="Calibri" w:cs="Calibri"/>
                <w:color w:val="000000"/>
                <w:sz w:val="18"/>
                <w:szCs w:val="18"/>
              </w:rPr>
            </w:pPr>
            <w:r>
              <w:rPr>
                <w:rFonts w:ascii="Calibri" w:hAnsi="Calibri" w:cs="Calibri"/>
                <w:color w:val="000000"/>
                <w:sz w:val="18"/>
                <w:szCs w:val="18"/>
              </w:rPr>
              <w:t>50</w:t>
            </w:r>
          </w:p>
        </w:tc>
        <w:tc>
          <w:tcPr>
            <w:tcW w:w="1710" w:type="dxa"/>
            <w:tcBorders>
              <w:top w:val="nil"/>
              <w:left w:val="nil"/>
              <w:bottom w:val="single" w:sz="4" w:space="0" w:color="auto"/>
              <w:right w:val="single" w:sz="4" w:space="0" w:color="auto"/>
            </w:tcBorders>
            <w:shd w:val="clear" w:color="000000" w:fill="FFFFFF"/>
            <w:vAlign w:val="center"/>
            <w:hideMark/>
          </w:tcPr>
          <w:p w:rsidR="002E7184" w:rsidRPr="00940A9C" w:rsidP="009671D0" w14:paraId="6FC32F9E"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000000" w:fill="FFFFFF"/>
            <w:vAlign w:val="center"/>
            <w:hideMark/>
          </w:tcPr>
          <w:p w:rsidR="002E7184" w:rsidRPr="00545886" w:rsidP="000A2824" w14:paraId="2E06B4FD" w14:textId="77777777">
            <w:pPr>
              <w:widowControl/>
              <w:jc w:val="center"/>
              <w:rPr>
                <w:rFonts w:ascii="Calibri" w:hAnsi="Calibri" w:cs="Calibri"/>
                <w:color w:val="000000"/>
                <w:sz w:val="18"/>
                <w:szCs w:val="18"/>
                <w:highlight w:val="cyan"/>
              </w:rPr>
            </w:pPr>
            <w:r w:rsidRPr="00632AA7">
              <w:rPr>
                <w:rFonts w:ascii="Calibri" w:hAnsi="Calibri" w:cs="Calibri"/>
                <w:color w:val="000000"/>
                <w:sz w:val="18"/>
                <w:szCs w:val="18"/>
              </w:rPr>
              <w:t>50</w:t>
            </w:r>
            <w:r w:rsidRPr="00D13493">
              <w:rPr>
                <w:rFonts w:ascii="Calibri" w:hAnsi="Calibri" w:cs="Calibri"/>
                <w:color w:val="000000"/>
                <w:sz w:val="18"/>
                <w:szCs w:val="18"/>
              </w:rPr>
              <w:t>0</w:t>
            </w:r>
            <w:r w:rsidRPr="00D13493" w:rsidR="00513A79">
              <w:rPr>
                <w:rFonts w:ascii="Calibri" w:hAnsi="Calibri" w:cs="Calibri"/>
                <w:color w:val="000000"/>
                <w:sz w:val="18"/>
                <w:szCs w:val="18"/>
                <w:vertAlign w:val="superscript"/>
              </w:rPr>
              <w:t>1</w:t>
            </w:r>
          </w:p>
        </w:tc>
      </w:tr>
      <w:tr w14:paraId="6E16B29C" w14:textId="77777777" w:rsidTr="00D85FE8">
        <w:tblPrEx>
          <w:tblW w:w="10686" w:type="dxa"/>
          <w:jc w:val="center"/>
          <w:tblLayout w:type="fixed"/>
          <w:tblLook w:val="04A0"/>
        </w:tblPrEx>
        <w:trPr>
          <w:trHeight w:val="330"/>
          <w:jc w:val="center"/>
        </w:trPr>
        <w:tc>
          <w:tcPr>
            <w:tcW w:w="3274" w:type="dxa"/>
            <w:tcBorders>
              <w:top w:val="nil"/>
              <w:left w:val="single" w:sz="4" w:space="0" w:color="auto"/>
              <w:bottom w:val="single" w:sz="4" w:space="0" w:color="auto"/>
              <w:right w:val="single" w:sz="4" w:space="0" w:color="auto"/>
            </w:tcBorders>
            <w:shd w:val="clear" w:color="auto" w:fill="auto"/>
            <w:vAlign w:val="center"/>
            <w:hideMark/>
          </w:tcPr>
          <w:p w:rsidR="002E7184" w:rsidRPr="00940A9C" w:rsidP="00A538B1" w14:paraId="65975ABC"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Military Charter Halibut Permit</w:t>
            </w:r>
          </w:p>
        </w:tc>
        <w:tc>
          <w:tcPr>
            <w:tcW w:w="1277" w:type="dxa"/>
            <w:tcBorders>
              <w:top w:val="nil"/>
              <w:left w:val="nil"/>
              <w:bottom w:val="single" w:sz="4" w:space="0" w:color="auto"/>
              <w:right w:val="single" w:sz="4" w:space="0" w:color="auto"/>
            </w:tcBorders>
            <w:shd w:val="clear" w:color="000000" w:fill="FFFFFF"/>
            <w:vAlign w:val="center"/>
            <w:hideMark/>
          </w:tcPr>
          <w:p w:rsidR="002E7184" w:rsidRPr="00545886" w:rsidP="000A2824" w14:paraId="7A80BF2D" w14:textId="77777777">
            <w:pPr>
              <w:widowControl/>
              <w:jc w:val="center"/>
              <w:rPr>
                <w:rFonts w:ascii="Calibri" w:hAnsi="Calibri" w:cs="Calibri"/>
                <w:color w:val="000000"/>
                <w:sz w:val="18"/>
                <w:szCs w:val="18"/>
                <w:highlight w:val="cyan"/>
              </w:rPr>
            </w:pPr>
            <w:r w:rsidRPr="00545886">
              <w:rPr>
                <w:rFonts w:ascii="Calibri" w:hAnsi="Calibri" w:cs="Calibri"/>
                <w:color w:val="000000"/>
                <w:sz w:val="18"/>
                <w:szCs w:val="18"/>
              </w:rPr>
              <w:t>1</w:t>
            </w:r>
          </w:p>
        </w:tc>
        <w:tc>
          <w:tcPr>
            <w:tcW w:w="1829" w:type="dxa"/>
            <w:tcBorders>
              <w:top w:val="nil"/>
              <w:left w:val="nil"/>
              <w:bottom w:val="single" w:sz="4" w:space="0" w:color="auto"/>
              <w:right w:val="single" w:sz="4" w:space="0" w:color="auto"/>
            </w:tcBorders>
            <w:shd w:val="clear" w:color="000000" w:fill="FFFFFF"/>
            <w:vAlign w:val="center"/>
          </w:tcPr>
          <w:p w:rsidR="002E7184" w:rsidRPr="00940A9C" w:rsidP="000A2824" w14:paraId="38331C3B" w14:textId="77777777">
            <w:pPr>
              <w:widowControl/>
              <w:jc w:val="center"/>
              <w:rPr>
                <w:rFonts w:ascii="Calibri" w:hAnsi="Calibri" w:cs="Calibri"/>
                <w:color w:val="000000"/>
                <w:sz w:val="18"/>
                <w:szCs w:val="18"/>
              </w:rPr>
            </w:pPr>
            <w:r>
              <w:rPr>
                <w:rFonts w:ascii="Calibri" w:hAnsi="Calibri" w:cs="Calibri"/>
                <w:color w:val="000000"/>
                <w:sz w:val="18"/>
                <w:szCs w:val="18"/>
              </w:rPr>
              <w:t>1</w:t>
            </w:r>
          </w:p>
        </w:tc>
        <w:tc>
          <w:tcPr>
            <w:tcW w:w="1530" w:type="dxa"/>
            <w:tcBorders>
              <w:top w:val="nil"/>
              <w:left w:val="nil"/>
              <w:bottom w:val="single" w:sz="4" w:space="0" w:color="auto"/>
              <w:right w:val="single" w:sz="4" w:space="0" w:color="auto"/>
            </w:tcBorders>
            <w:shd w:val="clear" w:color="000000" w:fill="FFFFFF"/>
            <w:vAlign w:val="center"/>
          </w:tcPr>
          <w:p w:rsidR="002E7184" w:rsidRPr="00940A9C" w:rsidP="000A2824" w14:paraId="1BCED914" w14:textId="77777777">
            <w:pPr>
              <w:widowControl/>
              <w:jc w:val="center"/>
              <w:rPr>
                <w:rFonts w:ascii="Calibri" w:hAnsi="Calibri" w:cs="Calibri"/>
                <w:color w:val="000000"/>
                <w:sz w:val="18"/>
                <w:szCs w:val="18"/>
              </w:rPr>
            </w:pPr>
            <w:r>
              <w:rPr>
                <w:rFonts w:ascii="Calibri" w:hAnsi="Calibri" w:cs="Calibri"/>
                <w:color w:val="000000"/>
                <w:sz w:val="18"/>
                <w:szCs w:val="18"/>
              </w:rPr>
              <w:t>1</w:t>
            </w:r>
          </w:p>
        </w:tc>
        <w:tc>
          <w:tcPr>
            <w:tcW w:w="1710" w:type="dxa"/>
            <w:tcBorders>
              <w:top w:val="nil"/>
              <w:left w:val="nil"/>
              <w:bottom w:val="single" w:sz="4" w:space="0" w:color="auto"/>
              <w:right w:val="single" w:sz="4" w:space="0" w:color="auto"/>
            </w:tcBorders>
            <w:shd w:val="clear" w:color="000000" w:fill="FFFFFF"/>
            <w:vAlign w:val="center"/>
            <w:hideMark/>
          </w:tcPr>
          <w:p w:rsidR="002E7184" w:rsidRPr="00940A9C" w:rsidP="000A2824" w14:paraId="696A9F57"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tc>
        <w:tc>
          <w:tcPr>
            <w:tcW w:w="1066" w:type="dxa"/>
            <w:tcBorders>
              <w:top w:val="nil"/>
              <w:left w:val="nil"/>
              <w:bottom w:val="single" w:sz="4" w:space="0" w:color="auto"/>
              <w:right w:val="single" w:sz="8" w:space="0" w:color="auto"/>
            </w:tcBorders>
            <w:shd w:val="clear" w:color="000000" w:fill="FFFFFF"/>
            <w:vAlign w:val="center"/>
            <w:hideMark/>
          </w:tcPr>
          <w:p w:rsidR="002E7184" w:rsidRPr="00545886" w:rsidP="000A2824" w14:paraId="3A6FCCF5" w14:textId="77777777">
            <w:pPr>
              <w:widowControl/>
              <w:jc w:val="center"/>
              <w:rPr>
                <w:rFonts w:ascii="Calibri" w:hAnsi="Calibri" w:cs="Calibri"/>
                <w:color w:val="000000"/>
                <w:sz w:val="18"/>
                <w:szCs w:val="18"/>
                <w:highlight w:val="cyan"/>
              </w:rPr>
            </w:pPr>
            <w:r w:rsidRPr="00545886">
              <w:rPr>
                <w:rFonts w:ascii="Calibri" w:hAnsi="Calibri" w:cs="Calibri"/>
                <w:color w:val="000000"/>
                <w:sz w:val="18"/>
                <w:szCs w:val="18"/>
              </w:rPr>
              <w:t>5</w:t>
            </w:r>
          </w:p>
        </w:tc>
      </w:tr>
      <w:tr w14:paraId="47E1207B" w14:textId="77777777" w:rsidTr="00ED3DED">
        <w:tblPrEx>
          <w:tblW w:w="10686" w:type="dxa"/>
          <w:jc w:val="center"/>
          <w:tblLayout w:type="fixed"/>
          <w:tblLook w:val="04A0"/>
        </w:tblPrEx>
        <w:trPr>
          <w:trHeight w:val="330"/>
          <w:jc w:val="center"/>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184" w:rsidRPr="00940A9C" w:rsidP="00A538B1" w14:paraId="77CF022E" w14:textId="77777777">
            <w:pPr>
              <w:jc w:val="center"/>
              <w:rPr>
                <w:rFonts w:asciiTheme="minorHAnsi" w:hAnsiTheme="minorHAnsi" w:cstheme="minorHAnsi"/>
                <w:sz w:val="18"/>
                <w:szCs w:val="18"/>
              </w:rPr>
            </w:pPr>
            <w:r w:rsidRPr="00940A9C">
              <w:rPr>
                <w:rFonts w:asciiTheme="minorHAnsi" w:hAnsiTheme="minorHAnsi" w:cstheme="minorHAnsi"/>
                <w:sz w:val="18"/>
                <w:szCs w:val="18"/>
              </w:rPr>
              <w:t>Application for Transfer (Lease) Between Individual Fishing Quota (IFQ) and Guided Angler Fish (GAF) and issuance of GAF permit</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E7184" w:rsidRPr="00375CED" w:rsidP="000A2824" w14:paraId="5B93941F" w14:textId="77777777">
            <w:pPr>
              <w:widowControl/>
              <w:jc w:val="center"/>
              <w:rPr>
                <w:rFonts w:ascii="Calibri" w:hAnsi="Calibri" w:cs="Calibri"/>
                <w:color w:val="000000"/>
                <w:sz w:val="18"/>
                <w:szCs w:val="18"/>
                <w:vertAlign w:val="superscript"/>
              </w:rPr>
            </w:pPr>
            <w:r w:rsidRPr="00375CED">
              <w:rPr>
                <w:rFonts w:ascii="Calibri" w:hAnsi="Calibri" w:cs="Calibri"/>
                <w:color w:val="000000"/>
                <w:sz w:val="18"/>
                <w:szCs w:val="18"/>
              </w:rPr>
              <w:t>96</w:t>
            </w:r>
          </w:p>
        </w:tc>
        <w:tc>
          <w:tcPr>
            <w:tcW w:w="1829" w:type="dxa"/>
            <w:tcBorders>
              <w:top w:val="single" w:sz="4" w:space="0" w:color="auto"/>
              <w:left w:val="nil"/>
              <w:bottom w:val="single" w:sz="4" w:space="0" w:color="auto"/>
              <w:right w:val="single" w:sz="4" w:space="0" w:color="auto"/>
            </w:tcBorders>
            <w:shd w:val="clear" w:color="auto" w:fill="auto"/>
            <w:vAlign w:val="center"/>
          </w:tcPr>
          <w:p w:rsidR="002E7184" w:rsidRPr="00375CED" w:rsidP="000A2824" w14:paraId="47A65B61" w14:textId="77777777">
            <w:pPr>
              <w:widowControl/>
              <w:jc w:val="center"/>
              <w:rPr>
                <w:rFonts w:ascii="Calibri" w:hAnsi="Calibri" w:cs="Calibri"/>
                <w:color w:val="000000"/>
                <w:sz w:val="18"/>
                <w:szCs w:val="18"/>
              </w:rPr>
            </w:pPr>
            <w:r w:rsidRPr="00375CED">
              <w:rPr>
                <w:rFonts w:ascii="Calibri" w:hAnsi="Calibri" w:cs="Calibri"/>
                <w:color w:val="000000"/>
                <w:sz w:val="18"/>
                <w:szCs w:val="18"/>
              </w:rPr>
              <w:t>V</w:t>
            </w:r>
            <w:r w:rsidRPr="00375CED" w:rsidR="00286F69">
              <w:rPr>
                <w:rFonts w:ascii="Calibri" w:hAnsi="Calibri" w:cs="Calibri"/>
                <w:color w:val="000000"/>
                <w:sz w:val="18"/>
                <w:szCs w:val="18"/>
              </w:rPr>
              <w:t>aries</w:t>
            </w:r>
          </w:p>
        </w:tc>
        <w:tc>
          <w:tcPr>
            <w:tcW w:w="1530" w:type="dxa"/>
            <w:tcBorders>
              <w:top w:val="single" w:sz="4" w:space="0" w:color="auto"/>
              <w:left w:val="nil"/>
              <w:bottom w:val="single" w:sz="4" w:space="0" w:color="auto"/>
              <w:right w:val="single" w:sz="4" w:space="0" w:color="auto"/>
            </w:tcBorders>
            <w:shd w:val="clear" w:color="auto" w:fill="auto"/>
            <w:vAlign w:val="center"/>
          </w:tcPr>
          <w:p w:rsidR="002E7184" w:rsidRPr="00375CED" w:rsidP="000A2824" w14:paraId="540C6437" w14:textId="77777777">
            <w:pPr>
              <w:widowControl/>
              <w:jc w:val="center"/>
              <w:rPr>
                <w:rFonts w:ascii="Calibri" w:hAnsi="Calibri" w:cs="Calibri"/>
                <w:color w:val="000000"/>
                <w:sz w:val="18"/>
                <w:szCs w:val="18"/>
              </w:rPr>
            </w:pPr>
            <w:r w:rsidRPr="00375CED">
              <w:rPr>
                <w:rFonts w:ascii="Calibri" w:hAnsi="Calibri" w:cs="Calibri"/>
                <w:color w:val="000000"/>
                <w:sz w:val="18"/>
                <w:szCs w:val="18"/>
              </w:rPr>
              <w:t>600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2E7184" w:rsidRPr="00375CED" w:rsidP="000A2824" w14:paraId="7A6D72DC" w14:textId="77777777">
            <w:pPr>
              <w:widowControl/>
              <w:jc w:val="center"/>
              <w:rPr>
                <w:rFonts w:ascii="Calibri" w:hAnsi="Calibri" w:cs="Calibri"/>
                <w:color w:val="000000"/>
                <w:sz w:val="18"/>
                <w:szCs w:val="18"/>
              </w:rPr>
            </w:pPr>
            <w:r w:rsidRPr="00375CED">
              <w:rPr>
                <w:rFonts w:ascii="Calibri" w:hAnsi="Calibri" w:cs="Calibri"/>
                <w:color w:val="000000"/>
                <w:sz w:val="18"/>
                <w:szCs w:val="18"/>
              </w:rPr>
              <w:t>Operating costs - $5</w:t>
            </w:r>
          </w:p>
        </w:tc>
        <w:tc>
          <w:tcPr>
            <w:tcW w:w="1066" w:type="dxa"/>
            <w:tcBorders>
              <w:top w:val="single" w:sz="4" w:space="0" w:color="auto"/>
              <w:left w:val="nil"/>
              <w:bottom w:val="single" w:sz="4" w:space="0" w:color="auto"/>
              <w:right w:val="single" w:sz="8" w:space="0" w:color="auto"/>
            </w:tcBorders>
            <w:shd w:val="clear" w:color="auto" w:fill="auto"/>
            <w:vAlign w:val="center"/>
            <w:hideMark/>
          </w:tcPr>
          <w:p w:rsidR="002E7184" w:rsidRPr="00375CED" w:rsidP="000A2824" w14:paraId="53DC5CCE" w14:textId="77777777">
            <w:pPr>
              <w:widowControl/>
              <w:jc w:val="center"/>
              <w:rPr>
                <w:rFonts w:ascii="Calibri" w:hAnsi="Calibri" w:cs="Calibri"/>
                <w:color w:val="000000"/>
                <w:sz w:val="18"/>
                <w:szCs w:val="18"/>
              </w:rPr>
            </w:pPr>
            <w:r>
              <w:rPr>
                <w:rFonts w:ascii="Calibri" w:hAnsi="Calibri" w:cs="Calibri"/>
                <w:color w:val="000000"/>
                <w:sz w:val="18"/>
                <w:szCs w:val="18"/>
              </w:rPr>
              <w:t>3,000</w:t>
            </w:r>
          </w:p>
        </w:tc>
      </w:tr>
      <w:tr w14:paraId="7867888B" w14:textId="77777777" w:rsidTr="00ED3DED">
        <w:tblPrEx>
          <w:tblW w:w="10686" w:type="dxa"/>
          <w:jc w:val="center"/>
          <w:tblLayout w:type="fixed"/>
          <w:tblLook w:val="04A0"/>
        </w:tblPrEx>
        <w:trPr>
          <w:trHeight w:val="346"/>
          <w:jc w:val="center"/>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184" w:rsidRPr="00940A9C" w:rsidP="00A538B1" w14:paraId="22A7D9C4" w14:textId="77777777">
            <w:pPr>
              <w:jc w:val="center"/>
              <w:rPr>
                <w:rFonts w:asciiTheme="minorHAnsi" w:hAnsiTheme="minorHAnsi" w:cstheme="minorHAnsi"/>
                <w:sz w:val="18"/>
                <w:szCs w:val="18"/>
              </w:rPr>
            </w:pPr>
            <w:r w:rsidRPr="00940A9C">
              <w:rPr>
                <w:rFonts w:asciiTheme="minorHAnsi" w:hAnsiTheme="minorHAnsi" w:cstheme="minorHAnsi"/>
                <w:sz w:val="18"/>
                <w:szCs w:val="18"/>
              </w:rPr>
              <w:t>Administrative Appeals</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2E7184" w:rsidRPr="003D0C39" w:rsidP="000A2824" w14:paraId="1C59E7D5" w14:textId="77777777">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829" w:type="dxa"/>
            <w:tcBorders>
              <w:top w:val="single" w:sz="4" w:space="0" w:color="auto"/>
              <w:left w:val="nil"/>
              <w:bottom w:val="single" w:sz="4" w:space="0" w:color="auto"/>
              <w:right w:val="single" w:sz="4" w:space="0" w:color="auto"/>
            </w:tcBorders>
            <w:shd w:val="clear" w:color="000000" w:fill="FFFFFF"/>
            <w:vAlign w:val="center"/>
          </w:tcPr>
          <w:p w:rsidR="002E7184" w:rsidRPr="003D0C39" w:rsidP="000A2824" w14:paraId="401F8FA0" w14:textId="77777777">
            <w:pPr>
              <w:widowControl/>
              <w:jc w:val="center"/>
              <w:rPr>
                <w:rFonts w:ascii="Calibri" w:hAnsi="Calibri" w:cs="Calibri"/>
                <w:color w:val="000000"/>
                <w:sz w:val="18"/>
                <w:szCs w:val="18"/>
              </w:rPr>
            </w:pPr>
            <w:r w:rsidRPr="003D0C39">
              <w:rPr>
                <w:rFonts w:ascii="Calibri" w:hAnsi="Calibri" w:cs="Calibri"/>
                <w:color w:val="000000"/>
                <w:sz w:val="18"/>
                <w:szCs w:val="18"/>
              </w:rPr>
              <w:t>1</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2E7184" w:rsidRPr="00940A9C" w:rsidP="000A2824" w14:paraId="15D5BE46" w14:textId="77777777">
            <w:pPr>
              <w:widowControl/>
              <w:jc w:val="center"/>
              <w:rPr>
                <w:rFonts w:ascii="Calibri" w:hAnsi="Calibri" w:cs="Calibri"/>
                <w:color w:val="000000"/>
                <w:sz w:val="18"/>
                <w:szCs w:val="18"/>
              </w:rPr>
            </w:pPr>
            <w:r>
              <w:rPr>
                <w:rFonts w:ascii="Calibri" w:hAnsi="Calibri" w:cs="Calibri"/>
                <w:color w:val="000000"/>
                <w:sz w:val="18"/>
                <w:szCs w:val="18"/>
              </w:rPr>
              <w:t>1</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2E7184" w:rsidRPr="00940A9C" w:rsidP="000A2824" w14:paraId="43F15267" w14:textId="77777777">
            <w:pPr>
              <w:widowControl/>
              <w:jc w:val="center"/>
              <w:rPr>
                <w:rFonts w:ascii="Calibri" w:hAnsi="Calibri" w:cs="Calibri"/>
                <w:color w:val="000000"/>
                <w:sz w:val="18"/>
                <w:szCs w:val="18"/>
              </w:rPr>
            </w:pPr>
            <w:r w:rsidRPr="00940A9C">
              <w:rPr>
                <w:rFonts w:ascii="Calibri" w:hAnsi="Calibri" w:cs="Calibri"/>
                <w:color w:val="000000"/>
                <w:sz w:val="18"/>
                <w:szCs w:val="18"/>
              </w:rPr>
              <w:t>Operating costs - $5</w:t>
            </w:r>
          </w:p>
          <w:p w:rsidR="002E7184" w:rsidRPr="00940A9C" w:rsidP="000A2824" w14:paraId="1BF3247E" w14:textId="77777777">
            <w:pPr>
              <w:widowControl/>
              <w:jc w:val="center"/>
              <w:rPr>
                <w:rFonts w:ascii="Calibri" w:hAnsi="Calibri" w:cs="Calibri"/>
                <w:color w:val="000000"/>
                <w:sz w:val="18"/>
                <w:szCs w:val="18"/>
              </w:rPr>
            </w:pPr>
            <w:r w:rsidRPr="00940A9C">
              <w:rPr>
                <w:rFonts w:ascii="Calibri" w:hAnsi="Calibri" w:cs="Calibri"/>
                <w:color w:val="000000"/>
                <w:sz w:val="18"/>
                <w:szCs w:val="18"/>
              </w:rPr>
              <w:t>Attorney - $5</w:t>
            </w:r>
            <w:r w:rsidRPr="00D13493">
              <w:rPr>
                <w:rFonts w:ascii="Calibri" w:hAnsi="Calibri" w:cs="Calibri"/>
                <w:color w:val="000000"/>
                <w:sz w:val="18"/>
                <w:szCs w:val="18"/>
              </w:rPr>
              <w:t>00</w:t>
            </w:r>
            <w:r w:rsidRPr="00D13493" w:rsidR="00513A79">
              <w:rPr>
                <w:rFonts w:ascii="Calibri" w:hAnsi="Calibri" w:cs="Calibri"/>
                <w:color w:val="000000"/>
                <w:sz w:val="18"/>
                <w:szCs w:val="18"/>
                <w:vertAlign w:val="superscript"/>
              </w:rPr>
              <w:t>2</w:t>
            </w:r>
          </w:p>
        </w:tc>
        <w:tc>
          <w:tcPr>
            <w:tcW w:w="1066" w:type="dxa"/>
            <w:tcBorders>
              <w:top w:val="single" w:sz="4" w:space="0" w:color="auto"/>
              <w:left w:val="nil"/>
              <w:bottom w:val="single" w:sz="4" w:space="0" w:color="auto"/>
              <w:right w:val="single" w:sz="8" w:space="0" w:color="auto"/>
            </w:tcBorders>
            <w:shd w:val="clear" w:color="000000" w:fill="FFFFFF"/>
            <w:vAlign w:val="center"/>
            <w:hideMark/>
          </w:tcPr>
          <w:p w:rsidR="002E7184" w:rsidRPr="00545886" w:rsidP="000A2824" w14:paraId="59CBBEE7" w14:textId="77777777">
            <w:pPr>
              <w:widowControl/>
              <w:jc w:val="center"/>
              <w:rPr>
                <w:rFonts w:ascii="Calibri" w:hAnsi="Calibri" w:cs="Calibri"/>
                <w:color w:val="000000"/>
                <w:sz w:val="18"/>
                <w:szCs w:val="18"/>
                <w:highlight w:val="cyan"/>
              </w:rPr>
            </w:pPr>
            <w:r w:rsidRPr="003D0C39">
              <w:rPr>
                <w:rFonts w:ascii="Calibri" w:hAnsi="Calibri" w:cs="Calibri"/>
                <w:color w:val="000000"/>
                <w:sz w:val="18"/>
                <w:szCs w:val="18"/>
              </w:rPr>
              <w:t>505</w:t>
            </w:r>
          </w:p>
        </w:tc>
      </w:tr>
      <w:tr w14:paraId="6D788734" w14:textId="77777777" w:rsidTr="00506C74">
        <w:tblPrEx>
          <w:tblW w:w="10686" w:type="dxa"/>
          <w:jc w:val="center"/>
          <w:tblLayout w:type="fixed"/>
          <w:tblLook w:val="04A0"/>
        </w:tblPrEx>
        <w:trPr>
          <w:trHeight w:val="346"/>
          <w:jc w:val="center"/>
        </w:trPr>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DC3F89" w:rsidRPr="00940A9C" w:rsidP="00DC3F89" w14:paraId="36EE3A87" w14:textId="77777777">
            <w:pPr>
              <w:jc w:val="center"/>
              <w:rPr>
                <w:rFonts w:asciiTheme="minorHAnsi" w:hAnsiTheme="minorHAnsi" w:cstheme="minorHAnsi"/>
                <w:sz w:val="18"/>
                <w:szCs w:val="18"/>
              </w:rPr>
            </w:pPr>
            <w:r>
              <w:rPr>
                <w:rFonts w:asciiTheme="minorHAnsi" w:hAnsiTheme="minorHAnsi" w:cstheme="minorHAnsi"/>
                <w:sz w:val="18"/>
                <w:szCs w:val="18"/>
              </w:rPr>
              <w:t>Purchase of Charter Halibut Stamps</w:t>
            </w:r>
          </w:p>
        </w:tc>
        <w:tc>
          <w:tcPr>
            <w:tcW w:w="1277" w:type="dxa"/>
            <w:tcBorders>
              <w:top w:val="single" w:sz="4" w:space="0" w:color="auto"/>
              <w:left w:val="nil"/>
              <w:bottom w:val="single" w:sz="4" w:space="0" w:color="auto"/>
              <w:right w:val="single" w:sz="4" w:space="0" w:color="auto"/>
            </w:tcBorders>
            <w:shd w:val="clear" w:color="auto" w:fill="auto"/>
            <w:vAlign w:val="center"/>
          </w:tcPr>
          <w:p w:rsidR="00DC3F89" w:rsidP="00DC3F89" w14:paraId="6C481499" w14:textId="77777777">
            <w:pPr>
              <w:widowControl/>
              <w:jc w:val="center"/>
              <w:rPr>
                <w:rFonts w:ascii="Calibri" w:hAnsi="Calibri" w:cs="Calibri"/>
                <w:color w:val="000000"/>
                <w:sz w:val="18"/>
                <w:szCs w:val="18"/>
              </w:rPr>
            </w:pPr>
            <w:r>
              <w:rPr>
                <w:rFonts w:ascii="Calibri" w:hAnsi="Calibri" w:cs="Calibri"/>
                <w:color w:val="000000"/>
                <w:sz w:val="18"/>
                <w:szCs w:val="18"/>
              </w:rPr>
              <w:t>475</w:t>
            </w:r>
          </w:p>
        </w:tc>
        <w:tc>
          <w:tcPr>
            <w:tcW w:w="1829" w:type="dxa"/>
            <w:tcBorders>
              <w:top w:val="nil"/>
              <w:left w:val="nil"/>
              <w:bottom w:val="single" w:sz="8" w:space="0" w:color="auto"/>
              <w:right w:val="single" w:sz="4" w:space="0" w:color="auto"/>
            </w:tcBorders>
            <w:shd w:val="clear" w:color="auto" w:fill="auto"/>
            <w:vAlign w:val="center"/>
          </w:tcPr>
          <w:p w:rsidR="00DC3F89" w:rsidRPr="00A122EB" w:rsidP="00DC3F89" w14:paraId="244B1D55" w14:textId="77777777">
            <w:pPr>
              <w:widowControl/>
              <w:jc w:val="center"/>
              <w:rPr>
                <w:rFonts w:asciiTheme="minorHAnsi" w:hAnsiTheme="minorHAnsi" w:cstheme="minorHAnsi"/>
                <w:sz w:val="18"/>
                <w:szCs w:val="18"/>
              </w:rPr>
            </w:pPr>
            <w:r>
              <w:rPr>
                <w:rFonts w:ascii="Calibri" w:hAnsi="Calibri" w:cs="Calibri"/>
                <w:color w:val="000000"/>
                <w:sz w:val="18"/>
                <w:szCs w:val="18"/>
              </w:rPr>
              <w:t>Varies</w:t>
            </w:r>
          </w:p>
        </w:tc>
        <w:tc>
          <w:tcPr>
            <w:tcW w:w="1530" w:type="dxa"/>
            <w:tcBorders>
              <w:top w:val="nil"/>
              <w:left w:val="nil"/>
              <w:bottom w:val="single" w:sz="8" w:space="0" w:color="auto"/>
              <w:right w:val="single" w:sz="4" w:space="0" w:color="auto"/>
            </w:tcBorders>
            <w:shd w:val="clear" w:color="auto" w:fill="auto"/>
            <w:vAlign w:val="center"/>
          </w:tcPr>
          <w:p w:rsidR="00DC3F89" w:rsidRPr="00A122EB" w:rsidP="00DC3F89" w14:paraId="70B10125" w14:textId="77777777">
            <w:pPr>
              <w:jc w:val="center"/>
              <w:rPr>
                <w:rFonts w:asciiTheme="minorHAnsi" w:hAnsiTheme="minorHAnsi" w:cstheme="minorHAnsi"/>
                <w:sz w:val="18"/>
                <w:szCs w:val="18"/>
              </w:rPr>
            </w:pPr>
            <w:r>
              <w:rPr>
                <w:rFonts w:ascii="Calibri" w:hAnsi="Calibri" w:cs="Calibri"/>
                <w:color w:val="000000"/>
                <w:sz w:val="18"/>
                <w:szCs w:val="18"/>
              </w:rPr>
              <w:t>475</w:t>
            </w:r>
          </w:p>
        </w:tc>
        <w:tc>
          <w:tcPr>
            <w:tcW w:w="1710" w:type="dxa"/>
            <w:tcBorders>
              <w:top w:val="single" w:sz="4" w:space="0" w:color="auto"/>
              <w:left w:val="nil"/>
              <w:bottom w:val="single" w:sz="4" w:space="0" w:color="auto"/>
              <w:right w:val="single" w:sz="4" w:space="0" w:color="auto"/>
            </w:tcBorders>
            <w:shd w:val="clear" w:color="auto" w:fill="auto"/>
            <w:vAlign w:val="center"/>
          </w:tcPr>
          <w:p w:rsidR="00DC3F89" w:rsidRPr="00A122EB" w:rsidP="00DC3F89" w14:paraId="5185DC48" w14:textId="77777777">
            <w:pPr>
              <w:widowControl/>
              <w:jc w:val="center"/>
              <w:rPr>
                <w:rFonts w:ascii="Calibri" w:hAnsi="Calibri" w:cs="Calibri"/>
                <w:color w:val="000000"/>
                <w:sz w:val="18"/>
                <w:szCs w:val="18"/>
              </w:rPr>
            </w:pPr>
            <w:r>
              <w:rPr>
                <w:rFonts w:ascii="Calibri" w:hAnsi="Calibri" w:cs="Calibri"/>
                <w:color w:val="000000"/>
                <w:sz w:val="18"/>
                <w:szCs w:val="18"/>
              </w:rPr>
              <w:t>0</w:t>
            </w:r>
          </w:p>
        </w:tc>
        <w:tc>
          <w:tcPr>
            <w:tcW w:w="1066" w:type="dxa"/>
            <w:tcBorders>
              <w:top w:val="single" w:sz="4" w:space="0" w:color="auto"/>
              <w:left w:val="nil"/>
              <w:bottom w:val="single" w:sz="4" w:space="0" w:color="auto"/>
              <w:right w:val="single" w:sz="8" w:space="0" w:color="auto"/>
            </w:tcBorders>
            <w:shd w:val="clear" w:color="auto" w:fill="auto"/>
            <w:vAlign w:val="center"/>
          </w:tcPr>
          <w:p w:rsidR="00DC3F89" w:rsidP="00DC3F89" w14:paraId="1760891B" w14:textId="77777777">
            <w:pPr>
              <w:widowControl/>
              <w:jc w:val="center"/>
              <w:rPr>
                <w:rFonts w:ascii="Calibri" w:hAnsi="Calibri" w:cs="Calibri"/>
                <w:color w:val="000000"/>
                <w:sz w:val="18"/>
                <w:szCs w:val="18"/>
              </w:rPr>
            </w:pPr>
            <w:r>
              <w:rPr>
                <w:rFonts w:ascii="Calibri" w:hAnsi="Calibri" w:cs="Calibri"/>
                <w:color w:val="000000"/>
                <w:sz w:val="18"/>
                <w:szCs w:val="18"/>
              </w:rPr>
              <w:t>0</w:t>
            </w:r>
          </w:p>
        </w:tc>
      </w:tr>
      <w:tr w14:paraId="12F4E90C" w14:textId="77777777" w:rsidTr="00D85FE8">
        <w:tblPrEx>
          <w:tblW w:w="10686" w:type="dxa"/>
          <w:jc w:val="center"/>
          <w:tblLayout w:type="fixed"/>
          <w:tblLook w:val="04A0"/>
        </w:tblPrEx>
        <w:trPr>
          <w:trHeight w:val="346"/>
          <w:jc w:val="center"/>
        </w:trPr>
        <w:tc>
          <w:tcPr>
            <w:tcW w:w="3274"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2E7184" w:rsidRPr="00940A9C" w:rsidP="00A538B1" w14:paraId="43E7D126" w14:textId="77777777">
            <w:pPr>
              <w:widowControl/>
              <w:jc w:val="right"/>
              <w:rPr>
                <w:rFonts w:ascii="Calibri" w:hAnsi="Calibri" w:cs="Calibri"/>
                <w:b/>
                <w:bCs/>
                <w:color w:val="000000"/>
                <w:sz w:val="18"/>
                <w:szCs w:val="18"/>
              </w:rPr>
            </w:pPr>
            <w:r w:rsidRPr="00940A9C">
              <w:rPr>
                <w:rFonts w:ascii="Calibri" w:hAnsi="Calibri" w:cs="Calibri"/>
                <w:b/>
                <w:bCs/>
                <w:color w:val="000000"/>
                <w:sz w:val="18"/>
                <w:szCs w:val="18"/>
              </w:rPr>
              <w:t>TOTALS</w:t>
            </w:r>
          </w:p>
        </w:tc>
        <w:tc>
          <w:tcPr>
            <w:tcW w:w="1277" w:type="dxa"/>
            <w:tcBorders>
              <w:top w:val="single" w:sz="8" w:space="0" w:color="auto"/>
              <w:left w:val="nil"/>
              <w:bottom w:val="single" w:sz="8" w:space="0" w:color="auto"/>
              <w:right w:val="single" w:sz="4" w:space="0" w:color="auto"/>
            </w:tcBorders>
            <w:shd w:val="clear" w:color="000000" w:fill="DDEBF7"/>
            <w:vAlign w:val="center"/>
            <w:hideMark/>
          </w:tcPr>
          <w:p w:rsidR="002E7184" w:rsidRPr="00545886" w:rsidP="000A2824" w14:paraId="2F4F7101" w14:textId="77777777">
            <w:pPr>
              <w:widowControl/>
              <w:jc w:val="center"/>
              <w:rPr>
                <w:rFonts w:ascii="Calibri" w:hAnsi="Calibri" w:cs="Calibri"/>
                <w:b/>
                <w:bCs/>
                <w:color w:val="000000"/>
                <w:sz w:val="18"/>
                <w:szCs w:val="18"/>
                <w:highlight w:val="cyan"/>
              </w:rPr>
            </w:pPr>
            <w:r>
              <w:rPr>
                <w:rFonts w:ascii="Calibri" w:hAnsi="Calibri" w:cs="Calibri"/>
                <w:b/>
                <w:bCs/>
                <w:color w:val="000000"/>
                <w:sz w:val="18"/>
                <w:szCs w:val="18"/>
              </w:rPr>
              <w:t>574</w:t>
            </w:r>
            <w:r w:rsidRPr="004D40DD">
              <w:rPr>
                <w:rFonts w:ascii="Calibri" w:hAnsi="Calibri" w:cs="Calibri"/>
                <w:b/>
                <w:bCs/>
                <w:color w:val="000000"/>
                <w:sz w:val="18"/>
                <w:szCs w:val="18"/>
                <w:vertAlign w:val="superscript"/>
              </w:rPr>
              <w:t xml:space="preserve"> </w:t>
            </w:r>
            <w:r w:rsidRPr="004D40DD" w:rsidR="001F6DC7">
              <w:rPr>
                <w:rFonts w:ascii="Calibri" w:hAnsi="Calibri" w:cs="Calibri"/>
                <w:b/>
                <w:bCs/>
                <w:color w:val="000000"/>
                <w:sz w:val="18"/>
                <w:szCs w:val="18"/>
              </w:rPr>
              <w:t>unique respondents</w:t>
            </w:r>
          </w:p>
        </w:tc>
        <w:tc>
          <w:tcPr>
            <w:tcW w:w="1829" w:type="dxa"/>
            <w:tcBorders>
              <w:top w:val="single" w:sz="8" w:space="0" w:color="auto"/>
              <w:left w:val="nil"/>
              <w:bottom w:val="single" w:sz="8" w:space="0" w:color="auto"/>
              <w:right w:val="single" w:sz="4" w:space="0" w:color="auto"/>
            </w:tcBorders>
            <w:shd w:val="clear" w:color="auto" w:fill="000000" w:themeFill="text1"/>
            <w:vAlign w:val="center"/>
            <w:hideMark/>
          </w:tcPr>
          <w:p w:rsidR="002E7184" w:rsidRPr="00940A9C" w:rsidP="000A2824" w14:paraId="15AEF0CF" w14:textId="77777777">
            <w:pPr>
              <w:widowControl/>
              <w:jc w:val="center"/>
              <w:rPr>
                <w:rFonts w:ascii="Calibri" w:hAnsi="Calibri" w:cs="Calibri"/>
                <w:b/>
                <w:bCs/>
                <w:color w:val="000000"/>
                <w:sz w:val="18"/>
                <w:szCs w:val="18"/>
              </w:rPr>
            </w:pPr>
          </w:p>
        </w:tc>
        <w:tc>
          <w:tcPr>
            <w:tcW w:w="1530" w:type="dxa"/>
            <w:tcBorders>
              <w:top w:val="single" w:sz="8" w:space="0" w:color="auto"/>
              <w:left w:val="nil"/>
              <w:bottom w:val="single" w:sz="8" w:space="0" w:color="auto"/>
              <w:right w:val="single" w:sz="4" w:space="0" w:color="auto"/>
            </w:tcBorders>
            <w:shd w:val="clear" w:color="000000" w:fill="DDEBF7"/>
            <w:vAlign w:val="center"/>
          </w:tcPr>
          <w:p w:rsidR="002E7184" w:rsidRPr="00940A9C" w:rsidP="000A2824" w14:paraId="7358E693" w14:textId="77777777">
            <w:pPr>
              <w:widowControl/>
              <w:jc w:val="center"/>
              <w:rPr>
                <w:rFonts w:ascii="Calibri" w:hAnsi="Calibri" w:cs="Calibri"/>
                <w:b/>
                <w:bCs/>
                <w:color w:val="000000"/>
                <w:sz w:val="18"/>
                <w:szCs w:val="18"/>
              </w:rPr>
            </w:pPr>
            <w:r>
              <w:rPr>
                <w:rFonts w:ascii="Calibri" w:hAnsi="Calibri" w:cs="Calibri"/>
                <w:b/>
                <w:bCs/>
                <w:color w:val="000000"/>
                <w:sz w:val="18"/>
                <w:szCs w:val="18"/>
              </w:rPr>
              <w:t>41,741</w:t>
            </w:r>
          </w:p>
        </w:tc>
        <w:tc>
          <w:tcPr>
            <w:tcW w:w="1710" w:type="dxa"/>
            <w:tcBorders>
              <w:top w:val="single" w:sz="8" w:space="0" w:color="auto"/>
              <w:left w:val="nil"/>
              <w:bottom w:val="single" w:sz="8" w:space="0" w:color="auto"/>
              <w:right w:val="single" w:sz="4" w:space="0" w:color="auto"/>
            </w:tcBorders>
            <w:shd w:val="clear" w:color="auto" w:fill="000000" w:themeFill="text1"/>
            <w:vAlign w:val="center"/>
            <w:hideMark/>
          </w:tcPr>
          <w:p w:rsidR="002E7184" w:rsidRPr="00940A9C" w:rsidP="000A2824" w14:paraId="34928A24" w14:textId="77777777">
            <w:pPr>
              <w:widowControl/>
              <w:jc w:val="center"/>
              <w:rPr>
                <w:rFonts w:ascii="Calibri" w:hAnsi="Calibri" w:cs="Calibri"/>
                <w:b/>
                <w:bCs/>
                <w:color w:val="000000"/>
                <w:sz w:val="18"/>
                <w:szCs w:val="18"/>
              </w:rPr>
            </w:pPr>
          </w:p>
        </w:tc>
        <w:tc>
          <w:tcPr>
            <w:tcW w:w="1066" w:type="dxa"/>
            <w:tcBorders>
              <w:top w:val="single" w:sz="8" w:space="0" w:color="auto"/>
              <w:left w:val="nil"/>
              <w:bottom w:val="single" w:sz="8" w:space="0" w:color="auto"/>
              <w:right w:val="single" w:sz="8" w:space="0" w:color="auto"/>
            </w:tcBorders>
            <w:shd w:val="clear" w:color="000000" w:fill="DDEBF7"/>
            <w:vAlign w:val="center"/>
            <w:hideMark/>
          </w:tcPr>
          <w:p w:rsidR="002E7184" w:rsidRPr="002A356E" w:rsidP="00B749B8" w14:paraId="74CA60EA" w14:textId="77777777">
            <w:pPr>
              <w:widowControl/>
              <w:jc w:val="center"/>
              <w:rPr>
                <w:rFonts w:ascii="Calibri" w:hAnsi="Calibri" w:cs="Calibri"/>
                <w:b/>
                <w:bCs/>
                <w:color w:val="000000"/>
                <w:sz w:val="18"/>
                <w:szCs w:val="18"/>
              </w:rPr>
            </w:pPr>
            <w:r w:rsidRPr="002A356E">
              <w:rPr>
                <w:rFonts w:ascii="Calibri" w:hAnsi="Calibri" w:cs="Calibri"/>
                <w:b/>
                <w:bCs/>
                <w:color w:val="000000"/>
                <w:sz w:val="18"/>
                <w:szCs w:val="18"/>
              </w:rPr>
              <w:t>$</w:t>
            </w:r>
            <w:r w:rsidR="00B749B8">
              <w:rPr>
                <w:rFonts w:ascii="Calibri" w:hAnsi="Calibri" w:cs="Calibri"/>
                <w:b/>
                <w:bCs/>
                <w:color w:val="000000"/>
                <w:sz w:val="18"/>
                <w:szCs w:val="18"/>
              </w:rPr>
              <w:t>83,630</w:t>
            </w:r>
          </w:p>
        </w:tc>
      </w:tr>
    </w:tbl>
    <w:p w:rsidR="00632AA7" w:rsidRPr="00390FA1" w:rsidP="00EA0444" w14:paraId="589D2489" w14:textId="77777777">
      <w:pPr>
        <w:spacing w:line="259" w:lineRule="auto"/>
        <w:ind w:righ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 xml:space="preserve">1 </w:t>
      </w:r>
      <w:r w:rsidRPr="00390FA1">
        <w:rPr>
          <w:rFonts w:asciiTheme="minorHAnsi" w:hAnsiTheme="minorHAnsi" w:cstheme="minorHAnsi"/>
          <w:sz w:val="18"/>
          <w:szCs w:val="18"/>
        </w:rPr>
        <w:t>The application is completed by two respondents, the transferor and the transferee.</w:t>
      </w:r>
      <w:r w:rsidRPr="00390FA1">
        <w:rPr>
          <w:sz w:val="18"/>
          <w:szCs w:val="18"/>
        </w:rPr>
        <w:t xml:space="preserve"> </w:t>
      </w:r>
      <w:r w:rsidRPr="00390FA1">
        <w:rPr>
          <w:rFonts w:asciiTheme="minorHAnsi" w:hAnsiTheme="minorHAnsi" w:cstheme="minorHAnsi"/>
          <w:sz w:val="18"/>
          <w:szCs w:val="18"/>
        </w:rPr>
        <w:t>As each respondent is expected to have some operating costs in responding, the total annual cost is 50 responses x 2 respondents x $5 operating costs = $500.</w:t>
      </w:r>
    </w:p>
    <w:p w:rsidR="002E7184" w:rsidRPr="00390FA1" w:rsidP="00EA0444" w14:paraId="1F8F77EF" w14:textId="77777777">
      <w:pPr>
        <w:adjustRightInd w:val="0"/>
        <w:ind w:right="-144" w:hanging="144"/>
        <w:rPr>
          <w:rFonts w:ascii="Calibri" w:hAnsi="Calibri" w:cs="Calibri"/>
          <w:sz w:val="18"/>
          <w:szCs w:val="18"/>
        </w:rPr>
      </w:pPr>
      <w:r w:rsidRPr="00390FA1">
        <w:rPr>
          <w:rFonts w:ascii="Calibri" w:hAnsi="Calibri" w:cs="Calibri"/>
          <w:sz w:val="18"/>
          <w:szCs w:val="18"/>
          <w:vertAlign w:val="superscript"/>
        </w:rPr>
        <w:t xml:space="preserve">2 </w:t>
      </w:r>
      <w:r w:rsidRPr="00390FA1">
        <w:rPr>
          <w:rFonts w:ascii="Calibri" w:hAnsi="Calibri" w:cs="Calibri"/>
          <w:sz w:val="18"/>
          <w:szCs w:val="18"/>
        </w:rPr>
        <w:t>4 hours of attorney time at $125 per hour</w:t>
      </w:r>
    </w:p>
    <w:p w:rsidR="00370B85" w:rsidP="00EA0444" w14:paraId="5DF8CF55" w14:textId="77777777">
      <w:pPr>
        <w:pStyle w:val="BodyText"/>
        <w:spacing w:before="0"/>
        <w:ind w:left="0" w:right="-144" w:hanging="144"/>
        <w:rPr>
          <w:rFonts w:asciiTheme="minorHAnsi" w:hAnsiTheme="minorHAnsi" w:cstheme="minorHAnsi"/>
          <w:sz w:val="18"/>
          <w:szCs w:val="18"/>
        </w:rPr>
      </w:pPr>
      <w:r w:rsidRPr="00390FA1">
        <w:rPr>
          <w:rFonts w:asciiTheme="minorHAnsi" w:hAnsiTheme="minorHAnsi" w:cstheme="minorHAnsi"/>
          <w:sz w:val="18"/>
          <w:szCs w:val="18"/>
          <w:vertAlign w:val="superscript"/>
        </w:rPr>
        <w:t>3</w:t>
      </w:r>
      <w:r w:rsidRPr="00390FA1" w:rsidR="002E7184">
        <w:rPr>
          <w:rFonts w:asciiTheme="minorHAnsi" w:hAnsiTheme="minorHAnsi" w:cstheme="minorHAnsi"/>
          <w:sz w:val="18"/>
          <w:szCs w:val="18"/>
          <w:vertAlign w:val="superscript"/>
        </w:rPr>
        <w:t xml:space="preserve"> </w:t>
      </w:r>
      <w:r w:rsidRPr="00390FA1" w:rsidR="002E7184">
        <w:rPr>
          <w:rFonts w:asciiTheme="minorHAnsi" w:hAnsiTheme="minorHAnsi" w:cstheme="minorHAnsi"/>
          <w:sz w:val="18"/>
          <w:szCs w:val="18"/>
        </w:rPr>
        <w:t>The estimate of total annual cost burden was determined as follows:</w:t>
      </w:r>
      <w:r w:rsidRPr="00390FA1" w:rsidR="00154F79">
        <w:rPr>
          <w:rFonts w:asciiTheme="minorHAnsi" w:hAnsiTheme="minorHAnsi" w:cstheme="minorHAnsi"/>
          <w:sz w:val="18"/>
          <w:szCs w:val="18"/>
        </w:rPr>
        <w:t xml:space="preserve"> </w:t>
      </w:r>
      <w:r w:rsidRPr="00390FA1" w:rsidR="002E7184">
        <w:rPr>
          <w:rFonts w:asciiTheme="minorHAnsi" w:hAnsiTheme="minorHAnsi" w:cstheme="minorHAnsi"/>
          <w:sz w:val="18"/>
          <w:szCs w:val="18"/>
        </w:rPr>
        <w:t>Logbook data must be submitted to ADF&amp;G weekly between April and the end of the season. Although the season does not end until December 31, 99 percent of all charter fishing has been completed by the end of September each year. Therefore, we assumed that the season will run 26 weeks.</w:t>
      </w:r>
      <w:r w:rsidRPr="00390FA1" w:rsidR="00154F79">
        <w:rPr>
          <w:rFonts w:asciiTheme="minorHAnsi" w:hAnsiTheme="minorHAnsi" w:cstheme="minorHAnsi"/>
          <w:sz w:val="18"/>
          <w:szCs w:val="18"/>
        </w:rPr>
        <w:t xml:space="preserve"> </w:t>
      </w:r>
      <w:r w:rsidRPr="00390FA1" w:rsidR="002E7184">
        <w:rPr>
          <w:rFonts w:asciiTheme="minorHAnsi" w:hAnsiTheme="minorHAnsi" w:cstheme="minorHAnsi"/>
          <w:sz w:val="18"/>
          <w:szCs w:val="18"/>
        </w:rPr>
        <w:t xml:space="preserve">As the permit holder may submit more than one data sheet (response) at a time, at most, a permit holder would submit responses 26 times. If all </w:t>
      </w:r>
      <w:r w:rsidR="00993E3C">
        <w:rPr>
          <w:rFonts w:asciiTheme="minorHAnsi" w:hAnsiTheme="minorHAnsi" w:cstheme="minorHAnsi"/>
          <w:sz w:val="18"/>
          <w:szCs w:val="18"/>
        </w:rPr>
        <w:t>574</w:t>
      </w:r>
      <w:r w:rsidRPr="00390FA1" w:rsidR="00993E3C">
        <w:rPr>
          <w:rFonts w:asciiTheme="minorHAnsi" w:hAnsiTheme="minorHAnsi" w:cstheme="minorHAnsi"/>
          <w:sz w:val="18"/>
          <w:szCs w:val="18"/>
        </w:rPr>
        <w:t xml:space="preserve"> </w:t>
      </w:r>
      <w:r w:rsidRPr="00390FA1" w:rsidR="002E7184">
        <w:rPr>
          <w:rFonts w:asciiTheme="minorHAnsi" w:hAnsiTheme="minorHAnsi" w:cstheme="minorHAnsi"/>
          <w:sz w:val="18"/>
          <w:szCs w:val="18"/>
        </w:rPr>
        <w:t xml:space="preserve">permit holders submit their responses every week, during the season, the total cost would be </w:t>
      </w:r>
      <w:r w:rsidR="00993E3C">
        <w:rPr>
          <w:rFonts w:asciiTheme="minorHAnsi" w:hAnsiTheme="minorHAnsi" w:cstheme="minorHAnsi"/>
          <w:sz w:val="18"/>
          <w:szCs w:val="18"/>
        </w:rPr>
        <w:t>574</w:t>
      </w:r>
      <w:r w:rsidRPr="00390FA1" w:rsidR="00993E3C">
        <w:rPr>
          <w:rFonts w:asciiTheme="minorHAnsi" w:hAnsiTheme="minorHAnsi" w:cstheme="minorHAnsi"/>
          <w:sz w:val="18"/>
          <w:szCs w:val="18"/>
        </w:rPr>
        <w:t xml:space="preserve"> </w:t>
      </w:r>
      <w:r w:rsidRPr="00390FA1" w:rsidR="002E7184">
        <w:rPr>
          <w:rFonts w:asciiTheme="minorHAnsi" w:hAnsiTheme="minorHAnsi" w:cstheme="minorHAnsi"/>
          <w:sz w:val="18"/>
          <w:szCs w:val="18"/>
        </w:rPr>
        <w:t>x 26 x $5 = $</w:t>
      </w:r>
      <w:r w:rsidR="00993E3C">
        <w:rPr>
          <w:rFonts w:asciiTheme="minorHAnsi" w:hAnsiTheme="minorHAnsi" w:cstheme="minorHAnsi"/>
          <w:sz w:val="18"/>
          <w:szCs w:val="18"/>
        </w:rPr>
        <w:t>74,620</w:t>
      </w:r>
      <w:r w:rsidRPr="00390FA1" w:rsidR="002E7184">
        <w:rPr>
          <w:rFonts w:asciiTheme="minorHAnsi" w:hAnsiTheme="minorHAnsi" w:cstheme="minorHAnsi"/>
          <w:sz w:val="18"/>
          <w:szCs w:val="18"/>
        </w:rPr>
        <w:t xml:space="preserve">. This estimate is high because it is unlikely that all permits will be used every week of the season. However, a permit holder with several permits could allow several businesses to use those permits, so the logbook sheets would be submitted separately. </w:t>
      </w:r>
    </w:p>
    <w:p w:rsidR="00622253" w:rsidP="00565B66" w14:paraId="0BBF2B80" w14:textId="1B032041">
      <w:pPr>
        <w:pStyle w:val="BodyText"/>
        <w:spacing w:before="0"/>
        <w:ind w:left="0" w:hanging="144"/>
        <w:rPr>
          <w:color w:val="000000"/>
        </w:rPr>
      </w:pPr>
    </w:p>
    <w:p w:rsidR="00565B66" w:rsidRPr="00004CFE" w:rsidP="00565B66" w14:paraId="399BF270" w14:textId="77777777">
      <w:pPr>
        <w:pStyle w:val="BodyText"/>
        <w:spacing w:before="0"/>
        <w:ind w:left="0" w:hanging="144"/>
        <w:rPr>
          <w:color w:val="000000"/>
        </w:rPr>
      </w:pPr>
    </w:p>
    <w:p w:rsidR="00370B85" w:rsidP="00565B66" w14:paraId="3FF4808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E7184" w:rsidP="00565B66" w14:paraId="21F38945" w14:textId="77777777">
      <w:pPr>
        <w:pStyle w:val="BodyText"/>
        <w:widowControl/>
        <w:spacing w:before="0"/>
        <w:ind w:left="0"/>
      </w:pPr>
    </w:p>
    <w:p w:rsidR="002E7184" w:rsidP="00565B66" w14:paraId="16E5E7D2" w14:textId="0D942A59">
      <w:pPr>
        <w:pStyle w:val="BodyText"/>
        <w:widowControl/>
        <w:spacing w:before="0"/>
        <w:ind w:left="0"/>
      </w:pPr>
      <w:r w:rsidRPr="00473984">
        <w:t>NMFS costs</w:t>
      </w:r>
      <w:r>
        <w:t xml:space="preserve"> associated with data collection for the GAF program are recoverable through IFQ program cost recovery fees. </w:t>
      </w:r>
      <w:r w:rsidRPr="00473984" w:rsidR="009A2826">
        <w:t>Therefore, the information collection requirements of the</w:t>
      </w:r>
      <w:r w:rsidR="009A2826">
        <w:t xml:space="preserve"> GAF landing report, the GAF permit log, and the</w:t>
      </w:r>
      <w:r w:rsidRPr="00473984" w:rsidR="009A2826">
        <w:t xml:space="preserve"> </w:t>
      </w:r>
      <w:r w:rsidR="009A2826">
        <w:t>Application for Transfer</w:t>
      </w:r>
      <w:r w:rsidRPr="0039015C" w:rsidR="009A2826">
        <w:t xml:space="preserve"> between IFQ and GAF and issuance of GAF permit </w:t>
      </w:r>
      <w:r w:rsidRPr="00473984" w:rsidR="009A2826">
        <w:t>do not impose a cost on the Federal Government.</w:t>
      </w:r>
      <w:r w:rsidR="009A2826">
        <w:t xml:space="preserve"> </w:t>
      </w:r>
      <w:r>
        <w:t xml:space="preserve">NMFS does not track fees associated with GAF separate from other IFQ program fees. Under this </w:t>
      </w:r>
      <w:r w:rsidRPr="00473984">
        <w:t xml:space="preserve">cost recovery program, NMFS is authorized to collect direct program costs from the permit holders. </w:t>
      </w:r>
      <w:r w:rsidR="009A2826">
        <w:t>In 2023, t</w:t>
      </w:r>
      <w:r w:rsidRPr="009A2826" w:rsidR="009A2826">
        <w:t>he direct program costs for the IFQ Program were $4,856,041</w:t>
      </w:r>
      <w:r w:rsidR="009A2826">
        <w:t xml:space="preserve">. </w:t>
      </w:r>
    </w:p>
    <w:p w:rsidR="00F16D16" w:rsidP="00565B66" w14:paraId="0CFB2F45" w14:textId="77777777">
      <w:pPr>
        <w:pStyle w:val="BodyText"/>
        <w:widowControl/>
        <w:spacing w:before="0"/>
        <w:ind w:left="0"/>
      </w:pPr>
    </w:p>
    <w:p w:rsidR="00F16D16" w:rsidP="00565B66" w14:paraId="1B512497" w14:textId="77777777">
      <w:pPr>
        <w:pStyle w:val="BodyText"/>
        <w:widowControl/>
        <w:spacing w:before="0"/>
        <w:ind w:left="0"/>
      </w:pPr>
      <w:r w:rsidRPr="00F16D16">
        <w:t xml:space="preserve">The fully loaded salary cost includes 52 percent of the salary to account for benefits and other overhead costs. The grade and step are from the Department of Commerce Alternative Personnel System (CAPS) </w:t>
      </w:r>
      <w:r>
        <w:t xml:space="preserve">2024 </w:t>
      </w:r>
      <w:r w:rsidRPr="00F16D16">
        <w:t>pay tables (</w:t>
      </w:r>
      <w:hyperlink r:id="rId31" w:history="1">
        <w:r w:rsidRPr="003559BB">
          <w:rPr>
            <w:rStyle w:val="Hyperlink"/>
            <w:rFonts w:eastAsia="Batang"/>
            <w:shd w:val="clear" w:color="auto" w:fill="FFFFFF"/>
          </w:rPr>
          <w:t>https://www.commerce.gov/hr/practitioners/caps/pay-administration</w:t>
        </w:r>
      </w:hyperlink>
      <w:r w:rsidRPr="00F16D16">
        <w:t>). The general schedule grade equivalent for CAPS is included in parentheses.</w:t>
      </w:r>
    </w:p>
    <w:p w:rsidR="002E7184" w:rsidRPr="008757AB" w:rsidP="00B7052D" w14:paraId="12F56304" w14:textId="77777777">
      <w:pPr>
        <w:pStyle w:val="BodyText"/>
        <w:spacing w:before="9" w:after="1"/>
        <w:ind w:left="0"/>
        <w:rPr>
          <w:b/>
        </w:rPr>
      </w:pPr>
    </w:p>
    <w:tbl>
      <w:tblPr>
        <w:tblW w:w="10054" w:type="dxa"/>
        <w:tblInd w:w="-25" w:type="dxa"/>
        <w:tblLook w:val="04A0"/>
      </w:tblPr>
      <w:tblGrid>
        <w:gridCol w:w="2737"/>
        <w:gridCol w:w="1344"/>
        <w:gridCol w:w="1533"/>
        <w:gridCol w:w="1344"/>
        <w:gridCol w:w="1536"/>
        <w:gridCol w:w="1560"/>
      </w:tblGrid>
      <w:tr w14:paraId="0339845D" w14:textId="77777777" w:rsidTr="00015A06">
        <w:tblPrEx>
          <w:tblW w:w="10054" w:type="dxa"/>
          <w:tblInd w:w="-25" w:type="dxa"/>
          <w:tblLook w:val="04A0"/>
        </w:tblPrEx>
        <w:trPr>
          <w:trHeight w:val="450"/>
        </w:trPr>
        <w:tc>
          <w:tcPr>
            <w:tcW w:w="2737" w:type="dxa"/>
            <w:tcBorders>
              <w:top w:val="single" w:sz="8" w:space="0" w:color="auto"/>
              <w:left w:val="single" w:sz="8" w:space="0" w:color="auto"/>
              <w:bottom w:val="nil"/>
              <w:right w:val="single" w:sz="8" w:space="0" w:color="auto"/>
            </w:tcBorders>
            <w:shd w:val="clear" w:color="000000" w:fill="BDD7EE"/>
            <w:vAlign w:val="center"/>
            <w:hideMark/>
          </w:tcPr>
          <w:p w:rsidR="002E7184" w:rsidRPr="00015A06" w:rsidP="00A538B1" w14:paraId="6AE43FBB"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Cost Descriptions</w:t>
            </w:r>
          </w:p>
        </w:tc>
        <w:tc>
          <w:tcPr>
            <w:tcW w:w="1344" w:type="dxa"/>
            <w:tcBorders>
              <w:top w:val="single" w:sz="8" w:space="0" w:color="auto"/>
              <w:left w:val="nil"/>
              <w:bottom w:val="nil"/>
              <w:right w:val="single" w:sz="8" w:space="0" w:color="auto"/>
            </w:tcBorders>
            <w:shd w:val="clear" w:color="000000" w:fill="BDD7EE"/>
            <w:vAlign w:val="center"/>
            <w:hideMark/>
          </w:tcPr>
          <w:p w:rsidR="002E7184" w:rsidRPr="00015A06" w:rsidP="00A538B1" w14:paraId="516DDA60"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Grade/Step</w:t>
            </w:r>
          </w:p>
        </w:tc>
        <w:tc>
          <w:tcPr>
            <w:tcW w:w="1533" w:type="dxa"/>
            <w:tcBorders>
              <w:top w:val="single" w:sz="8" w:space="0" w:color="auto"/>
              <w:left w:val="nil"/>
              <w:bottom w:val="nil"/>
              <w:right w:val="single" w:sz="8" w:space="0" w:color="auto"/>
            </w:tcBorders>
            <w:shd w:val="clear" w:color="000000" w:fill="BDD7EE"/>
            <w:vAlign w:val="center"/>
            <w:hideMark/>
          </w:tcPr>
          <w:p w:rsidR="002E7184" w:rsidRPr="00015A06" w:rsidP="00A538B1" w14:paraId="7E5F6F03" w14:textId="77777777">
            <w:pPr>
              <w:widowControl/>
              <w:jc w:val="center"/>
              <w:rPr>
                <w:rFonts w:ascii="Calibri" w:hAnsi="Calibri" w:cs="Calibri"/>
                <w:b/>
                <w:bCs/>
                <w:color w:val="000000"/>
                <w:sz w:val="18"/>
                <w:szCs w:val="18"/>
              </w:rPr>
            </w:pPr>
            <w:r>
              <w:rPr>
                <w:rFonts w:ascii="Calibri" w:hAnsi="Calibri" w:cs="Calibri"/>
                <w:b/>
                <w:bCs/>
                <w:color w:val="000000"/>
                <w:sz w:val="18"/>
                <w:szCs w:val="18"/>
              </w:rPr>
              <w:t>Loaded Salary</w:t>
            </w:r>
            <w:r w:rsidRPr="00015A06">
              <w:rPr>
                <w:rFonts w:ascii="Calibri" w:hAnsi="Calibri" w:cs="Calibri"/>
                <w:b/>
                <w:bCs/>
                <w:color w:val="000000"/>
                <w:sz w:val="18"/>
                <w:szCs w:val="18"/>
              </w:rPr>
              <w:t>/Cost</w:t>
            </w:r>
          </w:p>
        </w:tc>
        <w:tc>
          <w:tcPr>
            <w:tcW w:w="1344" w:type="dxa"/>
            <w:tcBorders>
              <w:top w:val="single" w:sz="8" w:space="0" w:color="auto"/>
              <w:left w:val="nil"/>
              <w:bottom w:val="nil"/>
              <w:right w:val="single" w:sz="8" w:space="0" w:color="auto"/>
            </w:tcBorders>
            <w:shd w:val="clear" w:color="000000" w:fill="BDD7EE"/>
            <w:vAlign w:val="center"/>
            <w:hideMark/>
          </w:tcPr>
          <w:p w:rsidR="002E7184" w:rsidRPr="00015A06" w:rsidP="00A538B1" w14:paraId="2E32B3A3"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 of Effort</w:t>
            </w:r>
          </w:p>
        </w:tc>
        <w:tc>
          <w:tcPr>
            <w:tcW w:w="1536" w:type="dxa"/>
            <w:tcBorders>
              <w:top w:val="single" w:sz="8" w:space="0" w:color="auto"/>
              <w:left w:val="nil"/>
              <w:bottom w:val="nil"/>
              <w:right w:val="single" w:sz="8" w:space="0" w:color="auto"/>
            </w:tcBorders>
            <w:shd w:val="clear" w:color="000000" w:fill="BDD7EE"/>
            <w:vAlign w:val="center"/>
            <w:hideMark/>
          </w:tcPr>
          <w:p w:rsidR="002E7184" w:rsidRPr="00015A06" w:rsidP="00A538B1" w14:paraId="6A223D45"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Fringe (if Applicable)</w:t>
            </w:r>
          </w:p>
        </w:tc>
        <w:tc>
          <w:tcPr>
            <w:tcW w:w="1560" w:type="dxa"/>
            <w:tcBorders>
              <w:top w:val="single" w:sz="8" w:space="0" w:color="auto"/>
              <w:left w:val="nil"/>
              <w:bottom w:val="nil"/>
              <w:right w:val="single" w:sz="8" w:space="0" w:color="auto"/>
            </w:tcBorders>
            <w:shd w:val="clear" w:color="000000" w:fill="BDD7EE"/>
            <w:vAlign w:val="center"/>
            <w:hideMark/>
          </w:tcPr>
          <w:p w:rsidR="002E7184" w:rsidRPr="00015A06" w:rsidP="00A538B1" w14:paraId="3E955DBA" w14:textId="77777777">
            <w:pPr>
              <w:widowControl/>
              <w:jc w:val="center"/>
              <w:rPr>
                <w:rFonts w:ascii="Calibri" w:hAnsi="Calibri" w:cs="Calibri"/>
                <w:b/>
                <w:bCs/>
                <w:color w:val="000000"/>
                <w:sz w:val="18"/>
                <w:szCs w:val="18"/>
              </w:rPr>
            </w:pPr>
            <w:r w:rsidRPr="00015A06">
              <w:rPr>
                <w:rFonts w:ascii="Calibri" w:hAnsi="Calibri" w:cs="Calibri"/>
                <w:b/>
                <w:bCs/>
                <w:color w:val="000000"/>
                <w:sz w:val="18"/>
                <w:szCs w:val="18"/>
              </w:rPr>
              <w:t>Total Cost to Government</w:t>
            </w:r>
          </w:p>
        </w:tc>
      </w:tr>
      <w:tr w14:paraId="431A3D3E"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2E7184" w:rsidRPr="007074FD" w:rsidP="00A538B1" w14:paraId="50978474" w14:textId="77777777">
            <w:pPr>
              <w:widowControl/>
              <w:rPr>
                <w:rFonts w:ascii="Calibri" w:hAnsi="Calibri" w:cs="Calibri"/>
                <w:b/>
                <w:bCs/>
                <w:color w:val="000000"/>
                <w:sz w:val="18"/>
                <w:szCs w:val="18"/>
              </w:rPr>
            </w:pPr>
            <w:r w:rsidRPr="007074FD">
              <w:rPr>
                <w:rFonts w:ascii="Calibri" w:hAnsi="Calibri" w:cs="Calibri"/>
                <w:b/>
                <w:bCs/>
                <w:color w:val="000000"/>
                <w:sz w:val="18"/>
                <w:szCs w:val="18"/>
              </w:rPr>
              <w:t>Federal Oversight</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87757D" w:rsidRPr="007074FD" w:rsidP="007074FD" w14:paraId="5FC13779" w14:textId="77777777">
            <w:pPr>
              <w:widowControl/>
              <w:jc w:val="center"/>
              <w:rPr>
                <w:rFonts w:ascii="Calibri" w:hAnsi="Calibri" w:cs="Calibri"/>
                <w:color w:val="000000"/>
                <w:sz w:val="18"/>
                <w:szCs w:val="18"/>
              </w:rPr>
            </w:pPr>
            <w:r w:rsidRPr="007074FD">
              <w:rPr>
                <w:rFonts w:ascii="Calibri" w:hAnsi="Calibri" w:cs="Calibri"/>
                <w:color w:val="000000"/>
                <w:sz w:val="18"/>
                <w:szCs w:val="18"/>
              </w:rPr>
              <w:t>ZS-4 step 4</w:t>
            </w:r>
          </w:p>
          <w:p w:rsidR="002E7184" w:rsidRPr="007074FD" w:rsidP="007074FD" w14:paraId="127A0BEE" w14:textId="77777777">
            <w:pPr>
              <w:widowControl/>
              <w:jc w:val="center"/>
              <w:rPr>
                <w:rFonts w:ascii="Calibri" w:hAnsi="Calibri" w:cs="Calibri"/>
                <w:color w:val="000000"/>
                <w:sz w:val="18"/>
                <w:szCs w:val="18"/>
              </w:rPr>
            </w:pPr>
            <w:r w:rsidRPr="007074FD">
              <w:rPr>
                <w:rFonts w:ascii="Calibri" w:hAnsi="Calibri" w:cs="Calibri"/>
                <w:color w:val="000000"/>
                <w:sz w:val="18"/>
                <w:szCs w:val="18"/>
              </w:rPr>
              <w:t>(GS 7/8)</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2E7184" w:rsidRPr="007074FD" w:rsidP="00015A06" w14:paraId="6F285D4F" w14:textId="77777777">
            <w:pPr>
              <w:widowControl/>
              <w:jc w:val="center"/>
              <w:rPr>
                <w:rFonts w:ascii="Calibri" w:hAnsi="Calibri" w:cs="Calibri"/>
                <w:color w:val="000000"/>
                <w:sz w:val="18"/>
                <w:szCs w:val="18"/>
              </w:rPr>
            </w:pPr>
            <w:r w:rsidRPr="007074FD">
              <w:rPr>
                <w:rFonts w:ascii="Calibri" w:hAnsi="Calibri" w:cs="Calibri"/>
                <w:color w:val="000000"/>
                <w:sz w:val="18"/>
                <w:szCs w:val="18"/>
              </w:rPr>
              <w:t>$124,818</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2E7184" w:rsidRPr="007074FD" w:rsidP="00015A06" w14:paraId="7A909436" w14:textId="77777777">
            <w:pPr>
              <w:widowControl/>
              <w:jc w:val="center"/>
              <w:rPr>
                <w:rFonts w:ascii="Calibri" w:hAnsi="Calibri" w:cs="Calibri"/>
                <w:color w:val="000000"/>
                <w:sz w:val="18"/>
                <w:szCs w:val="18"/>
              </w:rPr>
            </w:pPr>
            <w:r w:rsidRPr="007074FD">
              <w:rPr>
                <w:rFonts w:ascii="Calibri" w:hAnsi="Calibri" w:cs="Calibri"/>
                <w:color w:val="000000"/>
                <w:sz w:val="18"/>
                <w:szCs w:val="18"/>
              </w:rPr>
              <w:t>40</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2E7184" w:rsidRPr="007074FD" w:rsidP="00A538B1" w14:paraId="1792C6D8"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2E7184" w:rsidRPr="007074FD" w:rsidP="00A538B1" w14:paraId="74E2FD3F" w14:textId="77777777">
            <w:pPr>
              <w:widowControl/>
              <w:jc w:val="right"/>
              <w:rPr>
                <w:rFonts w:ascii="Calibri" w:hAnsi="Calibri" w:cs="Calibri"/>
                <w:color w:val="000000"/>
                <w:sz w:val="18"/>
                <w:szCs w:val="18"/>
              </w:rPr>
            </w:pPr>
            <w:r w:rsidRPr="007074FD">
              <w:rPr>
                <w:rFonts w:ascii="Calibri" w:hAnsi="Calibri" w:cs="Calibri"/>
                <w:color w:val="000000"/>
                <w:sz w:val="18"/>
                <w:szCs w:val="18"/>
              </w:rPr>
              <w:t>49,927</w:t>
            </w:r>
          </w:p>
        </w:tc>
      </w:tr>
      <w:tr w14:paraId="4AFD1B35"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60AC47F7" w14:textId="77777777">
            <w:pPr>
              <w:widowControl/>
              <w:rPr>
                <w:rFonts w:ascii="Calibri" w:hAnsi="Calibri" w:cs="Calibri"/>
                <w:bCs/>
                <w:color w:val="000000"/>
                <w:sz w:val="18"/>
                <w:szCs w:val="18"/>
              </w:rPr>
            </w:pPr>
            <w:r w:rsidRPr="007074FD">
              <w:rPr>
                <w:rFonts w:ascii="Calibri" w:hAnsi="Calibri" w:cs="Calibri"/>
                <w:bCs/>
                <w:color w:val="000000"/>
                <w:sz w:val="18"/>
                <w:szCs w:val="18"/>
              </w:rPr>
              <w:t>Other Federal Positions</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4C51C3C5" w14:textId="77777777">
            <w:pPr>
              <w:widowControl/>
              <w:jc w:val="center"/>
              <w:rPr>
                <w:rFonts w:ascii="Calibri" w:hAnsi="Calibri" w:cs="Calibri"/>
                <w:color w:val="000000"/>
                <w:sz w:val="18"/>
                <w:szCs w:val="18"/>
              </w:rPr>
            </w:pPr>
            <w:r w:rsidRPr="007074FD">
              <w:rPr>
                <w:rFonts w:ascii="Calibri" w:hAnsi="Calibri" w:cs="Calibri"/>
                <w:color w:val="000000"/>
                <w:sz w:val="18"/>
                <w:szCs w:val="18"/>
              </w:rPr>
              <w:t>5 X ZA-2 step 3 (GS 9/10)</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77D02BC3" w14:textId="77777777">
            <w:pPr>
              <w:widowControl/>
              <w:jc w:val="center"/>
              <w:rPr>
                <w:rFonts w:ascii="Calibri" w:hAnsi="Calibri" w:cs="Calibri"/>
                <w:color w:val="000000"/>
                <w:sz w:val="18"/>
                <w:szCs w:val="18"/>
              </w:rPr>
            </w:pPr>
            <w:r w:rsidRPr="007074FD">
              <w:rPr>
                <w:rFonts w:ascii="Calibri" w:hAnsi="Calibri" w:cs="Calibri"/>
                <w:color w:val="000000"/>
                <w:sz w:val="18"/>
                <w:szCs w:val="18"/>
              </w:rPr>
              <w:t>$147,393</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082BD7D2" w14:textId="77777777">
            <w:pPr>
              <w:widowControl/>
              <w:jc w:val="center"/>
              <w:rPr>
                <w:rFonts w:ascii="Calibri" w:hAnsi="Calibri" w:cs="Calibri"/>
                <w:color w:val="000000"/>
                <w:sz w:val="18"/>
                <w:szCs w:val="18"/>
              </w:rPr>
            </w:pPr>
            <w:r w:rsidRPr="007074FD">
              <w:rPr>
                <w:rFonts w:ascii="Calibri" w:hAnsi="Calibri" w:cs="Calibri"/>
                <w:color w:val="000000"/>
                <w:sz w:val="18"/>
                <w:szCs w:val="18"/>
              </w:rPr>
              <w:t>125</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7074FD" w:rsidRPr="007074FD" w:rsidP="007074FD" w14:paraId="1503500F"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7074FD" w:rsidRPr="007074FD" w:rsidP="007074FD" w14:paraId="3B230ED7" w14:textId="77777777">
            <w:pPr>
              <w:widowControl/>
              <w:jc w:val="right"/>
              <w:rPr>
                <w:rFonts w:ascii="Calibri" w:hAnsi="Calibri" w:cs="Calibri"/>
                <w:color w:val="000000"/>
                <w:sz w:val="18"/>
                <w:szCs w:val="18"/>
              </w:rPr>
            </w:pPr>
            <w:r w:rsidRPr="007074FD">
              <w:rPr>
                <w:rFonts w:ascii="Calibri" w:hAnsi="Calibri" w:cs="Calibri"/>
                <w:color w:val="000000"/>
                <w:sz w:val="18"/>
                <w:szCs w:val="18"/>
              </w:rPr>
              <w:t>184,241</w:t>
            </w:r>
          </w:p>
        </w:tc>
      </w:tr>
      <w:tr w14:paraId="09430493" w14:textId="77777777" w:rsidTr="00015A06">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6B099692" w14:textId="77777777">
            <w:pPr>
              <w:widowControl/>
              <w:rPr>
                <w:rFonts w:ascii="Calibri" w:hAnsi="Calibri" w:cs="Calibri"/>
                <w:bCs/>
                <w:color w:val="000000"/>
                <w:sz w:val="18"/>
                <w:szCs w:val="18"/>
              </w:rPr>
            </w:pP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69E24277" w14:textId="77777777">
            <w:pPr>
              <w:widowControl/>
              <w:jc w:val="center"/>
              <w:rPr>
                <w:rFonts w:ascii="Calibri" w:hAnsi="Calibri" w:cs="Calibri"/>
                <w:color w:val="000000"/>
                <w:sz w:val="18"/>
                <w:szCs w:val="18"/>
              </w:rPr>
            </w:pPr>
            <w:r w:rsidRPr="007074FD">
              <w:rPr>
                <w:rFonts w:ascii="Calibri" w:hAnsi="Calibri" w:cs="Calibri"/>
                <w:color w:val="000000"/>
                <w:sz w:val="18"/>
                <w:szCs w:val="18"/>
              </w:rPr>
              <w:t>3 X ZA-3 step 3 (GS 11/12)</w:t>
            </w:r>
          </w:p>
        </w:tc>
        <w:tc>
          <w:tcPr>
            <w:tcW w:w="1533"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281CD0EF" w14:textId="77777777">
            <w:pPr>
              <w:widowControl/>
              <w:jc w:val="center"/>
              <w:rPr>
                <w:rFonts w:ascii="Calibri" w:hAnsi="Calibri" w:cs="Calibri"/>
                <w:color w:val="000000"/>
                <w:sz w:val="18"/>
                <w:szCs w:val="18"/>
              </w:rPr>
            </w:pPr>
            <w:r>
              <w:rPr>
                <w:rFonts w:ascii="Calibri" w:hAnsi="Calibri" w:cs="Calibri"/>
                <w:color w:val="000000"/>
                <w:sz w:val="18"/>
                <w:szCs w:val="18"/>
              </w:rPr>
              <w:t>$</w:t>
            </w:r>
            <w:r w:rsidRPr="007074FD">
              <w:rPr>
                <w:rFonts w:ascii="Calibri" w:hAnsi="Calibri" w:cs="Calibri"/>
                <w:color w:val="000000"/>
                <w:sz w:val="18"/>
                <w:szCs w:val="18"/>
              </w:rPr>
              <w:t>194,101</w:t>
            </w:r>
          </w:p>
        </w:tc>
        <w:tc>
          <w:tcPr>
            <w:tcW w:w="1344" w:type="dxa"/>
            <w:tcBorders>
              <w:top w:val="single" w:sz="4" w:space="0" w:color="auto"/>
              <w:left w:val="nil"/>
              <w:bottom w:val="single" w:sz="4" w:space="0" w:color="auto"/>
              <w:right w:val="single" w:sz="4" w:space="0" w:color="auto"/>
            </w:tcBorders>
            <w:shd w:val="clear" w:color="auto" w:fill="auto"/>
            <w:noWrap/>
            <w:vAlign w:val="center"/>
          </w:tcPr>
          <w:p w:rsidR="007074FD" w:rsidRPr="007074FD" w:rsidP="007074FD" w14:paraId="74882468" w14:textId="77777777">
            <w:pPr>
              <w:widowControl/>
              <w:jc w:val="center"/>
              <w:rPr>
                <w:rFonts w:ascii="Calibri" w:hAnsi="Calibri" w:cs="Calibri"/>
                <w:color w:val="000000"/>
                <w:sz w:val="18"/>
                <w:szCs w:val="18"/>
              </w:rPr>
            </w:pPr>
            <w:r w:rsidRPr="007074FD">
              <w:rPr>
                <w:rFonts w:ascii="Calibri" w:hAnsi="Calibri" w:cs="Calibri"/>
                <w:color w:val="000000"/>
                <w:sz w:val="18"/>
                <w:szCs w:val="18"/>
              </w:rPr>
              <w:t>75</w:t>
            </w:r>
          </w:p>
        </w:tc>
        <w:tc>
          <w:tcPr>
            <w:tcW w:w="1536" w:type="dxa"/>
            <w:tcBorders>
              <w:top w:val="single" w:sz="4" w:space="0" w:color="auto"/>
              <w:left w:val="nil"/>
              <w:bottom w:val="single" w:sz="4" w:space="0" w:color="auto"/>
              <w:right w:val="single" w:sz="4" w:space="0" w:color="auto"/>
            </w:tcBorders>
            <w:shd w:val="clear" w:color="000000" w:fill="808080"/>
            <w:noWrap/>
            <w:vAlign w:val="center"/>
          </w:tcPr>
          <w:p w:rsidR="007074FD" w:rsidRPr="007074FD" w:rsidP="007074FD" w14:paraId="25E9A3D7" w14:textId="77777777">
            <w:pPr>
              <w:widowControl/>
              <w:rPr>
                <w:rFonts w:ascii="Calibri" w:hAnsi="Calibri" w:cs="Calibri"/>
                <w:color w:val="000000"/>
                <w:sz w:val="18"/>
                <w:szCs w:val="18"/>
              </w:rPr>
            </w:pP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7074FD" w:rsidRPr="007074FD" w:rsidP="007074FD" w14:paraId="0F3F44E7" w14:textId="77777777">
            <w:pPr>
              <w:widowControl/>
              <w:jc w:val="right"/>
              <w:rPr>
                <w:rFonts w:ascii="Calibri" w:hAnsi="Calibri" w:cs="Calibri"/>
                <w:color w:val="000000"/>
                <w:sz w:val="18"/>
                <w:szCs w:val="18"/>
              </w:rPr>
            </w:pPr>
            <w:r w:rsidRPr="007074FD">
              <w:rPr>
                <w:rFonts w:ascii="Calibri" w:hAnsi="Calibri" w:cs="Calibri"/>
                <w:color w:val="000000"/>
                <w:sz w:val="18"/>
                <w:szCs w:val="18"/>
              </w:rPr>
              <w:t>145,576</w:t>
            </w:r>
          </w:p>
        </w:tc>
      </w:tr>
      <w:tr w14:paraId="6DAA06FA" w14:textId="77777777" w:rsidTr="007074FD">
        <w:tblPrEx>
          <w:tblW w:w="10054" w:type="dxa"/>
          <w:tblInd w:w="-25" w:type="dxa"/>
          <w:tblLook w:val="04A0"/>
        </w:tblPrEx>
        <w:trPr>
          <w:trHeight w:val="465"/>
        </w:trPr>
        <w:tc>
          <w:tcPr>
            <w:tcW w:w="2737" w:type="dxa"/>
            <w:tcBorders>
              <w:top w:val="single" w:sz="4" w:space="0" w:color="auto"/>
              <w:left w:val="single" w:sz="8" w:space="0" w:color="auto"/>
              <w:bottom w:val="single" w:sz="4" w:space="0" w:color="auto"/>
              <w:right w:val="single" w:sz="8" w:space="0" w:color="auto"/>
            </w:tcBorders>
            <w:shd w:val="clear" w:color="auto" w:fill="auto"/>
            <w:vAlign w:val="center"/>
          </w:tcPr>
          <w:p w:rsidR="007074FD" w:rsidRPr="007074FD" w:rsidP="007074FD" w14:paraId="6B1326C9" w14:textId="77777777">
            <w:pPr>
              <w:widowControl/>
              <w:rPr>
                <w:rFonts w:ascii="Calibri" w:hAnsi="Calibri" w:cs="Calibri"/>
                <w:bCs/>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7074FD" w:rsidRPr="007074FD" w:rsidP="007074FD" w14:paraId="58C3CD60" w14:textId="77777777">
            <w:pPr>
              <w:widowControl/>
              <w:jc w:val="center"/>
              <w:rPr>
                <w:rFonts w:ascii="Calibri" w:hAnsi="Calibri" w:cs="Calibri"/>
                <w:color w:val="000000"/>
                <w:sz w:val="18"/>
                <w:szCs w:val="18"/>
              </w:rPr>
            </w:pPr>
            <w:r w:rsidRPr="007074FD">
              <w:rPr>
                <w:rFonts w:ascii="Calibri" w:hAnsi="Calibri" w:cs="Calibri"/>
                <w:color w:val="000000"/>
                <w:sz w:val="18"/>
                <w:szCs w:val="18"/>
              </w:rPr>
              <w:t>ZA-4 step 3</w:t>
            </w:r>
          </w:p>
          <w:p w:rsidR="007074FD" w:rsidRPr="007074FD" w:rsidP="007074FD" w14:paraId="6AAACC7D" w14:textId="77777777">
            <w:pPr>
              <w:widowControl/>
              <w:jc w:val="center"/>
              <w:rPr>
                <w:rFonts w:ascii="Calibri" w:hAnsi="Calibri" w:cs="Calibri"/>
                <w:color w:val="000000"/>
                <w:sz w:val="18"/>
                <w:szCs w:val="18"/>
              </w:rPr>
            </w:pPr>
            <w:r w:rsidRPr="007074FD">
              <w:rPr>
                <w:rFonts w:ascii="Calibri" w:hAnsi="Calibri" w:cs="Calibri"/>
                <w:color w:val="000000"/>
                <w:sz w:val="18"/>
                <w:szCs w:val="18"/>
              </w:rPr>
              <w:t>(GS 13/14)</w:t>
            </w:r>
          </w:p>
        </w:tc>
        <w:tc>
          <w:tcPr>
            <w:tcW w:w="1533" w:type="dxa"/>
            <w:tcBorders>
              <w:top w:val="nil"/>
              <w:left w:val="nil"/>
              <w:bottom w:val="single" w:sz="4" w:space="0" w:color="auto"/>
              <w:right w:val="single" w:sz="4" w:space="0" w:color="auto"/>
            </w:tcBorders>
            <w:shd w:val="clear" w:color="auto" w:fill="auto"/>
            <w:noWrap/>
            <w:vAlign w:val="center"/>
          </w:tcPr>
          <w:p w:rsidR="007074FD" w:rsidRPr="007074FD" w:rsidP="007074FD" w14:paraId="3573D7D7" w14:textId="77777777">
            <w:pPr>
              <w:widowControl/>
              <w:jc w:val="center"/>
              <w:rPr>
                <w:rFonts w:ascii="Calibri" w:hAnsi="Calibri" w:cs="Calibri"/>
                <w:color w:val="000000"/>
                <w:sz w:val="18"/>
                <w:szCs w:val="18"/>
              </w:rPr>
            </w:pPr>
            <w:r>
              <w:rPr>
                <w:rFonts w:ascii="Calibri" w:hAnsi="Calibri" w:cs="Calibri"/>
                <w:color w:val="000000"/>
                <w:sz w:val="18"/>
                <w:szCs w:val="18"/>
              </w:rPr>
              <w:t>$</w:t>
            </w:r>
            <w:r w:rsidRPr="007074FD">
              <w:rPr>
                <w:rFonts w:ascii="Calibri" w:hAnsi="Calibri" w:cs="Calibri"/>
                <w:color w:val="000000"/>
                <w:sz w:val="18"/>
                <w:szCs w:val="18"/>
              </w:rPr>
              <w:t>272,761</w:t>
            </w:r>
          </w:p>
        </w:tc>
        <w:tc>
          <w:tcPr>
            <w:tcW w:w="1344" w:type="dxa"/>
            <w:tcBorders>
              <w:top w:val="nil"/>
              <w:left w:val="nil"/>
              <w:bottom w:val="single" w:sz="4" w:space="0" w:color="auto"/>
              <w:right w:val="single" w:sz="4" w:space="0" w:color="auto"/>
            </w:tcBorders>
            <w:shd w:val="clear" w:color="auto" w:fill="auto"/>
            <w:noWrap/>
            <w:vAlign w:val="center"/>
          </w:tcPr>
          <w:p w:rsidR="007074FD" w:rsidRPr="007074FD" w:rsidP="007074FD" w14:paraId="382C1352" w14:textId="77777777">
            <w:pPr>
              <w:widowControl/>
              <w:jc w:val="center"/>
              <w:rPr>
                <w:rFonts w:ascii="Calibri" w:hAnsi="Calibri" w:cs="Calibri"/>
                <w:color w:val="000000"/>
                <w:sz w:val="18"/>
                <w:szCs w:val="18"/>
              </w:rPr>
            </w:pPr>
            <w:r w:rsidRPr="007074FD">
              <w:rPr>
                <w:rFonts w:ascii="Calibri" w:hAnsi="Calibri" w:cs="Calibri"/>
                <w:color w:val="000000"/>
                <w:sz w:val="18"/>
                <w:szCs w:val="18"/>
              </w:rPr>
              <w:t>25</w:t>
            </w:r>
          </w:p>
        </w:tc>
        <w:tc>
          <w:tcPr>
            <w:tcW w:w="1536" w:type="dxa"/>
            <w:tcBorders>
              <w:top w:val="nil"/>
              <w:left w:val="nil"/>
              <w:bottom w:val="single" w:sz="4" w:space="0" w:color="auto"/>
              <w:right w:val="single" w:sz="4" w:space="0" w:color="auto"/>
            </w:tcBorders>
            <w:shd w:val="clear" w:color="000000" w:fill="808080"/>
            <w:noWrap/>
            <w:vAlign w:val="center"/>
          </w:tcPr>
          <w:p w:rsidR="007074FD" w:rsidRPr="007074FD" w:rsidP="007074FD" w14:paraId="0DEDFDD2"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7074FD" w:rsidRPr="007074FD" w:rsidP="007074FD" w14:paraId="7E2F0A45" w14:textId="77777777">
            <w:pPr>
              <w:widowControl/>
              <w:jc w:val="right"/>
              <w:rPr>
                <w:rFonts w:ascii="Calibri" w:hAnsi="Calibri" w:cs="Calibri"/>
                <w:color w:val="000000"/>
                <w:sz w:val="18"/>
                <w:szCs w:val="18"/>
              </w:rPr>
            </w:pPr>
            <w:r w:rsidRPr="007074FD">
              <w:rPr>
                <w:rFonts w:ascii="Calibri" w:hAnsi="Calibri" w:cs="Calibri"/>
                <w:color w:val="000000"/>
                <w:sz w:val="18"/>
                <w:szCs w:val="18"/>
              </w:rPr>
              <w:t>68,190</w:t>
            </w:r>
          </w:p>
        </w:tc>
      </w:tr>
      <w:tr w14:paraId="631259AB" w14:textId="77777777" w:rsidTr="007074FD">
        <w:tblPrEx>
          <w:tblW w:w="10054" w:type="dxa"/>
          <w:tblInd w:w="-25" w:type="dxa"/>
          <w:tblLook w:val="04A0"/>
        </w:tblPrEx>
        <w:trPr>
          <w:trHeight w:val="300"/>
        </w:trPr>
        <w:tc>
          <w:tcPr>
            <w:tcW w:w="2737" w:type="dxa"/>
            <w:tcBorders>
              <w:top w:val="nil"/>
              <w:left w:val="single" w:sz="8" w:space="0" w:color="auto"/>
              <w:bottom w:val="single" w:sz="4" w:space="0" w:color="auto"/>
              <w:right w:val="single" w:sz="8" w:space="0" w:color="auto"/>
            </w:tcBorders>
            <w:shd w:val="clear" w:color="auto" w:fill="auto"/>
            <w:noWrap/>
            <w:vAlign w:val="center"/>
          </w:tcPr>
          <w:p w:rsidR="007074FD" w:rsidRPr="00015A06" w:rsidP="007074FD" w14:paraId="2EDAA639" w14:textId="77777777">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7074FD" w:rsidRPr="002E000D" w:rsidP="007074FD" w14:paraId="1527A6DC" w14:textId="77777777">
            <w:pPr>
              <w:widowControl/>
              <w:jc w:val="center"/>
              <w:rPr>
                <w:rFonts w:ascii="Calibri" w:hAnsi="Calibri" w:cs="Calibri"/>
                <w:color w:val="000000"/>
                <w:sz w:val="18"/>
                <w:szCs w:val="18"/>
              </w:rPr>
            </w:pPr>
            <w:r w:rsidRPr="009F18EF">
              <w:rPr>
                <w:rFonts w:ascii="Calibri" w:hAnsi="Calibri" w:cs="Calibri"/>
                <w:color w:val="000000"/>
                <w:sz w:val="18"/>
                <w:szCs w:val="18"/>
              </w:rPr>
              <w:t>GS 14</w:t>
            </w:r>
          </w:p>
        </w:tc>
        <w:tc>
          <w:tcPr>
            <w:tcW w:w="1533" w:type="dxa"/>
            <w:tcBorders>
              <w:top w:val="nil"/>
              <w:left w:val="nil"/>
              <w:bottom w:val="single" w:sz="4" w:space="0" w:color="auto"/>
              <w:right w:val="single" w:sz="4" w:space="0" w:color="auto"/>
            </w:tcBorders>
            <w:shd w:val="clear" w:color="auto" w:fill="auto"/>
            <w:noWrap/>
            <w:vAlign w:val="center"/>
          </w:tcPr>
          <w:p w:rsidR="007074FD" w:rsidRPr="002E000D" w:rsidP="007074FD" w14:paraId="2D390AB5" w14:textId="77777777">
            <w:pPr>
              <w:widowControl/>
              <w:jc w:val="center"/>
              <w:rPr>
                <w:rFonts w:ascii="Calibri" w:hAnsi="Calibri" w:cs="Calibri"/>
                <w:color w:val="000000"/>
                <w:sz w:val="18"/>
                <w:szCs w:val="18"/>
              </w:rPr>
            </w:pPr>
            <w:r w:rsidRPr="00F16D16">
              <w:rPr>
                <w:rFonts w:ascii="Calibri" w:hAnsi="Calibri" w:cs="Calibri"/>
                <w:color w:val="000000"/>
                <w:sz w:val="18"/>
                <w:szCs w:val="18"/>
              </w:rPr>
              <w:t>$275,448</w:t>
            </w:r>
          </w:p>
        </w:tc>
        <w:tc>
          <w:tcPr>
            <w:tcW w:w="1344" w:type="dxa"/>
            <w:tcBorders>
              <w:top w:val="nil"/>
              <w:left w:val="nil"/>
              <w:bottom w:val="single" w:sz="4" w:space="0" w:color="auto"/>
              <w:right w:val="single" w:sz="4" w:space="0" w:color="auto"/>
            </w:tcBorders>
            <w:shd w:val="clear" w:color="auto" w:fill="auto"/>
            <w:noWrap/>
            <w:vAlign w:val="center"/>
          </w:tcPr>
          <w:p w:rsidR="007074FD" w:rsidRPr="002E000D" w:rsidP="007074FD" w14:paraId="005C91DB" w14:textId="77777777">
            <w:pPr>
              <w:widowControl/>
              <w:jc w:val="center"/>
              <w:rPr>
                <w:rFonts w:ascii="Calibri" w:hAnsi="Calibri" w:cs="Calibri"/>
                <w:color w:val="000000"/>
                <w:sz w:val="18"/>
                <w:szCs w:val="18"/>
              </w:rPr>
            </w:pPr>
            <w:r>
              <w:rPr>
                <w:rFonts w:ascii="Calibri" w:hAnsi="Calibri" w:cs="Calibri"/>
                <w:color w:val="000000"/>
                <w:sz w:val="18"/>
                <w:szCs w:val="18"/>
              </w:rPr>
              <w:t>0.2</w:t>
            </w:r>
          </w:p>
        </w:tc>
        <w:tc>
          <w:tcPr>
            <w:tcW w:w="1536" w:type="dxa"/>
            <w:tcBorders>
              <w:top w:val="nil"/>
              <w:left w:val="nil"/>
              <w:bottom w:val="single" w:sz="4" w:space="0" w:color="auto"/>
              <w:right w:val="single" w:sz="4" w:space="0" w:color="auto"/>
            </w:tcBorders>
            <w:shd w:val="clear" w:color="000000" w:fill="808080"/>
            <w:noWrap/>
            <w:vAlign w:val="center"/>
          </w:tcPr>
          <w:p w:rsidR="007074FD" w:rsidRPr="002E000D" w:rsidP="007074FD" w14:paraId="7A5438B3"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7074FD" w:rsidRPr="002E000D" w:rsidP="007074FD" w14:paraId="0C102970" w14:textId="77777777">
            <w:pPr>
              <w:widowControl/>
              <w:jc w:val="right"/>
              <w:rPr>
                <w:rFonts w:ascii="Calibri" w:hAnsi="Calibri" w:cs="Calibri"/>
                <w:color w:val="000000"/>
                <w:sz w:val="18"/>
                <w:szCs w:val="18"/>
              </w:rPr>
            </w:pPr>
            <w:r w:rsidRPr="009F18EF">
              <w:rPr>
                <w:rFonts w:ascii="Calibri" w:hAnsi="Calibri" w:cs="Calibri"/>
                <w:color w:val="000000"/>
                <w:sz w:val="18"/>
                <w:szCs w:val="18"/>
              </w:rPr>
              <w:t>551</w:t>
            </w:r>
          </w:p>
        </w:tc>
      </w:tr>
      <w:tr w14:paraId="23544F49" w14:textId="77777777" w:rsidTr="00015A06">
        <w:tblPrEx>
          <w:tblW w:w="10054" w:type="dxa"/>
          <w:tblInd w:w="-25" w:type="dxa"/>
          <w:tblLook w:val="04A0"/>
        </w:tblPrEx>
        <w:trPr>
          <w:trHeight w:val="465"/>
        </w:trPr>
        <w:tc>
          <w:tcPr>
            <w:tcW w:w="2737" w:type="dxa"/>
            <w:tcBorders>
              <w:top w:val="nil"/>
              <w:left w:val="single" w:sz="8" w:space="0" w:color="auto"/>
              <w:bottom w:val="single" w:sz="4" w:space="0" w:color="auto"/>
              <w:right w:val="single" w:sz="8" w:space="0" w:color="auto"/>
            </w:tcBorders>
            <w:shd w:val="clear" w:color="auto" w:fill="auto"/>
            <w:vAlign w:val="center"/>
            <w:hideMark/>
          </w:tcPr>
          <w:p w:rsidR="002E7184" w:rsidRPr="00015A06" w:rsidP="00A538B1" w14:paraId="5206E6DD" w14:textId="77777777">
            <w:pPr>
              <w:widowControl/>
              <w:rPr>
                <w:rFonts w:ascii="Calibri" w:hAnsi="Calibri" w:cs="Calibri"/>
                <w:b/>
                <w:bCs/>
                <w:color w:val="000000"/>
                <w:sz w:val="18"/>
                <w:szCs w:val="18"/>
              </w:rPr>
            </w:pPr>
            <w:r w:rsidRPr="00015A06">
              <w:rPr>
                <w:rFonts w:ascii="Calibri" w:hAnsi="Calibri" w:cs="Calibri"/>
                <w:b/>
                <w:bCs/>
                <w:color w:val="000000"/>
                <w:sz w:val="18"/>
                <w:szCs w:val="18"/>
              </w:rPr>
              <w:t>Contractor Cost</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015A06" w:rsidP="00A538B1" w14:paraId="6DD37BC8"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65409D24"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7AD96716"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01549E3F"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2647960E" w14:textId="77777777">
            <w:pPr>
              <w:widowControl/>
              <w:jc w:val="right"/>
              <w:rPr>
                <w:rFonts w:ascii="Calibri" w:hAnsi="Calibri" w:cs="Calibri"/>
                <w:color w:val="000000"/>
                <w:sz w:val="18"/>
                <w:szCs w:val="18"/>
              </w:rPr>
            </w:pPr>
            <w:r w:rsidRPr="0072050B">
              <w:rPr>
                <w:rFonts w:ascii="Calibri" w:hAnsi="Calibri" w:cs="Calibri"/>
                <w:color w:val="000000"/>
                <w:sz w:val="18"/>
                <w:szCs w:val="18"/>
              </w:rPr>
              <w:t> </w:t>
            </w:r>
          </w:p>
        </w:tc>
      </w:tr>
      <w:tr w14:paraId="63F9ECC4" w14:textId="77777777" w:rsidTr="00015A06">
        <w:tblPrEx>
          <w:tblW w:w="10054" w:type="dxa"/>
          <w:tblInd w:w="-25" w:type="dxa"/>
          <w:tblLook w:val="04A0"/>
        </w:tblPrEx>
        <w:trPr>
          <w:trHeight w:val="300"/>
        </w:trPr>
        <w:tc>
          <w:tcPr>
            <w:tcW w:w="2737" w:type="dxa"/>
            <w:tcBorders>
              <w:top w:val="nil"/>
              <w:left w:val="single" w:sz="8" w:space="0" w:color="auto"/>
              <w:bottom w:val="single" w:sz="4" w:space="0" w:color="auto"/>
              <w:right w:val="single" w:sz="8" w:space="0" w:color="auto"/>
            </w:tcBorders>
            <w:shd w:val="clear" w:color="auto" w:fill="auto"/>
            <w:noWrap/>
            <w:vAlign w:val="center"/>
            <w:hideMark/>
          </w:tcPr>
          <w:p w:rsidR="002E7184" w:rsidRPr="00015A06" w:rsidP="00A538B1" w14:paraId="74726B56" w14:textId="77777777">
            <w:pPr>
              <w:widowControl/>
              <w:rPr>
                <w:rFonts w:ascii="Calibri" w:hAnsi="Calibri" w:cs="Calibri"/>
                <w:b/>
                <w:bCs/>
                <w:color w:val="000000"/>
                <w:sz w:val="18"/>
                <w:szCs w:val="18"/>
              </w:rPr>
            </w:pPr>
            <w:r w:rsidRPr="00015A06">
              <w:rPr>
                <w:rFonts w:ascii="Calibri" w:hAnsi="Calibri" w:cs="Calibri"/>
                <w:b/>
                <w:bCs/>
                <w:color w:val="000000"/>
                <w:sz w:val="18"/>
                <w:szCs w:val="18"/>
              </w:rPr>
              <w:t>Travel</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015A06" w:rsidP="00A538B1" w14:paraId="648CB332"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04C36B72"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57FDA591"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000000" w:fill="808080"/>
            <w:noWrap/>
            <w:vAlign w:val="center"/>
            <w:hideMark/>
          </w:tcPr>
          <w:p w:rsidR="002E7184" w:rsidRPr="0072050B" w:rsidP="00A538B1" w14:paraId="38C58B83"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0D85E048" w14:textId="77777777">
            <w:pPr>
              <w:widowControl/>
              <w:jc w:val="right"/>
              <w:rPr>
                <w:rFonts w:ascii="Calibri" w:hAnsi="Calibri" w:cs="Calibri"/>
                <w:color w:val="000000"/>
                <w:sz w:val="18"/>
                <w:szCs w:val="18"/>
              </w:rPr>
            </w:pPr>
          </w:p>
        </w:tc>
      </w:tr>
      <w:tr w14:paraId="2632CC2A" w14:textId="77777777" w:rsidTr="00015A06">
        <w:tblPrEx>
          <w:tblW w:w="10054" w:type="dxa"/>
          <w:tblInd w:w="-25" w:type="dxa"/>
          <w:tblLook w:val="04A0"/>
        </w:tblPrEx>
        <w:trPr>
          <w:trHeight w:val="525"/>
        </w:trPr>
        <w:tc>
          <w:tcPr>
            <w:tcW w:w="2737" w:type="dxa"/>
            <w:tcBorders>
              <w:top w:val="nil"/>
              <w:left w:val="single" w:sz="8" w:space="0" w:color="auto"/>
              <w:bottom w:val="single" w:sz="8" w:space="0" w:color="auto"/>
              <w:right w:val="single" w:sz="8" w:space="0" w:color="auto"/>
            </w:tcBorders>
            <w:shd w:val="clear" w:color="auto" w:fill="auto"/>
            <w:vAlign w:val="center"/>
            <w:hideMark/>
          </w:tcPr>
          <w:p w:rsidR="002E7184" w:rsidRPr="00015A06" w:rsidP="00A538B1" w14:paraId="05FD0767" w14:textId="77777777">
            <w:pPr>
              <w:widowControl/>
              <w:rPr>
                <w:rFonts w:ascii="Calibri" w:hAnsi="Calibri" w:cs="Calibri"/>
                <w:b/>
                <w:bCs/>
                <w:color w:val="000000"/>
                <w:sz w:val="18"/>
                <w:szCs w:val="18"/>
              </w:rPr>
            </w:pPr>
            <w:r w:rsidRPr="00015A06">
              <w:rPr>
                <w:rFonts w:ascii="Calibri" w:hAnsi="Calibri" w:cs="Calibri"/>
                <w:b/>
                <w:bCs/>
                <w:color w:val="000000"/>
                <w:sz w:val="18"/>
                <w:szCs w:val="18"/>
              </w:rPr>
              <w:t xml:space="preserve">Other Costs: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015A06" w:rsidP="00A538B1" w14:paraId="5711B8FB"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5DF268B9"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37A85E7E"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nil"/>
              <w:left w:val="nil"/>
              <w:bottom w:val="single" w:sz="4" w:space="0" w:color="auto"/>
              <w:right w:val="single" w:sz="4" w:space="0" w:color="auto"/>
            </w:tcBorders>
            <w:shd w:val="clear" w:color="auto" w:fill="auto"/>
            <w:noWrap/>
            <w:vAlign w:val="center"/>
            <w:hideMark/>
          </w:tcPr>
          <w:p w:rsidR="002E7184" w:rsidRPr="0072050B" w:rsidP="00A538B1" w14:paraId="513DE715"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2E7184" w:rsidRPr="0072050B" w:rsidP="00A538B1" w14:paraId="4ED6EC44" w14:textId="77777777">
            <w:pPr>
              <w:widowControl/>
              <w:jc w:val="right"/>
              <w:rPr>
                <w:rFonts w:ascii="Calibri" w:hAnsi="Calibri" w:cs="Calibri"/>
                <w:color w:val="000000"/>
                <w:sz w:val="18"/>
                <w:szCs w:val="18"/>
              </w:rPr>
            </w:pPr>
          </w:p>
        </w:tc>
      </w:tr>
      <w:tr w14:paraId="30C35552" w14:textId="77777777" w:rsidTr="00015A06">
        <w:tblPrEx>
          <w:tblW w:w="10054" w:type="dxa"/>
          <w:tblInd w:w="-25" w:type="dxa"/>
          <w:tblLook w:val="04A0"/>
        </w:tblPrEx>
        <w:trPr>
          <w:trHeight w:val="525"/>
        </w:trPr>
        <w:tc>
          <w:tcPr>
            <w:tcW w:w="2737" w:type="dxa"/>
            <w:tcBorders>
              <w:top w:val="single" w:sz="8" w:space="0" w:color="auto"/>
              <w:left w:val="single" w:sz="8" w:space="0" w:color="auto"/>
              <w:bottom w:val="single" w:sz="8" w:space="0" w:color="auto"/>
              <w:right w:val="single" w:sz="8" w:space="0" w:color="auto"/>
            </w:tcBorders>
            <w:shd w:val="clear" w:color="auto" w:fill="auto"/>
            <w:vAlign w:val="center"/>
          </w:tcPr>
          <w:p w:rsidR="002E7184" w:rsidRPr="00015A06" w:rsidP="00A538B1" w14:paraId="05CF2A79" w14:textId="77777777">
            <w:pPr>
              <w:widowControl/>
              <w:rPr>
                <w:rFonts w:ascii="Calibri" w:hAnsi="Calibri" w:cs="Calibri"/>
                <w:bCs/>
                <w:color w:val="000000"/>
                <w:sz w:val="18"/>
                <w:szCs w:val="18"/>
              </w:rPr>
            </w:pPr>
            <w:r w:rsidRPr="00015A06">
              <w:rPr>
                <w:rFonts w:ascii="Calibri" w:hAnsi="Calibri" w:cs="Calibri"/>
                <w:bCs/>
                <w:color w:val="000000"/>
                <w:sz w:val="18"/>
                <w:szCs w:val="18"/>
              </w:rPr>
              <w:t>Mailing costs and supplies</w:t>
            </w:r>
          </w:p>
        </w:tc>
        <w:tc>
          <w:tcPr>
            <w:tcW w:w="1344" w:type="dxa"/>
            <w:tcBorders>
              <w:top w:val="nil"/>
              <w:left w:val="nil"/>
              <w:bottom w:val="single" w:sz="4" w:space="0" w:color="auto"/>
              <w:right w:val="single" w:sz="4" w:space="0" w:color="auto"/>
            </w:tcBorders>
            <w:shd w:val="clear" w:color="auto" w:fill="auto"/>
            <w:noWrap/>
            <w:vAlign w:val="center"/>
          </w:tcPr>
          <w:p w:rsidR="002E7184" w:rsidRPr="00015A06" w:rsidP="00A538B1" w14:paraId="779D14CF" w14:textId="77777777">
            <w:pPr>
              <w:widowControl/>
              <w:rPr>
                <w:rFonts w:ascii="Calibri" w:hAnsi="Calibri" w:cs="Calibri"/>
                <w:color w:val="000000"/>
                <w:sz w:val="18"/>
                <w:szCs w:val="18"/>
              </w:rPr>
            </w:pPr>
          </w:p>
        </w:tc>
        <w:tc>
          <w:tcPr>
            <w:tcW w:w="1533" w:type="dxa"/>
            <w:tcBorders>
              <w:top w:val="nil"/>
              <w:left w:val="nil"/>
              <w:bottom w:val="single" w:sz="4" w:space="0" w:color="auto"/>
              <w:right w:val="single" w:sz="4" w:space="0" w:color="auto"/>
            </w:tcBorders>
            <w:shd w:val="clear" w:color="auto" w:fill="auto"/>
            <w:noWrap/>
            <w:vAlign w:val="center"/>
          </w:tcPr>
          <w:p w:rsidR="002E7184" w:rsidRPr="0072050B" w:rsidP="00A538B1" w14:paraId="60343385" w14:textId="77777777">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2E7184" w:rsidRPr="0072050B" w:rsidP="00A538B1" w14:paraId="4DA96BED" w14:textId="77777777">
            <w:pPr>
              <w:widowControl/>
              <w:rPr>
                <w:rFonts w:ascii="Calibri" w:hAnsi="Calibri" w:cs="Calibri"/>
                <w:color w:val="000000"/>
                <w:sz w:val="18"/>
                <w:szCs w:val="18"/>
              </w:rPr>
            </w:pPr>
          </w:p>
        </w:tc>
        <w:tc>
          <w:tcPr>
            <w:tcW w:w="1536" w:type="dxa"/>
            <w:tcBorders>
              <w:top w:val="nil"/>
              <w:left w:val="nil"/>
              <w:bottom w:val="single" w:sz="4" w:space="0" w:color="auto"/>
              <w:right w:val="single" w:sz="4" w:space="0" w:color="auto"/>
            </w:tcBorders>
            <w:shd w:val="clear" w:color="auto" w:fill="auto"/>
            <w:noWrap/>
            <w:vAlign w:val="center"/>
          </w:tcPr>
          <w:p w:rsidR="002E7184" w:rsidRPr="0072050B" w:rsidP="00A538B1" w14:paraId="779E518A"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2E7184" w:rsidRPr="007074FD" w:rsidP="00A538B1" w14:paraId="0FAB114C" w14:textId="77777777">
            <w:pPr>
              <w:widowControl/>
              <w:jc w:val="right"/>
              <w:rPr>
                <w:rFonts w:ascii="Calibri" w:hAnsi="Calibri" w:cs="Calibri"/>
                <w:color w:val="000000"/>
                <w:sz w:val="18"/>
                <w:szCs w:val="18"/>
              </w:rPr>
            </w:pPr>
            <w:r w:rsidRPr="007074FD">
              <w:rPr>
                <w:rFonts w:ascii="Calibri" w:hAnsi="Calibri" w:cs="Calibri"/>
                <w:color w:val="000000"/>
                <w:sz w:val="18"/>
                <w:szCs w:val="18"/>
              </w:rPr>
              <w:t>1,500</w:t>
            </w:r>
          </w:p>
        </w:tc>
      </w:tr>
      <w:tr w14:paraId="0B53536B" w14:textId="77777777" w:rsidTr="00015A06">
        <w:tblPrEx>
          <w:tblW w:w="10054" w:type="dxa"/>
          <w:tblInd w:w="-25" w:type="dxa"/>
          <w:tblLook w:val="04A0"/>
        </w:tblPrEx>
        <w:trPr>
          <w:trHeight w:val="525"/>
        </w:trPr>
        <w:tc>
          <w:tcPr>
            <w:tcW w:w="2737" w:type="dxa"/>
            <w:tcBorders>
              <w:top w:val="single" w:sz="8" w:space="0" w:color="auto"/>
              <w:left w:val="single" w:sz="8" w:space="0" w:color="auto"/>
              <w:bottom w:val="single" w:sz="8" w:space="0" w:color="auto"/>
              <w:right w:val="single" w:sz="8" w:space="0" w:color="auto"/>
            </w:tcBorders>
            <w:shd w:val="clear" w:color="auto" w:fill="auto"/>
            <w:vAlign w:val="center"/>
          </w:tcPr>
          <w:p w:rsidR="002E7184" w:rsidRPr="00015A06" w:rsidP="00A538B1" w14:paraId="50ACF3EB" w14:textId="77777777">
            <w:pPr>
              <w:widowControl/>
              <w:rPr>
                <w:rFonts w:ascii="Calibri" w:hAnsi="Calibri" w:cs="Calibri"/>
                <w:bCs/>
                <w:color w:val="000000"/>
                <w:sz w:val="18"/>
                <w:szCs w:val="18"/>
              </w:rPr>
            </w:pPr>
            <w:r w:rsidRPr="00015A06">
              <w:rPr>
                <w:rFonts w:ascii="Calibri" w:hAnsi="Calibri" w:cs="Calibri"/>
                <w:bCs/>
                <w:color w:val="000000"/>
                <w:sz w:val="18"/>
                <w:szCs w:val="18"/>
              </w:rPr>
              <w:t>Special permit paper</w:t>
            </w:r>
          </w:p>
        </w:tc>
        <w:tc>
          <w:tcPr>
            <w:tcW w:w="1344" w:type="dxa"/>
            <w:tcBorders>
              <w:top w:val="nil"/>
              <w:left w:val="nil"/>
              <w:bottom w:val="single" w:sz="4" w:space="0" w:color="auto"/>
              <w:right w:val="single" w:sz="4" w:space="0" w:color="auto"/>
            </w:tcBorders>
            <w:shd w:val="clear" w:color="auto" w:fill="auto"/>
            <w:noWrap/>
            <w:vAlign w:val="center"/>
          </w:tcPr>
          <w:p w:rsidR="002E7184" w:rsidRPr="00015A06" w:rsidP="00A538B1" w14:paraId="16166301" w14:textId="77777777">
            <w:pPr>
              <w:widowControl/>
              <w:rPr>
                <w:rFonts w:ascii="Calibri" w:hAnsi="Calibri" w:cs="Calibri"/>
                <w:color w:val="000000"/>
                <w:sz w:val="18"/>
                <w:szCs w:val="18"/>
              </w:rPr>
            </w:pPr>
          </w:p>
        </w:tc>
        <w:tc>
          <w:tcPr>
            <w:tcW w:w="1533" w:type="dxa"/>
            <w:tcBorders>
              <w:top w:val="nil"/>
              <w:left w:val="nil"/>
              <w:bottom w:val="single" w:sz="4" w:space="0" w:color="auto"/>
              <w:right w:val="single" w:sz="4" w:space="0" w:color="auto"/>
            </w:tcBorders>
            <w:shd w:val="clear" w:color="auto" w:fill="auto"/>
            <w:noWrap/>
            <w:vAlign w:val="center"/>
          </w:tcPr>
          <w:p w:rsidR="002E7184" w:rsidRPr="0072050B" w:rsidP="00A538B1" w14:paraId="73E0CEAA" w14:textId="77777777">
            <w:pPr>
              <w:widowControl/>
              <w:rPr>
                <w:rFonts w:ascii="Calibri" w:hAnsi="Calibri" w:cs="Calibri"/>
                <w:color w:val="000000"/>
                <w:sz w:val="18"/>
                <w:szCs w:val="18"/>
              </w:rPr>
            </w:pPr>
          </w:p>
        </w:tc>
        <w:tc>
          <w:tcPr>
            <w:tcW w:w="1344" w:type="dxa"/>
            <w:tcBorders>
              <w:top w:val="nil"/>
              <w:left w:val="nil"/>
              <w:bottom w:val="single" w:sz="4" w:space="0" w:color="auto"/>
              <w:right w:val="single" w:sz="4" w:space="0" w:color="auto"/>
            </w:tcBorders>
            <w:shd w:val="clear" w:color="auto" w:fill="auto"/>
            <w:noWrap/>
            <w:vAlign w:val="center"/>
          </w:tcPr>
          <w:p w:rsidR="002E7184" w:rsidRPr="0072050B" w:rsidP="00A538B1" w14:paraId="12653D88" w14:textId="77777777">
            <w:pPr>
              <w:widowControl/>
              <w:rPr>
                <w:rFonts w:ascii="Calibri" w:hAnsi="Calibri" w:cs="Calibri"/>
                <w:color w:val="000000"/>
                <w:sz w:val="18"/>
                <w:szCs w:val="18"/>
              </w:rPr>
            </w:pPr>
          </w:p>
        </w:tc>
        <w:tc>
          <w:tcPr>
            <w:tcW w:w="1536" w:type="dxa"/>
            <w:tcBorders>
              <w:top w:val="nil"/>
              <w:left w:val="nil"/>
              <w:bottom w:val="single" w:sz="4" w:space="0" w:color="auto"/>
              <w:right w:val="single" w:sz="4" w:space="0" w:color="auto"/>
            </w:tcBorders>
            <w:shd w:val="clear" w:color="auto" w:fill="auto"/>
            <w:noWrap/>
            <w:vAlign w:val="center"/>
          </w:tcPr>
          <w:p w:rsidR="002E7184" w:rsidRPr="0072050B" w:rsidP="00A538B1" w14:paraId="50F641ED" w14:textId="77777777">
            <w:pPr>
              <w:widowControl/>
              <w:rPr>
                <w:rFonts w:ascii="Calibri" w:hAnsi="Calibri" w:cs="Calibri"/>
                <w:color w:val="000000"/>
                <w:sz w:val="18"/>
                <w:szCs w:val="18"/>
              </w:rPr>
            </w:pPr>
          </w:p>
        </w:tc>
        <w:tc>
          <w:tcPr>
            <w:tcW w:w="1560" w:type="dxa"/>
            <w:tcBorders>
              <w:top w:val="nil"/>
              <w:left w:val="nil"/>
              <w:bottom w:val="single" w:sz="4" w:space="0" w:color="auto"/>
              <w:right w:val="single" w:sz="8" w:space="0" w:color="auto"/>
            </w:tcBorders>
            <w:shd w:val="clear" w:color="auto" w:fill="auto"/>
            <w:noWrap/>
            <w:vAlign w:val="center"/>
          </w:tcPr>
          <w:p w:rsidR="002E7184" w:rsidRPr="007074FD" w:rsidP="00A538B1" w14:paraId="124C11CB" w14:textId="77777777">
            <w:pPr>
              <w:widowControl/>
              <w:jc w:val="right"/>
              <w:rPr>
                <w:rFonts w:ascii="Calibri" w:hAnsi="Calibri" w:cs="Calibri"/>
                <w:color w:val="000000"/>
                <w:sz w:val="18"/>
                <w:szCs w:val="18"/>
              </w:rPr>
            </w:pPr>
            <w:r w:rsidRPr="007074FD">
              <w:rPr>
                <w:rFonts w:ascii="Calibri" w:hAnsi="Calibri" w:cs="Calibri"/>
                <w:color w:val="000000"/>
                <w:sz w:val="18"/>
                <w:szCs w:val="18"/>
              </w:rPr>
              <w:t>4,</w:t>
            </w:r>
            <w:r w:rsidRPr="007074FD" w:rsidR="007074FD">
              <w:rPr>
                <w:rFonts w:ascii="Calibri" w:hAnsi="Calibri" w:cs="Calibri"/>
                <w:color w:val="000000"/>
                <w:sz w:val="18"/>
                <w:szCs w:val="18"/>
              </w:rPr>
              <w:t>5</w:t>
            </w:r>
            <w:r w:rsidRPr="007074FD">
              <w:rPr>
                <w:rFonts w:ascii="Calibri" w:hAnsi="Calibri" w:cs="Calibri"/>
                <w:color w:val="000000"/>
                <w:sz w:val="18"/>
                <w:szCs w:val="18"/>
              </w:rPr>
              <w:t>00</w:t>
            </w:r>
          </w:p>
        </w:tc>
      </w:tr>
      <w:tr w14:paraId="5FABDDC6" w14:textId="77777777" w:rsidTr="00015A06">
        <w:tblPrEx>
          <w:tblW w:w="10054" w:type="dxa"/>
          <w:tblInd w:w="-25" w:type="dxa"/>
          <w:tblLook w:val="04A0"/>
        </w:tblPrEx>
        <w:trPr>
          <w:trHeight w:val="315"/>
        </w:trPr>
        <w:tc>
          <w:tcPr>
            <w:tcW w:w="2737"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2E7184" w:rsidRPr="00015A06" w:rsidP="00A538B1" w14:paraId="16B3EBF7" w14:textId="77777777">
            <w:pPr>
              <w:widowControl/>
              <w:rPr>
                <w:rFonts w:ascii="Calibri" w:hAnsi="Calibri" w:cs="Calibri"/>
                <w:b/>
                <w:bCs/>
                <w:color w:val="000000"/>
                <w:sz w:val="18"/>
                <w:szCs w:val="18"/>
              </w:rPr>
            </w:pPr>
            <w:r w:rsidRPr="00015A06">
              <w:rPr>
                <w:rFonts w:ascii="Calibri" w:hAnsi="Calibri" w:cs="Calibri"/>
                <w:b/>
                <w:bCs/>
                <w:color w:val="000000"/>
                <w:sz w:val="18"/>
                <w:szCs w:val="18"/>
              </w:rPr>
              <w:t>TOTAL</w:t>
            </w:r>
          </w:p>
        </w:tc>
        <w:tc>
          <w:tcPr>
            <w:tcW w:w="1344" w:type="dxa"/>
            <w:tcBorders>
              <w:top w:val="single" w:sz="8" w:space="0" w:color="auto"/>
              <w:left w:val="nil"/>
              <w:bottom w:val="single" w:sz="8" w:space="0" w:color="auto"/>
              <w:right w:val="single" w:sz="8" w:space="0" w:color="auto"/>
            </w:tcBorders>
            <w:shd w:val="clear" w:color="000000" w:fill="808080"/>
            <w:noWrap/>
            <w:vAlign w:val="center"/>
            <w:hideMark/>
          </w:tcPr>
          <w:p w:rsidR="002E7184" w:rsidRPr="00015A06" w:rsidP="00A538B1" w14:paraId="0F703022" w14:textId="77777777">
            <w:pPr>
              <w:widowControl/>
              <w:rPr>
                <w:rFonts w:ascii="Calibri" w:hAnsi="Calibri" w:cs="Calibri"/>
                <w:color w:val="000000"/>
                <w:sz w:val="18"/>
                <w:szCs w:val="18"/>
              </w:rPr>
            </w:pPr>
            <w:r w:rsidRPr="00015A06">
              <w:rPr>
                <w:rFonts w:ascii="Calibri" w:hAnsi="Calibri" w:cs="Calibri"/>
                <w:color w:val="000000"/>
                <w:sz w:val="18"/>
                <w:szCs w:val="18"/>
              </w:rPr>
              <w:t> </w:t>
            </w:r>
          </w:p>
        </w:tc>
        <w:tc>
          <w:tcPr>
            <w:tcW w:w="1533" w:type="dxa"/>
            <w:tcBorders>
              <w:top w:val="single" w:sz="8" w:space="0" w:color="auto"/>
              <w:left w:val="nil"/>
              <w:bottom w:val="single" w:sz="8" w:space="0" w:color="auto"/>
              <w:right w:val="single" w:sz="8" w:space="0" w:color="auto"/>
            </w:tcBorders>
            <w:shd w:val="clear" w:color="auto" w:fill="808080" w:themeFill="background1" w:themeFillShade="80"/>
            <w:noWrap/>
            <w:vAlign w:val="center"/>
            <w:hideMark/>
          </w:tcPr>
          <w:p w:rsidR="002E7184" w:rsidRPr="0072050B" w:rsidP="00A538B1" w14:paraId="5DF3542D"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344" w:type="dxa"/>
            <w:tcBorders>
              <w:top w:val="single" w:sz="8" w:space="0" w:color="auto"/>
              <w:left w:val="nil"/>
              <w:bottom w:val="single" w:sz="8" w:space="0" w:color="auto"/>
              <w:right w:val="single" w:sz="8" w:space="0" w:color="auto"/>
            </w:tcBorders>
            <w:shd w:val="clear" w:color="000000" w:fill="757171"/>
            <w:noWrap/>
            <w:vAlign w:val="center"/>
            <w:hideMark/>
          </w:tcPr>
          <w:p w:rsidR="002E7184" w:rsidRPr="0072050B" w:rsidP="00A538B1" w14:paraId="5AF13BA8"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36" w:type="dxa"/>
            <w:tcBorders>
              <w:top w:val="single" w:sz="8" w:space="0" w:color="auto"/>
              <w:left w:val="nil"/>
              <w:bottom w:val="single" w:sz="8" w:space="0" w:color="auto"/>
              <w:right w:val="single" w:sz="8" w:space="0" w:color="auto"/>
            </w:tcBorders>
            <w:shd w:val="clear" w:color="000000" w:fill="DDEBF7"/>
            <w:noWrap/>
            <w:vAlign w:val="center"/>
            <w:hideMark/>
          </w:tcPr>
          <w:p w:rsidR="002E7184" w:rsidRPr="0072050B" w:rsidP="00A538B1" w14:paraId="738A78CA" w14:textId="77777777">
            <w:pPr>
              <w:widowControl/>
              <w:rPr>
                <w:rFonts w:ascii="Calibri" w:hAnsi="Calibri" w:cs="Calibri"/>
                <w:color w:val="000000"/>
                <w:sz w:val="18"/>
                <w:szCs w:val="18"/>
              </w:rPr>
            </w:pPr>
            <w:r w:rsidRPr="0072050B">
              <w:rPr>
                <w:rFonts w:ascii="Calibri" w:hAnsi="Calibri" w:cs="Calibri"/>
                <w:color w:val="000000"/>
                <w:sz w:val="18"/>
                <w:szCs w:val="18"/>
              </w:rPr>
              <w:t> </w:t>
            </w:r>
          </w:p>
        </w:tc>
        <w:tc>
          <w:tcPr>
            <w:tcW w:w="1560" w:type="dxa"/>
            <w:tcBorders>
              <w:top w:val="single" w:sz="8" w:space="0" w:color="auto"/>
              <w:left w:val="nil"/>
              <w:bottom w:val="single" w:sz="8" w:space="0" w:color="auto"/>
              <w:right w:val="single" w:sz="8" w:space="0" w:color="auto"/>
            </w:tcBorders>
            <w:shd w:val="clear" w:color="000000" w:fill="DDEBF7"/>
            <w:noWrap/>
            <w:vAlign w:val="center"/>
            <w:hideMark/>
          </w:tcPr>
          <w:p w:rsidR="002E7184" w:rsidRPr="00A15AEC" w:rsidP="00A538B1" w14:paraId="2248D8A4" w14:textId="77777777">
            <w:pPr>
              <w:widowControl/>
              <w:jc w:val="right"/>
              <w:rPr>
                <w:rFonts w:ascii="Calibri" w:hAnsi="Calibri" w:cs="Calibri"/>
                <w:b/>
                <w:color w:val="000000"/>
                <w:sz w:val="18"/>
                <w:szCs w:val="18"/>
                <w:highlight w:val="cyan"/>
              </w:rPr>
            </w:pPr>
            <w:r>
              <w:rPr>
                <w:rFonts w:ascii="Calibri" w:hAnsi="Calibri" w:cs="Calibri"/>
                <w:b/>
                <w:color w:val="000000"/>
                <w:sz w:val="18"/>
                <w:szCs w:val="18"/>
              </w:rPr>
              <w:t>$</w:t>
            </w:r>
            <w:r w:rsidRPr="007074FD">
              <w:rPr>
                <w:rFonts w:ascii="Calibri" w:hAnsi="Calibri" w:cs="Calibri"/>
                <w:b/>
                <w:color w:val="000000"/>
                <w:sz w:val="18"/>
                <w:szCs w:val="18"/>
              </w:rPr>
              <w:t>454,485</w:t>
            </w:r>
          </w:p>
        </w:tc>
      </w:tr>
    </w:tbl>
    <w:p w:rsidR="00050CAB" w:rsidP="00050CAB" w14:paraId="5F67D8BC" w14:textId="77777777">
      <w:pPr>
        <w:pStyle w:val="BodyText"/>
        <w:spacing w:before="9" w:after="1"/>
        <w:ind w:left="0"/>
        <w:rPr>
          <w:b/>
        </w:rPr>
      </w:pPr>
    </w:p>
    <w:p w:rsidR="00622253" w:rsidP="00050CAB" w14:paraId="2BC2D86B" w14:textId="77777777">
      <w:pPr>
        <w:pStyle w:val="BodyText"/>
        <w:spacing w:before="9" w:after="1"/>
        <w:ind w:left="0"/>
        <w:rPr>
          <w:b/>
        </w:rPr>
      </w:pPr>
    </w:p>
    <w:p w:rsidR="00622253" w:rsidP="00050CAB" w14:paraId="6CF5449B" w14:textId="77777777">
      <w:pPr>
        <w:pStyle w:val="BodyText"/>
        <w:spacing w:before="9" w:after="1"/>
        <w:ind w:left="0"/>
        <w:rPr>
          <w:b/>
        </w:rPr>
      </w:pPr>
    </w:p>
    <w:p w:rsidR="00370B85" w:rsidP="00EA0444" w14:paraId="1855CFF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981185" w:rsidRPr="00422EC0" w:rsidP="00EA0444" w14:paraId="2F171E1A" w14:textId="77777777">
      <w:pPr>
        <w:adjustRightInd w:val="0"/>
      </w:pPr>
    </w:p>
    <w:p w:rsidR="000C0845" w:rsidP="00EA0444" w14:paraId="24EAA536" w14:textId="77777777">
      <w:pPr>
        <w:pStyle w:val="BodyText"/>
        <w:spacing w:before="7"/>
        <w:ind w:left="0"/>
      </w:pPr>
      <w:r w:rsidRPr="000C0845">
        <w:t>The tables below show the program change</w:t>
      </w:r>
      <w:r>
        <w:t>s due to the rule (RIN 0648-BN18</w:t>
      </w:r>
      <w:r w:rsidRPr="000C0845">
        <w:t xml:space="preserve">) and adjustments made based on the most current data available. </w:t>
      </w:r>
    </w:p>
    <w:p w:rsidR="000C0845" w:rsidP="00EA0444" w14:paraId="58D0D352" w14:textId="77777777">
      <w:pPr>
        <w:pStyle w:val="BodyText"/>
        <w:spacing w:before="7"/>
        <w:ind w:left="0"/>
      </w:pPr>
    </w:p>
    <w:tbl>
      <w:tblPr>
        <w:tblW w:w="11189" w:type="dxa"/>
        <w:jc w:val="center"/>
        <w:tblLayout w:type="fixed"/>
        <w:tblLook w:val="04A0"/>
      </w:tblPr>
      <w:tblGrid>
        <w:gridCol w:w="2690"/>
        <w:gridCol w:w="900"/>
        <w:gridCol w:w="900"/>
        <w:gridCol w:w="900"/>
        <w:gridCol w:w="900"/>
        <w:gridCol w:w="901"/>
        <w:gridCol w:w="899"/>
        <w:gridCol w:w="3099"/>
      </w:tblGrid>
      <w:tr w14:paraId="54A19678" w14:textId="77777777" w:rsidTr="00A51B6B">
        <w:tblPrEx>
          <w:tblW w:w="11189" w:type="dxa"/>
          <w:jc w:val="center"/>
          <w:tblLayout w:type="fixed"/>
          <w:tblLook w:val="04A0"/>
        </w:tblPrEx>
        <w:trPr>
          <w:trHeight w:val="258"/>
          <w:jc w:val="center"/>
        </w:trPr>
        <w:tc>
          <w:tcPr>
            <w:tcW w:w="2690" w:type="dxa"/>
            <w:vMerge w:val="restart"/>
            <w:tcBorders>
              <w:top w:val="single" w:sz="4"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EA0444" w14:paraId="5E47CE4C"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Information Collection</w:t>
            </w:r>
          </w:p>
        </w:tc>
        <w:tc>
          <w:tcPr>
            <w:tcW w:w="1800" w:type="dxa"/>
            <w:gridSpan w:val="2"/>
            <w:tcBorders>
              <w:top w:val="single" w:sz="4"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EA0444" w14:paraId="03C22DD4"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Respondents</w:t>
            </w:r>
          </w:p>
        </w:tc>
        <w:tc>
          <w:tcPr>
            <w:tcW w:w="1800" w:type="dxa"/>
            <w:gridSpan w:val="2"/>
            <w:tcBorders>
              <w:top w:val="single" w:sz="4"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EA0444" w14:paraId="4B64C6ED"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Responses</w:t>
            </w:r>
          </w:p>
        </w:tc>
        <w:tc>
          <w:tcPr>
            <w:tcW w:w="1800" w:type="dxa"/>
            <w:gridSpan w:val="2"/>
            <w:tcBorders>
              <w:top w:val="single" w:sz="4" w:space="0" w:color="auto"/>
              <w:left w:val="nil"/>
              <w:bottom w:val="single" w:sz="8" w:space="0" w:color="auto"/>
              <w:right w:val="single" w:sz="8" w:space="0" w:color="000000"/>
            </w:tcBorders>
            <w:shd w:val="clear" w:color="auto" w:fill="C6D9F0" w:themeFill="text2" w:themeFillTint="33"/>
            <w:vAlign w:val="center"/>
            <w:hideMark/>
          </w:tcPr>
          <w:p w:rsidR="00050CAB" w:rsidRPr="00B26309" w:rsidP="00EA0444" w14:paraId="743052AD"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Burden Hours</w:t>
            </w:r>
          </w:p>
        </w:tc>
        <w:tc>
          <w:tcPr>
            <w:tcW w:w="3099" w:type="dxa"/>
            <w:vMerge w:val="restart"/>
            <w:tcBorders>
              <w:top w:val="single" w:sz="4" w:space="0" w:color="auto"/>
              <w:left w:val="single" w:sz="8" w:space="0" w:color="auto"/>
              <w:bottom w:val="single" w:sz="8" w:space="0" w:color="000000"/>
              <w:right w:val="single" w:sz="8" w:space="0" w:color="auto"/>
            </w:tcBorders>
            <w:shd w:val="clear" w:color="auto" w:fill="C6D9F0" w:themeFill="text2" w:themeFillTint="33"/>
            <w:vAlign w:val="center"/>
            <w:hideMark/>
          </w:tcPr>
          <w:p w:rsidR="00050CAB" w:rsidRPr="00B26309" w:rsidP="00EA0444" w14:paraId="7CE0BC37"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Reason for change or adjustment</w:t>
            </w:r>
          </w:p>
        </w:tc>
      </w:tr>
      <w:tr w14:paraId="067B9965" w14:textId="77777777" w:rsidTr="00A51B6B">
        <w:tblPrEx>
          <w:tblW w:w="11189" w:type="dxa"/>
          <w:jc w:val="center"/>
          <w:tblLayout w:type="fixed"/>
          <w:tblLook w:val="04A0"/>
        </w:tblPrEx>
        <w:trPr>
          <w:trHeight w:val="570"/>
          <w:jc w:val="center"/>
        </w:trPr>
        <w:tc>
          <w:tcPr>
            <w:tcW w:w="2690" w:type="dxa"/>
            <w:vMerge/>
            <w:tcBorders>
              <w:top w:val="single" w:sz="8" w:space="0" w:color="auto"/>
              <w:left w:val="single" w:sz="8" w:space="0" w:color="auto"/>
              <w:bottom w:val="single" w:sz="8" w:space="0" w:color="000000"/>
              <w:right w:val="single" w:sz="8" w:space="0" w:color="auto"/>
            </w:tcBorders>
            <w:vAlign w:val="center"/>
            <w:hideMark/>
          </w:tcPr>
          <w:p w:rsidR="00050CAB" w:rsidRPr="00B26309" w:rsidP="00EA0444" w14:paraId="5616699C" w14:textId="77777777">
            <w:pPr>
              <w:keepNext/>
              <w:keepLines/>
              <w:widowControl/>
              <w:rPr>
                <w:rFonts w:ascii="Calibri" w:hAnsi="Calibri" w:cs="Calibri"/>
                <w:b/>
                <w:bCs/>
                <w:color w:val="000000"/>
                <w:sz w:val="18"/>
                <w:szCs w:val="18"/>
              </w:rPr>
            </w:pPr>
          </w:p>
        </w:tc>
        <w:tc>
          <w:tcPr>
            <w:tcW w:w="900" w:type="dxa"/>
            <w:tcBorders>
              <w:top w:val="nil"/>
              <w:left w:val="nil"/>
              <w:bottom w:val="single" w:sz="8" w:space="0" w:color="auto"/>
              <w:right w:val="dashed" w:sz="8" w:space="0" w:color="auto"/>
            </w:tcBorders>
            <w:shd w:val="clear" w:color="000000" w:fill="FBE4D5"/>
            <w:vAlign w:val="center"/>
            <w:hideMark/>
          </w:tcPr>
          <w:p w:rsidR="00050CAB" w:rsidRPr="00D21E1B" w:rsidP="00EA0444" w14:paraId="34DE74B7"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050CAB" w:rsidRPr="00D21E1B" w:rsidP="00EA0444" w14:paraId="553071A9"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r w:rsidRPr="00D21E1B" w:rsidR="00B26309">
              <w:rPr>
                <w:rFonts w:ascii="Calibri" w:hAnsi="Calibri" w:cs="Calibri"/>
                <w:color w:val="000000"/>
                <w:sz w:val="16"/>
                <w:szCs w:val="16"/>
                <w:vertAlign w:val="superscript"/>
              </w:rPr>
              <w:t>1</w:t>
            </w:r>
          </w:p>
        </w:tc>
        <w:tc>
          <w:tcPr>
            <w:tcW w:w="900" w:type="dxa"/>
            <w:tcBorders>
              <w:top w:val="nil"/>
              <w:left w:val="nil"/>
              <w:bottom w:val="single" w:sz="8" w:space="0" w:color="auto"/>
              <w:right w:val="dashed" w:sz="8" w:space="0" w:color="auto"/>
            </w:tcBorders>
            <w:shd w:val="clear" w:color="000000" w:fill="FBE4D5"/>
            <w:vAlign w:val="center"/>
            <w:hideMark/>
          </w:tcPr>
          <w:p w:rsidR="00050CAB" w:rsidRPr="00D21E1B" w:rsidP="00EA0444" w14:paraId="3E8550CA"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050CAB" w:rsidRPr="00D21E1B" w:rsidP="00EA0444" w14:paraId="1B791A8B"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p>
        </w:tc>
        <w:tc>
          <w:tcPr>
            <w:tcW w:w="901" w:type="dxa"/>
            <w:tcBorders>
              <w:top w:val="nil"/>
              <w:left w:val="nil"/>
              <w:bottom w:val="single" w:sz="8" w:space="0" w:color="auto"/>
              <w:right w:val="dashed" w:sz="8" w:space="0" w:color="auto"/>
            </w:tcBorders>
            <w:shd w:val="clear" w:color="000000" w:fill="FBE4D5"/>
            <w:vAlign w:val="center"/>
            <w:hideMark/>
          </w:tcPr>
          <w:p w:rsidR="00050CAB" w:rsidRPr="00D21E1B" w:rsidP="00EA0444" w14:paraId="0FFC1313"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Current Renewal / Revision</w:t>
            </w:r>
          </w:p>
        </w:tc>
        <w:tc>
          <w:tcPr>
            <w:tcW w:w="899" w:type="dxa"/>
            <w:tcBorders>
              <w:top w:val="nil"/>
              <w:left w:val="nil"/>
              <w:bottom w:val="single" w:sz="8" w:space="0" w:color="auto"/>
              <w:right w:val="single" w:sz="8" w:space="0" w:color="auto"/>
            </w:tcBorders>
            <w:shd w:val="clear" w:color="000000" w:fill="FBE4D5"/>
            <w:vAlign w:val="center"/>
            <w:hideMark/>
          </w:tcPr>
          <w:p w:rsidR="00050CAB" w:rsidRPr="00D21E1B" w:rsidP="00EA0444" w14:paraId="54748BCE" w14:textId="77777777">
            <w:pPr>
              <w:keepNext/>
              <w:keepLines/>
              <w:widowControl/>
              <w:jc w:val="center"/>
              <w:rPr>
                <w:rFonts w:ascii="Calibri" w:hAnsi="Calibri" w:cs="Calibri"/>
                <w:color w:val="000000"/>
                <w:sz w:val="16"/>
                <w:szCs w:val="16"/>
              </w:rPr>
            </w:pPr>
            <w:r w:rsidRPr="00D21E1B">
              <w:rPr>
                <w:rFonts w:ascii="Calibri" w:hAnsi="Calibri" w:cs="Calibri"/>
                <w:color w:val="000000"/>
                <w:sz w:val="16"/>
                <w:szCs w:val="16"/>
              </w:rPr>
              <w:t>Previous Renewal / Revision</w:t>
            </w:r>
          </w:p>
        </w:tc>
        <w:tc>
          <w:tcPr>
            <w:tcW w:w="3099" w:type="dxa"/>
            <w:vMerge/>
            <w:tcBorders>
              <w:top w:val="single" w:sz="8" w:space="0" w:color="auto"/>
              <w:left w:val="single" w:sz="8" w:space="0" w:color="auto"/>
              <w:bottom w:val="single" w:sz="8" w:space="0" w:color="auto"/>
              <w:right w:val="single" w:sz="8" w:space="0" w:color="auto"/>
            </w:tcBorders>
            <w:vAlign w:val="center"/>
            <w:hideMark/>
          </w:tcPr>
          <w:p w:rsidR="00050CAB" w:rsidRPr="00B26309" w:rsidP="00EA0444" w14:paraId="162437C1" w14:textId="77777777">
            <w:pPr>
              <w:keepNext/>
              <w:keepLines/>
              <w:widowControl/>
              <w:rPr>
                <w:rFonts w:ascii="Calibri" w:hAnsi="Calibri" w:cs="Calibri"/>
                <w:b/>
                <w:bCs/>
                <w:color w:val="000000"/>
                <w:sz w:val="18"/>
                <w:szCs w:val="18"/>
              </w:rPr>
            </w:pPr>
          </w:p>
        </w:tc>
      </w:tr>
      <w:tr w14:paraId="526A5911"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tcPr>
          <w:p w:rsidR="00D963AA" w:rsidRPr="00B26309" w:rsidP="00D963AA" w14:paraId="4EB86699" w14:textId="77777777">
            <w:pPr>
              <w:keepNext/>
              <w:keepLines/>
              <w:jc w:val="center"/>
              <w:rPr>
                <w:rFonts w:asciiTheme="minorHAnsi" w:hAnsiTheme="minorHAnsi" w:cstheme="minorHAnsi"/>
                <w:sz w:val="18"/>
                <w:szCs w:val="18"/>
              </w:rPr>
            </w:pPr>
            <w:r w:rsidRPr="00B62573">
              <w:rPr>
                <w:rFonts w:asciiTheme="minorHAnsi" w:hAnsiTheme="minorHAnsi" w:cstheme="minorHAnsi"/>
                <w:sz w:val="18"/>
                <w:szCs w:val="18"/>
              </w:rPr>
              <w:t xml:space="preserve">ADF&amp;G Saltwater Sport Fishing Charter Trip Logbook </w:t>
            </w:r>
          </w:p>
        </w:tc>
        <w:tc>
          <w:tcPr>
            <w:tcW w:w="900" w:type="dxa"/>
            <w:tcBorders>
              <w:top w:val="single" w:sz="8" w:space="0" w:color="auto"/>
              <w:left w:val="nil"/>
              <w:bottom w:val="dotted" w:sz="4" w:space="0" w:color="auto"/>
              <w:right w:val="dashed" w:sz="8" w:space="0" w:color="auto"/>
            </w:tcBorders>
            <w:shd w:val="clear" w:color="auto" w:fill="auto"/>
            <w:vAlign w:val="center"/>
          </w:tcPr>
          <w:p w:rsidR="00D963AA" w:rsidP="00D963AA" w14:paraId="1344CA2F" w14:textId="77777777">
            <w:pPr>
              <w:keepNext/>
              <w:keepLines/>
              <w:widowControl/>
              <w:jc w:val="right"/>
              <w:rPr>
                <w:rFonts w:asciiTheme="minorHAnsi" w:hAnsiTheme="minorHAnsi" w:cstheme="minorHAnsi"/>
                <w:color w:val="000000"/>
                <w:sz w:val="18"/>
                <w:szCs w:val="18"/>
              </w:rPr>
            </w:pPr>
            <w:r w:rsidRPr="00C80DE1">
              <w:rPr>
                <w:rFonts w:asciiTheme="minorHAnsi" w:hAnsiTheme="minorHAnsi" w:cstheme="minorHAnsi"/>
                <w:color w:val="000000"/>
                <w:sz w:val="18"/>
                <w:szCs w:val="18"/>
              </w:rPr>
              <w:t>574</w:t>
            </w:r>
          </w:p>
        </w:tc>
        <w:tc>
          <w:tcPr>
            <w:tcW w:w="900" w:type="dxa"/>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510D354E" w14:textId="77777777">
            <w:pPr>
              <w:keepNext/>
              <w:keepLines/>
              <w:adjustRightInd w:val="0"/>
              <w:jc w:val="right"/>
              <w:rPr>
                <w:rFonts w:asciiTheme="minorHAnsi" w:hAnsiTheme="minorHAnsi" w:cstheme="minorHAnsi"/>
                <w:sz w:val="18"/>
                <w:szCs w:val="18"/>
              </w:rPr>
            </w:pPr>
            <w:r w:rsidRPr="00C80DE1">
              <w:rPr>
                <w:rFonts w:asciiTheme="minorHAnsi" w:hAnsiTheme="minorHAnsi" w:cstheme="minorHAnsi"/>
                <w:sz w:val="18"/>
                <w:szCs w:val="18"/>
              </w:rPr>
              <w:t>559</w:t>
            </w:r>
          </w:p>
        </w:tc>
        <w:tc>
          <w:tcPr>
            <w:tcW w:w="900" w:type="dxa"/>
            <w:tcBorders>
              <w:top w:val="single" w:sz="8" w:space="0" w:color="auto"/>
              <w:left w:val="single" w:sz="4" w:space="0" w:color="auto"/>
              <w:bottom w:val="dotted" w:sz="4" w:space="0" w:color="auto"/>
              <w:right w:val="dashed" w:sz="8" w:space="0" w:color="auto"/>
            </w:tcBorders>
            <w:shd w:val="clear" w:color="auto" w:fill="auto"/>
            <w:vAlign w:val="center"/>
          </w:tcPr>
          <w:p w:rsidR="00D963AA" w:rsidRPr="00422EC0" w:rsidP="00D963AA" w14:paraId="02C2CF13" w14:textId="77777777">
            <w:pPr>
              <w:keepNext/>
              <w:keepLines/>
              <w:widowControl/>
              <w:jc w:val="right"/>
              <w:rPr>
                <w:rFonts w:asciiTheme="minorHAnsi" w:hAnsiTheme="minorHAnsi" w:cstheme="minorHAnsi"/>
                <w:color w:val="000000"/>
                <w:sz w:val="18"/>
                <w:szCs w:val="18"/>
              </w:rPr>
            </w:pPr>
            <w:r w:rsidRPr="00C80DE1">
              <w:rPr>
                <w:rFonts w:asciiTheme="minorHAnsi" w:hAnsiTheme="minorHAnsi" w:cstheme="minorHAnsi"/>
                <w:color w:val="000000"/>
                <w:sz w:val="18"/>
                <w:szCs w:val="18"/>
              </w:rPr>
              <w:t>37,310</w:t>
            </w:r>
          </w:p>
        </w:tc>
        <w:tc>
          <w:tcPr>
            <w:tcW w:w="900" w:type="dxa"/>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068EC84C" w14:textId="77777777">
            <w:pPr>
              <w:keepNext/>
              <w:keepLines/>
              <w:adjustRightInd w:val="0"/>
              <w:jc w:val="right"/>
              <w:rPr>
                <w:rFonts w:asciiTheme="minorHAnsi" w:hAnsiTheme="minorHAnsi" w:cstheme="minorHAnsi"/>
                <w:sz w:val="18"/>
                <w:szCs w:val="18"/>
              </w:rPr>
            </w:pPr>
            <w:r w:rsidRPr="00C80DE1">
              <w:rPr>
                <w:rFonts w:asciiTheme="minorHAnsi" w:hAnsiTheme="minorHAnsi" w:cstheme="minorHAnsi"/>
                <w:sz w:val="18"/>
                <w:szCs w:val="18"/>
              </w:rPr>
              <w:t>37,310</w:t>
            </w:r>
          </w:p>
        </w:tc>
        <w:tc>
          <w:tcPr>
            <w:tcW w:w="901" w:type="dxa"/>
            <w:tcBorders>
              <w:top w:val="single" w:sz="8" w:space="0" w:color="auto"/>
              <w:left w:val="single" w:sz="4" w:space="0" w:color="auto"/>
              <w:bottom w:val="dotted" w:sz="4" w:space="0" w:color="auto"/>
              <w:right w:val="dashed" w:sz="8" w:space="0" w:color="auto"/>
            </w:tcBorders>
            <w:shd w:val="clear" w:color="auto" w:fill="auto"/>
            <w:vAlign w:val="center"/>
          </w:tcPr>
          <w:p w:rsidR="00D963AA" w:rsidRPr="00422EC0" w:rsidP="00D963AA" w14:paraId="2EA6CE86" w14:textId="77777777">
            <w:pPr>
              <w:keepNext/>
              <w:keepLines/>
              <w:widowControl/>
              <w:jc w:val="right"/>
              <w:rPr>
                <w:rFonts w:asciiTheme="minorHAnsi" w:hAnsiTheme="minorHAnsi" w:cstheme="minorHAnsi"/>
                <w:color w:val="000000"/>
                <w:sz w:val="18"/>
                <w:szCs w:val="18"/>
              </w:rPr>
            </w:pPr>
            <w:r w:rsidRPr="00C80DE1">
              <w:rPr>
                <w:rFonts w:asciiTheme="minorHAnsi" w:hAnsiTheme="minorHAnsi" w:cstheme="minorHAnsi"/>
                <w:color w:val="000000"/>
                <w:sz w:val="18"/>
                <w:szCs w:val="18"/>
              </w:rPr>
              <w:t>3,109</w:t>
            </w:r>
          </w:p>
        </w:tc>
        <w:tc>
          <w:tcPr>
            <w:tcW w:w="899" w:type="dxa"/>
            <w:tcBorders>
              <w:top w:val="single" w:sz="8" w:space="0" w:color="auto"/>
              <w:left w:val="nil"/>
              <w:bottom w:val="dotted" w:sz="4" w:space="0" w:color="auto"/>
              <w:right w:val="single" w:sz="4" w:space="0" w:color="auto"/>
            </w:tcBorders>
            <w:shd w:val="clear" w:color="auto" w:fill="auto"/>
            <w:vAlign w:val="center"/>
          </w:tcPr>
          <w:p w:rsidR="00D963AA" w:rsidRPr="00422EC0" w:rsidP="00D963AA" w14:paraId="504DBD04"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2,487</w:t>
            </w:r>
          </w:p>
        </w:tc>
        <w:tc>
          <w:tcPr>
            <w:tcW w:w="3099" w:type="dxa"/>
            <w:tcBorders>
              <w:top w:val="single" w:sz="8" w:space="0" w:color="auto"/>
              <w:left w:val="single" w:sz="4" w:space="0" w:color="auto"/>
              <w:bottom w:val="dotted" w:sz="4" w:space="0" w:color="auto"/>
              <w:right w:val="single" w:sz="8" w:space="0" w:color="auto"/>
            </w:tcBorders>
            <w:shd w:val="clear" w:color="auto" w:fill="auto"/>
            <w:vAlign w:val="center"/>
          </w:tcPr>
          <w:p w:rsidR="00D963AA" w:rsidP="00D963AA" w14:paraId="515924F2" w14:textId="623357A7">
            <w:pPr>
              <w:keepNext/>
              <w:keepLines/>
              <w:widowControl/>
              <w:rPr>
                <w:rFonts w:asciiTheme="minorHAnsi" w:hAnsiTheme="minorHAnsi" w:cstheme="minorHAnsi"/>
                <w:color w:val="000000"/>
                <w:sz w:val="18"/>
                <w:szCs w:val="18"/>
                <w:u w:val="single"/>
              </w:rPr>
            </w:pPr>
            <w:r>
              <w:rPr>
                <w:rFonts w:asciiTheme="minorHAnsi" w:hAnsiTheme="minorHAnsi" w:cstheme="minorHAnsi"/>
                <w:color w:val="000000"/>
                <w:sz w:val="18"/>
                <w:szCs w:val="18"/>
                <w:u w:val="single"/>
              </w:rPr>
              <w:t>Adjustment</w:t>
            </w:r>
            <w:r w:rsidRPr="00C80DE1">
              <w:rPr>
                <w:rFonts w:asciiTheme="minorHAnsi" w:hAnsiTheme="minorHAnsi" w:cstheme="minorHAnsi"/>
                <w:color w:val="000000"/>
                <w:sz w:val="18"/>
                <w:szCs w:val="18"/>
              </w:rPr>
              <w:t>: Updated number of respondents.</w:t>
            </w:r>
          </w:p>
          <w:p w:rsidR="00D963AA" w:rsidRPr="006913B3" w14:paraId="63EB3C04" w14:textId="03D20333">
            <w:pPr>
              <w:keepNext/>
              <w:keepLines/>
              <w:widowControl/>
              <w:rPr>
                <w:rFonts w:asciiTheme="minorHAnsi" w:hAnsiTheme="minorHAnsi" w:cstheme="minorHAnsi"/>
                <w:color w:val="000000"/>
                <w:sz w:val="18"/>
                <w:szCs w:val="18"/>
                <w:u w:val="single"/>
              </w:rPr>
            </w:pPr>
            <w:r w:rsidRPr="00204A08">
              <w:rPr>
                <w:rFonts w:asciiTheme="minorHAnsi" w:hAnsiTheme="minorHAnsi" w:cstheme="minorHAnsi"/>
                <w:color w:val="000000"/>
                <w:sz w:val="18"/>
                <w:szCs w:val="18"/>
                <w:u w:val="single"/>
              </w:rPr>
              <w:t>Program change</w:t>
            </w:r>
            <w:r w:rsidRPr="00204A08">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The total burden hours increased because the burden per response increased from 4 minutes to 5 minutes to include 1 minute to validate stamps, which </w:t>
            </w:r>
            <w:r w:rsidR="001C4B22">
              <w:rPr>
                <w:rFonts w:asciiTheme="minorHAnsi" w:hAnsiTheme="minorHAnsi" w:cstheme="minorHAnsi"/>
                <w:color w:val="000000"/>
                <w:sz w:val="18"/>
                <w:szCs w:val="18"/>
              </w:rPr>
              <w:t>is</w:t>
            </w:r>
            <w:r>
              <w:rPr>
                <w:rFonts w:asciiTheme="minorHAnsi" w:hAnsiTheme="minorHAnsi" w:cstheme="minorHAnsi"/>
                <w:color w:val="000000"/>
                <w:sz w:val="18"/>
                <w:szCs w:val="18"/>
              </w:rPr>
              <w:t xml:space="preserve"> required by th</w:t>
            </w:r>
            <w:r w:rsidR="00864BC9">
              <w:rPr>
                <w:rFonts w:asciiTheme="minorHAnsi" w:hAnsiTheme="minorHAnsi" w:cstheme="minorHAnsi"/>
                <w:color w:val="000000"/>
                <w:sz w:val="18"/>
                <w:szCs w:val="18"/>
              </w:rPr>
              <w:t>e</w:t>
            </w:r>
            <w:r>
              <w:rPr>
                <w:rFonts w:asciiTheme="minorHAnsi" w:hAnsiTheme="minorHAnsi" w:cstheme="minorHAnsi"/>
                <w:color w:val="000000"/>
                <w:sz w:val="18"/>
                <w:szCs w:val="18"/>
              </w:rPr>
              <w:t xml:space="preserve"> rule. </w:t>
            </w:r>
            <w:r w:rsidRPr="00204A08">
              <w:rPr>
                <w:rFonts w:asciiTheme="minorHAnsi" w:hAnsiTheme="minorHAnsi" w:cstheme="minorHAnsi"/>
                <w:color w:val="000000"/>
                <w:sz w:val="18"/>
                <w:szCs w:val="18"/>
              </w:rPr>
              <w:t xml:space="preserve"> </w:t>
            </w:r>
          </w:p>
        </w:tc>
      </w:tr>
      <w:tr w14:paraId="146787EA"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tcPr>
          <w:p w:rsidR="00D963AA" w:rsidRPr="00B62573" w:rsidP="00D963AA" w14:paraId="54E7C56E" w14:textId="77777777">
            <w:pPr>
              <w:keepNext/>
              <w:keepLines/>
              <w:jc w:val="center"/>
              <w:rPr>
                <w:rFonts w:asciiTheme="minorHAnsi" w:hAnsiTheme="minorHAnsi" w:cstheme="minorHAnsi"/>
                <w:sz w:val="18"/>
                <w:szCs w:val="18"/>
              </w:rPr>
            </w:pPr>
            <w:r w:rsidRPr="00D13493">
              <w:rPr>
                <w:rFonts w:asciiTheme="minorHAnsi" w:hAnsiTheme="minorHAnsi" w:cstheme="minorHAnsi"/>
                <w:sz w:val="18"/>
                <w:szCs w:val="18"/>
              </w:rPr>
              <w:t xml:space="preserve">Electronic and manual GAF landing report </w:t>
            </w:r>
          </w:p>
        </w:tc>
        <w:tc>
          <w:tcPr>
            <w:tcW w:w="900" w:type="dxa"/>
            <w:tcBorders>
              <w:top w:val="nil"/>
              <w:left w:val="nil"/>
              <w:bottom w:val="dotted" w:sz="4" w:space="0" w:color="auto"/>
              <w:right w:val="dashed" w:sz="8" w:space="0" w:color="auto"/>
            </w:tcBorders>
            <w:shd w:val="clear" w:color="auto" w:fill="auto"/>
            <w:vAlign w:val="center"/>
          </w:tcPr>
          <w:p w:rsidR="00D963AA" w:rsidRPr="00C80DE1" w:rsidP="00D963AA" w14:paraId="5A8DE826" w14:textId="77777777">
            <w:pPr>
              <w:keepNext/>
              <w:keepLines/>
              <w:widowControl/>
              <w:jc w:val="right"/>
              <w:rPr>
                <w:rFonts w:asciiTheme="minorHAnsi" w:hAnsiTheme="minorHAnsi" w:cstheme="minorHAnsi"/>
                <w:color w:val="000000"/>
                <w:sz w:val="18"/>
                <w:szCs w:val="18"/>
              </w:rPr>
            </w:pPr>
            <w:r w:rsidRPr="00D13493">
              <w:rPr>
                <w:rFonts w:asciiTheme="minorHAnsi" w:hAnsiTheme="minorHAnsi" w:cstheme="minorHAnsi"/>
                <w:color w:val="000000"/>
                <w:sz w:val="18"/>
                <w:szCs w:val="18"/>
              </w:rPr>
              <w:t>96</w:t>
            </w:r>
          </w:p>
        </w:tc>
        <w:tc>
          <w:tcPr>
            <w:tcW w:w="900" w:type="dxa"/>
            <w:tcBorders>
              <w:top w:val="single" w:sz="8" w:space="0" w:color="auto"/>
              <w:left w:val="nil"/>
              <w:bottom w:val="dotted" w:sz="4" w:space="0" w:color="auto"/>
              <w:right w:val="single" w:sz="4" w:space="0" w:color="auto"/>
            </w:tcBorders>
            <w:shd w:val="clear" w:color="auto" w:fill="auto"/>
            <w:vAlign w:val="center"/>
          </w:tcPr>
          <w:p w:rsidR="00D963AA" w:rsidRPr="00C80DE1" w:rsidP="00D963AA" w14:paraId="110FD5D2"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96</w:t>
            </w:r>
          </w:p>
        </w:tc>
        <w:tc>
          <w:tcPr>
            <w:tcW w:w="900" w:type="dxa"/>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278A8EDD"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1,152</w:t>
            </w:r>
          </w:p>
        </w:tc>
        <w:tc>
          <w:tcPr>
            <w:tcW w:w="900" w:type="dxa"/>
            <w:tcBorders>
              <w:top w:val="dotted" w:sz="4" w:space="0" w:color="auto"/>
              <w:left w:val="nil"/>
              <w:bottom w:val="dotted" w:sz="4" w:space="0" w:color="auto"/>
              <w:right w:val="single" w:sz="4" w:space="0" w:color="auto"/>
            </w:tcBorders>
            <w:shd w:val="clear" w:color="auto" w:fill="auto"/>
            <w:vAlign w:val="center"/>
          </w:tcPr>
          <w:p w:rsidR="00D963AA" w:rsidRPr="00C80DE1" w:rsidP="00D963AA" w14:paraId="09978942"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1,152</w:t>
            </w:r>
          </w:p>
        </w:tc>
        <w:tc>
          <w:tcPr>
            <w:tcW w:w="901" w:type="dxa"/>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15795BB5"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96</w:t>
            </w:r>
          </w:p>
        </w:tc>
        <w:tc>
          <w:tcPr>
            <w:tcW w:w="899" w:type="dxa"/>
            <w:tcBorders>
              <w:top w:val="dotted" w:sz="4" w:space="0" w:color="auto"/>
              <w:left w:val="nil"/>
              <w:bottom w:val="dotted" w:sz="4" w:space="0" w:color="auto"/>
              <w:right w:val="single" w:sz="4" w:space="0" w:color="auto"/>
            </w:tcBorders>
            <w:shd w:val="clear" w:color="auto" w:fill="auto"/>
            <w:vAlign w:val="center"/>
          </w:tcPr>
          <w:p w:rsidR="00D963AA" w:rsidRPr="00422EC0" w:rsidP="00D963AA" w14:paraId="6BBFE11A"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96</w:t>
            </w:r>
          </w:p>
        </w:tc>
        <w:tc>
          <w:tcPr>
            <w:tcW w:w="3099" w:type="dxa"/>
            <w:tcBorders>
              <w:top w:val="nil"/>
              <w:left w:val="single" w:sz="4" w:space="0" w:color="auto"/>
              <w:bottom w:val="dotted" w:sz="4" w:space="0" w:color="auto"/>
              <w:right w:val="single" w:sz="8" w:space="0" w:color="auto"/>
            </w:tcBorders>
            <w:shd w:val="clear" w:color="auto" w:fill="auto"/>
            <w:vAlign w:val="center"/>
          </w:tcPr>
          <w:p w:rsidR="00D963AA" w:rsidP="00D963AA" w14:paraId="3B2BA50C" w14:textId="77777777">
            <w:pPr>
              <w:keepNext/>
              <w:keepLines/>
              <w:widowControl/>
              <w:rPr>
                <w:rFonts w:asciiTheme="minorHAnsi" w:hAnsiTheme="minorHAnsi" w:cstheme="minorHAnsi"/>
                <w:color w:val="000000"/>
                <w:sz w:val="18"/>
                <w:szCs w:val="18"/>
                <w:u w:val="single"/>
              </w:rPr>
            </w:pPr>
            <w:r w:rsidRPr="00422EC0">
              <w:rPr>
                <w:rFonts w:asciiTheme="minorHAnsi" w:hAnsiTheme="minorHAnsi" w:cstheme="minorHAnsi"/>
                <w:color w:val="000000"/>
                <w:sz w:val="18"/>
                <w:szCs w:val="18"/>
              </w:rPr>
              <w:t>No change</w:t>
            </w:r>
          </w:p>
        </w:tc>
      </w:tr>
      <w:tr w14:paraId="5A61DFD1"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tcPr>
          <w:p w:rsidR="00D963AA" w:rsidRPr="00B62573" w:rsidP="00D963AA" w14:paraId="62D5EB94" w14:textId="77777777">
            <w:pPr>
              <w:keepNext/>
              <w:keepLines/>
              <w:jc w:val="center"/>
              <w:rPr>
                <w:rFonts w:asciiTheme="minorHAnsi" w:hAnsiTheme="minorHAnsi" w:cstheme="minorHAnsi"/>
                <w:sz w:val="18"/>
                <w:szCs w:val="18"/>
              </w:rPr>
            </w:pPr>
            <w:r w:rsidRPr="000E0555">
              <w:rPr>
                <w:rFonts w:asciiTheme="minorHAnsi" w:hAnsiTheme="minorHAnsi" w:cstheme="minorHAnsi"/>
                <w:sz w:val="18"/>
                <w:szCs w:val="18"/>
              </w:rPr>
              <w:t>GAF permit log</w:t>
            </w:r>
          </w:p>
        </w:tc>
        <w:tc>
          <w:tcPr>
            <w:tcW w:w="900" w:type="dxa"/>
            <w:tcBorders>
              <w:top w:val="nil"/>
              <w:left w:val="nil"/>
              <w:bottom w:val="dotted" w:sz="4" w:space="0" w:color="auto"/>
              <w:right w:val="dashed" w:sz="8" w:space="0" w:color="auto"/>
            </w:tcBorders>
            <w:shd w:val="clear" w:color="auto" w:fill="auto"/>
            <w:vAlign w:val="center"/>
          </w:tcPr>
          <w:p w:rsidR="00D963AA" w:rsidRPr="00C80DE1" w:rsidP="00D963AA" w14:paraId="43BB8939" w14:textId="77777777">
            <w:pPr>
              <w:keepNext/>
              <w:keepLines/>
              <w:widowControl/>
              <w:jc w:val="right"/>
              <w:rPr>
                <w:rFonts w:asciiTheme="minorHAnsi" w:hAnsiTheme="minorHAnsi" w:cstheme="minorHAnsi"/>
                <w:color w:val="000000"/>
                <w:sz w:val="18"/>
                <w:szCs w:val="18"/>
              </w:rPr>
            </w:pPr>
            <w:r w:rsidRPr="000E0555">
              <w:rPr>
                <w:rFonts w:ascii="Calibri" w:hAnsi="Calibri" w:cs="Calibri"/>
                <w:color w:val="000000"/>
                <w:sz w:val="18"/>
                <w:szCs w:val="18"/>
              </w:rPr>
              <w:t>96</w:t>
            </w:r>
          </w:p>
        </w:tc>
        <w:tc>
          <w:tcPr>
            <w:tcW w:w="900" w:type="dxa"/>
            <w:tcBorders>
              <w:top w:val="single" w:sz="8" w:space="0" w:color="auto"/>
              <w:left w:val="nil"/>
              <w:bottom w:val="dotted" w:sz="4" w:space="0" w:color="auto"/>
              <w:right w:val="single" w:sz="4" w:space="0" w:color="auto"/>
            </w:tcBorders>
            <w:shd w:val="clear" w:color="auto" w:fill="auto"/>
            <w:vAlign w:val="center"/>
          </w:tcPr>
          <w:p w:rsidR="00D963AA" w:rsidRPr="00C80DE1" w:rsidP="00D963AA" w14:paraId="0C8C1E3C"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96</w:t>
            </w:r>
          </w:p>
        </w:tc>
        <w:tc>
          <w:tcPr>
            <w:tcW w:w="900" w:type="dxa"/>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7670A50E"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1,152</w:t>
            </w:r>
          </w:p>
        </w:tc>
        <w:tc>
          <w:tcPr>
            <w:tcW w:w="900" w:type="dxa"/>
            <w:tcBorders>
              <w:top w:val="dotted" w:sz="4" w:space="0" w:color="auto"/>
              <w:left w:val="nil"/>
              <w:bottom w:val="dotted" w:sz="4" w:space="0" w:color="auto"/>
              <w:right w:val="single" w:sz="4" w:space="0" w:color="auto"/>
            </w:tcBorders>
            <w:shd w:val="clear" w:color="auto" w:fill="auto"/>
            <w:vAlign w:val="center"/>
          </w:tcPr>
          <w:p w:rsidR="00D963AA" w:rsidRPr="00C80DE1" w:rsidP="00D963AA" w14:paraId="5A79124E"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1,152</w:t>
            </w:r>
          </w:p>
        </w:tc>
        <w:tc>
          <w:tcPr>
            <w:tcW w:w="901" w:type="dxa"/>
            <w:tcBorders>
              <w:top w:val="nil"/>
              <w:left w:val="single" w:sz="4" w:space="0" w:color="auto"/>
              <w:bottom w:val="dotted" w:sz="4" w:space="0" w:color="auto"/>
              <w:right w:val="dashed" w:sz="8" w:space="0" w:color="auto"/>
            </w:tcBorders>
            <w:shd w:val="clear" w:color="auto" w:fill="auto"/>
            <w:vAlign w:val="center"/>
          </w:tcPr>
          <w:p w:rsidR="00D963AA" w:rsidRPr="00C80DE1" w:rsidP="00D963AA" w14:paraId="71C01CDD"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38</w:t>
            </w:r>
          </w:p>
        </w:tc>
        <w:tc>
          <w:tcPr>
            <w:tcW w:w="899" w:type="dxa"/>
            <w:tcBorders>
              <w:top w:val="dotted" w:sz="4" w:space="0" w:color="auto"/>
              <w:left w:val="nil"/>
              <w:bottom w:val="dotted" w:sz="4" w:space="0" w:color="auto"/>
              <w:right w:val="single" w:sz="4" w:space="0" w:color="auto"/>
            </w:tcBorders>
            <w:shd w:val="clear" w:color="auto" w:fill="auto"/>
            <w:vAlign w:val="center"/>
          </w:tcPr>
          <w:p w:rsidR="00D963AA" w:rsidRPr="00422EC0" w:rsidP="00D963AA" w14:paraId="72204504"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38</w:t>
            </w:r>
          </w:p>
        </w:tc>
        <w:tc>
          <w:tcPr>
            <w:tcW w:w="3099" w:type="dxa"/>
            <w:tcBorders>
              <w:top w:val="nil"/>
              <w:left w:val="single" w:sz="4" w:space="0" w:color="auto"/>
              <w:bottom w:val="dotted" w:sz="4" w:space="0" w:color="auto"/>
              <w:right w:val="single" w:sz="8" w:space="0" w:color="auto"/>
            </w:tcBorders>
            <w:shd w:val="clear" w:color="auto" w:fill="auto"/>
            <w:vAlign w:val="center"/>
          </w:tcPr>
          <w:p w:rsidR="00D963AA" w:rsidP="00D963AA" w14:paraId="5B0498AC" w14:textId="77777777">
            <w:pPr>
              <w:keepNext/>
              <w:keepLines/>
              <w:widowControl/>
              <w:rPr>
                <w:rFonts w:asciiTheme="minorHAnsi" w:hAnsiTheme="minorHAnsi" w:cstheme="minorHAnsi"/>
                <w:color w:val="000000"/>
                <w:sz w:val="18"/>
                <w:szCs w:val="18"/>
                <w:u w:val="single"/>
              </w:rPr>
            </w:pPr>
            <w:r w:rsidRPr="00422EC0">
              <w:rPr>
                <w:rFonts w:ascii="Calibri" w:hAnsi="Calibri" w:cs="Calibri"/>
                <w:color w:val="000000"/>
                <w:sz w:val="18"/>
                <w:szCs w:val="18"/>
              </w:rPr>
              <w:t>No change</w:t>
            </w:r>
          </w:p>
        </w:tc>
      </w:tr>
      <w:tr w14:paraId="6A17DCE5"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77D42CE3"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Annual Registration of Charter Halibut Permit (CHP)</w:t>
            </w:r>
          </w:p>
        </w:tc>
        <w:tc>
          <w:tcPr>
            <w:tcW w:w="900" w:type="dxa"/>
            <w:tcBorders>
              <w:top w:val="nil"/>
              <w:left w:val="nil"/>
              <w:bottom w:val="dotted" w:sz="4" w:space="0" w:color="auto"/>
              <w:right w:val="dashed" w:sz="8" w:space="0" w:color="auto"/>
            </w:tcBorders>
            <w:shd w:val="clear" w:color="auto" w:fill="auto"/>
            <w:vAlign w:val="center"/>
          </w:tcPr>
          <w:p w:rsidR="00422EC0" w:rsidRPr="00B26309" w:rsidP="00EA0444" w14:paraId="21CB0A1C" w14:textId="7777777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60</w:t>
            </w:r>
            <w:r w:rsidR="00180C5A">
              <w:rPr>
                <w:rFonts w:asciiTheme="minorHAnsi" w:hAnsiTheme="minorHAnsi" w:cstheme="minorHAnsi"/>
                <w:color w:val="000000"/>
                <w:sz w:val="18"/>
                <w:szCs w:val="18"/>
              </w:rPr>
              <w:t>0</w:t>
            </w:r>
          </w:p>
        </w:tc>
        <w:tc>
          <w:tcPr>
            <w:tcW w:w="900" w:type="dxa"/>
            <w:tcBorders>
              <w:top w:val="single" w:sz="8" w:space="0" w:color="auto"/>
              <w:left w:val="nil"/>
              <w:bottom w:val="dotted" w:sz="4" w:space="0" w:color="auto"/>
              <w:right w:val="single" w:sz="4" w:space="0" w:color="auto"/>
            </w:tcBorders>
            <w:shd w:val="clear" w:color="auto" w:fill="auto"/>
            <w:vAlign w:val="center"/>
          </w:tcPr>
          <w:p w:rsidR="00422EC0" w:rsidRPr="00422EC0" w:rsidP="00EA0444" w14:paraId="054FA194"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586</w:t>
            </w:r>
          </w:p>
        </w:tc>
        <w:tc>
          <w:tcPr>
            <w:tcW w:w="900"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5AF6503A"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1,000</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3670BA61"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1,000</w:t>
            </w:r>
          </w:p>
        </w:tc>
        <w:tc>
          <w:tcPr>
            <w:tcW w:w="901"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1DAAF800"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250</w:t>
            </w:r>
          </w:p>
        </w:tc>
        <w:tc>
          <w:tcPr>
            <w:tcW w:w="899"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42F8ECE5"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250</w:t>
            </w:r>
          </w:p>
        </w:tc>
        <w:tc>
          <w:tcPr>
            <w:tcW w:w="3099" w:type="dxa"/>
            <w:tcBorders>
              <w:top w:val="nil"/>
              <w:left w:val="single" w:sz="4" w:space="0" w:color="auto"/>
              <w:bottom w:val="dotted" w:sz="4" w:space="0" w:color="auto"/>
              <w:right w:val="single" w:sz="8" w:space="0" w:color="auto"/>
            </w:tcBorders>
            <w:shd w:val="clear" w:color="auto" w:fill="auto"/>
            <w:vAlign w:val="center"/>
          </w:tcPr>
          <w:p w:rsidR="00422EC0" w:rsidRPr="00B26309" w14:paraId="62A4DF50" w14:textId="2AD18110">
            <w:pPr>
              <w:keepNext/>
              <w:keepLines/>
              <w:widowControl/>
              <w:rPr>
                <w:rFonts w:asciiTheme="minorHAnsi" w:hAnsiTheme="minorHAnsi" w:cstheme="minorHAnsi"/>
                <w:color w:val="000000"/>
                <w:sz w:val="18"/>
                <w:szCs w:val="18"/>
              </w:rPr>
            </w:pPr>
            <w:r w:rsidRPr="006913B3">
              <w:rPr>
                <w:rFonts w:asciiTheme="minorHAnsi" w:hAnsiTheme="minorHAnsi" w:cstheme="minorHAnsi"/>
                <w:color w:val="000000"/>
                <w:sz w:val="18"/>
                <w:szCs w:val="18"/>
                <w:u w:val="single"/>
              </w:rPr>
              <w:t>Adjustment</w:t>
            </w:r>
            <w:r>
              <w:rPr>
                <w:rFonts w:asciiTheme="minorHAnsi" w:hAnsiTheme="minorHAnsi" w:cstheme="minorHAnsi"/>
                <w:color w:val="000000"/>
                <w:sz w:val="18"/>
                <w:szCs w:val="18"/>
              </w:rPr>
              <w:t>: Updated number of respondents.</w:t>
            </w:r>
          </w:p>
        </w:tc>
      </w:tr>
      <w:tr w14:paraId="7F4D8CB9"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30823F6B"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Transfer of Charter Halibut Permit (CHP)</w:t>
            </w:r>
          </w:p>
        </w:tc>
        <w:tc>
          <w:tcPr>
            <w:tcW w:w="900" w:type="dxa"/>
            <w:tcBorders>
              <w:top w:val="nil"/>
              <w:left w:val="nil"/>
              <w:bottom w:val="dotted" w:sz="4" w:space="0" w:color="auto"/>
              <w:right w:val="dashed" w:sz="8" w:space="0" w:color="auto"/>
            </w:tcBorders>
            <w:shd w:val="clear" w:color="auto" w:fill="auto"/>
            <w:vAlign w:val="center"/>
          </w:tcPr>
          <w:p w:rsidR="00422EC0" w:rsidRPr="00B26309" w:rsidP="00EA0444" w14:paraId="0FC7B9E0" w14:textId="7777777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100</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7C327D38"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100</w:t>
            </w:r>
          </w:p>
        </w:tc>
        <w:tc>
          <w:tcPr>
            <w:tcW w:w="900"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37FACC0C"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50</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2B72C832"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50</w:t>
            </w:r>
          </w:p>
        </w:tc>
        <w:tc>
          <w:tcPr>
            <w:tcW w:w="901"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6D76E5DA"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100</w:t>
            </w:r>
          </w:p>
        </w:tc>
        <w:tc>
          <w:tcPr>
            <w:tcW w:w="899"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055CC52C"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100</w:t>
            </w:r>
          </w:p>
        </w:tc>
        <w:tc>
          <w:tcPr>
            <w:tcW w:w="3099" w:type="dxa"/>
            <w:tcBorders>
              <w:top w:val="nil"/>
              <w:left w:val="single" w:sz="4" w:space="0" w:color="auto"/>
              <w:bottom w:val="dotted" w:sz="4" w:space="0" w:color="auto"/>
              <w:right w:val="single" w:sz="8" w:space="0" w:color="auto"/>
            </w:tcBorders>
            <w:shd w:val="clear" w:color="auto" w:fill="auto"/>
            <w:vAlign w:val="center"/>
          </w:tcPr>
          <w:p w:rsidR="00422EC0" w:rsidRPr="00B26309" w:rsidP="00EA0444" w14:paraId="5304EEE4" w14:textId="77777777">
            <w:pPr>
              <w:keepNext/>
              <w:keepLines/>
              <w:widowControl/>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3D62AD69"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5D1C84A0"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Military Charter Halibut Permit</w:t>
            </w:r>
          </w:p>
        </w:tc>
        <w:tc>
          <w:tcPr>
            <w:tcW w:w="900" w:type="dxa"/>
            <w:tcBorders>
              <w:top w:val="nil"/>
              <w:left w:val="nil"/>
              <w:bottom w:val="dotted" w:sz="4" w:space="0" w:color="auto"/>
              <w:right w:val="dashed" w:sz="8" w:space="0" w:color="auto"/>
            </w:tcBorders>
            <w:shd w:val="clear" w:color="auto" w:fill="auto"/>
            <w:vAlign w:val="center"/>
          </w:tcPr>
          <w:p w:rsidR="00422EC0" w:rsidRPr="00B26309" w:rsidP="00EA0444" w14:paraId="2A18CBDD" w14:textId="7777777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145199AE"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w:t>
            </w:r>
          </w:p>
        </w:tc>
        <w:tc>
          <w:tcPr>
            <w:tcW w:w="900"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19816B20"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14F765F9"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w:t>
            </w:r>
          </w:p>
        </w:tc>
        <w:tc>
          <w:tcPr>
            <w:tcW w:w="901"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720FAF89"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1</w:t>
            </w:r>
          </w:p>
        </w:tc>
        <w:tc>
          <w:tcPr>
            <w:tcW w:w="899"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5ECE0FCE"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1</w:t>
            </w:r>
          </w:p>
        </w:tc>
        <w:tc>
          <w:tcPr>
            <w:tcW w:w="3099" w:type="dxa"/>
            <w:tcBorders>
              <w:top w:val="nil"/>
              <w:left w:val="single" w:sz="4" w:space="0" w:color="auto"/>
              <w:bottom w:val="dotted" w:sz="4" w:space="0" w:color="auto"/>
              <w:right w:val="single" w:sz="8" w:space="0" w:color="auto"/>
            </w:tcBorders>
            <w:shd w:val="clear" w:color="auto" w:fill="auto"/>
            <w:vAlign w:val="center"/>
          </w:tcPr>
          <w:p w:rsidR="00422EC0" w:rsidRPr="00B26309" w:rsidP="00EA0444" w14:paraId="2241478D" w14:textId="77777777">
            <w:pPr>
              <w:keepNext/>
              <w:keepLines/>
              <w:widowControl/>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636A70D0"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hideMark/>
          </w:tcPr>
          <w:p w:rsidR="00422EC0" w:rsidRPr="00B26309" w:rsidP="00EA0444" w14:paraId="0DA37009"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Application for Transfer (Lease) Between Individual Fishing Quota (IFQ) and Guided Angler Fish (GAF) and issuance of GAF permit</w:t>
            </w:r>
          </w:p>
        </w:tc>
        <w:tc>
          <w:tcPr>
            <w:tcW w:w="900" w:type="dxa"/>
            <w:tcBorders>
              <w:top w:val="nil"/>
              <w:left w:val="nil"/>
              <w:bottom w:val="dotted" w:sz="4" w:space="0" w:color="auto"/>
              <w:right w:val="dashed" w:sz="8" w:space="0" w:color="auto"/>
            </w:tcBorders>
            <w:shd w:val="clear" w:color="auto" w:fill="auto"/>
            <w:vAlign w:val="center"/>
          </w:tcPr>
          <w:p w:rsidR="00422EC0" w:rsidRPr="00B26309" w:rsidP="00EA0444" w14:paraId="520DC968" w14:textId="7777777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96</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75F48733"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96</w:t>
            </w:r>
          </w:p>
        </w:tc>
        <w:tc>
          <w:tcPr>
            <w:tcW w:w="900"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40F3A95C"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600</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5EB515BF"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600</w:t>
            </w:r>
          </w:p>
        </w:tc>
        <w:tc>
          <w:tcPr>
            <w:tcW w:w="901" w:type="dxa"/>
            <w:tcBorders>
              <w:top w:val="nil"/>
              <w:left w:val="single" w:sz="4" w:space="0" w:color="auto"/>
              <w:bottom w:val="dotted" w:sz="4" w:space="0" w:color="auto"/>
              <w:right w:val="dashed" w:sz="8" w:space="0" w:color="auto"/>
            </w:tcBorders>
            <w:shd w:val="clear" w:color="auto" w:fill="auto"/>
            <w:vAlign w:val="center"/>
          </w:tcPr>
          <w:p w:rsidR="00422EC0" w:rsidRPr="00422EC0" w:rsidP="00EA0444" w14:paraId="64102CBB" w14:textId="77777777">
            <w:pPr>
              <w:keepNext/>
              <w:keepLines/>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900</w:t>
            </w:r>
          </w:p>
        </w:tc>
        <w:tc>
          <w:tcPr>
            <w:tcW w:w="899" w:type="dxa"/>
            <w:tcBorders>
              <w:top w:val="dotted" w:sz="4" w:space="0" w:color="auto"/>
              <w:left w:val="nil"/>
              <w:bottom w:val="dotted" w:sz="4" w:space="0" w:color="auto"/>
              <w:right w:val="single" w:sz="4" w:space="0" w:color="auto"/>
            </w:tcBorders>
            <w:shd w:val="clear" w:color="auto" w:fill="auto"/>
            <w:vAlign w:val="center"/>
          </w:tcPr>
          <w:p w:rsidR="00422EC0" w:rsidRPr="00422EC0" w:rsidP="00EA0444" w14:paraId="5B90F4CC" w14:textId="77777777">
            <w:pPr>
              <w:keepNext/>
              <w:keepLines/>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900</w:t>
            </w:r>
          </w:p>
        </w:tc>
        <w:tc>
          <w:tcPr>
            <w:tcW w:w="3099" w:type="dxa"/>
            <w:tcBorders>
              <w:top w:val="nil"/>
              <w:left w:val="single" w:sz="4" w:space="0" w:color="auto"/>
              <w:bottom w:val="dotted" w:sz="4" w:space="0" w:color="auto"/>
              <w:right w:val="single" w:sz="8" w:space="0" w:color="auto"/>
            </w:tcBorders>
            <w:shd w:val="clear" w:color="auto" w:fill="auto"/>
            <w:vAlign w:val="center"/>
          </w:tcPr>
          <w:p w:rsidR="00422EC0" w:rsidRPr="00B26309" w:rsidP="00EA0444" w14:paraId="630C2168" w14:textId="77777777">
            <w:pPr>
              <w:keepNext/>
              <w:keepLines/>
              <w:widowControl/>
              <w:tabs>
                <w:tab w:val="left" w:pos="2229"/>
              </w:tabs>
              <w:rPr>
                <w:rFonts w:asciiTheme="minorHAnsi" w:hAnsiTheme="minorHAnsi" w:cstheme="minorHAnsi"/>
                <w:color w:val="000000"/>
                <w:sz w:val="18"/>
                <w:szCs w:val="18"/>
              </w:rPr>
            </w:pPr>
            <w:r>
              <w:rPr>
                <w:rFonts w:asciiTheme="minorHAnsi" w:hAnsiTheme="minorHAnsi" w:cstheme="minorHAnsi"/>
                <w:color w:val="000000"/>
                <w:sz w:val="18"/>
                <w:szCs w:val="18"/>
              </w:rPr>
              <w:t>No change</w:t>
            </w:r>
          </w:p>
        </w:tc>
      </w:tr>
      <w:tr w14:paraId="4ABD80EF"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tcPr>
          <w:p w:rsidR="00422EC0" w:rsidRPr="00B26309" w:rsidP="00EA0444" w14:paraId="0576DA32" w14:textId="77777777">
            <w:pPr>
              <w:keepNext/>
              <w:keepLines/>
              <w:jc w:val="center"/>
              <w:rPr>
                <w:rFonts w:asciiTheme="minorHAnsi" w:hAnsiTheme="minorHAnsi" w:cstheme="minorHAnsi"/>
                <w:sz w:val="18"/>
                <w:szCs w:val="18"/>
              </w:rPr>
            </w:pPr>
            <w:r w:rsidRPr="00B26309">
              <w:rPr>
                <w:rFonts w:asciiTheme="minorHAnsi" w:hAnsiTheme="minorHAnsi" w:cstheme="minorHAnsi"/>
                <w:sz w:val="18"/>
                <w:szCs w:val="18"/>
              </w:rPr>
              <w:t>Administrative Appeals</w:t>
            </w:r>
          </w:p>
        </w:tc>
        <w:tc>
          <w:tcPr>
            <w:tcW w:w="900" w:type="dxa"/>
            <w:tcBorders>
              <w:top w:val="dotted" w:sz="4" w:space="0" w:color="auto"/>
              <w:left w:val="nil"/>
              <w:bottom w:val="dotted" w:sz="4" w:space="0" w:color="auto"/>
              <w:right w:val="dashed" w:sz="8" w:space="0" w:color="auto"/>
            </w:tcBorders>
            <w:shd w:val="clear" w:color="auto" w:fill="auto"/>
            <w:vAlign w:val="center"/>
          </w:tcPr>
          <w:p w:rsidR="00422EC0" w:rsidRPr="00004CFE" w:rsidP="00EA0444" w14:paraId="3B9D6297" w14:textId="77777777">
            <w:pPr>
              <w:keepNext/>
              <w:keepLines/>
              <w:widowControl/>
              <w:jc w:val="right"/>
              <w:rPr>
                <w:rFonts w:asciiTheme="minorHAnsi" w:hAnsiTheme="minorHAnsi" w:cstheme="minorHAnsi"/>
                <w:color w:val="000000"/>
                <w:sz w:val="18"/>
                <w:szCs w:val="18"/>
              </w:rPr>
            </w:pPr>
            <w:r w:rsidRPr="00004CFE">
              <w:rPr>
                <w:rFonts w:asciiTheme="minorHAnsi" w:hAnsiTheme="minorHAnsi" w:cstheme="minorHAnsi"/>
                <w:color w:val="000000"/>
                <w:sz w:val="18"/>
                <w:szCs w:val="18"/>
              </w:rPr>
              <w:t>1</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004CFE" w:rsidP="00EA0444" w14:paraId="1FDC1E10" w14:textId="77777777">
            <w:pPr>
              <w:keepNext/>
              <w:keepLines/>
              <w:adjustRightInd w:val="0"/>
              <w:jc w:val="right"/>
              <w:rPr>
                <w:rFonts w:eastAsia="Calibri" w:asciiTheme="minorHAnsi" w:hAnsiTheme="minorHAnsi" w:cstheme="minorHAnsi"/>
                <w:sz w:val="18"/>
                <w:szCs w:val="18"/>
              </w:rPr>
            </w:pPr>
            <w:r w:rsidRPr="00004CFE">
              <w:rPr>
                <w:rFonts w:asciiTheme="minorHAnsi" w:hAnsiTheme="minorHAnsi" w:cstheme="minorHAnsi"/>
                <w:sz w:val="18"/>
                <w:szCs w:val="18"/>
              </w:rPr>
              <w:t>1</w:t>
            </w:r>
          </w:p>
        </w:tc>
        <w:tc>
          <w:tcPr>
            <w:tcW w:w="900" w:type="dxa"/>
            <w:tcBorders>
              <w:top w:val="dotted" w:sz="4" w:space="0" w:color="auto"/>
              <w:left w:val="single" w:sz="4" w:space="0" w:color="auto"/>
              <w:bottom w:val="dotted" w:sz="4" w:space="0" w:color="auto"/>
              <w:right w:val="dashed" w:sz="8" w:space="0" w:color="auto"/>
            </w:tcBorders>
            <w:shd w:val="clear" w:color="auto" w:fill="auto"/>
            <w:vAlign w:val="center"/>
          </w:tcPr>
          <w:p w:rsidR="00422EC0" w:rsidRPr="00004CFE" w:rsidP="00EA0444" w14:paraId="5A7A122B" w14:textId="77777777">
            <w:pPr>
              <w:keepNext/>
              <w:keepLines/>
              <w:widowControl/>
              <w:jc w:val="right"/>
              <w:rPr>
                <w:rFonts w:asciiTheme="minorHAnsi" w:hAnsiTheme="minorHAnsi" w:cstheme="minorHAnsi"/>
                <w:color w:val="000000"/>
                <w:sz w:val="18"/>
                <w:szCs w:val="18"/>
              </w:rPr>
            </w:pPr>
            <w:r w:rsidRPr="00004CFE">
              <w:rPr>
                <w:rFonts w:asciiTheme="minorHAnsi" w:hAnsiTheme="minorHAnsi" w:cstheme="minorHAnsi"/>
                <w:color w:val="000000"/>
                <w:sz w:val="18"/>
                <w:szCs w:val="18"/>
              </w:rPr>
              <w:t>1</w:t>
            </w:r>
          </w:p>
        </w:tc>
        <w:tc>
          <w:tcPr>
            <w:tcW w:w="900" w:type="dxa"/>
            <w:tcBorders>
              <w:top w:val="dotted" w:sz="4" w:space="0" w:color="auto"/>
              <w:left w:val="nil"/>
              <w:bottom w:val="dotted" w:sz="4" w:space="0" w:color="auto"/>
              <w:right w:val="single" w:sz="4" w:space="0" w:color="auto"/>
            </w:tcBorders>
            <w:shd w:val="clear" w:color="auto" w:fill="auto"/>
            <w:vAlign w:val="center"/>
          </w:tcPr>
          <w:p w:rsidR="00422EC0" w:rsidRPr="00004CFE" w:rsidP="00EA0444" w14:paraId="1817EAF8" w14:textId="77777777">
            <w:pPr>
              <w:keepNext/>
              <w:keepLines/>
              <w:adjustRightInd w:val="0"/>
              <w:jc w:val="right"/>
              <w:rPr>
                <w:rFonts w:eastAsia="Calibri" w:asciiTheme="minorHAnsi" w:hAnsiTheme="minorHAnsi" w:cstheme="minorHAnsi"/>
                <w:sz w:val="18"/>
                <w:szCs w:val="18"/>
              </w:rPr>
            </w:pPr>
            <w:r w:rsidRPr="00004CFE">
              <w:rPr>
                <w:rFonts w:asciiTheme="minorHAnsi" w:hAnsiTheme="minorHAnsi" w:cstheme="minorHAnsi"/>
                <w:sz w:val="18"/>
                <w:szCs w:val="18"/>
              </w:rPr>
              <w:t>1</w:t>
            </w:r>
          </w:p>
        </w:tc>
        <w:tc>
          <w:tcPr>
            <w:tcW w:w="901" w:type="dxa"/>
            <w:tcBorders>
              <w:top w:val="dotted" w:sz="4" w:space="0" w:color="auto"/>
              <w:left w:val="single" w:sz="4" w:space="0" w:color="auto"/>
              <w:bottom w:val="dotted" w:sz="4" w:space="0" w:color="auto"/>
              <w:right w:val="dashed" w:sz="8" w:space="0" w:color="auto"/>
            </w:tcBorders>
            <w:shd w:val="clear" w:color="auto" w:fill="auto"/>
            <w:vAlign w:val="center"/>
          </w:tcPr>
          <w:p w:rsidR="00422EC0" w:rsidRPr="00004CFE" w:rsidP="00EA0444" w14:paraId="689DDC6C" w14:textId="77777777">
            <w:pPr>
              <w:keepNext/>
              <w:keepLines/>
              <w:widowControl/>
              <w:jc w:val="right"/>
              <w:rPr>
                <w:rFonts w:asciiTheme="minorHAnsi" w:hAnsiTheme="minorHAnsi" w:cstheme="minorHAnsi"/>
                <w:color w:val="000000"/>
                <w:sz w:val="18"/>
                <w:szCs w:val="18"/>
              </w:rPr>
            </w:pPr>
            <w:r w:rsidRPr="00004CFE">
              <w:rPr>
                <w:rFonts w:asciiTheme="minorHAnsi" w:hAnsiTheme="minorHAnsi" w:cstheme="minorHAnsi"/>
                <w:color w:val="000000"/>
                <w:sz w:val="18"/>
                <w:szCs w:val="18"/>
              </w:rPr>
              <w:t>4</w:t>
            </w:r>
          </w:p>
        </w:tc>
        <w:tc>
          <w:tcPr>
            <w:tcW w:w="899" w:type="dxa"/>
            <w:tcBorders>
              <w:top w:val="dotted" w:sz="4" w:space="0" w:color="auto"/>
              <w:left w:val="nil"/>
              <w:bottom w:val="dotted" w:sz="4" w:space="0" w:color="auto"/>
              <w:right w:val="single" w:sz="4" w:space="0" w:color="auto"/>
            </w:tcBorders>
            <w:shd w:val="clear" w:color="auto" w:fill="auto"/>
            <w:vAlign w:val="center"/>
          </w:tcPr>
          <w:p w:rsidR="00422EC0" w:rsidRPr="00004CFE" w:rsidP="00EA0444" w14:paraId="0B1DFB25" w14:textId="77777777">
            <w:pPr>
              <w:keepNext/>
              <w:keepLines/>
              <w:adjustRightInd w:val="0"/>
              <w:jc w:val="right"/>
              <w:rPr>
                <w:rFonts w:eastAsia="Calibri" w:asciiTheme="minorHAnsi" w:hAnsiTheme="minorHAnsi" w:cstheme="minorHAnsi"/>
                <w:sz w:val="18"/>
                <w:szCs w:val="18"/>
              </w:rPr>
            </w:pPr>
            <w:r w:rsidRPr="00004CFE">
              <w:rPr>
                <w:rFonts w:asciiTheme="minorHAnsi" w:hAnsiTheme="minorHAnsi" w:cstheme="minorHAnsi"/>
                <w:sz w:val="18"/>
                <w:szCs w:val="18"/>
              </w:rPr>
              <w:t>4</w:t>
            </w:r>
          </w:p>
        </w:tc>
        <w:tc>
          <w:tcPr>
            <w:tcW w:w="3099" w:type="dxa"/>
            <w:tcBorders>
              <w:top w:val="dotted" w:sz="4" w:space="0" w:color="auto"/>
              <w:left w:val="single" w:sz="4" w:space="0" w:color="auto"/>
              <w:bottom w:val="dotted" w:sz="4" w:space="0" w:color="auto"/>
              <w:right w:val="single" w:sz="8" w:space="0" w:color="auto"/>
            </w:tcBorders>
            <w:shd w:val="clear" w:color="auto" w:fill="auto"/>
            <w:vAlign w:val="center"/>
          </w:tcPr>
          <w:p w:rsidR="00422EC0" w:rsidRPr="00004CFE" w:rsidP="00EA0444" w14:paraId="1838811A" w14:textId="77777777">
            <w:pPr>
              <w:keepNext/>
              <w:keepLines/>
              <w:widowControl/>
              <w:rPr>
                <w:rFonts w:asciiTheme="minorHAnsi" w:hAnsiTheme="minorHAnsi" w:cstheme="minorHAnsi"/>
                <w:color w:val="000000"/>
                <w:sz w:val="18"/>
                <w:szCs w:val="18"/>
              </w:rPr>
            </w:pPr>
            <w:r w:rsidRPr="00004CFE">
              <w:rPr>
                <w:rFonts w:asciiTheme="minorHAnsi" w:hAnsiTheme="minorHAnsi" w:cstheme="minorHAnsi"/>
                <w:color w:val="000000"/>
                <w:sz w:val="18"/>
                <w:szCs w:val="18"/>
              </w:rPr>
              <w:t>No change</w:t>
            </w:r>
          </w:p>
        </w:tc>
      </w:tr>
      <w:tr w14:paraId="45566ACE" w14:textId="77777777" w:rsidTr="00A51B6B">
        <w:tblPrEx>
          <w:tblW w:w="11189" w:type="dxa"/>
          <w:jc w:val="center"/>
          <w:tblLayout w:type="fixed"/>
          <w:tblLook w:val="04A0"/>
        </w:tblPrEx>
        <w:trPr>
          <w:trHeight w:val="258"/>
          <w:jc w:val="center"/>
        </w:trPr>
        <w:tc>
          <w:tcPr>
            <w:tcW w:w="2690" w:type="dxa"/>
            <w:tcBorders>
              <w:top w:val="nil"/>
              <w:left w:val="single" w:sz="8" w:space="0" w:color="auto"/>
              <w:bottom w:val="single" w:sz="8" w:space="0" w:color="auto"/>
              <w:right w:val="single" w:sz="8" w:space="0" w:color="auto"/>
            </w:tcBorders>
            <w:shd w:val="clear" w:color="auto" w:fill="auto"/>
            <w:vAlign w:val="center"/>
          </w:tcPr>
          <w:p w:rsidR="00D963AA" w:rsidRPr="00B26309" w:rsidP="00D963AA" w14:paraId="63083D65" w14:textId="77777777">
            <w:pPr>
              <w:keepNext/>
              <w:keepLines/>
              <w:jc w:val="center"/>
              <w:rPr>
                <w:rFonts w:asciiTheme="minorHAnsi" w:hAnsiTheme="minorHAnsi" w:cstheme="minorHAnsi"/>
                <w:sz w:val="18"/>
                <w:szCs w:val="18"/>
              </w:rPr>
            </w:pPr>
            <w:r>
              <w:rPr>
                <w:rFonts w:asciiTheme="minorHAnsi" w:hAnsiTheme="minorHAnsi" w:cstheme="minorHAnsi"/>
                <w:sz w:val="18"/>
                <w:szCs w:val="18"/>
              </w:rPr>
              <w:t xml:space="preserve">Purchase of Charter Halibut Stamps </w:t>
            </w:r>
            <w:r w:rsidRPr="00004CFE">
              <w:rPr>
                <w:rFonts w:asciiTheme="minorHAnsi" w:hAnsiTheme="minorHAnsi" w:cstheme="minorHAnsi"/>
                <w:color w:val="C00000"/>
                <w:sz w:val="18"/>
                <w:szCs w:val="18"/>
              </w:rPr>
              <w:t>[new collection]</w:t>
            </w:r>
          </w:p>
        </w:tc>
        <w:tc>
          <w:tcPr>
            <w:tcW w:w="900" w:type="dxa"/>
            <w:tcBorders>
              <w:top w:val="dotted" w:sz="4" w:space="0" w:color="auto"/>
              <w:left w:val="nil"/>
              <w:bottom w:val="dotted" w:sz="4" w:space="0" w:color="auto"/>
              <w:right w:val="dashed" w:sz="8" w:space="0" w:color="auto"/>
            </w:tcBorders>
            <w:shd w:val="clear" w:color="auto" w:fill="auto"/>
            <w:vAlign w:val="center"/>
          </w:tcPr>
          <w:p w:rsidR="00D963AA" w:rsidRPr="00004CFE" w:rsidP="00D963AA" w14:paraId="4E282D19" w14:textId="7777777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475</w:t>
            </w:r>
          </w:p>
        </w:tc>
        <w:tc>
          <w:tcPr>
            <w:tcW w:w="900" w:type="dxa"/>
            <w:tcBorders>
              <w:top w:val="dotted" w:sz="4" w:space="0" w:color="auto"/>
              <w:left w:val="nil"/>
              <w:bottom w:val="dotted" w:sz="4" w:space="0" w:color="auto"/>
              <w:right w:val="single" w:sz="4" w:space="0" w:color="auto"/>
            </w:tcBorders>
            <w:shd w:val="clear" w:color="auto" w:fill="auto"/>
            <w:vAlign w:val="center"/>
          </w:tcPr>
          <w:p w:rsidR="00D963AA" w:rsidRPr="00004CFE" w:rsidP="00D963AA" w14:paraId="7656F703"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color w:val="000000"/>
                <w:sz w:val="18"/>
                <w:szCs w:val="18"/>
              </w:rPr>
              <w:t>—</w:t>
            </w:r>
          </w:p>
        </w:tc>
        <w:tc>
          <w:tcPr>
            <w:tcW w:w="900" w:type="dxa"/>
            <w:tcBorders>
              <w:top w:val="dotted" w:sz="4" w:space="0" w:color="auto"/>
              <w:left w:val="single" w:sz="4" w:space="0" w:color="auto"/>
              <w:bottom w:val="dotted" w:sz="4" w:space="0" w:color="auto"/>
              <w:right w:val="dashed" w:sz="8" w:space="0" w:color="auto"/>
            </w:tcBorders>
            <w:shd w:val="clear" w:color="auto" w:fill="auto"/>
            <w:vAlign w:val="center"/>
          </w:tcPr>
          <w:p w:rsidR="00D963AA" w:rsidRPr="00004CFE" w:rsidP="00D963AA" w14:paraId="014F339E" w14:textId="7777777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475</w:t>
            </w:r>
          </w:p>
        </w:tc>
        <w:tc>
          <w:tcPr>
            <w:tcW w:w="900" w:type="dxa"/>
            <w:tcBorders>
              <w:top w:val="dotted" w:sz="4" w:space="0" w:color="auto"/>
              <w:left w:val="nil"/>
              <w:bottom w:val="dotted" w:sz="4" w:space="0" w:color="auto"/>
              <w:right w:val="single" w:sz="4" w:space="0" w:color="auto"/>
            </w:tcBorders>
            <w:shd w:val="clear" w:color="auto" w:fill="auto"/>
            <w:vAlign w:val="center"/>
          </w:tcPr>
          <w:p w:rsidR="00D963AA" w:rsidRPr="00004CFE" w:rsidP="00D963AA" w14:paraId="567BDBE2"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color w:val="000000"/>
                <w:sz w:val="18"/>
                <w:szCs w:val="18"/>
              </w:rPr>
              <w:t>—</w:t>
            </w:r>
          </w:p>
        </w:tc>
        <w:tc>
          <w:tcPr>
            <w:tcW w:w="901" w:type="dxa"/>
            <w:tcBorders>
              <w:top w:val="dotted" w:sz="4" w:space="0" w:color="auto"/>
              <w:left w:val="single" w:sz="4" w:space="0" w:color="auto"/>
              <w:bottom w:val="dotted" w:sz="4" w:space="0" w:color="auto"/>
              <w:right w:val="dashed" w:sz="8" w:space="0" w:color="auto"/>
            </w:tcBorders>
            <w:shd w:val="clear" w:color="auto" w:fill="auto"/>
            <w:vAlign w:val="center"/>
          </w:tcPr>
          <w:p w:rsidR="00D963AA" w:rsidRPr="00004CFE" w:rsidP="00D963AA" w14:paraId="68AF62BD" w14:textId="77777777">
            <w:pPr>
              <w:keepNext/>
              <w:keepLines/>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899" w:type="dxa"/>
            <w:tcBorders>
              <w:top w:val="dotted" w:sz="4" w:space="0" w:color="auto"/>
              <w:left w:val="nil"/>
              <w:bottom w:val="dotted" w:sz="4" w:space="0" w:color="auto"/>
              <w:right w:val="single" w:sz="4" w:space="0" w:color="auto"/>
            </w:tcBorders>
            <w:shd w:val="clear" w:color="auto" w:fill="auto"/>
            <w:vAlign w:val="center"/>
          </w:tcPr>
          <w:p w:rsidR="00D963AA" w:rsidRPr="00004CFE" w:rsidP="00D963AA" w14:paraId="2B6BD8B5" w14:textId="77777777">
            <w:pPr>
              <w:keepNext/>
              <w:keepLines/>
              <w:adjustRightInd w:val="0"/>
              <w:jc w:val="right"/>
              <w:rPr>
                <w:rFonts w:asciiTheme="minorHAnsi" w:hAnsiTheme="minorHAnsi" w:cstheme="minorHAnsi"/>
                <w:sz w:val="18"/>
                <w:szCs w:val="18"/>
              </w:rPr>
            </w:pPr>
            <w:r w:rsidRPr="00422EC0">
              <w:rPr>
                <w:rFonts w:asciiTheme="minorHAnsi" w:hAnsiTheme="minorHAnsi" w:cstheme="minorHAnsi"/>
                <w:sz w:val="18"/>
                <w:szCs w:val="18"/>
              </w:rPr>
              <w:t>—</w:t>
            </w:r>
          </w:p>
        </w:tc>
        <w:tc>
          <w:tcPr>
            <w:tcW w:w="3099" w:type="dxa"/>
            <w:tcBorders>
              <w:top w:val="dotted" w:sz="4" w:space="0" w:color="auto"/>
              <w:left w:val="single" w:sz="4" w:space="0" w:color="auto"/>
              <w:bottom w:val="dotted" w:sz="4" w:space="0" w:color="auto"/>
              <w:right w:val="single" w:sz="8" w:space="0" w:color="auto"/>
            </w:tcBorders>
            <w:shd w:val="clear" w:color="auto" w:fill="auto"/>
            <w:vAlign w:val="center"/>
          </w:tcPr>
          <w:p w:rsidR="00D963AA" w:rsidRPr="00004CFE" w:rsidP="001C4B22" w14:paraId="63656EBE" w14:textId="6185AE19">
            <w:pPr>
              <w:keepNext/>
              <w:keepLines/>
              <w:widowControl/>
              <w:rPr>
                <w:rFonts w:asciiTheme="minorHAnsi" w:hAnsiTheme="minorHAnsi" w:cstheme="minorHAnsi"/>
                <w:color w:val="000000"/>
                <w:sz w:val="18"/>
                <w:szCs w:val="18"/>
              </w:rPr>
            </w:pPr>
            <w:r w:rsidRPr="005D75E5">
              <w:rPr>
                <w:rFonts w:asciiTheme="minorHAnsi" w:hAnsiTheme="minorHAnsi" w:cstheme="minorHAnsi"/>
                <w:color w:val="000000"/>
                <w:sz w:val="18"/>
                <w:szCs w:val="18"/>
                <w:u w:val="single"/>
              </w:rPr>
              <w:t>Program change</w:t>
            </w:r>
            <w:r w:rsidRPr="005D75E5">
              <w:rPr>
                <w:rFonts w:asciiTheme="minorHAnsi" w:hAnsiTheme="minorHAnsi" w:cstheme="minorHAnsi"/>
                <w:color w:val="000000"/>
                <w:sz w:val="18"/>
                <w:szCs w:val="18"/>
              </w:rPr>
              <w:t>: Ne</w:t>
            </w:r>
            <w:r>
              <w:rPr>
                <w:rFonts w:asciiTheme="minorHAnsi" w:hAnsiTheme="minorHAnsi" w:cstheme="minorHAnsi"/>
                <w:color w:val="000000"/>
                <w:sz w:val="18"/>
                <w:szCs w:val="18"/>
              </w:rPr>
              <w:t xml:space="preserve">w collection instrument that </w:t>
            </w:r>
            <w:r w:rsidR="001C4B22">
              <w:rPr>
                <w:rFonts w:asciiTheme="minorHAnsi" w:hAnsiTheme="minorHAnsi" w:cstheme="minorHAnsi"/>
                <w:color w:val="000000"/>
                <w:sz w:val="18"/>
                <w:szCs w:val="18"/>
              </w:rPr>
              <w:t>is</w:t>
            </w:r>
            <w:r>
              <w:rPr>
                <w:rFonts w:asciiTheme="minorHAnsi" w:hAnsiTheme="minorHAnsi" w:cstheme="minorHAnsi"/>
                <w:color w:val="000000"/>
                <w:sz w:val="18"/>
                <w:szCs w:val="18"/>
              </w:rPr>
              <w:t xml:space="preserve"> </w:t>
            </w:r>
            <w:r w:rsidRPr="005D75E5">
              <w:rPr>
                <w:rFonts w:asciiTheme="minorHAnsi" w:hAnsiTheme="minorHAnsi" w:cstheme="minorHAnsi"/>
                <w:color w:val="000000"/>
                <w:sz w:val="18"/>
                <w:szCs w:val="18"/>
              </w:rPr>
              <w:t>added by this rule.</w:t>
            </w:r>
          </w:p>
        </w:tc>
      </w:tr>
      <w:tr w14:paraId="37FF4427" w14:textId="77777777" w:rsidTr="00864BC9">
        <w:tblPrEx>
          <w:tblW w:w="11189" w:type="dxa"/>
          <w:jc w:val="center"/>
          <w:tblLayout w:type="fixed"/>
          <w:tblLook w:val="04A0"/>
        </w:tblPrEx>
        <w:trPr>
          <w:trHeight w:val="294"/>
          <w:jc w:val="center"/>
        </w:trPr>
        <w:tc>
          <w:tcPr>
            <w:tcW w:w="2690" w:type="dxa"/>
            <w:tcBorders>
              <w:top w:val="nil"/>
              <w:left w:val="single" w:sz="8" w:space="0" w:color="auto"/>
              <w:bottom w:val="single" w:sz="8" w:space="0" w:color="auto"/>
              <w:right w:val="single" w:sz="8" w:space="0" w:color="auto"/>
            </w:tcBorders>
            <w:shd w:val="clear" w:color="000000" w:fill="BDD6EE"/>
            <w:vAlign w:val="center"/>
            <w:hideMark/>
          </w:tcPr>
          <w:p w:rsidR="00422EC0" w:rsidRPr="00671D0D" w:rsidP="00EA0444" w14:paraId="1F4C3D60" w14:textId="77777777">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Total for Collection</w:t>
            </w:r>
          </w:p>
        </w:tc>
        <w:tc>
          <w:tcPr>
            <w:tcW w:w="900" w:type="dxa"/>
            <w:tcBorders>
              <w:top w:val="single" w:sz="4" w:space="0" w:color="auto"/>
              <w:left w:val="nil"/>
              <w:bottom w:val="single" w:sz="8" w:space="0" w:color="auto"/>
              <w:right w:val="dashed" w:sz="8" w:space="0" w:color="auto"/>
            </w:tcBorders>
            <w:shd w:val="clear" w:color="000000" w:fill="BDD6EE"/>
            <w:vAlign w:val="center"/>
          </w:tcPr>
          <w:p w:rsidR="00422EC0" w:rsidRPr="00671D0D" w:rsidP="00EA0444" w14:paraId="4ADB4BDD" w14:textId="77777777">
            <w:pPr>
              <w:keepNext/>
              <w:keepLines/>
              <w:widowControl/>
              <w:jc w:val="right"/>
              <w:rPr>
                <w:rFonts w:ascii="Calibri" w:hAnsi="Calibri" w:cs="Calibri"/>
                <w:b/>
                <w:bCs/>
                <w:color w:val="000000"/>
                <w:sz w:val="18"/>
                <w:szCs w:val="18"/>
              </w:rPr>
            </w:pPr>
            <w:r>
              <w:rPr>
                <w:rFonts w:ascii="Calibri" w:hAnsi="Calibri" w:cs="Calibri"/>
                <w:b/>
                <w:bCs/>
                <w:color w:val="000000"/>
                <w:sz w:val="18"/>
                <w:szCs w:val="18"/>
              </w:rPr>
              <w:t>574</w:t>
            </w:r>
            <w:r w:rsidRPr="00671D0D">
              <w:rPr>
                <w:rFonts w:ascii="Calibri" w:hAnsi="Calibri" w:cs="Calibri"/>
                <w:b/>
                <w:bCs/>
                <w:color w:val="000000"/>
                <w:sz w:val="18"/>
                <w:szCs w:val="18"/>
              </w:rPr>
              <w:t>*</w:t>
            </w:r>
          </w:p>
        </w:tc>
        <w:tc>
          <w:tcPr>
            <w:tcW w:w="900" w:type="dxa"/>
            <w:tcBorders>
              <w:top w:val="single" w:sz="4" w:space="0" w:color="auto"/>
              <w:left w:val="nil"/>
              <w:bottom w:val="single" w:sz="8" w:space="0" w:color="auto"/>
              <w:right w:val="single" w:sz="4" w:space="0" w:color="auto"/>
            </w:tcBorders>
            <w:shd w:val="clear" w:color="000000" w:fill="BDD6EE"/>
            <w:vAlign w:val="center"/>
          </w:tcPr>
          <w:p w:rsidR="00422EC0" w:rsidRPr="00422EC0" w:rsidP="00EA0444" w14:paraId="59FA3BC5" w14:textId="77777777">
            <w:pPr>
              <w:keepNext/>
              <w:keepLines/>
              <w:widowControl/>
              <w:jc w:val="right"/>
              <w:rPr>
                <w:rFonts w:asciiTheme="minorHAnsi" w:hAnsiTheme="minorHAnsi" w:cstheme="minorHAnsi"/>
                <w:b/>
                <w:bCs/>
                <w:color w:val="000000"/>
                <w:sz w:val="18"/>
                <w:szCs w:val="18"/>
              </w:rPr>
            </w:pPr>
            <w:r w:rsidRPr="00422EC0">
              <w:rPr>
                <w:rFonts w:asciiTheme="minorHAnsi" w:hAnsiTheme="minorHAnsi" w:cstheme="minorHAnsi"/>
                <w:b/>
                <w:bCs/>
                <w:color w:val="000000"/>
                <w:sz w:val="18"/>
                <w:szCs w:val="18"/>
              </w:rPr>
              <w:t>560*</w:t>
            </w:r>
          </w:p>
        </w:tc>
        <w:tc>
          <w:tcPr>
            <w:tcW w:w="900" w:type="dxa"/>
            <w:tcBorders>
              <w:top w:val="single" w:sz="4" w:space="0" w:color="auto"/>
              <w:left w:val="single" w:sz="4" w:space="0" w:color="auto"/>
              <w:bottom w:val="single" w:sz="8" w:space="0" w:color="auto"/>
              <w:right w:val="dashed" w:sz="8" w:space="0" w:color="auto"/>
            </w:tcBorders>
            <w:shd w:val="clear" w:color="000000" w:fill="BDD6EE"/>
            <w:vAlign w:val="center"/>
          </w:tcPr>
          <w:p w:rsidR="00422EC0" w:rsidRPr="00422EC0" w:rsidP="00EA0444" w14:paraId="6FD3D047" w14:textId="77777777">
            <w:pPr>
              <w:keepNext/>
              <w:keepLines/>
              <w:widowControl/>
              <w:jc w:val="right"/>
              <w:rPr>
                <w:rFonts w:asciiTheme="minorHAnsi" w:hAnsiTheme="minorHAnsi" w:cstheme="minorHAnsi"/>
                <w:b/>
                <w:bCs/>
                <w:color w:val="000000"/>
                <w:sz w:val="18"/>
                <w:szCs w:val="18"/>
                <w:highlight w:val="cyan"/>
              </w:rPr>
            </w:pPr>
            <w:r w:rsidRPr="00BC4770">
              <w:rPr>
                <w:rFonts w:asciiTheme="minorHAnsi" w:hAnsiTheme="minorHAnsi" w:cstheme="minorHAnsi"/>
                <w:b/>
                <w:bCs/>
                <w:color w:val="000000"/>
                <w:sz w:val="18"/>
                <w:szCs w:val="18"/>
              </w:rPr>
              <w:t>41,741</w:t>
            </w:r>
          </w:p>
        </w:tc>
        <w:tc>
          <w:tcPr>
            <w:tcW w:w="900" w:type="dxa"/>
            <w:tcBorders>
              <w:top w:val="single" w:sz="4" w:space="0" w:color="auto"/>
              <w:left w:val="nil"/>
              <w:bottom w:val="single" w:sz="8" w:space="0" w:color="auto"/>
              <w:right w:val="single" w:sz="4" w:space="0" w:color="auto"/>
            </w:tcBorders>
            <w:shd w:val="clear" w:color="000000" w:fill="BDD6EE"/>
            <w:vAlign w:val="center"/>
          </w:tcPr>
          <w:p w:rsidR="00422EC0" w:rsidRPr="00422EC0" w:rsidP="00EA0444" w14:paraId="2BEA1A39" w14:textId="77777777">
            <w:pPr>
              <w:keepNext/>
              <w:keepLines/>
              <w:widowControl/>
              <w:jc w:val="right"/>
              <w:rPr>
                <w:rFonts w:asciiTheme="minorHAnsi" w:hAnsiTheme="minorHAnsi" w:cstheme="minorHAnsi"/>
                <w:b/>
                <w:bCs/>
                <w:color w:val="000000"/>
                <w:sz w:val="18"/>
                <w:szCs w:val="18"/>
              </w:rPr>
            </w:pPr>
            <w:r w:rsidRPr="00422EC0">
              <w:rPr>
                <w:rFonts w:asciiTheme="minorHAnsi" w:hAnsiTheme="minorHAnsi" w:cstheme="minorHAnsi"/>
                <w:b/>
                <w:bCs/>
                <w:color w:val="000000"/>
                <w:sz w:val="18"/>
                <w:szCs w:val="18"/>
              </w:rPr>
              <w:t>41,266</w:t>
            </w:r>
          </w:p>
        </w:tc>
        <w:tc>
          <w:tcPr>
            <w:tcW w:w="901" w:type="dxa"/>
            <w:tcBorders>
              <w:top w:val="single" w:sz="4" w:space="0" w:color="auto"/>
              <w:left w:val="single" w:sz="4" w:space="0" w:color="auto"/>
              <w:bottom w:val="single" w:sz="8" w:space="0" w:color="auto"/>
              <w:right w:val="dashed" w:sz="8" w:space="0" w:color="auto"/>
            </w:tcBorders>
            <w:shd w:val="clear" w:color="000000" w:fill="BDD6EE"/>
            <w:vAlign w:val="center"/>
          </w:tcPr>
          <w:p w:rsidR="00422EC0" w:rsidRPr="00422EC0" w:rsidP="00EA0444" w14:paraId="4EFCBBDF" w14:textId="77777777">
            <w:pPr>
              <w:keepNext/>
              <w:keepLines/>
              <w:widowControl/>
              <w:jc w:val="right"/>
              <w:rPr>
                <w:rFonts w:asciiTheme="minorHAnsi" w:hAnsiTheme="minorHAnsi" w:cstheme="minorHAnsi"/>
                <w:b/>
                <w:bCs/>
                <w:color w:val="000000"/>
                <w:sz w:val="18"/>
                <w:szCs w:val="18"/>
                <w:highlight w:val="cyan"/>
              </w:rPr>
            </w:pPr>
            <w:r w:rsidRPr="00BC4770">
              <w:rPr>
                <w:rFonts w:asciiTheme="minorHAnsi" w:hAnsiTheme="minorHAnsi" w:cstheme="minorHAnsi"/>
                <w:b/>
                <w:bCs/>
                <w:color w:val="000000"/>
                <w:sz w:val="18"/>
                <w:szCs w:val="18"/>
              </w:rPr>
              <w:t>4,538</w:t>
            </w:r>
          </w:p>
        </w:tc>
        <w:tc>
          <w:tcPr>
            <w:tcW w:w="899" w:type="dxa"/>
            <w:tcBorders>
              <w:top w:val="single" w:sz="4" w:space="0" w:color="auto"/>
              <w:left w:val="nil"/>
              <w:bottom w:val="single" w:sz="8" w:space="0" w:color="auto"/>
              <w:right w:val="single" w:sz="4" w:space="0" w:color="auto"/>
            </w:tcBorders>
            <w:shd w:val="clear" w:color="000000" w:fill="BDD6EE"/>
            <w:vAlign w:val="center"/>
          </w:tcPr>
          <w:p w:rsidR="00422EC0" w:rsidRPr="00BC4770" w:rsidP="00EA0444" w14:paraId="50C03892" w14:textId="77777777">
            <w:pPr>
              <w:keepNext/>
              <w:keepLines/>
              <w:widowControl/>
              <w:jc w:val="right"/>
              <w:rPr>
                <w:rFonts w:asciiTheme="minorHAnsi" w:hAnsiTheme="minorHAnsi" w:cstheme="minorHAnsi"/>
                <w:b/>
                <w:bCs/>
                <w:color w:val="000000"/>
                <w:sz w:val="18"/>
                <w:szCs w:val="18"/>
              </w:rPr>
            </w:pPr>
            <w:r w:rsidRPr="00BC4770">
              <w:rPr>
                <w:rFonts w:asciiTheme="minorHAnsi" w:hAnsiTheme="minorHAnsi" w:cstheme="minorHAnsi"/>
                <w:b/>
                <w:sz w:val="18"/>
                <w:szCs w:val="18"/>
              </w:rPr>
              <w:t>3,876</w:t>
            </w:r>
          </w:p>
        </w:tc>
        <w:tc>
          <w:tcPr>
            <w:tcW w:w="3099" w:type="dxa"/>
            <w:tcBorders>
              <w:top w:val="single" w:sz="4" w:space="0" w:color="auto"/>
              <w:left w:val="single" w:sz="4" w:space="0" w:color="auto"/>
              <w:bottom w:val="single" w:sz="8" w:space="0" w:color="auto"/>
              <w:right w:val="single" w:sz="8" w:space="0" w:color="auto"/>
            </w:tcBorders>
            <w:shd w:val="clear" w:color="000000" w:fill="000000"/>
            <w:vAlign w:val="center"/>
            <w:hideMark/>
          </w:tcPr>
          <w:p w:rsidR="00422EC0" w:rsidRPr="00B26309" w:rsidP="00EA0444" w14:paraId="79471BB7" w14:textId="77777777">
            <w:pPr>
              <w:keepNext/>
              <w:keepLines/>
              <w:widowControl/>
              <w:jc w:val="center"/>
              <w:rPr>
                <w:rFonts w:ascii="Calibri" w:hAnsi="Calibri" w:cs="Calibri"/>
                <w:b/>
                <w:bCs/>
                <w:color w:val="000000"/>
                <w:sz w:val="18"/>
                <w:szCs w:val="18"/>
              </w:rPr>
            </w:pPr>
            <w:r w:rsidRPr="00B26309">
              <w:rPr>
                <w:rFonts w:ascii="Calibri" w:hAnsi="Calibri" w:cs="Calibri"/>
                <w:b/>
                <w:bCs/>
                <w:color w:val="000000"/>
                <w:sz w:val="18"/>
                <w:szCs w:val="18"/>
              </w:rPr>
              <w:t> </w:t>
            </w:r>
          </w:p>
        </w:tc>
      </w:tr>
      <w:tr w14:paraId="2FF8A2D9" w14:textId="77777777" w:rsidTr="00A51B6B">
        <w:tblPrEx>
          <w:tblW w:w="11189" w:type="dxa"/>
          <w:jc w:val="center"/>
          <w:tblLayout w:type="fixed"/>
          <w:tblLook w:val="04A0"/>
        </w:tblPrEx>
        <w:trPr>
          <w:trHeight w:val="258"/>
          <w:jc w:val="center"/>
        </w:trPr>
        <w:tc>
          <w:tcPr>
            <w:tcW w:w="2690" w:type="dxa"/>
            <w:tcBorders>
              <w:top w:val="single" w:sz="8" w:space="0" w:color="auto"/>
              <w:left w:val="single" w:sz="8" w:space="0" w:color="auto"/>
              <w:bottom w:val="single" w:sz="8" w:space="0" w:color="auto"/>
              <w:right w:val="nil"/>
            </w:tcBorders>
            <w:shd w:val="clear" w:color="000000" w:fill="FCE4D6"/>
            <w:noWrap/>
            <w:vAlign w:val="center"/>
            <w:hideMark/>
          </w:tcPr>
          <w:p w:rsidR="00050CAB" w:rsidRPr="00671D0D" w:rsidP="00EA0444" w14:paraId="56E64BA2" w14:textId="77777777">
            <w:pPr>
              <w:keepNext/>
              <w:keepLines/>
              <w:widowControl/>
              <w:jc w:val="center"/>
              <w:rPr>
                <w:rFonts w:ascii="Calibri" w:hAnsi="Calibri" w:cs="Calibri"/>
                <w:b/>
                <w:bCs/>
                <w:color w:val="000000"/>
                <w:sz w:val="18"/>
                <w:szCs w:val="18"/>
              </w:rPr>
            </w:pPr>
            <w:r w:rsidRPr="00671D0D">
              <w:rPr>
                <w:rFonts w:ascii="Calibri" w:hAnsi="Calibri" w:cs="Calibri"/>
                <w:b/>
                <w:bCs/>
                <w:color w:val="000000"/>
                <w:sz w:val="18"/>
                <w:szCs w:val="18"/>
              </w:rPr>
              <w:t>Difference</w:t>
            </w:r>
          </w:p>
        </w:tc>
        <w:tc>
          <w:tcPr>
            <w:tcW w:w="1800"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tcPr>
          <w:p w:rsidR="000C0845" w:rsidP="00EA0444" w14:paraId="5BF059EB" w14:textId="77777777">
            <w:pPr>
              <w:keepNext/>
              <w:keepLines/>
              <w:widowControl/>
              <w:jc w:val="center"/>
              <w:rPr>
                <w:rFonts w:ascii="Calibri" w:hAnsi="Calibri" w:cs="Calibri"/>
                <w:b/>
                <w:color w:val="000000"/>
                <w:sz w:val="18"/>
                <w:szCs w:val="18"/>
              </w:rPr>
            </w:pPr>
            <w:r w:rsidRPr="00BD7F57">
              <w:rPr>
                <w:rFonts w:ascii="Calibri" w:hAnsi="Calibri" w:cs="Calibri"/>
                <w:b/>
                <w:color w:val="000000"/>
                <w:sz w:val="18"/>
                <w:szCs w:val="18"/>
              </w:rPr>
              <w:t>14</w:t>
            </w:r>
          </w:p>
          <w:p w:rsidR="00050CAB" w:rsidRPr="00671D0D" w:rsidP="00EA0444" w14:paraId="2EB684EF" w14:textId="77777777">
            <w:pPr>
              <w:keepNext/>
              <w:keepLines/>
              <w:widowControl/>
              <w:jc w:val="center"/>
              <w:rPr>
                <w:rFonts w:ascii="Calibri" w:hAnsi="Calibri" w:cs="Calibri"/>
                <w:b/>
                <w:color w:val="000000"/>
                <w:sz w:val="18"/>
                <w:szCs w:val="18"/>
              </w:rPr>
            </w:pPr>
            <w:r w:rsidRPr="00BD7F57">
              <w:rPr>
                <w:rFonts w:ascii="Calibri" w:hAnsi="Calibri" w:cs="Calibri"/>
                <w:b/>
                <w:color w:val="000000"/>
                <w:sz w:val="18"/>
                <w:szCs w:val="18"/>
              </w:rPr>
              <w:t>(</w:t>
            </w:r>
            <w:r w:rsidR="003519A3">
              <w:rPr>
                <w:rFonts w:ascii="Calibri" w:hAnsi="Calibri" w:cs="Calibri"/>
                <w:b/>
                <w:color w:val="000000"/>
                <w:sz w:val="18"/>
                <w:szCs w:val="18"/>
              </w:rPr>
              <w:t>a</w:t>
            </w:r>
            <w:r w:rsidRPr="00BD7F57">
              <w:rPr>
                <w:rFonts w:ascii="Calibri" w:hAnsi="Calibri" w:cs="Calibri"/>
                <w:b/>
                <w:color w:val="000000"/>
                <w:sz w:val="18"/>
                <w:szCs w:val="18"/>
              </w:rPr>
              <w:t>djustment)</w:t>
            </w:r>
          </w:p>
        </w:tc>
        <w:tc>
          <w:tcPr>
            <w:tcW w:w="1800" w:type="dxa"/>
            <w:gridSpan w:val="2"/>
            <w:tcBorders>
              <w:top w:val="single" w:sz="8" w:space="0" w:color="auto"/>
              <w:left w:val="nil"/>
              <w:bottom w:val="single" w:sz="8" w:space="0" w:color="auto"/>
              <w:right w:val="single" w:sz="8" w:space="0" w:color="000000"/>
            </w:tcBorders>
            <w:shd w:val="clear" w:color="000000" w:fill="FCE4D6"/>
            <w:noWrap/>
            <w:vAlign w:val="center"/>
          </w:tcPr>
          <w:p w:rsidR="000C0845" w:rsidP="00EA0444" w14:paraId="2B168244" w14:textId="77777777">
            <w:pPr>
              <w:keepNext/>
              <w:keepLines/>
              <w:widowControl/>
              <w:jc w:val="center"/>
              <w:rPr>
                <w:rFonts w:ascii="Calibri" w:hAnsi="Calibri" w:cs="Calibri"/>
                <w:b/>
                <w:color w:val="000000"/>
                <w:sz w:val="18"/>
                <w:szCs w:val="18"/>
              </w:rPr>
            </w:pPr>
            <w:r w:rsidRPr="00BD7F57">
              <w:rPr>
                <w:rFonts w:ascii="Calibri" w:hAnsi="Calibri" w:cs="Calibri"/>
                <w:b/>
                <w:color w:val="000000"/>
                <w:sz w:val="18"/>
                <w:szCs w:val="18"/>
              </w:rPr>
              <w:t>475</w:t>
            </w:r>
          </w:p>
          <w:p w:rsidR="00050CAB" w:rsidRPr="00422EC0" w:rsidP="00EA0444" w14:paraId="19904272" w14:textId="77777777">
            <w:pPr>
              <w:keepNext/>
              <w:keepLines/>
              <w:widowControl/>
              <w:jc w:val="center"/>
              <w:rPr>
                <w:rFonts w:ascii="Calibri" w:hAnsi="Calibri" w:cs="Calibri"/>
                <w:b/>
                <w:color w:val="000000"/>
                <w:sz w:val="18"/>
                <w:szCs w:val="18"/>
                <w:highlight w:val="cyan"/>
              </w:rPr>
            </w:pPr>
            <w:r>
              <w:rPr>
                <w:rFonts w:ascii="Calibri" w:hAnsi="Calibri" w:cs="Calibri"/>
                <w:b/>
                <w:color w:val="000000"/>
                <w:sz w:val="18"/>
                <w:szCs w:val="18"/>
              </w:rPr>
              <w:t>(program change)</w:t>
            </w:r>
          </w:p>
        </w:tc>
        <w:tc>
          <w:tcPr>
            <w:tcW w:w="1800" w:type="dxa"/>
            <w:gridSpan w:val="2"/>
            <w:tcBorders>
              <w:top w:val="single" w:sz="8" w:space="0" w:color="auto"/>
              <w:left w:val="nil"/>
              <w:bottom w:val="single" w:sz="8" w:space="0" w:color="auto"/>
              <w:right w:val="single" w:sz="4" w:space="0" w:color="000000"/>
            </w:tcBorders>
            <w:shd w:val="clear" w:color="000000" w:fill="FCE4D6"/>
            <w:noWrap/>
            <w:vAlign w:val="center"/>
          </w:tcPr>
          <w:p w:rsidR="000C0845" w:rsidP="00EA0444" w14:paraId="4E51DDCA" w14:textId="77777777">
            <w:pPr>
              <w:keepNext/>
              <w:keepLines/>
              <w:widowControl/>
              <w:jc w:val="center"/>
              <w:rPr>
                <w:rFonts w:ascii="Calibri" w:hAnsi="Calibri" w:cs="Calibri"/>
                <w:b/>
                <w:color w:val="000000"/>
                <w:sz w:val="18"/>
                <w:szCs w:val="18"/>
              </w:rPr>
            </w:pPr>
            <w:r w:rsidRPr="003519A3">
              <w:rPr>
                <w:rFonts w:ascii="Calibri" w:hAnsi="Calibri" w:cs="Calibri"/>
                <w:b/>
                <w:color w:val="000000"/>
                <w:sz w:val="18"/>
                <w:szCs w:val="18"/>
              </w:rPr>
              <w:t>662</w:t>
            </w:r>
          </w:p>
          <w:p w:rsidR="00050CAB" w:rsidRPr="00422EC0" w:rsidP="00EA0444" w14:paraId="35B66813" w14:textId="77777777">
            <w:pPr>
              <w:keepNext/>
              <w:keepLines/>
              <w:widowControl/>
              <w:jc w:val="center"/>
              <w:rPr>
                <w:rFonts w:ascii="Calibri" w:hAnsi="Calibri" w:cs="Calibri"/>
                <w:b/>
                <w:color w:val="000000"/>
                <w:sz w:val="18"/>
                <w:szCs w:val="18"/>
                <w:highlight w:val="cyan"/>
              </w:rPr>
            </w:pPr>
            <w:r>
              <w:rPr>
                <w:rFonts w:ascii="Calibri" w:hAnsi="Calibri" w:cs="Calibri"/>
                <w:b/>
                <w:color w:val="000000"/>
                <w:sz w:val="18"/>
                <w:szCs w:val="18"/>
              </w:rPr>
              <w:t>(program change)</w:t>
            </w:r>
          </w:p>
        </w:tc>
        <w:tc>
          <w:tcPr>
            <w:tcW w:w="3099" w:type="dxa"/>
            <w:tcBorders>
              <w:top w:val="single" w:sz="8" w:space="0" w:color="auto"/>
              <w:left w:val="nil"/>
              <w:bottom w:val="single" w:sz="8" w:space="0" w:color="auto"/>
              <w:right w:val="single" w:sz="8" w:space="0" w:color="auto"/>
            </w:tcBorders>
            <w:shd w:val="clear" w:color="000000" w:fill="000000"/>
            <w:noWrap/>
            <w:vAlign w:val="bottom"/>
            <w:hideMark/>
          </w:tcPr>
          <w:p w:rsidR="00050CAB" w:rsidRPr="00DF0CE3" w:rsidP="00EA0444" w14:paraId="31C364A4" w14:textId="77777777">
            <w:pPr>
              <w:keepNext/>
              <w:keepLines/>
              <w:widowControl/>
              <w:rPr>
                <w:rFonts w:ascii="Calibri" w:hAnsi="Calibri" w:cs="Calibri"/>
                <w:color w:val="000000"/>
              </w:rPr>
            </w:pPr>
            <w:r w:rsidRPr="00DF0CE3">
              <w:rPr>
                <w:rFonts w:ascii="Calibri" w:hAnsi="Calibri" w:cs="Calibri"/>
                <w:color w:val="000000"/>
              </w:rPr>
              <w:t> </w:t>
            </w:r>
          </w:p>
        </w:tc>
      </w:tr>
    </w:tbl>
    <w:p w:rsidR="00050CAB" w:rsidP="00BC35C1" w14:paraId="708C2C4E" w14:textId="3E24208A">
      <w:pPr>
        <w:pStyle w:val="BodyText"/>
        <w:spacing w:before="60"/>
        <w:ind w:left="-432" w:right="-720" w:hanging="144"/>
        <w:rPr>
          <w:rFonts w:asciiTheme="minorHAnsi" w:hAnsiTheme="minorHAnsi" w:cstheme="minorHAnsi"/>
          <w:sz w:val="18"/>
          <w:szCs w:val="18"/>
        </w:rPr>
      </w:pPr>
      <w:r w:rsidRPr="004D40DD">
        <w:rPr>
          <w:rFonts w:asciiTheme="minorHAnsi" w:hAnsiTheme="minorHAnsi" w:cstheme="minorHAnsi"/>
          <w:sz w:val="18"/>
          <w:szCs w:val="18"/>
        </w:rPr>
        <w:t>* Unique respondents.</w:t>
      </w:r>
      <w:r w:rsidRPr="004D40DD">
        <w:t xml:space="preserve"> </w:t>
      </w:r>
      <w:r w:rsidRPr="004D40DD">
        <w:rPr>
          <w:rFonts w:asciiTheme="minorHAnsi" w:hAnsiTheme="minorHAnsi" w:cstheme="minorHAnsi"/>
          <w:sz w:val="18"/>
          <w:szCs w:val="18"/>
        </w:rPr>
        <w:t xml:space="preserve">Some participants in the CHLAP and CHP programs submit more than one instrument in this information collection. Therefore, the number of unique respondents is used to show the estimated number of separate participants who </w:t>
      </w:r>
      <w:r w:rsidR="003519A3">
        <w:rPr>
          <w:rFonts w:asciiTheme="minorHAnsi" w:hAnsiTheme="minorHAnsi" w:cstheme="minorHAnsi"/>
          <w:sz w:val="18"/>
          <w:szCs w:val="18"/>
        </w:rPr>
        <w:t>could</w:t>
      </w:r>
      <w:r w:rsidRPr="004D40DD">
        <w:rPr>
          <w:rFonts w:asciiTheme="minorHAnsi" w:hAnsiTheme="minorHAnsi" w:cstheme="minorHAnsi"/>
          <w:sz w:val="18"/>
          <w:szCs w:val="18"/>
        </w:rPr>
        <w:t xml:space="preserve"> annually submit information during the renewal period </w:t>
      </w:r>
      <w:r>
        <w:rPr>
          <w:rFonts w:asciiTheme="minorHAnsi" w:hAnsiTheme="minorHAnsi" w:cstheme="minorHAnsi"/>
          <w:sz w:val="18"/>
          <w:szCs w:val="18"/>
        </w:rPr>
        <w:t xml:space="preserve">of </w:t>
      </w:r>
      <w:r w:rsidRPr="004D40DD">
        <w:rPr>
          <w:rFonts w:asciiTheme="minorHAnsi" w:hAnsiTheme="minorHAnsi" w:cstheme="minorHAnsi"/>
          <w:sz w:val="18"/>
          <w:szCs w:val="18"/>
        </w:rPr>
        <w:t xml:space="preserve">this information collection. </w:t>
      </w:r>
    </w:p>
    <w:p w:rsidR="00BC35C1" w:rsidP="00BC35C1" w14:paraId="0B0131CA" w14:textId="77777777">
      <w:pPr>
        <w:pStyle w:val="BodyText"/>
        <w:spacing w:before="60"/>
        <w:ind w:left="-432" w:right="-720" w:hanging="144"/>
        <w:rPr>
          <w:rFonts w:asciiTheme="minorHAnsi" w:hAnsiTheme="minorHAnsi" w:cstheme="minorHAnsi"/>
          <w:sz w:val="18"/>
          <w:szCs w:val="18"/>
        </w:rPr>
      </w:pPr>
    </w:p>
    <w:tbl>
      <w:tblPr>
        <w:tblW w:w="10582" w:type="dxa"/>
        <w:jc w:val="center"/>
        <w:tblLayout w:type="fixed"/>
        <w:tblLook w:val="04A0"/>
      </w:tblPr>
      <w:tblGrid>
        <w:gridCol w:w="2960"/>
        <w:gridCol w:w="900"/>
        <w:gridCol w:w="900"/>
        <w:gridCol w:w="5822"/>
      </w:tblGrid>
      <w:tr w14:paraId="1315ECE2" w14:textId="77777777" w:rsidTr="00A51B6B">
        <w:tblPrEx>
          <w:tblW w:w="10582" w:type="dxa"/>
          <w:jc w:val="center"/>
          <w:tblLayout w:type="fixed"/>
          <w:tblLook w:val="04A0"/>
        </w:tblPrEx>
        <w:trPr>
          <w:trHeight w:val="312"/>
          <w:jc w:val="center"/>
        </w:trPr>
        <w:tc>
          <w:tcPr>
            <w:tcW w:w="2960"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124C3" w:rsidRPr="00B26309" w:rsidP="00A51B6B" w14:paraId="4AB5C809" w14:textId="77777777">
            <w:pPr>
              <w:widowControl/>
              <w:jc w:val="center"/>
              <w:rPr>
                <w:rFonts w:ascii="Calibri" w:hAnsi="Calibri" w:cs="Calibri"/>
                <w:b/>
                <w:bCs/>
                <w:color w:val="000000"/>
                <w:sz w:val="18"/>
                <w:szCs w:val="18"/>
              </w:rPr>
            </w:pPr>
            <w:r w:rsidRPr="00B26309">
              <w:rPr>
                <w:rFonts w:ascii="Calibri" w:hAnsi="Calibri" w:cs="Calibri"/>
                <w:b/>
                <w:bCs/>
                <w:color w:val="000000"/>
                <w:sz w:val="18"/>
                <w:szCs w:val="18"/>
              </w:rPr>
              <w:t>Information Collection</w:t>
            </w:r>
          </w:p>
        </w:tc>
        <w:tc>
          <w:tcPr>
            <w:tcW w:w="1800" w:type="dxa"/>
            <w:gridSpan w:val="2"/>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C124C3" w:rsidRPr="00B26309" w:rsidP="00A51B6B" w14:paraId="3AC7E560" w14:textId="77777777">
            <w:pPr>
              <w:widowControl/>
              <w:jc w:val="center"/>
              <w:rPr>
                <w:rFonts w:ascii="Calibri" w:hAnsi="Calibri" w:cs="Calibri"/>
                <w:b/>
                <w:bCs/>
                <w:color w:val="000000"/>
                <w:sz w:val="18"/>
                <w:szCs w:val="18"/>
              </w:rPr>
            </w:pPr>
            <w:r w:rsidRPr="00B26309">
              <w:rPr>
                <w:rFonts w:ascii="Calibri" w:hAnsi="Calibri" w:cs="Calibri"/>
                <w:b/>
                <w:bCs/>
                <w:color w:val="000000"/>
                <w:sz w:val="18"/>
                <w:szCs w:val="18"/>
              </w:rPr>
              <w:t>Miscellaneous Costs</w:t>
            </w:r>
          </w:p>
        </w:tc>
        <w:tc>
          <w:tcPr>
            <w:tcW w:w="5822" w:type="dxa"/>
            <w:vMerge w:val="restart"/>
            <w:tcBorders>
              <w:top w:val="single" w:sz="8" w:space="0" w:color="auto"/>
              <w:left w:val="single" w:sz="8" w:space="0" w:color="auto"/>
              <w:bottom w:val="single" w:sz="8" w:space="0" w:color="000000"/>
              <w:right w:val="single" w:sz="8" w:space="0" w:color="auto"/>
            </w:tcBorders>
            <w:shd w:val="clear" w:color="auto" w:fill="C6D9F0" w:themeFill="text2" w:themeFillTint="33"/>
            <w:vAlign w:val="center"/>
            <w:hideMark/>
          </w:tcPr>
          <w:p w:rsidR="00C124C3" w:rsidRPr="00B26309" w:rsidP="00A51B6B" w14:paraId="21B76121" w14:textId="77777777">
            <w:pPr>
              <w:widowControl/>
              <w:jc w:val="center"/>
              <w:rPr>
                <w:rFonts w:ascii="Calibri" w:hAnsi="Calibri" w:cs="Calibri"/>
                <w:b/>
                <w:bCs/>
                <w:color w:val="000000"/>
                <w:sz w:val="18"/>
                <w:szCs w:val="18"/>
              </w:rPr>
            </w:pPr>
            <w:r w:rsidRPr="00B26309">
              <w:rPr>
                <w:rFonts w:ascii="Calibri" w:hAnsi="Calibri" w:cs="Calibri"/>
                <w:b/>
                <w:bCs/>
                <w:color w:val="000000"/>
                <w:sz w:val="18"/>
                <w:szCs w:val="18"/>
              </w:rPr>
              <w:t>Reason for change or adjustment</w:t>
            </w:r>
          </w:p>
        </w:tc>
        <w:bookmarkStart w:id="0" w:name="_GoBack"/>
        <w:bookmarkEnd w:id="0"/>
      </w:tr>
      <w:tr w14:paraId="0E56552C" w14:textId="77777777" w:rsidTr="00A51B6B">
        <w:tblPrEx>
          <w:tblW w:w="10582" w:type="dxa"/>
          <w:jc w:val="center"/>
          <w:tblLayout w:type="fixed"/>
          <w:tblLook w:val="04A0"/>
        </w:tblPrEx>
        <w:trPr>
          <w:trHeight w:val="339"/>
          <w:jc w:val="center"/>
        </w:trPr>
        <w:tc>
          <w:tcPr>
            <w:tcW w:w="2960" w:type="dxa"/>
            <w:vMerge/>
            <w:tcBorders>
              <w:top w:val="single" w:sz="8" w:space="0" w:color="auto"/>
              <w:left w:val="single" w:sz="8" w:space="0" w:color="auto"/>
              <w:bottom w:val="single" w:sz="8" w:space="0" w:color="000000"/>
              <w:right w:val="single" w:sz="8" w:space="0" w:color="auto"/>
            </w:tcBorders>
            <w:vAlign w:val="center"/>
            <w:hideMark/>
          </w:tcPr>
          <w:p w:rsidR="00C124C3" w:rsidRPr="00B26309" w:rsidP="00A51B6B" w14:paraId="4B2D4EED" w14:textId="77777777">
            <w:pPr>
              <w:widowControl/>
              <w:rPr>
                <w:rFonts w:ascii="Calibri" w:hAnsi="Calibri" w:cs="Calibri"/>
                <w:b/>
                <w:bCs/>
                <w:color w:val="000000"/>
                <w:sz w:val="18"/>
                <w:szCs w:val="18"/>
              </w:rPr>
            </w:pPr>
          </w:p>
        </w:tc>
        <w:tc>
          <w:tcPr>
            <w:tcW w:w="900" w:type="dxa"/>
            <w:tcBorders>
              <w:top w:val="nil"/>
              <w:left w:val="nil"/>
              <w:bottom w:val="single" w:sz="8" w:space="0" w:color="auto"/>
              <w:right w:val="dashed" w:sz="8" w:space="0" w:color="auto"/>
            </w:tcBorders>
            <w:shd w:val="clear" w:color="000000" w:fill="FBE4D5"/>
            <w:vAlign w:val="center"/>
            <w:hideMark/>
          </w:tcPr>
          <w:p w:rsidR="00C124C3" w:rsidRPr="00D21E1B" w:rsidP="00A51B6B" w14:paraId="2439B61D" w14:textId="77777777">
            <w:pPr>
              <w:widowControl/>
              <w:jc w:val="center"/>
              <w:rPr>
                <w:rFonts w:ascii="Calibri" w:hAnsi="Calibri" w:cs="Calibri"/>
                <w:color w:val="000000"/>
                <w:sz w:val="16"/>
                <w:szCs w:val="16"/>
              </w:rPr>
            </w:pPr>
            <w:r w:rsidRPr="00D21E1B">
              <w:rPr>
                <w:rFonts w:ascii="Calibri" w:hAnsi="Calibri" w:cs="Calibri"/>
                <w:color w:val="000000"/>
                <w:sz w:val="16"/>
                <w:szCs w:val="16"/>
              </w:rPr>
              <w:t>Current</w:t>
            </w:r>
          </w:p>
        </w:tc>
        <w:tc>
          <w:tcPr>
            <w:tcW w:w="900" w:type="dxa"/>
            <w:tcBorders>
              <w:top w:val="nil"/>
              <w:left w:val="nil"/>
              <w:bottom w:val="single" w:sz="8" w:space="0" w:color="auto"/>
              <w:right w:val="single" w:sz="8" w:space="0" w:color="auto"/>
            </w:tcBorders>
            <w:shd w:val="clear" w:color="000000" w:fill="FBE4D5"/>
            <w:vAlign w:val="center"/>
            <w:hideMark/>
          </w:tcPr>
          <w:p w:rsidR="00C124C3" w:rsidRPr="00D21E1B" w:rsidP="00A51B6B" w14:paraId="550C2C1C" w14:textId="77777777">
            <w:pPr>
              <w:widowControl/>
              <w:jc w:val="center"/>
              <w:rPr>
                <w:rFonts w:ascii="Calibri" w:hAnsi="Calibri" w:cs="Calibri"/>
                <w:color w:val="000000"/>
                <w:sz w:val="16"/>
                <w:szCs w:val="16"/>
              </w:rPr>
            </w:pPr>
            <w:r w:rsidRPr="00D21E1B">
              <w:rPr>
                <w:rFonts w:ascii="Calibri" w:hAnsi="Calibri" w:cs="Calibri"/>
                <w:color w:val="000000"/>
                <w:sz w:val="16"/>
                <w:szCs w:val="16"/>
              </w:rPr>
              <w:t>Previous</w:t>
            </w:r>
          </w:p>
        </w:tc>
        <w:tc>
          <w:tcPr>
            <w:tcW w:w="5822" w:type="dxa"/>
            <w:vMerge/>
            <w:tcBorders>
              <w:top w:val="single" w:sz="8" w:space="0" w:color="auto"/>
              <w:left w:val="single" w:sz="8" w:space="0" w:color="auto"/>
              <w:bottom w:val="single" w:sz="8" w:space="0" w:color="000000"/>
              <w:right w:val="single" w:sz="8" w:space="0" w:color="auto"/>
            </w:tcBorders>
            <w:vAlign w:val="center"/>
            <w:hideMark/>
          </w:tcPr>
          <w:p w:rsidR="00C124C3" w:rsidRPr="00B26309" w:rsidP="00A51B6B" w14:paraId="4F050324" w14:textId="77777777">
            <w:pPr>
              <w:widowControl/>
              <w:rPr>
                <w:rFonts w:ascii="Calibri" w:hAnsi="Calibri" w:cs="Calibri"/>
                <w:b/>
                <w:bCs/>
                <w:color w:val="000000"/>
                <w:sz w:val="18"/>
                <w:szCs w:val="18"/>
              </w:rPr>
            </w:pPr>
          </w:p>
        </w:tc>
      </w:tr>
      <w:tr w14:paraId="471D7680"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tcPr>
          <w:p w:rsidR="000C551A" w:rsidRPr="00B26309" w:rsidP="00A51B6B" w14:paraId="210E2B57" w14:textId="77777777">
            <w:pPr>
              <w:jc w:val="center"/>
              <w:rPr>
                <w:rFonts w:asciiTheme="minorHAnsi" w:hAnsiTheme="minorHAnsi" w:cstheme="minorHAnsi"/>
                <w:sz w:val="18"/>
                <w:szCs w:val="18"/>
              </w:rPr>
            </w:pPr>
            <w:r w:rsidRPr="00D13493">
              <w:rPr>
                <w:rFonts w:asciiTheme="minorHAnsi" w:hAnsiTheme="minorHAnsi" w:cstheme="minorHAnsi"/>
                <w:sz w:val="18"/>
                <w:szCs w:val="18"/>
              </w:rPr>
              <w:t>ADF&amp;G Saltwater Sport Fishing Charter Trip Logbook</w:t>
            </w:r>
          </w:p>
        </w:tc>
        <w:tc>
          <w:tcPr>
            <w:tcW w:w="900" w:type="dxa"/>
            <w:tcBorders>
              <w:top w:val="nil"/>
              <w:left w:val="single" w:sz="4" w:space="0" w:color="auto"/>
              <w:bottom w:val="dotted" w:sz="4" w:space="0" w:color="auto"/>
              <w:right w:val="dashed" w:sz="8" w:space="0" w:color="auto"/>
            </w:tcBorders>
            <w:shd w:val="clear" w:color="auto" w:fill="auto"/>
            <w:vAlign w:val="center"/>
          </w:tcPr>
          <w:p w:rsidR="000C551A" w:rsidP="00A51B6B" w14:paraId="37A15E7B"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74,620</w:t>
            </w:r>
          </w:p>
        </w:tc>
        <w:tc>
          <w:tcPr>
            <w:tcW w:w="900" w:type="dxa"/>
            <w:tcBorders>
              <w:top w:val="single" w:sz="8" w:space="0" w:color="auto"/>
              <w:left w:val="nil"/>
              <w:bottom w:val="dotted" w:sz="4" w:space="0" w:color="auto"/>
              <w:right w:val="single" w:sz="4" w:space="0" w:color="auto"/>
            </w:tcBorders>
            <w:shd w:val="clear" w:color="auto" w:fill="auto"/>
            <w:vAlign w:val="center"/>
          </w:tcPr>
          <w:p w:rsidR="000C551A" w:rsidP="00A51B6B" w14:paraId="44B25F2A" w14:textId="77777777">
            <w:pPr>
              <w:adjustRightInd w:val="0"/>
              <w:jc w:val="right"/>
              <w:rPr>
                <w:rFonts w:asciiTheme="minorHAnsi" w:hAnsiTheme="minorHAnsi" w:cstheme="minorHAnsi"/>
                <w:sz w:val="18"/>
                <w:szCs w:val="18"/>
              </w:rPr>
            </w:pPr>
            <w:r w:rsidRPr="00422EC0">
              <w:rPr>
                <w:rFonts w:asciiTheme="minorHAnsi" w:hAnsiTheme="minorHAnsi" w:cstheme="minorHAnsi"/>
                <w:sz w:val="18"/>
                <w:szCs w:val="18"/>
              </w:rPr>
              <w:t>72,670</w:t>
            </w:r>
          </w:p>
        </w:tc>
        <w:tc>
          <w:tcPr>
            <w:tcW w:w="5822" w:type="dxa"/>
            <w:tcBorders>
              <w:top w:val="nil"/>
              <w:left w:val="single" w:sz="4" w:space="0" w:color="auto"/>
              <w:bottom w:val="dotted" w:sz="4" w:space="0" w:color="auto"/>
              <w:right w:val="single" w:sz="8" w:space="0" w:color="auto"/>
            </w:tcBorders>
            <w:shd w:val="clear" w:color="auto" w:fill="auto"/>
            <w:vAlign w:val="center"/>
          </w:tcPr>
          <w:p w:rsidR="000C551A" w:rsidP="00A51B6B" w14:paraId="09F996DE" w14:textId="77777777">
            <w:pPr>
              <w:widowControl/>
              <w:rPr>
                <w:rFonts w:asciiTheme="minorHAnsi" w:hAnsiTheme="minorHAnsi" w:cstheme="minorHAnsi"/>
                <w:color w:val="000000"/>
                <w:sz w:val="18"/>
                <w:szCs w:val="18"/>
                <w:u w:val="single"/>
              </w:rPr>
            </w:pPr>
            <w:r w:rsidRPr="005D75E5">
              <w:rPr>
                <w:rFonts w:asciiTheme="minorHAnsi" w:hAnsiTheme="minorHAnsi" w:cstheme="minorHAnsi"/>
                <w:color w:val="000000"/>
                <w:sz w:val="18"/>
                <w:szCs w:val="18"/>
                <w:u w:val="single"/>
              </w:rPr>
              <w:t>Adjustment</w:t>
            </w:r>
            <w:r w:rsidRPr="005D75E5">
              <w:rPr>
                <w:rFonts w:asciiTheme="minorHAnsi" w:hAnsiTheme="minorHAnsi" w:cstheme="minorHAnsi"/>
                <w:color w:val="000000"/>
                <w:sz w:val="18"/>
                <w:szCs w:val="18"/>
              </w:rPr>
              <w:t xml:space="preserve">: </w:t>
            </w:r>
            <w:r w:rsidRPr="00993E3C">
              <w:rPr>
                <w:rFonts w:asciiTheme="minorHAnsi" w:hAnsiTheme="minorHAnsi" w:cstheme="minorHAnsi"/>
                <w:color w:val="000000"/>
                <w:sz w:val="18"/>
                <w:szCs w:val="18"/>
              </w:rPr>
              <w:t>Miscellaneous costs were updated because the number of respondents was increased, which increased the total miscellaneous costs.</w:t>
            </w:r>
          </w:p>
        </w:tc>
      </w:tr>
      <w:tr w14:paraId="2A211F2A"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tcPr>
          <w:p w:rsidR="000C551A" w:rsidRPr="00D13493" w:rsidP="00A51B6B" w14:paraId="5057DAA6" w14:textId="77777777">
            <w:pPr>
              <w:jc w:val="center"/>
              <w:rPr>
                <w:rFonts w:asciiTheme="minorHAnsi" w:hAnsiTheme="minorHAnsi" w:cstheme="minorHAnsi"/>
                <w:sz w:val="18"/>
                <w:szCs w:val="18"/>
              </w:rPr>
            </w:pPr>
            <w:r w:rsidRPr="000E0555">
              <w:rPr>
                <w:rFonts w:asciiTheme="minorHAnsi" w:hAnsiTheme="minorHAnsi" w:cstheme="minorHAnsi"/>
                <w:sz w:val="18"/>
                <w:szCs w:val="18"/>
              </w:rPr>
              <w:t xml:space="preserve">Electronic and manual GAF landing report </w:t>
            </w:r>
          </w:p>
        </w:tc>
        <w:tc>
          <w:tcPr>
            <w:tcW w:w="900" w:type="dxa"/>
            <w:tcBorders>
              <w:top w:val="nil"/>
              <w:left w:val="single" w:sz="4" w:space="0" w:color="auto"/>
              <w:bottom w:val="dotted" w:sz="4" w:space="0" w:color="auto"/>
              <w:right w:val="dashed" w:sz="8" w:space="0" w:color="auto"/>
            </w:tcBorders>
            <w:shd w:val="clear" w:color="auto" w:fill="auto"/>
            <w:vAlign w:val="center"/>
          </w:tcPr>
          <w:p w:rsidR="000C551A" w:rsidP="00A51B6B" w14:paraId="556BFD73" w14:textId="77777777">
            <w:pPr>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0</w:t>
            </w:r>
          </w:p>
        </w:tc>
        <w:tc>
          <w:tcPr>
            <w:tcW w:w="900" w:type="dxa"/>
            <w:tcBorders>
              <w:top w:val="dotted" w:sz="4" w:space="0" w:color="auto"/>
              <w:left w:val="nil"/>
              <w:bottom w:val="dotted" w:sz="4" w:space="0" w:color="auto"/>
              <w:right w:val="single" w:sz="4" w:space="0" w:color="auto"/>
            </w:tcBorders>
            <w:shd w:val="clear" w:color="auto" w:fill="auto"/>
            <w:vAlign w:val="center"/>
          </w:tcPr>
          <w:p w:rsidR="000C551A" w:rsidRPr="00422EC0" w:rsidP="00A51B6B" w14:paraId="2AE71B3E" w14:textId="77777777">
            <w:pPr>
              <w:adjustRightInd w:val="0"/>
              <w:jc w:val="right"/>
              <w:rPr>
                <w:rFonts w:asciiTheme="minorHAnsi" w:hAnsiTheme="minorHAnsi" w:cstheme="minorHAnsi"/>
                <w:sz w:val="18"/>
                <w:szCs w:val="18"/>
              </w:rPr>
            </w:pPr>
            <w:r w:rsidRPr="00422EC0">
              <w:rPr>
                <w:rFonts w:asciiTheme="minorHAnsi" w:hAnsiTheme="minorHAnsi" w:cstheme="minorHAnsi"/>
                <w:sz w:val="18"/>
                <w:szCs w:val="18"/>
              </w:rPr>
              <w:t>0</w:t>
            </w:r>
          </w:p>
        </w:tc>
        <w:tc>
          <w:tcPr>
            <w:tcW w:w="5822" w:type="dxa"/>
            <w:tcBorders>
              <w:top w:val="nil"/>
              <w:left w:val="single" w:sz="4" w:space="0" w:color="auto"/>
              <w:bottom w:val="dotted" w:sz="4" w:space="0" w:color="auto"/>
              <w:right w:val="single" w:sz="8" w:space="0" w:color="auto"/>
            </w:tcBorders>
            <w:shd w:val="clear" w:color="auto" w:fill="auto"/>
            <w:vAlign w:val="center"/>
          </w:tcPr>
          <w:p w:rsidR="000C551A" w:rsidRPr="005D75E5" w:rsidP="00A51B6B" w14:paraId="7F0CD3AA" w14:textId="77777777">
            <w:pPr>
              <w:widowControl/>
              <w:rPr>
                <w:rFonts w:asciiTheme="minorHAnsi" w:hAnsiTheme="minorHAnsi" w:cstheme="minorHAnsi"/>
                <w:color w:val="000000"/>
                <w:sz w:val="18"/>
                <w:szCs w:val="18"/>
                <w:u w:val="single"/>
              </w:rPr>
            </w:pPr>
            <w:r w:rsidRPr="00C124C3">
              <w:rPr>
                <w:rFonts w:asciiTheme="minorHAnsi" w:hAnsiTheme="minorHAnsi" w:cstheme="minorHAnsi"/>
                <w:sz w:val="18"/>
                <w:szCs w:val="18"/>
              </w:rPr>
              <w:t>No change</w:t>
            </w:r>
          </w:p>
        </w:tc>
      </w:tr>
      <w:tr w14:paraId="4C7D923B"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tcPr>
          <w:p w:rsidR="000C551A" w:rsidRPr="00D13493" w:rsidP="00A51B6B" w14:paraId="53B55238" w14:textId="77777777">
            <w:pPr>
              <w:jc w:val="center"/>
              <w:rPr>
                <w:rFonts w:asciiTheme="minorHAnsi" w:hAnsiTheme="minorHAnsi" w:cstheme="minorHAnsi"/>
                <w:sz w:val="18"/>
                <w:szCs w:val="18"/>
              </w:rPr>
            </w:pPr>
            <w:r w:rsidRPr="000E0555">
              <w:rPr>
                <w:rFonts w:asciiTheme="minorHAnsi" w:hAnsiTheme="minorHAnsi" w:cstheme="minorHAnsi"/>
                <w:sz w:val="18"/>
                <w:szCs w:val="18"/>
              </w:rPr>
              <w:t>GAF permit log</w:t>
            </w:r>
          </w:p>
        </w:tc>
        <w:tc>
          <w:tcPr>
            <w:tcW w:w="900" w:type="dxa"/>
            <w:tcBorders>
              <w:top w:val="nil"/>
              <w:left w:val="single" w:sz="4" w:space="0" w:color="auto"/>
              <w:bottom w:val="dotted" w:sz="4" w:space="0" w:color="auto"/>
              <w:right w:val="dashed" w:sz="8" w:space="0" w:color="auto"/>
            </w:tcBorders>
            <w:shd w:val="clear" w:color="auto" w:fill="auto"/>
            <w:vAlign w:val="center"/>
          </w:tcPr>
          <w:p w:rsidR="000C551A" w:rsidP="00A51B6B" w14:paraId="6E1FFE84" w14:textId="77777777">
            <w:pPr>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0</w:t>
            </w:r>
          </w:p>
        </w:tc>
        <w:tc>
          <w:tcPr>
            <w:tcW w:w="900" w:type="dxa"/>
            <w:tcBorders>
              <w:top w:val="dotted" w:sz="4" w:space="0" w:color="auto"/>
              <w:left w:val="nil"/>
              <w:bottom w:val="dotted" w:sz="4" w:space="0" w:color="auto"/>
              <w:right w:val="single" w:sz="4" w:space="0" w:color="auto"/>
            </w:tcBorders>
            <w:shd w:val="clear" w:color="auto" w:fill="auto"/>
            <w:vAlign w:val="center"/>
          </w:tcPr>
          <w:p w:rsidR="000C551A" w:rsidRPr="00422EC0" w:rsidP="00A51B6B" w14:paraId="5C73F56D" w14:textId="77777777">
            <w:pPr>
              <w:adjustRightInd w:val="0"/>
              <w:jc w:val="right"/>
              <w:rPr>
                <w:rFonts w:asciiTheme="minorHAnsi" w:hAnsiTheme="minorHAnsi" w:cstheme="minorHAnsi"/>
                <w:sz w:val="18"/>
                <w:szCs w:val="18"/>
              </w:rPr>
            </w:pPr>
            <w:r w:rsidRPr="00422EC0">
              <w:rPr>
                <w:rFonts w:asciiTheme="minorHAnsi" w:hAnsiTheme="minorHAnsi" w:cstheme="minorHAnsi"/>
                <w:sz w:val="18"/>
                <w:szCs w:val="18"/>
              </w:rPr>
              <w:t>0</w:t>
            </w:r>
          </w:p>
        </w:tc>
        <w:tc>
          <w:tcPr>
            <w:tcW w:w="5822" w:type="dxa"/>
            <w:tcBorders>
              <w:top w:val="nil"/>
              <w:left w:val="single" w:sz="4" w:space="0" w:color="auto"/>
              <w:bottom w:val="dotted" w:sz="4" w:space="0" w:color="auto"/>
              <w:right w:val="single" w:sz="8" w:space="0" w:color="auto"/>
            </w:tcBorders>
            <w:shd w:val="clear" w:color="auto" w:fill="auto"/>
            <w:vAlign w:val="center"/>
          </w:tcPr>
          <w:p w:rsidR="000C551A" w:rsidRPr="005D75E5" w:rsidP="00A51B6B" w14:paraId="679B50F4" w14:textId="77777777">
            <w:pPr>
              <w:widowControl/>
              <w:rPr>
                <w:rFonts w:asciiTheme="minorHAnsi" w:hAnsiTheme="minorHAnsi" w:cstheme="minorHAnsi"/>
                <w:color w:val="000000"/>
                <w:sz w:val="18"/>
                <w:szCs w:val="18"/>
                <w:u w:val="single"/>
              </w:rPr>
            </w:pPr>
            <w:r w:rsidRPr="00C124C3">
              <w:rPr>
                <w:rFonts w:asciiTheme="minorHAnsi" w:hAnsiTheme="minorHAnsi" w:cstheme="minorHAnsi"/>
                <w:sz w:val="18"/>
                <w:szCs w:val="18"/>
              </w:rPr>
              <w:t>No change</w:t>
            </w:r>
          </w:p>
        </w:tc>
      </w:tr>
      <w:tr w14:paraId="74B38637"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A51B6B" w14:paraId="085FC95D" w14:textId="77777777">
            <w:pPr>
              <w:jc w:val="center"/>
              <w:rPr>
                <w:rFonts w:asciiTheme="minorHAnsi" w:hAnsiTheme="minorHAnsi" w:cstheme="minorHAnsi"/>
                <w:sz w:val="18"/>
                <w:szCs w:val="18"/>
              </w:rPr>
            </w:pPr>
            <w:r w:rsidRPr="00B26309">
              <w:rPr>
                <w:rFonts w:asciiTheme="minorHAnsi" w:hAnsiTheme="minorHAnsi" w:cstheme="minorHAnsi"/>
                <w:sz w:val="18"/>
                <w:szCs w:val="18"/>
              </w:rPr>
              <w:t>Application for Annual Registration of Charter Halibut Permit (CHP)</w:t>
            </w:r>
          </w:p>
        </w:tc>
        <w:tc>
          <w:tcPr>
            <w:tcW w:w="900" w:type="dxa"/>
            <w:tcBorders>
              <w:top w:val="nil"/>
              <w:left w:val="single" w:sz="4" w:space="0" w:color="auto"/>
              <w:bottom w:val="dotted" w:sz="4" w:space="0" w:color="auto"/>
              <w:right w:val="dashed" w:sz="8" w:space="0" w:color="auto"/>
            </w:tcBorders>
            <w:shd w:val="clear" w:color="auto" w:fill="auto"/>
            <w:vAlign w:val="center"/>
          </w:tcPr>
          <w:p w:rsidR="00C124C3" w:rsidRPr="00422EC0" w:rsidP="00A51B6B" w14:paraId="5DBCA5C9"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5000</w:t>
            </w:r>
          </w:p>
        </w:tc>
        <w:tc>
          <w:tcPr>
            <w:tcW w:w="900" w:type="dxa"/>
            <w:tcBorders>
              <w:top w:val="dotted" w:sz="4" w:space="0" w:color="auto"/>
              <w:left w:val="nil"/>
              <w:bottom w:val="dotted" w:sz="4" w:space="0" w:color="auto"/>
              <w:right w:val="single" w:sz="4" w:space="0" w:color="auto"/>
            </w:tcBorders>
            <w:shd w:val="clear" w:color="auto" w:fill="auto"/>
            <w:vAlign w:val="center"/>
          </w:tcPr>
          <w:p w:rsidR="00C124C3" w:rsidRPr="00422EC0" w:rsidP="00A51B6B" w14:paraId="29310848" w14:textId="77777777">
            <w:pPr>
              <w:adjustRightInd w:val="0"/>
              <w:jc w:val="right"/>
              <w:rPr>
                <w:rFonts w:eastAsia="Calibri" w:asciiTheme="minorHAnsi" w:hAnsiTheme="minorHAnsi" w:cstheme="minorHAnsi"/>
                <w:sz w:val="18"/>
                <w:szCs w:val="18"/>
              </w:rPr>
            </w:pPr>
            <w:r>
              <w:rPr>
                <w:rFonts w:asciiTheme="minorHAnsi" w:hAnsiTheme="minorHAnsi" w:cstheme="minorHAnsi"/>
                <w:sz w:val="18"/>
                <w:szCs w:val="18"/>
              </w:rPr>
              <w:t>5,000</w:t>
            </w:r>
          </w:p>
        </w:tc>
        <w:tc>
          <w:tcPr>
            <w:tcW w:w="5822" w:type="dxa"/>
            <w:tcBorders>
              <w:top w:val="nil"/>
              <w:left w:val="single" w:sz="4" w:space="0" w:color="auto"/>
              <w:bottom w:val="dotted" w:sz="4" w:space="0" w:color="auto"/>
              <w:right w:val="single" w:sz="8" w:space="0" w:color="auto"/>
            </w:tcBorders>
            <w:shd w:val="clear" w:color="auto" w:fill="auto"/>
            <w:vAlign w:val="center"/>
          </w:tcPr>
          <w:p w:rsidR="00C124C3" w:rsidRPr="00BC35C1" w:rsidP="00A51B6B" w14:paraId="59177A16" w14:textId="77777777">
            <w:pPr>
              <w:widowControl/>
              <w:rPr>
                <w:rFonts w:asciiTheme="minorHAnsi" w:hAnsiTheme="minorHAnsi" w:cstheme="minorHAnsi"/>
                <w:color w:val="000000"/>
                <w:sz w:val="18"/>
                <w:szCs w:val="18"/>
              </w:rPr>
            </w:pPr>
            <w:r w:rsidRPr="00BC35C1">
              <w:rPr>
                <w:rFonts w:asciiTheme="minorHAnsi" w:hAnsiTheme="minorHAnsi" w:cstheme="minorHAnsi"/>
                <w:color w:val="000000"/>
                <w:sz w:val="18"/>
                <w:szCs w:val="18"/>
              </w:rPr>
              <w:t xml:space="preserve">No change </w:t>
            </w:r>
          </w:p>
        </w:tc>
      </w:tr>
      <w:tr w14:paraId="0E931FA4"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A51B6B" w14:paraId="2630DF39" w14:textId="77777777">
            <w:pPr>
              <w:jc w:val="center"/>
              <w:rPr>
                <w:rFonts w:asciiTheme="minorHAnsi" w:hAnsiTheme="minorHAnsi" w:cstheme="minorHAnsi"/>
                <w:sz w:val="18"/>
                <w:szCs w:val="18"/>
              </w:rPr>
            </w:pPr>
            <w:r w:rsidRPr="00B26309">
              <w:rPr>
                <w:rFonts w:asciiTheme="minorHAnsi" w:hAnsiTheme="minorHAnsi" w:cstheme="minorHAnsi"/>
                <w:sz w:val="18"/>
                <w:szCs w:val="18"/>
              </w:rPr>
              <w:t>Application for Transfer of Charter Halibut Permit (CHP)</w:t>
            </w:r>
          </w:p>
        </w:tc>
        <w:tc>
          <w:tcPr>
            <w:tcW w:w="900" w:type="dxa"/>
            <w:tcBorders>
              <w:top w:val="nil"/>
              <w:left w:val="single" w:sz="4" w:space="0" w:color="auto"/>
              <w:bottom w:val="dotted" w:sz="4" w:space="0" w:color="auto"/>
              <w:right w:val="dashed" w:sz="8" w:space="0" w:color="auto"/>
            </w:tcBorders>
            <w:shd w:val="clear" w:color="auto" w:fill="auto"/>
            <w:vAlign w:val="center"/>
          </w:tcPr>
          <w:p w:rsidR="00C124C3" w:rsidRPr="00422EC0" w:rsidP="00A51B6B" w14:paraId="3BF04F45" w14:textId="77777777">
            <w:pPr>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500</w:t>
            </w:r>
          </w:p>
        </w:tc>
        <w:tc>
          <w:tcPr>
            <w:tcW w:w="900" w:type="dxa"/>
            <w:tcBorders>
              <w:top w:val="dotted" w:sz="4" w:space="0" w:color="auto"/>
              <w:left w:val="nil"/>
              <w:bottom w:val="dotted" w:sz="4" w:space="0" w:color="auto"/>
              <w:right w:val="single" w:sz="4" w:space="0" w:color="auto"/>
            </w:tcBorders>
            <w:shd w:val="clear" w:color="auto" w:fill="auto"/>
            <w:vAlign w:val="center"/>
          </w:tcPr>
          <w:p w:rsidR="00C124C3" w:rsidRPr="00422EC0" w:rsidP="00A51B6B" w14:paraId="0D1DE170" w14:textId="77777777">
            <w:pPr>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500</w:t>
            </w:r>
          </w:p>
        </w:tc>
        <w:tc>
          <w:tcPr>
            <w:tcW w:w="5822" w:type="dxa"/>
            <w:tcBorders>
              <w:top w:val="nil"/>
              <w:left w:val="single" w:sz="4" w:space="0" w:color="auto"/>
              <w:bottom w:val="dotted" w:sz="4" w:space="0" w:color="auto"/>
              <w:right w:val="single" w:sz="8" w:space="0" w:color="auto"/>
            </w:tcBorders>
            <w:shd w:val="clear" w:color="auto" w:fill="auto"/>
            <w:vAlign w:val="center"/>
          </w:tcPr>
          <w:p w:rsidR="00C124C3" w:rsidRPr="00C124C3" w:rsidP="00A51B6B" w14:paraId="4E5E3138" w14:textId="77777777">
            <w:pPr>
              <w:rPr>
                <w:rFonts w:asciiTheme="minorHAnsi" w:hAnsiTheme="minorHAnsi" w:cstheme="minorHAnsi"/>
                <w:sz w:val="18"/>
                <w:szCs w:val="18"/>
              </w:rPr>
            </w:pPr>
            <w:r w:rsidRPr="00C124C3">
              <w:rPr>
                <w:rFonts w:asciiTheme="minorHAnsi" w:hAnsiTheme="minorHAnsi" w:cstheme="minorHAnsi"/>
                <w:sz w:val="18"/>
                <w:szCs w:val="18"/>
              </w:rPr>
              <w:t>No change</w:t>
            </w:r>
          </w:p>
        </w:tc>
      </w:tr>
      <w:tr w14:paraId="15B32CFA"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A51B6B" w14:paraId="3D319871" w14:textId="77777777">
            <w:pPr>
              <w:jc w:val="center"/>
              <w:rPr>
                <w:rFonts w:asciiTheme="minorHAnsi" w:hAnsiTheme="minorHAnsi" w:cstheme="minorHAnsi"/>
                <w:sz w:val="18"/>
                <w:szCs w:val="18"/>
              </w:rPr>
            </w:pPr>
            <w:r w:rsidRPr="00B26309">
              <w:rPr>
                <w:rFonts w:asciiTheme="minorHAnsi" w:hAnsiTheme="minorHAnsi" w:cstheme="minorHAnsi"/>
                <w:sz w:val="18"/>
                <w:szCs w:val="18"/>
              </w:rPr>
              <w:t>Application for Military Charter Halibut Permit</w:t>
            </w:r>
          </w:p>
        </w:tc>
        <w:tc>
          <w:tcPr>
            <w:tcW w:w="900" w:type="dxa"/>
            <w:tcBorders>
              <w:top w:val="nil"/>
              <w:left w:val="single" w:sz="4" w:space="0" w:color="auto"/>
              <w:bottom w:val="dotted" w:sz="4" w:space="0" w:color="auto"/>
              <w:right w:val="dashed" w:sz="8" w:space="0" w:color="auto"/>
            </w:tcBorders>
            <w:shd w:val="clear" w:color="auto" w:fill="auto"/>
            <w:vAlign w:val="center"/>
          </w:tcPr>
          <w:p w:rsidR="00C124C3" w:rsidRPr="00422EC0" w:rsidP="00A51B6B" w14:paraId="32B1F3EE" w14:textId="77777777">
            <w:pPr>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w:t>
            </w:r>
          </w:p>
        </w:tc>
        <w:tc>
          <w:tcPr>
            <w:tcW w:w="900" w:type="dxa"/>
            <w:tcBorders>
              <w:top w:val="dotted" w:sz="4" w:space="0" w:color="auto"/>
              <w:left w:val="nil"/>
              <w:bottom w:val="dotted" w:sz="4" w:space="0" w:color="auto"/>
              <w:right w:val="single" w:sz="4" w:space="0" w:color="auto"/>
            </w:tcBorders>
            <w:shd w:val="clear" w:color="auto" w:fill="auto"/>
            <w:vAlign w:val="center"/>
          </w:tcPr>
          <w:p w:rsidR="00C124C3" w:rsidRPr="00422EC0" w:rsidP="00A51B6B" w14:paraId="6FE7B2DF" w14:textId="77777777">
            <w:pPr>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w:t>
            </w:r>
          </w:p>
        </w:tc>
        <w:tc>
          <w:tcPr>
            <w:tcW w:w="5822" w:type="dxa"/>
            <w:tcBorders>
              <w:top w:val="nil"/>
              <w:left w:val="single" w:sz="4" w:space="0" w:color="auto"/>
              <w:bottom w:val="dotted" w:sz="4" w:space="0" w:color="auto"/>
              <w:right w:val="single" w:sz="8" w:space="0" w:color="auto"/>
            </w:tcBorders>
            <w:shd w:val="clear" w:color="auto" w:fill="auto"/>
            <w:vAlign w:val="center"/>
          </w:tcPr>
          <w:p w:rsidR="00C124C3" w:rsidRPr="00C124C3" w:rsidP="00A51B6B" w14:paraId="26C604CE" w14:textId="77777777">
            <w:pPr>
              <w:rPr>
                <w:rFonts w:asciiTheme="minorHAnsi" w:hAnsiTheme="minorHAnsi" w:cstheme="minorHAnsi"/>
                <w:sz w:val="18"/>
                <w:szCs w:val="18"/>
              </w:rPr>
            </w:pPr>
            <w:r w:rsidRPr="00C124C3">
              <w:rPr>
                <w:rFonts w:asciiTheme="minorHAnsi" w:hAnsiTheme="minorHAnsi" w:cstheme="minorHAnsi"/>
                <w:sz w:val="18"/>
                <w:szCs w:val="18"/>
              </w:rPr>
              <w:t>No change</w:t>
            </w:r>
          </w:p>
        </w:tc>
      </w:tr>
      <w:tr w14:paraId="753A68CA"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C124C3" w:rsidRPr="00B26309" w:rsidP="00A51B6B" w14:paraId="15D13A01" w14:textId="77777777">
            <w:pPr>
              <w:jc w:val="center"/>
              <w:rPr>
                <w:rFonts w:asciiTheme="minorHAnsi" w:hAnsiTheme="minorHAnsi" w:cstheme="minorHAnsi"/>
                <w:sz w:val="18"/>
                <w:szCs w:val="18"/>
              </w:rPr>
            </w:pPr>
            <w:r w:rsidRPr="00B26309">
              <w:rPr>
                <w:rFonts w:asciiTheme="minorHAnsi" w:hAnsiTheme="minorHAnsi" w:cstheme="minorHAnsi"/>
                <w:sz w:val="18"/>
                <w:szCs w:val="18"/>
              </w:rPr>
              <w:t>Application for Transfer Between IFQ and GAF and issuance of GAF permit</w:t>
            </w:r>
          </w:p>
        </w:tc>
        <w:tc>
          <w:tcPr>
            <w:tcW w:w="900" w:type="dxa"/>
            <w:tcBorders>
              <w:top w:val="nil"/>
              <w:left w:val="single" w:sz="4" w:space="0" w:color="auto"/>
              <w:bottom w:val="dotted" w:sz="4" w:space="0" w:color="auto"/>
              <w:right w:val="dashed" w:sz="8" w:space="0" w:color="auto"/>
            </w:tcBorders>
            <w:shd w:val="clear" w:color="auto" w:fill="auto"/>
            <w:vAlign w:val="center"/>
          </w:tcPr>
          <w:p w:rsidR="00C124C3" w:rsidRPr="00422EC0" w:rsidP="00A51B6B" w14:paraId="16AB0145"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3,000</w:t>
            </w:r>
          </w:p>
        </w:tc>
        <w:tc>
          <w:tcPr>
            <w:tcW w:w="900" w:type="dxa"/>
            <w:tcBorders>
              <w:top w:val="dotted" w:sz="4" w:space="0" w:color="auto"/>
              <w:left w:val="nil"/>
              <w:bottom w:val="dotted" w:sz="4" w:space="0" w:color="auto"/>
              <w:right w:val="single" w:sz="4" w:space="0" w:color="auto"/>
            </w:tcBorders>
            <w:shd w:val="clear" w:color="auto" w:fill="auto"/>
            <w:vAlign w:val="center"/>
          </w:tcPr>
          <w:p w:rsidR="00C124C3" w:rsidRPr="00422EC0" w:rsidP="00A51B6B" w14:paraId="395C83CA" w14:textId="77777777">
            <w:pPr>
              <w:adjustRightInd w:val="0"/>
              <w:jc w:val="right"/>
              <w:rPr>
                <w:rFonts w:eastAsia="Calibri" w:asciiTheme="minorHAnsi" w:hAnsiTheme="minorHAnsi" w:cstheme="minorHAnsi"/>
                <w:sz w:val="18"/>
                <w:szCs w:val="18"/>
              </w:rPr>
            </w:pPr>
            <w:r>
              <w:rPr>
                <w:rFonts w:asciiTheme="minorHAnsi" w:hAnsiTheme="minorHAnsi" w:cstheme="minorHAnsi"/>
                <w:sz w:val="18"/>
                <w:szCs w:val="18"/>
              </w:rPr>
              <w:t>3,000</w:t>
            </w:r>
          </w:p>
        </w:tc>
        <w:tc>
          <w:tcPr>
            <w:tcW w:w="5822" w:type="dxa"/>
            <w:tcBorders>
              <w:top w:val="nil"/>
              <w:left w:val="single" w:sz="4" w:space="0" w:color="auto"/>
              <w:bottom w:val="dotted" w:sz="4" w:space="0" w:color="auto"/>
              <w:right w:val="single" w:sz="8" w:space="0" w:color="auto"/>
            </w:tcBorders>
            <w:shd w:val="clear" w:color="auto" w:fill="auto"/>
            <w:vAlign w:val="center"/>
          </w:tcPr>
          <w:p w:rsidR="00C124C3" w:rsidRPr="00C124C3" w:rsidP="00A51B6B" w14:paraId="2D38C06A" w14:textId="77777777">
            <w:pPr>
              <w:rPr>
                <w:rFonts w:asciiTheme="minorHAnsi" w:hAnsiTheme="minorHAnsi" w:cstheme="minorHAnsi"/>
                <w:sz w:val="18"/>
                <w:szCs w:val="18"/>
              </w:rPr>
            </w:pPr>
            <w:r w:rsidRPr="00C124C3">
              <w:rPr>
                <w:rFonts w:asciiTheme="minorHAnsi" w:hAnsiTheme="minorHAnsi" w:cstheme="minorHAnsi"/>
                <w:sz w:val="18"/>
                <w:szCs w:val="18"/>
              </w:rPr>
              <w:t>No change</w:t>
            </w:r>
          </w:p>
        </w:tc>
      </w:tr>
      <w:tr w14:paraId="285A8906"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tcPr>
          <w:p w:rsidR="00C124C3" w:rsidRPr="00B26309" w:rsidP="00A51B6B" w14:paraId="5CD2F5C2" w14:textId="77777777">
            <w:pPr>
              <w:jc w:val="center"/>
              <w:rPr>
                <w:rFonts w:asciiTheme="minorHAnsi" w:hAnsiTheme="minorHAnsi" w:cstheme="minorHAnsi"/>
                <w:sz w:val="18"/>
                <w:szCs w:val="18"/>
              </w:rPr>
            </w:pPr>
            <w:r w:rsidRPr="00B26309">
              <w:rPr>
                <w:rFonts w:asciiTheme="minorHAnsi" w:hAnsiTheme="minorHAnsi" w:cstheme="minorHAnsi"/>
                <w:sz w:val="18"/>
                <w:szCs w:val="18"/>
              </w:rPr>
              <w:t>Administrative Appeals</w:t>
            </w:r>
          </w:p>
        </w:tc>
        <w:tc>
          <w:tcPr>
            <w:tcW w:w="900" w:type="dxa"/>
            <w:tcBorders>
              <w:top w:val="dotted" w:sz="4" w:space="0" w:color="auto"/>
              <w:left w:val="single" w:sz="4" w:space="0" w:color="auto"/>
              <w:bottom w:val="dotted" w:sz="4" w:space="0" w:color="auto"/>
              <w:right w:val="dashed" w:sz="8" w:space="0" w:color="auto"/>
            </w:tcBorders>
            <w:shd w:val="clear" w:color="auto" w:fill="auto"/>
            <w:vAlign w:val="center"/>
          </w:tcPr>
          <w:p w:rsidR="00C124C3" w:rsidRPr="00422EC0" w:rsidP="00A51B6B" w14:paraId="242AEE5E" w14:textId="77777777">
            <w:pPr>
              <w:widowControl/>
              <w:jc w:val="right"/>
              <w:rPr>
                <w:rFonts w:asciiTheme="minorHAnsi" w:hAnsiTheme="minorHAnsi" w:cstheme="minorHAnsi"/>
                <w:color w:val="000000"/>
                <w:sz w:val="18"/>
                <w:szCs w:val="18"/>
              </w:rPr>
            </w:pPr>
            <w:r w:rsidRPr="00422EC0">
              <w:rPr>
                <w:rFonts w:asciiTheme="minorHAnsi" w:hAnsiTheme="minorHAnsi" w:cstheme="minorHAnsi"/>
                <w:color w:val="000000"/>
                <w:sz w:val="18"/>
                <w:szCs w:val="18"/>
              </w:rPr>
              <w:t>505</w:t>
            </w:r>
          </w:p>
        </w:tc>
        <w:tc>
          <w:tcPr>
            <w:tcW w:w="900" w:type="dxa"/>
            <w:tcBorders>
              <w:top w:val="dotted" w:sz="4" w:space="0" w:color="auto"/>
              <w:left w:val="nil"/>
              <w:bottom w:val="dotted" w:sz="4" w:space="0" w:color="auto"/>
              <w:right w:val="single" w:sz="4" w:space="0" w:color="auto"/>
            </w:tcBorders>
            <w:shd w:val="clear" w:color="auto" w:fill="auto"/>
            <w:vAlign w:val="center"/>
          </w:tcPr>
          <w:p w:rsidR="00C124C3" w:rsidRPr="00422EC0" w:rsidP="00A51B6B" w14:paraId="1E074C4A" w14:textId="77777777">
            <w:pPr>
              <w:adjustRightInd w:val="0"/>
              <w:jc w:val="right"/>
              <w:rPr>
                <w:rFonts w:eastAsia="Calibri" w:asciiTheme="minorHAnsi" w:hAnsiTheme="minorHAnsi" w:cstheme="minorHAnsi"/>
                <w:sz w:val="18"/>
                <w:szCs w:val="18"/>
              </w:rPr>
            </w:pPr>
            <w:r w:rsidRPr="00422EC0">
              <w:rPr>
                <w:rFonts w:asciiTheme="minorHAnsi" w:hAnsiTheme="minorHAnsi" w:cstheme="minorHAnsi"/>
                <w:sz w:val="18"/>
                <w:szCs w:val="18"/>
              </w:rPr>
              <w:t>505</w:t>
            </w:r>
          </w:p>
        </w:tc>
        <w:tc>
          <w:tcPr>
            <w:tcW w:w="5822" w:type="dxa"/>
            <w:tcBorders>
              <w:top w:val="dotted" w:sz="4" w:space="0" w:color="auto"/>
              <w:left w:val="single" w:sz="4" w:space="0" w:color="auto"/>
              <w:bottom w:val="dotted" w:sz="4" w:space="0" w:color="auto"/>
              <w:right w:val="single" w:sz="8" w:space="0" w:color="auto"/>
            </w:tcBorders>
            <w:shd w:val="clear" w:color="auto" w:fill="auto"/>
            <w:vAlign w:val="center"/>
          </w:tcPr>
          <w:p w:rsidR="00C124C3" w:rsidRPr="00C124C3" w:rsidP="00A51B6B" w14:paraId="190678F2" w14:textId="77777777">
            <w:pPr>
              <w:rPr>
                <w:rFonts w:asciiTheme="minorHAnsi" w:hAnsiTheme="minorHAnsi" w:cstheme="minorHAnsi"/>
                <w:sz w:val="18"/>
                <w:szCs w:val="18"/>
                <w:highlight w:val="cyan"/>
              </w:rPr>
            </w:pPr>
            <w:r w:rsidRPr="00C124C3">
              <w:rPr>
                <w:rFonts w:asciiTheme="minorHAnsi" w:hAnsiTheme="minorHAnsi" w:cstheme="minorHAnsi"/>
                <w:sz w:val="18"/>
                <w:szCs w:val="18"/>
              </w:rPr>
              <w:t>No change</w:t>
            </w:r>
          </w:p>
        </w:tc>
      </w:tr>
      <w:tr w14:paraId="0A83ED8A" w14:textId="77777777" w:rsidTr="00A51B6B">
        <w:tblPrEx>
          <w:tblW w:w="10582" w:type="dxa"/>
          <w:jc w:val="center"/>
          <w:tblLayout w:type="fixed"/>
          <w:tblLook w:val="04A0"/>
        </w:tblPrEx>
        <w:trPr>
          <w:trHeight w:val="312"/>
          <w:jc w:val="center"/>
        </w:trPr>
        <w:tc>
          <w:tcPr>
            <w:tcW w:w="2960" w:type="dxa"/>
            <w:tcBorders>
              <w:top w:val="nil"/>
              <w:left w:val="single" w:sz="8" w:space="0" w:color="auto"/>
              <w:bottom w:val="single" w:sz="8" w:space="0" w:color="auto"/>
              <w:right w:val="single" w:sz="8" w:space="0" w:color="auto"/>
            </w:tcBorders>
            <w:shd w:val="clear" w:color="auto" w:fill="auto"/>
            <w:vAlign w:val="center"/>
          </w:tcPr>
          <w:p w:rsidR="000C551A" w:rsidRPr="00B26309" w:rsidP="00A51B6B" w14:paraId="34476BFE" w14:textId="77777777">
            <w:pPr>
              <w:jc w:val="center"/>
              <w:rPr>
                <w:rFonts w:asciiTheme="minorHAnsi" w:hAnsiTheme="minorHAnsi" w:cstheme="minorHAnsi"/>
                <w:sz w:val="18"/>
                <w:szCs w:val="18"/>
              </w:rPr>
            </w:pPr>
            <w:r>
              <w:rPr>
                <w:rFonts w:asciiTheme="minorHAnsi" w:hAnsiTheme="minorHAnsi" w:cstheme="minorHAnsi"/>
                <w:sz w:val="18"/>
                <w:szCs w:val="18"/>
              </w:rPr>
              <w:t xml:space="preserve">Purchase of Charter Halibut Stamps </w:t>
            </w:r>
            <w:r w:rsidRPr="00434D67">
              <w:rPr>
                <w:rFonts w:asciiTheme="minorHAnsi" w:hAnsiTheme="minorHAnsi" w:cstheme="minorHAnsi"/>
                <w:color w:val="C00000"/>
                <w:sz w:val="18"/>
                <w:szCs w:val="18"/>
              </w:rPr>
              <w:t>[new collection]</w:t>
            </w:r>
          </w:p>
        </w:tc>
        <w:tc>
          <w:tcPr>
            <w:tcW w:w="900" w:type="dxa"/>
            <w:tcBorders>
              <w:top w:val="dotted" w:sz="4" w:space="0" w:color="auto"/>
              <w:left w:val="single" w:sz="4" w:space="0" w:color="auto"/>
              <w:bottom w:val="dotted" w:sz="4" w:space="0" w:color="auto"/>
              <w:right w:val="dashed" w:sz="8" w:space="0" w:color="auto"/>
            </w:tcBorders>
            <w:shd w:val="clear" w:color="auto" w:fill="auto"/>
            <w:vAlign w:val="center"/>
          </w:tcPr>
          <w:p w:rsidR="000C551A" w:rsidRPr="00422EC0" w:rsidP="00A51B6B" w14:paraId="3306CDAF" w14:textId="77777777">
            <w:pPr>
              <w:widowControl/>
              <w:jc w:val="right"/>
              <w:rPr>
                <w:rFonts w:asciiTheme="minorHAnsi" w:hAnsiTheme="minorHAnsi" w:cstheme="minorHAnsi"/>
                <w:color w:val="000000"/>
                <w:sz w:val="18"/>
                <w:szCs w:val="18"/>
              </w:rPr>
            </w:pPr>
            <w:r w:rsidRPr="009E71A1">
              <w:rPr>
                <w:rFonts w:asciiTheme="minorHAnsi" w:hAnsiTheme="minorHAnsi" w:cstheme="minorHAnsi"/>
                <w:color w:val="000000"/>
                <w:sz w:val="18"/>
                <w:szCs w:val="18"/>
              </w:rPr>
              <w:t>0</w:t>
            </w:r>
          </w:p>
        </w:tc>
        <w:tc>
          <w:tcPr>
            <w:tcW w:w="900" w:type="dxa"/>
            <w:tcBorders>
              <w:top w:val="dotted" w:sz="4" w:space="0" w:color="auto"/>
              <w:left w:val="nil"/>
              <w:bottom w:val="dotted" w:sz="4" w:space="0" w:color="auto"/>
              <w:right w:val="single" w:sz="4" w:space="0" w:color="auto"/>
            </w:tcBorders>
            <w:shd w:val="clear" w:color="auto" w:fill="auto"/>
            <w:vAlign w:val="center"/>
          </w:tcPr>
          <w:p w:rsidR="000C551A" w:rsidRPr="00422EC0" w:rsidP="00A51B6B" w14:paraId="270D8752" w14:textId="77777777">
            <w:pPr>
              <w:adjustRightInd w:val="0"/>
              <w:jc w:val="right"/>
              <w:rPr>
                <w:rFonts w:asciiTheme="minorHAnsi" w:hAnsiTheme="minorHAnsi" w:cstheme="minorHAnsi"/>
                <w:sz w:val="18"/>
                <w:szCs w:val="18"/>
              </w:rPr>
            </w:pPr>
            <w:r>
              <w:rPr>
                <w:rFonts w:asciiTheme="minorHAnsi" w:hAnsiTheme="minorHAnsi" w:cstheme="minorHAnsi"/>
                <w:sz w:val="18"/>
                <w:szCs w:val="18"/>
              </w:rPr>
              <w:t>—</w:t>
            </w:r>
          </w:p>
        </w:tc>
        <w:tc>
          <w:tcPr>
            <w:tcW w:w="5822" w:type="dxa"/>
            <w:tcBorders>
              <w:top w:val="dotted" w:sz="4" w:space="0" w:color="auto"/>
              <w:left w:val="single" w:sz="4" w:space="0" w:color="auto"/>
              <w:bottom w:val="dotted" w:sz="4" w:space="0" w:color="auto"/>
              <w:right w:val="single" w:sz="8" w:space="0" w:color="auto"/>
            </w:tcBorders>
            <w:shd w:val="clear" w:color="auto" w:fill="auto"/>
            <w:vAlign w:val="center"/>
          </w:tcPr>
          <w:p w:rsidR="000C551A" w:rsidRPr="00C124C3" w:rsidP="00A51B6B" w14:paraId="4D0D18F9" w14:textId="4335D5AF">
            <w:pPr>
              <w:rPr>
                <w:rFonts w:asciiTheme="minorHAnsi" w:hAnsiTheme="minorHAnsi" w:cstheme="minorHAnsi"/>
                <w:sz w:val="18"/>
                <w:szCs w:val="18"/>
              </w:rPr>
            </w:pPr>
            <w:r w:rsidRPr="005D75E5">
              <w:rPr>
                <w:rFonts w:asciiTheme="minorHAnsi" w:hAnsiTheme="minorHAnsi" w:cstheme="minorHAnsi"/>
                <w:color w:val="000000"/>
                <w:sz w:val="18"/>
                <w:szCs w:val="18"/>
                <w:u w:val="single"/>
              </w:rPr>
              <w:t>Program change</w:t>
            </w:r>
            <w:r w:rsidRPr="005D75E5">
              <w:rPr>
                <w:rFonts w:asciiTheme="minorHAnsi" w:hAnsiTheme="minorHAnsi" w:cstheme="minorHAnsi"/>
                <w:color w:val="000000"/>
                <w:sz w:val="18"/>
                <w:szCs w:val="18"/>
              </w:rPr>
              <w:t>: Ne</w:t>
            </w:r>
            <w:r>
              <w:rPr>
                <w:rFonts w:asciiTheme="minorHAnsi" w:hAnsiTheme="minorHAnsi" w:cstheme="minorHAnsi"/>
                <w:color w:val="000000"/>
                <w:sz w:val="18"/>
                <w:szCs w:val="18"/>
              </w:rPr>
              <w:t xml:space="preserve">w collection instrument that </w:t>
            </w:r>
            <w:r w:rsidR="001C4B22">
              <w:rPr>
                <w:rFonts w:asciiTheme="minorHAnsi" w:hAnsiTheme="minorHAnsi" w:cstheme="minorHAnsi"/>
                <w:color w:val="000000"/>
                <w:sz w:val="18"/>
                <w:szCs w:val="18"/>
              </w:rPr>
              <w:t>is</w:t>
            </w:r>
            <w:r>
              <w:rPr>
                <w:rFonts w:asciiTheme="minorHAnsi" w:hAnsiTheme="minorHAnsi" w:cstheme="minorHAnsi"/>
                <w:color w:val="000000"/>
                <w:sz w:val="18"/>
                <w:szCs w:val="18"/>
              </w:rPr>
              <w:t xml:space="preserve"> </w:t>
            </w:r>
            <w:r w:rsidRPr="005D75E5">
              <w:rPr>
                <w:rFonts w:asciiTheme="minorHAnsi" w:hAnsiTheme="minorHAnsi" w:cstheme="minorHAnsi"/>
                <w:color w:val="000000"/>
                <w:sz w:val="18"/>
                <w:szCs w:val="18"/>
              </w:rPr>
              <w:t>added by this rule.</w:t>
            </w:r>
          </w:p>
        </w:tc>
      </w:tr>
      <w:tr w14:paraId="7EA9F1A0" w14:textId="77777777" w:rsidTr="00A51B6B">
        <w:tblPrEx>
          <w:tblW w:w="10582" w:type="dxa"/>
          <w:jc w:val="center"/>
          <w:tblLayout w:type="fixed"/>
          <w:tblLook w:val="04A0"/>
        </w:tblPrEx>
        <w:trPr>
          <w:trHeight w:val="460"/>
          <w:jc w:val="center"/>
        </w:trPr>
        <w:tc>
          <w:tcPr>
            <w:tcW w:w="2960" w:type="dxa"/>
            <w:tcBorders>
              <w:top w:val="nil"/>
              <w:left w:val="single" w:sz="8" w:space="0" w:color="auto"/>
              <w:bottom w:val="single" w:sz="8" w:space="0" w:color="auto"/>
              <w:right w:val="single" w:sz="8" w:space="0" w:color="auto"/>
            </w:tcBorders>
            <w:shd w:val="clear" w:color="000000" w:fill="BDD6EE"/>
            <w:vAlign w:val="center"/>
            <w:hideMark/>
          </w:tcPr>
          <w:p w:rsidR="00C124C3" w:rsidRPr="002A356E" w:rsidP="00A51B6B" w14:paraId="023C7BE3" w14:textId="77777777">
            <w:pPr>
              <w:widowControl/>
              <w:jc w:val="center"/>
              <w:rPr>
                <w:rFonts w:asciiTheme="minorHAnsi" w:hAnsiTheme="minorHAnsi" w:cstheme="minorHAnsi"/>
                <w:b/>
                <w:bCs/>
                <w:color w:val="000000"/>
                <w:sz w:val="18"/>
                <w:szCs w:val="18"/>
              </w:rPr>
            </w:pPr>
            <w:r w:rsidRPr="002A356E">
              <w:rPr>
                <w:rFonts w:asciiTheme="minorHAnsi" w:hAnsiTheme="minorHAnsi" w:cstheme="minorHAnsi"/>
                <w:b/>
                <w:bCs/>
                <w:color w:val="000000"/>
                <w:sz w:val="18"/>
                <w:szCs w:val="18"/>
              </w:rPr>
              <w:t>Total for Collection</w:t>
            </w:r>
          </w:p>
        </w:tc>
        <w:tc>
          <w:tcPr>
            <w:tcW w:w="900" w:type="dxa"/>
            <w:tcBorders>
              <w:top w:val="single" w:sz="4" w:space="0" w:color="auto"/>
              <w:left w:val="single" w:sz="4" w:space="0" w:color="auto"/>
              <w:bottom w:val="nil"/>
              <w:right w:val="dashed" w:sz="8" w:space="0" w:color="auto"/>
            </w:tcBorders>
            <w:shd w:val="clear" w:color="000000" w:fill="BDD6EE"/>
            <w:vAlign w:val="center"/>
          </w:tcPr>
          <w:p w:rsidR="00C124C3" w:rsidRPr="000C0845" w:rsidP="00A51B6B" w14:paraId="65696225" w14:textId="77777777">
            <w:pPr>
              <w:widowControl/>
              <w:jc w:val="right"/>
              <w:rPr>
                <w:rFonts w:asciiTheme="minorHAnsi" w:hAnsiTheme="minorHAnsi" w:cstheme="minorHAnsi"/>
                <w:b/>
                <w:bCs/>
                <w:color w:val="000000"/>
                <w:sz w:val="18"/>
                <w:szCs w:val="18"/>
              </w:rPr>
            </w:pPr>
            <w:r w:rsidRPr="000C0845">
              <w:rPr>
                <w:rFonts w:asciiTheme="minorHAnsi" w:hAnsiTheme="minorHAnsi" w:cstheme="minorHAnsi"/>
                <w:b/>
                <w:bCs/>
                <w:color w:val="000000"/>
                <w:sz w:val="18"/>
                <w:szCs w:val="18"/>
              </w:rPr>
              <w:t>$</w:t>
            </w:r>
            <w:r w:rsidR="00B749B8">
              <w:rPr>
                <w:rFonts w:asciiTheme="minorHAnsi" w:hAnsiTheme="minorHAnsi" w:cstheme="minorHAnsi"/>
                <w:b/>
                <w:bCs/>
                <w:color w:val="000000"/>
                <w:sz w:val="18"/>
                <w:szCs w:val="18"/>
              </w:rPr>
              <w:t>83,630</w:t>
            </w:r>
          </w:p>
        </w:tc>
        <w:tc>
          <w:tcPr>
            <w:tcW w:w="900" w:type="dxa"/>
            <w:tcBorders>
              <w:top w:val="single" w:sz="4" w:space="0" w:color="auto"/>
              <w:left w:val="nil"/>
              <w:bottom w:val="nil"/>
              <w:right w:val="single" w:sz="4" w:space="0" w:color="auto"/>
            </w:tcBorders>
            <w:shd w:val="clear" w:color="000000" w:fill="BDD6EE"/>
            <w:vAlign w:val="center"/>
          </w:tcPr>
          <w:p w:rsidR="00C124C3" w:rsidRPr="000C0845" w:rsidP="00A51B6B" w14:paraId="16E70581" w14:textId="77777777">
            <w:pPr>
              <w:widowControl/>
              <w:jc w:val="right"/>
              <w:rPr>
                <w:rFonts w:asciiTheme="minorHAnsi" w:hAnsiTheme="minorHAnsi" w:cstheme="minorHAnsi"/>
                <w:b/>
                <w:bCs/>
                <w:color w:val="000000"/>
                <w:sz w:val="18"/>
                <w:szCs w:val="18"/>
              </w:rPr>
            </w:pPr>
            <w:r w:rsidRPr="000C0845">
              <w:rPr>
                <w:rFonts w:asciiTheme="minorHAnsi" w:hAnsiTheme="minorHAnsi" w:cstheme="minorHAnsi"/>
                <w:b/>
                <w:sz w:val="18"/>
                <w:szCs w:val="18"/>
              </w:rPr>
              <w:t>$</w:t>
            </w:r>
            <w:r w:rsidR="00B749B8">
              <w:rPr>
                <w:rFonts w:asciiTheme="minorHAnsi" w:hAnsiTheme="minorHAnsi" w:cstheme="minorHAnsi"/>
                <w:b/>
                <w:sz w:val="18"/>
                <w:szCs w:val="18"/>
              </w:rPr>
              <w:t>81,680</w:t>
            </w:r>
          </w:p>
        </w:tc>
        <w:tc>
          <w:tcPr>
            <w:tcW w:w="5822" w:type="dxa"/>
            <w:tcBorders>
              <w:top w:val="single" w:sz="4" w:space="0" w:color="auto"/>
              <w:left w:val="single" w:sz="4" w:space="0" w:color="auto"/>
              <w:bottom w:val="nil"/>
              <w:right w:val="single" w:sz="8" w:space="0" w:color="auto"/>
            </w:tcBorders>
            <w:shd w:val="clear" w:color="000000" w:fill="000000"/>
            <w:vAlign w:val="center"/>
            <w:hideMark/>
          </w:tcPr>
          <w:p w:rsidR="00C124C3" w:rsidRPr="00B26309" w:rsidP="00A51B6B" w14:paraId="37CAEB19" w14:textId="77777777">
            <w:pPr>
              <w:widowControl/>
              <w:jc w:val="center"/>
              <w:rPr>
                <w:rFonts w:asciiTheme="minorHAnsi" w:hAnsiTheme="minorHAnsi" w:cstheme="minorHAnsi"/>
                <w:b/>
                <w:bCs/>
                <w:color w:val="000000"/>
                <w:sz w:val="18"/>
                <w:szCs w:val="18"/>
              </w:rPr>
            </w:pPr>
            <w:r w:rsidRPr="00B26309">
              <w:rPr>
                <w:rFonts w:asciiTheme="minorHAnsi" w:hAnsiTheme="minorHAnsi" w:cstheme="minorHAnsi"/>
                <w:b/>
                <w:bCs/>
                <w:color w:val="000000"/>
                <w:sz w:val="18"/>
                <w:szCs w:val="18"/>
              </w:rPr>
              <w:t> </w:t>
            </w:r>
          </w:p>
        </w:tc>
      </w:tr>
      <w:tr w14:paraId="263A76D5" w14:textId="77777777" w:rsidTr="00A51B6B">
        <w:tblPrEx>
          <w:tblW w:w="10582" w:type="dxa"/>
          <w:jc w:val="center"/>
          <w:tblLayout w:type="fixed"/>
          <w:tblLook w:val="04A0"/>
        </w:tblPrEx>
        <w:trPr>
          <w:trHeight w:val="312"/>
          <w:jc w:val="center"/>
        </w:trPr>
        <w:tc>
          <w:tcPr>
            <w:tcW w:w="2960" w:type="dxa"/>
            <w:tcBorders>
              <w:top w:val="single" w:sz="8" w:space="0" w:color="auto"/>
              <w:left w:val="single" w:sz="8" w:space="0" w:color="auto"/>
              <w:bottom w:val="single" w:sz="8" w:space="0" w:color="auto"/>
              <w:right w:val="single" w:sz="4" w:space="0" w:color="auto"/>
            </w:tcBorders>
            <w:shd w:val="clear" w:color="000000" w:fill="FCE4D6"/>
            <w:noWrap/>
            <w:vAlign w:val="center"/>
            <w:hideMark/>
          </w:tcPr>
          <w:p w:rsidR="00C124C3" w:rsidRPr="002A356E" w:rsidP="00A51B6B" w14:paraId="58A77545" w14:textId="77777777">
            <w:pPr>
              <w:widowControl/>
              <w:jc w:val="center"/>
              <w:rPr>
                <w:rFonts w:ascii="Calibri" w:hAnsi="Calibri" w:cs="Calibri"/>
                <w:b/>
                <w:bCs/>
                <w:color w:val="000000"/>
                <w:sz w:val="18"/>
                <w:szCs w:val="18"/>
              </w:rPr>
            </w:pPr>
            <w:r w:rsidRPr="002A356E">
              <w:rPr>
                <w:rFonts w:ascii="Calibri" w:hAnsi="Calibri" w:cs="Calibri"/>
                <w:b/>
                <w:bCs/>
                <w:color w:val="000000"/>
                <w:sz w:val="18"/>
                <w:szCs w:val="18"/>
              </w:rPr>
              <w:t>Difference</w:t>
            </w:r>
          </w:p>
        </w:tc>
        <w:tc>
          <w:tcPr>
            <w:tcW w:w="1800" w:type="dxa"/>
            <w:gridSpan w:val="2"/>
            <w:tcBorders>
              <w:top w:val="single" w:sz="8" w:space="0" w:color="auto"/>
              <w:left w:val="single" w:sz="4" w:space="0" w:color="auto"/>
              <w:bottom w:val="single" w:sz="8" w:space="0" w:color="auto"/>
              <w:right w:val="single" w:sz="4" w:space="0" w:color="auto"/>
            </w:tcBorders>
            <w:shd w:val="clear" w:color="000000" w:fill="FCE4D6"/>
            <w:noWrap/>
            <w:vAlign w:val="center"/>
          </w:tcPr>
          <w:p w:rsidR="00C124C3" w:rsidP="00A51B6B" w14:paraId="2B4AB282" w14:textId="77777777">
            <w:pPr>
              <w:widowControl/>
              <w:jc w:val="center"/>
              <w:rPr>
                <w:rFonts w:ascii="Calibri" w:hAnsi="Calibri" w:cs="Calibri"/>
                <w:b/>
                <w:color w:val="000000"/>
                <w:sz w:val="18"/>
                <w:szCs w:val="18"/>
              </w:rPr>
            </w:pPr>
            <w:r w:rsidRPr="00BD7F57">
              <w:rPr>
                <w:rFonts w:ascii="Calibri" w:hAnsi="Calibri" w:cs="Calibri"/>
                <w:b/>
                <w:color w:val="000000"/>
                <w:sz w:val="18"/>
                <w:szCs w:val="18"/>
              </w:rPr>
              <w:t>$</w:t>
            </w:r>
            <w:r w:rsidR="00B749B8">
              <w:rPr>
                <w:rFonts w:ascii="Calibri" w:hAnsi="Calibri" w:cs="Calibri"/>
                <w:b/>
                <w:color w:val="000000"/>
                <w:sz w:val="18"/>
                <w:szCs w:val="18"/>
              </w:rPr>
              <w:t>1,950</w:t>
            </w:r>
          </w:p>
          <w:p w:rsidR="00C124C3" w:rsidRPr="00422EC0" w:rsidP="00A51B6B" w14:paraId="6BAEE1EB" w14:textId="77777777">
            <w:pPr>
              <w:widowControl/>
              <w:jc w:val="center"/>
              <w:rPr>
                <w:rFonts w:ascii="Calibri" w:hAnsi="Calibri" w:cs="Calibri"/>
                <w:b/>
                <w:color w:val="000000"/>
                <w:sz w:val="18"/>
                <w:szCs w:val="18"/>
                <w:highlight w:val="cyan"/>
              </w:rPr>
            </w:pPr>
            <w:r>
              <w:rPr>
                <w:rFonts w:ascii="Calibri" w:hAnsi="Calibri" w:cs="Calibri"/>
                <w:b/>
                <w:color w:val="000000"/>
                <w:sz w:val="18"/>
                <w:szCs w:val="18"/>
              </w:rPr>
              <w:t>(adjustment)</w:t>
            </w:r>
          </w:p>
        </w:tc>
        <w:tc>
          <w:tcPr>
            <w:tcW w:w="5822" w:type="dxa"/>
            <w:tcBorders>
              <w:top w:val="single" w:sz="8" w:space="0" w:color="auto"/>
              <w:left w:val="nil"/>
              <w:bottom w:val="single" w:sz="8" w:space="0" w:color="auto"/>
              <w:right w:val="single" w:sz="8" w:space="0" w:color="auto"/>
            </w:tcBorders>
            <w:shd w:val="clear" w:color="000000" w:fill="000000"/>
            <w:noWrap/>
            <w:vAlign w:val="bottom"/>
            <w:hideMark/>
          </w:tcPr>
          <w:p w:rsidR="00C124C3" w:rsidRPr="00DF0CE3" w:rsidP="00A51B6B" w14:paraId="2F1DD328" w14:textId="77777777">
            <w:pPr>
              <w:widowControl/>
              <w:rPr>
                <w:rFonts w:ascii="Calibri" w:hAnsi="Calibri" w:cs="Calibri"/>
                <w:color w:val="000000"/>
              </w:rPr>
            </w:pPr>
            <w:r w:rsidRPr="00DF0CE3">
              <w:rPr>
                <w:rFonts w:ascii="Calibri" w:hAnsi="Calibri" w:cs="Calibri"/>
                <w:color w:val="000000"/>
              </w:rPr>
              <w:t> </w:t>
            </w:r>
          </w:p>
        </w:tc>
      </w:tr>
    </w:tbl>
    <w:p w:rsidR="00050CAB" w14:paraId="2BED7FEE" w14:textId="77777777">
      <w:pPr>
        <w:rPr>
          <w:b/>
          <w:color w:val="000000"/>
        </w:rPr>
      </w:pPr>
    </w:p>
    <w:p w:rsidR="00370B85" w:rsidP="00BC35C1" w14:paraId="4025395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81185" w:rsidP="00BC35C1" w14:paraId="6F159C30" w14:textId="77777777">
      <w:pPr>
        <w:tabs>
          <w:tab w:val="left" w:pos="360"/>
          <w:tab w:val="left" w:pos="720"/>
          <w:tab w:val="left" w:pos="1080"/>
        </w:tabs>
        <w:adjustRightInd w:val="0"/>
      </w:pPr>
    </w:p>
    <w:p w:rsidR="00611D3D" w:rsidP="00BC35C1" w14:paraId="6CD57D07" w14:textId="489EE075">
      <w:pPr>
        <w:tabs>
          <w:tab w:val="left" w:pos="360"/>
          <w:tab w:val="left" w:pos="720"/>
          <w:tab w:val="left" w:pos="1080"/>
        </w:tabs>
        <w:adjustRightInd w:val="0"/>
      </w:pPr>
      <w:r w:rsidRPr="00547289">
        <w:t>It is anticipated that some of the information collected will be disseminated to the public or used to support publicly disseminated information.</w:t>
      </w:r>
      <w:r w:rsidRPr="002666A4">
        <w:t xml:space="preserve"> </w:t>
      </w:r>
      <w:r w:rsidRPr="00675A35">
        <w:rPr>
          <w:rFonts w:eastAsiaTheme="minorHAnsi" w:cstheme="minorBidi"/>
        </w:rPr>
        <w:t xml:space="preserve">NMFS </w:t>
      </w:r>
      <w:r>
        <w:rPr>
          <w:rFonts w:eastAsiaTheme="minorHAnsi" w:cstheme="minorBidi"/>
        </w:rPr>
        <w:t xml:space="preserve">Alaska Regional Office </w:t>
      </w:r>
      <w:r w:rsidRPr="00675A35">
        <w:rPr>
          <w:rFonts w:eastAsiaTheme="minorHAnsi" w:cstheme="minorBidi"/>
        </w:rPr>
        <w:t xml:space="preserve">and the National Appeals Office will retain control over the information and safeguard it from improper access, modification, and destruction, consistent with NOAA standards for confidentiality, privacy, and electronic information. </w:t>
      </w:r>
      <w:r w:rsidRPr="00EF4271">
        <w:t xml:space="preserve">See response to Question 10 of this Supporting Statement for more information on confidentiality and privacy. </w:t>
      </w:r>
      <w:r w:rsidRPr="00675A35">
        <w:rPr>
          <w:rFonts w:eastAsiaTheme="minorHAnsi" w:cstheme="minorBidi"/>
        </w:rPr>
        <w:t>This information collection is designed to yield data that meet all applicable information quality guidelines.</w:t>
      </w:r>
      <w:r>
        <w:rPr>
          <w:rFonts w:eastAsiaTheme="minorHAnsi" w:cstheme="minorBidi"/>
        </w:rPr>
        <w:t xml:space="preserve"> </w:t>
      </w:r>
      <w:r w:rsidRPr="00675A35">
        <w:rPr>
          <w:rFonts w:eastAsiaTheme="minorHAnsi" w:cstheme="minorBidi"/>
        </w:rPr>
        <w:t xml:space="preserve">Prior to dissemination, the information will be subjected to quality control measures and a pre-dissemination review pursuant to </w:t>
      </w:r>
      <w:r w:rsidRPr="00675A35">
        <w:rPr>
          <w:rFonts w:eastAsia="Times New Roman"/>
        </w:rPr>
        <w:t>Section 515 of Public Law 106-554</w:t>
      </w:r>
      <w:r w:rsidRPr="00675A35">
        <w:rPr>
          <w:rFonts w:eastAsiaTheme="minorHAnsi" w:cstheme="minorBidi"/>
        </w:rPr>
        <w:t xml:space="preserve"> </w:t>
      </w:r>
      <w:r w:rsidRPr="00675A35">
        <w:rPr>
          <w:rFonts w:eastAsia="Calibri"/>
        </w:rPr>
        <w:t>(</w:t>
      </w:r>
      <w:r w:rsidRPr="00675A35">
        <w:rPr>
          <w:rFonts w:eastAsia="Calibri"/>
          <w:color w:val="000000"/>
        </w:rPr>
        <w:t>the Information Quality Act)</w:t>
      </w:r>
      <w:r w:rsidRPr="00675A35">
        <w:rPr>
          <w:rFonts w:eastAsiaTheme="minorHAnsi" w:cstheme="minorBidi"/>
        </w:rPr>
        <w:t xml:space="preserve">, which requires </w:t>
      </w:r>
      <w:r w:rsidRPr="00675A35">
        <w:rPr>
          <w:rFonts w:eastAsia="Calibri"/>
          <w:color w:val="000000"/>
        </w:rPr>
        <w:t xml:space="preserve">NMFS to ensure the quality, objectivity, utility, and integrity of information it publicly disseminates. Public dissemination of data collected by this information collection is governed by </w:t>
      </w:r>
      <w:r w:rsidRPr="00675A35">
        <w:rPr>
          <w:rFonts w:eastAsia="Calibri"/>
          <w:color w:val="0000FF" w:themeColor="hyperlink"/>
          <w:u w:val="single"/>
        </w:rPr>
        <w:t>NOAA's information quality guidelines</w:t>
      </w:r>
      <w:r w:rsidRPr="00C4301F">
        <w:rPr>
          <w:rFonts w:eastAsia="Calibri"/>
        </w:rPr>
        <w:t>,</w:t>
      </w:r>
      <w:r w:rsidRPr="00675A35">
        <w:rPr>
          <w:rFonts w:eastAsia="Calibri"/>
          <w:color w:val="000000"/>
        </w:rPr>
        <w:t xml:space="preserve"> which were issued on October 30, 2014.</w:t>
      </w:r>
      <w:r>
        <w:rPr>
          <w:rStyle w:val="FootnoteReference"/>
          <w:rFonts w:eastAsia="Calibri"/>
        </w:rPr>
        <w:footnoteReference w:id="18"/>
      </w:r>
    </w:p>
    <w:p w:rsidR="00611D3D" w:rsidP="00BC35C1" w14:paraId="4FE26780" w14:textId="77777777">
      <w:pPr>
        <w:tabs>
          <w:tab w:val="left" w:pos="360"/>
          <w:tab w:val="left" w:pos="720"/>
          <w:tab w:val="left" w:pos="1080"/>
        </w:tabs>
        <w:adjustRightInd w:val="0"/>
      </w:pPr>
    </w:p>
    <w:p w:rsidR="00963D35" w:rsidRPr="00B7052D" w:rsidP="00BC35C1" w14:paraId="038FEFF8" w14:textId="0652B8BF">
      <w:pPr>
        <w:tabs>
          <w:tab w:val="left" w:pos="360"/>
          <w:tab w:val="left" w:pos="720"/>
          <w:tab w:val="left" w:pos="1080"/>
        </w:tabs>
        <w:adjustRightInd w:val="0"/>
      </w:pPr>
      <w:r>
        <w:t>R</w:t>
      </w:r>
      <w:r w:rsidR="00EF4271">
        <w:t>esults of this</w:t>
      </w:r>
      <w:r w:rsidRPr="00EF0B9E">
        <w:t xml:space="preserve"> collection will be available to the public through the Council and IPHC meeting processes.</w:t>
      </w:r>
      <w:r w:rsidR="00154F79">
        <w:t xml:space="preserve"> </w:t>
      </w:r>
      <w:r>
        <w:t>This i</w:t>
      </w:r>
      <w:r w:rsidRPr="00EF0B9E">
        <w:t xml:space="preserve">nformation is available </w:t>
      </w:r>
      <w:r>
        <w:t>online</w:t>
      </w:r>
      <w:r w:rsidRPr="00EF0B9E">
        <w:t xml:space="preserve"> at </w:t>
      </w:r>
      <w:hyperlink r:id="rId32" w:history="1">
        <w:r w:rsidRPr="00B7052D">
          <w:rPr>
            <w:color w:val="0000FF"/>
            <w:u w:val="single"/>
          </w:rPr>
          <w:t>http://www.npfmc.org/</w:t>
        </w:r>
      </w:hyperlink>
      <w:r w:rsidRPr="00EF0B9E">
        <w:t xml:space="preserve"> and </w:t>
      </w:r>
      <w:hyperlink r:id="rId33" w:history="1">
        <w:r w:rsidRPr="00B7052D">
          <w:rPr>
            <w:color w:val="0000FF"/>
            <w:u w:val="single"/>
          </w:rPr>
          <w:t>http://www.iphc.int/</w:t>
        </w:r>
      </w:hyperlink>
      <w:r w:rsidRPr="00EF0B9E">
        <w:t>.</w:t>
      </w:r>
    </w:p>
    <w:p w:rsidR="00963D35" w:rsidP="00BC35C1" w14:paraId="43F5B238" w14:textId="77777777">
      <w:pPr>
        <w:widowControl/>
        <w:rPr>
          <w:color w:val="000000"/>
        </w:rPr>
      </w:pPr>
    </w:p>
    <w:p w:rsidR="00963D35" w:rsidRPr="00B7052D" w:rsidP="00BC35C1" w14:paraId="43C2EE3D" w14:textId="7490FA18">
      <w:pPr>
        <w:widowControl/>
        <w:rPr>
          <w:color w:val="000000"/>
        </w:rPr>
      </w:pPr>
      <w:r w:rsidRPr="00B7052D">
        <w:rPr>
          <w:color w:val="000000"/>
        </w:rPr>
        <w:t xml:space="preserve">Results of this collection are </w:t>
      </w:r>
      <w:r w:rsidR="00864BC9">
        <w:rPr>
          <w:color w:val="000000"/>
        </w:rPr>
        <w:t>posted</w:t>
      </w:r>
      <w:r w:rsidRPr="00B7052D">
        <w:rPr>
          <w:color w:val="000000"/>
        </w:rPr>
        <w:t xml:space="preserve"> on the </w:t>
      </w:r>
      <w:r w:rsidRPr="00BA64B2">
        <w:t>NMFS Alaska Region websit</w:t>
      </w:r>
      <w:r w:rsidRPr="00DE43B3">
        <w:t>e</w:t>
      </w:r>
      <w:r w:rsidRPr="00DE43B3" w:rsidR="00686AF7">
        <w:rPr>
          <w:rStyle w:val="Hyperlink"/>
          <w:color w:val="auto"/>
          <w:u w:val="none"/>
        </w:rPr>
        <w:t>.</w:t>
      </w:r>
      <w:r w:rsidRPr="00EF4271" w:rsidR="005F629D">
        <w:rPr>
          <w:rStyle w:val="Hyperlink"/>
          <w:color w:val="auto"/>
          <w:u w:val="none"/>
        </w:rPr>
        <w:t xml:space="preserve"> </w:t>
      </w:r>
      <w:r w:rsidRPr="00B7052D">
        <w:rPr>
          <w:color w:val="000000"/>
        </w:rPr>
        <w:t xml:space="preserve">Spreadsheets of CHP holders and GAF permit holders since 2018 are </w:t>
      </w:r>
      <w:r w:rsidRPr="00981185">
        <w:rPr>
          <w:color w:val="000000"/>
        </w:rPr>
        <w:t>posted</w:t>
      </w:r>
      <w:r w:rsidR="00686AF7">
        <w:rPr>
          <w:color w:val="000000"/>
        </w:rPr>
        <w:t xml:space="preserve"> at </w:t>
      </w:r>
      <w:hyperlink r:id="rId34" w:history="1">
        <w:r w:rsidRPr="00686AF7" w:rsidR="00686AF7">
          <w:rPr>
            <w:rStyle w:val="Hyperlink"/>
          </w:rPr>
          <w:t>https://www.fisheries.noaa.gov/alaska/commercial-fishing/permits-and-licenses-issued-alaska</w:t>
        </w:r>
      </w:hyperlink>
      <w:r w:rsidRPr="00981185">
        <w:rPr>
          <w:color w:val="000000"/>
        </w:rPr>
        <w:t xml:space="preserve">. </w:t>
      </w:r>
      <w:r w:rsidR="00686AF7">
        <w:rPr>
          <w:color w:val="000000"/>
        </w:rPr>
        <w:t>A</w:t>
      </w:r>
      <w:r w:rsidRPr="00BA64B2" w:rsidR="00686AF7">
        <w:rPr>
          <w:color w:val="000000"/>
        </w:rPr>
        <w:t xml:space="preserve">nnual summary reports </w:t>
      </w:r>
      <w:r w:rsidRPr="00981185" w:rsidR="00686AF7">
        <w:rPr>
          <w:color w:val="000000"/>
        </w:rPr>
        <w:t>of CHP</w:t>
      </w:r>
      <w:r w:rsidR="00864BC9">
        <w:rPr>
          <w:color w:val="000000"/>
        </w:rPr>
        <w:t>s</w:t>
      </w:r>
      <w:r w:rsidRPr="00981185" w:rsidR="00686AF7">
        <w:rPr>
          <w:color w:val="000000"/>
        </w:rPr>
        <w:t xml:space="preserve"> that summariz</w:t>
      </w:r>
      <w:r w:rsidR="00025730">
        <w:rPr>
          <w:color w:val="000000"/>
        </w:rPr>
        <w:t>e transaction counts and prices</w:t>
      </w:r>
      <w:r w:rsidRPr="00981185" w:rsidR="00686AF7">
        <w:rPr>
          <w:color w:val="000000"/>
        </w:rPr>
        <w:t xml:space="preserve"> </w:t>
      </w:r>
      <w:r w:rsidRPr="00981185" w:rsidR="00025730">
        <w:rPr>
          <w:color w:val="000000"/>
        </w:rPr>
        <w:t xml:space="preserve">since 2012 </w:t>
      </w:r>
      <w:r w:rsidRPr="00981185" w:rsidR="00686AF7">
        <w:rPr>
          <w:color w:val="000000"/>
        </w:rPr>
        <w:t>and GAF that summarize average price per pound and transaction counts and prices</w:t>
      </w:r>
      <w:r w:rsidR="00686AF7">
        <w:rPr>
          <w:color w:val="000000"/>
        </w:rPr>
        <w:t xml:space="preserve"> </w:t>
      </w:r>
      <w:r w:rsidRPr="00981185" w:rsidR="00025730">
        <w:rPr>
          <w:color w:val="000000"/>
        </w:rPr>
        <w:t xml:space="preserve">since 2014 </w:t>
      </w:r>
      <w:r w:rsidR="00025730">
        <w:rPr>
          <w:color w:val="000000"/>
        </w:rPr>
        <w:t>are</w:t>
      </w:r>
      <w:r w:rsidR="00686AF7">
        <w:rPr>
          <w:color w:val="000000"/>
        </w:rPr>
        <w:t xml:space="preserve"> p</w:t>
      </w:r>
      <w:r w:rsidRPr="00981185">
        <w:rPr>
          <w:color w:val="000000"/>
        </w:rPr>
        <w:t>osted</w:t>
      </w:r>
      <w:r w:rsidR="00686AF7">
        <w:rPr>
          <w:color w:val="000000"/>
        </w:rPr>
        <w:t xml:space="preserve"> at </w:t>
      </w:r>
      <w:hyperlink r:id="rId35" w:anchor="charter-halibut" w:history="1">
        <w:r w:rsidRPr="00847177" w:rsidR="00025730">
          <w:rPr>
            <w:rStyle w:val="Hyperlink"/>
          </w:rPr>
          <w:t>https://www.fisheries.noaa.gov/alaska/sustainable-fisheries/alaska-fisheries-management-reports#charter-halibut</w:t>
        </w:r>
      </w:hyperlink>
      <w:r w:rsidR="00025730">
        <w:t>.</w:t>
      </w:r>
    </w:p>
    <w:p w:rsidR="00963D35" w:rsidP="00BC35C1" w14:paraId="283A7054" w14:textId="77777777">
      <w:pPr>
        <w:widowControl/>
      </w:pPr>
    </w:p>
    <w:p w:rsidR="00963D35" w:rsidP="00BC35C1" w14:paraId="64F41C02" w14:textId="77777777">
      <w:pPr>
        <w:widowControl/>
        <w:rPr>
          <w:color w:val="000000"/>
        </w:rPr>
      </w:pPr>
      <w:r w:rsidRPr="00EF0B9E">
        <w:t xml:space="preserve">Final administrative appeal decisions with redactions are posted on the </w:t>
      </w:r>
      <w:r w:rsidRPr="00BA64B2">
        <w:t>NMFS National Appeals Office website</w:t>
      </w:r>
      <w:r>
        <w:t xml:space="preserve"> </w:t>
      </w:r>
      <w:r w:rsidR="00BA64B2">
        <w:t xml:space="preserve">at </w:t>
      </w:r>
      <w:hyperlink r:id="rId36" w:history="1">
        <w:r w:rsidRPr="00D978A7" w:rsidR="00BA64B2">
          <w:rPr>
            <w:rStyle w:val="Hyperlink"/>
          </w:rPr>
          <w:t>https://www.fisheries.noaa.gov/national/rules-and-regulations/appeals</w:t>
        </w:r>
      </w:hyperlink>
      <w:r w:rsidR="00BA64B2">
        <w:t xml:space="preserve">. </w:t>
      </w:r>
      <w:r w:rsidRPr="00B7052D">
        <w:rPr>
          <w:color w:val="000000"/>
        </w:rPr>
        <w:t>Personally identifiable information and confidential business information submitted in an administrative appeal are not released to the public.</w:t>
      </w:r>
    </w:p>
    <w:p w:rsidR="00C4301F" w:rsidP="00BC35C1" w14:paraId="03E35C3C" w14:textId="77777777">
      <w:pPr>
        <w:widowControl/>
        <w:tabs>
          <w:tab w:val="left" w:pos="-1180"/>
          <w:tab w:val="left" w:pos="-720"/>
          <w:tab w:val="left" w:pos="0"/>
          <w:tab w:val="left" w:pos="360"/>
          <w:tab w:val="left" w:pos="720"/>
          <w:tab w:val="left" w:pos="1080"/>
        </w:tabs>
        <w:autoSpaceDE w:val="0"/>
        <w:autoSpaceDN w:val="0"/>
        <w:adjustRightInd w:val="0"/>
        <w:rPr>
          <w:rFonts w:eastAsiaTheme="minorHAnsi" w:cstheme="minorBidi"/>
        </w:rPr>
      </w:pPr>
    </w:p>
    <w:p w:rsidR="00370B85" w:rsidP="00BC35C1" w14:paraId="05168A98"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963D35" w:rsidP="00BC35C1" w14:paraId="4CCF94AD" w14:textId="77777777">
      <w:pPr>
        <w:tabs>
          <w:tab w:val="left" w:pos="360"/>
          <w:tab w:val="left" w:pos="720"/>
          <w:tab w:val="left" w:pos="1080"/>
        </w:tabs>
        <w:adjustRightInd w:val="0"/>
        <w:rPr>
          <w:bCs/>
        </w:rPr>
      </w:pPr>
    </w:p>
    <w:p w:rsidR="00963D35" w:rsidP="00BC35C1" w14:paraId="5287982C" w14:textId="77777777">
      <w:pPr>
        <w:tabs>
          <w:tab w:val="left" w:pos="360"/>
          <w:tab w:val="left" w:pos="720"/>
          <w:tab w:val="left" w:pos="1080"/>
        </w:tabs>
        <w:adjustRightInd w:val="0"/>
        <w:rPr>
          <w:bCs/>
        </w:rPr>
      </w:pPr>
      <w:r w:rsidRPr="00B7052D">
        <w:rPr>
          <w:bCs/>
        </w:rPr>
        <w:t xml:space="preserve">The OMB control number and expiration date </w:t>
      </w:r>
      <w:r w:rsidR="001E533C">
        <w:rPr>
          <w:bCs/>
        </w:rPr>
        <w:t>is</w:t>
      </w:r>
      <w:r w:rsidRPr="00B7052D" w:rsidR="001E533C">
        <w:rPr>
          <w:bCs/>
        </w:rPr>
        <w:t xml:space="preserve"> </w:t>
      </w:r>
      <w:r w:rsidRPr="00B7052D">
        <w:rPr>
          <w:bCs/>
        </w:rPr>
        <w:t xml:space="preserve">not displayed on the Charter Logbook because </w:t>
      </w:r>
      <w:r w:rsidR="00154F79">
        <w:rPr>
          <w:bCs/>
        </w:rPr>
        <w:t xml:space="preserve">it is a document of the ADF&amp;G. </w:t>
      </w:r>
      <w:r w:rsidRPr="00B7052D">
        <w:rPr>
          <w:bCs/>
        </w:rPr>
        <w:t xml:space="preserve">The OMB control number and expiration date </w:t>
      </w:r>
      <w:r w:rsidR="001E533C">
        <w:rPr>
          <w:bCs/>
        </w:rPr>
        <w:t>is</w:t>
      </w:r>
      <w:r w:rsidRPr="00B7052D" w:rsidR="001E533C">
        <w:rPr>
          <w:bCs/>
        </w:rPr>
        <w:t xml:space="preserve"> </w:t>
      </w:r>
      <w:r w:rsidRPr="00B7052D">
        <w:rPr>
          <w:bCs/>
        </w:rPr>
        <w:t>not displayed on the GAF permit log because it is a printed form on the back of the GAF permit.</w:t>
      </w:r>
      <w:r w:rsidRPr="004B4EDD">
        <w:t xml:space="preserve"> </w:t>
      </w:r>
      <w:r w:rsidRPr="00B7052D">
        <w:rPr>
          <w:bCs/>
        </w:rPr>
        <w:t>The agency will display the expiration date for OMB approval of the information collection on all other instruments.</w:t>
      </w:r>
    </w:p>
    <w:p w:rsidR="00BA501A" w:rsidRPr="00B7052D" w:rsidP="00BC35C1" w14:paraId="36E5BC55" w14:textId="77777777">
      <w:pPr>
        <w:tabs>
          <w:tab w:val="left" w:pos="360"/>
          <w:tab w:val="left" w:pos="720"/>
          <w:tab w:val="left" w:pos="1080"/>
        </w:tabs>
        <w:adjustRightInd w:val="0"/>
        <w:rPr>
          <w:bCs/>
        </w:rPr>
      </w:pPr>
    </w:p>
    <w:p w:rsidR="00370B85" w:rsidP="00EF4271" w14:paraId="2676D562" w14:textId="2EDEA903">
      <w:pPr>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864BC9" w:rsidRPr="00EF4271" w:rsidP="00EF4271" w14:paraId="7C9D047C" w14:textId="77777777">
      <w:pPr>
        <w:pBdr>
          <w:top w:val="nil"/>
          <w:left w:val="nil"/>
          <w:bottom w:val="nil"/>
          <w:right w:val="nil"/>
          <w:between w:val="nil"/>
        </w:pBdr>
        <w:tabs>
          <w:tab w:val="left" w:pos="360"/>
        </w:tabs>
        <w:rPr>
          <w:color w:val="000000"/>
        </w:rPr>
      </w:pPr>
    </w:p>
    <w:p w:rsidR="00370B85" w:rsidP="00EF4271" w14:paraId="37E4D589" w14:textId="77777777">
      <w:pPr>
        <w:widowControl/>
        <w:rPr>
          <w:color w:val="1F497D"/>
        </w:rPr>
      </w:pPr>
      <w:bookmarkStart w:id="1" w:name="_heading=h.gjdgxs" w:colFirst="0" w:colLast="0"/>
      <w:bookmarkEnd w:id="1"/>
      <w:r>
        <w:t xml:space="preserve">The agency certifies compliance with </w:t>
      </w:r>
      <w:hyperlink r:id="rId37">
        <w:r>
          <w:rPr>
            <w:color w:val="0563C1"/>
            <w:u w:val="single"/>
          </w:rPr>
          <w:t>5 CFR 1320.9</w:t>
        </w:r>
      </w:hyperlink>
      <w:r>
        <w:rPr>
          <w:rStyle w:val="FootnoteReference"/>
        </w:rPr>
        <w:footnoteReference w:id="19"/>
      </w:r>
      <w:hyperlink r:id="rId37">
        <w:r>
          <w:rPr>
            <w:color w:val="0563C1"/>
          </w:rPr>
          <w:t xml:space="preserve"> </w:t>
        </w:r>
      </w:hyperlink>
      <w:r>
        <w:t xml:space="preserve">and the related provisions of </w:t>
      </w:r>
      <w:hyperlink r:id="rId38">
        <w:r>
          <w:rPr>
            <w:color w:val="0563C1"/>
            <w:u w:val="single"/>
          </w:rPr>
          <w:t>5 CFR</w:t>
        </w:r>
      </w:hyperlink>
      <w:r>
        <w:rPr>
          <w:color w:val="0563C1"/>
        </w:rPr>
        <w:t xml:space="preserve"> </w:t>
      </w:r>
      <w:hyperlink r:id="rId38">
        <w:r>
          <w:rPr>
            <w:color w:val="0563C1"/>
            <w:u w:val="single"/>
          </w:rPr>
          <w:t>1320.8(b)(3)</w:t>
        </w:r>
      </w:hyperlink>
      <w:r>
        <w:rPr>
          <w:rStyle w:val="FootnoteReference"/>
        </w:rPr>
        <w:footnoteReference w:id="20"/>
      </w:r>
      <w:r w:rsidRPr="00DB0DF5">
        <w:t>.</w:t>
      </w:r>
    </w:p>
    <w:sectPr w:rsidSect="00D6774E">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7402924"/>
      <w:docPartObj>
        <w:docPartGallery w:val="Page Numbers (Bottom of Page)"/>
        <w:docPartUnique/>
      </w:docPartObj>
    </w:sdtPr>
    <w:sdtEndPr>
      <w:rPr>
        <w:noProof/>
      </w:rPr>
    </w:sdtEndPr>
    <w:sdtContent>
      <w:p w:rsidR="00BD5379" w14:paraId="35C9485C" w14:textId="1AC4C8C8">
        <w:pPr>
          <w:pStyle w:val="Footer"/>
          <w:jc w:val="center"/>
        </w:pPr>
        <w:r>
          <w:fldChar w:fldCharType="begin"/>
        </w:r>
        <w:r>
          <w:instrText xml:space="preserve"> PAGE   \* MERGEFORMAT </w:instrText>
        </w:r>
        <w:r>
          <w:fldChar w:fldCharType="separate"/>
        </w:r>
        <w:r w:rsidR="00A51B6B">
          <w:rPr>
            <w:noProof/>
          </w:rPr>
          <w:t>26</w:t>
        </w:r>
        <w:r>
          <w:rPr>
            <w:noProof/>
          </w:rPr>
          <w:fldChar w:fldCharType="end"/>
        </w:r>
      </w:p>
    </w:sdtContent>
  </w:sdt>
  <w:p w:rsidR="00BD5379" w14:paraId="385C1A2C"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D5379" w14:paraId="749705B0" w14:textId="77777777">
      <w:r>
        <w:separator/>
      </w:r>
    </w:p>
  </w:footnote>
  <w:footnote w:type="continuationSeparator" w:id="1">
    <w:p w:rsidR="00BD5379" w14:paraId="15B2FA84" w14:textId="77777777">
      <w:r>
        <w:continuationSeparator/>
      </w:r>
    </w:p>
  </w:footnote>
  <w:footnote w:id="2">
    <w:p w:rsidR="00BD5379" w14:paraId="587D442E" w14:textId="77777777">
      <w:pPr>
        <w:pStyle w:val="FootnoteText"/>
      </w:pPr>
      <w:r>
        <w:rPr>
          <w:rStyle w:val="FootnoteReference"/>
        </w:rPr>
        <w:footnoteRef/>
      </w:r>
      <w:r>
        <w:t xml:space="preserve"> </w:t>
      </w:r>
      <w:hyperlink r:id="rId1" w:history="1">
        <w:r w:rsidRPr="00210A4A">
          <w:rPr>
            <w:rStyle w:val="Hyperlink"/>
          </w:rPr>
          <w:t>https://iphc.int/uploads/pdf/basic-texts/iphc-1979-pacific-halibut-convention.pdf</w:t>
        </w:r>
      </w:hyperlink>
    </w:p>
  </w:footnote>
  <w:footnote w:id="3">
    <w:p w:rsidR="00BD5379" w14:paraId="58AD7133" w14:textId="77777777">
      <w:pPr>
        <w:pStyle w:val="FootnoteText"/>
      </w:pPr>
      <w:r>
        <w:rPr>
          <w:rStyle w:val="FootnoteReference"/>
        </w:rPr>
        <w:footnoteRef/>
      </w:r>
      <w:r>
        <w:t xml:space="preserve"> </w:t>
      </w:r>
      <w:hyperlink r:id="rId2" w:history="1">
        <w:r w:rsidRPr="00210A4A">
          <w:rPr>
            <w:rStyle w:val="Hyperlink"/>
          </w:rPr>
          <w:t>https://uscode.house.gov/view.xhtml?hl=false&amp;edition=prelim&amp;req=granuleid%3AUSC-prelim-title16-section773c&amp;f=treesort&amp;num=0&amp;saved=%7CKHRpdGxlOjE2IHNlY3Rpb246NzczIGVkaXRpb246cHJlbGltKSBPUiAoZ3JhbnVsZWlkOlVTQy1wcmVsaW0tdGl0bGUxNi1zZWN0aW9uNzczKQ%3D%3D%7CdHJlZXNvcnQ%3D%7C%7C0%7Cfalse%7Cprelim</w:t>
        </w:r>
      </w:hyperlink>
    </w:p>
  </w:footnote>
  <w:footnote w:id="4">
    <w:p w:rsidR="00BD5379" w14:paraId="10DC9F3A" w14:textId="77777777">
      <w:pPr>
        <w:pStyle w:val="FootnoteText"/>
      </w:pPr>
      <w:r>
        <w:rPr>
          <w:rStyle w:val="FootnoteReference"/>
        </w:rPr>
        <w:footnoteRef/>
      </w:r>
      <w:r>
        <w:t xml:space="preserve"> </w:t>
      </w:r>
      <w:hyperlink r:id="rId3" w:history="1">
        <w:r w:rsidRPr="00210A4A">
          <w:rPr>
            <w:rStyle w:val="Hyperlink"/>
          </w:rPr>
          <w:t>https://www.fisheries.noaa.gov/resource/document/magnuson-stevens-fishery-conservation-and-management-act</w:t>
        </w:r>
      </w:hyperlink>
    </w:p>
  </w:footnote>
  <w:footnote w:id="5">
    <w:p w:rsidR="00BD5379" w14:paraId="7AD5248C" w14:textId="77777777">
      <w:pPr>
        <w:pStyle w:val="FootnoteText"/>
      </w:pPr>
      <w:r>
        <w:rPr>
          <w:rStyle w:val="FootnoteReference"/>
        </w:rPr>
        <w:footnoteRef/>
      </w:r>
      <w:r>
        <w:t xml:space="preserve"> </w:t>
      </w:r>
      <w:hyperlink r:id="rId4" w:history="1">
        <w:r w:rsidRPr="00210A4A">
          <w:rPr>
            <w:rStyle w:val="Hyperlink"/>
          </w:rPr>
          <w:t>https://www.fisheries.noaa.gov/action/pacific-halibut-catch-sharing-plan-and-annual-management-measures-federal-register-rules-and</w:t>
        </w:r>
      </w:hyperlink>
    </w:p>
  </w:footnote>
  <w:footnote w:id="6">
    <w:p w:rsidR="00BD5379" w:rsidP="00875B8B" w14:paraId="5DE7FCB4" w14:textId="77777777">
      <w:pPr>
        <w:pStyle w:val="FootnoteText"/>
      </w:pPr>
      <w:r>
        <w:rPr>
          <w:rStyle w:val="FootnoteReference"/>
        </w:rPr>
        <w:footnoteRef/>
      </w:r>
      <w:r>
        <w:t xml:space="preserve"> </w:t>
      </w:r>
      <w:hyperlink r:id="rId5" w:history="1">
        <w:r w:rsidRPr="00ED2615">
          <w:rPr>
            <w:rStyle w:val="Hyperlink"/>
          </w:rPr>
          <w:t>https://www.ecfr.gov/current/title-50/chapter-III/part-300/subpart-E/section-300.65</w:t>
        </w:r>
      </w:hyperlink>
    </w:p>
  </w:footnote>
  <w:footnote w:id="7">
    <w:p w:rsidR="00BD5379" w:rsidP="00875B8B" w14:paraId="27D66A52" w14:textId="77777777">
      <w:pPr>
        <w:pStyle w:val="FootnoteText"/>
      </w:pPr>
      <w:r>
        <w:rPr>
          <w:rStyle w:val="FootnoteReference"/>
        </w:rPr>
        <w:footnoteRef/>
      </w:r>
      <w:r>
        <w:t xml:space="preserve"> </w:t>
      </w:r>
      <w:hyperlink r:id="rId6" w:history="1">
        <w:r w:rsidRPr="00ED2615">
          <w:rPr>
            <w:rStyle w:val="Hyperlink"/>
          </w:rPr>
          <w:t>https://www.ecfr.gov/current/title-50/chapter-III/part-300/subpart-E/section-300.67</w:t>
        </w:r>
      </w:hyperlink>
    </w:p>
  </w:footnote>
  <w:footnote w:id="8">
    <w:p w:rsidR="00BD5379" w:rsidP="00A536C6" w14:paraId="67B998F7" w14:textId="77777777">
      <w:pPr>
        <w:pStyle w:val="FootnoteText"/>
      </w:pPr>
      <w:r>
        <w:rPr>
          <w:rStyle w:val="FootnoteReference"/>
        </w:rPr>
        <w:footnoteRef/>
      </w:r>
      <w:r>
        <w:t xml:space="preserve"> </w:t>
      </w:r>
      <w:hyperlink r:id="rId7" w:history="1">
        <w:r w:rsidRPr="00210A4A">
          <w:rPr>
            <w:rStyle w:val="Hyperlink"/>
          </w:rPr>
          <w:t>https://www.federalregister.gov/documents/2010/01/05/E9-30662/pacific-halibut-fisheries-limited-access-for-guided-sport-charter-vessels-in-alaska</w:t>
        </w:r>
      </w:hyperlink>
    </w:p>
  </w:footnote>
  <w:footnote w:id="9">
    <w:p w:rsidR="00BD5379" w14:paraId="562E1904" w14:textId="77777777">
      <w:pPr>
        <w:pStyle w:val="FootnoteText"/>
      </w:pPr>
      <w:r>
        <w:rPr>
          <w:rStyle w:val="FootnoteReference"/>
        </w:rPr>
        <w:footnoteRef/>
      </w:r>
      <w:r>
        <w:t xml:space="preserve"> </w:t>
      </w:r>
      <w:hyperlink r:id="rId8" w:history="1">
        <w:r w:rsidRPr="00354B2B">
          <w:rPr>
            <w:rStyle w:val="Hyperlink"/>
          </w:rPr>
          <w:t>https://www.federalregister.gov/documents/2010/01/12/2010-389/pacific-halibut-fisheries-limited-access-for-guided-sport-charter-vessels-in-alaska</w:t>
        </w:r>
      </w:hyperlink>
    </w:p>
  </w:footnote>
  <w:footnote w:id="10">
    <w:p w:rsidR="00BD5379" w:rsidP="00A536C6" w14:paraId="41828DC3" w14:textId="77777777">
      <w:pPr>
        <w:pStyle w:val="FootnoteText"/>
      </w:pPr>
      <w:r>
        <w:rPr>
          <w:rStyle w:val="FootnoteReference"/>
        </w:rPr>
        <w:footnoteRef/>
      </w:r>
      <w:r>
        <w:t xml:space="preserve"> </w:t>
      </w:r>
      <w:hyperlink r:id="rId9" w:history="1">
        <w:r w:rsidRPr="00210A4A">
          <w:rPr>
            <w:rStyle w:val="Hyperlink"/>
          </w:rPr>
          <w:t>https://www.federalregister.gov/documents/2013/12/12/2013-29598/pacific-halibut-fisheries-catch-sharing-plan-for-guided-sport-and-commercial-fisheries-in-alaska</w:t>
        </w:r>
      </w:hyperlink>
    </w:p>
  </w:footnote>
  <w:footnote w:id="11">
    <w:p w:rsidR="00BD5379" w:rsidP="005B4000" w14:paraId="48854D7A" w14:textId="77777777">
      <w:pPr>
        <w:pStyle w:val="FootnoteText"/>
      </w:pPr>
      <w:r>
        <w:rPr>
          <w:rStyle w:val="FootnoteReference"/>
        </w:rPr>
        <w:footnoteRef/>
      </w:r>
      <w:r>
        <w:t xml:space="preserve"> </w:t>
      </w:r>
      <w:hyperlink r:id="rId10" w:history="1">
        <w:r w:rsidRPr="003D0A14">
          <w:rPr>
            <w:rStyle w:val="Hyperlink"/>
          </w:rPr>
          <w:t>https://www.federalregister.gov/documents/2018/09/21/2018-20410/fisheries-of-the-exclusive-economic-zone-off-alaska-authorize-recreational-quota-entity-to</w:t>
        </w:r>
      </w:hyperlink>
    </w:p>
  </w:footnote>
  <w:footnote w:id="12">
    <w:p w:rsidR="00BD5379" w14:paraId="3CFA20C8" w14:textId="77777777">
      <w:pPr>
        <w:pStyle w:val="FootnoteText"/>
      </w:pPr>
      <w:r>
        <w:rPr>
          <w:rStyle w:val="FootnoteReference"/>
        </w:rPr>
        <w:footnoteRef/>
      </w:r>
      <w:r>
        <w:t xml:space="preserve"> </w:t>
      </w:r>
      <w:hyperlink r:id="rId11" w:history="1">
        <w:r w:rsidRPr="007664A4">
          <w:rPr>
            <w:rStyle w:val="Hyperlink"/>
          </w:rPr>
          <w:t>https://www.congress.gov/bill/117th-congress/house-bill/2617/text</w:t>
        </w:r>
      </w:hyperlink>
    </w:p>
  </w:footnote>
  <w:footnote w:id="13">
    <w:p w:rsidR="00BD5379" w14:paraId="62C85BDD" w14:textId="77777777">
      <w:pPr>
        <w:pStyle w:val="FootnoteText"/>
      </w:pPr>
      <w:r>
        <w:rPr>
          <w:rStyle w:val="FootnoteReference"/>
        </w:rPr>
        <w:footnoteRef/>
      </w:r>
      <w:r>
        <w:t xml:space="preserve"> </w:t>
      </w:r>
      <w:hyperlink r:id="rId12" w:history="1">
        <w:r w:rsidRPr="002F5557">
          <w:rPr>
            <w:rStyle w:val="Hyperlink"/>
          </w:rPr>
          <w:t>https://www.fisheries.noaa.gov/national/rules-regulations/appeals</w:t>
        </w:r>
      </w:hyperlink>
    </w:p>
  </w:footnote>
  <w:footnote w:id="14">
    <w:p w:rsidR="00BD5379" w14:paraId="46AF56AE" w14:textId="7F118715">
      <w:pPr>
        <w:pStyle w:val="FootnoteText"/>
      </w:pPr>
      <w:r>
        <w:rPr>
          <w:rStyle w:val="FootnoteReference"/>
        </w:rPr>
        <w:footnoteRef/>
      </w:r>
      <w:r>
        <w:t xml:space="preserve"> </w:t>
      </w:r>
      <w:hyperlink r:id="rId13" w:history="1">
        <w:r w:rsidRPr="006D5497">
          <w:rPr>
            <w:rStyle w:val="Hyperlink"/>
          </w:rPr>
          <w:t>https://www.federalregister.gov/documents/2024/10/31/2024-25229/fisheries-of-the-exclusive-economic-zone-off-alaska-pacific-halibut-recreational-quota-entity</w:t>
        </w:r>
      </w:hyperlink>
    </w:p>
  </w:footnote>
  <w:footnote w:id="15">
    <w:p w:rsidR="00BD5379" w14:paraId="326E4A9C" w14:textId="77777777">
      <w:pPr>
        <w:pStyle w:val="FootnoteText"/>
      </w:pPr>
      <w:r>
        <w:rPr>
          <w:rStyle w:val="FootnoteReference"/>
        </w:rPr>
        <w:footnoteRef/>
      </w:r>
      <w:r>
        <w:t xml:space="preserve"> </w:t>
      </w:r>
      <w:hyperlink r:id="rId14" w:history="1">
        <w:r w:rsidRPr="00DB0DF5">
          <w:rPr>
            <w:rStyle w:val="Hyperlink"/>
          </w:rPr>
          <w:t>https://www.commerce.gov/opog/privacy-privacy-act/system-records-notices/system-records-notices-commerce-noaa-6</w:t>
        </w:r>
      </w:hyperlink>
    </w:p>
  </w:footnote>
  <w:footnote w:id="16">
    <w:p w:rsidR="00BD5379" w:rsidP="00FB4224" w14:paraId="4C3112D8" w14:textId="77777777">
      <w:pPr>
        <w:pStyle w:val="FootnoteText"/>
      </w:pPr>
      <w:r>
        <w:rPr>
          <w:rStyle w:val="FootnoteReference"/>
        </w:rPr>
        <w:footnoteRef/>
      </w:r>
      <w:r>
        <w:t xml:space="preserve"> </w:t>
      </w:r>
      <w:hyperlink r:id="rId15" w:history="1">
        <w:r w:rsidRPr="00DB0DF5">
          <w:rPr>
            <w:rStyle w:val="Hyperlink"/>
          </w:rPr>
          <w:t>https://www.commerce.gov/opog/privacy-privacy-act/system-records-notices/system-records-notices-commerce-noaa-19</w:t>
        </w:r>
      </w:hyperlink>
    </w:p>
  </w:footnote>
  <w:footnote w:id="17">
    <w:p w:rsidR="00BD5379" w14:paraId="11ACCFF3" w14:textId="77777777">
      <w:pPr>
        <w:pStyle w:val="FootnoteText"/>
      </w:pPr>
      <w:r>
        <w:rPr>
          <w:rStyle w:val="FootnoteReference"/>
        </w:rPr>
        <w:footnoteRef/>
      </w:r>
      <w:r>
        <w:t xml:space="preserve"> </w:t>
      </w:r>
      <w:hyperlink r:id="rId16" w:history="1">
        <w:r w:rsidRPr="00DB0DF5">
          <w:rPr>
            <w:rStyle w:val="Hyperlink"/>
          </w:rPr>
          <w:t>https://www.commerce.gov/sites/default/files/2024-03/NOAA4700-PIA-FY24_SAOP_Approved_Delegated.pdf</w:t>
        </w:r>
      </w:hyperlink>
    </w:p>
  </w:footnote>
  <w:footnote w:id="18">
    <w:p w:rsidR="00BD5379" w:rsidP="00611D3D" w14:paraId="1DD728FF" w14:textId="77777777">
      <w:pPr>
        <w:pStyle w:val="FootnoteText"/>
      </w:pPr>
      <w:r>
        <w:rPr>
          <w:rStyle w:val="FootnoteReference"/>
        </w:rPr>
        <w:footnoteRef/>
      </w:r>
      <w:r>
        <w:t xml:space="preserve"> </w:t>
      </w:r>
      <w:hyperlink r:id="rId17" w:history="1">
        <w:r w:rsidRPr="00ED2615">
          <w:rPr>
            <w:rStyle w:val="Hyperlink"/>
          </w:rPr>
          <w:t>https://www.noaa.gov/organization/information-technology/policy-oversight/information-quality/information-quality-guidelines</w:t>
        </w:r>
      </w:hyperlink>
    </w:p>
  </w:footnote>
  <w:footnote w:id="19">
    <w:p w:rsidR="00BD5379" w14:paraId="2DB24AD6" w14:textId="77777777">
      <w:pPr>
        <w:pStyle w:val="FootnoteText"/>
      </w:pPr>
      <w:r>
        <w:rPr>
          <w:rStyle w:val="FootnoteReference"/>
        </w:rPr>
        <w:footnoteRef/>
      </w:r>
      <w:r>
        <w:t xml:space="preserve"> </w:t>
      </w:r>
      <w:hyperlink r:id="rId18" w:history="1">
        <w:r w:rsidRPr="00DB0DF5">
          <w:rPr>
            <w:rStyle w:val="Hyperlink"/>
          </w:rPr>
          <w:t>https://www.govinfo.gov/content/pkg/CFR-2014-title5-vol3/pdf/CFR-2014-title5-vol3-sec1320-9.pdf</w:t>
        </w:r>
      </w:hyperlink>
    </w:p>
  </w:footnote>
  <w:footnote w:id="20">
    <w:p w:rsidR="00BD5379" w14:paraId="2BEDB801" w14:textId="77777777">
      <w:pPr>
        <w:pStyle w:val="FootnoteText"/>
      </w:pPr>
      <w:r>
        <w:rPr>
          <w:rStyle w:val="FootnoteReference"/>
        </w:rPr>
        <w:footnoteRef/>
      </w:r>
      <w:r>
        <w:t xml:space="preserve"> </w:t>
      </w:r>
      <w:hyperlink r:id="rId19" w:history="1">
        <w:r w:rsidRPr="00DB0DF5">
          <w:rPr>
            <w:rStyle w:val="Hyperlink"/>
          </w:rPr>
          <w:t>https://www.govinfo.gov/content/pkg/CFR-2014-title5-vol3/pdf/CFR-2014-title5-vol3-sec1320-8.pdf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7965A4"/>
    <w:multiLevelType w:val="multilevel"/>
    <w:tmpl w:val="FC5055D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
    <w:nsid w:val="11B62852"/>
    <w:multiLevelType w:val="multilevel"/>
    <w:tmpl w:val="1406A44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D2F3C15"/>
    <w:multiLevelType w:val="multilevel"/>
    <w:tmpl w:val="81C879F8"/>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1E94557F"/>
    <w:multiLevelType w:val="hybridMultilevel"/>
    <w:tmpl w:val="5E208934"/>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DA22FE"/>
    <w:multiLevelType w:val="hybridMultilevel"/>
    <w:tmpl w:val="6728F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B85EAB"/>
    <w:multiLevelType w:val="hybridMultilevel"/>
    <w:tmpl w:val="1DB29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BC42B1"/>
    <w:multiLevelType w:val="multilevel"/>
    <w:tmpl w:val="A07AEDA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323B2E80"/>
    <w:multiLevelType w:val="multilevel"/>
    <w:tmpl w:val="262CAAE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39925483"/>
    <w:multiLevelType w:val="hybridMultilevel"/>
    <w:tmpl w:val="E230F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9E420A"/>
    <w:multiLevelType w:val="multilevel"/>
    <w:tmpl w:val="52BEC2A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51922435"/>
    <w:multiLevelType w:val="hybridMultilevel"/>
    <w:tmpl w:val="0922A5A8"/>
    <w:lvl w:ilvl="0">
      <w:start w:val="1"/>
      <w:numFmt w:val="decimal"/>
      <w:lvlText w:val="%1)"/>
      <w:lvlJc w:val="left"/>
      <w:pPr>
        <w:ind w:left="776" w:hanging="360"/>
      </w:pPr>
      <w:rPr>
        <w:rFonts w:hint="default"/>
      </w:rPr>
    </w:lvl>
    <w:lvl w:ilvl="1" w:tentative="1">
      <w:start w:val="1"/>
      <w:numFmt w:val="lowerLetter"/>
      <w:lvlText w:val="%2."/>
      <w:lvlJc w:val="left"/>
      <w:pPr>
        <w:ind w:left="1496" w:hanging="360"/>
      </w:pPr>
    </w:lvl>
    <w:lvl w:ilvl="2" w:tentative="1">
      <w:start w:val="1"/>
      <w:numFmt w:val="lowerRoman"/>
      <w:lvlText w:val="%3."/>
      <w:lvlJc w:val="right"/>
      <w:pPr>
        <w:ind w:left="2216" w:hanging="180"/>
      </w:pPr>
    </w:lvl>
    <w:lvl w:ilvl="3" w:tentative="1">
      <w:start w:val="1"/>
      <w:numFmt w:val="decimal"/>
      <w:lvlText w:val="%4."/>
      <w:lvlJc w:val="left"/>
      <w:pPr>
        <w:ind w:left="2936" w:hanging="360"/>
      </w:pPr>
    </w:lvl>
    <w:lvl w:ilvl="4" w:tentative="1">
      <w:start w:val="1"/>
      <w:numFmt w:val="lowerLetter"/>
      <w:lvlText w:val="%5."/>
      <w:lvlJc w:val="left"/>
      <w:pPr>
        <w:ind w:left="3656" w:hanging="360"/>
      </w:pPr>
    </w:lvl>
    <w:lvl w:ilvl="5" w:tentative="1">
      <w:start w:val="1"/>
      <w:numFmt w:val="lowerRoman"/>
      <w:lvlText w:val="%6."/>
      <w:lvlJc w:val="right"/>
      <w:pPr>
        <w:ind w:left="4376" w:hanging="180"/>
      </w:pPr>
    </w:lvl>
    <w:lvl w:ilvl="6" w:tentative="1">
      <w:start w:val="1"/>
      <w:numFmt w:val="decimal"/>
      <w:lvlText w:val="%7."/>
      <w:lvlJc w:val="left"/>
      <w:pPr>
        <w:ind w:left="5096" w:hanging="360"/>
      </w:pPr>
    </w:lvl>
    <w:lvl w:ilvl="7" w:tentative="1">
      <w:start w:val="1"/>
      <w:numFmt w:val="lowerLetter"/>
      <w:lvlText w:val="%8."/>
      <w:lvlJc w:val="left"/>
      <w:pPr>
        <w:ind w:left="5816" w:hanging="360"/>
      </w:pPr>
    </w:lvl>
    <w:lvl w:ilvl="8" w:tentative="1">
      <w:start w:val="1"/>
      <w:numFmt w:val="lowerRoman"/>
      <w:lvlText w:val="%9."/>
      <w:lvlJc w:val="right"/>
      <w:pPr>
        <w:ind w:left="6536" w:hanging="180"/>
      </w:pPr>
    </w:lvl>
  </w:abstractNum>
  <w:abstractNum w:abstractNumId="14">
    <w:nsid w:val="52B07928"/>
    <w:multiLevelType w:val="multilevel"/>
    <w:tmpl w:val="932A5E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nsid w:val="53940FDA"/>
    <w:multiLevelType w:val="hybridMultilevel"/>
    <w:tmpl w:val="7E02A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EB4905"/>
    <w:multiLevelType w:val="hybridMultilevel"/>
    <w:tmpl w:val="14788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250C03"/>
    <w:multiLevelType w:val="hybridMultilevel"/>
    <w:tmpl w:val="DE700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1E1717"/>
    <w:multiLevelType w:val="multilevel"/>
    <w:tmpl w:val="034A6F4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9">
    <w:nsid w:val="635D2623"/>
    <w:multiLevelType w:val="multilevel"/>
    <w:tmpl w:val="9CC49D6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0">
    <w:nsid w:val="6729507A"/>
    <w:multiLevelType w:val="multilevel"/>
    <w:tmpl w:val="35E88F4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1">
    <w:nsid w:val="6F9E58BC"/>
    <w:multiLevelType w:val="multilevel"/>
    <w:tmpl w:val="D688C85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2">
    <w:nsid w:val="74134C92"/>
    <w:multiLevelType w:val="hybridMultilevel"/>
    <w:tmpl w:val="C08A0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0165B1"/>
    <w:multiLevelType w:val="multilevel"/>
    <w:tmpl w:val="81C879F8"/>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24">
    <w:nsid w:val="75435B3A"/>
    <w:multiLevelType w:val="multilevel"/>
    <w:tmpl w:val="F32A3FA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5">
    <w:nsid w:val="75C54B0B"/>
    <w:multiLevelType w:val="multilevel"/>
    <w:tmpl w:val="67CA4E0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6">
    <w:nsid w:val="79BC66FF"/>
    <w:multiLevelType w:val="hybridMultilevel"/>
    <w:tmpl w:val="01BCD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3"/>
  </w:num>
  <w:num w:numId="4">
    <w:abstractNumId w:val="14"/>
  </w:num>
  <w:num w:numId="5">
    <w:abstractNumId w:val="8"/>
  </w:num>
  <w:num w:numId="6">
    <w:abstractNumId w:val="21"/>
  </w:num>
  <w:num w:numId="7">
    <w:abstractNumId w:val="11"/>
  </w:num>
  <w:num w:numId="8">
    <w:abstractNumId w:val="24"/>
  </w:num>
  <w:num w:numId="9">
    <w:abstractNumId w:val="0"/>
  </w:num>
  <w:num w:numId="10">
    <w:abstractNumId w:val="20"/>
  </w:num>
  <w:num w:numId="11">
    <w:abstractNumId w:val="1"/>
  </w:num>
  <w:num w:numId="12">
    <w:abstractNumId w:val="4"/>
  </w:num>
  <w:num w:numId="13">
    <w:abstractNumId w:val="22"/>
  </w:num>
  <w:num w:numId="14">
    <w:abstractNumId w:val="17"/>
  </w:num>
  <w:num w:numId="15">
    <w:abstractNumId w:val="12"/>
  </w:num>
  <w:num w:numId="16">
    <w:abstractNumId w:val="2"/>
  </w:num>
  <w:num w:numId="17">
    <w:abstractNumId w:val="15"/>
  </w:num>
  <w:num w:numId="18">
    <w:abstractNumId w:val="13"/>
  </w:num>
  <w:num w:numId="19">
    <w:abstractNumId w:val="18"/>
  </w:num>
  <w:num w:numId="20">
    <w:abstractNumId w:val="10"/>
  </w:num>
  <w:num w:numId="21">
    <w:abstractNumId w:val="3"/>
  </w:num>
  <w:num w:numId="22">
    <w:abstractNumId w:val="16"/>
  </w:num>
  <w:num w:numId="23">
    <w:abstractNumId w:val="7"/>
  </w:num>
  <w:num w:numId="24">
    <w:abstractNumId w:val="26"/>
  </w:num>
  <w:num w:numId="25">
    <w:abstractNumId w:val="19"/>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85"/>
    <w:rsid w:val="000022EA"/>
    <w:rsid w:val="00004CFE"/>
    <w:rsid w:val="00015A06"/>
    <w:rsid w:val="00023149"/>
    <w:rsid w:val="00025730"/>
    <w:rsid w:val="00026790"/>
    <w:rsid w:val="0003267E"/>
    <w:rsid w:val="00035BA0"/>
    <w:rsid w:val="00036A35"/>
    <w:rsid w:val="00041148"/>
    <w:rsid w:val="000411F4"/>
    <w:rsid w:val="00044336"/>
    <w:rsid w:val="00050CAB"/>
    <w:rsid w:val="00064964"/>
    <w:rsid w:val="00066CDD"/>
    <w:rsid w:val="000673CE"/>
    <w:rsid w:val="00072566"/>
    <w:rsid w:val="00087150"/>
    <w:rsid w:val="00090983"/>
    <w:rsid w:val="00093DA9"/>
    <w:rsid w:val="000962C3"/>
    <w:rsid w:val="000A2824"/>
    <w:rsid w:val="000A2927"/>
    <w:rsid w:val="000A38E8"/>
    <w:rsid w:val="000A53BE"/>
    <w:rsid w:val="000A55A1"/>
    <w:rsid w:val="000B5B89"/>
    <w:rsid w:val="000B6148"/>
    <w:rsid w:val="000B7170"/>
    <w:rsid w:val="000C0845"/>
    <w:rsid w:val="000C551A"/>
    <w:rsid w:val="000C75D3"/>
    <w:rsid w:val="000D0A11"/>
    <w:rsid w:val="000D32EC"/>
    <w:rsid w:val="000D57DA"/>
    <w:rsid w:val="000D6213"/>
    <w:rsid w:val="000E0555"/>
    <w:rsid w:val="000E216D"/>
    <w:rsid w:val="000E6278"/>
    <w:rsid w:val="000E69AD"/>
    <w:rsid w:val="000F06EC"/>
    <w:rsid w:val="000F33F3"/>
    <w:rsid w:val="000F49D9"/>
    <w:rsid w:val="000F5741"/>
    <w:rsid w:val="000F666F"/>
    <w:rsid w:val="00100997"/>
    <w:rsid w:val="001028BA"/>
    <w:rsid w:val="00106C47"/>
    <w:rsid w:val="0010751D"/>
    <w:rsid w:val="00113B4D"/>
    <w:rsid w:val="00117433"/>
    <w:rsid w:val="00130776"/>
    <w:rsid w:val="00136B2E"/>
    <w:rsid w:val="00140A5F"/>
    <w:rsid w:val="00145467"/>
    <w:rsid w:val="00145783"/>
    <w:rsid w:val="00145998"/>
    <w:rsid w:val="00152701"/>
    <w:rsid w:val="00154F79"/>
    <w:rsid w:val="00160D03"/>
    <w:rsid w:val="0017051D"/>
    <w:rsid w:val="00170DD7"/>
    <w:rsid w:val="001726C2"/>
    <w:rsid w:val="00175A72"/>
    <w:rsid w:val="00180C5A"/>
    <w:rsid w:val="00181544"/>
    <w:rsid w:val="001835BB"/>
    <w:rsid w:val="00183A86"/>
    <w:rsid w:val="00186A0F"/>
    <w:rsid w:val="00194C45"/>
    <w:rsid w:val="001A689D"/>
    <w:rsid w:val="001A71A0"/>
    <w:rsid w:val="001A7A55"/>
    <w:rsid w:val="001B6231"/>
    <w:rsid w:val="001B7629"/>
    <w:rsid w:val="001C4B22"/>
    <w:rsid w:val="001D5706"/>
    <w:rsid w:val="001D65E8"/>
    <w:rsid w:val="001E533C"/>
    <w:rsid w:val="001F491E"/>
    <w:rsid w:val="001F6DC7"/>
    <w:rsid w:val="002012E6"/>
    <w:rsid w:val="00202C49"/>
    <w:rsid w:val="00204A08"/>
    <w:rsid w:val="00210A4A"/>
    <w:rsid w:val="00216EC8"/>
    <w:rsid w:val="00221E77"/>
    <w:rsid w:val="00224847"/>
    <w:rsid w:val="00230825"/>
    <w:rsid w:val="002313FD"/>
    <w:rsid w:val="00231A95"/>
    <w:rsid w:val="00232F10"/>
    <w:rsid w:val="00240772"/>
    <w:rsid w:val="00242121"/>
    <w:rsid w:val="00242ADD"/>
    <w:rsid w:val="002442B4"/>
    <w:rsid w:val="00245872"/>
    <w:rsid w:val="002458B3"/>
    <w:rsid w:val="00251686"/>
    <w:rsid w:val="00251AC9"/>
    <w:rsid w:val="00252DBF"/>
    <w:rsid w:val="00253251"/>
    <w:rsid w:val="00257647"/>
    <w:rsid w:val="002650EA"/>
    <w:rsid w:val="002666A4"/>
    <w:rsid w:val="00267DB7"/>
    <w:rsid w:val="002712A9"/>
    <w:rsid w:val="002810AF"/>
    <w:rsid w:val="00283C4A"/>
    <w:rsid w:val="00285111"/>
    <w:rsid w:val="00285688"/>
    <w:rsid w:val="00286F69"/>
    <w:rsid w:val="00287801"/>
    <w:rsid w:val="00290A82"/>
    <w:rsid w:val="002928CE"/>
    <w:rsid w:val="00294633"/>
    <w:rsid w:val="002A2A71"/>
    <w:rsid w:val="002A356E"/>
    <w:rsid w:val="002A55EB"/>
    <w:rsid w:val="002A5D00"/>
    <w:rsid w:val="002A7113"/>
    <w:rsid w:val="002B30C9"/>
    <w:rsid w:val="002C19B2"/>
    <w:rsid w:val="002C69B7"/>
    <w:rsid w:val="002D636A"/>
    <w:rsid w:val="002D6D16"/>
    <w:rsid w:val="002E000D"/>
    <w:rsid w:val="002E2D53"/>
    <w:rsid w:val="002E5A78"/>
    <w:rsid w:val="002E6722"/>
    <w:rsid w:val="002E7184"/>
    <w:rsid w:val="002F2856"/>
    <w:rsid w:val="002F2F2C"/>
    <w:rsid w:val="002F5557"/>
    <w:rsid w:val="002F6485"/>
    <w:rsid w:val="00302F33"/>
    <w:rsid w:val="00310131"/>
    <w:rsid w:val="003137A8"/>
    <w:rsid w:val="003210A1"/>
    <w:rsid w:val="003272F2"/>
    <w:rsid w:val="00327C38"/>
    <w:rsid w:val="00335BF8"/>
    <w:rsid w:val="00336812"/>
    <w:rsid w:val="003415C5"/>
    <w:rsid w:val="00343FFB"/>
    <w:rsid w:val="003458EF"/>
    <w:rsid w:val="003507E1"/>
    <w:rsid w:val="00351004"/>
    <w:rsid w:val="003519A3"/>
    <w:rsid w:val="003536F8"/>
    <w:rsid w:val="00353B0B"/>
    <w:rsid w:val="00354B2B"/>
    <w:rsid w:val="003559BB"/>
    <w:rsid w:val="003564A2"/>
    <w:rsid w:val="00364CC1"/>
    <w:rsid w:val="0036745B"/>
    <w:rsid w:val="00370B85"/>
    <w:rsid w:val="003726AD"/>
    <w:rsid w:val="00375CED"/>
    <w:rsid w:val="003805E9"/>
    <w:rsid w:val="00380FCF"/>
    <w:rsid w:val="00386A61"/>
    <w:rsid w:val="0039015C"/>
    <w:rsid w:val="00390FA1"/>
    <w:rsid w:val="0039499C"/>
    <w:rsid w:val="003A0DFB"/>
    <w:rsid w:val="003A1D62"/>
    <w:rsid w:val="003A5586"/>
    <w:rsid w:val="003B2EDA"/>
    <w:rsid w:val="003C44B0"/>
    <w:rsid w:val="003C4BC5"/>
    <w:rsid w:val="003D012A"/>
    <w:rsid w:val="003D0A14"/>
    <w:rsid w:val="003D0C39"/>
    <w:rsid w:val="003D6DA0"/>
    <w:rsid w:val="003D79FB"/>
    <w:rsid w:val="003E6A27"/>
    <w:rsid w:val="003E74A2"/>
    <w:rsid w:val="003F42B0"/>
    <w:rsid w:val="003F5C8E"/>
    <w:rsid w:val="003F63DE"/>
    <w:rsid w:val="003F6C0E"/>
    <w:rsid w:val="00403BFE"/>
    <w:rsid w:val="00406553"/>
    <w:rsid w:val="004109A6"/>
    <w:rsid w:val="00410EE0"/>
    <w:rsid w:val="004207D8"/>
    <w:rsid w:val="00420827"/>
    <w:rsid w:val="0042168D"/>
    <w:rsid w:val="00422EC0"/>
    <w:rsid w:val="00427333"/>
    <w:rsid w:val="00427575"/>
    <w:rsid w:val="00434152"/>
    <w:rsid w:val="00434D67"/>
    <w:rsid w:val="00435B0B"/>
    <w:rsid w:val="004366FD"/>
    <w:rsid w:val="0044481D"/>
    <w:rsid w:val="00450234"/>
    <w:rsid w:val="00454378"/>
    <w:rsid w:val="00456A93"/>
    <w:rsid w:val="004609A4"/>
    <w:rsid w:val="00460B6A"/>
    <w:rsid w:val="0046354C"/>
    <w:rsid w:val="004720EA"/>
    <w:rsid w:val="00473984"/>
    <w:rsid w:val="00484C63"/>
    <w:rsid w:val="0048603B"/>
    <w:rsid w:val="0049211F"/>
    <w:rsid w:val="00493AD3"/>
    <w:rsid w:val="004A2CE2"/>
    <w:rsid w:val="004B2ECF"/>
    <w:rsid w:val="004B3EC9"/>
    <w:rsid w:val="004B4974"/>
    <w:rsid w:val="004B4EDD"/>
    <w:rsid w:val="004C4232"/>
    <w:rsid w:val="004C527D"/>
    <w:rsid w:val="004C660D"/>
    <w:rsid w:val="004C6AB5"/>
    <w:rsid w:val="004D11A2"/>
    <w:rsid w:val="004D40DD"/>
    <w:rsid w:val="004D4D29"/>
    <w:rsid w:val="004E50B7"/>
    <w:rsid w:val="004E774A"/>
    <w:rsid w:val="004F2783"/>
    <w:rsid w:val="004F6BFD"/>
    <w:rsid w:val="00500853"/>
    <w:rsid w:val="00502CFB"/>
    <w:rsid w:val="00504A3E"/>
    <w:rsid w:val="005068E5"/>
    <w:rsid w:val="00506C74"/>
    <w:rsid w:val="00513A79"/>
    <w:rsid w:val="005149DB"/>
    <w:rsid w:val="0051584D"/>
    <w:rsid w:val="00521F8E"/>
    <w:rsid w:val="00525C2D"/>
    <w:rsid w:val="00545886"/>
    <w:rsid w:val="00547289"/>
    <w:rsid w:val="00553F13"/>
    <w:rsid w:val="00563938"/>
    <w:rsid w:val="00565B66"/>
    <w:rsid w:val="00565D66"/>
    <w:rsid w:val="00566680"/>
    <w:rsid w:val="00566A4B"/>
    <w:rsid w:val="00567532"/>
    <w:rsid w:val="00572CD9"/>
    <w:rsid w:val="00576729"/>
    <w:rsid w:val="00577E5D"/>
    <w:rsid w:val="00581777"/>
    <w:rsid w:val="0058513C"/>
    <w:rsid w:val="00585AF2"/>
    <w:rsid w:val="00586567"/>
    <w:rsid w:val="00590035"/>
    <w:rsid w:val="00590322"/>
    <w:rsid w:val="00593C0B"/>
    <w:rsid w:val="0059431E"/>
    <w:rsid w:val="005948C6"/>
    <w:rsid w:val="005A2290"/>
    <w:rsid w:val="005B02CC"/>
    <w:rsid w:val="005B171C"/>
    <w:rsid w:val="005B20E7"/>
    <w:rsid w:val="005B4000"/>
    <w:rsid w:val="005B470A"/>
    <w:rsid w:val="005B5ECB"/>
    <w:rsid w:val="005D135C"/>
    <w:rsid w:val="005D1FEC"/>
    <w:rsid w:val="005D75E5"/>
    <w:rsid w:val="005E268B"/>
    <w:rsid w:val="005E684A"/>
    <w:rsid w:val="005F1AF7"/>
    <w:rsid w:val="005F1B10"/>
    <w:rsid w:val="005F629D"/>
    <w:rsid w:val="00603E5C"/>
    <w:rsid w:val="00611D3D"/>
    <w:rsid w:val="00613516"/>
    <w:rsid w:val="0061436F"/>
    <w:rsid w:val="00617AD5"/>
    <w:rsid w:val="00622253"/>
    <w:rsid w:val="00632AA7"/>
    <w:rsid w:val="00636322"/>
    <w:rsid w:val="00640801"/>
    <w:rsid w:val="00653CA5"/>
    <w:rsid w:val="006563F2"/>
    <w:rsid w:val="0066387C"/>
    <w:rsid w:val="0067020D"/>
    <w:rsid w:val="00671D0D"/>
    <w:rsid w:val="00673D51"/>
    <w:rsid w:val="00674E37"/>
    <w:rsid w:val="006756A4"/>
    <w:rsid w:val="00675A35"/>
    <w:rsid w:val="00680824"/>
    <w:rsid w:val="00684AE8"/>
    <w:rsid w:val="00686AF7"/>
    <w:rsid w:val="00687819"/>
    <w:rsid w:val="006913B3"/>
    <w:rsid w:val="0069153B"/>
    <w:rsid w:val="00692211"/>
    <w:rsid w:val="0069505F"/>
    <w:rsid w:val="006A11F1"/>
    <w:rsid w:val="006A1517"/>
    <w:rsid w:val="006A15DC"/>
    <w:rsid w:val="006A2678"/>
    <w:rsid w:val="006A48C3"/>
    <w:rsid w:val="006C25A5"/>
    <w:rsid w:val="006D5497"/>
    <w:rsid w:val="006D6074"/>
    <w:rsid w:val="006E1A2D"/>
    <w:rsid w:val="006F4747"/>
    <w:rsid w:val="00705785"/>
    <w:rsid w:val="00706160"/>
    <w:rsid w:val="007073FB"/>
    <w:rsid w:val="007074FD"/>
    <w:rsid w:val="00710A01"/>
    <w:rsid w:val="00716269"/>
    <w:rsid w:val="0072050B"/>
    <w:rsid w:val="00722E3C"/>
    <w:rsid w:val="00725D1D"/>
    <w:rsid w:val="007268F1"/>
    <w:rsid w:val="007323E3"/>
    <w:rsid w:val="0073413A"/>
    <w:rsid w:val="00734DB8"/>
    <w:rsid w:val="00745CF1"/>
    <w:rsid w:val="007506B4"/>
    <w:rsid w:val="00761B71"/>
    <w:rsid w:val="00765E3A"/>
    <w:rsid w:val="007664A4"/>
    <w:rsid w:val="00771BF3"/>
    <w:rsid w:val="00773353"/>
    <w:rsid w:val="00782940"/>
    <w:rsid w:val="00790FE9"/>
    <w:rsid w:val="007946A0"/>
    <w:rsid w:val="007A0166"/>
    <w:rsid w:val="007A021C"/>
    <w:rsid w:val="007A6493"/>
    <w:rsid w:val="007B2B06"/>
    <w:rsid w:val="007B5EA9"/>
    <w:rsid w:val="007D49F5"/>
    <w:rsid w:val="007D56A7"/>
    <w:rsid w:val="007E1D69"/>
    <w:rsid w:val="007E7169"/>
    <w:rsid w:val="007F0470"/>
    <w:rsid w:val="00801B34"/>
    <w:rsid w:val="00812043"/>
    <w:rsid w:val="00816F9C"/>
    <w:rsid w:val="0081705F"/>
    <w:rsid w:val="00821B1C"/>
    <w:rsid w:val="008237A5"/>
    <w:rsid w:val="00831D50"/>
    <w:rsid w:val="00833403"/>
    <w:rsid w:val="008403ED"/>
    <w:rsid w:val="00840FCC"/>
    <w:rsid w:val="008416D6"/>
    <w:rsid w:val="00844497"/>
    <w:rsid w:val="00847177"/>
    <w:rsid w:val="008502D5"/>
    <w:rsid w:val="0085477E"/>
    <w:rsid w:val="00864BC9"/>
    <w:rsid w:val="008664DC"/>
    <w:rsid w:val="0086797E"/>
    <w:rsid w:val="00873FB8"/>
    <w:rsid w:val="008757AB"/>
    <w:rsid w:val="00875B8B"/>
    <w:rsid w:val="008764DE"/>
    <w:rsid w:val="0087757D"/>
    <w:rsid w:val="00882026"/>
    <w:rsid w:val="008864EB"/>
    <w:rsid w:val="00892BE2"/>
    <w:rsid w:val="008B0FA6"/>
    <w:rsid w:val="008B4786"/>
    <w:rsid w:val="008B57EB"/>
    <w:rsid w:val="008B68A6"/>
    <w:rsid w:val="008C788F"/>
    <w:rsid w:val="008D38BD"/>
    <w:rsid w:val="008E1426"/>
    <w:rsid w:val="008E40D4"/>
    <w:rsid w:val="008F1430"/>
    <w:rsid w:val="008F1804"/>
    <w:rsid w:val="008F471C"/>
    <w:rsid w:val="008F63A0"/>
    <w:rsid w:val="008F7FBF"/>
    <w:rsid w:val="0090635B"/>
    <w:rsid w:val="00906B83"/>
    <w:rsid w:val="00907F2D"/>
    <w:rsid w:val="009102A5"/>
    <w:rsid w:val="00912E33"/>
    <w:rsid w:val="009169C2"/>
    <w:rsid w:val="009171D4"/>
    <w:rsid w:val="00921225"/>
    <w:rsid w:val="0093306C"/>
    <w:rsid w:val="0093472D"/>
    <w:rsid w:val="00940A9C"/>
    <w:rsid w:val="00952C15"/>
    <w:rsid w:val="00953E76"/>
    <w:rsid w:val="00954E13"/>
    <w:rsid w:val="0095610F"/>
    <w:rsid w:val="00963D35"/>
    <w:rsid w:val="0096460D"/>
    <w:rsid w:val="00966907"/>
    <w:rsid w:val="009671D0"/>
    <w:rsid w:val="009729FA"/>
    <w:rsid w:val="00981185"/>
    <w:rsid w:val="009824C6"/>
    <w:rsid w:val="009847A5"/>
    <w:rsid w:val="009914E5"/>
    <w:rsid w:val="00993D3D"/>
    <w:rsid w:val="00993E3C"/>
    <w:rsid w:val="009A2826"/>
    <w:rsid w:val="009A3527"/>
    <w:rsid w:val="009A65AB"/>
    <w:rsid w:val="009B309E"/>
    <w:rsid w:val="009C2C65"/>
    <w:rsid w:val="009D1BB8"/>
    <w:rsid w:val="009D226E"/>
    <w:rsid w:val="009D53EC"/>
    <w:rsid w:val="009E15F3"/>
    <w:rsid w:val="009E3D0E"/>
    <w:rsid w:val="009E71A1"/>
    <w:rsid w:val="009E7DC1"/>
    <w:rsid w:val="009F1103"/>
    <w:rsid w:val="009F18EF"/>
    <w:rsid w:val="009F49FB"/>
    <w:rsid w:val="009F7B65"/>
    <w:rsid w:val="00A02157"/>
    <w:rsid w:val="00A11B9A"/>
    <w:rsid w:val="00A122EB"/>
    <w:rsid w:val="00A133C8"/>
    <w:rsid w:val="00A1520F"/>
    <w:rsid w:val="00A15AEC"/>
    <w:rsid w:val="00A172A6"/>
    <w:rsid w:val="00A17B12"/>
    <w:rsid w:val="00A26CB6"/>
    <w:rsid w:val="00A3267E"/>
    <w:rsid w:val="00A4481D"/>
    <w:rsid w:val="00A51B6B"/>
    <w:rsid w:val="00A536C6"/>
    <w:rsid w:val="00A538B1"/>
    <w:rsid w:val="00A65BA9"/>
    <w:rsid w:val="00A71EC4"/>
    <w:rsid w:val="00A77E68"/>
    <w:rsid w:val="00A80ED2"/>
    <w:rsid w:val="00A8312B"/>
    <w:rsid w:val="00A838F9"/>
    <w:rsid w:val="00AA25A6"/>
    <w:rsid w:val="00AB73AF"/>
    <w:rsid w:val="00AC1977"/>
    <w:rsid w:val="00AC7225"/>
    <w:rsid w:val="00AD4A7A"/>
    <w:rsid w:val="00AD589C"/>
    <w:rsid w:val="00AE0086"/>
    <w:rsid w:val="00AE35AF"/>
    <w:rsid w:val="00AE704B"/>
    <w:rsid w:val="00AF1CA7"/>
    <w:rsid w:val="00B05D91"/>
    <w:rsid w:val="00B22197"/>
    <w:rsid w:val="00B256A2"/>
    <w:rsid w:val="00B26309"/>
    <w:rsid w:val="00B271C2"/>
    <w:rsid w:val="00B27C02"/>
    <w:rsid w:val="00B30E6B"/>
    <w:rsid w:val="00B35A43"/>
    <w:rsid w:val="00B431BD"/>
    <w:rsid w:val="00B62573"/>
    <w:rsid w:val="00B63197"/>
    <w:rsid w:val="00B7052D"/>
    <w:rsid w:val="00B70926"/>
    <w:rsid w:val="00B71470"/>
    <w:rsid w:val="00B71536"/>
    <w:rsid w:val="00B749B8"/>
    <w:rsid w:val="00B7724B"/>
    <w:rsid w:val="00B81DEC"/>
    <w:rsid w:val="00B92B9C"/>
    <w:rsid w:val="00B92E21"/>
    <w:rsid w:val="00BA108F"/>
    <w:rsid w:val="00BA15DB"/>
    <w:rsid w:val="00BA501A"/>
    <w:rsid w:val="00BA64B2"/>
    <w:rsid w:val="00BC35C1"/>
    <w:rsid w:val="00BC4770"/>
    <w:rsid w:val="00BD0CB9"/>
    <w:rsid w:val="00BD2C59"/>
    <w:rsid w:val="00BD5379"/>
    <w:rsid w:val="00BD7EE0"/>
    <w:rsid w:val="00BD7F57"/>
    <w:rsid w:val="00BE3082"/>
    <w:rsid w:val="00BE5D51"/>
    <w:rsid w:val="00BF6CC2"/>
    <w:rsid w:val="00C0394F"/>
    <w:rsid w:val="00C0738E"/>
    <w:rsid w:val="00C11880"/>
    <w:rsid w:val="00C124C3"/>
    <w:rsid w:val="00C24286"/>
    <w:rsid w:val="00C24695"/>
    <w:rsid w:val="00C2553E"/>
    <w:rsid w:val="00C27C7E"/>
    <w:rsid w:val="00C27DB5"/>
    <w:rsid w:val="00C31C3B"/>
    <w:rsid w:val="00C424AB"/>
    <w:rsid w:val="00C4301F"/>
    <w:rsid w:val="00C459B9"/>
    <w:rsid w:val="00C51EB1"/>
    <w:rsid w:val="00C53640"/>
    <w:rsid w:val="00C53916"/>
    <w:rsid w:val="00C53E02"/>
    <w:rsid w:val="00C60AB6"/>
    <w:rsid w:val="00C62132"/>
    <w:rsid w:val="00C731C8"/>
    <w:rsid w:val="00C75422"/>
    <w:rsid w:val="00C80DE1"/>
    <w:rsid w:val="00C81EDC"/>
    <w:rsid w:val="00C834D8"/>
    <w:rsid w:val="00C8529A"/>
    <w:rsid w:val="00C863A0"/>
    <w:rsid w:val="00C929DE"/>
    <w:rsid w:val="00C93546"/>
    <w:rsid w:val="00C94732"/>
    <w:rsid w:val="00C94B4F"/>
    <w:rsid w:val="00C96456"/>
    <w:rsid w:val="00CA5E66"/>
    <w:rsid w:val="00CA7FE5"/>
    <w:rsid w:val="00CB4E5E"/>
    <w:rsid w:val="00CC1929"/>
    <w:rsid w:val="00CC4A50"/>
    <w:rsid w:val="00CC7C08"/>
    <w:rsid w:val="00CE064E"/>
    <w:rsid w:val="00CE1765"/>
    <w:rsid w:val="00CE1D0A"/>
    <w:rsid w:val="00CE5730"/>
    <w:rsid w:val="00CF2B26"/>
    <w:rsid w:val="00CF2D26"/>
    <w:rsid w:val="00CF652B"/>
    <w:rsid w:val="00CF7F2E"/>
    <w:rsid w:val="00D0226E"/>
    <w:rsid w:val="00D043EB"/>
    <w:rsid w:val="00D13493"/>
    <w:rsid w:val="00D13DFA"/>
    <w:rsid w:val="00D152BF"/>
    <w:rsid w:val="00D1576D"/>
    <w:rsid w:val="00D20D53"/>
    <w:rsid w:val="00D21E1B"/>
    <w:rsid w:val="00D24CF0"/>
    <w:rsid w:val="00D30258"/>
    <w:rsid w:val="00D36E4E"/>
    <w:rsid w:val="00D40206"/>
    <w:rsid w:val="00D51111"/>
    <w:rsid w:val="00D5724F"/>
    <w:rsid w:val="00D6432E"/>
    <w:rsid w:val="00D64DF9"/>
    <w:rsid w:val="00D66164"/>
    <w:rsid w:val="00D6774E"/>
    <w:rsid w:val="00D67A57"/>
    <w:rsid w:val="00D71356"/>
    <w:rsid w:val="00D750E7"/>
    <w:rsid w:val="00D762E9"/>
    <w:rsid w:val="00D812B4"/>
    <w:rsid w:val="00D85FE8"/>
    <w:rsid w:val="00D92DBC"/>
    <w:rsid w:val="00D963AA"/>
    <w:rsid w:val="00D978A7"/>
    <w:rsid w:val="00DA54F7"/>
    <w:rsid w:val="00DA6160"/>
    <w:rsid w:val="00DA62A4"/>
    <w:rsid w:val="00DA6EFA"/>
    <w:rsid w:val="00DA6F27"/>
    <w:rsid w:val="00DB0DF5"/>
    <w:rsid w:val="00DB110F"/>
    <w:rsid w:val="00DB4C36"/>
    <w:rsid w:val="00DB6A0C"/>
    <w:rsid w:val="00DB7456"/>
    <w:rsid w:val="00DC3F89"/>
    <w:rsid w:val="00DC660A"/>
    <w:rsid w:val="00DD05D3"/>
    <w:rsid w:val="00DD18A7"/>
    <w:rsid w:val="00DD62F0"/>
    <w:rsid w:val="00DE034A"/>
    <w:rsid w:val="00DE43B3"/>
    <w:rsid w:val="00DE7458"/>
    <w:rsid w:val="00DF0CE3"/>
    <w:rsid w:val="00DF192A"/>
    <w:rsid w:val="00E02C6A"/>
    <w:rsid w:val="00E1002A"/>
    <w:rsid w:val="00E162BE"/>
    <w:rsid w:val="00E170D1"/>
    <w:rsid w:val="00E2700F"/>
    <w:rsid w:val="00E30DD9"/>
    <w:rsid w:val="00E34955"/>
    <w:rsid w:val="00E4256D"/>
    <w:rsid w:val="00E47A31"/>
    <w:rsid w:val="00E5471F"/>
    <w:rsid w:val="00E56B16"/>
    <w:rsid w:val="00E618F1"/>
    <w:rsid w:val="00E72C7D"/>
    <w:rsid w:val="00E75D8A"/>
    <w:rsid w:val="00E77975"/>
    <w:rsid w:val="00E823AD"/>
    <w:rsid w:val="00E86CA8"/>
    <w:rsid w:val="00E91AAF"/>
    <w:rsid w:val="00E92351"/>
    <w:rsid w:val="00E975C5"/>
    <w:rsid w:val="00EA0444"/>
    <w:rsid w:val="00EA0566"/>
    <w:rsid w:val="00EA4040"/>
    <w:rsid w:val="00EB0E5D"/>
    <w:rsid w:val="00EB35A2"/>
    <w:rsid w:val="00EC3F2D"/>
    <w:rsid w:val="00EC5151"/>
    <w:rsid w:val="00ED2615"/>
    <w:rsid w:val="00ED3DED"/>
    <w:rsid w:val="00ED717A"/>
    <w:rsid w:val="00EE29E0"/>
    <w:rsid w:val="00EF0B9E"/>
    <w:rsid w:val="00EF116D"/>
    <w:rsid w:val="00EF4271"/>
    <w:rsid w:val="00EF5648"/>
    <w:rsid w:val="00F00D87"/>
    <w:rsid w:val="00F050CF"/>
    <w:rsid w:val="00F10509"/>
    <w:rsid w:val="00F11C17"/>
    <w:rsid w:val="00F16D16"/>
    <w:rsid w:val="00F216C6"/>
    <w:rsid w:val="00F31045"/>
    <w:rsid w:val="00F336AA"/>
    <w:rsid w:val="00F35FA6"/>
    <w:rsid w:val="00F37C65"/>
    <w:rsid w:val="00F4408C"/>
    <w:rsid w:val="00F51498"/>
    <w:rsid w:val="00F56791"/>
    <w:rsid w:val="00F62478"/>
    <w:rsid w:val="00F64454"/>
    <w:rsid w:val="00F66341"/>
    <w:rsid w:val="00F673F3"/>
    <w:rsid w:val="00F771AB"/>
    <w:rsid w:val="00F8376B"/>
    <w:rsid w:val="00F878B2"/>
    <w:rsid w:val="00F87CC7"/>
    <w:rsid w:val="00F928BF"/>
    <w:rsid w:val="00FA1A9D"/>
    <w:rsid w:val="00FA3024"/>
    <w:rsid w:val="00FA4056"/>
    <w:rsid w:val="00FB1784"/>
    <w:rsid w:val="00FB3E67"/>
    <w:rsid w:val="00FB3FDB"/>
    <w:rsid w:val="00FB4224"/>
    <w:rsid w:val="00FB7400"/>
    <w:rsid w:val="00FD7D47"/>
    <w:rsid w:val="00FD7E15"/>
    <w:rsid w:val="00FE1296"/>
    <w:rsid w:val="00FE2A5B"/>
    <w:rsid w:val="00FE5C2C"/>
    <w:rsid w:val="00FE770B"/>
    <w:rsid w:val="00FF244C"/>
    <w:rsid w:val="00FF2F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636D1D"/>
  <w15:docId w15:val="{BE6F5A3B-733E-4555-9008-2A3EA5DD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68A6"/>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styleId="TableGrid">
    <w:name w:val="Table Grid"/>
    <w:basedOn w:val="TableNormal"/>
    <w:uiPriority w:val="39"/>
    <w:rsid w:val="00F64454"/>
    <w:pPr>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5610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95610F"/>
    <w:rPr>
      <w:rFonts w:ascii="Arial" w:eastAsia="Arial" w:hAnsi="Arial" w:cs="Arial"/>
      <w:b/>
      <w:bCs/>
      <w:color w:val="2E5395"/>
      <w:sz w:val="20"/>
      <w:szCs w:val="20"/>
    </w:rPr>
  </w:style>
  <w:style w:type="character" w:customStyle="1" w:styleId="Heading1Char">
    <w:name w:val="Heading 1 Char"/>
    <w:basedOn w:val="DefaultParagraphFont"/>
    <w:link w:val="Heading1"/>
    <w:uiPriority w:val="1"/>
    <w:rsid w:val="0061436F"/>
    <w:rPr>
      <w:b/>
      <w:bCs/>
    </w:rPr>
  </w:style>
  <w:style w:type="paragraph" w:styleId="Revision">
    <w:name w:val="Revision"/>
    <w:hidden/>
    <w:uiPriority w:val="99"/>
    <w:semiHidden/>
    <w:rsid w:val="00BA64B2"/>
    <w:pPr>
      <w:widowControl/>
    </w:pPr>
  </w:style>
  <w:style w:type="character" w:customStyle="1" w:styleId="BodyTextChar">
    <w:name w:val="Body Text Char"/>
    <w:basedOn w:val="DefaultParagraphFont"/>
    <w:link w:val="BodyText"/>
    <w:uiPriority w:val="1"/>
    <w:rsid w:val="001F6DC7"/>
  </w:style>
  <w:style w:type="paragraph" w:styleId="FootnoteText">
    <w:name w:val="footnote text"/>
    <w:basedOn w:val="Normal"/>
    <w:link w:val="FootnoteTextChar"/>
    <w:uiPriority w:val="99"/>
    <w:semiHidden/>
    <w:unhideWhenUsed/>
    <w:rsid w:val="005B5ECB"/>
    <w:rPr>
      <w:sz w:val="20"/>
      <w:szCs w:val="20"/>
    </w:rPr>
  </w:style>
  <w:style w:type="character" w:customStyle="1" w:styleId="FootnoteTextChar">
    <w:name w:val="Footnote Text Char"/>
    <w:basedOn w:val="DefaultParagraphFont"/>
    <w:link w:val="FootnoteText"/>
    <w:uiPriority w:val="99"/>
    <w:semiHidden/>
    <w:rsid w:val="005B5ECB"/>
    <w:rPr>
      <w:sz w:val="20"/>
      <w:szCs w:val="20"/>
    </w:rPr>
  </w:style>
  <w:style w:type="character" w:styleId="FootnoteReference">
    <w:name w:val="footnote reference"/>
    <w:basedOn w:val="DefaultParagraphFont"/>
    <w:uiPriority w:val="99"/>
    <w:semiHidden/>
    <w:unhideWhenUsed/>
    <w:rsid w:val="005B5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isheries.noaa.gov/action/pacific-halibut-catch-sharing-plan-and-annual-management-measures-federal-register-rules-and" TargetMode="External" /><Relationship Id="rId11" Type="http://schemas.openxmlformats.org/officeDocument/2006/relationships/hyperlink" Target="https://www.fisheries.noaa.gov/alaska/resources-fishing/sport-halibut-fishing-alaska" TargetMode="External" /><Relationship Id="rId12" Type="http://schemas.openxmlformats.org/officeDocument/2006/relationships/hyperlink" Target="https://www.ecfr.gov/cgi-bin/text-idx?SID=5fd8a00e93f344560eb478ef3f0a4486&amp;mc=true&amp;node=se50.11.300_165&amp;rgn=div8" TargetMode="External" /><Relationship Id="rId13" Type="http://schemas.openxmlformats.org/officeDocument/2006/relationships/hyperlink" Target="https://www.ecfr.gov/cgi-bin/text-idx?SID=5fd8a00e93f344560eb478ef3f0a4486&amp;mc=true&amp;node=se50.11.300_167&amp;rgn=div8" TargetMode="External" /><Relationship Id="rId14" Type="http://schemas.openxmlformats.org/officeDocument/2006/relationships/hyperlink" Target="https://www.federalregister.gov/documents/2010/01/05/E9-30662/pacific-halibut-fisheries-limited-access-for-guided-sport-charter-vessels-in-alaska" TargetMode="External" /><Relationship Id="rId15" Type="http://schemas.openxmlformats.org/officeDocument/2006/relationships/hyperlink" Target="https://www.federalregister.gov/documents/2010/01/12/2010-389/pacific-halibut-fisheries-limited-access-for-guided-sport-charter-vessels-in-alaska" TargetMode="External" /><Relationship Id="rId16" Type="http://schemas.openxmlformats.org/officeDocument/2006/relationships/hyperlink" Target="https://www.federalregister.gov/documents/2013/12/12/2013-29598/pacific-halibut-fisheries-catch-sharing-plan-for-guided-sport-and-commercial-fisheries-in-alaska" TargetMode="External" /><Relationship Id="rId17" Type="http://schemas.openxmlformats.org/officeDocument/2006/relationships/hyperlink" Target="https://www.federalregister.gov/documents/2018/09/21/2018-20410/fisheries-of-the-exclusive-economic-zone-off-alaska-authorize-recreational-quota-entity-to" TargetMode="External" /><Relationship Id="rId18" Type="http://schemas.openxmlformats.org/officeDocument/2006/relationships/hyperlink" Target="https://www.fisheries.noaa.gov/permit/alaska-sport-charter-halibut-applications-and-reporting-forms"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yperlink" Target="https://www.ecfr.gov/current/title-50/part-300/section-300.67" TargetMode="External" /><Relationship Id="rId21" Type="http://schemas.openxmlformats.org/officeDocument/2006/relationships/hyperlink" Target="https://www.ecfr.gov/current/title-50/part-300/section-300.65" TargetMode="External" /><Relationship Id="rId22" Type="http://schemas.openxmlformats.org/officeDocument/2006/relationships/hyperlink" Target="https://alaskafisheries.noaa.gov/webapps/efish/login" TargetMode="External" /><Relationship Id="rId23" Type="http://schemas.openxmlformats.org/officeDocument/2006/relationships/hyperlink" Target="https://www.adfg.alaska.gov/index.cfm?adfg=SFGuidesLicense.Logbook" TargetMode="External" /><Relationship Id="rId24" Type="http://schemas.openxmlformats.org/officeDocument/2006/relationships/hyperlink" Target="https://alaskafisheries.noaa.gov/node/30749" TargetMode="External" /><Relationship Id="rId25" Type="http://schemas.openxmlformats.org/officeDocument/2006/relationships/hyperlink" Target="https://www.fisheries.noaa.gov/permit/alaska-sport-charter-halibut-applications-and-reporting-forms%20" TargetMode="External" /><Relationship Id="rId26" Type="http://schemas.openxmlformats.org/officeDocument/2006/relationships/hyperlink" Target="http://www.corporateservices.noaa.gov/%7Eames/NAOs/Chap_216/naos_216_100.html" TargetMode="External" /><Relationship Id="rId27" Type="http://schemas.openxmlformats.org/officeDocument/2006/relationships/hyperlink" Target="https://www.commerce.gov/opog/privacy-privacy-act/system-records-notices/system-records-notices-commerce-noaa-6" TargetMode="External" /><Relationship Id="rId28" Type="http://schemas.openxmlformats.org/officeDocument/2006/relationships/hyperlink" Target="https://www.commerce.gov/opog/privacy-privacy-act/system-records-notices/system-records-notices-commerce-noaa-19" TargetMode="External" /><Relationship Id="rId29" Type="http://schemas.openxmlformats.org/officeDocument/2006/relationships/hyperlink" Target="https://www.commerce.gov/sites/default/files/2024-03/NOAA4700-PIA-FY24_SAOP_Approved_Delegated.pdf" TargetMode="External" /><Relationship Id="rId3" Type="http://schemas.openxmlformats.org/officeDocument/2006/relationships/webSettings" Target="webSettings.xml" /><Relationship Id="rId30" Type="http://schemas.openxmlformats.org/officeDocument/2006/relationships/hyperlink" Target="https://www.bls.gov/oes/current/oes_ak.htm" TargetMode="External" /><Relationship Id="rId31" Type="http://schemas.openxmlformats.org/officeDocument/2006/relationships/hyperlink" Target="https://www.commerce.gov/hr/practitioners/caps/pay-administration" TargetMode="External" /><Relationship Id="rId32" Type="http://schemas.openxmlformats.org/officeDocument/2006/relationships/hyperlink" Target="http://www.npfmc.org/" TargetMode="External" /><Relationship Id="rId33" Type="http://schemas.openxmlformats.org/officeDocument/2006/relationships/hyperlink" Target="http://www.iphc.int/" TargetMode="External" /><Relationship Id="rId34" Type="http://schemas.openxmlformats.org/officeDocument/2006/relationships/hyperlink" Target="https://www.fisheries.noaa.gov/alaska/commercial-fishing/permits-and-licenses-issued-alaska" TargetMode="External" /><Relationship Id="rId35" Type="http://schemas.openxmlformats.org/officeDocument/2006/relationships/hyperlink" Target="https://www.fisheries.noaa.gov/alaska/sustainable-fisheries/alaska-fisheries-management-reports" TargetMode="External" /><Relationship Id="rId36" Type="http://schemas.openxmlformats.org/officeDocument/2006/relationships/hyperlink" Target="https://www.fisheries.noaa.gov/national/rules-and-regulations/appeals" TargetMode="External" /><Relationship Id="rId37" Type="http://schemas.openxmlformats.org/officeDocument/2006/relationships/hyperlink" Target="http://www.gpo.gov/fdsys/pkg/CFR-2014-title5-vol3/pdf/CFR-2014-title5-vol3-sec1320-9.pdf" TargetMode="External" /><Relationship Id="rId38" Type="http://schemas.openxmlformats.org/officeDocument/2006/relationships/hyperlink" Target="http://www.gpo.gov/fdsys/pkg/CFR-2014-title5-vol3/pdf/CFR-2014-title5-vol3-sec1320-8.pdf" TargetMode="External" /><Relationship Id="rId39" Type="http://schemas.openxmlformats.org/officeDocument/2006/relationships/theme" Target="theme/theme1.xml" /><Relationship Id="rId4" Type="http://schemas.openxmlformats.org/officeDocument/2006/relationships/fontTable" Target="fontTable.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iphc.int/uploads/pdf/basic-texts/iphc-1979-pacific-halibut-convention.pdf" TargetMode="External" /><Relationship Id="rId8"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9" Type="http://schemas.openxmlformats.org/officeDocument/2006/relationships/hyperlink" Target="https://www.fisheries.noaa.gov/resource/document/magnuson-stevens-fishery-conservation-and-management-ac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phc.int/uploads/pdf/basic-texts/iphc-1979-pacific-halibut-convention.pdf" TargetMode="External" /><Relationship Id="rId10" Type="http://schemas.openxmlformats.org/officeDocument/2006/relationships/hyperlink" Target="https://www.federalregister.gov/documents/2018/09/21/2018-20410/fisheries-of-the-exclusive-economic-zone-off-alaska-authorize-recreational-quota-entity-to" TargetMode="External" /><Relationship Id="rId11" Type="http://schemas.openxmlformats.org/officeDocument/2006/relationships/hyperlink" Target="https://www.congress.gov/bill/117th-congress/house-bill/2617/text" TargetMode="External" /><Relationship Id="rId12" Type="http://schemas.openxmlformats.org/officeDocument/2006/relationships/hyperlink" Target="https://www.fisheries.noaa.gov/national/rules-regulations/appeals" TargetMode="External" /><Relationship Id="rId13" Type="http://schemas.openxmlformats.org/officeDocument/2006/relationships/hyperlink" Target="https://www.federalregister.gov/documents/2024/10/31/2024-25229/fisheries-of-the-exclusive-economic-zone-off-alaska-pacific-halibut-recreational-quota-entity" TargetMode="External" /><Relationship Id="rId14" Type="http://schemas.openxmlformats.org/officeDocument/2006/relationships/hyperlink" Target="https://www.commerce.gov/opog/privacy-privacy-act/system-records-notices/system-records-notices-commerce-noaa-6" TargetMode="External" /><Relationship Id="rId15" Type="http://schemas.openxmlformats.org/officeDocument/2006/relationships/hyperlink" Target="https://www.commerce.gov/opog/privacy-privacy-act/system-records-notices/system-records-notices-commerce-noaa-19" TargetMode="External" /><Relationship Id="rId16" Type="http://schemas.openxmlformats.org/officeDocument/2006/relationships/hyperlink" Target="https://www.commerce.gov/sites/default/files/2024-03/NOAA4700-PIA-FY24_SAOP_Approved_Delegated.pdf" TargetMode="External" /><Relationship Id="rId17" Type="http://schemas.openxmlformats.org/officeDocument/2006/relationships/hyperlink" Target="https://www.noaa.gov/organization/information-technology/policy-oversight/information-quality/information-quality-guidelines" TargetMode="External" /><Relationship Id="rId18" Type="http://schemas.openxmlformats.org/officeDocument/2006/relationships/hyperlink" Target="https://www.govinfo.gov/content/pkg/CFR-2014-title5-vol3/pdf/CFR-2014-title5-vol3-sec1320-9.pdf" TargetMode="External" /><Relationship Id="rId19" Type="http://schemas.openxmlformats.org/officeDocument/2006/relationships/hyperlink" Target="https://www.govinfo.gov/content/pkg/CFR-2014-title5-vol3/pdf/CFR-2014-title5-vol3-sec1320-8.pdf" TargetMode="External" /><Relationship Id="rId2"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 /><Relationship Id="rId3" Type="http://schemas.openxmlformats.org/officeDocument/2006/relationships/hyperlink" Target="https://www.fisheries.noaa.gov/resource/document/magnuson-stevens-fishery-conservation-and-management-act" TargetMode="External" /><Relationship Id="rId4" Type="http://schemas.openxmlformats.org/officeDocument/2006/relationships/hyperlink" Target="https://www.fisheries.noaa.gov/action/pacific-halibut-catch-sharing-plan-and-annual-management-measures-federal-register-rules-and" TargetMode="External" /><Relationship Id="rId5" Type="http://schemas.openxmlformats.org/officeDocument/2006/relationships/hyperlink" Target="https://www.ecfr.gov/current/title-50/chapter-III/part-300/subpart-E/section-300.65" TargetMode="External" /><Relationship Id="rId6" Type="http://schemas.openxmlformats.org/officeDocument/2006/relationships/hyperlink" Target="https://www.ecfr.gov/current/title-50/chapter-III/part-300/subpart-E/section-300.67" TargetMode="External" /><Relationship Id="rId7" Type="http://schemas.openxmlformats.org/officeDocument/2006/relationships/hyperlink" Target="https://www.federalregister.gov/documents/2010/01/05/E9-30662/pacific-halibut-fisheries-limited-access-for-guided-sport-charter-vessels-in-alaska" TargetMode="External" /><Relationship Id="rId8" Type="http://schemas.openxmlformats.org/officeDocument/2006/relationships/hyperlink" Target="https://www.federalregister.gov/documents/2010/01/12/2010-389/pacific-halibut-fisheries-limited-access-for-guided-sport-charter-vessels-in-alaska" TargetMode="External" /><Relationship Id="rId9" Type="http://schemas.openxmlformats.org/officeDocument/2006/relationships/hyperlink" Target="https://www.federalregister.gov/documents/2013/12/12/2013-29598/pacific-halibut-fisheries-catch-sharing-plan-for-guided-sport-and-commercial-fisheries-in-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6758AB-2769-4755-A0CC-54DCC802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26</Pages>
  <Words>12681</Words>
  <Characters>72284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84796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Gabrielle Aberle</cp:lastModifiedBy>
  <cp:revision>173</cp:revision>
  <dcterms:created xsi:type="dcterms:W3CDTF">2024-09-28T00:19:00Z</dcterms:created>
  <dcterms:modified xsi:type="dcterms:W3CDTF">2024-12-05T21:38:00Z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