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3DB29B43" w14:textId="32740182">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BE3649">
        <w:rPr>
          <w:rFonts w:asciiTheme="majorHAnsi" w:hAnsiTheme="majorHAnsi"/>
          <w:sz w:val="28"/>
          <w:u w:val="single"/>
        </w:rPr>
        <w:t>STATEMENT -</w:t>
      </w:r>
      <w:r w:rsidRPr="00EA6C04">
        <w:rPr>
          <w:rFonts w:asciiTheme="majorHAnsi" w:hAnsiTheme="majorHAnsi"/>
          <w:sz w:val="28"/>
          <w:u w:val="single"/>
        </w:rPr>
        <w:t xml:space="preserve"> PART A</w:t>
      </w:r>
    </w:p>
    <w:p w:rsidR="00DC1ADF" w:rsidP="00DC1ADF" w14:paraId="15B2B845" w14:textId="7458575B">
      <w:pPr>
        <w:jc w:val="center"/>
        <w:rPr>
          <w:rFonts w:asciiTheme="majorHAnsi" w:hAnsiTheme="majorHAnsi"/>
          <w:sz w:val="24"/>
        </w:rPr>
      </w:pPr>
      <w:r>
        <w:rPr>
          <w:noProof/>
        </w:rPr>
        <mc:AlternateContent>
          <mc:Choice Requires="wps">
            <w:drawing>
              <wp:anchor distT="45720" distB="45720" distL="114300" distR="114300" simplePos="0" relativeHeight="251658240" behindDoc="0" locked="0" layoutInCell="1" allowOverlap="1">
                <wp:simplePos x="0" y="0"/>
                <wp:positionH relativeFrom="column">
                  <wp:posOffset>114300</wp:posOffset>
                </wp:positionH>
                <wp:positionV relativeFrom="paragraph">
                  <wp:posOffset>337820</wp:posOffset>
                </wp:positionV>
                <wp:extent cx="5753100" cy="1657350"/>
                <wp:effectExtent l="0" t="0" r="19050" b="19050"/>
                <wp:wrapSquare wrapText="bothSides"/>
                <wp:docPr id="217"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53100" cy="1657350"/>
                        </a:xfrm>
                        <a:prstGeom prst="rect">
                          <a:avLst/>
                        </a:prstGeom>
                        <a:solidFill>
                          <a:srgbClr val="FFFFFF"/>
                        </a:solidFill>
                        <a:ln w="9525">
                          <a:solidFill>
                            <a:srgbClr val="000000"/>
                          </a:solidFill>
                          <a:miter lim="800000"/>
                          <a:headEnd/>
                          <a:tailEnd/>
                        </a:ln>
                      </wps:spPr>
                      <wps:txbx>
                        <w:txbxContent>
                          <w:p w:rsidR="00DC1ADF" w:rsidP="00DC1ADF" w14:textId="77777777">
                            <w:pPr>
                              <w:rPr>
                                <w:rFonts w:asciiTheme="majorHAnsi" w:hAnsiTheme="majorHAnsi"/>
                                <w:sz w:val="24"/>
                              </w:rPr>
                            </w:pPr>
                            <w:r>
                              <w:rPr>
                                <w:rFonts w:asciiTheme="majorHAnsi" w:hAnsiTheme="majorHAnsi"/>
                                <w:sz w:val="24"/>
                              </w:rPr>
                              <w:t>Summary of Changes</w:t>
                            </w:r>
                          </w:p>
                          <w:p w:rsidR="00DC1ADF" w:rsidP="00DC1ADF" w14:textId="77777777">
                            <w:pPr>
                              <w:pStyle w:val="ListParagraph"/>
                              <w:numPr>
                                <w:ilvl w:val="0"/>
                                <w:numId w:val="23"/>
                              </w:numPr>
                              <w:rPr>
                                <w:rFonts w:asciiTheme="majorHAnsi" w:hAnsiTheme="majorHAnsi"/>
                                <w:sz w:val="24"/>
                              </w:rPr>
                            </w:pPr>
                            <w:r>
                              <w:rPr>
                                <w:rFonts w:asciiTheme="majorHAnsi" w:hAnsiTheme="majorHAnsi"/>
                                <w:sz w:val="24"/>
                              </w:rPr>
                              <w:t xml:space="preserve">The DLA Form 1822 has been revised to improve functionality.  The change is limited to the signature. The form must be signed, and the signature may be electronic, digital, or written (wet). There are no changes to the context or substance of this collection instrument. </w:t>
                            </w:r>
                          </w:p>
                          <w:p w:rsidR="00DC1ADF" w:rsidP="00DC1ADF" w14:textId="77777777">
                            <w:pPr>
                              <w:pStyle w:val="ListParagraph"/>
                              <w:numPr>
                                <w:ilvl w:val="0"/>
                                <w:numId w:val="23"/>
                              </w:numPr>
                              <w:rPr>
                                <w:rFonts w:asciiTheme="majorHAnsi" w:hAnsiTheme="majorHAnsi"/>
                                <w:sz w:val="24"/>
                              </w:rPr>
                            </w:pPr>
                            <w:r>
                              <w:rPr>
                                <w:rFonts w:asciiTheme="majorHAnsi" w:hAnsiTheme="majorHAnsi"/>
                                <w:sz w:val="24"/>
                              </w:rPr>
                              <w:t>Burden responses have remained consistent, but automation is necessary to meet sales requirements.</w:t>
                            </w:r>
                          </w:p>
                          <w:p w:rsidR="00DC1ADF" w:rsidP="00DC1ADF" w14:textId="77777777">
                            <w:pPr>
                              <w:pStyle w:val="ListParagraph"/>
                              <w:numPr>
                                <w:ilvl w:val="0"/>
                                <w:numId w:val="23"/>
                              </w:numPr>
                              <w:rPr>
                                <w:rFonts w:asciiTheme="majorHAnsi" w:hAnsiTheme="majorHAnsi"/>
                                <w:sz w:val="24"/>
                              </w:rPr>
                            </w:pPr>
                          </w:p>
                          <w:p w:rsidR="00DC1ADF" w:rsidP="00DC1ADF"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453pt;height:130.5pt;margin-top:26.6pt;margin-left:9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DC1ADF" w:rsidP="00DC1ADF" w14:paraId="312DA4FD" w14:textId="77777777">
                      <w:pPr>
                        <w:rPr>
                          <w:rFonts w:asciiTheme="majorHAnsi" w:hAnsiTheme="majorHAnsi"/>
                          <w:sz w:val="24"/>
                        </w:rPr>
                      </w:pPr>
                      <w:r>
                        <w:rPr>
                          <w:rFonts w:asciiTheme="majorHAnsi" w:hAnsiTheme="majorHAnsi"/>
                          <w:sz w:val="24"/>
                        </w:rPr>
                        <w:t>Summary of Changes</w:t>
                      </w:r>
                    </w:p>
                    <w:p w:rsidR="00DC1ADF" w:rsidP="00DC1ADF" w14:paraId="3F1F59C6" w14:textId="77777777">
                      <w:pPr>
                        <w:pStyle w:val="ListParagraph"/>
                        <w:numPr>
                          <w:ilvl w:val="0"/>
                          <w:numId w:val="23"/>
                        </w:numPr>
                        <w:rPr>
                          <w:rFonts w:asciiTheme="majorHAnsi" w:hAnsiTheme="majorHAnsi"/>
                          <w:sz w:val="24"/>
                        </w:rPr>
                      </w:pPr>
                      <w:r>
                        <w:rPr>
                          <w:rFonts w:asciiTheme="majorHAnsi" w:hAnsiTheme="majorHAnsi"/>
                          <w:sz w:val="24"/>
                        </w:rPr>
                        <w:t xml:space="preserve">The DLA Form 1822 has been revised to improve functionality.  The change is limited to the signature. The form must be signed, and the signature may be electronic, digital, or written (wet). There are no changes to the context or substance of this collection instrument. </w:t>
                      </w:r>
                    </w:p>
                    <w:p w:rsidR="00DC1ADF" w:rsidP="00DC1ADF" w14:paraId="30C3CEEE" w14:textId="77777777">
                      <w:pPr>
                        <w:pStyle w:val="ListParagraph"/>
                        <w:numPr>
                          <w:ilvl w:val="0"/>
                          <w:numId w:val="23"/>
                        </w:numPr>
                        <w:rPr>
                          <w:rFonts w:asciiTheme="majorHAnsi" w:hAnsiTheme="majorHAnsi"/>
                          <w:sz w:val="24"/>
                        </w:rPr>
                      </w:pPr>
                      <w:r>
                        <w:rPr>
                          <w:rFonts w:asciiTheme="majorHAnsi" w:hAnsiTheme="majorHAnsi"/>
                          <w:sz w:val="24"/>
                        </w:rPr>
                        <w:t>Burden responses have remained consistent, but automation is necessary to meet sales requirements.</w:t>
                      </w:r>
                    </w:p>
                    <w:p w:rsidR="00DC1ADF" w:rsidP="00DC1ADF" w14:paraId="62E65DAC" w14:textId="77777777">
                      <w:pPr>
                        <w:pStyle w:val="ListParagraph"/>
                        <w:numPr>
                          <w:ilvl w:val="0"/>
                          <w:numId w:val="23"/>
                        </w:numPr>
                        <w:rPr>
                          <w:rFonts w:asciiTheme="majorHAnsi" w:hAnsiTheme="majorHAnsi"/>
                          <w:sz w:val="24"/>
                        </w:rPr>
                      </w:pPr>
                    </w:p>
                    <w:p w:rsidR="00DC1ADF" w:rsidP="00DC1ADF" w14:paraId="3AA467D3" w14:textId="77777777"/>
                  </w:txbxContent>
                </v:textbox>
                <w10:wrap type="square"/>
              </v:shape>
            </w:pict>
          </mc:Fallback>
        </mc:AlternateContent>
      </w:r>
      <w:r>
        <w:rPr>
          <w:rFonts w:asciiTheme="majorHAnsi" w:hAnsiTheme="majorHAnsi"/>
          <w:sz w:val="24"/>
        </w:rPr>
        <w:t>End-Use Certificate – OMB Control Number 0704-0382</w:t>
      </w:r>
    </w:p>
    <w:p w:rsidR="005C7428" w:rsidRPr="005C7428" w:rsidP="006E563D" w14:paraId="3C582796" w14:textId="77777777">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Need for the Information Collection</w:t>
      </w:r>
    </w:p>
    <w:p w:rsidR="00997C70" w:rsidRPr="006511AC" w:rsidP="006E563D" w14:paraId="1CF3700C" w14:textId="709F629D">
      <w:pPr>
        <w:spacing w:after="0" w:line="240" w:lineRule="auto"/>
        <w:rPr>
          <w:rFonts w:asciiTheme="majorHAnsi" w:hAnsiTheme="majorHAnsi"/>
          <w:sz w:val="24"/>
        </w:rPr>
      </w:pPr>
      <w:r w:rsidRPr="006511AC">
        <w:rPr>
          <w:rFonts w:asciiTheme="majorHAnsi" w:hAnsiTheme="majorHAnsi"/>
          <w:sz w:val="24"/>
        </w:rPr>
        <w:t>The End-Use Certificate (DLA Form 1822) is submitted by individuals prior to releasing export controlled personal property out of Department of Defense (DoD) control.  Export-controlled personal property are items listed on the United States Munitions Lists (USML) or Commerce Control List (CCL), and includes articles, items, technical data, technology or software.</w:t>
      </w:r>
      <w:r w:rsidR="00E26F8C">
        <w:rPr>
          <w:rFonts w:asciiTheme="majorHAnsi" w:hAnsiTheme="majorHAnsi"/>
          <w:sz w:val="24"/>
        </w:rPr>
        <w:t xml:space="preserve">  </w:t>
      </w:r>
      <w:r w:rsidRPr="006511AC">
        <w:rPr>
          <w:rFonts w:asciiTheme="majorHAnsi" w:hAnsiTheme="majorHAnsi"/>
          <w:sz w:val="24"/>
        </w:rPr>
        <w:t xml:space="preserve">Transfers of export-controlled personal property out of DoD control may be in tangible and non-tangible forms. </w:t>
      </w:r>
      <w:r w:rsidR="00E26F8C">
        <w:rPr>
          <w:rFonts w:asciiTheme="majorHAnsi" w:hAnsiTheme="majorHAnsi"/>
          <w:sz w:val="24"/>
        </w:rPr>
        <w:t xml:space="preserve"> </w:t>
      </w:r>
      <w:r w:rsidRPr="006511AC">
        <w:rPr>
          <w:rFonts w:asciiTheme="majorHAnsi" w:hAnsiTheme="majorHAnsi"/>
          <w:sz w:val="24"/>
        </w:rPr>
        <w:t>The information collected is for the purpose of</w:t>
      </w:r>
      <w:r w:rsidR="0071479F">
        <w:rPr>
          <w:rFonts w:asciiTheme="majorHAnsi" w:hAnsiTheme="majorHAnsi"/>
          <w:sz w:val="24"/>
        </w:rPr>
        <w:t xml:space="preserve"> </w:t>
      </w:r>
      <w:r w:rsidRPr="006511AC">
        <w:rPr>
          <w:rFonts w:asciiTheme="majorHAnsi" w:hAnsiTheme="majorHAnsi"/>
          <w:sz w:val="24"/>
        </w:rPr>
        <w:t>determining bidder or transferee eligibility to receive export-controlled personal property, and to ensure that property recipients comply with the terms of sale or Military Critical Technical Data Agreement regarding end-use of the property.</w:t>
      </w:r>
      <w:r w:rsidR="0071479F">
        <w:rPr>
          <w:rFonts w:asciiTheme="majorHAnsi" w:hAnsiTheme="majorHAnsi"/>
          <w:sz w:val="24"/>
        </w:rPr>
        <w:t xml:space="preserve">  </w:t>
      </w:r>
      <w:r w:rsidRPr="006511AC">
        <w:rPr>
          <w:rFonts w:asciiTheme="majorHAnsi" w:hAnsiTheme="majorHAnsi"/>
          <w:sz w:val="24"/>
        </w:rPr>
        <w:t>This form is to be used by the DoD Components and other Federal agencies and or their contractors prior to releasing export-controlled personal property out DoD control.</w:t>
      </w:r>
      <w:r w:rsidR="0071479F">
        <w:rPr>
          <w:rFonts w:asciiTheme="majorHAnsi" w:hAnsiTheme="majorHAnsi"/>
          <w:sz w:val="24"/>
        </w:rPr>
        <w:t xml:space="preserve">  </w:t>
      </w:r>
      <w:r w:rsidRPr="006511AC">
        <w:rPr>
          <w:rFonts w:asciiTheme="majorHAnsi" w:hAnsiTheme="majorHAnsi"/>
          <w:sz w:val="24"/>
        </w:rPr>
        <w:t>End-</w:t>
      </w:r>
      <w:r w:rsidR="0071479F">
        <w:rPr>
          <w:rFonts w:asciiTheme="majorHAnsi" w:hAnsiTheme="majorHAnsi"/>
          <w:sz w:val="24"/>
        </w:rPr>
        <w:t>U</w:t>
      </w:r>
      <w:r w:rsidRPr="006511AC">
        <w:rPr>
          <w:rFonts w:asciiTheme="majorHAnsi" w:hAnsiTheme="majorHAnsi"/>
          <w:sz w:val="24"/>
        </w:rPr>
        <w:t>se checks are required by the following: DoD Instruction 2030.08, “Implementation of Trade Security Controls (TSCs) for Transfers of DoD U.S. Munitions List (USML) and Commerce Control List (CCL) Personal Property to Parties Outside DoD Control;” DoDM 4160.28, “DoD Demilitarization (</w:t>
      </w:r>
      <w:r w:rsidRPr="006511AC" w:rsidR="009F3598">
        <w:rPr>
          <w:rFonts w:asciiTheme="majorHAnsi" w:hAnsiTheme="majorHAnsi"/>
          <w:sz w:val="24"/>
        </w:rPr>
        <w:t>DEMIL) Manual</w:t>
      </w:r>
      <w:r w:rsidRPr="006511AC">
        <w:rPr>
          <w:rFonts w:asciiTheme="majorHAnsi" w:hAnsiTheme="majorHAnsi"/>
          <w:sz w:val="24"/>
        </w:rPr>
        <w:t>;” and the DoDM 4160.21,</w:t>
      </w:r>
      <w:r w:rsidR="006267AC">
        <w:rPr>
          <w:rFonts w:asciiTheme="majorHAnsi" w:hAnsiTheme="majorHAnsi"/>
          <w:sz w:val="24"/>
        </w:rPr>
        <w:t xml:space="preserve"> </w:t>
      </w:r>
      <w:r w:rsidRPr="006511AC">
        <w:rPr>
          <w:rFonts w:asciiTheme="majorHAnsi" w:hAnsiTheme="majorHAnsi"/>
          <w:sz w:val="24"/>
        </w:rPr>
        <w:t>Defense Materiel Disposition Manual.</w:t>
      </w:r>
    </w:p>
    <w:p w:rsidR="00222D1B" w:rsidRPr="006511AC" w:rsidP="006E563D" w14:paraId="421E4BEF" w14:textId="77777777">
      <w:pPr>
        <w:spacing w:after="0" w:line="240" w:lineRule="auto"/>
        <w:rPr>
          <w:rFonts w:asciiTheme="majorHAnsi" w:hAnsiTheme="majorHAnsi"/>
          <w:sz w:val="24"/>
        </w:rPr>
      </w:pPr>
      <w:r w:rsidRPr="006511AC">
        <w:rPr>
          <w:rFonts w:asciiTheme="majorHAnsi" w:hAnsiTheme="majorHAnsi"/>
          <w:sz w:val="24"/>
        </w:rPr>
        <w:t xml:space="preserve"> </w:t>
      </w:r>
    </w:p>
    <w:p w:rsidR="00510F0C" w:rsidRPr="007A413E" w:rsidP="006E563D" w14:paraId="1F53E5EB" w14:textId="16551690">
      <w:pPr>
        <w:spacing w:after="0" w:line="240" w:lineRule="auto"/>
        <w:rPr>
          <w:rFonts w:asciiTheme="majorHAnsi" w:hAnsiTheme="majorHAnsi"/>
          <w:i/>
          <w:sz w:val="24"/>
        </w:rPr>
      </w:pPr>
      <w:r w:rsidRPr="006511AC">
        <w:rPr>
          <w:rFonts w:asciiTheme="majorHAnsi" w:hAnsiTheme="majorHAnsi"/>
          <w:sz w:val="24"/>
        </w:rPr>
        <w:t>Other authorities for this collection include: 10 U.S.C. 133b, “Under Secretary of Defense for Acquisition</w:t>
      </w:r>
      <w:r w:rsidRPr="006511AC" w:rsidR="00372953">
        <w:rPr>
          <w:rFonts w:asciiTheme="majorHAnsi" w:hAnsiTheme="majorHAnsi"/>
          <w:sz w:val="24"/>
        </w:rPr>
        <w:t xml:space="preserve"> and Sustainment</w:t>
      </w:r>
      <w:r w:rsidRPr="006511AC">
        <w:rPr>
          <w:rFonts w:asciiTheme="majorHAnsi" w:hAnsiTheme="majorHAnsi"/>
          <w:sz w:val="24"/>
        </w:rPr>
        <w:t>;” 22 U.S.C. 27</w:t>
      </w:r>
      <w:r w:rsidR="00A06586">
        <w:rPr>
          <w:rFonts w:asciiTheme="majorHAnsi" w:hAnsiTheme="majorHAnsi"/>
          <w:sz w:val="24"/>
        </w:rPr>
        <w:t>51-2799, “Arms Export Control;”</w:t>
      </w:r>
      <w:r w:rsidRPr="006511AC">
        <w:rPr>
          <w:rFonts w:asciiTheme="majorHAnsi" w:hAnsiTheme="majorHAnsi"/>
          <w:sz w:val="24"/>
        </w:rPr>
        <w:t xml:space="preserve"> Export Administration Act of 1979, as continued under Executive Order 13222, as amended</w:t>
      </w:r>
      <w:r w:rsidRPr="006511AC" w:rsidR="00372953">
        <w:rPr>
          <w:rFonts w:asciiTheme="majorHAnsi" w:hAnsiTheme="majorHAnsi"/>
          <w:sz w:val="24"/>
        </w:rPr>
        <w:t xml:space="preserve">”; </w:t>
      </w:r>
      <w:r w:rsidRPr="006511AC">
        <w:rPr>
          <w:rFonts w:asciiTheme="majorHAnsi" w:hAnsiTheme="majorHAnsi"/>
          <w:sz w:val="24"/>
        </w:rPr>
        <w:t xml:space="preserve">E.O. 12738, “Export Controls;” 22 CFR 122, 15 CFR 762, and 41 CFR 101-102; DoD Directives 2040.3, “End-Use Certificates (EUCs);” DoD Instruction 2040.02, “International Transfers of Technology, Articles, and Services;” DoD Instruction 4161.2, “Management, Control and Disposal of Government Property in </w:t>
      </w:r>
      <w:r w:rsidRPr="006511AC" w:rsidR="00372953">
        <w:rPr>
          <w:rFonts w:asciiTheme="majorHAnsi" w:hAnsiTheme="majorHAnsi"/>
          <w:sz w:val="24"/>
        </w:rPr>
        <w:t>the Possession of Contractors;”</w:t>
      </w:r>
      <w:r w:rsidRPr="006511AC">
        <w:rPr>
          <w:rFonts w:asciiTheme="majorHAnsi" w:hAnsiTheme="majorHAnsi"/>
          <w:sz w:val="24"/>
        </w:rPr>
        <w:t xml:space="preserve">. </w:t>
      </w:r>
      <w:r w:rsidRPr="006E563D" w:rsidR="006E563D">
        <w:rPr>
          <w:rFonts w:asciiTheme="majorHAnsi" w:hAnsiTheme="majorHAnsi"/>
          <w:i/>
          <w:sz w:val="24"/>
        </w:rPr>
        <w:t xml:space="preserve"> </w:t>
      </w:r>
    </w:p>
    <w:p w:rsidR="00510F0C" w:rsidP="006E563D" w14:paraId="70A836E5" w14:textId="77777777">
      <w:pPr>
        <w:spacing w:after="0" w:line="240" w:lineRule="auto"/>
        <w:rPr>
          <w:rFonts w:asciiTheme="majorHAnsi" w:hAnsiTheme="majorHAnsi"/>
          <w:sz w:val="24"/>
        </w:rPr>
      </w:pPr>
    </w:p>
    <w:p w:rsidR="005C7428" w:rsidP="006E563D" w14:paraId="004ED6D2" w14:textId="77777777">
      <w:pPr>
        <w:spacing w:after="0" w:line="240" w:lineRule="auto"/>
        <w:rPr>
          <w:rFonts w:asciiTheme="majorHAnsi" w:hAnsiTheme="majorHAnsi"/>
          <w:sz w:val="24"/>
          <w:u w:val="single"/>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Use of the Information</w:t>
      </w:r>
    </w:p>
    <w:p w:rsidR="005C7428" w:rsidP="006E563D" w14:paraId="25B247E9" w14:textId="725267E8">
      <w:pPr>
        <w:spacing w:after="0" w:line="240" w:lineRule="auto"/>
        <w:rPr>
          <w:rFonts w:asciiTheme="majorHAnsi" w:hAnsiTheme="majorHAnsi"/>
          <w:i/>
          <w:sz w:val="24"/>
        </w:rPr>
      </w:pPr>
      <w:r w:rsidRPr="00372953">
        <w:rPr>
          <w:rFonts w:asciiTheme="majorHAnsi" w:hAnsiTheme="majorHAnsi"/>
          <w:sz w:val="24"/>
        </w:rPr>
        <w:t xml:space="preserve">Respondents are individuals and businesses wishing to acquire </w:t>
      </w:r>
      <w:r>
        <w:rPr>
          <w:rFonts w:asciiTheme="majorHAnsi" w:hAnsiTheme="majorHAnsi"/>
          <w:sz w:val="24"/>
        </w:rPr>
        <w:t xml:space="preserve">or gain access to </w:t>
      </w:r>
      <w:r w:rsidRPr="00372953">
        <w:rPr>
          <w:rFonts w:asciiTheme="majorHAnsi" w:hAnsiTheme="majorHAnsi"/>
          <w:sz w:val="24"/>
        </w:rPr>
        <w:t xml:space="preserve">DoD </w:t>
      </w:r>
      <w:r>
        <w:rPr>
          <w:rFonts w:asciiTheme="majorHAnsi" w:hAnsiTheme="majorHAnsi"/>
          <w:sz w:val="24"/>
        </w:rPr>
        <w:t xml:space="preserve">export-controlled personal </w:t>
      </w:r>
      <w:r w:rsidRPr="00372953">
        <w:rPr>
          <w:rFonts w:asciiTheme="majorHAnsi" w:hAnsiTheme="majorHAnsi"/>
          <w:sz w:val="24"/>
        </w:rPr>
        <w:t>property. T</w:t>
      </w:r>
      <w:r>
        <w:rPr>
          <w:rFonts w:asciiTheme="majorHAnsi" w:hAnsiTheme="majorHAnsi"/>
          <w:sz w:val="24"/>
        </w:rPr>
        <w:t>he information is used to determine</w:t>
      </w:r>
      <w:r w:rsidRPr="00372953">
        <w:rPr>
          <w:rFonts w:asciiTheme="majorHAnsi" w:hAnsiTheme="majorHAnsi"/>
          <w:sz w:val="24"/>
        </w:rPr>
        <w:t xml:space="preserve"> recipients’ eligibility to </w:t>
      </w:r>
      <w:r>
        <w:rPr>
          <w:rFonts w:asciiTheme="majorHAnsi" w:hAnsiTheme="majorHAnsi"/>
          <w:sz w:val="24"/>
        </w:rPr>
        <w:t xml:space="preserve">receive such property transfers </w:t>
      </w:r>
      <w:r w:rsidR="00D50EC8">
        <w:rPr>
          <w:rFonts w:asciiTheme="majorHAnsi" w:hAnsiTheme="majorHAnsi"/>
          <w:sz w:val="24"/>
        </w:rPr>
        <w:t>to</w:t>
      </w:r>
      <w:r>
        <w:rPr>
          <w:rFonts w:asciiTheme="majorHAnsi" w:hAnsiTheme="majorHAnsi"/>
          <w:sz w:val="24"/>
        </w:rPr>
        <w:t xml:space="preserve"> </w:t>
      </w:r>
      <w:r w:rsidRPr="00372953">
        <w:rPr>
          <w:rFonts w:asciiTheme="majorHAnsi" w:hAnsiTheme="majorHAnsi"/>
          <w:sz w:val="24"/>
        </w:rPr>
        <w:t>conduct business with the government. The information is use</w:t>
      </w:r>
      <w:r>
        <w:rPr>
          <w:rFonts w:asciiTheme="majorHAnsi" w:hAnsiTheme="majorHAnsi"/>
          <w:sz w:val="24"/>
        </w:rPr>
        <w:t xml:space="preserve">d to determine if transferees </w:t>
      </w:r>
      <w:r w:rsidR="006511AC">
        <w:rPr>
          <w:rFonts w:asciiTheme="majorHAnsi" w:hAnsiTheme="majorHAnsi"/>
          <w:sz w:val="24"/>
        </w:rPr>
        <w:t>are</w:t>
      </w:r>
      <w:r w:rsidRPr="00372953">
        <w:rPr>
          <w:rFonts w:asciiTheme="majorHAnsi" w:hAnsiTheme="majorHAnsi"/>
          <w:sz w:val="24"/>
        </w:rPr>
        <w:t xml:space="preserve"> </w:t>
      </w:r>
      <w:r w:rsidR="00FD2068">
        <w:rPr>
          <w:rFonts w:asciiTheme="majorHAnsi" w:hAnsiTheme="majorHAnsi"/>
          <w:sz w:val="24"/>
        </w:rPr>
        <w:t>qualified contractors as described by the Federal Acquisition Regulation System (48 CFR 9 et. seq.)</w:t>
      </w:r>
      <w:r w:rsidRPr="00372953">
        <w:rPr>
          <w:rFonts w:asciiTheme="majorHAnsi" w:hAnsiTheme="majorHAnsi"/>
          <w:sz w:val="24"/>
        </w:rPr>
        <w:t xml:space="preserve">; </w:t>
      </w:r>
      <w:r w:rsidR="006511AC">
        <w:rPr>
          <w:rFonts w:asciiTheme="majorHAnsi" w:hAnsiTheme="majorHAnsi"/>
          <w:sz w:val="24"/>
        </w:rPr>
        <w:t xml:space="preserve">identified on the Lists of Parties of Concern (person and entity); on </w:t>
      </w:r>
      <w:r w:rsidRPr="00372953">
        <w:rPr>
          <w:rFonts w:asciiTheme="majorHAnsi" w:hAnsiTheme="majorHAnsi"/>
          <w:sz w:val="24"/>
        </w:rPr>
        <w:t xml:space="preserve">specially designated nationals (SDNs) or blocked </w:t>
      </w:r>
      <w:r w:rsidRPr="00372953">
        <w:rPr>
          <w:rFonts w:asciiTheme="majorHAnsi" w:hAnsiTheme="majorHAnsi"/>
          <w:sz w:val="24"/>
        </w:rPr>
        <w:t xml:space="preserve">persons; or have violated U.S. export laws or regulations. The End-Use Certificate (EUC) informs the recipients that when this property is to be exported, they must comply </w:t>
      </w:r>
      <w:r w:rsidRPr="00372953" w:rsidR="00157BD0">
        <w:rPr>
          <w:rFonts w:asciiTheme="majorHAnsi" w:hAnsiTheme="majorHAnsi"/>
          <w:sz w:val="24"/>
        </w:rPr>
        <w:t>with</w:t>
      </w:r>
      <w:r w:rsidRPr="00372953">
        <w:rPr>
          <w:rFonts w:asciiTheme="majorHAnsi" w:hAnsiTheme="majorHAnsi"/>
          <w:sz w:val="24"/>
        </w:rPr>
        <w:t xml:space="preserve"> the International Traffic in Arms Regulations (ITAR) (22 CFR 120 et. seq.); Export Administration Regulations (EAR) (15 CFR 730 et. seq.); and other applicable export laws and regulations.</w:t>
      </w:r>
      <w:r w:rsidR="0080630B">
        <w:rPr>
          <w:rFonts w:asciiTheme="majorHAnsi" w:hAnsiTheme="majorHAnsi"/>
          <w:sz w:val="24"/>
        </w:rPr>
        <w:t xml:space="preserve"> </w:t>
      </w:r>
      <w:r w:rsidRPr="0080630B" w:rsidR="0080630B">
        <w:rPr>
          <w:rFonts w:asciiTheme="majorHAnsi" w:hAnsiTheme="majorHAnsi"/>
          <w:sz w:val="24"/>
        </w:rPr>
        <w:t>The collection instruments utilized for a completed End-Use Certificate (DLA Form 1822) for the submission, processing, and return of EUCs are executed through two methods, due to the necessity of protecting Personal Identifiable Information (PII): (1) using a Common Access Card (CAC) with the encryption option selected, or (2) employing the Department of Defense (DoD) Secure Access File Exchange (SAFE). SAFE is a web-based tool that enables both authenticated DoD CAC users and unregistered guests to securely send and receive large files that may exceed the size limit for email transmission.</w:t>
      </w:r>
    </w:p>
    <w:p w:rsidR="005C7428" w:rsidP="006E563D" w14:paraId="437D8658" w14:textId="77777777">
      <w:pPr>
        <w:spacing w:after="0" w:line="240" w:lineRule="auto"/>
        <w:rPr>
          <w:rFonts w:asciiTheme="majorHAnsi" w:hAnsiTheme="majorHAnsi"/>
          <w:i/>
          <w:sz w:val="24"/>
        </w:rPr>
      </w:pPr>
    </w:p>
    <w:p w:rsidR="005C7428" w:rsidP="006E563D" w14:paraId="4197A97F" w14:textId="77777777">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8635C4" w:rsidRPr="00B23DF9" w:rsidP="006E563D" w14:paraId="724E4A92" w14:textId="5F7A1FFF">
      <w:pPr>
        <w:spacing w:after="0" w:line="240" w:lineRule="auto"/>
        <w:rPr>
          <w:rFonts w:asciiTheme="majorHAnsi" w:hAnsiTheme="majorHAnsi"/>
          <w:sz w:val="24"/>
        </w:rPr>
      </w:pPr>
      <w:r>
        <w:rPr>
          <w:rFonts w:asciiTheme="majorHAnsi" w:hAnsiTheme="majorHAnsi"/>
          <w:sz w:val="24"/>
        </w:rPr>
        <w:t xml:space="preserve">The DL 1822 End-Use-Certificate is accessible in a digital form fillable PDF format from the Defense Logistics Agency public website.  </w:t>
      </w:r>
      <w:r w:rsidRPr="00990CD6" w:rsidR="00990CD6">
        <w:rPr>
          <w:rFonts w:asciiTheme="majorHAnsi" w:hAnsiTheme="majorHAnsi"/>
          <w:sz w:val="24"/>
        </w:rPr>
        <w:t xml:space="preserve">The form must be signed and the signature maybe electronic, </w:t>
      </w:r>
      <w:r w:rsidRPr="00990CD6" w:rsidR="00085316">
        <w:rPr>
          <w:rFonts w:asciiTheme="majorHAnsi" w:hAnsiTheme="majorHAnsi"/>
          <w:sz w:val="24"/>
        </w:rPr>
        <w:t>digital,</w:t>
      </w:r>
      <w:r w:rsidRPr="00990CD6" w:rsidR="00990CD6">
        <w:rPr>
          <w:rFonts w:asciiTheme="majorHAnsi" w:hAnsiTheme="majorHAnsi"/>
          <w:sz w:val="24"/>
        </w:rPr>
        <w:t xml:space="preserve"> or written (wet)</w:t>
      </w:r>
      <w:r>
        <w:rPr>
          <w:rFonts w:asciiTheme="majorHAnsi" w:hAnsiTheme="majorHAnsi"/>
          <w:sz w:val="24"/>
        </w:rPr>
        <w:t>.  Once signed</w:t>
      </w:r>
      <w:r w:rsidR="00A74DEE">
        <w:rPr>
          <w:rFonts w:asciiTheme="majorHAnsi" w:hAnsiTheme="majorHAnsi"/>
          <w:sz w:val="24"/>
        </w:rPr>
        <w:t xml:space="preserve"> </w:t>
      </w:r>
      <w:r>
        <w:rPr>
          <w:rFonts w:asciiTheme="majorHAnsi" w:hAnsiTheme="majorHAnsi"/>
          <w:sz w:val="24"/>
        </w:rPr>
        <w:t>the completed DL1822 may then be submitted</w:t>
      </w:r>
      <w:r w:rsidR="001F7188">
        <w:rPr>
          <w:rFonts w:asciiTheme="majorHAnsi" w:hAnsiTheme="majorHAnsi"/>
          <w:sz w:val="24"/>
        </w:rPr>
        <w:t xml:space="preserve"> </w:t>
      </w:r>
      <w:r>
        <w:rPr>
          <w:rFonts w:asciiTheme="majorHAnsi" w:hAnsiTheme="majorHAnsi"/>
          <w:sz w:val="24"/>
        </w:rPr>
        <w:t>to the D</w:t>
      </w:r>
      <w:r w:rsidR="00BE7109">
        <w:rPr>
          <w:rFonts w:asciiTheme="majorHAnsi" w:hAnsiTheme="majorHAnsi"/>
          <w:sz w:val="24"/>
        </w:rPr>
        <w:t>oD Component, Fede</w:t>
      </w:r>
      <w:r w:rsidR="00753EFE">
        <w:rPr>
          <w:rFonts w:asciiTheme="majorHAnsi" w:hAnsiTheme="majorHAnsi"/>
          <w:sz w:val="24"/>
        </w:rPr>
        <w:t>ral Agency, or their contractor</w:t>
      </w:r>
      <w:r w:rsidR="00B23DF9">
        <w:rPr>
          <w:rFonts w:asciiTheme="majorHAnsi" w:hAnsiTheme="majorHAnsi"/>
          <w:sz w:val="24"/>
        </w:rPr>
        <w:t xml:space="preserve">.  </w:t>
      </w:r>
      <w:r w:rsidRPr="0080630B" w:rsidR="0080630B">
        <w:rPr>
          <w:rFonts w:asciiTheme="majorHAnsi" w:hAnsiTheme="majorHAnsi"/>
          <w:sz w:val="24"/>
        </w:rPr>
        <w:t>The DoD Trade Security Controls Program Office processes 100% of End-Use Certificates (DLA Form 1822) for workload through electronic submissions, utilizing either Common Access Card (CAC) encryption or the Department of Defense (DoD) Secure Access File Exchange (SAFE).</w:t>
      </w:r>
    </w:p>
    <w:p w:rsidR="00BE7109" w:rsidP="006E563D" w14:paraId="408FB049" w14:textId="77777777">
      <w:pPr>
        <w:spacing w:after="0" w:line="240" w:lineRule="auto"/>
        <w:rPr>
          <w:rFonts w:asciiTheme="majorHAnsi" w:hAnsiTheme="majorHAnsi"/>
          <w:i/>
          <w:sz w:val="24"/>
        </w:rPr>
      </w:pPr>
    </w:p>
    <w:p w:rsidR="008635C4" w:rsidP="006E563D" w14:paraId="636AB410" w14:textId="77777777">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8635C4" w:rsidP="006E563D" w14:paraId="0F8AB7F6" w14:textId="77777777">
      <w:pPr>
        <w:spacing w:after="0" w:line="240" w:lineRule="auto"/>
        <w:rPr>
          <w:rFonts w:asciiTheme="majorHAnsi" w:hAnsiTheme="majorHAnsi"/>
          <w:i/>
          <w:sz w:val="24"/>
        </w:rPr>
      </w:pPr>
      <w:r w:rsidRPr="00AD518A">
        <w:rPr>
          <w:rFonts w:asciiTheme="majorHAnsi" w:hAnsiTheme="majorHAnsi"/>
          <w:sz w:val="24"/>
        </w:rPr>
        <w:t xml:space="preserve">The information obtained through this collection is unique and </w:t>
      </w:r>
      <w:r w:rsidRPr="00AD518A" w:rsidR="00CA15B1">
        <w:rPr>
          <w:rFonts w:asciiTheme="majorHAnsi" w:hAnsiTheme="majorHAnsi"/>
          <w:sz w:val="24"/>
        </w:rPr>
        <w:t xml:space="preserve">is </w:t>
      </w:r>
      <w:r w:rsidRPr="00AD518A">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14:paraId="57C00C4B" w14:textId="77777777">
      <w:pPr>
        <w:spacing w:after="0" w:line="240" w:lineRule="auto"/>
        <w:rPr>
          <w:rFonts w:asciiTheme="majorHAnsi" w:hAnsiTheme="majorHAnsi"/>
          <w:i/>
          <w:sz w:val="24"/>
        </w:rPr>
      </w:pPr>
    </w:p>
    <w:p w:rsidR="00CA15B1" w:rsidP="006E563D" w14:paraId="7DA46E5C"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rsidR="00CA15B1" w:rsidP="006E563D" w14:paraId="282ACCD0" w14:textId="77777777">
      <w:pPr>
        <w:spacing w:after="0" w:line="240" w:lineRule="auto"/>
        <w:rPr>
          <w:rFonts w:asciiTheme="majorHAnsi" w:hAnsiTheme="majorHAnsi"/>
          <w:i/>
          <w:sz w:val="24"/>
        </w:rPr>
      </w:pPr>
      <w:r w:rsidRPr="00546F2E">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0D00181D" w14:textId="77777777">
      <w:pPr>
        <w:spacing w:after="0" w:line="240" w:lineRule="auto"/>
        <w:rPr>
          <w:rFonts w:asciiTheme="majorHAnsi" w:hAnsiTheme="majorHAnsi"/>
          <w:i/>
          <w:sz w:val="24"/>
        </w:rPr>
      </w:pPr>
    </w:p>
    <w:p w:rsidR="002567F9" w:rsidP="006E563D" w14:paraId="57A9CE20" w14:textId="77777777">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rsidR="00F86C35" w:rsidRPr="00546F2E" w:rsidP="007C72F3" w14:paraId="2855874E" w14:textId="77777777">
      <w:pPr>
        <w:spacing w:after="0" w:line="240" w:lineRule="auto"/>
        <w:rPr>
          <w:rFonts w:asciiTheme="majorHAnsi" w:hAnsiTheme="majorHAnsi"/>
          <w:sz w:val="24"/>
        </w:rPr>
      </w:pPr>
      <w:r w:rsidRPr="00546F2E">
        <w:rPr>
          <w:rFonts w:asciiTheme="majorHAnsi" w:hAnsiTheme="majorHAnsi"/>
          <w:sz w:val="24"/>
        </w:rPr>
        <w:t>The information in DLA Form 1822 is collected as necessary to meet Department of Defense mission requirements.</w:t>
      </w:r>
    </w:p>
    <w:p w:rsidR="00F86C35" w:rsidP="006E563D" w14:paraId="74348177" w14:textId="77777777">
      <w:pPr>
        <w:spacing w:after="0" w:line="240" w:lineRule="auto"/>
        <w:rPr>
          <w:rFonts w:asciiTheme="majorHAnsi" w:hAnsiTheme="majorHAnsi"/>
          <w:i/>
          <w:sz w:val="24"/>
        </w:rPr>
      </w:pPr>
    </w:p>
    <w:p w:rsidR="007C72F3" w:rsidP="007C72F3" w14:paraId="1D57B309" w14:textId="77777777">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rsidR="00200261" w:rsidRPr="00A06586" w:rsidP="007C72F3" w14:paraId="487C1D09" w14:textId="77777777">
      <w:pPr>
        <w:spacing w:after="0" w:line="240" w:lineRule="auto"/>
        <w:rPr>
          <w:rFonts w:asciiTheme="majorHAnsi" w:hAnsiTheme="majorHAnsi"/>
          <w:sz w:val="24"/>
          <w:szCs w:val="24"/>
          <w:u w:val="single"/>
        </w:rPr>
      </w:pPr>
      <w:r w:rsidRPr="00A06586">
        <w:rPr>
          <w:rFonts w:asciiTheme="majorHAnsi" w:hAnsiTheme="majorHAnsi"/>
          <w:sz w:val="24"/>
          <w:szCs w:val="24"/>
        </w:rPr>
        <w:t xml:space="preserve">This collection of information does not require collection to be conducted in a manner inconsistent with the guidelines delineated in 5 CFR 1320.5(d)(2). </w:t>
      </w:r>
    </w:p>
    <w:p w:rsidR="00200261" w:rsidP="00200261" w14:paraId="5C72C805"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424112" w:rsidRPr="00424112" w:rsidP="00424112" w14:paraId="3A705B48" w14:textId="77777777">
      <w:pPr>
        <w:pStyle w:val="NormalWeb"/>
        <w:spacing w:line="288" w:lineRule="atLeast"/>
        <w:rPr>
          <w:rFonts w:asciiTheme="majorHAnsi" w:eastAsiaTheme="minorHAnsi" w:hAnsiTheme="majorHAnsi" w:cstheme="minorBidi"/>
          <w:szCs w:val="22"/>
        </w:rPr>
      </w:pPr>
      <w:r w:rsidRPr="00424112">
        <w:rPr>
          <w:rFonts w:asciiTheme="majorHAnsi" w:eastAsiaTheme="minorHAnsi" w:hAnsiTheme="majorHAnsi" w:cstheme="minorBidi"/>
          <w:szCs w:val="22"/>
        </w:rPr>
        <w:t>Part A: PUBLIC NOTICE</w:t>
      </w:r>
    </w:p>
    <w:p w:rsidR="00424112" w:rsidRPr="00424112" w:rsidP="00424112" w14:paraId="036AAF7A" w14:textId="1A66C0D6">
      <w:pPr>
        <w:pStyle w:val="NormalWeb"/>
        <w:spacing w:line="288" w:lineRule="atLeast"/>
        <w:rPr>
          <w:rFonts w:asciiTheme="majorHAnsi" w:eastAsiaTheme="minorHAnsi" w:hAnsiTheme="majorHAnsi" w:cstheme="minorBidi"/>
          <w:szCs w:val="22"/>
        </w:rPr>
      </w:pPr>
      <w:r w:rsidRPr="00A569FC">
        <w:rPr>
          <w:rFonts w:asciiTheme="majorHAnsi" w:eastAsiaTheme="minorHAnsi" w:hAnsiTheme="majorHAnsi" w:cstheme="minorBidi"/>
          <w:szCs w:val="22"/>
        </w:rPr>
        <w:t xml:space="preserve">A 60-Day Federal Register Notice (FRN) for the collection published </w:t>
      </w:r>
      <w:r w:rsidRPr="00A569FC" w:rsidR="003A17DA">
        <w:rPr>
          <w:rFonts w:asciiTheme="majorHAnsi" w:eastAsiaTheme="minorHAnsi" w:hAnsiTheme="majorHAnsi" w:cstheme="minorBidi"/>
          <w:szCs w:val="22"/>
        </w:rPr>
        <w:t>on</w:t>
      </w:r>
      <w:r w:rsidRPr="00A569FC" w:rsidR="007535FD">
        <w:rPr>
          <w:rFonts w:asciiTheme="majorHAnsi" w:eastAsiaTheme="minorHAnsi" w:hAnsiTheme="majorHAnsi" w:cstheme="minorBidi"/>
          <w:szCs w:val="22"/>
        </w:rPr>
        <w:t xml:space="preserve"> Friday, October 11, 2024</w:t>
      </w:r>
      <w:r w:rsidRPr="00A569FC" w:rsidR="003A17DA">
        <w:rPr>
          <w:rFonts w:asciiTheme="majorHAnsi" w:eastAsiaTheme="minorHAnsi" w:hAnsiTheme="majorHAnsi" w:cstheme="minorBidi"/>
          <w:szCs w:val="22"/>
        </w:rPr>
        <w:t>.</w:t>
      </w:r>
      <w:r w:rsidRPr="00A569FC">
        <w:rPr>
          <w:rFonts w:asciiTheme="majorHAnsi" w:eastAsiaTheme="minorHAnsi" w:hAnsiTheme="majorHAnsi" w:cstheme="minorBidi"/>
          <w:szCs w:val="22"/>
        </w:rPr>
        <w:t xml:space="preserve">  The 60-Day FRN citation </w:t>
      </w:r>
      <w:r w:rsidRPr="00A569FC" w:rsidR="003A17DA">
        <w:rPr>
          <w:rFonts w:asciiTheme="majorHAnsi" w:eastAsiaTheme="minorHAnsi" w:hAnsiTheme="majorHAnsi" w:cstheme="minorBidi"/>
          <w:szCs w:val="22"/>
        </w:rPr>
        <w:t>is</w:t>
      </w:r>
      <w:r w:rsidRPr="00A569FC" w:rsidR="007535FD">
        <w:rPr>
          <w:rFonts w:asciiTheme="majorHAnsi" w:eastAsiaTheme="minorHAnsi" w:hAnsiTheme="majorHAnsi" w:cstheme="minorBidi"/>
          <w:szCs w:val="22"/>
        </w:rPr>
        <w:t xml:space="preserve"> 89 FR 82587</w:t>
      </w:r>
      <w:r w:rsidRPr="00A569FC" w:rsidR="003A17DA">
        <w:rPr>
          <w:rFonts w:asciiTheme="majorHAnsi" w:eastAsiaTheme="minorHAnsi" w:hAnsiTheme="majorHAnsi" w:cstheme="minorBidi"/>
          <w:szCs w:val="22"/>
        </w:rPr>
        <w:t>.</w:t>
      </w:r>
      <w:r w:rsidRPr="00424112">
        <w:rPr>
          <w:rFonts w:asciiTheme="majorHAnsi" w:eastAsiaTheme="minorHAnsi" w:hAnsiTheme="majorHAnsi" w:cstheme="minorBidi"/>
          <w:szCs w:val="22"/>
        </w:rPr>
        <w:t xml:space="preserve"> </w:t>
      </w:r>
    </w:p>
    <w:p w:rsidR="00424112" w:rsidRPr="00424112" w:rsidP="00424112" w14:paraId="2EDA9863" w14:textId="77777777">
      <w:pPr>
        <w:pStyle w:val="NormalWeb"/>
        <w:spacing w:line="288" w:lineRule="atLeast"/>
        <w:rPr>
          <w:rFonts w:asciiTheme="majorHAnsi" w:eastAsiaTheme="minorHAnsi" w:hAnsiTheme="majorHAnsi" w:cstheme="minorBidi"/>
          <w:szCs w:val="22"/>
        </w:rPr>
      </w:pPr>
      <w:r w:rsidRPr="00424112">
        <w:rPr>
          <w:rFonts w:asciiTheme="majorHAnsi" w:eastAsiaTheme="minorHAnsi" w:hAnsiTheme="majorHAnsi" w:cstheme="minorBidi"/>
          <w:szCs w:val="22"/>
        </w:rPr>
        <w:t xml:space="preserve">No comments were received during the 60-Day Comment Period. </w:t>
      </w:r>
    </w:p>
    <w:p w:rsidR="00424112" w:rsidP="00424112" w14:paraId="1314E93B" w14:textId="418FA10F">
      <w:pPr>
        <w:pStyle w:val="NormalWeb"/>
        <w:spacing w:line="288" w:lineRule="atLeast"/>
        <w:rPr>
          <w:rFonts w:asciiTheme="majorHAnsi" w:eastAsiaTheme="minorHAnsi" w:hAnsiTheme="majorHAnsi" w:cstheme="minorBidi"/>
          <w:szCs w:val="22"/>
        </w:rPr>
      </w:pPr>
      <w:r w:rsidRPr="00633F9D">
        <w:rPr>
          <w:rFonts w:asciiTheme="majorHAnsi" w:eastAsiaTheme="minorHAnsi" w:hAnsiTheme="majorHAnsi" w:cstheme="minorBidi"/>
          <w:szCs w:val="22"/>
        </w:rPr>
        <w:t xml:space="preserve">A 30-Day Federal Register Notice for the collection published </w:t>
      </w:r>
      <w:r w:rsidRPr="00633F9D" w:rsidR="003A17DA">
        <w:rPr>
          <w:rFonts w:asciiTheme="majorHAnsi" w:eastAsiaTheme="minorHAnsi" w:hAnsiTheme="majorHAnsi" w:cstheme="minorBidi"/>
          <w:szCs w:val="22"/>
        </w:rPr>
        <w:t>on</w:t>
      </w:r>
      <w:r w:rsidRPr="00633F9D" w:rsidR="002B2E6E">
        <w:rPr>
          <w:rFonts w:asciiTheme="majorHAnsi" w:eastAsiaTheme="minorHAnsi" w:hAnsiTheme="majorHAnsi" w:cstheme="minorBidi"/>
          <w:szCs w:val="22"/>
        </w:rPr>
        <w:t xml:space="preserve"> Tuesday, December 31, 2024</w:t>
      </w:r>
      <w:r w:rsidRPr="00633F9D" w:rsidR="003A17DA">
        <w:rPr>
          <w:rFonts w:asciiTheme="majorHAnsi" w:eastAsiaTheme="minorHAnsi" w:hAnsiTheme="majorHAnsi" w:cstheme="minorBidi"/>
          <w:szCs w:val="22"/>
        </w:rPr>
        <w:t>.</w:t>
      </w:r>
      <w:r w:rsidRPr="00633F9D">
        <w:rPr>
          <w:rFonts w:asciiTheme="majorHAnsi" w:eastAsiaTheme="minorHAnsi" w:hAnsiTheme="majorHAnsi" w:cstheme="minorBidi"/>
          <w:szCs w:val="22"/>
        </w:rPr>
        <w:t xml:space="preserve">  The 30-Day FRN citation </w:t>
      </w:r>
      <w:r w:rsidRPr="00633F9D" w:rsidR="003A17DA">
        <w:rPr>
          <w:rFonts w:asciiTheme="majorHAnsi" w:eastAsiaTheme="minorHAnsi" w:hAnsiTheme="majorHAnsi" w:cstheme="minorBidi"/>
          <w:szCs w:val="22"/>
        </w:rPr>
        <w:t>is</w:t>
      </w:r>
      <w:r w:rsidRPr="00633F9D" w:rsidR="002B2E6E">
        <w:rPr>
          <w:rFonts w:asciiTheme="majorHAnsi" w:eastAsiaTheme="minorHAnsi" w:hAnsiTheme="majorHAnsi" w:cstheme="minorBidi"/>
          <w:szCs w:val="22"/>
        </w:rPr>
        <w:t xml:space="preserve"> 89 FR </w:t>
      </w:r>
      <w:r w:rsidRPr="00633F9D" w:rsidR="00633F9D">
        <w:rPr>
          <w:rFonts w:asciiTheme="majorHAnsi" w:eastAsiaTheme="minorHAnsi" w:hAnsiTheme="majorHAnsi" w:cstheme="minorBidi"/>
          <w:szCs w:val="22"/>
        </w:rPr>
        <w:t>107116</w:t>
      </w:r>
      <w:r w:rsidRPr="00633F9D" w:rsidR="003A17DA">
        <w:rPr>
          <w:rFonts w:asciiTheme="majorHAnsi" w:eastAsiaTheme="minorHAnsi" w:hAnsiTheme="majorHAnsi" w:cstheme="minorBidi"/>
          <w:szCs w:val="22"/>
        </w:rPr>
        <w:t>.</w:t>
      </w:r>
    </w:p>
    <w:p w:rsidR="00200261" w:rsidP="00424112" w14:paraId="2444390D"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rsidR="00571698" w:rsidRPr="007C72F3" w:rsidP="007C72F3" w14:paraId="684D7F89" w14:textId="77777777">
      <w:pPr>
        <w:pStyle w:val="NormalWeb"/>
        <w:spacing w:line="288" w:lineRule="atLeast"/>
        <w:rPr>
          <w:rFonts w:asciiTheme="majorHAnsi" w:eastAsiaTheme="minorHAnsi" w:hAnsiTheme="majorHAnsi" w:cstheme="minorBidi"/>
          <w:szCs w:val="22"/>
        </w:rPr>
      </w:pPr>
      <w:r w:rsidRPr="007C72F3">
        <w:rPr>
          <w:rFonts w:asciiTheme="majorHAnsi" w:eastAsiaTheme="minorHAnsi" w:hAnsiTheme="majorHAnsi" w:cstheme="minorBidi"/>
          <w:szCs w:val="22"/>
        </w:rPr>
        <w:t>No additional consultation apart from soliciting public comments through the 60-Day Federal Register Noticed was conducted for this submission.</w:t>
      </w:r>
      <w:r w:rsidR="007C72F3">
        <w:rPr>
          <w:rFonts w:asciiTheme="majorHAnsi" w:eastAsiaTheme="minorHAnsi" w:hAnsiTheme="majorHAnsi" w:cstheme="minorBidi"/>
          <w:szCs w:val="22"/>
        </w:rPr>
        <w:t xml:space="preserve"> </w:t>
      </w:r>
    </w:p>
    <w:p w:rsidR="00571698" w:rsidP="006E563D" w14:paraId="0022A67B" w14:textId="77777777">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6A13FA" w:rsidP="006A13FA" w14:paraId="4C596BE3" w14:textId="77777777">
      <w:pPr>
        <w:spacing w:after="0" w:line="240" w:lineRule="auto"/>
        <w:rPr>
          <w:rFonts w:asciiTheme="majorHAnsi" w:hAnsiTheme="majorHAnsi"/>
          <w:i/>
          <w:sz w:val="24"/>
        </w:rPr>
      </w:pPr>
      <w:r w:rsidRPr="007C72F3">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1D8CCDF1" w14:textId="77777777">
      <w:pPr>
        <w:spacing w:after="0" w:line="240" w:lineRule="auto"/>
        <w:rPr>
          <w:rFonts w:asciiTheme="majorHAnsi" w:hAnsiTheme="majorHAnsi"/>
          <w:sz w:val="24"/>
        </w:rPr>
      </w:pPr>
    </w:p>
    <w:p w:rsidR="00F97482" w:rsidP="006A13FA" w14:paraId="3DC55CAF"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00E95FFB" w:rsidRPr="00424112" w:rsidP="007C72F3" w14:paraId="57818003" w14:textId="77777777">
      <w:pPr>
        <w:spacing w:after="0" w:line="240" w:lineRule="auto"/>
        <w:rPr>
          <w:rFonts w:asciiTheme="majorHAnsi" w:hAnsiTheme="majorHAnsi"/>
          <w:sz w:val="24"/>
        </w:rPr>
      </w:pPr>
      <w:r w:rsidRPr="00424112">
        <w:rPr>
          <w:rFonts w:asciiTheme="majorHAnsi" w:hAnsiTheme="majorHAnsi" w:cs="Times New Roman"/>
          <w:sz w:val="24"/>
        </w:rPr>
        <w:t>A Privacy Act Statement is required and is present on the DL 1822, End Use Certificate.  The top of the DL 1822 states, “Please read Privacy Act Statement on page 2 before completing this form.” The Privacy Act Statement on page 2 conforms with DoD and DLA policy requirements</w:t>
      </w:r>
      <w:r w:rsidRPr="00424112">
        <w:rPr>
          <w:rFonts w:asciiTheme="majorHAnsi" w:hAnsiTheme="majorHAnsi"/>
          <w:i/>
          <w:sz w:val="24"/>
        </w:rPr>
        <w:t>.</w:t>
      </w:r>
      <w:r w:rsidRPr="00424112">
        <w:rPr>
          <w:rFonts w:asciiTheme="majorHAnsi" w:hAnsiTheme="majorHAnsi"/>
          <w:sz w:val="24"/>
        </w:rPr>
        <w:t xml:space="preserve"> </w:t>
      </w:r>
    </w:p>
    <w:p w:rsidR="00E95FFB" w:rsidP="00E95FFB" w14:paraId="1E18D626" w14:textId="77777777">
      <w:pPr>
        <w:spacing w:after="0" w:line="240" w:lineRule="auto"/>
        <w:rPr>
          <w:rFonts w:asciiTheme="majorHAnsi" w:hAnsiTheme="majorHAnsi"/>
          <w:sz w:val="24"/>
        </w:rPr>
      </w:pPr>
    </w:p>
    <w:p w:rsidR="00490797" w:rsidRPr="00546F2E" w:rsidP="00424112" w14:paraId="39DC283A" w14:textId="77777777">
      <w:pPr>
        <w:spacing w:after="0" w:line="240" w:lineRule="auto"/>
        <w:rPr>
          <w:rFonts w:asciiTheme="majorHAnsi" w:hAnsiTheme="majorHAnsi"/>
          <w:sz w:val="24"/>
        </w:rPr>
      </w:pPr>
      <w:r>
        <w:rPr>
          <w:rFonts w:asciiTheme="majorHAnsi" w:hAnsiTheme="majorHAnsi"/>
          <w:sz w:val="24"/>
        </w:rPr>
        <w:t>A System of Record Notice for this collection is required.</w:t>
      </w:r>
      <w:r w:rsidRPr="00546F2E" w:rsidR="007C72F3">
        <w:rPr>
          <w:rFonts w:asciiTheme="majorHAnsi" w:hAnsiTheme="majorHAnsi"/>
          <w:sz w:val="24"/>
        </w:rPr>
        <w:t xml:space="preserve">  It can be located at: </w:t>
      </w:r>
      <w:hyperlink r:id="rId5" w:history="1">
        <w:r w:rsidRPr="00546F2E" w:rsidR="00932EC9">
          <w:rPr>
            <w:rStyle w:val="Hyperlink"/>
            <w:rFonts w:asciiTheme="majorHAnsi" w:hAnsiTheme="majorHAnsi"/>
            <w:sz w:val="24"/>
          </w:rPr>
          <w:t>https://dpcld.defense.gov/Privacy/SORNsIndex/DOD-wide-SORN-Article-View/Article/570273/s64045/</w:t>
        </w:r>
      </w:hyperlink>
      <w:r w:rsidRPr="00546F2E" w:rsidR="00932EC9">
        <w:rPr>
          <w:rFonts w:asciiTheme="majorHAnsi" w:hAnsiTheme="majorHAnsi"/>
          <w:sz w:val="24"/>
        </w:rPr>
        <w:t xml:space="preserve"> </w:t>
      </w:r>
    </w:p>
    <w:p w:rsidR="005D5C81" w:rsidP="00490797" w14:paraId="4E000A4B" w14:textId="77777777">
      <w:pPr>
        <w:spacing w:after="0" w:line="240" w:lineRule="auto"/>
        <w:rPr>
          <w:rFonts w:asciiTheme="majorHAnsi" w:hAnsiTheme="majorHAnsi"/>
          <w:sz w:val="24"/>
        </w:rPr>
      </w:pPr>
    </w:p>
    <w:p w:rsidR="004F26EE" w:rsidP="005B6C5A" w14:paraId="6693609A" w14:textId="77777777">
      <w:pPr>
        <w:spacing w:after="0" w:line="240" w:lineRule="auto"/>
        <w:rPr>
          <w:rFonts w:asciiTheme="majorHAnsi" w:hAnsiTheme="majorHAnsi"/>
          <w:sz w:val="24"/>
        </w:rPr>
      </w:pPr>
      <w:r>
        <w:rPr>
          <w:rFonts w:asciiTheme="majorHAnsi" w:hAnsiTheme="majorHAnsi"/>
          <w:sz w:val="24"/>
        </w:rPr>
        <w:t xml:space="preserve">The Defense Logistics Agency Criminal Incident Reporting System (DCIRS) is the only electronic system in which the DLA Form 1822 is stored.  </w:t>
      </w:r>
    </w:p>
    <w:p w:rsidR="004F26EE" w:rsidP="005B6C5A" w14:paraId="08B2B3AD" w14:textId="77777777">
      <w:pPr>
        <w:spacing w:after="0" w:line="240" w:lineRule="auto"/>
        <w:rPr>
          <w:rFonts w:asciiTheme="majorHAnsi" w:hAnsiTheme="majorHAnsi"/>
          <w:sz w:val="24"/>
        </w:rPr>
      </w:pPr>
    </w:p>
    <w:p w:rsidR="00996894" w:rsidP="005B6C5A" w14:paraId="7297B530" w14:textId="387510A5">
      <w:pPr>
        <w:spacing w:after="0" w:line="240" w:lineRule="auto"/>
        <w:rPr>
          <w:rFonts w:asciiTheme="majorHAnsi" w:hAnsiTheme="majorHAnsi"/>
          <w:sz w:val="24"/>
        </w:rPr>
      </w:pPr>
      <w:r>
        <w:rPr>
          <w:rFonts w:asciiTheme="majorHAnsi" w:hAnsiTheme="majorHAnsi"/>
          <w:sz w:val="24"/>
        </w:rPr>
        <w:t>The Privacy Impact Assessment for DCIRS is included with this submission</w:t>
      </w:r>
      <w:r w:rsidR="00954FE4">
        <w:rPr>
          <w:rFonts w:asciiTheme="majorHAnsi" w:hAnsiTheme="majorHAnsi"/>
          <w:sz w:val="24"/>
        </w:rPr>
        <w:t>.</w:t>
      </w:r>
    </w:p>
    <w:p w:rsidR="00424112" w:rsidP="005B6C5A" w14:paraId="410ED964" w14:textId="77777777">
      <w:pPr>
        <w:spacing w:after="0" w:line="240" w:lineRule="auto"/>
        <w:rPr>
          <w:rFonts w:asciiTheme="majorHAnsi" w:hAnsiTheme="majorHAnsi"/>
          <w:sz w:val="24"/>
        </w:rPr>
      </w:pPr>
    </w:p>
    <w:p w:rsidR="00424112" w:rsidRPr="00546F2E" w:rsidP="005B6C5A" w14:paraId="71B69AFB" w14:textId="5CFB7DB4">
      <w:pPr>
        <w:spacing w:after="0" w:line="240" w:lineRule="auto"/>
        <w:rPr>
          <w:rFonts w:asciiTheme="majorHAnsi" w:hAnsiTheme="majorHAnsi"/>
          <w:sz w:val="24"/>
        </w:rPr>
      </w:pPr>
      <w:r>
        <w:rPr>
          <w:rFonts w:asciiTheme="majorHAnsi" w:hAnsiTheme="majorHAnsi"/>
          <w:sz w:val="24"/>
        </w:rPr>
        <w:t xml:space="preserve">Records are </w:t>
      </w:r>
      <w:r w:rsidR="00623E87">
        <w:rPr>
          <w:rFonts w:asciiTheme="majorHAnsi" w:hAnsiTheme="majorHAnsi"/>
          <w:sz w:val="24"/>
        </w:rPr>
        <w:t>re</w:t>
      </w:r>
      <w:r>
        <w:rPr>
          <w:rFonts w:asciiTheme="majorHAnsi" w:hAnsiTheme="majorHAnsi"/>
          <w:sz w:val="24"/>
        </w:rPr>
        <w:t xml:space="preserve">tained in accordance with </w:t>
      </w:r>
      <w:r w:rsidR="00D51B42">
        <w:rPr>
          <w:rFonts w:asciiTheme="majorHAnsi" w:hAnsiTheme="majorHAnsi"/>
          <w:sz w:val="24"/>
        </w:rPr>
        <w:t xml:space="preserve">NARA approved </w:t>
      </w:r>
      <w:r>
        <w:rPr>
          <w:rFonts w:asciiTheme="majorHAnsi" w:hAnsiTheme="majorHAnsi"/>
          <w:sz w:val="24"/>
        </w:rPr>
        <w:t xml:space="preserve">DLA Records </w:t>
      </w:r>
      <w:r w:rsidR="00D51B42">
        <w:rPr>
          <w:rFonts w:asciiTheme="majorHAnsi" w:hAnsiTheme="majorHAnsi"/>
          <w:sz w:val="24"/>
        </w:rPr>
        <w:t xml:space="preserve">Retention </w:t>
      </w:r>
      <w:r>
        <w:rPr>
          <w:rFonts w:asciiTheme="majorHAnsi" w:hAnsiTheme="majorHAnsi"/>
          <w:sz w:val="24"/>
        </w:rPr>
        <w:t xml:space="preserve">Schedule 6055.02, Temporary. Cutoff at end of event and destroy/erase 25 years after the completion of investigation. </w:t>
      </w:r>
    </w:p>
    <w:p w:rsidR="00996894" w:rsidP="00996894" w14:paraId="05647E3B" w14:textId="77777777">
      <w:pPr>
        <w:spacing w:after="0" w:line="240" w:lineRule="auto"/>
        <w:rPr>
          <w:rFonts w:asciiTheme="majorHAnsi" w:hAnsiTheme="majorHAnsi"/>
          <w:i/>
          <w:sz w:val="24"/>
        </w:rPr>
      </w:pPr>
    </w:p>
    <w:p w:rsidR="00996894" w:rsidP="00996894" w14:paraId="7B4B5866"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35101E" w:rsidP="00337EF1" w14:paraId="2FCEACB9" w14:textId="2FF2336A">
      <w:pPr>
        <w:spacing w:after="0" w:line="240" w:lineRule="auto"/>
        <w:rPr>
          <w:rFonts w:asciiTheme="majorHAnsi" w:hAnsiTheme="majorHAnsi"/>
          <w:sz w:val="24"/>
        </w:rPr>
      </w:pPr>
      <w:r w:rsidRPr="0035101E">
        <w:rPr>
          <w:rFonts w:asciiTheme="majorHAnsi" w:hAnsiTheme="majorHAnsi"/>
          <w:sz w:val="24"/>
        </w:rPr>
        <w:t>Social Security Number is collected on the DLA Form 1822.</w:t>
      </w:r>
      <w:r w:rsidR="003A17DA">
        <w:rPr>
          <w:rFonts w:asciiTheme="majorHAnsi" w:hAnsiTheme="majorHAnsi"/>
          <w:sz w:val="24"/>
        </w:rPr>
        <w:t xml:space="preserve">  </w:t>
      </w:r>
      <w:r w:rsidRPr="0035101E" w:rsidR="003A17DA">
        <w:rPr>
          <w:rFonts w:asciiTheme="majorHAnsi" w:hAnsiTheme="majorHAnsi"/>
          <w:sz w:val="24"/>
        </w:rPr>
        <w:t>An</w:t>
      </w:r>
      <w:r w:rsidRPr="0035101E">
        <w:rPr>
          <w:rFonts w:asciiTheme="majorHAnsi" w:hAnsiTheme="majorHAnsi"/>
          <w:sz w:val="24"/>
        </w:rPr>
        <w:t xml:space="preserve"> SSN Justification Memo is included in this package for OMB’s review. </w:t>
      </w:r>
    </w:p>
    <w:p w:rsidR="00D21AA6" w:rsidP="00337EF1" w14:paraId="73601099" w14:textId="77777777">
      <w:pPr>
        <w:spacing w:after="0" w:line="240" w:lineRule="auto"/>
        <w:rPr>
          <w:rFonts w:asciiTheme="majorHAnsi" w:hAnsiTheme="majorHAnsi"/>
          <w:sz w:val="24"/>
        </w:rPr>
      </w:pPr>
    </w:p>
    <w:p w:rsidR="00D21AA6" w:rsidP="00337EF1" w14:paraId="4769BBD6"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E65CB4" w:rsidRPr="00E65CB4" w:rsidP="00E65CB4" w14:paraId="3E57DD21" w14:textId="77777777">
      <w:pPr>
        <w:spacing w:before="100" w:beforeAutospacing="1" w:after="0" w:line="288" w:lineRule="atLeast"/>
        <w:rPr>
          <w:rFonts w:asciiTheme="majorHAnsi" w:hAnsiTheme="majorHAnsi"/>
          <w:sz w:val="24"/>
        </w:rPr>
      </w:pPr>
      <w:r w:rsidRPr="00E65CB4">
        <w:rPr>
          <w:rFonts w:asciiTheme="majorHAnsi" w:hAnsiTheme="majorHAnsi"/>
          <w:sz w:val="24"/>
        </w:rPr>
        <w:t>Part A: ESTIMATION OF RESPONDENT BURDEN</w:t>
      </w:r>
    </w:p>
    <w:p w:rsidR="00E65CB4" w:rsidRPr="00E65CB4" w:rsidP="00E65CB4" w14:paraId="4BCB1367" w14:textId="77777777">
      <w:pPr>
        <w:spacing w:after="0" w:line="240" w:lineRule="auto"/>
        <w:rPr>
          <w:rFonts w:asciiTheme="majorHAnsi" w:hAnsiTheme="majorHAnsi"/>
          <w:i/>
          <w:sz w:val="24"/>
        </w:rPr>
      </w:pPr>
    </w:p>
    <w:p w:rsidR="00E65CB4" w:rsidRPr="00E65CB4" w:rsidP="00E65CB4" w14:paraId="48B43D25" w14:textId="77777777">
      <w:pPr>
        <w:numPr>
          <w:ilvl w:val="0"/>
          <w:numId w:val="17"/>
        </w:numPr>
        <w:spacing w:after="0" w:line="240" w:lineRule="auto"/>
        <w:contextualSpacing/>
        <w:rPr>
          <w:rFonts w:asciiTheme="majorHAnsi" w:hAnsiTheme="majorHAnsi"/>
          <w:sz w:val="24"/>
        </w:rPr>
      </w:pPr>
      <w:r w:rsidRPr="00E65CB4">
        <w:rPr>
          <w:rFonts w:asciiTheme="majorHAnsi" w:hAnsiTheme="majorHAnsi"/>
          <w:sz w:val="24"/>
        </w:rPr>
        <w:t>Collection Instrument(s)</w:t>
      </w:r>
    </w:p>
    <w:p w:rsidR="00E65CB4" w:rsidRPr="00E65CB4" w:rsidP="00E65CB4" w14:paraId="459A8F68" w14:textId="77777777">
      <w:pPr>
        <w:spacing w:after="0" w:line="240" w:lineRule="auto"/>
        <w:ind w:left="720"/>
        <w:contextualSpacing/>
        <w:rPr>
          <w:rFonts w:asciiTheme="majorHAnsi" w:hAnsiTheme="majorHAnsi"/>
          <w:b/>
          <w:sz w:val="24"/>
        </w:rPr>
      </w:pPr>
      <w:r w:rsidRPr="00E65CB4">
        <w:rPr>
          <w:rFonts w:asciiTheme="majorHAnsi" w:hAnsiTheme="majorHAnsi"/>
          <w:b/>
          <w:sz w:val="24"/>
        </w:rPr>
        <w:t xml:space="preserve">DLA Form 1822 </w:t>
      </w:r>
    </w:p>
    <w:p w:rsidR="00E65CB4" w:rsidRPr="00E65CB4" w:rsidP="00E65CB4" w14:paraId="557C4FE3" w14:textId="77777777">
      <w:pPr>
        <w:numPr>
          <w:ilvl w:val="0"/>
          <w:numId w:val="18"/>
        </w:numPr>
        <w:spacing w:after="0" w:line="240" w:lineRule="auto"/>
        <w:contextualSpacing/>
        <w:rPr>
          <w:rFonts w:asciiTheme="majorHAnsi" w:hAnsiTheme="majorHAnsi"/>
          <w:sz w:val="24"/>
        </w:rPr>
      </w:pPr>
      <w:r w:rsidRPr="00E65CB4">
        <w:rPr>
          <w:rFonts w:asciiTheme="majorHAnsi" w:hAnsiTheme="majorHAnsi"/>
          <w:sz w:val="24"/>
        </w:rPr>
        <w:t>Number of Respondents: 42,000</w:t>
      </w:r>
    </w:p>
    <w:p w:rsidR="00E65CB4" w:rsidRPr="00E65CB4" w:rsidP="00E65CB4" w14:paraId="1D119FC4" w14:textId="77777777">
      <w:pPr>
        <w:numPr>
          <w:ilvl w:val="0"/>
          <w:numId w:val="18"/>
        </w:numPr>
        <w:spacing w:after="0" w:line="240" w:lineRule="auto"/>
        <w:contextualSpacing/>
        <w:rPr>
          <w:rFonts w:asciiTheme="majorHAnsi" w:hAnsiTheme="majorHAnsi"/>
          <w:sz w:val="24"/>
        </w:rPr>
      </w:pPr>
      <w:r w:rsidRPr="00E65CB4">
        <w:rPr>
          <w:rFonts w:asciiTheme="majorHAnsi" w:hAnsiTheme="majorHAnsi"/>
          <w:sz w:val="24"/>
        </w:rPr>
        <w:t>Number of Responses Per Respondent: 1</w:t>
      </w:r>
    </w:p>
    <w:p w:rsidR="00E65CB4" w:rsidRPr="00E65CB4" w:rsidP="00E65CB4" w14:paraId="482AF60C" w14:textId="77777777">
      <w:pPr>
        <w:numPr>
          <w:ilvl w:val="0"/>
          <w:numId w:val="18"/>
        </w:numPr>
        <w:spacing w:after="0" w:line="240" w:lineRule="auto"/>
        <w:contextualSpacing/>
        <w:rPr>
          <w:rFonts w:asciiTheme="majorHAnsi" w:hAnsiTheme="majorHAnsi"/>
          <w:sz w:val="24"/>
        </w:rPr>
      </w:pPr>
      <w:r w:rsidRPr="00E65CB4">
        <w:rPr>
          <w:rFonts w:asciiTheme="majorHAnsi" w:hAnsiTheme="majorHAnsi"/>
          <w:sz w:val="24"/>
        </w:rPr>
        <w:t>Number of Total Annual Responses: 42,000</w:t>
      </w:r>
    </w:p>
    <w:p w:rsidR="00E65CB4" w:rsidRPr="00E65CB4" w:rsidP="00E65CB4" w14:paraId="332E0E04" w14:textId="0DD8BCE6">
      <w:pPr>
        <w:numPr>
          <w:ilvl w:val="0"/>
          <w:numId w:val="18"/>
        </w:numPr>
        <w:spacing w:after="0" w:line="240" w:lineRule="auto"/>
        <w:contextualSpacing/>
        <w:rPr>
          <w:rFonts w:asciiTheme="majorHAnsi" w:hAnsiTheme="majorHAnsi"/>
          <w:sz w:val="24"/>
        </w:rPr>
      </w:pPr>
      <w:r w:rsidRPr="00E65CB4">
        <w:rPr>
          <w:rFonts w:asciiTheme="majorHAnsi" w:hAnsiTheme="majorHAnsi"/>
          <w:sz w:val="24"/>
        </w:rPr>
        <w:t>Response Time: 20 minutes</w:t>
      </w:r>
      <w:r w:rsidR="006827AB">
        <w:rPr>
          <w:rFonts w:asciiTheme="majorHAnsi" w:hAnsiTheme="majorHAnsi"/>
          <w:sz w:val="24"/>
        </w:rPr>
        <w:t xml:space="preserve"> </w:t>
      </w:r>
    </w:p>
    <w:p w:rsidR="00E65CB4" w:rsidRPr="00E65CB4" w:rsidP="00E65CB4" w14:paraId="08DC7943" w14:textId="77777777">
      <w:pPr>
        <w:numPr>
          <w:ilvl w:val="0"/>
          <w:numId w:val="18"/>
        </w:numPr>
        <w:spacing w:after="0" w:line="240" w:lineRule="auto"/>
        <w:contextualSpacing/>
        <w:rPr>
          <w:rFonts w:asciiTheme="majorHAnsi" w:hAnsiTheme="majorHAnsi"/>
          <w:sz w:val="24"/>
        </w:rPr>
      </w:pPr>
      <w:r w:rsidRPr="00E65CB4">
        <w:rPr>
          <w:rFonts w:asciiTheme="majorHAnsi" w:hAnsiTheme="majorHAnsi"/>
          <w:sz w:val="24"/>
        </w:rPr>
        <w:t xml:space="preserve">Respondent Burden Hours: 14,000 hours </w:t>
      </w:r>
    </w:p>
    <w:p w:rsidR="00E65CB4" w:rsidRPr="00E65CB4" w:rsidP="00E65CB4" w14:paraId="0D24AF99" w14:textId="77777777">
      <w:pPr>
        <w:spacing w:after="0" w:line="240" w:lineRule="auto"/>
        <w:ind w:left="1440"/>
        <w:contextualSpacing/>
        <w:rPr>
          <w:rFonts w:asciiTheme="majorHAnsi" w:hAnsiTheme="majorHAnsi"/>
          <w:sz w:val="24"/>
        </w:rPr>
      </w:pPr>
    </w:p>
    <w:p w:rsidR="00E65CB4" w:rsidRPr="00E65CB4" w:rsidP="00E65CB4" w14:paraId="53713328" w14:textId="77777777">
      <w:pPr>
        <w:numPr>
          <w:ilvl w:val="0"/>
          <w:numId w:val="17"/>
        </w:numPr>
        <w:spacing w:after="0" w:line="240" w:lineRule="auto"/>
        <w:contextualSpacing/>
        <w:rPr>
          <w:rFonts w:asciiTheme="majorHAnsi" w:hAnsiTheme="majorHAnsi"/>
          <w:sz w:val="24"/>
        </w:rPr>
      </w:pPr>
      <w:r w:rsidRPr="00E65CB4">
        <w:rPr>
          <w:rFonts w:asciiTheme="majorHAnsi" w:hAnsiTheme="majorHAnsi"/>
          <w:sz w:val="24"/>
        </w:rPr>
        <w:t xml:space="preserve">Total Submission Burden </w:t>
      </w:r>
    </w:p>
    <w:p w:rsidR="00E65CB4" w:rsidRPr="00E65CB4" w:rsidP="00E65CB4" w14:paraId="38C476AC" w14:textId="77777777">
      <w:pPr>
        <w:numPr>
          <w:ilvl w:val="1"/>
          <w:numId w:val="17"/>
        </w:numPr>
        <w:spacing w:after="0" w:line="240" w:lineRule="auto"/>
        <w:contextualSpacing/>
        <w:rPr>
          <w:rFonts w:asciiTheme="majorHAnsi" w:hAnsiTheme="majorHAnsi"/>
          <w:sz w:val="24"/>
        </w:rPr>
      </w:pPr>
      <w:r w:rsidRPr="00E65CB4">
        <w:rPr>
          <w:rFonts w:asciiTheme="majorHAnsi" w:hAnsiTheme="majorHAnsi"/>
          <w:sz w:val="24"/>
        </w:rPr>
        <w:t>Total Number of Respondents: 42,000</w:t>
      </w:r>
    </w:p>
    <w:p w:rsidR="00E65CB4" w:rsidRPr="00E65CB4" w:rsidP="00E65CB4" w14:paraId="640988F6" w14:textId="77777777">
      <w:pPr>
        <w:numPr>
          <w:ilvl w:val="1"/>
          <w:numId w:val="17"/>
        </w:numPr>
        <w:spacing w:after="0" w:line="240" w:lineRule="auto"/>
        <w:contextualSpacing/>
        <w:rPr>
          <w:rFonts w:asciiTheme="majorHAnsi" w:hAnsiTheme="majorHAnsi"/>
          <w:sz w:val="24"/>
        </w:rPr>
      </w:pPr>
      <w:r w:rsidRPr="00E65CB4">
        <w:rPr>
          <w:rFonts w:asciiTheme="majorHAnsi" w:hAnsiTheme="majorHAnsi"/>
          <w:sz w:val="24"/>
        </w:rPr>
        <w:t>Total Number of Annual Respons</w:t>
      </w:r>
      <w:r w:rsidR="006F6306">
        <w:rPr>
          <w:rFonts w:asciiTheme="majorHAnsi" w:hAnsiTheme="majorHAnsi"/>
          <w:sz w:val="24"/>
        </w:rPr>
        <w:t>es:</w:t>
      </w:r>
      <w:r w:rsidRPr="00E65CB4">
        <w:rPr>
          <w:rFonts w:asciiTheme="majorHAnsi" w:hAnsiTheme="majorHAnsi"/>
          <w:sz w:val="24"/>
        </w:rPr>
        <w:t xml:space="preserve"> 42,000</w:t>
      </w:r>
    </w:p>
    <w:p w:rsidR="00E65CB4" w:rsidRPr="00E65CB4" w:rsidP="00E65CB4" w14:paraId="5CD83575" w14:textId="173E6CBB">
      <w:pPr>
        <w:numPr>
          <w:ilvl w:val="1"/>
          <w:numId w:val="17"/>
        </w:numPr>
        <w:spacing w:after="0" w:line="240" w:lineRule="auto"/>
        <w:contextualSpacing/>
        <w:rPr>
          <w:rFonts w:asciiTheme="majorHAnsi" w:hAnsiTheme="majorHAnsi"/>
          <w:sz w:val="24"/>
        </w:rPr>
      </w:pPr>
      <w:r w:rsidRPr="00E65CB4">
        <w:rPr>
          <w:rFonts w:asciiTheme="majorHAnsi" w:hAnsiTheme="majorHAnsi"/>
          <w:sz w:val="24"/>
        </w:rPr>
        <w:t>Total Respondent Burden Hours: 14,000</w:t>
      </w:r>
    </w:p>
    <w:p w:rsidR="00E65CB4" w:rsidRPr="00E65CB4" w:rsidP="00E65CB4" w14:paraId="6D87BF83" w14:textId="77777777">
      <w:pPr>
        <w:spacing w:after="0" w:line="240" w:lineRule="auto"/>
        <w:rPr>
          <w:rFonts w:asciiTheme="majorHAnsi" w:hAnsiTheme="majorHAnsi"/>
          <w:sz w:val="24"/>
        </w:rPr>
      </w:pPr>
    </w:p>
    <w:p w:rsidR="00E65CB4" w:rsidRPr="00E65CB4" w:rsidP="00E65CB4" w14:paraId="0BCB0805" w14:textId="77777777">
      <w:pPr>
        <w:spacing w:after="0" w:line="240" w:lineRule="auto"/>
        <w:rPr>
          <w:rFonts w:asciiTheme="majorHAnsi" w:hAnsiTheme="majorHAnsi"/>
          <w:sz w:val="24"/>
        </w:rPr>
      </w:pPr>
      <w:r w:rsidRPr="00E65CB4">
        <w:rPr>
          <w:rFonts w:asciiTheme="majorHAnsi" w:hAnsiTheme="majorHAnsi"/>
          <w:sz w:val="24"/>
        </w:rPr>
        <w:t>Part B: LABOR COST OF RESPONDENT BURDEN</w:t>
      </w:r>
    </w:p>
    <w:p w:rsidR="00E65CB4" w:rsidRPr="00E65CB4" w:rsidP="00E65CB4" w14:paraId="06FF4C03" w14:textId="77777777">
      <w:pPr>
        <w:spacing w:after="0" w:line="240" w:lineRule="auto"/>
        <w:ind w:left="720"/>
        <w:contextualSpacing/>
        <w:rPr>
          <w:rFonts w:asciiTheme="majorHAnsi" w:hAnsiTheme="majorHAnsi"/>
          <w:sz w:val="24"/>
        </w:rPr>
      </w:pPr>
    </w:p>
    <w:p w:rsidR="00E65CB4" w:rsidRPr="00E65CB4" w:rsidP="00E65CB4" w14:paraId="0B13B84E" w14:textId="77777777">
      <w:pPr>
        <w:numPr>
          <w:ilvl w:val="0"/>
          <w:numId w:val="19"/>
        </w:numPr>
        <w:spacing w:after="0" w:line="240" w:lineRule="auto"/>
        <w:contextualSpacing/>
        <w:rPr>
          <w:rFonts w:asciiTheme="majorHAnsi" w:hAnsiTheme="majorHAnsi"/>
          <w:sz w:val="24"/>
        </w:rPr>
      </w:pPr>
      <w:r w:rsidRPr="00E65CB4">
        <w:rPr>
          <w:rFonts w:asciiTheme="majorHAnsi" w:hAnsiTheme="majorHAnsi"/>
          <w:sz w:val="24"/>
        </w:rPr>
        <w:t>Collection Instrument(s)</w:t>
      </w:r>
    </w:p>
    <w:p w:rsidR="00E65CB4" w:rsidRPr="00E65CB4" w:rsidP="00E65CB4" w14:paraId="0E923812" w14:textId="77777777">
      <w:pPr>
        <w:spacing w:after="0" w:line="240" w:lineRule="auto"/>
        <w:ind w:left="720"/>
        <w:contextualSpacing/>
        <w:rPr>
          <w:rFonts w:asciiTheme="majorHAnsi" w:hAnsiTheme="majorHAnsi"/>
          <w:b/>
          <w:sz w:val="24"/>
        </w:rPr>
      </w:pPr>
      <w:r w:rsidRPr="00E65CB4">
        <w:rPr>
          <w:rFonts w:asciiTheme="majorHAnsi" w:hAnsiTheme="majorHAnsi"/>
          <w:b/>
          <w:sz w:val="24"/>
        </w:rPr>
        <w:t xml:space="preserve">DLA Form 1822 </w:t>
      </w:r>
    </w:p>
    <w:p w:rsidR="00E65CB4" w:rsidRPr="00E65CB4" w:rsidP="00E65CB4" w14:paraId="1A7DB2B4" w14:textId="77777777">
      <w:pPr>
        <w:numPr>
          <w:ilvl w:val="0"/>
          <w:numId w:val="20"/>
        </w:numPr>
        <w:spacing w:after="0" w:line="240" w:lineRule="auto"/>
        <w:contextualSpacing/>
        <w:rPr>
          <w:rFonts w:asciiTheme="majorHAnsi" w:hAnsiTheme="majorHAnsi"/>
          <w:sz w:val="24"/>
        </w:rPr>
      </w:pPr>
      <w:r w:rsidRPr="00E65CB4">
        <w:rPr>
          <w:rFonts w:asciiTheme="majorHAnsi" w:hAnsiTheme="majorHAnsi"/>
          <w:sz w:val="24"/>
        </w:rPr>
        <w:t>Number of Total Annual Responses: 42,000</w:t>
      </w:r>
    </w:p>
    <w:p w:rsidR="00E65CB4" w:rsidRPr="00E65CB4" w:rsidP="00E65CB4" w14:paraId="633D64A7" w14:textId="77777777">
      <w:pPr>
        <w:numPr>
          <w:ilvl w:val="0"/>
          <w:numId w:val="20"/>
        </w:numPr>
        <w:spacing w:after="0" w:line="240" w:lineRule="auto"/>
        <w:contextualSpacing/>
        <w:rPr>
          <w:rFonts w:asciiTheme="majorHAnsi" w:hAnsiTheme="majorHAnsi"/>
          <w:sz w:val="24"/>
        </w:rPr>
      </w:pPr>
      <w:r w:rsidRPr="00E65CB4">
        <w:rPr>
          <w:rFonts w:asciiTheme="majorHAnsi" w:hAnsiTheme="majorHAnsi"/>
          <w:sz w:val="24"/>
        </w:rPr>
        <w:t>Response Time: 20 minutes</w:t>
      </w:r>
    </w:p>
    <w:p w:rsidR="00E65CB4" w:rsidRPr="00E65CB4" w:rsidP="00E65CB4" w14:paraId="454B3C86" w14:textId="5DA46E97">
      <w:pPr>
        <w:numPr>
          <w:ilvl w:val="0"/>
          <w:numId w:val="20"/>
        </w:numPr>
        <w:spacing w:after="0" w:line="240" w:lineRule="auto"/>
        <w:contextualSpacing/>
        <w:rPr>
          <w:rFonts w:asciiTheme="majorHAnsi" w:hAnsiTheme="majorHAnsi"/>
          <w:sz w:val="24"/>
        </w:rPr>
      </w:pPr>
      <w:r w:rsidRPr="00E65CB4">
        <w:rPr>
          <w:rFonts w:asciiTheme="majorHAnsi" w:hAnsiTheme="majorHAnsi"/>
          <w:sz w:val="24"/>
        </w:rPr>
        <w:t>Respondent Hourly Wage: $</w:t>
      </w:r>
      <w:r w:rsidR="00964576">
        <w:rPr>
          <w:rFonts w:asciiTheme="majorHAnsi" w:hAnsiTheme="majorHAnsi"/>
          <w:sz w:val="24"/>
        </w:rPr>
        <w:t>31.48</w:t>
      </w:r>
    </w:p>
    <w:p w:rsidR="00E65CB4" w:rsidRPr="00E65CB4" w:rsidP="00E65CB4" w14:paraId="725DC30F" w14:textId="0B70708F">
      <w:pPr>
        <w:numPr>
          <w:ilvl w:val="0"/>
          <w:numId w:val="20"/>
        </w:numPr>
        <w:spacing w:after="0" w:line="240" w:lineRule="auto"/>
        <w:contextualSpacing/>
        <w:rPr>
          <w:rFonts w:asciiTheme="majorHAnsi" w:hAnsiTheme="majorHAnsi"/>
          <w:sz w:val="24"/>
        </w:rPr>
      </w:pPr>
      <w:r w:rsidRPr="00E65CB4">
        <w:rPr>
          <w:rFonts w:asciiTheme="majorHAnsi" w:hAnsiTheme="majorHAnsi"/>
          <w:sz w:val="24"/>
        </w:rPr>
        <w:t>Labor Burden per Response: $</w:t>
      </w:r>
      <w:r w:rsidR="00964576">
        <w:rPr>
          <w:rFonts w:asciiTheme="majorHAnsi" w:hAnsiTheme="majorHAnsi"/>
          <w:sz w:val="24"/>
        </w:rPr>
        <w:t>10.49</w:t>
      </w:r>
    </w:p>
    <w:p w:rsidR="00E65CB4" w:rsidRPr="00E65CB4" w:rsidP="00E65CB4" w14:paraId="12110340" w14:textId="7021F789">
      <w:pPr>
        <w:numPr>
          <w:ilvl w:val="0"/>
          <w:numId w:val="20"/>
        </w:numPr>
        <w:spacing w:after="0" w:line="240" w:lineRule="auto"/>
        <w:contextualSpacing/>
        <w:rPr>
          <w:rFonts w:asciiTheme="majorHAnsi" w:hAnsiTheme="majorHAnsi"/>
          <w:sz w:val="24"/>
        </w:rPr>
      </w:pPr>
      <w:r w:rsidRPr="00E65CB4">
        <w:rPr>
          <w:rFonts w:asciiTheme="majorHAnsi" w:hAnsiTheme="majorHAnsi"/>
          <w:sz w:val="24"/>
        </w:rPr>
        <w:t>Total Labor Burden: $</w:t>
      </w:r>
      <w:r w:rsidR="00964576">
        <w:rPr>
          <w:rFonts w:asciiTheme="majorHAnsi" w:hAnsiTheme="majorHAnsi"/>
          <w:sz w:val="24"/>
        </w:rPr>
        <w:t>440</w:t>
      </w:r>
      <w:r w:rsidR="008F4989">
        <w:rPr>
          <w:rFonts w:asciiTheme="majorHAnsi" w:hAnsiTheme="majorHAnsi"/>
          <w:sz w:val="24"/>
        </w:rPr>
        <w:t>,</w:t>
      </w:r>
      <w:r w:rsidR="00964576">
        <w:rPr>
          <w:rFonts w:asciiTheme="majorHAnsi" w:hAnsiTheme="majorHAnsi"/>
          <w:sz w:val="24"/>
        </w:rPr>
        <w:t>720</w:t>
      </w:r>
    </w:p>
    <w:p w:rsidR="00E65CB4" w:rsidRPr="00E65CB4" w:rsidP="00E65CB4" w14:paraId="31B657D6" w14:textId="77777777">
      <w:pPr>
        <w:spacing w:after="0" w:line="240" w:lineRule="auto"/>
        <w:ind w:left="1440"/>
        <w:contextualSpacing/>
        <w:rPr>
          <w:rFonts w:asciiTheme="majorHAnsi" w:hAnsiTheme="majorHAnsi"/>
          <w:sz w:val="24"/>
        </w:rPr>
      </w:pPr>
    </w:p>
    <w:p w:rsidR="00E65CB4" w:rsidRPr="00E65CB4" w:rsidP="00E65CB4" w14:paraId="3B547F50" w14:textId="77777777">
      <w:pPr>
        <w:numPr>
          <w:ilvl w:val="0"/>
          <w:numId w:val="19"/>
        </w:numPr>
        <w:spacing w:after="0" w:line="240" w:lineRule="auto"/>
        <w:contextualSpacing/>
        <w:rPr>
          <w:rFonts w:asciiTheme="majorHAnsi" w:hAnsiTheme="majorHAnsi"/>
          <w:sz w:val="24"/>
        </w:rPr>
      </w:pPr>
      <w:r w:rsidRPr="00E65CB4">
        <w:rPr>
          <w:rFonts w:asciiTheme="majorHAnsi" w:hAnsiTheme="majorHAnsi"/>
          <w:sz w:val="24"/>
        </w:rPr>
        <w:t xml:space="preserve">Overall Labor Burden </w:t>
      </w:r>
    </w:p>
    <w:p w:rsidR="00E65CB4" w:rsidRPr="00E65CB4" w:rsidP="00E65CB4" w14:paraId="33A50059" w14:textId="77777777">
      <w:pPr>
        <w:numPr>
          <w:ilvl w:val="1"/>
          <w:numId w:val="19"/>
        </w:numPr>
        <w:spacing w:after="0" w:line="240" w:lineRule="auto"/>
        <w:contextualSpacing/>
        <w:rPr>
          <w:rFonts w:asciiTheme="majorHAnsi" w:hAnsiTheme="majorHAnsi"/>
          <w:sz w:val="24"/>
        </w:rPr>
      </w:pPr>
      <w:r w:rsidRPr="00E65CB4">
        <w:rPr>
          <w:rFonts w:asciiTheme="majorHAnsi" w:hAnsiTheme="majorHAnsi"/>
          <w:sz w:val="24"/>
        </w:rPr>
        <w:t>Total Number of Annual Responses: 42,000</w:t>
      </w:r>
    </w:p>
    <w:p w:rsidR="00E65CB4" w:rsidRPr="00E65CB4" w:rsidP="00E65CB4" w14:paraId="5C0B1977" w14:textId="622235A2">
      <w:pPr>
        <w:numPr>
          <w:ilvl w:val="1"/>
          <w:numId w:val="19"/>
        </w:numPr>
        <w:spacing w:after="0" w:line="240" w:lineRule="auto"/>
        <w:contextualSpacing/>
        <w:rPr>
          <w:rFonts w:asciiTheme="majorHAnsi" w:hAnsiTheme="majorHAnsi"/>
          <w:sz w:val="24"/>
        </w:rPr>
      </w:pPr>
      <w:r w:rsidRPr="00E65CB4">
        <w:rPr>
          <w:rFonts w:asciiTheme="majorHAnsi" w:hAnsiTheme="majorHAnsi"/>
          <w:sz w:val="24"/>
        </w:rPr>
        <w:t xml:space="preserve">Total Labor Burden: </w:t>
      </w:r>
      <w:r w:rsidR="00964576">
        <w:rPr>
          <w:rFonts w:asciiTheme="majorHAnsi" w:hAnsiTheme="majorHAnsi"/>
          <w:sz w:val="24"/>
        </w:rPr>
        <w:t>$440,720</w:t>
      </w:r>
    </w:p>
    <w:p w:rsidR="00E65CB4" w:rsidRPr="00E65CB4" w:rsidP="00E65CB4" w14:paraId="30DCE0D8" w14:textId="77777777">
      <w:pPr>
        <w:spacing w:after="0" w:line="240" w:lineRule="auto"/>
        <w:rPr>
          <w:rFonts w:asciiTheme="majorHAnsi" w:hAnsiTheme="majorHAnsi"/>
          <w:sz w:val="24"/>
        </w:rPr>
      </w:pPr>
    </w:p>
    <w:p w:rsidR="00E65CB4" w:rsidRPr="00E65CB4" w:rsidP="00E65CB4" w14:paraId="24AA868D" w14:textId="55707339">
      <w:pPr>
        <w:spacing w:after="0" w:line="240" w:lineRule="auto"/>
        <w:rPr>
          <w:rFonts w:asciiTheme="majorHAnsi" w:hAnsiTheme="majorHAnsi"/>
          <w:sz w:val="24"/>
        </w:rPr>
      </w:pPr>
      <w:r w:rsidRPr="00E65CB4">
        <w:rPr>
          <w:rFonts w:asciiTheme="majorHAnsi" w:hAnsiTheme="majorHAnsi"/>
          <w:sz w:val="24"/>
        </w:rPr>
        <w:t>The Respondent hourly wage was determined by using the</w:t>
      </w:r>
      <w:r w:rsidR="002B444B">
        <w:rPr>
          <w:rFonts w:asciiTheme="majorHAnsi" w:hAnsiTheme="majorHAnsi"/>
          <w:sz w:val="24"/>
        </w:rPr>
        <w:t xml:space="preserve"> May 2023</w:t>
      </w:r>
      <w:r w:rsidRPr="00E65CB4">
        <w:rPr>
          <w:rFonts w:asciiTheme="majorHAnsi" w:hAnsiTheme="majorHAnsi"/>
          <w:sz w:val="24"/>
        </w:rPr>
        <w:t xml:space="preserve"> Bureau of Labor Statistics website</w:t>
      </w:r>
      <w:r w:rsidR="008E2B7A">
        <w:rPr>
          <w:rFonts w:asciiTheme="majorHAnsi" w:hAnsiTheme="majorHAnsi"/>
          <w:sz w:val="24"/>
        </w:rPr>
        <w:t>, https://www.bls.gov/oes/current/oes_nat.htm</w:t>
      </w:r>
      <w:r w:rsidRPr="00E65CB4">
        <w:rPr>
          <w:rFonts w:asciiTheme="majorHAnsi" w:hAnsiTheme="majorHAnsi"/>
          <w:sz w:val="24"/>
        </w:rPr>
        <w:t xml:space="preserve"> </w:t>
      </w:r>
    </w:p>
    <w:p w:rsidR="00E65CB4" w:rsidRPr="00E65CB4" w:rsidP="00E65CB4" w14:paraId="3CF89F06" w14:textId="77777777">
      <w:pPr>
        <w:spacing w:after="0" w:line="240" w:lineRule="auto"/>
        <w:rPr>
          <w:rFonts w:asciiTheme="majorHAnsi" w:hAnsiTheme="majorHAnsi"/>
          <w:sz w:val="24"/>
        </w:rPr>
      </w:pPr>
    </w:p>
    <w:p w:rsidR="00E65CB4" w:rsidRPr="00E65CB4" w:rsidP="00E65CB4" w14:paraId="28F96DD1" w14:textId="77777777">
      <w:pPr>
        <w:spacing w:after="0" w:line="240" w:lineRule="auto"/>
        <w:rPr>
          <w:rFonts w:asciiTheme="majorHAnsi" w:hAnsiTheme="majorHAnsi"/>
          <w:sz w:val="24"/>
        </w:rPr>
      </w:pPr>
      <w:r w:rsidRPr="00E65CB4">
        <w:rPr>
          <w:rFonts w:asciiTheme="majorHAnsi" w:hAnsiTheme="majorHAnsi"/>
          <w:sz w:val="24"/>
        </w:rPr>
        <w:t>13.</w:t>
      </w:r>
      <w:r w:rsidRPr="00E65CB4">
        <w:rPr>
          <w:rFonts w:asciiTheme="majorHAnsi" w:hAnsiTheme="majorHAnsi"/>
          <w:sz w:val="24"/>
        </w:rPr>
        <w:tab/>
      </w:r>
      <w:r w:rsidRPr="00E65CB4">
        <w:rPr>
          <w:rFonts w:asciiTheme="majorHAnsi" w:hAnsiTheme="majorHAnsi"/>
          <w:sz w:val="24"/>
          <w:u w:val="single"/>
        </w:rPr>
        <w:t>Respondent Costs Other Than Burden Hour Costs</w:t>
      </w:r>
    </w:p>
    <w:p w:rsidR="00E65CB4" w:rsidRPr="00E65CB4" w:rsidP="00E65CB4" w14:paraId="03F6AD17" w14:textId="77777777">
      <w:pPr>
        <w:spacing w:after="0" w:line="240" w:lineRule="auto"/>
        <w:rPr>
          <w:rFonts w:asciiTheme="majorHAnsi" w:hAnsiTheme="majorHAnsi"/>
          <w:sz w:val="24"/>
        </w:rPr>
      </w:pPr>
      <w:r w:rsidRPr="00E65CB4">
        <w:rPr>
          <w:rFonts w:asciiTheme="majorHAnsi" w:hAnsiTheme="majorHAnsi"/>
          <w:sz w:val="24"/>
        </w:rPr>
        <w:t xml:space="preserve">There are no annualized costs to respondents other than the labor burden costs addressed in Section 12 of this document to complete this collection. </w:t>
      </w:r>
    </w:p>
    <w:p w:rsidR="00E65CB4" w:rsidRPr="00E65CB4" w:rsidP="00E65CB4" w14:paraId="295B0DBE" w14:textId="77777777">
      <w:pPr>
        <w:spacing w:after="0" w:line="240" w:lineRule="auto"/>
        <w:rPr>
          <w:rFonts w:asciiTheme="majorHAnsi" w:hAnsiTheme="majorHAnsi"/>
          <w:sz w:val="24"/>
        </w:rPr>
      </w:pPr>
    </w:p>
    <w:p w:rsidR="00E65CB4" w:rsidRPr="00E65CB4" w:rsidP="00E65CB4" w14:paraId="252B0951" w14:textId="77777777">
      <w:pPr>
        <w:spacing w:after="0" w:line="240" w:lineRule="auto"/>
        <w:rPr>
          <w:rFonts w:asciiTheme="majorHAnsi" w:hAnsiTheme="majorHAnsi"/>
          <w:sz w:val="24"/>
        </w:rPr>
      </w:pPr>
      <w:r w:rsidRPr="00E65CB4">
        <w:rPr>
          <w:rFonts w:asciiTheme="majorHAnsi" w:hAnsiTheme="majorHAnsi"/>
          <w:sz w:val="24"/>
        </w:rPr>
        <w:t xml:space="preserve">14. </w:t>
      </w:r>
      <w:r w:rsidRPr="00E65CB4">
        <w:rPr>
          <w:rFonts w:asciiTheme="majorHAnsi" w:hAnsiTheme="majorHAnsi"/>
          <w:sz w:val="24"/>
        </w:rPr>
        <w:tab/>
      </w:r>
      <w:r w:rsidRPr="00E65CB4">
        <w:rPr>
          <w:rFonts w:asciiTheme="majorHAnsi" w:hAnsiTheme="majorHAnsi"/>
          <w:sz w:val="24"/>
          <w:u w:val="single"/>
        </w:rPr>
        <w:t>Cost to the Federal Government</w:t>
      </w:r>
    </w:p>
    <w:p w:rsidR="00E65CB4" w:rsidRPr="00E65CB4" w:rsidP="00E65CB4" w14:paraId="7F11335A" w14:textId="77777777">
      <w:pPr>
        <w:spacing w:after="0" w:line="240" w:lineRule="auto"/>
        <w:rPr>
          <w:rFonts w:asciiTheme="majorHAnsi" w:hAnsiTheme="majorHAnsi"/>
          <w:sz w:val="24"/>
        </w:rPr>
      </w:pPr>
    </w:p>
    <w:p w:rsidR="00E65CB4" w:rsidRPr="00E65CB4" w:rsidP="00E65CB4" w14:paraId="51EBF61C" w14:textId="77777777">
      <w:pPr>
        <w:spacing w:after="0" w:line="240" w:lineRule="auto"/>
        <w:rPr>
          <w:rFonts w:asciiTheme="majorHAnsi" w:hAnsiTheme="majorHAnsi"/>
          <w:sz w:val="24"/>
        </w:rPr>
      </w:pPr>
      <w:r w:rsidRPr="00E65CB4">
        <w:rPr>
          <w:rFonts w:asciiTheme="majorHAnsi" w:hAnsiTheme="majorHAnsi"/>
          <w:sz w:val="24"/>
        </w:rPr>
        <w:t>Part A: LABOR COST TO THE FEDERAL GOVERNMENT</w:t>
      </w:r>
    </w:p>
    <w:p w:rsidR="00E65CB4" w:rsidRPr="00E65CB4" w:rsidP="00E65CB4" w14:paraId="644D7818" w14:textId="77777777">
      <w:pPr>
        <w:spacing w:after="0" w:line="240" w:lineRule="auto"/>
        <w:ind w:left="720"/>
        <w:contextualSpacing/>
        <w:rPr>
          <w:rFonts w:asciiTheme="majorHAnsi" w:hAnsiTheme="majorHAnsi"/>
          <w:sz w:val="24"/>
        </w:rPr>
      </w:pPr>
    </w:p>
    <w:p w:rsidR="00E65CB4" w:rsidRPr="00E65CB4" w:rsidP="00E65CB4" w14:paraId="0B052E74" w14:textId="77777777">
      <w:pPr>
        <w:numPr>
          <w:ilvl w:val="0"/>
          <w:numId w:val="13"/>
        </w:numPr>
        <w:spacing w:after="0" w:line="240" w:lineRule="auto"/>
        <w:contextualSpacing/>
        <w:rPr>
          <w:rFonts w:asciiTheme="majorHAnsi" w:hAnsiTheme="majorHAnsi"/>
          <w:sz w:val="24"/>
        </w:rPr>
      </w:pPr>
      <w:r w:rsidRPr="00E65CB4">
        <w:rPr>
          <w:rFonts w:asciiTheme="majorHAnsi" w:hAnsiTheme="majorHAnsi"/>
          <w:sz w:val="24"/>
        </w:rPr>
        <w:t>Collection Instrument(s)</w:t>
      </w:r>
    </w:p>
    <w:p w:rsidR="00E65CB4" w:rsidRPr="00E65CB4" w:rsidP="00E65CB4" w14:paraId="60D3C3AC" w14:textId="77777777">
      <w:pPr>
        <w:spacing w:after="0" w:line="240" w:lineRule="auto"/>
        <w:ind w:left="720"/>
        <w:contextualSpacing/>
        <w:rPr>
          <w:rFonts w:asciiTheme="majorHAnsi" w:hAnsiTheme="majorHAnsi"/>
          <w:b/>
          <w:sz w:val="24"/>
        </w:rPr>
      </w:pPr>
      <w:r w:rsidRPr="00E65CB4">
        <w:rPr>
          <w:rFonts w:asciiTheme="majorHAnsi" w:hAnsiTheme="majorHAnsi"/>
          <w:b/>
          <w:sz w:val="24"/>
        </w:rPr>
        <w:t>DLA Form 1822</w:t>
      </w:r>
    </w:p>
    <w:p w:rsidR="00E65CB4" w:rsidRPr="00E65CB4" w:rsidP="00E65CB4" w14:paraId="37068BC8" w14:textId="77777777">
      <w:pPr>
        <w:numPr>
          <w:ilvl w:val="0"/>
          <w:numId w:val="14"/>
        </w:numPr>
        <w:spacing w:after="0" w:line="240" w:lineRule="auto"/>
        <w:contextualSpacing/>
        <w:rPr>
          <w:rFonts w:asciiTheme="majorHAnsi" w:hAnsiTheme="majorHAnsi"/>
          <w:sz w:val="24"/>
        </w:rPr>
      </w:pPr>
      <w:r w:rsidRPr="00E65CB4">
        <w:rPr>
          <w:rFonts w:asciiTheme="majorHAnsi" w:hAnsiTheme="majorHAnsi"/>
          <w:sz w:val="24"/>
        </w:rPr>
        <w:t>Number of Total Annual Responses: 42,000</w:t>
      </w:r>
    </w:p>
    <w:p w:rsidR="00E65CB4" w:rsidRPr="00E65CB4" w:rsidP="00E65CB4" w14:paraId="112D3985" w14:textId="560136B6">
      <w:pPr>
        <w:numPr>
          <w:ilvl w:val="0"/>
          <w:numId w:val="14"/>
        </w:numPr>
        <w:spacing w:after="0" w:line="240" w:lineRule="auto"/>
        <w:contextualSpacing/>
        <w:rPr>
          <w:rFonts w:asciiTheme="majorHAnsi" w:hAnsiTheme="majorHAnsi"/>
          <w:sz w:val="24"/>
        </w:rPr>
      </w:pPr>
      <w:r w:rsidRPr="00E65CB4">
        <w:rPr>
          <w:rFonts w:asciiTheme="majorHAnsi" w:hAnsiTheme="majorHAnsi"/>
          <w:sz w:val="24"/>
        </w:rPr>
        <w:t xml:space="preserve">Processing Time per Response: </w:t>
      </w:r>
      <w:r w:rsidR="00BD6FF9">
        <w:rPr>
          <w:rFonts w:asciiTheme="majorHAnsi" w:hAnsiTheme="majorHAnsi"/>
          <w:sz w:val="24"/>
        </w:rPr>
        <w:t>15</w:t>
      </w:r>
      <w:r w:rsidRPr="00E65CB4">
        <w:rPr>
          <w:rFonts w:asciiTheme="majorHAnsi" w:hAnsiTheme="majorHAnsi"/>
          <w:sz w:val="24"/>
        </w:rPr>
        <w:t xml:space="preserve"> minutes</w:t>
      </w:r>
    </w:p>
    <w:p w:rsidR="00E65CB4" w:rsidRPr="00E65CB4" w:rsidP="00E65CB4" w14:paraId="0F047032" w14:textId="62D7C722">
      <w:pPr>
        <w:numPr>
          <w:ilvl w:val="0"/>
          <w:numId w:val="14"/>
        </w:numPr>
        <w:spacing w:after="0" w:line="240" w:lineRule="auto"/>
        <w:contextualSpacing/>
        <w:rPr>
          <w:rFonts w:asciiTheme="majorHAnsi" w:hAnsiTheme="majorHAnsi"/>
          <w:sz w:val="24"/>
        </w:rPr>
      </w:pPr>
      <w:r w:rsidRPr="00E65CB4">
        <w:rPr>
          <w:rFonts w:asciiTheme="majorHAnsi" w:hAnsiTheme="majorHAnsi"/>
          <w:sz w:val="24"/>
        </w:rPr>
        <w:t>Hourly Wage of Worker(s) Processing Responses: $</w:t>
      </w:r>
      <w:r w:rsidR="00A64A1D">
        <w:rPr>
          <w:rFonts w:asciiTheme="majorHAnsi" w:hAnsiTheme="majorHAnsi"/>
          <w:sz w:val="24"/>
        </w:rPr>
        <w:t>56.52</w:t>
      </w:r>
    </w:p>
    <w:p w:rsidR="00E65CB4" w:rsidRPr="00E65CB4" w:rsidP="00E65CB4" w14:paraId="3850EF94" w14:textId="079CB844">
      <w:pPr>
        <w:numPr>
          <w:ilvl w:val="0"/>
          <w:numId w:val="14"/>
        </w:numPr>
        <w:spacing w:after="0" w:line="240" w:lineRule="auto"/>
        <w:contextualSpacing/>
        <w:rPr>
          <w:rFonts w:asciiTheme="majorHAnsi" w:hAnsiTheme="majorHAnsi"/>
          <w:sz w:val="24"/>
        </w:rPr>
      </w:pPr>
      <w:r w:rsidRPr="00E65CB4">
        <w:rPr>
          <w:rFonts w:asciiTheme="majorHAnsi" w:hAnsiTheme="majorHAnsi"/>
          <w:sz w:val="24"/>
        </w:rPr>
        <w:t>Cost to Process Each Response: $</w:t>
      </w:r>
      <w:r w:rsidR="00BD6FF9">
        <w:rPr>
          <w:rFonts w:asciiTheme="majorHAnsi" w:hAnsiTheme="majorHAnsi"/>
          <w:sz w:val="24"/>
        </w:rPr>
        <w:t>14.13</w:t>
      </w:r>
    </w:p>
    <w:p w:rsidR="00E65CB4" w:rsidP="00E65CB4" w14:paraId="7070BA4D" w14:textId="4E07238C">
      <w:pPr>
        <w:numPr>
          <w:ilvl w:val="0"/>
          <w:numId w:val="14"/>
        </w:numPr>
        <w:spacing w:after="0" w:line="240" w:lineRule="auto"/>
        <w:contextualSpacing/>
        <w:rPr>
          <w:rFonts w:asciiTheme="majorHAnsi" w:hAnsiTheme="majorHAnsi"/>
          <w:sz w:val="24"/>
        </w:rPr>
      </w:pPr>
      <w:r w:rsidRPr="00F01331">
        <w:rPr>
          <w:rFonts w:asciiTheme="majorHAnsi" w:hAnsiTheme="majorHAnsi"/>
          <w:sz w:val="24"/>
        </w:rPr>
        <w:t>Total Cost to Process Responses: $</w:t>
      </w:r>
      <w:r w:rsidR="00BD6FF9">
        <w:rPr>
          <w:rFonts w:asciiTheme="majorHAnsi" w:hAnsiTheme="majorHAnsi"/>
          <w:sz w:val="24"/>
        </w:rPr>
        <w:t>593,460</w:t>
      </w:r>
    </w:p>
    <w:p w:rsidR="00F01331" w:rsidRPr="00F01331" w:rsidP="00F01331" w14:paraId="03FFE14A" w14:textId="77777777">
      <w:pPr>
        <w:spacing w:after="0" w:line="240" w:lineRule="auto"/>
        <w:ind w:left="1440"/>
        <w:contextualSpacing/>
        <w:rPr>
          <w:rFonts w:asciiTheme="majorHAnsi" w:hAnsiTheme="majorHAnsi"/>
          <w:sz w:val="24"/>
        </w:rPr>
      </w:pPr>
    </w:p>
    <w:p w:rsidR="00E65CB4" w:rsidRPr="00E65CB4" w:rsidP="00E65CB4" w14:paraId="2FA80985" w14:textId="77777777">
      <w:pPr>
        <w:numPr>
          <w:ilvl w:val="0"/>
          <w:numId w:val="13"/>
        </w:numPr>
        <w:spacing w:after="0" w:line="240" w:lineRule="auto"/>
        <w:contextualSpacing/>
        <w:rPr>
          <w:rFonts w:asciiTheme="majorHAnsi" w:hAnsiTheme="majorHAnsi"/>
          <w:sz w:val="24"/>
        </w:rPr>
      </w:pPr>
      <w:r w:rsidRPr="00E65CB4">
        <w:rPr>
          <w:rFonts w:asciiTheme="majorHAnsi" w:hAnsiTheme="majorHAnsi"/>
          <w:sz w:val="24"/>
        </w:rPr>
        <w:t>Overall Labor Burden to the Federal Government</w:t>
      </w:r>
    </w:p>
    <w:p w:rsidR="00E65CB4" w:rsidRPr="00E65CB4" w:rsidP="00E65CB4" w14:paraId="5C81FC5F" w14:textId="77777777">
      <w:pPr>
        <w:numPr>
          <w:ilvl w:val="1"/>
          <w:numId w:val="13"/>
        </w:numPr>
        <w:spacing w:after="0" w:line="240" w:lineRule="auto"/>
        <w:contextualSpacing/>
        <w:rPr>
          <w:rFonts w:asciiTheme="majorHAnsi" w:hAnsiTheme="majorHAnsi"/>
          <w:sz w:val="24"/>
        </w:rPr>
      </w:pPr>
      <w:r w:rsidRPr="00E65CB4">
        <w:rPr>
          <w:rFonts w:asciiTheme="majorHAnsi" w:hAnsiTheme="majorHAnsi"/>
          <w:sz w:val="24"/>
        </w:rPr>
        <w:t>Total Number of Annual Responses: 42,000</w:t>
      </w:r>
    </w:p>
    <w:p w:rsidR="00E65CB4" w:rsidRPr="00E65CB4" w:rsidP="00E65CB4" w14:paraId="01BBA62D" w14:textId="211906AD">
      <w:pPr>
        <w:numPr>
          <w:ilvl w:val="1"/>
          <w:numId w:val="13"/>
        </w:numPr>
        <w:spacing w:after="0" w:line="240" w:lineRule="auto"/>
        <w:contextualSpacing/>
        <w:rPr>
          <w:rFonts w:asciiTheme="majorHAnsi" w:hAnsiTheme="majorHAnsi"/>
          <w:sz w:val="24"/>
        </w:rPr>
      </w:pPr>
      <w:r w:rsidRPr="00E65CB4">
        <w:rPr>
          <w:rFonts w:asciiTheme="majorHAnsi" w:hAnsiTheme="majorHAnsi"/>
          <w:sz w:val="24"/>
        </w:rPr>
        <w:t>Total Labor Burden</w:t>
      </w:r>
      <w:r w:rsidRPr="00E65CB4">
        <w:rPr>
          <w:rFonts w:asciiTheme="majorHAnsi" w:hAnsiTheme="majorHAnsi"/>
          <w:i/>
          <w:sz w:val="24"/>
        </w:rPr>
        <w:t xml:space="preserve">: </w:t>
      </w:r>
      <w:r w:rsidRPr="00E65CB4">
        <w:rPr>
          <w:rFonts w:asciiTheme="majorHAnsi" w:hAnsiTheme="majorHAnsi"/>
          <w:sz w:val="24"/>
        </w:rPr>
        <w:t>$</w:t>
      </w:r>
      <w:r w:rsidR="00BD6FF9">
        <w:rPr>
          <w:rFonts w:asciiTheme="majorHAnsi" w:hAnsiTheme="majorHAnsi"/>
          <w:sz w:val="24"/>
        </w:rPr>
        <w:t>593,460</w:t>
      </w:r>
    </w:p>
    <w:p w:rsidR="00D32C3B" w:rsidRPr="00E65CB4" w:rsidP="00E65CB4" w14:paraId="77C071DC" w14:textId="77777777">
      <w:pPr>
        <w:spacing w:after="0" w:line="240" w:lineRule="auto"/>
        <w:rPr>
          <w:rFonts w:asciiTheme="majorHAnsi" w:hAnsiTheme="majorHAnsi"/>
          <w:sz w:val="24"/>
        </w:rPr>
      </w:pPr>
    </w:p>
    <w:p w:rsidR="00E65CB4" w:rsidRPr="00E65CB4" w:rsidP="00E65CB4" w14:paraId="14308FF8" w14:textId="77777777">
      <w:pPr>
        <w:spacing w:after="0" w:line="240" w:lineRule="auto"/>
        <w:rPr>
          <w:rFonts w:asciiTheme="majorHAnsi" w:hAnsiTheme="majorHAnsi"/>
          <w:sz w:val="24"/>
        </w:rPr>
      </w:pPr>
      <w:r w:rsidRPr="00E65CB4">
        <w:rPr>
          <w:rFonts w:asciiTheme="majorHAnsi" w:hAnsiTheme="majorHAnsi"/>
          <w:sz w:val="24"/>
        </w:rPr>
        <w:t>Part B: OPERATIONAL AND MAINTENANCE COSTS</w:t>
      </w:r>
    </w:p>
    <w:p w:rsidR="00E65CB4" w:rsidRPr="00E65CB4" w:rsidP="00E65CB4" w14:paraId="260FC8B4" w14:textId="77777777">
      <w:pPr>
        <w:spacing w:after="0" w:line="240" w:lineRule="auto"/>
        <w:rPr>
          <w:rFonts w:asciiTheme="majorHAnsi" w:hAnsiTheme="majorHAnsi"/>
          <w:sz w:val="24"/>
        </w:rPr>
      </w:pPr>
    </w:p>
    <w:p w:rsidR="00E65CB4" w:rsidRPr="00E65CB4" w:rsidP="00E65CB4" w14:paraId="4693704A" w14:textId="77777777">
      <w:pPr>
        <w:numPr>
          <w:ilvl w:val="0"/>
          <w:numId w:val="15"/>
        </w:numPr>
        <w:spacing w:after="0" w:line="240" w:lineRule="auto"/>
        <w:contextualSpacing/>
        <w:rPr>
          <w:rFonts w:asciiTheme="majorHAnsi" w:hAnsiTheme="majorHAnsi"/>
          <w:i/>
          <w:sz w:val="24"/>
        </w:rPr>
      </w:pPr>
      <w:r w:rsidRPr="00E65CB4">
        <w:rPr>
          <w:rFonts w:asciiTheme="majorHAnsi" w:hAnsiTheme="majorHAnsi"/>
          <w:sz w:val="24"/>
        </w:rPr>
        <w:t>Cost Categories</w:t>
      </w:r>
    </w:p>
    <w:p w:rsidR="00E65CB4" w:rsidRPr="00E65CB4" w:rsidP="00E65CB4" w14:paraId="2147AAFD" w14:textId="77777777">
      <w:pPr>
        <w:numPr>
          <w:ilvl w:val="1"/>
          <w:numId w:val="15"/>
        </w:numPr>
        <w:spacing w:after="0" w:line="240" w:lineRule="auto"/>
        <w:contextualSpacing/>
        <w:rPr>
          <w:rFonts w:asciiTheme="majorHAnsi" w:hAnsiTheme="majorHAnsi"/>
          <w:i/>
          <w:sz w:val="24"/>
        </w:rPr>
      </w:pPr>
      <w:r w:rsidRPr="00E65CB4">
        <w:rPr>
          <w:rFonts w:asciiTheme="majorHAnsi" w:hAnsiTheme="majorHAnsi"/>
          <w:sz w:val="24"/>
        </w:rPr>
        <w:t>Equipment: $</w:t>
      </w:r>
      <w:r w:rsidR="00424112">
        <w:rPr>
          <w:rFonts w:asciiTheme="majorHAnsi" w:hAnsiTheme="majorHAnsi"/>
          <w:sz w:val="24"/>
        </w:rPr>
        <w:t>0</w:t>
      </w:r>
    </w:p>
    <w:p w:rsidR="00E65CB4" w:rsidRPr="00E65CB4" w:rsidP="00E65CB4" w14:paraId="55777929" w14:textId="77777777">
      <w:pPr>
        <w:numPr>
          <w:ilvl w:val="1"/>
          <w:numId w:val="15"/>
        </w:numPr>
        <w:spacing w:after="0" w:line="240" w:lineRule="auto"/>
        <w:contextualSpacing/>
        <w:rPr>
          <w:rFonts w:asciiTheme="majorHAnsi" w:hAnsiTheme="majorHAnsi"/>
          <w:i/>
          <w:sz w:val="24"/>
        </w:rPr>
      </w:pPr>
      <w:r w:rsidRPr="00E65CB4">
        <w:rPr>
          <w:rFonts w:asciiTheme="majorHAnsi" w:hAnsiTheme="majorHAnsi"/>
          <w:sz w:val="24"/>
        </w:rPr>
        <w:t>Printing: $</w:t>
      </w:r>
      <w:r w:rsidR="00424112">
        <w:rPr>
          <w:rFonts w:asciiTheme="majorHAnsi" w:hAnsiTheme="majorHAnsi"/>
          <w:sz w:val="24"/>
        </w:rPr>
        <w:t>0</w:t>
      </w:r>
    </w:p>
    <w:p w:rsidR="00E65CB4" w:rsidRPr="00E65CB4" w:rsidP="00E65CB4" w14:paraId="636FFE26" w14:textId="77777777">
      <w:pPr>
        <w:numPr>
          <w:ilvl w:val="1"/>
          <w:numId w:val="15"/>
        </w:numPr>
        <w:spacing w:after="0" w:line="240" w:lineRule="auto"/>
        <w:contextualSpacing/>
        <w:rPr>
          <w:rFonts w:asciiTheme="majorHAnsi" w:hAnsiTheme="majorHAnsi"/>
          <w:i/>
          <w:sz w:val="24"/>
        </w:rPr>
      </w:pPr>
      <w:r w:rsidRPr="00E65CB4">
        <w:rPr>
          <w:rFonts w:asciiTheme="majorHAnsi" w:hAnsiTheme="majorHAnsi"/>
          <w:sz w:val="24"/>
        </w:rPr>
        <w:t>Postage: $</w:t>
      </w:r>
      <w:r w:rsidR="00424112">
        <w:rPr>
          <w:rFonts w:asciiTheme="majorHAnsi" w:hAnsiTheme="majorHAnsi"/>
          <w:sz w:val="24"/>
        </w:rPr>
        <w:t>0</w:t>
      </w:r>
    </w:p>
    <w:p w:rsidR="00E65CB4" w:rsidRPr="00E65CB4" w:rsidP="00E65CB4" w14:paraId="5A75D2FE" w14:textId="77777777">
      <w:pPr>
        <w:numPr>
          <w:ilvl w:val="1"/>
          <w:numId w:val="15"/>
        </w:numPr>
        <w:spacing w:after="0" w:line="240" w:lineRule="auto"/>
        <w:contextualSpacing/>
        <w:rPr>
          <w:rFonts w:asciiTheme="majorHAnsi" w:hAnsiTheme="majorHAnsi"/>
          <w:i/>
          <w:sz w:val="24"/>
        </w:rPr>
      </w:pPr>
      <w:r w:rsidRPr="00E65CB4">
        <w:rPr>
          <w:rFonts w:asciiTheme="majorHAnsi" w:hAnsiTheme="majorHAnsi"/>
          <w:sz w:val="24"/>
        </w:rPr>
        <w:t>Software Purchases: $</w:t>
      </w:r>
      <w:r w:rsidR="00424112">
        <w:rPr>
          <w:rFonts w:asciiTheme="majorHAnsi" w:hAnsiTheme="majorHAnsi"/>
          <w:sz w:val="24"/>
        </w:rPr>
        <w:t>0</w:t>
      </w:r>
    </w:p>
    <w:p w:rsidR="00E65CB4" w:rsidRPr="00E65CB4" w:rsidP="00E65CB4" w14:paraId="752C3648" w14:textId="77777777">
      <w:pPr>
        <w:numPr>
          <w:ilvl w:val="1"/>
          <w:numId w:val="15"/>
        </w:numPr>
        <w:spacing w:after="0" w:line="240" w:lineRule="auto"/>
        <w:contextualSpacing/>
        <w:rPr>
          <w:rFonts w:asciiTheme="majorHAnsi" w:hAnsiTheme="majorHAnsi"/>
          <w:i/>
          <w:sz w:val="24"/>
        </w:rPr>
      </w:pPr>
      <w:r w:rsidRPr="00E65CB4">
        <w:rPr>
          <w:rFonts w:asciiTheme="majorHAnsi" w:hAnsiTheme="majorHAnsi"/>
          <w:sz w:val="24"/>
        </w:rPr>
        <w:t>Licensing Costs: $</w:t>
      </w:r>
      <w:r w:rsidR="00424112">
        <w:rPr>
          <w:rFonts w:asciiTheme="majorHAnsi" w:hAnsiTheme="majorHAnsi"/>
          <w:sz w:val="24"/>
        </w:rPr>
        <w:t>0</w:t>
      </w:r>
    </w:p>
    <w:p w:rsidR="00E65CB4" w:rsidRPr="00E65CB4" w:rsidP="00E65CB4" w14:paraId="3C2B6A75" w14:textId="77777777">
      <w:pPr>
        <w:numPr>
          <w:ilvl w:val="1"/>
          <w:numId w:val="15"/>
        </w:numPr>
        <w:spacing w:after="0" w:line="240" w:lineRule="auto"/>
        <w:contextualSpacing/>
        <w:rPr>
          <w:rFonts w:asciiTheme="majorHAnsi" w:hAnsiTheme="majorHAnsi"/>
          <w:i/>
          <w:sz w:val="24"/>
        </w:rPr>
      </w:pPr>
      <w:r w:rsidRPr="00E65CB4">
        <w:rPr>
          <w:rFonts w:asciiTheme="majorHAnsi" w:hAnsiTheme="majorHAnsi"/>
          <w:sz w:val="24"/>
        </w:rPr>
        <w:t>Other: $</w:t>
      </w:r>
      <w:r w:rsidR="00424112">
        <w:rPr>
          <w:rFonts w:asciiTheme="majorHAnsi" w:hAnsiTheme="majorHAnsi"/>
          <w:sz w:val="24"/>
        </w:rPr>
        <w:t>0</w:t>
      </w:r>
    </w:p>
    <w:p w:rsidR="00E65CB4" w:rsidRPr="00E65CB4" w:rsidP="00E65CB4" w14:paraId="689FDF8C" w14:textId="77777777">
      <w:pPr>
        <w:spacing w:after="0" w:line="240" w:lineRule="auto"/>
        <w:ind w:left="1440"/>
        <w:contextualSpacing/>
        <w:rPr>
          <w:rFonts w:asciiTheme="majorHAnsi" w:hAnsiTheme="majorHAnsi"/>
          <w:i/>
          <w:sz w:val="24"/>
        </w:rPr>
      </w:pPr>
    </w:p>
    <w:p w:rsidR="00E65CB4" w:rsidRPr="00E65CB4" w:rsidP="00E65CB4" w14:paraId="584FDDEB" w14:textId="77777777">
      <w:pPr>
        <w:numPr>
          <w:ilvl w:val="0"/>
          <w:numId w:val="15"/>
        </w:numPr>
        <w:spacing w:after="0" w:line="240" w:lineRule="auto"/>
        <w:contextualSpacing/>
        <w:rPr>
          <w:rFonts w:asciiTheme="majorHAnsi" w:hAnsiTheme="majorHAnsi"/>
          <w:i/>
          <w:sz w:val="24"/>
        </w:rPr>
      </w:pPr>
      <w:r w:rsidRPr="00E65CB4">
        <w:rPr>
          <w:rFonts w:asciiTheme="majorHAnsi" w:hAnsiTheme="majorHAnsi"/>
          <w:sz w:val="24"/>
        </w:rPr>
        <w:t>Total Operational and Maintenance Cost: $</w:t>
      </w:r>
      <w:r w:rsidR="00424112">
        <w:rPr>
          <w:rFonts w:asciiTheme="majorHAnsi" w:hAnsiTheme="majorHAnsi"/>
          <w:sz w:val="24"/>
        </w:rPr>
        <w:t>0</w:t>
      </w:r>
    </w:p>
    <w:p w:rsidR="00E65CB4" w:rsidRPr="00E65CB4" w:rsidP="00E65CB4" w14:paraId="0B0154F8" w14:textId="77777777">
      <w:pPr>
        <w:spacing w:after="0" w:line="240" w:lineRule="auto"/>
        <w:rPr>
          <w:rFonts w:asciiTheme="majorHAnsi" w:hAnsiTheme="majorHAnsi"/>
          <w:i/>
          <w:sz w:val="24"/>
        </w:rPr>
      </w:pPr>
    </w:p>
    <w:p w:rsidR="00E65CB4" w:rsidRPr="00E65CB4" w:rsidP="00E65CB4" w14:paraId="4D256457" w14:textId="77777777">
      <w:pPr>
        <w:spacing w:after="0" w:line="240" w:lineRule="auto"/>
        <w:rPr>
          <w:rFonts w:asciiTheme="majorHAnsi" w:hAnsiTheme="majorHAnsi"/>
          <w:sz w:val="24"/>
        </w:rPr>
      </w:pPr>
      <w:r w:rsidRPr="00E65CB4">
        <w:rPr>
          <w:rFonts w:asciiTheme="majorHAnsi" w:hAnsiTheme="majorHAnsi"/>
          <w:sz w:val="24"/>
        </w:rPr>
        <w:t>Part C: TOTAL COST TO THE FEDERAL GOVERNMENT</w:t>
      </w:r>
    </w:p>
    <w:p w:rsidR="00E65CB4" w:rsidRPr="00E65CB4" w:rsidP="00E65CB4" w14:paraId="2E874AED" w14:textId="77777777">
      <w:pPr>
        <w:spacing w:after="0" w:line="240" w:lineRule="auto"/>
        <w:rPr>
          <w:rFonts w:asciiTheme="majorHAnsi" w:hAnsiTheme="majorHAnsi"/>
          <w:sz w:val="24"/>
        </w:rPr>
      </w:pPr>
    </w:p>
    <w:p w:rsidR="00E65CB4" w:rsidRPr="00E65CB4" w:rsidP="00E65CB4" w14:paraId="17524077" w14:textId="62913EED">
      <w:pPr>
        <w:numPr>
          <w:ilvl w:val="0"/>
          <w:numId w:val="16"/>
        </w:numPr>
        <w:spacing w:after="0" w:line="240" w:lineRule="auto"/>
        <w:contextualSpacing/>
        <w:rPr>
          <w:rFonts w:asciiTheme="majorHAnsi" w:hAnsiTheme="majorHAnsi"/>
          <w:sz w:val="24"/>
        </w:rPr>
      </w:pPr>
      <w:r w:rsidRPr="00E65CB4">
        <w:rPr>
          <w:rFonts w:asciiTheme="majorHAnsi" w:hAnsiTheme="majorHAnsi"/>
          <w:sz w:val="24"/>
        </w:rPr>
        <w:t>Total Labor Cost to the Federal Government: $</w:t>
      </w:r>
      <w:r w:rsidR="00BD6FF9">
        <w:rPr>
          <w:rFonts w:asciiTheme="majorHAnsi" w:hAnsiTheme="majorHAnsi"/>
          <w:sz w:val="24"/>
        </w:rPr>
        <w:t>593,460</w:t>
      </w:r>
    </w:p>
    <w:p w:rsidR="00E65CB4" w:rsidRPr="00E65CB4" w:rsidP="00E65CB4" w14:paraId="497FCAF4" w14:textId="77777777">
      <w:pPr>
        <w:spacing w:after="0" w:line="240" w:lineRule="auto"/>
        <w:ind w:left="720"/>
        <w:contextualSpacing/>
        <w:rPr>
          <w:rFonts w:asciiTheme="majorHAnsi" w:hAnsiTheme="majorHAnsi"/>
          <w:sz w:val="24"/>
        </w:rPr>
      </w:pPr>
    </w:p>
    <w:p w:rsidR="00E65CB4" w:rsidRPr="00E65CB4" w:rsidP="00E65CB4" w14:paraId="4699D58C" w14:textId="77777777">
      <w:pPr>
        <w:numPr>
          <w:ilvl w:val="0"/>
          <w:numId w:val="16"/>
        </w:numPr>
        <w:spacing w:after="0" w:line="240" w:lineRule="auto"/>
        <w:contextualSpacing/>
        <w:rPr>
          <w:rFonts w:asciiTheme="majorHAnsi" w:hAnsiTheme="majorHAnsi"/>
          <w:sz w:val="24"/>
        </w:rPr>
      </w:pPr>
      <w:r w:rsidRPr="00E65CB4">
        <w:rPr>
          <w:rFonts w:asciiTheme="majorHAnsi" w:hAnsiTheme="majorHAnsi"/>
          <w:sz w:val="24"/>
        </w:rPr>
        <w:t>Total Operational and Maintenance Costs: $</w:t>
      </w:r>
      <w:r w:rsidR="00424112">
        <w:rPr>
          <w:rFonts w:asciiTheme="majorHAnsi" w:hAnsiTheme="majorHAnsi"/>
          <w:sz w:val="24"/>
        </w:rPr>
        <w:t>0</w:t>
      </w:r>
    </w:p>
    <w:p w:rsidR="00E65CB4" w:rsidRPr="00E65CB4" w:rsidP="00E65CB4" w14:paraId="16A22CB6" w14:textId="77777777">
      <w:pPr>
        <w:spacing w:after="0" w:line="240" w:lineRule="auto"/>
        <w:rPr>
          <w:rFonts w:asciiTheme="majorHAnsi" w:hAnsiTheme="majorHAnsi"/>
          <w:sz w:val="24"/>
        </w:rPr>
      </w:pPr>
    </w:p>
    <w:p w:rsidR="00486235" w:rsidRPr="00E65CB4" w:rsidP="00E65CB4" w14:paraId="6699F537" w14:textId="41BCC2B6">
      <w:pPr>
        <w:numPr>
          <w:ilvl w:val="0"/>
          <w:numId w:val="16"/>
        </w:numPr>
        <w:spacing w:after="0" w:line="240" w:lineRule="auto"/>
        <w:contextualSpacing/>
        <w:rPr>
          <w:rFonts w:asciiTheme="majorHAnsi" w:hAnsiTheme="majorHAnsi"/>
          <w:sz w:val="24"/>
        </w:rPr>
      </w:pPr>
      <w:r w:rsidRPr="00E65CB4">
        <w:rPr>
          <w:rFonts w:asciiTheme="majorHAnsi" w:hAnsiTheme="majorHAnsi"/>
          <w:sz w:val="24"/>
        </w:rPr>
        <w:t>Total Cost to the Federal Government: $</w:t>
      </w:r>
      <w:r w:rsidR="00BD6FF9">
        <w:rPr>
          <w:rFonts w:asciiTheme="majorHAnsi" w:hAnsiTheme="majorHAnsi"/>
          <w:sz w:val="24"/>
        </w:rPr>
        <w:t>593,460</w:t>
      </w:r>
    </w:p>
    <w:p w:rsidR="00486235" w:rsidP="00486235" w14:paraId="3B613A8A" w14:textId="77777777">
      <w:pPr>
        <w:spacing w:after="0" w:line="240" w:lineRule="auto"/>
        <w:rPr>
          <w:rFonts w:asciiTheme="majorHAnsi" w:hAnsiTheme="majorHAnsi"/>
          <w:sz w:val="24"/>
        </w:rPr>
      </w:pPr>
    </w:p>
    <w:p w:rsidR="00CA3E73" w:rsidP="00CA3E73" w14:paraId="478C7FC0" w14:textId="77777777">
      <w:pPr>
        <w:spacing w:after="0" w:line="240" w:lineRule="auto"/>
        <w:rPr>
          <w:rFonts w:asciiTheme="majorHAnsi" w:hAnsiTheme="majorHAnsi"/>
          <w:sz w:val="24"/>
        </w:rPr>
      </w:pPr>
      <w:r>
        <w:rPr>
          <w:rFonts w:asciiTheme="majorHAnsi" w:hAnsiTheme="majorHAnsi"/>
          <w:sz w:val="24"/>
        </w:rPr>
        <w:t xml:space="preserve">Cost to the Federal government was determined using General Schedule (opm.gov). </w:t>
      </w:r>
    </w:p>
    <w:p w:rsidR="00DA2B37" w:rsidP="00486235" w14:paraId="1C0F87C4" w14:textId="77777777">
      <w:pPr>
        <w:spacing w:after="0" w:line="240" w:lineRule="auto"/>
        <w:rPr>
          <w:rFonts w:asciiTheme="majorHAnsi" w:hAnsiTheme="majorHAnsi"/>
          <w:sz w:val="24"/>
        </w:rPr>
      </w:pPr>
    </w:p>
    <w:p w:rsidR="00DA2B37" w:rsidP="00486235" w14:paraId="1AD8368F"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DA2B37" w:rsidP="00486235" w14:paraId="0590A432" w14:textId="4BC75C44">
      <w:pPr>
        <w:spacing w:after="0" w:line="240" w:lineRule="auto"/>
        <w:rPr>
          <w:rFonts w:asciiTheme="majorHAnsi" w:hAnsiTheme="majorHAnsi"/>
          <w:sz w:val="24"/>
        </w:rPr>
      </w:pPr>
      <w:r w:rsidRPr="0095039F">
        <w:rPr>
          <w:rFonts w:asciiTheme="majorHAnsi" w:hAnsiTheme="majorHAnsi"/>
          <w:sz w:val="24"/>
        </w:rPr>
        <w:t>The burden responses have remained consistent at 42,000, but automation is necessary to meet sales requirements.  Future projections are anticipated to exceed current estimates by more than double, owing to the implementation of the Joint Certification Program.</w:t>
      </w:r>
    </w:p>
    <w:p w:rsidR="0095039F" w:rsidP="00486235" w14:paraId="3C0B4738" w14:textId="77777777">
      <w:pPr>
        <w:spacing w:after="0" w:line="240" w:lineRule="auto"/>
        <w:rPr>
          <w:rFonts w:asciiTheme="majorHAnsi" w:hAnsiTheme="majorHAnsi"/>
          <w:sz w:val="24"/>
        </w:rPr>
      </w:pPr>
    </w:p>
    <w:p w:rsidR="00DA2B37" w:rsidRPr="00932EC9" w:rsidP="00486235" w14:paraId="18F7C365" w14:textId="77777777">
      <w:pPr>
        <w:spacing w:after="0" w:line="240" w:lineRule="auto"/>
        <w:rPr>
          <w:rFonts w:asciiTheme="majorHAnsi" w:hAnsiTheme="majorHAnsi"/>
          <w:sz w:val="24"/>
        </w:rPr>
      </w:pPr>
      <w:r w:rsidRPr="00932EC9">
        <w:rPr>
          <w:rFonts w:asciiTheme="majorHAnsi" w:hAnsiTheme="majorHAnsi"/>
          <w:sz w:val="24"/>
        </w:rPr>
        <w:t xml:space="preserve">16. </w:t>
      </w:r>
      <w:r w:rsidRPr="00932EC9">
        <w:rPr>
          <w:rFonts w:asciiTheme="majorHAnsi" w:hAnsiTheme="majorHAnsi"/>
          <w:sz w:val="24"/>
        </w:rPr>
        <w:tab/>
      </w:r>
      <w:r w:rsidRPr="00932EC9">
        <w:rPr>
          <w:rFonts w:asciiTheme="majorHAnsi" w:hAnsiTheme="majorHAnsi"/>
          <w:sz w:val="24"/>
          <w:u w:val="single"/>
        </w:rPr>
        <w:t>Publication of Results</w:t>
      </w:r>
      <w:r w:rsidRPr="00932EC9">
        <w:rPr>
          <w:rFonts w:asciiTheme="majorHAnsi" w:hAnsiTheme="majorHAnsi"/>
          <w:sz w:val="24"/>
        </w:rPr>
        <w:t xml:space="preserve"> </w:t>
      </w:r>
    </w:p>
    <w:p w:rsidR="005C3A95" w:rsidP="00486235" w14:paraId="740FBA20" w14:textId="77777777">
      <w:pPr>
        <w:spacing w:after="0" w:line="240" w:lineRule="auto"/>
        <w:rPr>
          <w:rFonts w:asciiTheme="majorHAnsi" w:hAnsiTheme="majorHAnsi"/>
          <w:sz w:val="24"/>
        </w:rPr>
      </w:pPr>
      <w:r w:rsidRPr="00932EC9">
        <w:rPr>
          <w:rFonts w:asciiTheme="majorHAnsi" w:hAnsiTheme="majorHAnsi"/>
          <w:sz w:val="24"/>
        </w:rPr>
        <w:t xml:space="preserve"> The results of this information collection will not be published.</w:t>
      </w:r>
      <w:r>
        <w:rPr>
          <w:rFonts w:asciiTheme="majorHAnsi" w:hAnsiTheme="majorHAnsi"/>
          <w:sz w:val="24"/>
        </w:rPr>
        <w:t xml:space="preserve"> </w:t>
      </w:r>
    </w:p>
    <w:p w:rsidR="005C3A95" w:rsidP="00486235" w14:paraId="1A6465EC" w14:textId="77777777">
      <w:pPr>
        <w:spacing w:after="0" w:line="240" w:lineRule="auto"/>
        <w:rPr>
          <w:rFonts w:asciiTheme="majorHAnsi" w:hAnsiTheme="majorHAnsi"/>
          <w:sz w:val="24"/>
        </w:rPr>
      </w:pPr>
    </w:p>
    <w:p w:rsidR="005C3A95" w:rsidP="00486235" w14:paraId="18A6D1CC" w14:textId="77777777">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C62D17" w:rsidP="00486235" w14:paraId="52CB4863" w14:textId="77777777">
      <w:pPr>
        <w:spacing w:after="0" w:line="240" w:lineRule="auto"/>
        <w:rPr>
          <w:rFonts w:asciiTheme="majorHAnsi" w:hAnsiTheme="majorHAnsi"/>
          <w:sz w:val="24"/>
        </w:rPr>
      </w:pPr>
      <w:r w:rsidRPr="00932EC9">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5BA4F087" w14:textId="77777777">
      <w:pPr>
        <w:spacing w:after="0" w:line="240" w:lineRule="auto"/>
        <w:rPr>
          <w:rFonts w:asciiTheme="majorHAnsi" w:hAnsiTheme="majorHAnsi"/>
          <w:sz w:val="24"/>
        </w:rPr>
      </w:pPr>
    </w:p>
    <w:p w:rsidR="00C62D17" w:rsidP="00486235" w14:paraId="61AC60D4" w14:textId="77777777">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00A50A0F" w:rsidRPr="00C62D17" w:rsidP="00932EC9" w14:paraId="2D0B9389" w14:textId="77777777">
      <w:pPr>
        <w:spacing w:after="0" w:line="240" w:lineRule="auto"/>
        <w:rPr>
          <w:rFonts w:asciiTheme="majorHAnsi" w:hAnsiTheme="majorHAnsi"/>
          <w:i/>
          <w:sz w:val="24"/>
        </w:rPr>
      </w:pPr>
      <w:r w:rsidRPr="00932EC9">
        <w:rPr>
          <w:rFonts w:asciiTheme="majorHAnsi" w:hAnsiTheme="majorHAnsi"/>
          <w:sz w:val="24"/>
        </w:rPr>
        <w:t>We are not requesting any exemptions to the provisions stated in 5 CFR 1320.9</w:t>
      </w:r>
      <w:r w:rsidRPr="00932EC9">
        <w:rPr>
          <w:rFonts w:asciiTheme="majorHAnsi" w:hAnsiTheme="majorHAnsi"/>
          <w:i/>
          <w:sz w:val="24"/>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0">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2386EEA"/>
    <w:multiLevelType w:val="hybridMultilevel"/>
    <w:tmpl w:val="98F686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7">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18F7CA2"/>
    <w:multiLevelType w:val="hybridMultilevel"/>
    <w:tmpl w:val="4920B74A"/>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1">
    <w:nsid w:val="7B0719EC"/>
    <w:multiLevelType w:val="hybridMultilevel"/>
    <w:tmpl w:val="3E6054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49844353">
    <w:abstractNumId w:val="12"/>
  </w:num>
  <w:num w:numId="2" w16cid:durableId="1043559554">
    <w:abstractNumId w:val="0"/>
  </w:num>
  <w:num w:numId="3" w16cid:durableId="1569220148">
    <w:abstractNumId w:val="10"/>
  </w:num>
  <w:num w:numId="4" w16cid:durableId="994650507">
    <w:abstractNumId w:val="9"/>
  </w:num>
  <w:num w:numId="5" w16cid:durableId="1112550113">
    <w:abstractNumId w:val="17"/>
  </w:num>
  <w:num w:numId="6" w16cid:durableId="1314532053">
    <w:abstractNumId w:val="1"/>
  </w:num>
  <w:num w:numId="7" w16cid:durableId="1257247377">
    <w:abstractNumId w:val="18"/>
  </w:num>
  <w:num w:numId="8" w16cid:durableId="1547448988">
    <w:abstractNumId w:val="15"/>
  </w:num>
  <w:num w:numId="9" w16cid:durableId="56049345">
    <w:abstractNumId w:val="19"/>
  </w:num>
  <w:num w:numId="10" w16cid:durableId="279647829">
    <w:abstractNumId w:val="3"/>
  </w:num>
  <w:num w:numId="11" w16cid:durableId="1098864107">
    <w:abstractNumId w:val="14"/>
  </w:num>
  <w:num w:numId="12" w16cid:durableId="160632609">
    <w:abstractNumId w:val="16"/>
  </w:num>
  <w:num w:numId="13" w16cid:durableId="1745646764">
    <w:abstractNumId w:val="6"/>
  </w:num>
  <w:num w:numId="14" w16cid:durableId="1593203441">
    <w:abstractNumId w:val="5"/>
  </w:num>
  <w:num w:numId="15" w16cid:durableId="521431984">
    <w:abstractNumId w:val="4"/>
  </w:num>
  <w:num w:numId="16" w16cid:durableId="652217844">
    <w:abstractNumId w:val="2"/>
  </w:num>
  <w:num w:numId="17" w16cid:durableId="1979602088">
    <w:abstractNumId w:val="22"/>
  </w:num>
  <w:num w:numId="18" w16cid:durableId="710422486">
    <w:abstractNumId w:val="8"/>
  </w:num>
  <w:num w:numId="19" w16cid:durableId="1834837697">
    <w:abstractNumId w:val="7"/>
  </w:num>
  <w:num w:numId="20" w16cid:durableId="1974406822">
    <w:abstractNumId w:val="11"/>
  </w:num>
  <w:num w:numId="21" w16cid:durableId="856388963">
    <w:abstractNumId w:val="21"/>
  </w:num>
  <w:num w:numId="22" w16cid:durableId="77948526">
    <w:abstractNumId w:val="13"/>
  </w:num>
  <w:num w:numId="23" w16cid:durableId="95374637">
    <w:abstractNumId w:val="13"/>
  </w:num>
  <w:num w:numId="24" w16cid:durableId="157477436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C04"/>
    <w:rsid w:val="000159BC"/>
    <w:rsid w:val="00023E8E"/>
    <w:rsid w:val="00045332"/>
    <w:rsid w:val="00085316"/>
    <w:rsid w:val="00085B8E"/>
    <w:rsid w:val="000904BA"/>
    <w:rsid w:val="000B0E70"/>
    <w:rsid w:val="000E58FC"/>
    <w:rsid w:val="000F4847"/>
    <w:rsid w:val="00105F45"/>
    <w:rsid w:val="00123208"/>
    <w:rsid w:val="00135B81"/>
    <w:rsid w:val="00157554"/>
    <w:rsid w:val="00157BD0"/>
    <w:rsid w:val="0019309D"/>
    <w:rsid w:val="001E69C0"/>
    <w:rsid w:val="001F1B77"/>
    <w:rsid w:val="001F526C"/>
    <w:rsid w:val="001F7188"/>
    <w:rsid w:val="00200261"/>
    <w:rsid w:val="0020329D"/>
    <w:rsid w:val="00211832"/>
    <w:rsid w:val="00222D1B"/>
    <w:rsid w:val="0022442F"/>
    <w:rsid w:val="00242644"/>
    <w:rsid w:val="0024335E"/>
    <w:rsid w:val="00254DCF"/>
    <w:rsid w:val="002567F9"/>
    <w:rsid w:val="002762DE"/>
    <w:rsid w:val="0027743E"/>
    <w:rsid w:val="00294E92"/>
    <w:rsid w:val="002B2E6E"/>
    <w:rsid w:val="002B444B"/>
    <w:rsid w:val="002D60B0"/>
    <w:rsid w:val="003132E7"/>
    <w:rsid w:val="00331D7E"/>
    <w:rsid w:val="00334439"/>
    <w:rsid w:val="00337EF1"/>
    <w:rsid w:val="0035101E"/>
    <w:rsid w:val="00357118"/>
    <w:rsid w:val="00372953"/>
    <w:rsid w:val="003929A5"/>
    <w:rsid w:val="00394A8A"/>
    <w:rsid w:val="003975C4"/>
    <w:rsid w:val="003A17DA"/>
    <w:rsid w:val="003A21B9"/>
    <w:rsid w:val="003C0540"/>
    <w:rsid w:val="003D12E0"/>
    <w:rsid w:val="00403DED"/>
    <w:rsid w:val="004145EE"/>
    <w:rsid w:val="00420AE9"/>
    <w:rsid w:val="00420B99"/>
    <w:rsid w:val="00424112"/>
    <w:rsid w:val="00453523"/>
    <w:rsid w:val="00466EA0"/>
    <w:rsid w:val="00470BCA"/>
    <w:rsid w:val="00480AFF"/>
    <w:rsid w:val="00486235"/>
    <w:rsid w:val="00490797"/>
    <w:rsid w:val="00491EC8"/>
    <w:rsid w:val="004A383C"/>
    <w:rsid w:val="004B1E88"/>
    <w:rsid w:val="004B4BBC"/>
    <w:rsid w:val="004C74D6"/>
    <w:rsid w:val="004F26EE"/>
    <w:rsid w:val="004F4F5D"/>
    <w:rsid w:val="00505BC6"/>
    <w:rsid w:val="00510F0C"/>
    <w:rsid w:val="00520B36"/>
    <w:rsid w:val="00522B83"/>
    <w:rsid w:val="00546F2E"/>
    <w:rsid w:val="00557AD5"/>
    <w:rsid w:val="005623D7"/>
    <w:rsid w:val="00571698"/>
    <w:rsid w:val="00576EDB"/>
    <w:rsid w:val="0059244B"/>
    <w:rsid w:val="00596BBA"/>
    <w:rsid w:val="005B6C5A"/>
    <w:rsid w:val="005C3A95"/>
    <w:rsid w:val="005C7428"/>
    <w:rsid w:val="005D5C81"/>
    <w:rsid w:val="005F090A"/>
    <w:rsid w:val="00623E87"/>
    <w:rsid w:val="006267AC"/>
    <w:rsid w:val="00633F9D"/>
    <w:rsid w:val="00642741"/>
    <w:rsid w:val="006511AC"/>
    <w:rsid w:val="006827AB"/>
    <w:rsid w:val="00682A82"/>
    <w:rsid w:val="00692C45"/>
    <w:rsid w:val="006A13FA"/>
    <w:rsid w:val="006A5F5B"/>
    <w:rsid w:val="006B4037"/>
    <w:rsid w:val="006C511D"/>
    <w:rsid w:val="006E563D"/>
    <w:rsid w:val="006F2DF8"/>
    <w:rsid w:val="006F6306"/>
    <w:rsid w:val="0071479F"/>
    <w:rsid w:val="00720349"/>
    <w:rsid w:val="00722FDB"/>
    <w:rsid w:val="00726AC5"/>
    <w:rsid w:val="00752F66"/>
    <w:rsid w:val="007535FD"/>
    <w:rsid w:val="00753EFE"/>
    <w:rsid w:val="00764CBE"/>
    <w:rsid w:val="0077261C"/>
    <w:rsid w:val="007A413E"/>
    <w:rsid w:val="007C6446"/>
    <w:rsid w:val="007C72F3"/>
    <w:rsid w:val="007D079A"/>
    <w:rsid w:val="0080630B"/>
    <w:rsid w:val="00812546"/>
    <w:rsid w:val="008635C4"/>
    <w:rsid w:val="008941F2"/>
    <w:rsid w:val="008D1294"/>
    <w:rsid w:val="008D1DF5"/>
    <w:rsid w:val="008E2B7A"/>
    <w:rsid w:val="008E3029"/>
    <w:rsid w:val="008E545B"/>
    <w:rsid w:val="008F4989"/>
    <w:rsid w:val="00932EC9"/>
    <w:rsid w:val="00942F2E"/>
    <w:rsid w:val="0095039F"/>
    <w:rsid w:val="00954FE4"/>
    <w:rsid w:val="00964576"/>
    <w:rsid w:val="0098628F"/>
    <w:rsid w:val="00990CD6"/>
    <w:rsid w:val="00996894"/>
    <w:rsid w:val="00997C70"/>
    <w:rsid w:val="009A6246"/>
    <w:rsid w:val="009C2F1E"/>
    <w:rsid w:val="009E1C33"/>
    <w:rsid w:val="009F2544"/>
    <w:rsid w:val="009F3598"/>
    <w:rsid w:val="00A06586"/>
    <w:rsid w:val="00A37A83"/>
    <w:rsid w:val="00A41A83"/>
    <w:rsid w:val="00A50A0F"/>
    <w:rsid w:val="00A569FC"/>
    <w:rsid w:val="00A62749"/>
    <w:rsid w:val="00A64A1D"/>
    <w:rsid w:val="00A708B2"/>
    <w:rsid w:val="00A74DEE"/>
    <w:rsid w:val="00A76F7E"/>
    <w:rsid w:val="00A77157"/>
    <w:rsid w:val="00A9791A"/>
    <w:rsid w:val="00AD518A"/>
    <w:rsid w:val="00B23DF9"/>
    <w:rsid w:val="00B4729B"/>
    <w:rsid w:val="00B52F4E"/>
    <w:rsid w:val="00B55214"/>
    <w:rsid w:val="00B80EF5"/>
    <w:rsid w:val="00B933B0"/>
    <w:rsid w:val="00BC43C7"/>
    <w:rsid w:val="00BD67F5"/>
    <w:rsid w:val="00BD6FF9"/>
    <w:rsid w:val="00BE3649"/>
    <w:rsid w:val="00BE7109"/>
    <w:rsid w:val="00C13F41"/>
    <w:rsid w:val="00C42DC0"/>
    <w:rsid w:val="00C62D17"/>
    <w:rsid w:val="00C65647"/>
    <w:rsid w:val="00C72AE8"/>
    <w:rsid w:val="00C808F4"/>
    <w:rsid w:val="00C845C5"/>
    <w:rsid w:val="00CA15B1"/>
    <w:rsid w:val="00CA3E73"/>
    <w:rsid w:val="00CB18CD"/>
    <w:rsid w:val="00CB7D00"/>
    <w:rsid w:val="00CC24D5"/>
    <w:rsid w:val="00CC26C9"/>
    <w:rsid w:val="00CD4AAD"/>
    <w:rsid w:val="00CF4DC8"/>
    <w:rsid w:val="00D04431"/>
    <w:rsid w:val="00D21AA6"/>
    <w:rsid w:val="00D323C0"/>
    <w:rsid w:val="00D32C3B"/>
    <w:rsid w:val="00D462F7"/>
    <w:rsid w:val="00D50EC8"/>
    <w:rsid w:val="00D51B42"/>
    <w:rsid w:val="00D65CFE"/>
    <w:rsid w:val="00D70771"/>
    <w:rsid w:val="00DA2B37"/>
    <w:rsid w:val="00DB43A5"/>
    <w:rsid w:val="00DB4857"/>
    <w:rsid w:val="00DB7C2D"/>
    <w:rsid w:val="00DC1ADF"/>
    <w:rsid w:val="00E075A4"/>
    <w:rsid w:val="00E26F8C"/>
    <w:rsid w:val="00E5409A"/>
    <w:rsid w:val="00E633A4"/>
    <w:rsid w:val="00E65CB4"/>
    <w:rsid w:val="00E76C2B"/>
    <w:rsid w:val="00E80278"/>
    <w:rsid w:val="00E81B0E"/>
    <w:rsid w:val="00E845F3"/>
    <w:rsid w:val="00E94436"/>
    <w:rsid w:val="00E95FFB"/>
    <w:rsid w:val="00EA004D"/>
    <w:rsid w:val="00EA5C88"/>
    <w:rsid w:val="00EA6C04"/>
    <w:rsid w:val="00EB09EC"/>
    <w:rsid w:val="00ED2B87"/>
    <w:rsid w:val="00F01331"/>
    <w:rsid w:val="00F051F7"/>
    <w:rsid w:val="00F058EB"/>
    <w:rsid w:val="00F25499"/>
    <w:rsid w:val="00F3383E"/>
    <w:rsid w:val="00F55279"/>
    <w:rsid w:val="00F86C35"/>
    <w:rsid w:val="00F97482"/>
    <w:rsid w:val="00FB569C"/>
    <w:rsid w:val="00FD1C92"/>
    <w:rsid w:val="00FD20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EBBEBC"/>
  <w15:docId w15:val="{552F5F3F-22AD-4AD4-BFE5-08DE49D2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basedOn w:val="DefaultParagraphFont"/>
    <w:uiPriority w:val="99"/>
    <w:semiHidden/>
    <w:unhideWhenUsed/>
    <w:rsid w:val="00E65CB4"/>
    <w:rPr>
      <w:sz w:val="16"/>
      <w:szCs w:val="16"/>
    </w:rPr>
  </w:style>
  <w:style w:type="paragraph" w:styleId="CommentText">
    <w:name w:val="annotation text"/>
    <w:basedOn w:val="Normal"/>
    <w:link w:val="CommentTextChar"/>
    <w:uiPriority w:val="99"/>
    <w:unhideWhenUsed/>
    <w:rsid w:val="00E65CB4"/>
    <w:pPr>
      <w:spacing w:line="240" w:lineRule="auto"/>
    </w:pPr>
    <w:rPr>
      <w:sz w:val="20"/>
      <w:szCs w:val="20"/>
    </w:rPr>
  </w:style>
  <w:style w:type="character" w:customStyle="1" w:styleId="CommentTextChar">
    <w:name w:val="Comment Text Char"/>
    <w:basedOn w:val="DefaultParagraphFont"/>
    <w:link w:val="CommentText"/>
    <w:uiPriority w:val="99"/>
    <w:rsid w:val="00E65CB4"/>
    <w:rPr>
      <w:sz w:val="20"/>
      <w:szCs w:val="20"/>
    </w:rPr>
  </w:style>
  <w:style w:type="paragraph" w:styleId="Revision">
    <w:name w:val="Revision"/>
    <w:hidden/>
    <w:uiPriority w:val="99"/>
    <w:semiHidden/>
    <w:rsid w:val="002D60B0"/>
    <w:pPr>
      <w:spacing w:after="0" w:line="240" w:lineRule="auto"/>
    </w:pPr>
  </w:style>
  <w:style w:type="character" w:styleId="FollowedHyperlink">
    <w:name w:val="FollowedHyperlink"/>
    <w:basedOn w:val="DefaultParagraphFont"/>
    <w:uiPriority w:val="99"/>
    <w:semiHidden/>
    <w:unhideWhenUsed/>
    <w:rsid w:val="005623D7"/>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5623D7"/>
    <w:rPr>
      <w:b/>
      <w:bCs/>
    </w:rPr>
  </w:style>
  <w:style w:type="character" w:customStyle="1" w:styleId="CommentSubjectChar">
    <w:name w:val="Comment Subject Char"/>
    <w:basedOn w:val="CommentTextChar"/>
    <w:link w:val="CommentSubject"/>
    <w:uiPriority w:val="99"/>
    <w:semiHidden/>
    <w:rsid w:val="005623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pcld.defense.gov/Privacy/SORNsIndex/DOD-wide-SORN-Article-View/Article/570273/s64045/"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17848-F96C-474A-B6D7-F77EEDBCC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1413</Words>
  <Characters>8056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Defusco, Marie K CTR WHS ESD (USA)</cp:lastModifiedBy>
  <cp:revision>4</cp:revision>
  <cp:lastPrinted>2024-12-18T13:27:00Z</cp:lastPrinted>
  <dcterms:created xsi:type="dcterms:W3CDTF">2024-12-18T17:08:00Z</dcterms:created>
  <dcterms:modified xsi:type="dcterms:W3CDTF">2024-12-31T13:26:00Z</dcterms:modified>
</cp:coreProperties>
</file>