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0FC3" w:rsidRPr="007D7C8B" w:rsidP="1A41A4D3" w14:paraId="637C1E84" w14:textId="7995FCE8">
      <w:pPr>
        <w:jc w:val="center"/>
        <w:rPr>
          <w:rFonts w:ascii="Calibri" w:eastAsia="Arial" w:hAnsi="Calibri" w:cs="Calibri"/>
          <w:color w:val="000000" w:themeColor="text1"/>
          <w:sz w:val="32"/>
          <w:szCs w:val="32"/>
        </w:rPr>
      </w:pPr>
      <w:r w:rsidRPr="007D7C8B">
        <w:rPr>
          <w:rFonts w:ascii="Calibri" w:eastAsia="Arial" w:hAnsi="Calibri" w:cs="Calibri"/>
          <w:b/>
          <w:bCs/>
          <w:color w:val="000000" w:themeColor="text1"/>
          <w:sz w:val="32"/>
          <w:szCs w:val="32"/>
        </w:rPr>
        <w:t>Supporting Statement B</w:t>
      </w:r>
    </w:p>
    <w:p w:rsidR="00250FC3" w:rsidRPr="007D7C8B" w:rsidP="1A41A4D3" w14:paraId="3B0D40E3" w14:textId="04FABDCD">
      <w:pPr>
        <w:tabs>
          <w:tab w:val="center" w:pos="4680"/>
        </w:tabs>
        <w:jc w:val="center"/>
        <w:rPr>
          <w:rFonts w:ascii="Calibri" w:eastAsia="Arial" w:hAnsi="Calibri" w:cs="Calibri"/>
          <w:color w:val="000000" w:themeColor="text1"/>
          <w:sz w:val="32"/>
          <w:szCs w:val="32"/>
        </w:rPr>
      </w:pPr>
    </w:p>
    <w:p w:rsidR="00250FC3" w:rsidRPr="007D7C8B" w:rsidP="1A41A4D3" w14:paraId="14C38CD8" w14:textId="44D09C6C">
      <w:pPr>
        <w:tabs>
          <w:tab w:val="center" w:pos="4680"/>
        </w:tabs>
        <w:spacing w:before="120"/>
        <w:ind w:left="-20" w:right="-20"/>
        <w:jc w:val="center"/>
        <w:rPr>
          <w:rFonts w:ascii="Calibri" w:eastAsia="Arial" w:hAnsi="Calibri" w:cs="Calibri"/>
          <w:b/>
          <w:bCs/>
          <w:sz w:val="32"/>
          <w:szCs w:val="32"/>
        </w:rPr>
      </w:pPr>
      <w:r w:rsidRPr="007D7C8B">
        <w:rPr>
          <w:rFonts w:ascii="Calibri" w:eastAsia="Arial" w:hAnsi="Calibri" w:cs="Calibri"/>
          <w:b/>
          <w:bCs/>
          <w:sz w:val="32"/>
          <w:szCs w:val="32"/>
        </w:rPr>
        <w:t>Home Visiting Assessment of Implementation Quality Study: Understanding Supervisor Supports in Home Visiting</w:t>
      </w:r>
    </w:p>
    <w:p w:rsidR="00250FC3" w:rsidRPr="007D7C8B" w:rsidP="1A41A4D3" w14:paraId="5FF625B2" w14:textId="0463CB26">
      <w:pPr>
        <w:tabs>
          <w:tab w:val="center" w:pos="4680"/>
        </w:tabs>
        <w:jc w:val="center"/>
        <w:rPr>
          <w:rFonts w:ascii="Calibri" w:eastAsia="Arial" w:hAnsi="Calibri" w:cs="Calibri"/>
          <w:color w:val="000000" w:themeColor="text1"/>
          <w:sz w:val="32"/>
          <w:szCs w:val="32"/>
        </w:rPr>
      </w:pPr>
    </w:p>
    <w:p w:rsidR="00250FC3" w:rsidRPr="007D7C8B" w:rsidP="1A41A4D3" w14:paraId="425DACA2" w14:textId="034969F4">
      <w:pPr>
        <w:tabs>
          <w:tab w:val="center" w:pos="4680"/>
        </w:tabs>
        <w:jc w:val="center"/>
        <w:rPr>
          <w:rFonts w:ascii="Calibri" w:eastAsia="Arial" w:hAnsi="Calibri" w:cs="Calibri"/>
          <w:color w:val="000000" w:themeColor="text1"/>
          <w:sz w:val="32"/>
          <w:szCs w:val="32"/>
        </w:rPr>
      </w:pPr>
      <w:r w:rsidRPr="007D7C8B">
        <w:rPr>
          <w:rFonts w:ascii="Calibri" w:eastAsia="Arial" w:hAnsi="Calibri" w:cs="Calibri"/>
          <w:b/>
          <w:bCs/>
          <w:color w:val="000000" w:themeColor="text1"/>
          <w:sz w:val="32"/>
          <w:szCs w:val="32"/>
        </w:rPr>
        <w:t>OMB Control No. 0906-XXXX</w:t>
      </w:r>
    </w:p>
    <w:p w:rsidR="00250FC3" w:rsidRPr="00C75FA8" w:rsidP="00A36987" w14:paraId="265F2BEC" w14:textId="0F763A18">
      <w:pPr>
        <w:pStyle w:val="Heading1"/>
        <w:rPr>
          <w:rFonts w:ascii="Calibri Light" w:hAnsi="Calibri Light" w:cs="Calibri Light"/>
          <w:color w:val="2F5496"/>
          <w:sz w:val="32"/>
          <w:szCs w:val="32"/>
        </w:rPr>
      </w:pPr>
      <w:r w:rsidRPr="00C75FA8">
        <w:rPr>
          <w:rFonts w:ascii="Calibri Light" w:hAnsi="Calibri Light" w:cs="Calibri Light"/>
          <w:color w:val="2F5496"/>
          <w:sz w:val="32"/>
          <w:szCs w:val="32"/>
        </w:rPr>
        <w:t>B. Collections of Information Employing Statistical Methods</w:t>
      </w:r>
    </w:p>
    <w:p w:rsidR="00250FC3" w:rsidRPr="00F8459F" w:rsidP="00A36987" w14:paraId="2B021D61" w14:textId="719C956C">
      <w:pPr>
        <w:pStyle w:val="Heading2"/>
        <w:rPr>
          <w:rFonts w:ascii="Calibri Light" w:hAnsi="Calibri Light" w:cs="Calibri Light"/>
          <w:color w:val="2F5496"/>
        </w:rPr>
      </w:pPr>
      <w:r w:rsidRPr="00F8459F">
        <w:rPr>
          <w:rFonts w:ascii="Calibri Light" w:hAnsi="Calibri Light" w:cs="Calibri Light"/>
          <w:color w:val="2F5496"/>
          <w:sz w:val="26"/>
          <w:szCs w:val="26"/>
        </w:rPr>
        <w:t>1. Respondent Universe and Sampling Methods</w:t>
      </w:r>
    </w:p>
    <w:p w:rsidR="00250FC3" w:rsidRPr="008877D6" w:rsidP="00CF2568" w14:paraId="2C078E63" w14:textId="0AD1CEB1">
      <w:pPr>
        <w:spacing w:line="240" w:lineRule="auto"/>
        <w:rPr>
          <w:rFonts w:ascii="Calibri" w:hAnsi="Calibri" w:cs="Calibri"/>
          <w:sz w:val="22"/>
          <w:szCs w:val="22"/>
        </w:rPr>
      </w:pPr>
      <w:r w:rsidRPr="008877D6">
        <w:rPr>
          <w:rFonts w:ascii="Calibri" w:hAnsi="Calibri" w:cs="Calibri"/>
          <w:sz w:val="22"/>
          <w:szCs w:val="22"/>
        </w:rPr>
        <w:t xml:space="preserve">Information will be collected from several different groups of respondents via surveys, interviews, and focus groups using a combination of </w:t>
      </w:r>
      <w:r w:rsidRPr="008877D6" w:rsidR="005D152E">
        <w:rPr>
          <w:rFonts w:ascii="Calibri" w:hAnsi="Calibri" w:cs="Calibri"/>
          <w:sz w:val="22"/>
          <w:szCs w:val="22"/>
        </w:rPr>
        <w:t>convenience and purposive</w:t>
      </w:r>
      <w:r w:rsidRPr="008877D6">
        <w:rPr>
          <w:rFonts w:ascii="Calibri" w:hAnsi="Calibri" w:cs="Calibri"/>
          <w:sz w:val="22"/>
          <w:szCs w:val="22"/>
        </w:rPr>
        <w:t xml:space="preserve"> sampling methods.</w:t>
      </w:r>
      <w:r w:rsidRPr="008877D6" w:rsidR="004437DA">
        <w:rPr>
          <w:rFonts w:ascii="Calibri" w:hAnsi="Calibri" w:cs="Calibri"/>
          <w:sz w:val="22"/>
          <w:szCs w:val="22"/>
        </w:rPr>
        <w:t xml:space="preserve"> Table 1 summarizes the sampling approach by data collection activity and sample population. </w:t>
      </w:r>
      <w:r w:rsidRPr="008877D6" w:rsidR="006F148E">
        <w:rPr>
          <w:rFonts w:ascii="Calibri" w:hAnsi="Calibri" w:cs="Calibri"/>
          <w:sz w:val="22"/>
          <w:szCs w:val="22"/>
        </w:rPr>
        <w:t>As show</w:t>
      </w:r>
      <w:r w:rsidRPr="008877D6" w:rsidR="00991397">
        <w:rPr>
          <w:rFonts w:ascii="Calibri" w:hAnsi="Calibri" w:cs="Calibri"/>
          <w:sz w:val="22"/>
          <w:szCs w:val="22"/>
        </w:rPr>
        <w:t>n</w:t>
      </w:r>
      <w:r w:rsidRPr="008877D6" w:rsidR="006F148E">
        <w:rPr>
          <w:rFonts w:ascii="Calibri" w:hAnsi="Calibri" w:cs="Calibri"/>
          <w:sz w:val="22"/>
          <w:szCs w:val="22"/>
        </w:rPr>
        <w:t>, in Table 1, we will use a</w:t>
      </w:r>
      <w:r w:rsidRPr="008877D6" w:rsidR="001A4165">
        <w:rPr>
          <w:rFonts w:ascii="Calibri" w:hAnsi="Calibri" w:cs="Calibri"/>
          <w:sz w:val="22"/>
          <w:szCs w:val="22"/>
        </w:rPr>
        <w:t xml:space="preserve"> convenience sampling approach for the initial </w:t>
      </w:r>
      <w:r w:rsidRPr="008877D6" w:rsidR="002C1F3A">
        <w:rPr>
          <w:rFonts w:ascii="Calibri" w:hAnsi="Calibri" w:cs="Calibri"/>
          <w:sz w:val="22"/>
          <w:szCs w:val="22"/>
        </w:rPr>
        <w:t>recruitment survey</w:t>
      </w:r>
      <w:r w:rsidRPr="008877D6" w:rsidR="00166E35">
        <w:rPr>
          <w:rFonts w:ascii="Calibri" w:hAnsi="Calibri" w:cs="Calibri"/>
          <w:sz w:val="22"/>
          <w:szCs w:val="22"/>
        </w:rPr>
        <w:t xml:space="preserve"> and a mix of convenience and purposive sampling for the interviews and focus groups.</w:t>
      </w:r>
      <w:r w:rsidR="00BE21B9">
        <w:rPr>
          <w:rFonts w:ascii="Calibri" w:hAnsi="Calibri" w:cs="Calibri"/>
          <w:sz w:val="22"/>
          <w:szCs w:val="22"/>
        </w:rPr>
        <w:t xml:space="preserve"> A convenience sampling approach allows us to </w:t>
      </w:r>
      <w:r w:rsidR="00CB3942">
        <w:rPr>
          <w:rFonts w:ascii="Calibri" w:hAnsi="Calibri" w:cs="Calibri"/>
          <w:sz w:val="22"/>
          <w:szCs w:val="22"/>
        </w:rPr>
        <w:t xml:space="preserve">easily and quickly </w:t>
      </w:r>
      <w:r w:rsidR="005B5D50">
        <w:rPr>
          <w:rFonts w:ascii="Calibri" w:hAnsi="Calibri" w:cs="Calibri"/>
          <w:sz w:val="22"/>
          <w:szCs w:val="22"/>
        </w:rPr>
        <w:t>recruit</w:t>
      </w:r>
      <w:r w:rsidR="002C6E73">
        <w:rPr>
          <w:rFonts w:ascii="Calibri" w:hAnsi="Calibri" w:cs="Calibri"/>
          <w:sz w:val="22"/>
          <w:szCs w:val="22"/>
        </w:rPr>
        <w:t xml:space="preserve"> potential study participants who are interested in participating with </w:t>
      </w:r>
      <w:r w:rsidR="00CB3942">
        <w:rPr>
          <w:rFonts w:ascii="Calibri" w:hAnsi="Calibri" w:cs="Calibri"/>
          <w:sz w:val="22"/>
          <w:szCs w:val="22"/>
        </w:rPr>
        <w:t xml:space="preserve">little </w:t>
      </w:r>
      <w:r w:rsidR="004336B0">
        <w:rPr>
          <w:rFonts w:ascii="Calibri" w:hAnsi="Calibri" w:cs="Calibri"/>
          <w:sz w:val="22"/>
          <w:szCs w:val="22"/>
        </w:rPr>
        <w:t>burden</w:t>
      </w:r>
      <w:r w:rsidR="00A14DC1">
        <w:rPr>
          <w:rFonts w:ascii="Calibri" w:hAnsi="Calibri" w:cs="Calibri"/>
          <w:sz w:val="22"/>
          <w:szCs w:val="22"/>
        </w:rPr>
        <w:t xml:space="preserve"> on their part</w:t>
      </w:r>
      <w:r w:rsidR="00CB3942">
        <w:rPr>
          <w:rFonts w:ascii="Calibri" w:hAnsi="Calibri" w:cs="Calibri"/>
          <w:sz w:val="22"/>
          <w:szCs w:val="22"/>
        </w:rPr>
        <w:t>.</w:t>
      </w:r>
      <w:r w:rsidR="00376B83">
        <w:rPr>
          <w:rFonts w:ascii="Calibri" w:hAnsi="Calibri" w:cs="Calibri"/>
          <w:sz w:val="22"/>
          <w:szCs w:val="22"/>
        </w:rPr>
        <w:t xml:space="preserve"> </w:t>
      </w:r>
      <w:r w:rsidR="000200DE">
        <w:rPr>
          <w:rFonts w:ascii="Calibri" w:hAnsi="Calibri" w:cs="Calibri"/>
          <w:sz w:val="22"/>
          <w:szCs w:val="22"/>
        </w:rPr>
        <w:t xml:space="preserve">For this ICR, this approach will allow us to reach our goal to identify </w:t>
      </w:r>
      <w:r w:rsidR="004070F8">
        <w:rPr>
          <w:rFonts w:ascii="Calibri" w:hAnsi="Calibri" w:cs="Calibri"/>
          <w:sz w:val="22"/>
          <w:szCs w:val="22"/>
        </w:rPr>
        <w:t>potential respondents for further data collection. A purposive sampling approach</w:t>
      </w:r>
      <w:r w:rsidR="002D407A">
        <w:rPr>
          <w:rFonts w:ascii="Calibri" w:hAnsi="Calibri" w:cs="Calibri"/>
          <w:sz w:val="22"/>
          <w:szCs w:val="22"/>
        </w:rPr>
        <w:t xml:space="preserve"> is a strategy to select participants based on individual characteristics (</w:t>
      </w:r>
      <w:r w:rsidR="00710F32">
        <w:rPr>
          <w:rFonts w:ascii="Calibri" w:hAnsi="Calibri" w:cs="Calibri"/>
          <w:sz w:val="22"/>
          <w:szCs w:val="22"/>
        </w:rPr>
        <w:t>in this case,</w:t>
      </w:r>
      <w:r w:rsidR="002D407A">
        <w:rPr>
          <w:rFonts w:ascii="Calibri" w:hAnsi="Calibri" w:cs="Calibri"/>
          <w:sz w:val="22"/>
          <w:szCs w:val="22"/>
        </w:rPr>
        <w:t xml:space="preserve"> their role in a home visiting program).</w:t>
      </w:r>
      <w:r w:rsidRPr="008877D6" w:rsidR="002C1F3A">
        <w:rPr>
          <w:rFonts w:ascii="Calibri" w:hAnsi="Calibri" w:cs="Calibri"/>
          <w:sz w:val="22"/>
          <w:szCs w:val="22"/>
        </w:rPr>
        <w:t xml:space="preserve"> </w:t>
      </w:r>
      <w:r w:rsidRPr="008877D6" w:rsidR="00CE3C7C">
        <w:rPr>
          <w:rFonts w:ascii="Calibri" w:hAnsi="Calibri" w:cs="Calibri"/>
          <w:sz w:val="22"/>
          <w:szCs w:val="22"/>
        </w:rPr>
        <w:t xml:space="preserve">We anticipate </w:t>
      </w:r>
      <w:r w:rsidRPr="008877D6" w:rsidR="00366BDD">
        <w:rPr>
          <w:rFonts w:ascii="Calibri" w:hAnsi="Calibri" w:cs="Calibri"/>
          <w:sz w:val="22"/>
          <w:szCs w:val="22"/>
        </w:rPr>
        <w:t xml:space="preserve">that speaking to up to </w:t>
      </w:r>
      <w:r w:rsidRPr="008877D6" w:rsidR="00246FE0">
        <w:rPr>
          <w:rFonts w:ascii="Calibri" w:hAnsi="Calibri" w:cs="Calibri"/>
          <w:sz w:val="22"/>
          <w:szCs w:val="22"/>
        </w:rPr>
        <w:t xml:space="preserve">up to 50 </w:t>
      </w:r>
      <w:r w:rsidRPr="008877D6" w:rsidR="00166E35">
        <w:rPr>
          <w:rFonts w:ascii="Calibri" w:hAnsi="Calibri" w:cs="Calibri"/>
          <w:sz w:val="22"/>
          <w:szCs w:val="22"/>
        </w:rPr>
        <w:t xml:space="preserve">home visiting </w:t>
      </w:r>
      <w:r w:rsidRPr="008877D6" w:rsidR="007B0467">
        <w:rPr>
          <w:rFonts w:ascii="Calibri" w:hAnsi="Calibri" w:cs="Calibri"/>
          <w:sz w:val="22"/>
          <w:szCs w:val="22"/>
        </w:rPr>
        <w:t>program lead</w:t>
      </w:r>
      <w:r w:rsidRPr="008877D6" w:rsidR="00166E35">
        <w:rPr>
          <w:rFonts w:ascii="Calibri" w:hAnsi="Calibri" w:cs="Calibri"/>
          <w:sz w:val="22"/>
          <w:szCs w:val="22"/>
        </w:rPr>
        <w:t>er</w:t>
      </w:r>
      <w:r w:rsidRPr="008877D6" w:rsidR="007B0467">
        <w:rPr>
          <w:rFonts w:ascii="Calibri" w:hAnsi="Calibri" w:cs="Calibri"/>
          <w:sz w:val="22"/>
          <w:szCs w:val="22"/>
        </w:rPr>
        <w:t>s, 50 supervisors, and 50 home visitors will allow us to hear from a diverse group of participants from across the country and achieve saturation.</w:t>
      </w:r>
      <w:r>
        <w:rPr>
          <w:rStyle w:val="EndnoteReference"/>
          <w:rFonts w:ascii="Calibri" w:hAnsi="Calibri" w:cs="Calibri"/>
          <w:sz w:val="22"/>
          <w:szCs w:val="22"/>
        </w:rPr>
        <w:endnoteReference w:id="3"/>
      </w:r>
      <w:r w:rsidRPr="008877D6" w:rsidR="007B0467">
        <w:rPr>
          <w:rFonts w:ascii="Calibri" w:hAnsi="Calibri" w:cs="Calibri"/>
          <w:sz w:val="22"/>
          <w:szCs w:val="22"/>
        </w:rPr>
        <w:t xml:space="preserve"> Each sampling strategy </w:t>
      </w:r>
      <w:r w:rsidRPr="008877D6" w:rsidR="00AB740F">
        <w:rPr>
          <w:rFonts w:ascii="Calibri" w:hAnsi="Calibri" w:cs="Calibri"/>
          <w:sz w:val="22"/>
          <w:szCs w:val="22"/>
        </w:rPr>
        <w:t xml:space="preserve">is explained in more detail below, organized by data collection activity. </w:t>
      </w:r>
    </w:p>
    <w:p w:rsidR="1A41A4D3" w:rsidRPr="008877D6" w:rsidP="00CF2568" w14:paraId="5579F3BC" w14:textId="5B8C62F6">
      <w:pPr>
        <w:spacing w:line="240" w:lineRule="auto"/>
        <w:rPr>
          <w:rFonts w:ascii="Calibri" w:hAnsi="Calibri" w:cs="Calibri"/>
          <w:b/>
          <w:bCs/>
          <w:sz w:val="22"/>
          <w:szCs w:val="22"/>
        </w:rPr>
      </w:pPr>
      <w:r w:rsidRPr="008877D6">
        <w:rPr>
          <w:rFonts w:ascii="Calibri" w:hAnsi="Calibri" w:cs="Calibri"/>
          <w:b/>
          <w:bCs/>
          <w:sz w:val="22"/>
          <w:szCs w:val="22"/>
        </w:rPr>
        <w:t>Table 1. Sampling Approach</w:t>
      </w:r>
    </w:p>
    <w:tbl>
      <w:tblPr>
        <w:tblStyle w:val="TableGrid"/>
        <w:tblW w:w="9355" w:type="dxa"/>
        <w:tblLook w:val="04A0"/>
      </w:tblPr>
      <w:tblGrid>
        <w:gridCol w:w="2245"/>
        <w:gridCol w:w="3330"/>
        <w:gridCol w:w="3780"/>
      </w:tblGrid>
      <w:tr w14:paraId="7A69059F" w14:textId="77777777" w:rsidTr="008877D6">
        <w:tblPrEx>
          <w:tblW w:w="9355" w:type="dxa"/>
          <w:tblLook w:val="04A0"/>
        </w:tblPrEx>
        <w:tc>
          <w:tcPr>
            <w:tcW w:w="2245" w:type="dxa"/>
            <w:shd w:val="clear" w:color="auto" w:fill="4472C4"/>
          </w:tcPr>
          <w:p w:rsidR="00455216" w:rsidRPr="008877D6" w:rsidP="00CF2568" w14:paraId="21DAE5A1" w14:textId="77777777">
            <w:pPr>
              <w:jc w:val="center"/>
              <w:rPr>
                <w:rFonts w:ascii="Calibri" w:hAnsi="Calibri" w:cs="Calibri"/>
                <w:b/>
                <w:color w:val="FFFFFF" w:themeColor="background1"/>
                <w:sz w:val="22"/>
                <w:szCs w:val="22"/>
              </w:rPr>
            </w:pPr>
            <w:r w:rsidRPr="008877D6">
              <w:rPr>
                <w:rFonts w:ascii="Calibri" w:hAnsi="Calibri" w:cs="Calibri"/>
                <w:b/>
                <w:color w:val="FFFFFF" w:themeColor="background1"/>
                <w:sz w:val="22"/>
                <w:szCs w:val="22"/>
              </w:rPr>
              <w:t>Data Collection Activity</w:t>
            </w:r>
          </w:p>
        </w:tc>
        <w:tc>
          <w:tcPr>
            <w:tcW w:w="3330" w:type="dxa"/>
            <w:shd w:val="clear" w:color="auto" w:fill="4472C4"/>
          </w:tcPr>
          <w:p w:rsidR="00455216" w:rsidRPr="008877D6" w:rsidP="00CF2568" w14:paraId="65A8100D" w14:textId="77777777">
            <w:pPr>
              <w:jc w:val="center"/>
              <w:rPr>
                <w:rFonts w:ascii="Calibri" w:hAnsi="Calibri" w:cs="Calibri"/>
                <w:b/>
                <w:color w:val="FFFFFF" w:themeColor="background1"/>
                <w:sz w:val="22"/>
                <w:szCs w:val="22"/>
              </w:rPr>
            </w:pPr>
            <w:r w:rsidRPr="008877D6">
              <w:rPr>
                <w:rFonts w:ascii="Calibri" w:hAnsi="Calibri" w:cs="Calibri"/>
                <w:b/>
                <w:color w:val="FFFFFF" w:themeColor="background1"/>
                <w:sz w:val="22"/>
                <w:szCs w:val="22"/>
              </w:rPr>
              <w:t>Sample</w:t>
            </w:r>
          </w:p>
        </w:tc>
        <w:tc>
          <w:tcPr>
            <w:tcW w:w="3780" w:type="dxa"/>
            <w:shd w:val="clear" w:color="auto" w:fill="4472C4"/>
          </w:tcPr>
          <w:p w:rsidR="00455216" w:rsidRPr="008877D6" w:rsidP="00CF2568" w14:paraId="7B7CB642" w14:textId="77777777">
            <w:pPr>
              <w:jc w:val="center"/>
              <w:rPr>
                <w:rFonts w:ascii="Calibri" w:hAnsi="Calibri" w:cs="Calibri"/>
                <w:b/>
                <w:color w:val="FFFFFF" w:themeColor="background1"/>
                <w:sz w:val="22"/>
                <w:szCs w:val="22"/>
              </w:rPr>
            </w:pPr>
            <w:r w:rsidRPr="008877D6">
              <w:rPr>
                <w:rFonts w:ascii="Calibri" w:hAnsi="Calibri" w:cs="Calibri"/>
                <w:b/>
                <w:color w:val="FFFFFF" w:themeColor="background1"/>
                <w:sz w:val="22"/>
                <w:szCs w:val="22"/>
              </w:rPr>
              <w:t>Sampling Approach</w:t>
            </w:r>
          </w:p>
        </w:tc>
      </w:tr>
      <w:tr w14:paraId="1F290552" w14:textId="77777777" w:rsidTr="008877D6">
        <w:tblPrEx>
          <w:tblW w:w="9355" w:type="dxa"/>
          <w:tblLook w:val="04A0"/>
        </w:tblPrEx>
        <w:trPr>
          <w:trHeight w:val="431"/>
        </w:trPr>
        <w:tc>
          <w:tcPr>
            <w:tcW w:w="2245" w:type="dxa"/>
            <w:vMerge w:val="restart"/>
            <w:vAlign w:val="center"/>
          </w:tcPr>
          <w:p w:rsidR="001E0EBC" w:rsidRPr="008877D6" w:rsidP="00CF2568" w14:paraId="2A09AA83" w14:textId="361814DD">
            <w:pPr>
              <w:spacing w:after="160"/>
              <w:rPr>
                <w:rFonts w:ascii="Calibri" w:hAnsi="Calibri" w:cs="Calibri"/>
                <w:sz w:val="22"/>
                <w:szCs w:val="22"/>
              </w:rPr>
            </w:pPr>
            <w:r w:rsidRPr="008877D6">
              <w:rPr>
                <w:rFonts w:ascii="Calibri" w:hAnsi="Calibri" w:cs="Calibri"/>
                <w:sz w:val="22"/>
                <w:szCs w:val="22"/>
              </w:rPr>
              <w:t xml:space="preserve">Recruitment Survey </w:t>
            </w:r>
          </w:p>
        </w:tc>
        <w:tc>
          <w:tcPr>
            <w:tcW w:w="3330" w:type="dxa"/>
            <w:vAlign w:val="center"/>
          </w:tcPr>
          <w:p w:rsidR="001E0EBC" w:rsidRPr="008877D6" w:rsidP="00CF2568" w14:paraId="4FDF1FE8" w14:textId="713370CA">
            <w:pPr>
              <w:spacing w:after="160"/>
              <w:rPr>
                <w:rFonts w:ascii="Calibri" w:hAnsi="Calibri" w:cs="Calibri"/>
                <w:sz w:val="22"/>
                <w:szCs w:val="22"/>
              </w:rPr>
            </w:pPr>
            <w:r w:rsidRPr="008877D6">
              <w:rPr>
                <w:rFonts w:ascii="Calibri" w:hAnsi="Calibri" w:cs="Calibri"/>
                <w:sz w:val="22"/>
                <w:szCs w:val="22"/>
              </w:rPr>
              <w:t>Home Visiting Program Leaders</w:t>
            </w:r>
          </w:p>
        </w:tc>
        <w:tc>
          <w:tcPr>
            <w:tcW w:w="3780" w:type="dxa"/>
            <w:vMerge w:val="restart"/>
            <w:vAlign w:val="center"/>
          </w:tcPr>
          <w:p w:rsidR="001E0EBC" w:rsidRPr="008877D6" w:rsidP="00CF2568" w14:paraId="3DD7E996" w14:textId="19BE38D8">
            <w:pPr>
              <w:spacing w:after="160"/>
              <w:rPr>
                <w:rFonts w:ascii="Calibri" w:hAnsi="Calibri" w:cs="Calibri"/>
                <w:sz w:val="22"/>
                <w:szCs w:val="22"/>
              </w:rPr>
            </w:pPr>
            <w:r w:rsidRPr="008877D6">
              <w:rPr>
                <w:rFonts w:ascii="Calibri" w:hAnsi="Calibri" w:cs="Calibri"/>
                <w:sz w:val="22"/>
                <w:szCs w:val="22"/>
              </w:rPr>
              <w:t>Convenience sampling</w:t>
            </w:r>
          </w:p>
        </w:tc>
      </w:tr>
      <w:tr w14:paraId="1BA41E8A" w14:textId="77777777" w:rsidTr="008877D6">
        <w:tblPrEx>
          <w:tblW w:w="9355" w:type="dxa"/>
          <w:tblLook w:val="04A0"/>
        </w:tblPrEx>
        <w:trPr>
          <w:trHeight w:val="431"/>
        </w:trPr>
        <w:tc>
          <w:tcPr>
            <w:tcW w:w="2245" w:type="dxa"/>
            <w:vMerge/>
            <w:vAlign w:val="center"/>
          </w:tcPr>
          <w:p w:rsidR="001E0EBC" w:rsidRPr="006A47E1" w:rsidP="00CF2568" w14:paraId="3368C23D" w14:textId="77777777">
            <w:pPr>
              <w:rPr>
                <w:rFonts w:ascii="Calibri" w:hAnsi="Calibri" w:cs="Calibri"/>
                <w:sz w:val="22"/>
                <w:szCs w:val="22"/>
              </w:rPr>
            </w:pPr>
          </w:p>
        </w:tc>
        <w:tc>
          <w:tcPr>
            <w:tcW w:w="3330" w:type="dxa"/>
            <w:vAlign w:val="center"/>
          </w:tcPr>
          <w:p w:rsidR="001E0EBC" w:rsidRPr="006A47E1" w:rsidP="00CF2568" w14:paraId="54F0650B" w14:textId="5D0D083D">
            <w:pPr>
              <w:rPr>
                <w:rFonts w:ascii="Calibri" w:hAnsi="Calibri" w:cs="Calibri"/>
                <w:sz w:val="22"/>
                <w:szCs w:val="22"/>
              </w:rPr>
            </w:pPr>
            <w:r w:rsidRPr="006A47E1">
              <w:rPr>
                <w:rFonts w:ascii="Calibri" w:hAnsi="Calibri" w:cs="Calibri"/>
                <w:sz w:val="22"/>
                <w:szCs w:val="22"/>
              </w:rPr>
              <w:t>Supervisors</w:t>
            </w:r>
          </w:p>
        </w:tc>
        <w:tc>
          <w:tcPr>
            <w:tcW w:w="3780" w:type="dxa"/>
            <w:vMerge/>
            <w:vAlign w:val="center"/>
          </w:tcPr>
          <w:p w:rsidR="001E0EBC" w:rsidRPr="006A47E1" w:rsidP="00CF2568" w14:paraId="25612A65" w14:textId="78BFD13C">
            <w:pPr>
              <w:spacing w:after="160"/>
              <w:rPr>
                <w:rFonts w:ascii="Calibri" w:hAnsi="Calibri" w:cs="Calibri"/>
                <w:sz w:val="22"/>
                <w:szCs w:val="22"/>
              </w:rPr>
            </w:pPr>
          </w:p>
        </w:tc>
      </w:tr>
      <w:tr w14:paraId="7EBFAB21" w14:textId="77777777" w:rsidTr="008877D6">
        <w:tblPrEx>
          <w:tblW w:w="9355" w:type="dxa"/>
          <w:tblLook w:val="04A0"/>
        </w:tblPrEx>
        <w:trPr>
          <w:trHeight w:val="359"/>
        </w:trPr>
        <w:tc>
          <w:tcPr>
            <w:tcW w:w="2245" w:type="dxa"/>
            <w:vMerge/>
            <w:vAlign w:val="center"/>
          </w:tcPr>
          <w:p w:rsidR="001E0EBC" w:rsidRPr="006A47E1" w:rsidP="00CF2568" w14:paraId="03BDEEDD" w14:textId="77777777">
            <w:pPr>
              <w:spacing w:after="160"/>
              <w:rPr>
                <w:rFonts w:ascii="Calibri" w:hAnsi="Calibri" w:cs="Calibri"/>
                <w:sz w:val="22"/>
                <w:szCs w:val="22"/>
              </w:rPr>
            </w:pPr>
          </w:p>
        </w:tc>
        <w:tc>
          <w:tcPr>
            <w:tcW w:w="3330" w:type="dxa"/>
            <w:vAlign w:val="center"/>
          </w:tcPr>
          <w:p w:rsidR="001E0EBC" w:rsidRPr="006A47E1" w:rsidP="00CF2568" w14:paraId="2881401F" w14:textId="368BE033">
            <w:pPr>
              <w:spacing w:after="160"/>
              <w:rPr>
                <w:rFonts w:ascii="Calibri" w:hAnsi="Calibri" w:cs="Calibri"/>
                <w:sz w:val="22"/>
                <w:szCs w:val="22"/>
              </w:rPr>
            </w:pPr>
            <w:r w:rsidRPr="006A47E1">
              <w:rPr>
                <w:rFonts w:ascii="Calibri" w:hAnsi="Calibri" w:cs="Calibri"/>
                <w:sz w:val="22"/>
                <w:szCs w:val="22"/>
              </w:rPr>
              <w:t>Home Visitors</w:t>
            </w:r>
          </w:p>
        </w:tc>
        <w:tc>
          <w:tcPr>
            <w:tcW w:w="3780" w:type="dxa"/>
            <w:vMerge/>
            <w:vAlign w:val="center"/>
          </w:tcPr>
          <w:p w:rsidR="001E0EBC" w:rsidRPr="006A47E1" w:rsidP="00CF2568" w14:paraId="0185A2B5" w14:textId="43E5D74A">
            <w:pPr>
              <w:spacing w:after="160"/>
              <w:rPr>
                <w:rFonts w:ascii="Calibri" w:hAnsi="Calibri" w:cs="Calibri"/>
                <w:sz w:val="22"/>
                <w:szCs w:val="22"/>
              </w:rPr>
            </w:pPr>
          </w:p>
        </w:tc>
      </w:tr>
      <w:tr w14:paraId="23279DB3" w14:textId="77777777" w:rsidTr="008877D6">
        <w:tblPrEx>
          <w:tblW w:w="9355" w:type="dxa"/>
          <w:tblLook w:val="04A0"/>
        </w:tblPrEx>
        <w:trPr>
          <w:trHeight w:val="368"/>
        </w:trPr>
        <w:tc>
          <w:tcPr>
            <w:tcW w:w="2245" w:type="dxa"/>
            <w:vAlign w:val="center"/>
          </w:tcPr>
          <w:p w:rsidR="00455216" w:rsidRPr="00CF2568" w:rsidP="00CF2568" w14:paraId="1A1505BB" w14:textId="77777777">
            <w:pPr>
              <w:spacing w:after="160"/>
              <w:rPr>
                <w:rFonts w:ascii="Calibri" w:hAnsi="Calibri" w:cs="Calibri"/>
                <w:sz w:val="22"/>
                <w:szCs w:val="22"/>
              </w:rPr>
            </w:pPr>
            <w:r w:rsidRPr="00CF2568">
              <w:rPr>
                <w:rFonts w:ascii="Calibri" w:hAnsi="Calibri" w:cs="Calibri"/>
                <w:sz w:val="22"/>
                <w:szCs w:val="22"/>
              </w:rPr>
              <w:t>Interviews</w:t>
            </w:r>
          </w:p>
        </w:tc>
        <w:tc>
          <w:tcPr>
            <w:tcW w:w="3330" w:type="dxa"/>
            <w:vAlign w:val="center"/>
          </w:tcPr>
          <w:p w:rsidR="00455216" w:rsidRPr="00CF2568" w:rsidP="00CF2568" w14:paraId="338995CD" w14:textId="296762A6">
            <w:pPr>
              <w:spacing w:after="160"/>
              <w:rPr>
                <w:rFonts w:ascii="Calibri" w:hAnsi="Calibri" w:cs="Calibri"/>
                <w:sz w:val="22"/>
                <w:szCs w:val="22"/>
              </w:rPr>
            </w:pPr>
            <w:r w:rsidRPr="00CF2568">
              <w:rPr>
                <w:rFonts w:ascii="Calibri" w:hAnsi="Calibri" w:cs="Calibri"/>
                <w:sz w:val="22"/>
                <w:szCs w:val="22"/>
              </w:rPr>
              <w:t xml:space="preserve">Home Visiting </w:t>
            </w:r>
            <w:r w:rsidRPr="00CF2568" w:rsidR="00D67AFC">
              <w:rPr>
                <w:rFonts w:ascii="Calibri" w:hAnsi="Calibri" w:cs="Calibri"/>
                <w:sz w:val="22"/>
                <w:szCs w:val="22"/>
              </w:rPr>
              <w:t xml:space="preserve">Program </w:t>
            </w:r>
            <w:r w:rsidRPr="00CF2568">
              <w:rPr>
                <w:rFonts w:ascii="Calibri" w:hAnsi="Calibri" w:cs="Calibri"/>
                <w:sz w:val="22"/>
                <w:szCs w:val="22"/>
              </w:rPr>
              <w:t>Leaders</w:t>
            </w:r>
          </w:p>
        </w:tc>
        <w:tc>
          <w:tcPr>
            <w:tcW w:w="3780" w:type="dxa"/>
            <w:vAlign w:val="center"/>
          </w:tcPr>
          <w:p w:rsidR="00455216" w:rsidRPr="00CF2568" w:rsidP="00CF2568" w14:paraId="40449C29" w14:textId="00754CC1">
            <w:pPr>
              <w:spacing w:after="160"/>
              <w:rPr>
                <w:rFonts w:ascii="Calibri" w:hAnsi="Calibri" w:cs="Calibri"/>
                <w:sz w:val="22"/>
                <w:szCs w:val="22"/>
              </w:rPr>
            </w:pPr>
            <w:r w:rsidRPr="00CF2568">
              <w:rPr>
                <w:rFonts w:ascii="Calibri" w:hAnsi="Calibri" w:cs="Calibri"/>
                <w:sz w:val="22"/>
                <w:szCs w:val="22"/>
              </w:rPr>
              <w:t>Convenience and purposive sampling</w:t>
            </w:r>
          </w:p>
        </w:tc>
      </w:tr>
      <w:tr w14:paraId="1D95F3FB" w14:textId="77777777" w:rsidTr="008877D6">
        <w:tblPrEx>
          <w:tblW w:w="9355" w:type="dxa"/>
          <w:tblLook w:val="04A0"/>
        </w:tblPrEx>
        <w:trPr>
          <w:trHeight w:val="350"/>
        </w:trPr>
        <w:tc>
          <w:tcPr>
            <w:tcW w:w="2245" w:type="dxa"/>
            <w:vMerge w:val="restart"/>
            <w:vAlign w:val="center"/>
          </w:tcPr>
          <w:p w:rsidR="001E0EBC" w:rsidRPr="00CF2568" w:rsidP="00CF2568" w14:paraId="41D99679" w14:textId="77777777">
            <w:pPr>
              <w:spacing w:after="160"/>
              <w:rPr>
                <w:rFonts w:ascii="Calibri" w:hAnsi="Calibri" w:cs="Calibri"/>
                <w:sz w:val="22"/>
                <w:szCs w:val="22"/>
              </w:rPr>
            </w:pPr>
            <w:r w:rsidRPr="00CF2568">
              <w:rPr>
                <w:rFonts w:ascii="Calibri" w:hAnsi="Calibri" w:cs="Calibri"/>
                <w:sz w:val="22"/>
                <w:szCs w:val="22"/>
              </w:rPr>
              <w:t>Focus Groups</w:t>
            </w:r>
          </w:p>
        </w:tc>
        <w:tc>
          <w:tcPr>
            <w:tcW w:w="3330" w:type="dxa"/>
            <w:vAlign w:val="center"/>
          </w:tcPr>
          <w:p w:rsidR="001E0EBC" w:rsidRPr="00CF2568" w:rsidP="00CF2568" w14:paraId="536E6D82" w14:textId="452ED3C3">
            <w:pPr>
              <w:spacing w:after="160"/>
              <w:rPr>
                <w:rFonts w:ascii="Calibri" w:hAnsi="Calibri" w:cs="Calibri"/>
                <w:sz w:val="22"/>
                <w:szCs w:val="22"/>
              </w:rPr>
            </w:pPr>
            <w:r w:rsidRPr="00CF2568">
              <w:rPr>
                <w:rFonts w:ascii="Calibri" w:hAnsi="Calibri" w:cs="Calibri"/>
                <w:sz w:val="22"/>
                <w:szCs w:val="22"/>
              </w:rPr>
              <w:t>Supervisors</w:t>
            </w:r>
          </w:p>
        </w:tc>
        <w:tc>
          <w:tcPr>
            <w:tcW w:w="3780" w:type="dxa"/>
            <w:vMerge w:val="restart"/>
            <w:vAlign w:val="center"/>
          </w:tcPr>
          <w:p w:rsidR="001E0EBC" w:rsidRPr="00CF2568" w:rsidP="00CF2568" w14:paraId="4E6BEDFD" w14:textId="35C69DE7">
            <w:pPr>
              <w:spacing w:after="160"/>
              <w:rPr>
                <w:rFonts w:ascii="Calibri" w:hAnsi="Calibri" w:cs="Calibri"/>
                <w:sz w:val="22"/>
                <w:szCs w:val="22"/>
              </w:rPr>
            </w:pPr>
            <w:r w:rsidRPr="00CF2568">
              <w:rPr>
                <w:rFonts w:ascii="Calibri" w:hAnsi="Calibri" w:cs="Calibri"/>
                <w:sz w:val="22"/>
                <w:szCs w:val="22"/>
              </w:rPr>
              <w:t>Convenience and purposive sampling</w:t>
            </w:r>
          </w:p>
        </w:tc>
      </w:tr>
      <w:tr w14:paraId="124393D7" w14:textId="77777777" w:rsidTr="008877D6">
        <w:tblPrEx>
          <w:tblW w:w="9355" w:type="dxa"/>
          <w:tblLook w:val="04A0"/>
        </w:tblPrEx>
        <w:trPr>
          <w:trHeight w:val="359"/>
        </w:trPr>
        <w:tc>
          <w:tcPr>
            <w:tcW w:w="2245" w:type="dxa"/>
            <w:vMerge/>
            <w:vAlign w:val="center"/>
          </w:tcPr>
          <w:p w:rsidR="001E0EBC" w:rsidRPr="006A47E1" w:rsidP="00455216" w14:paraId="1CBD9B55" w14:textId="77777777">
            <w:pPr>
              <w:spacing w:after="160" w:line="279" w:lineRule="auto"/>
              <w:rPr>
                <w:rFonts w:ascii="Calibri" w:hAnsi="Calibri" w:cs="Calibri"/>
                <w:sz w:val="22"/>
                <w:szCs w:val="22"/>
              </w:rPr>
            </w:pPr>
          </w:p>
        </w:tc>
        <w:tc>
          <w:tcPr>
            <w:tcW w:w="3330" w:type="dxa"/>
            <w:vAlign w:val="center"/>
          </w:tcPr>
          <w:p w:rsidR="001E0EBC" w:rsidRPr="006A47E1" w:rsidP="00455216" w14:paraId="30FCD9BB" w14:textId="1C9E03DA">
            <w:pPr>
              <w:spacing w:after="160" w:line="279" w:lineRule="auto"/>
              <w:rPr>
                <w:rFonts w:ascii="Calibri" w:hAnsi="Calibri" w:cs="Calibri"/>
                <w:sz w:val="22"/>
                <w:szCs w:val="22"/>
              </w:rPr>
            </w:pPr>
            <w:r w:rsidRPr="006A47E1">
              <w:rPr>
                <w:rFonts w:ascii="Calibri" w:hAnsi="Calibri" w:cs="Calibri"/>
                <w:sz w:val="22"/>
                <w:szCs w:val="22"/>
              </w:rPr>
              <w:t>Home visitors</w:t>
            </w:r>
          </w:p>
        </w:tc>
        <w:tc>
          <w:tcPr>
            <w:tcW w:w="3780" w:type="dxa"/>
            <w:vMerge/>
            <w:vAlign w:val="center"/>
          </w:tcPr>
          <w:p w:rsidR="001E0EBC" w:rsidRPr="006A47E1" w:rsidP="00455216" w14:paraId="6F39AA35" w14:textId="63FA3564">
            <w:pPr>
              <w:spacing w:after="160" w:line="279" w:lineRule="auto"/>
              <w:rPr>
                <w:rFonts w:ascii="Calibri" w:hAnsi="Calibri" w:cs="Calibri"/>
                <w:sz w:val="22"/>
                <w:szCs w:val="22"/>
              </w:rPr>
            </w:pPr>
          </w:p>
        </w:tc>
      </w:tr>
    </w:tbl>
    <w:p w:rsidR="008344D2" w:rsidRPr="00CF2568" w:rsidP="1A41A4D3" w14:paraId="05593C75" w14:textId="77777777">
      <w:pPr>
        <w:rPr>
          <w:rFonts w:ascii="Calibri" w:hAnsi="Calibri" w:cs="Calibri"/>
          <w:sz w:val="22"/>
          <w:szCs w:val="22"/>
        </w:rPr>
      </w:pPr>
    </w:p>
    <w:p w:rsidR="00E65AA2" w:rsidRPr="00CF2568" w:rsidP="00F00254" w14:paraId="62816D63" w14:textId="77777777">
      <w:pPr>
        <w:pStyle w:val="Heading3"/>
        <w:spacing w:line="240" w:lineRule="auto"/>
        <w:rPr>
          <w:rFonts w:ascii="Calibri" w:hAnsi="Calibri" w:cs="Calibri"/>
          <w:color w:val="1F3763"/>
          <w:sz w:val="22"/>
          <w:szCs w:val="22"/>
        </w:rPr>
      </w:pPr>
      <w:r w:rsidRPr="00CF2568">
        <w:rPr>
          <w:rFonts w:ascii="Calibri" w:hAnsi="Calibri" w:cs="Calibri"/>
          <w:color w:val="1F3763"/>
          <w:sz w:val="22"/>
          <w:szCs w:val="22"/>
        </w:rPr>
        <w:t>Recruitment Survey</w:t>
      </w:r>
    </w:p>
    <w:p w:rsidR="00DB48D6" w:rsidP="00BB469F" w14:paraId="2B0F3F2C" w14:textId="5763C956">
      <w:pPr>
        <w:spacing w:line="240" w:lineRule="auto"/>
        <w:rPr>
          <w:rFonts w:ascii="Calibri" w:hAnsi="Calibri" w:cs="Calibri"/>
          <w:sz w:val="22"/>
          <w:szCs w:val="22"/>
        </w:rPr>
      </w:pPr>
      <w:r w:rsidRPr="00CF2568">
        <w:rPr>
          <w:rFonts w:ascii="Calibri" w:hAnsi="Calibri" w:cs="Calibri"/>
          <w:sz w:val="22"/>
          <w:szCs w:val="22"/>
        </w:rPr>
        <w:t>The MIECHV Program provides funding to 56 state and jurisdiction awardees</w:t>
      </w:r>
      <w:r>
        <w:rPr>
          <w:rStyle w:val="EndnoteReference"/>
          <w:rFonts w:ascii="Calibri" w:hAnsi="Calibri" w:cs="Calibri"/>
          <w:sz w:val="22"/>
          <w:szCs w:val="22"/>
        </w:rPr>
        <w:endnoteReference w:id="4"/>
      </w:r>
      <w:r w:rsidRPr="00F00254" w:rsidR="00AA75B1">
        <w:rPr>
          <w:rFonts w:ascii="Calibri" w:hAnsi="Calibri" w:cs="Calibri"/>
          <w:sz w:val="22"/>
          <w:szCs w:val="22"/>
        </w:rPr>
        <w:t xml:space="preserve"> </w:t>
      </w:r>
      <w:r w:rsidRPr="00F00254">
        <w:rPr>
          <w:rFonts w:ascii="Calibri" w:hAnsi="Calibri" w:cs="Calibri"/>
          <w:sz w:val="22"/>
          <w:szCs w:val="22"/>
        </w:rPr>
        <w:t xml:space="preserve"> and 41 Tribal grantees.</w:t>
      </w:r>
      <w:r>
        <w:rPr>
          <w:rStyle w:val="EndnoteReference"/>
          <w:rFonts w:ascii="Calibri" w:hAnsi="Calibri" w:cs="Calibri"/>
          <w:sz w:val="22"/>
          <w:szCs w:val="22"/>
        </w:rPr>
        <w:endnoteReference w:id="5"/>
      </w:r>
      <w:r w:rsidRPr="00F00254" w:rsidR="006417AE">
        <w:rPr>
          <w:rFonts w:ascii="Calibri" w:hAnsi="Calibri" w:cs="Calibri"/>
          <w:sz w:val="22"/>
          <w:szCs w:val="22"/>
        </w:rPr>
        <w:t xml:space="preserve"> </w:t>
      </w:r>
      <w:r w:rsidRPr="00F00254">
        <w:rPr>
          <w:rFonts w:ascii="Calibri" w:hAnsi="Calibri" w:cs="Calibri"/>
          <w:sz w:val="22"/>
          <w:szCs w:val="22"/>
        </w:rPr>
        <w:t xml:space="preserve"> </w:t>
      </w:r>
      <w:r w:rsidR="009451B0">
        <w:rPr>
          <w:rFonts w:ascii="Calibri" w:hAnsi="Calibri" w:cs="Calibri"/>
          <w:sz w:val="22"/>
          <w:szCs w:val="22"/>
        </w:rPr>
        <w:t>All</w:t>
      </w:r>
      <w:r w:rsidRPr="00F00254">
        <w:rPr>
          <w:rFonts w:ascii="Calibri" w:hAnsi="Calibri" w:cs="Calibri"/>
          <w:sz w:val="22"/>
          <w:szCs w:val="22"/>
        </w:rPr>
        <w:t xml:space="preserve"> 97 MIECHV</w:t>
      </w:r>
      <w:r w:rsidR="009451B0">
        <w:rPr>
          <w:rFonts w:ascii="Calibri" w:hAnsi="Calibri" w:cs="Calibri"/>
          <w:sz w:val="22"/>
          <w:szCs w:val="22"/>
        </w:rPr>
        <w:t xml:space="preserve"> leads will be invited </w:t>
      </w:r>
      <w:r w:rsidRPr="00F00254" w:rsidR="00F0192A">
        <w:rPr>
          <w:rFonts w:ascii="Calibri" w:hAnsi="Calibri" w:cs="Calibri"/>
          <w:sz w:val="22"/>
          <w:szCs w:val="22"/>
        </w:rPr>
        <w:t xml:space="preserve">to distribute a recruitment flyer and information about the survey to the </w:t>
      </w:r>
      <w:r w:rsidRPr="00F00254" w:rsidR="00AB65E6">
        <w:rPr>
          <w:rFonts w:ascii="Calibri" w:hAnsi="Calibri" w:cs="Calibri"/>
          <w:sz w:val="22"/>
          <w:szCs w:val="22"/>
        </w:rPr>
        <w:t xml:space="preserve">approximately </w:t>
      </w:r>
      <w:r w:rsidRPr="00F00254" w:rsidR="009E0D83">
        <w:rPr>
          <w:rFonts w:ascii="Calibri" w:hAnsi="Calibri" w:cs="Calibri"/>
          <w:sz w:val="22"/>
          <w:szCs w:val="22"/>
        </w:rPr>
        <w:t xml:space="preserve">730 </w:t>
      </w:r>
      <w:r w:rsidR="009E0D83">
        <w:rPr>
          <w:rFonts w:ascii="Calibri" w:hAnsi="Calibri" w:cs="Calibri"/>
          <w:sz w:val="22"/>
          <w:szCs w:val="22"/>
        </w:rPr>
        <w:t>MIECHV</w:t>
      </w:r>
      <w:r w:rsidR="00414DEC">
        <w:rPr>
          <w:rFonts w:ascii="Calibri" w:hAnsi="Calibri" w:cs="Calibri"/>
          <w:sz w:val="22"/>
          <w:szCs w:val="22"/>
        </w:rPr>
        <w:t xml:space="preserve">-funded </w:t>
      </w:r>
      <w:r w:rsidR="009E0D83">
        <w:rPr>
          <w:rFonts w:ascii="Calibri" w:hAnsi="Calibri" w:cs="Calibri"/>
          <w:sz w:val="22"/>
          <w:szCs w:val="22"/>
        </w:rPr>
        <w:t xml:space="preserve">home visiting programs </w:t>
      </w:r>
      <w:r w:rsidR="00CA772F">
        <w:rPr>
          <w:rFonts w:ascii="Calibri" w:hAnsi="Calibri" w:cs="Calibri"/>
          <w:sz w:val="22"/>
          <w:szCs w:val="22"/>
        </w:rPr>
        <w:t>to share with</w:t>
      </w:r>
      <w:r w:rsidR="00BB469F">
        <w:rPr>
          <w:rFonts w:ascii="Calibri" w:hAnsi="Calibri" w:cs="Calibri"/>
          <w:sz w:val="22"/>
          <w:szCs w:val="22"/>
        </w:rPr>
        <w:t xml:space="preserve"> program leaders, supervisors, and home visitors. </w:t>
      </w:r>
      <w:r w:rsidR="004B7252">
        <w:rPr>
          <w:rFonts w:ascii="Calibri" w:hAnsi="Calibri" w:cs="Calibri"/>
          <w:sz w:val="22"/>
          <w:szCs w:val="22"/>
        </w:rPr>
        <w:t>Because we will be using</w:t>
      </w:r>
      <w:r>
        <w:rPr>
          <w:rFonts w:ascii="Calibri" w:hAnsi="Calibri" w:cs="Calibri"/>
          <w:sz w:val="22"/>
          <w:szCs w:val="22"/>
        </w:rPr>
        <w:t xml:space="preserve"> a convenience sampling approach, we will</w:t>
      </w:r>
      <w:r w:rsidR="0039334B">
        <w:rPr>
          <w:rFonts w:ascii="Calibri" w:hAnsi="Calibri" w:cs="Calibri"/>
          <w:sz w:val="22"/>
          <w:szCs w:val="22"/>
        </w:rPr>
        <w:t xml:space="preserve"> cut off the recruitment survey at 250 respondents</w:t>
      </w:r>
      <w:r w:rsidR="00794BAC">
        <w:rPr>
          <w:rFonts w:ascii="Calibri" w:hAnsi="Calibri" w:cs="Calibri"/>
          <w:sz w:val="22"/>
          <w:szCs w:val="22"/>
        </w:rPr>
        <w:t xml:space="preserve"> as </w:t>
      </w:r>
      <w:r w:rsidRPr="00F87731" w:rsidR="00794BAC">
        <w:rPr>
          <w:rFonts w:ascii="Calibri" w:hAnsi="Calibri" w:cs="Calibri"/>
          <w:bCs/>
          <w:sz w:val="22"/>
          <w:szCs w:val="22"/>
        </w:rPr>
        <w:t xml:space="preserve">we believe a sample of this </w:t>
      </w:r>
      <w:r w:rsidRPr="00F87731" w:rsidR="000574A9">
        <w:rPr>
          <w:rFonts w:ascii="Calibri" w:hAnsi="Calibri" w:cs="Calibri"/>
          <w:bCs/>
          <w:sz w:val="22"/>
          <w:szCs w:val="22"/>
        </w:rPr>
        <w:t>size from</w:t>
      </w:r>
      <w:r w:rsidRPr="00F87731" w:rsidR="00794BAC">
        <w:rPr>
          <w:rFonts w:ascii="Calibri" w:hAnsi="Calibri" w:cs="Calibri"/>
          <w:bCs/>
          <w:sz w:val="22"/>
          <w:szCs w:val="22"/>
        </w:rPr>
        <w:t xml:space="preserve"> which to recruit will ensure a diverse sample and account for participant dropout.</w:t>
      </w:r>
    </w:p>
    <w:p w:rsidR="00E65AA2" w:rsidRPr="00BB469F" w:rsidP="00BB469F" w14:paraId="5D77BD8A" w14:textId="63108A83">
      <w:pPr>
        <w:spacing w:line="240" w:lineRule="auto"/>
        <w:rPr>
          <w:rFonts w:ascii="Calibri" w:hAnsi="Calibri" w:cs="Calibri"/>
          <w:sz w:val="22"/>
          <w:szCs w:val="22"/>
        </w:rPr>
      </w:pPr>
      <w:r w:rsidRPr="00F00254">
        <w:rPr>
          <w:rFonts w:ascii="Calibri" w:hAnsi="Calibri" w:cs="Calibri"/>
          <w:color w:val="1F3763"/>
          <w:sz w:val="22"/>
          <w:szCs w:val="22"/>
        </w:rPr>
        <w:t>Interviews</w:t>
      </w:r>
      <w:r w:rsidRPr="00F00254" w:rsidR="00E97674">
        <w:rPr>
          <w:rFonts w:ascii="Calibri" w:hAnsi="Calibri" w:cs="Calibri"/>
          <w:color w:val="1F3763"/>
          <w:sz w:val="22"/>
          <w:szCs w:val="22"/>
        </w:rPr>
        <w:t xml:space="preserve"> and Focus Groups </w:t>
      </w:r>
    </w:p>
    <w:p w:rsidR="00E65AA2" w:rsidRPr="00F00254" w:rsidP="00F00254" w14:paraId="7BB17925" w14:textId="04C82FC8">
      <w:pPr>
        <w:spacing w:line="240" w:lineRule="auto"/>
        <w:rPr>
          <w:rFonts w:ascii="Calibri" w:hAnsi="Calibri" w:cs="Calibri"/>
          <w:sz w:val="22"/>
          <w:szCs w:val="22"/>
        </w:rPr>
      </w:pPr>
      <w:r w:rsidRPr="00F00254">
        <w:rPr>
          <w:rFonts w:ascii="Calibri" w:hAnsi="Calibri" w:cs="Calibri"/>
          <w:sz w:val="22"/>
          <w:szCs w:val="22"/>
        </w:rPr>
        <w:t xml:space="preserve">Recruitment for interviews </w:t>
      </w:r>
      <w:r w:rsidRPr="00F00254" w:rsidR="00E97674">
        <w:rPr>
          <w:rFonts w:ascii="Calibri" w:hAnsi="Calibri" w:cs="Calibri"/>
          <w:sz w:val="22"/>
          <w:szCs w:val="22"/>
        </w:rPr>
        <w:t xml:space="preserve">and focus groups </w:t>
      </w:r>
      <w:r w:rsidRPr="00F00254">
        <w:rPr>
          <w:rFonts w:ascii="Calibri" w:hAnsi="Calibri" w:cs="Calibri"/>
          <w:sz w:val="22"/>
          <w:szCs w:val="22"/>
        </w:rPr>
        <w:t xml:space="preserve">will </w:t>
      </w:r>
      <w:r w:rsidRPr="00F00254" w:rsidR="00AC0C2B">
        <w:rPr>
          <w:rFonts w:ascii="Calibri" w:hAnsi="Calibri" w:cs="Calibri"/>
          <w:sz w:val="22"/>
          <w:szCs w:val="22"/>
        </w:rPr>
        <w:t xml:space="preserve">take place through the Recruitment Survey, which will function as a screener for eligibility to participate in an interview </w:t>
      </w:r>
      <w:r w:rsidRPr="00F00254" w:rsidR="00E97674">
        <w:rPr>
          <w:rFonts w:ascii="Calibri" w:hAnsi="Calibri" w:cs="Calibri"/>
          <w:sz w:val="22"/>
          <w:szCs w:val="22"/>
        </w:rPr>
        <w:t xml:space="preserve">or </w:t>
      </w:r>
      <w:r w:rsidR="00CA772F">
        <w:rPr>
          <w:rFonts w:ascii="Calibri" w:hAnsi="Calibri" w:cs="Calibri"/>
          <w:sz w:val="22"/>
          <w:szCs w:val="22"/>
        </w:rPr>
        <w:t xml:space="preserve">a </w:t>
      </w:r>
      <w:r w:rsidRPr="00F00254" w:rsidR="00E97674">
        <w:rPr>
          <w:rFonts w:ascii="Calibri" w:hAnsi="Calibri" w:cs="Calibri"/>
          <w:sz w:val="22"/>
          <w:szCs w:val="22"/>
        </w:rPr>
        <w:t xml:space="preserve">focus group </w:t>
      </w:r>
      <w:r w:rsidRPr="00F00254" w:rsidR="00AC0C2B">
        <w:rPr>
          <w:rFonts w:ascii="Calibri" w:hAnsi="Calibri" w:cs="Calibri"/>
          <w:sz w:val="22"/>
          <w:szCs w:val="22"/>
        </w:rPr>
        <w:t xml:space="preserve">and collect demographic information. </w:t>
      </w:r>
      <w:r w:rsidRPr="00F00254" w:rsidR="00CC0EDC">
        <w:rPr>
          <w:rFonts w:ascii="Calibri" w:hAnsi="Calibri" w:cs="Calibri"/>
          <w:sz w:val="22"/>
          <w:szCs w:val="22"/>
        </w:rPr>
        <w:t xml:space="preserve">If more people express interest in the study than we have space to accommodate, the study team will consider </w:t>
      </w:r>
      <w:r w:rsidR="00710F32">
        <w:rPr>
          <w:rFonts w:ascii="Calibri" w:hAnsi="Calibri" w:cs="Calibri"/>
          <w:sz w:val="22"/>
          <w:szCs w:val="22"/>
        </w:rPr>
        <w:t>additional</w:t>
      </w:r>
      <w:r w:rsidRPr="00F00254" w:rsidR="00CC0EDC">
        <w:rPr>
          <w:rFonts w:ascii="Calibri" w:hAnsi="Calibri" w:cs="Calibri"/>
          <w:sz w:val="22"/>
          <w:szCs w:val="22"/>
        </w:rPr>
        <w:t xml:space="preserve"> participant characteristics (e.g., race/ethnicity, years in their role and in the field, education) and program characteristics (e.g., model, location, number of home visitors, typical caseload)</w:t>
      </w:r>
      <w:r w:rsidRPr="00F00254" w:rsidR="00E97674">
        <w:rPr>
          <w:rFonts w:ascii="Calibri" w:hAnsi="Calibri" w:cs="Calibri"/>
          <w:sz w:val="22"/>
          <w:szCs w:val="22"/>
        </w:rPr>
        <w:t xml:space="preserve"> to ensure a diverse array of participants. </w:t>
      </w:r>
    </w:p>
    <w:p w:rsidR="394A03C1" w:rsidRPr="00250B1B" w:rsidP="00A36987" w14:paraId="289E3A86" w14:textId="22119E7C">
      <w:pPr>
        <w:pStyle w:val="Heading2"/>
        <w:rPr>
          <w:rFonts w:ascii="Calibri Light" w:hAnsi="Calibri Light" w:cs="Calibri Light"/>
          <w:color w:val="2F5496"/>
          <w:sz w:val="26"/>
          <w:szCs w:val="26"/>
        </w:rPr>
      </w:pPr>
      <w:r w:rsidRPr="00250B1B">
        <w:rPr>
          <w:rFonts w:ascii="Calibri Light" w:hAnsi="Calibri Light" w:cs="Calibri Light"/>
          <w:color w:val="2F5496"/>
          <w:sz w:val="26"/>
          <w:szCs w:val="26"/>
        </w:rPr>
        <w:t xml:space="preserve">2. Procedures for Collection of Information  </w:t>
      </w:r>
    </w:p>
    <w:p w:rsidR="00FB6DC3" w:rsidRPr="00F00254" w:rsidP="00F00254" w14:paraId="0DC7756A" w14:textId="3192373F">
      <w:pPr>
        <w:spacing w:line="240" w:lineRule="auto"/>
        <w:rPr>
          <w:rFonts w:ascii="Calibri" w:hAnsi="Calibri" w:cs="Calibri"/>
          <w:i/>
          <w:iCs/>
          <w:sz w:val="22"/>
          <w:szCs w:val="22"/>
        </w:rPr>
      </w:pPr>
      <w:r w:rsidRPr="00F00254">
        <w:rPr>
          <w:rFonts w:ascii="Calibri" w:hAnsi="Calibri" w:cs="Calibri"/>
          <w:sz w:val="22"/>
          <w:szCs w:val="22"/>
        </w:rPr>
        <w:t>As described in the previous section, we do not propose to use statistical sampling approaches for this descriptive study. There will likely be variation in the number of participants; therefore, the anticipated sample size for each data collection activity will vary. In this section, we describe the procedures we propose for each of the data collection activities.</w:t>
      </w:r>
    </w:p>
    <w:p w:rsidR="009B4169" w:rsidRPr="00F00254" w:rsidP="00F00254" w14:paraId="78B565D7" w14:textId="0778C2FF">
      <w:pPr>
        <w:pStyle w:val="Heading3"/>
        <w:spacing w:line="240" w:lineRule="auto"/>
        <w:rPr>
          <w:rFonts w:ascii="Calibri" w:hAnsi="Calibri" w:cs="Calibri"/>
          <w:color w:val="1F3763"/>
          <w:sz w:val="22"/>
          <w:szCs w:val="22"/>
        </w:rPr>
      </w:pPr>
      <w:r w:rsidRPr="00F00254">
        <w:rPr>
          <w:rFonts w:ascii="Calibri" w:hAnsi="Calibri" w:cs="Calibri"/>
          <w:color w:val="1F3763"/>
          <w:sz w:val="22"/>
          <w:szCs w:val="22"/>
        </w:rPr>
        <w:t>Recruitment Survey</w:t>
      </w:r>
    </w:p>
    <w:p w:rsidR="00FB6DC3" w:rsidRPr="00F00254" w:rsidP="00F00254" w14:paraId="4DFA8258" w14:textId="48EA8CCB">
      <w:pPr>
        <w:spacing w:line="240" w:lineRule="auto"/>
        <w:rPr>
          <w:rFonts w:ascii="Calibri" w:hAnsi="Calibri" w:cs="Calibri"/>
          <w:sz w:val="22"/>
          <w:szCs w:val="22"/>
        </w:rPr>
      </w:pPr>
      <w:r w:rsidRPr="00F00254">
        <w:rPr>
          <w:rFonts w:ascii="Calibri" w:hAnsi="Calibri" w:cs="Calibri"/>
          <w:sz w:val="22"/>
          <w:szCs w:val="22"/>
        </w:rPr>
        <w:t xml:space="preserve">The </w:t>
      </w:r>
      <w:r w:rsidRPr="00F00254" w:rsidR="00E04CEC">
        <w:rPr>
          <w:rFonts w:ascii="Calibri" w:hAnsi="Calibri" w:cs="Calibri"/>
          <w:sz w:val="22"/>
          <w:szCs w:val="22"/>
        </w:rPr>
        <w:t xml:space="preserve">purpose of the </w:t>
      </w:r>
      <w:r w:rsidRPr="00F00254">
        <w:rPr>
          <w:rFonts w:ascii="Calibri" w:hAnsi="Calibri" w:cs="Calibri"/>
          <w:sz w:val="22"/>
          <w:szCs w:val="22"/>
        </w:rPr>
        <w:t xml:space="preserve">recruitment survey will </w:t>
      </w:r>
      <w:r w:rsidRPr="00F00254" w:rsidR="00E04CEC">
        <w:rPr>
          <w:rFonts w:ascii="Calibri" w:hAnsi="Calibri" w:cs="Calibri"/>
          <w:sz w:val="22"/>
          <w:szCs w:val="22"/>
        </w:rPr>
        <w:t xml:space="preserve">be to </w:t>
      </w:r>
      <w:r w:rsidRPr="00F00254" w:rsidR="004E27FD">
        <w:rPr>
          <w:rFonts w:ascii="Calibri" w:hAnsi="Calibri" w:cs="Calibri"/>
          <w:sz w:val="22"/>
          <w:szCs w:val="22"/>
        </w:rPr>
        <w:t xml:space="preserve">identify </w:t>
      </w:r>
      <w:r w:rsidRPr="00F00254" w:rsidR="00CE7D5B">
        <w:rPr>
          <w:rFonts w:ascii="Calibri" w:hAnsi="Calibri" w:cs="Calibri"/>
          <w:sz w:val="22"/>
          <w:szCs w:val="22"/>
        </w:rPr>
        <w:t xml:space="preserve">home visiting </w:t>
      </w:r>
      <w:r w:rsidRPr="00F00254" w:rsidR="004E27FD">
        <w:rPr>
          <w:rFonts w:ascii="Calibri" w:hAnsi="Calibri" w:cs="Calibri"/>
          <w:sz w:val="22"/>
          <w:szCs w:val="22"/>
        </w:rPr>
        <w:t>program lead</w:t>
      </w:r>
      <w:r w:rsidRPr="00F00254" w:rsidR="00CE7D5B">
        <w:rPr>
          <w:rFonts w:ascii="Calibri" w:hAnsi="Calibri" w:cs="Calibri"/>
          <w:sz w:val="22"/>
          <w:szCs w:val="22"/>
        </w:rPr>
        <w:t>er</w:t>
      </w:r>
      <w:r w:rsidRPr="00F00254" w:rsidR="004E27FD">
        <w:rPr>
          <w:rFonts w:ascii="Calibri" w:hAnsi="Calibri" w:cs="Calibri"/>
          <w:sz w:val="22"/>
          <w:szCs w:val="22"/>
        </w:rPr>
        <w:t xml:space="preserve">s, supervisors, and home visitors who would be interested in </w:t>
      </w:r>
      <w:r w:rsidRPr="00F00254" w:rsidR="00051102">
        <w:rPr>
          <w:rFonts w:ascii="Calibri" w:hAnsi="Calibri" w:cs="Calibri"/>
          <w:sz w:val="22"/>
          <w:szCs w:val="22"/>
        </w:rPr>
        <w:t xml:space="preserve">participating in a focus group or interview. The survey will </w:t>
      </w:r>
      <w:r w:rsidRPr="00F00254" w:rsidR="003272C1">
        <w:rPr>
          <w:rFonts w:ascii="Calibri" w:hAnsi="Calibri" w:cs="Calibri"/>
          <w:sz w:val="22"/>
          <w:szCs w:val="22"/>
        </w:rPr>
        <w:t>be administered electronically via REDCap and participants can complete the survey from a variety of devices (e.g., computer, phone with internet access, tablet).</w:t>
      </w:r>
      <w:r w:rsidRPr="00F00254" w:rsidR="00051102">
        <w:rPr>
          <w:rFonts w:ascii="Calibri" w:hAnsi="Calibri" w:cs="Calibri"/>
          <w:sz w:val="22"/>
          <w:szCs w:val="22"/>
        </w:rPr>
        <w:t xml:space="preserve"> </w:t>
      </w:r>
    </w:p>
    <w:p w:rsidR="00FB6DC3" w:rsidRPr="00F00254" w:rsidP="00F00254" w14:paraId="7D13D1AD" w14:textId="5FDB21CE">
      <w:pPr>
        <w:pStyle w:val="Heading3"/>
        <w:spacing w:line="240" w:lineRule="auto"/>
        <w:rPr>
          <w:rFonts w:ascii="Calibri" w:hAnsi="Calibri" w:cs="Calibri"/>
          <w:color w:val="1F3763"/>
          <w:sz w:val="22"/>
          <w:szCs w:val="22"/>
        </w:rPr>
      </w:pPr>
      <w:r w:rsidRPr="00F00254">
        <w:rPr>
          <w:rFonts w:ascii="Calibri" w:hAnsi="Calibri" w:cs="Calibri"/>
          <w:color w:val="1F3763"/>
          <w:sz w:val="22"/>
          <w:szCs w:val="22"/>
        </w:rPr>
        <w:t>Interviews and Focus Groups</w:t>
      </w:r>
    </w:p>
    <w:p w:rsidR="00835795" w:rsidRPr="00F00254" w:rsidP="00F00254" w14:paraId="64A2DC0A" w14:textId="00D71B15">
      <w:pPr>
        <w:spacing w:line="240" w:lineRule="auto"/>
        <w:rPr>
          <w:rFonts w:ascii="Calibri" w:hAnsi="Calibri" w:cs="Calibri"/>
          <w:sz w:val="22"/>
          <w:szCs w:val="22"/>
        </w:rPr>
      </w:pPr>
      <w:r w:rsidRPr="00F00254">
        <w:rPr>
          <w:rFonts w:ascii="Calibri" w:hAnsi="Calibri" w:cs="Calibri"/>
          <w:sz w:val="22"/>
          <w:szCs w:val="22"/>
        </w:rPr>
        <w:t>The purpose of the interviews and focus groups is to</w:t>
      </w:r>
      <w:r w:rsidRPr="00F00254" w:rsidR="0054394B">
        <w:rPr>
          <w:rFonts w:ascii="Calibri" w:hAnsi="Calibri" w:cs="Calibri"/>
          <w:sz w:val="22"/>
          <w:szCs w:val="22"/>
        </w:rPr>
        <w:t xml:space="preserve"> learn more about the experiences of home visiting program staff with supervision. </w:t>
      </w:r>
      <w:r w:rsidRPr="00F00254" w:rsidR="00C1602C">
        <w:rPr>
          <w:rFonts w:ascii="Calibri" w:hAnsi="Calibri" w:cs="Calibri"/>
          <w:sz w:val="22"/>
          <w:szCs w:val="22"/>
        </w:rPr>
        <w:t xml:space="preserve">This data will allow us to identify whether findings from a previous </w:t>
      </w:r>
      <w:r w:rsidRPr="00F00254" w:rsidR="005375D2">
        <w:rPr>
          <w:rFonts w:ascii="Calibri" w:hAnsi="Calibri" w:cs="Calibri"/>
          <w:sz w:val="22"/>
          <w:szCs w:val="22"/>
        </w:rPr>
        <w:t xml:space="preserve">quantitative analysis, which are based on older or non-representative secondary data, align with </w:t>
      </w:r>
      <w:r w:rsidRPr="00F00254" w:rsidR="006D7E36">
        <w:rPr>
          <w:rFonts w:ascii="Calibri" w:hAnsi="Calibri" w:cs="Calibri"/>
          <w:sz w:val="22"/>
          <w:szCs w:val="22"/>
        </w:rPr>
        <w:t>home visiting program staff’s</w:t>
      </w:r>
      <w:r w:rsidRPr="00F00254" w:rsidR="005375D2">
        <w:rPr>
          <w:rFonts w:ascii="Calibri" w:hAnsi="Calibri" w:cs="Calibri"/>
          <w:sz w:val="22"/>
          <w:szCs w:val="22"/>
        </w:rPr>
        <w:t xml:space="preserve"> current experiences in the post-COVID-19 era, describe if and how supervision support has changed in recent years, and identify any additional or different support supervisors need</w:t>
      </w:r>
      <w:r w:rsidRPr="00F00254" w:rsidR="006D7E36">
        <w:rPr>
          <w:rFonts w:ascii="Calibri" w:hAnsi="Calibri" w:cs="Calibri"/>
          <w:sz w:val="22"/>
          <w:szCs w:val="22"/>
        </w:rPr>
        <w:t>.</w:t>
      </w:r>
    </w:p>
    <w:p w:rsidR="00C54848" w:rsidRPr="00F00254" w:rsidP="00F00254" w14:paraId="00222E84" w14:textId="32A950D2">
      <w:pPr>
        <w:spacing w:line="240" w:lineRule="auto"/>
        <w:rPr>
          <w:rFonts w:ascii="Calibri" w:hAnsi="Calibri" w:cs="Calibri"/>
          <w:sz w:val="22"/>
          <w:szCs w:val="22"/>
        </w:rPr>
      </w:pPr>
      <w:r w:rsidRPr="00F00254">
        <w:rPr>
          <w:rFonts w:ascii="Calibri" w:hAnsi="Calibri" w:cs="Calibri"/>
          <w:sz w:val="22"/>
          <w:szCs w:val="22"/>
        </w:rPr>
        <w:t>The survey will serve as our recruitment mechanism for interviews and focus groups</w:t>
      </w:r>
      <w:r w:rsidR="00EE7E54">
        <w:rPr>
          <w:rFonts w:ascii="Calibri" w:hAnsi="Calibri" w:cs="Calibri"/>
          <w:sz w:val="22"/>
          <w:szCs w:val="22"/>
        </w:rPr>
        <w:t>, and the collected data will not be used for any other purpose</w:t>
      </w:r>
      <w:r w:rsidRPr="00F00254">
        <w:rPr>
          <w:rFonts w:ascii="Calibri" w:hAnsi="Calibri" w:cs="Calibri"/>
          <w:sz w:val="22"/>
          <w:szCs w:val="22"/>
        </w:rPr>
        <w:t xml:space="preserve">. The study team will select interview and focus group participants from among interested respondents. If more people express interest than the study team can accommodate, the team will consider the participants’ characteristics (e.g., race/ethnicity, years in their role and in the field, education) and program characteristics (e.g., model, location, number of home visitors, typical caseload) to ensure a diverse array of participants. The </w:t>
      </w:r>
      <w:r w:rsidRPr="00F00254" w:rsidR="007B20AE">
        <w:rPr>
          <w:rFonts w:ascii="Calibri" w:hAnsi="Calibri" w:cs="Calibri"/>
          <w:sz w:val="22"/>
          <w:szCs w:val="22"/>
        </w:rPr>
        <w:t xml:space="preserve">study </w:t>
      </w:r>
      <w:r w:rsidRPr="00F00254">
        <w:rPr>
          <w:rFonts w:ascii="Calibri" w:hAnsi="Calibri" w:cs="Calibri"/>
          <w:sz w:val="22"/>
          <w:szCs w:val="22"/>
        </w:rPr>
        <w:t xml:space="preserve">team will be intentional about including voices from Tribal home visiting programs. </w:t>
      </w:r>
      <w:r w:rsidRPr="00F00254" w:rsidR="00E30C82">
        <w:rPr>
          <w:rFonts w:ascii="Calibri" w:hAnsi="Calibri" w:cs="Calibri"/>
          <w:sz w:val="22"/>
          <w:szCs w:val="22"/>
        </w:rPr>
        <w:t>For focus groups, we will group interested participants according to availability and role (i.e., supervisors and home visitors will not be grouped together</w:t>
      </w:r>
      <w:r w:rsidRPr="00F00254" w:rsidR="00E75511">
        <w:rPr>
          <w:rFonts w:ascii="Calibri" w:hAnsi="Calibri" w:cs="Calibri"/>
          <w:sz w:val="22"/>
          <w:szCs w:val="22"/>
        </w:rPr>
        <w:t>) and</w:t>
      </w:r>
      <w:r w:rsidRPr="00F00254" w:rsidR="00BA0785">
        <w:rPr>
          <w:rFonts w:ascii="Calibri" w:hAnsi="Calibri" w:cs="Calibri"/>
          <w:sz w:val="22"/>
          <w:szCs w:val="22"/>
        </w:rPr>
        <w:t xml:space="preserve"> anticipate that each group will be comprised of participants representing a range of models, regions, and experience. </w:t>
      </w:r>
    </w:p>
    <w:p w:rsidR="00835795" w:rsidRPr="00F00254" w:rsidP="00F00254" w14:paraId="1A981722" w14:textId="4C3A6C33">
      <w:pPr>
        <w:spacing w:line="240" w:lineRule="auto"/>
        <w:rPr>
          <w:rFonts w:ascii="Calibri" w:hAnsi="Calibri" w:cs="Calibri"/>
          <w:sz w:val="22"/>
          <w:szCs w:val="22"/>
        </w:rPr>
      </w:pPr>
      <w:r w:rsidRPr="00F00254">
        <w:rPr>
          <w:rFonts w:ascii="Calibri" w:hAnsi="Calibri" w:cs="Calibri"/>
          <w:sz w:val="22"/>
          <w:szCs w:val="22"/>
        </w:rPr>
        <w:t xml:space="preserve">Interviews and focus groups will be conducted virtually and facilitated by at least two trained members of the study team. Participants can participate in interviews and focus groups from a variety of </w:t>
      </w:r>
      <w:r w:rsidRPr="00F00254">
        <w:rPr>
          <w:rFonts w:ascii="Calibri" w:hAnsi="Calibri" w:cs="Calibri"/>
          <w:sz w:val="22"/>
          <w:szCs w:val="22"/>
        </w:rPr>
        <w:t>electronic devices (e.g., computer, phone, or tablet). Interviews and focus groups will be recorded, and one member of the study team will also take notes to ensure no data is inadvertently lost. After data collection is complete</w:t>
      </w:r>
      <w:r w:rsidR="002E12F1">
        <w:rPr>
          <w:rFonts w:ascii="Calibri" w:hAnsi="Calibri" w:cs="Calibri"/>
          <w:sz w:val="22"/>
          <w:szCs w:val="22"/>
        </w:rPr>
        <w:t xml:space="preserve">, the study team will begin analysis by deductively coding the transcripts with codes generated </w:t>
      </w:r>
      <w:r w:rsidRPr="00CE0D12" w:rsidR="002E12F1">
        <w:rPr>
          <w:rFonts w:ascii="Calibri" w:hAnsi="Calibri" w:cs="Calibri"/>
          <w:sz w:val="22"/>
          <w:szCs w:val="22"/>
        </w:rPr>
        <w:t>based</w:t>
      </w:r>
      <w:r w:rsidR="00CE0D12">
        <w:rPr>
          <w:rFonts w:ascii="Calibri" w:hAnsi="Calibri" w:cs="Calibri"/>
          <w:sz w:val="22"/>
          <w:szCs w:val="22"/>
        </w:rPr>
        <w:t xml:space="preserve"> on topics</w:t>
      </w:r>
      <w:r w:rsidRPr="00CE0D12" w:rsidR="002E12F1">
        <w:rPr>
          <w:rFonts w:ascii="Calibri" w:hAnsi="Calibri" w:cs="Calibri"/>
          <w:sz w:val="22"/>
          <w:szCs w:val="22"/>
        </w:rPr>
        <w:t xml:space="preserve"> included</w:t>
      </w:r>
      <w:r w:rsidRPr="002E12F1" w:rsidR="002E12F1">
        <w:rPr>
          <w:rFonts w:ascii="Calibri" w:hAnsi="Calibri" w:cs="Calibri"/>
          <w:sz w:val="22"/>
          <w:szCs w:val="22"/>
        </w:rPr>
        <w:t xml:space="preserve"> in </w:t>
      </w:r>
      <w:r w:rsidR="002E12F1">
        <w:rPr>
          <w:rFonts w:ascii="Calibri" w:hAnsi="Calibri" w:cs="Calibri"/>
          <w:sz w:val="22"/>
          <w:szCs w:val="22"/>
        </w:rPr>
        <w:t xml:space="preserve">interview and focus group protocols </w:t>
      </w:r>
      <w:r w:rsidRPr="002E12F1" w:rsidR="002E12F1">
        <w:rPr>
          <w:rFonts w:ascii="Calibri" w:hAnsi="Calibri" w:cs="Calibri"/>
          <w:sz w:val="22"/>
          <w:szCs w:val="22"/>
        </w:rPr>
        <w:t xml:space="preserve">and emerging findings from </w:t>
      </w:r>
      <w:r w:rsidR="00CE0D12">
        <w:rPr>
          <w:rFonts w:ascii="Calibri" w:hAnsi="Calibri" w:cs="Calibri"/>
          <w:sz w:val="22"/>
          <w:szCs w:val="22"/>
        </w:rPr>
        <w:t xml:space="preserve">previous </w:t>
      </w:r>
      <w:r w:rsidRPr="002E12F1" w:rsidR="002E12F1">
        <w:rPr>
          <w:rFonts w:ascii="Calibri" w:hAnsi="Calibri" w:cs="Calibri"/>
          <w:sz w:val="22"/>
          <w:szCs w:val="22"/>
        </w:rPr>
        <w:t>quantitative</w:t>
      </w:r>
      <w:r w:rsidR="006A6F0F">
        <w:rPr>
          <w:rFonts w:ascii="Calibri" w:hAnsi="Calibri" w:cs="Calibri"/>
          <w:sz w:val="22"/>
          <w:szCs w:val="22"/>
        </w:rPr>
        <w:t xml:space="preserve"> analyses conducted for</w:t>
      </w:r>
      <w:r w:rsidRPr="002E12F1" w:rsidR="002E12F1">
        <w:rPr>
          <w:rFonts w:ascii="Calibri" w:hAnsi="Calibri" w:cs="Calibri"/>
          <w:sz w:val="22"/>
          <w:szCs w:val="22"/>
        </w:rPr>
        <w:t xml:space="preserve"> th</w:t>
      </w:r>
      <w:r w:rsidR="006A6F0F">
        <w:rPr>
          <w:rFonts w:ascii="Calibri" w:hAnsi="Calibri" w:cs="Calibri"/>
          <w:sz w:val="22"/>
          <w:szCs w:val="22"/>
        </w:rPr>
        <w:t>is</w:t>
      </w:r>
      <w:r w:rsidRPr="002E12F1" w:rsidR="002E12F1">
        <w:rPr>
          <w:rFonts w:ascii="Calibri" w:hAnsi="Calibri" w:cs="Calibri"/>
          <w:sz w:val="22"/>
          <w:szCs w:val="22"/>
        </w:rPr>
        <w:t xml:space="preserve"> study</w:t>
      </w:r>
      <w:r w:rsidR="002E12F1">
        <w:rPr>
          <w:rFonts w:ascii="Calibri" w:hAnsi="Calibri" w:cs="Calibri"/>
          <w:sz w:val="22"/>
          <w:szCs w:val="22"/>
        </w:rPr>
        <w:t xml:space="preserve">. Then, the team will develop inductive codes in response to new and different themes that emerge from the data. </w:t>
      </w:r>
      <w:r w:rsidRPr="002E12F1" w:rsidR="002E12F1">
        <w:rPr>
          <w:rFonts w:ascii="Calibri" w:hAnsi="Calibri" w:cs="Calibri"/>
          <w:sz w:val="22"/>
          <w:szCs w:val="22"/>
        </w:rPr>
        <w:t>The coding scheme will be refined and updated throughout the coding process as needed</w:t>
      </w:r>
      <w:r w:rsidR="002E12F1">
        <w:rPr>
          <w:rFonts w:ascii="Calibri" w:hAnsi="Calibri" w:cs="Calibri"/>
          <w:sz w:val="22"/>
          <w:szCs w:val="22"/>
        </w:rPr>
        <w:t>. At least</w:t>
      </w:r>
      <w:r w:rsidRPr="00F00254">
        <w:rPr>
          <w:rFonts w:ascii="Calibri" w:hAnsi="Calibri" w:cs="Calibri"/>
          <w:sz w:val="22"/>
          <w:szCs w:val="22"/>
        </w:rPr>
        <w:t xml:space="preserve"> </w:t>
      </w:r>
      <w:r w:rsidR="002E12F1">
        <w:rPr>
          <w:rFonts w:ascii="Calibri" w:hAnsi="Calibri" w:cs="Calibri"/>
          <w:sz w:val="22"/>
          <w:szCs w:val="22"/>
        </w:rPr>
        <w:t xml:space="preserve">20 percent of </w:t>
      </w:r>
      <w:r w:rsidRPr="00F00254">
        <w:rPr>
          <w:rFonts w:ascii="Calibri" w:hAnsi="Calibri" w:cs="Calibri"/>
          <w:sz w:val="22"/>
          <w:szCs w:val="22"/>
        </w:rPr>
        <w:t>transcripts will be double-coded to ensure intercoder reliability. After intercoder reliability is established, transcripts coded by a single coder will undergo quality checks from a methodological expert on the study team.</w:t>
      </w:r>
      <w:r w:rsidR="002E12F1">
        <w:rPr>
          <w:rFonts w:ascii="Calibri" w:hAnsi="Calibri" w:cs="Calibri"/>
          <w:sz w:val="22"/>
          <w:szCs w:val="22"/>
        </w:rPr>
        <w:t xml:space="preserve"> Once coding is complete, the team will identify and summarize the themes that emerge and collaborate with workgroup members and expert advisors to help interpret and contextualize the findings. </w:t>
      </w:r>
    </w:p>
    <w:p w:rsidR="394A03C1" w:rsidRPr="00250B1B" w:rsidP="00A36987" w14:paraId="7023949A" w14:textId="3E88378D">
      <w:pPr>
        <w:pStyle w:val="Heading2"/>
        <w:rPr>
          <w:rFonts w:ascii="Calibri Light" w:hAnsi="Calibri Light" w:cs="Calibri Light"/>
          <w:sz w:val="26"/>
          <w:szCs w:val="26"/>
        </w:rPr>
      </w:pPr>
      <w:r w:rsidRPr="00250B1B">
        <w:rPr>
          <w:rFonts w:ascii="Calibri Light" w:hAnsi="Calibri Light" w:cs="Calibri Light"/>
          <w:color w:val="2F5496"/>
          <w:sz w:val="26"/>
          <w:szCs w:val="26"/>
        </w:rPr>
        <w:t>3. Methods to Maximize Response Rates and Deal with Nonresponse</w:t>
      </w:r>
    </w:p>
    <w:p w:rsidR="00C429EC" w:rsidRPr="00F00254" w:rsidP="00110AAD" w14:paraId="1D46BCAB" w14:textId="7DE651D4">
      <w:pPr>
        <w:spacing w:line="240" w:lineRule="auto"/>
        <w:rPr>
          <w:rFonts w:ascii="Calibri" w:hAnsi="Calibri" w:cs="Calibri"/>
          <w:sz w:val="22"/>
          <w:szCs w:val="22"/>
        </w:rPr>
      </w:pPr>
      <w:r w:rsidRPr="00F00254">
        <w:rPr>
          <w:rFonts w:ascii="Calibri" w:hAnsi="Calibri" w:cs="Calibri"/>
          <w:sz w:val="22"/>
          <w:szCs w:val="22"/>
        </w:rPr>
        <w:t xml:space="preserve">All data collection activities are completely voluntary. To maximize response rates, all research staff will be trained on the data collection procedures and on principles of respondent cooperation. Other ways the data collection team plans to maximize response rates include pre-testing these questions with appropriate participants for each respective protocol. At the time of data collection, all staff will provide detailed information about the study, provide an overview of the importance of the study, and provide information about receiving an incentive for participation. As described in A.10., all respondents will also be informed that their responses are confidential to the extent allowed by law. In addition, every effort will be made to establish a supportive and respectful relationship with participants, and participants will be reminded that they are free to refrain from answering questions or excuse themselves from participating at any time. </w:t>
      </w:r>
    </w:p>
    <w:p w:rsidR="00950EFB" w:rsidRPr="00F00254" w:rsidP="00110AAD" w14:paraId="7CE71122" w14:textId="5D0E9B3D">
      <w:pPr>
        <w:spacing w:line="240" w:lineRule="auto"/>
        <w:rPr>
          <w:rFonts w:ascii="Calibri" w:hAnsi="Calibri" w:cs="Calibri"/>
          <w:sz w:val="22"/>
          <w:szCs w:val="22"/>
        </w:rPr>
      </w:pPr>
      <w:r w:rsidRPr="00F00254">
        <w:rPr>
          <w:rFonts w:ascii="Calibri" w:hAnsi="Calibri" w:cs="Calibri"/>
          <w:sz w:val="22"/>
          <w:szCs w:val="22"/>
        </w:rPr>
        <w:t xml:space="preserve">For the </w:t>
      </w:r>
      <w:r w:rsidRPr="00F00254" w:rsidR="008E158C">
        <w:rPr>
          <w:rFonts w:ascii="Calibri" w:hAnsi="Calibri" w:cs="Calibri"/>
          <w:sz w:val="22"/>
          <w:szCs w:val="22"/>
        </w:rPr>
        <w:t>r</w:t>
      </w:r>
      <w:r w:rsidRPr="00F00254">
        <w:rPr>
          <w:rFonts w:ascii="Calibri" w:hAnsi="Calibri" w:cs="Calibri"/>
          <w:sz w:val="22"/>
          <w:szCs w:val="22"/>
        </w:rPr>
        <w:t xml:space="preserve">ecruitment </w:t>
      </w:r>
      <w:r w:rsidRPr="00F00254" w:rsidR="008E158C">
        <w:rPr>
          <w:rFonts w:ascii="Calibri" w:hAnsi="Calibri" w:cs="Calibri"/>
          <w:sz w:val="22"/>
          <w:szCs w:val="22"/>
        </w:rPr>
        <w:t>s</w:t>
      </w:r>
      <w:r w:rsidRPr="00F00254">
        <w:rPr>
          <w:rFonts w:ascii="Calibri" w:hAnsi="Calibri" w:cs="Calibri"/>
          <w:sz w:val="22"/>
          <w:szCs w:val="22"/>
        </w:rPr>
        <w:t>urvey,</w:t>
      </w:r>
      <w:r w:rsidRPr="00F00254" w:rsidR="007515F5">
        <w:rPr>
          <w:rFonts w:ascii="Calibri" w:hAnsi="Calibri" w:cs="Calibri"/>
          <w:sz w:val="22"/>
          <w:szCs w:val="22"/>
        </w:rPr>
        <w:t xml:space="preserve"> we will ask</w:t>
      </w:r>
      <w:r w:rsidRPr="00F00254">
        <w:rPr>
          <w:rFonts w:ascii="Calibri" w:hAnsi="Calibri" w:cs="Calibri"/>
          <w:sz w:val="22"/>
          <w:szCs w:val="22"/>
        </w:rPr>
        <w:t xml:space="preserve"> state</w:t>
      </w:r>
      <w:r w:rsidR="007D7439">
        <w:rPr>
          <w:rFonts w:ascii="Calibri" w:hAnsi="Calibri" w:cs="Calibri"/>
          <w:sz w:val="22"/>
          <w:szCs w:val="22"/>
        </w:rPr>
        <w:t xml:space="preserve">, </w:t>
      </w:r>
      <w:r w:rsidRPr="00F00254">
        <w:rPr>
          <w:rFonts w:ascii="Calibri" w:hAnsi="Calibri" w:cs="Calibri"/>
          <w:sz w:val="22"/>
          <w:szCs w:val="22"/>
        </w:rPr>
        <w:t xml:space="preserve">jurisdiction and Tribal MIECHV </w:t>
      </w:r>
      <w:r w:rsidRPr="00F00254" w:rsidR="008066E6">
        <w:rPr>
          <w:rFonts w:ascii="Calibri" w:hAnsi="Calibri" w:cs="Calibri"/>
          <w:sz w:val="22"/>
          <w:szCs w:val="22"/>
        </w:rPr>
        <w:t xml:space="preserve">Project Directors </w:t>
      </w:r>
      <w:r w:rsidRPr="00F00254" w:rsidR="007515F5">
        <w:rPr>
          <w:rFonts w:ascii="Calibri" w:hAnsi="Calibri" w:cs="Calibri"/>
          <w:sz w:val="22"/>
          <w:szCs w:val="22"/>
        </w:rPr>
        <w:t xml:space="preserve">to distribute it to </w:t>
      </w:r>
      <w:r w:rsidR="007D7439">
        <w:rPr>
          <w:rFonts w:ascii="Calibri" w:hAnsi="Calibri" w:cs="Calibri"/>
          <w:sz w:val="22"/>
          <w:szCs w:val="22"/>
        </w:rPr>
        <w:t>their home visiting programs or staff</w:t>
      </w:r>
      <w:r w:rsidRPr="00F00254" w:rsidR="007D7439">
        <w:rPr>
          <w:rFonts w:ascii="Calibri" w:hAnsi="Calibri" w:cs="Calibri"/>
          <w:sz w:val="22"/>
          <w:szCs w:val="22"/>
        </w:rPr>
        <w:t xml:space="preserve"> </w:t>
      </w:r>
      <w:r w:rsidRPr="00F00254" w:rsidR="007515F5">
        <w:rPr>
          <w:rFonts w:ascii="Calibri" w:hAnsi="Calibri" w:cs="Calibri"/>
          <w:sz w:val="22"/>
          <w:szCs w:val="22"/>
        </w:rPr>
        <w:t>in their state</w:t>
      </w:r>
      <w:r w:rsidR="007D7439">
        <w:rPr>
          <w:rFonts w:ascii="Calibri" w:hAnsi="Calibri" w:cs="Calibri"/>
          <w:sz w:val="22"/>
          <w:szCs w:val="22"/>
        </w:rPr>
        <w:t xml:space="preserve">, </w:t>
      </w:r>
      <w:r w:rsidRPr="00F00254" w:rsidR="007515F5">
        <w:rPr>
          <w:rFonts w:ascii="Calibri" w:hAnsi="Calibri" w:cs="Calibri"/>
          <w:sz w:val="22"/>
          <w:szCs w:val="22"/>
        </w:rPr>
        <w:t>jurisdiction</w:t>
      </w:r>
      <w:r w:rsidR="007D7439">
        <w:rPr>
          <w:rFonts w:ascii="Calibri" w:hAnsi="Calibri" w:cs="Calibri"/>
          <w:sz w:val="22"/>
          <w:szCs w:val="22"/>
        </w:rPr>
        <w:t>, or</w:t>
      </w:r>
      <w:r w:rsidR="002335C9">
        <w:rPr>
          <w:rFonts w:ascii="Calibri" w:hAnsi="Calibri" w:cs="Calibri"/>
          <w:sz w:val="22"/>
          <w:szCs w:val="22"/>
        </w:rPr>
        <w:t xml:space="preserve"> </w:t>
      </w:r>
      <w:r w:rsidRPr="00F00254" w:rsidR="007515F5">
        <w:rPr>
          <w:rFonts w:ascii="Calibri" w:hAnsi="Calibri" w:cs="Calibri"/>
          <w:sz w:val="22"/>
          <w:szCs w:val="22"/>
        </w:rPr>
        <w:t xml:space="preserve">Tribe. </w:t>
      </w:r>
      <w:r w:rsidRPr="00F00254" w:rsidR="00395FE0">
        <w:rPr>
          <w:rFonts w:ascii="Calibri" w:hAnsi="Calibri" w:cs="Calibri"/>
          <w:sz w:val="22"/>
          <w:szCs w:val="22"/>
        </w:rPr>
        <w:t>If an insufficient number of people respond to the Recruitment Survey, we will send one reminder</w:t>
      </w:r>
      <w:r w:rsidR="002E0744">
        <w:rPr>
          <w:rFonts w:ascii="Calibri" w:hAnsi="Calibri" w:cs="Calibri"/>
          <w:sz w:val="22"/>
          <w:szCs w:val="22"/>
        </w:rPr>
        <w:t xml:space="preserve"> to</w:t>
      </w:r>
      <w:r w:rsidRPr="00F00254" w:rsidR="00395FE0">
        <w:rPr>
          <w:rFonts w:ascii="Calibri" w:hAnsi="Calibri" w:cs="Calibri"/>
          <w:sz w:val="22"/>
          <w:szCs w:val="22"/>
        </w:rPr>
        <w:t xml:space="preserve"> </w:t>
      </w:r>
      <w:r w:rsidR="007D7439">
        <w:rPr>
          <w:rFonts w:ascii="Calibri" w:hAnsi="Calibri" w:cs="Calibri"/>
          <w:sz w:val="22"/>
          <w:szCs w:val="22"/>
        </w:rPr>
        <w:t xml:space="preserve">the </w:t>
      </w:r>
      <w:r w:rsidRPr="00F00254" w:rsidR="00395FE0">
        <w:rPr>
          <w:rFonts w:ascii="Calibri" w:hAnsi="Calibri" w:cs="Calibri"/>
          <w:sz w:val="22"/>
          <w:szCs w:val="22"/>
        </w:rPr>
        <w:t xml:space="preserve">MIECHV Project Directors </w:t>
      </w:r>
      <w:r w:rsidRPr="00F00254">
        <w:rPr>
          <w:rFonts w:ascii="Calibri" w:hAnsi="Calibri" w:cs="Calibri"/>
          <w:sz w:val="22"/>
          <w:szCs w:val="22"/>
        </w:rPr>
        <w:t xml:space="preserve">to encourage </w:t>
      </w:r>
      <w:r w:rsidRPr="00F00254" w:rsidR="00395FE0">
        <w:rPr>
          <w:rFonts w:ascii="Calibri" w:hAnsi="Calibri" w:cs="Calibri"/>
          <w:sz w:val="22"/>
          <w:szCs w:val="22"/>
        </w:rPr>
        <w:t xml:space="preserve">them to recirculate the </w:t>
      </w:r>
      <w:r w:rsidRPr="00F00254" w:rsidR="008E158C">
        <w:rPr>
          <w:rFonts w:ascii="Calibri" w:hAnsi="Calibri" w:cs="Calibri"/>
          <w:sz w:val="22"/>
          <w:szCs w:val="22"/>
        </w:rPr>
        <w:t>r</w:t>
      </w:r>
      <w:r w:rsidRPr="00F00254" w:rsidR="00E00892">
        <w:rPr>
          <w:rFonts w:ascii="Calibri" w:hAnsi="Calibri" w:cs="Calibri"/>
          <w:sz w:val="22"/>
          <w:szCs w:val="22"/>
        </w:rPr>
        <w:t xml:space="preserve">ecruitment </w:t>
      </w:r>
      <w:r w:rsidRPr="00F00254" w:rsidR="008E158C">
        <w:rPr>
          <w:rFonts w:ascii="Calibri" w:hAnsi="Calibri" w:cs="Calibri"/>
          <w:sz w:val="22"/>
          <w:szCs w:val="22"/>
        </w:rPr>
        <w:t>s</w:t>
      </w:r>
      <w:r w:rsidRPr="00F00254" w:rsidR="00E00892">
        <w:rPr>
          <w:rFonts w:ascii="Calibri" w:hAnsi="Calibri" w:cs="Calibri"/>
          <w:sz w:val="22"/>
          <w:szCs w:val="22"/>
        </w:rPr>
        <w:t>urvey</w:t>
      </w:r>
      <w:r w:rsidRPr="00F00254">
        <w:rPr>
          <w:rFonts w:ascii="Calibri" w:hAnsi="Calibri" w:cs="Calibri"/>
          <w:sz w:val="22"/>
          <w:szCs w:val="22"/>
        </w:rPr>
        <w:t xml:space="preserve">. </w:t>
      </w:r>
    </w:p>
    <w:p w:rsidR="1A41A4D3" w:rsidRPr="00F00254" w:rsidP="00110AAD" w14:paraId="2066BA33" w14:textId="3214EA7F">
      <w:pPr>
        <w:spacing w:line="240" w:lineRule="auto"/>
        <w:rPr>
          <w:rFonts w:ascii="Calibri" w:hAnsi="Calibri" w:cs="Calibri"/>
          <w:sz w:val="22"/>
          <w:szCs w:val="22"/>
        </w:rPr>
      </w:pPr>
      <w:r w:rsidRPr="00F00254">
        <w:rPr>
          <w:rFonts w:ascii="Calibri" w:hAnsi="Calibri" w:cs="Calibri"/>
          <w:sz w:val="22"/>
          <w:szCs w:val="22"/>
        </w:rPr>
        <w:t xml:space="preserve">The study team will reach out directly to participants who have expressed interest in completing an interview or focus group at two time points to facilitate scheduling, and work to find times that are convenient for participants. Once a focus group or interview is scheduled, the team will provide two reminders (one the day before the appointment, and one the day of the appointment) to participants to minimize no-shows. If participants are unable to attend their scheduled interview or focus group, the study team will work to re-schedule if possible. </w:t>
      </w:r>
    </w:p>
    <w:p w:rsidR="0054342A" w:rsidRPr="00F00254" w:rsidP="00110AAD" w14:paraId="44B83FC0" w14:textId="69EB3DB1">
      <w:pPr>
        <w:spacing w:line="240" w:lineRule="auto"/>
        <w:rPr>
          <w:rFonts w:ascii="Calibri" w:hAnsi="Calibri" w:cs="Calibri"/>
          <w:sz w:val="22"/>
          <w:szCs w:val="22"/>
        </w:rPr>
      </w:pPr>
      <w:r w:rsidRPr="00F00254">
        <w:rPr>
          <w:rFonts w:ascii="Calibri" w:hAnsi="Calibri" w:cs="Calibri"/>
          <w:sz w:val="22"/>
          <w:szCs w:val="22"/>
        </w:rPr>
        <w:t xml:space="preserve">Given our sampling approach, the study team will not employ any specific methods to address non-response. However, when presenting findings the team will clearly describe the study sample in order to indicate whose experiences are reflected in responses. </w:t>
      </w:r>
    </w:p>
    <w:p w:rsidR="394A03C1" w:rsidRPr="002F5C2D" w:rsidP="00A36987" w14:paraId="64B1FCE8" w14:textId="2A146C3E">
      <w:pPr>
        <w:pStyle w:val="Heading2"/>
        <w:rPr>
          <w:rFonts w:ascii="Calibri Light" w:hAnsi="Calibri Light" w:cs="Calibri Light"/>
          <w:color w:val="2F5496"/>
          <w:sz w:val="26"/>
          <w:szCs w:val="26"/>
        </w:rPr>
      </w:pPr>
      <w:r w:rsidRPr="002F5C2D">
        <w:rPr>
          <w:rFonts w:ascii="Calibri Light" w:hAnsi="Calibri Light" w:cs="Calibri Light"/>
          <w:color w:val="2F5496"/>
          <w:sz w:val="26"/>
          <w:szCs w:val="26"/>
        </w:rPr>
        <w:t>4. Tests of Procedures or Methods to be Undertaken</w:t>
      </w:r>
    </w:p>
    <w:p w:rsidR="7D4EAB42" w:rsidP="7D4EAB42" w14:paraId="3D7D1152" w14:textId="4A56DEC6">
      <w:pPr>
        <w:spacing w:line="240" w:lineRule="auto"/>
        <w:rPr>
          <w:rFonts w:ascii="Calibri" w:hAnsi="Calibri" w:cs="Calibri"/>
          <w:sz w:val="22"/>
          <w:szCs w:val="22"/>
        </w:rPr>
      </w:pPr>
      <w:r w:rsidRPr="7D4EAB42">
        <w:rPr>
          <w:rFonts w:ascii="Calibri" w:hAnsi="Calibri" w:cs="Calibri"/>
          <w:sz w:val="22"/>
          <w:szCs w:val="22"/>
        </w:rPr>
        <w:t xml:space="preserve">All of the data collection protocols have been pre-tested with the appropriate participants for each respective protocol. </w:t>
      </w:r>
      <w:r w:rsidRPr="7D4EAB42" w:rsidR="00561D4C">
        <w:rPr>
          <w:rFonts w:ascii="Calibri" w:hAnsi="Calibri" w:cs="Calibri"/>
          <w:sz w:val="22"/>
          <w:szCs w:val="22"/>
        </w:rPr>
        <w:t xml:space="preserve"> In April 2024, the study team </w:t>
      </w:r>
      <w:r w:rsidRPr="7D4EAB42" w:rsidR="005D04E1">
        <w:rPr>
          <w:rFonts w:ascii="Calibri" w:hAnsi="Calibri" w:cs="Calibri"/>
          <w:sz w:val="22"/>
          <w:szCs w:val="22"/>
        </w:rPr>
        <w:t>consulted</w:t>
      </w:r>
      <w:r w:rsidRPr="7D4EAB42" w:rsidR="00561D4C">
        <w:rPr>
          <w:rFonts w:ascii="Calibri" w:hAnsi="Calibri" w:cs="Calibri"/>
          <w:sz w:val="22"/>
          <w:szCs w:val="22"/>
        </w:rPr>
        <w:t xml:space="preserve"> with four individuals </w:t>
      </w:r>
      <w:r w:rsidR="008208BC">
        <w:rPr>
          <w:rFonts w:ascii="Calibri" w:hAnsi="Calibri" w:cs="Calibri"/>
          <w:sz w:val="22"/>
          <w:szCs w:val="22"/>
        </w:rPr>
        <w:t>with lived experience as a supervisor or home visitor</w:t>
      </w:r>
      <w:r w:rsidRPr="7D4EAB42" w:rsidR="00561D4C">
        <w:rPr>
          <w:rFonts w:ascii="Calibri" w:hAnsi="Calibri" w:cs="Calibri"/>
          <w:sz w:val="22"/>
          <w:szCs w:val="22"/>
        </w:rPr>
        <w:t xml:space="preserve"> to pilot</w:t>
      </w:r>
      <w:r w:rsidR="000F4E67">
        <w:rPr>
          <w:rFonts w:ascii="Calibri" w:hAnsi="Calibri" w:cs="Calibri"/>
          <w:sz w:val="22"/>
          <w:szCs w:val="22"/>
        </w:rPr>
        <w:t xml:space="preserve"> either the interview or focus group protocol</w:t>
      </w:r>
      <w:r w:rsidRPr="7D4EAB42" w:rsidR="005D04E1">
        <w:rPr>
          <w:rFonts w:ascii="Calibri" w:hAnsi="Calibri" w:cs="Calibri"/>
          <w:sz w:val="22"/>
          <w:szCs w:val="22"/>
        </w:rPr>
        <w:t xml:space="preserve"> in a 60-minute video call. After </w:t>
      </w:r>
      <w:r w:rsidR="008033D5">
        <w:rPr>
          <w:rFonts w:ascii="Calibri" w:hAnsi="Calibri" w:cs="Calibri"/>
          <w:sz w:val="22"/>
          <w:szCs w:val="22"/>
        </w:rPr>
        <w:t xml:space="preserve">responding to the questions in </w:t>
      </w:r>
      <w:r w:rsidRPr="7D4EAB42" w:rsidR="005D04E1">
        <w:rPr>
          <w:rFonts w:ascii="Calibri" w:hAnsi="Calibri" w:cs="Calibri"/>
          <w:sz w:val="22"/>
          <w:szCs w:val="22"/>
        </w:rPr>
        <w:t>each section of the protocol</w:t>
      </w:r>
      <w:r w:rsidR="009F5D99">
        <w:rPr>
          <w:rFonts w:ascii="Calibri" w:hAnsi="Calibri" w:cs="Calibri"/>
          <w:sz w:val="22"/>
          <w:szCs w:val="22"/>
        </w:rPr>
        <w:t>s</w:t>
      </w:r>
      <w:r w:rsidRPr="7D4EAB42" w:rsidR="005D04E1">
        <w:rPr>
          <w:rFonts w:ascii="Calibri" w:hAnsi="Calibri" w:cs="Calibri"/>
          <w:sz w:val="22"/>
          <w:szCs w:val="22"/>
        </w:rPr>
        <w:t xml:space="preserve">, participants were asked to provide feedback on the clarity </w:t>
      </w:r>
      <w:r w:rsidRPr="7D4EAB42" w:rsidR="009F0EF7">
        <w:rPr>
          <w:rFonts w:ascii="Calibri" w:hAnsi="Calibri" w:cs="Calibri"/>
          <w:sz w:val="22"/>
          <w:szCs w:val="22"/>
        </w:rPr>
        <w:t xml:space="preserve">and flow </w:t>
      </w:r>
      <w:r w:rsidRPr="7D4EAB42" w:rsidR="005D04E1">
        <w:rPr>
          <w:rFonts w:ascii="Calibri" w:hAnsi="Calibri" w:cs="Calibri"/>
          <w:sz w:val="22"/>
          <w:szCs w:val="22"/>
        </w:rPr>
        <w:t xml:space="preserve">of the questions </w:t>
      </w:r>
      <w:r w:rsidRPr="7D4EAB42" w:rsidR="009F0EF7">
        <w:rPr>
          <w:rFonts w:ascii="Calibri" w:hAnsi="Calibri" w:cs="Calibri"/>
          <w:sz w:val="22"/>
          <w:szCs w:val="22"/>
        </w:rPr>
        <w:t>as well as</w:t>
      </w:r>
      <w:r w:rsidRPr="7D4EAB42" w:rsidR="005D04E1">
        <w:rPr>
          <w:rFonts w:ascii="Calibri" w:hAnsi="Calibri" w:cs="Calibri"/>
          <w:sz w:val="22"/>
          <w:szCs w:val="22"/>
        </w:rPr>
        <w:t xml:space="preserve"> suggestions for improvement. </w:t>
      </w:r>
      <w:r w:rsidRPr="7D4EAB42">
        <w:rPr>
          <w:rFonts w:ascii="Calibri" w:hAnsi="Calibri" w:cs="Calibri"/>
          <w:sz w:val="22"/>
          <w:szCs w:val="22"/>
        </w:rPr>
        <w:t xml:space="preserve">Approval for pre-testing was not required because protocols were tested with fewer than 10 respondents.  Given the descriptive nature of this project, the goal of the pre-testing was to ensure the </w:t>
      </w:r>
      <w:r w:rsidRPr="7D4EAB42">
        <w:rPr>
          <w:rFonts w:ascii="Calibri" w:hAnsi="Calibri" w:cs="Calibri"/>
          <w:sz w:val="22"/>
          <w:szCs w:val="22"/>
        </w:rPr>
        <w:t xml:space="preserve">questions will provide the study team with the type of information needed to address the research question. </w:t>
      </w:r>
      <w:r w:rsidRPr="7D4EAB42">
        <w:rPr>
          <w:rFonts w:ascii="Calibri" w:hAnsi="Calibri" w:cs="Calibri"/>
          <w:sz w:val="22"/>
          <w:szCs w:val="22"/>
        </w:rPr>
        <w:t xml:space="preserve">Feedback was used to revise questions that were unclear or difficult to answer, add clarification around questions and terminology used, and cut questions to ensure the estimated burden is not exceeded. </w:t>
      </w:r>
      <w:r w:rsidRPr="7D4EAB42" w:rsidR="009F0EF7">
        <w:rPr>
          <w:rFonts w:ascii="Calibri" w:hAnsi="Calibri" w:cs="Calibri"/>
          <w:sz w:val="22"/>
          <w:szCs w:val="22"/>
        </w:rPr>
        <w:t xml:space="preserve">For example, participants who piloted the home visitor protocol indicated </w:t>
      </w:r>
      <w:r w:rsidR="00F2306C">
        <w:rPr>
          <w:rFonts w:ascii="Calibri" w:hAnsi="Calibri" w:cs="Calibri"/>
          <w:sz w:val="22"/>
          <w:szCs w:val="22"/>
        </w:rPr>
        <w:t>it was challenging</w:t>
      </w:r>
      <w:r w:rsidRPr="7D4EAB42" w:rsidR="009F0EF7">
        <w:rPr>
          <w:rFonts w:ascii="Calibri" w:hAnsi="Calibri" w:cs="Calibri"/>
          <w:sz w:val="22"/>
          <w:szCs w:val="22"/>
        </w:rPr>
        <w:t xml:space="preserve"> to</w:t>
      </w:r>
      <w:r w:rsidR="00F2306C">
        <w:rPr>
          <w:rFonts w:ascii="Calibri" w:hAnsi="Calibri" w:cs="Calibri"/>
          <w:sz w:val="22"/>
          <w:szCs w:val="22"/>
        </w:rPr>
        <w:t xml:space="preserve"> respond to</w:t>
      </w:r>
      <w:r w:rsidRPr="7D4EAB42" w:rsidR="009F0EF7">
        <w:rPr>
          <w:rFonts w:ascii="Calibri" w:hAnsi="Calibri" w:cs="Calibri"/>
          <w:sz w:val="22"/>
          <w:szCs w:val="22"/>
        </w:rPr>
        <w:t xml:space="preserve"> questions about their supervisors’ training</w:t>
      </w:r>
      <w:r w:rsidR="00F2306C">
        <w:rPr>
          <w:rFonts w:ascii="Calibri" w:hAnsi="Calibri" w:cs="Calibri"/>
          <w:sz w:val="22"/>
          <w:szCs w:val="22"/>
        </w:rPr>
        <w:t>,</w:t>
      </w:r>
      <w:r w:rsidRPr="7D4EAB42" w:rsidR="009F0EF7">
        <w:rPr>
          <w:rFonts w:ascii="Calibri" w:hAnsi="Calibri" w:cs="Calibri"/>
          <w:sz w:val="22"/>
          <w:szCs w:val="22"/>
        </w:rPr>
        <w:t xml:space="preserve"> as they do not have much knowledge of the training content. In response, the team revised the follow up questions for home visitors who are not </w:t>
      </w:r>
      <w:r w:rsidRPr="7D4EAB42" w:rsidR="00B560CD">
        <w:rPr>
          <w:rFonts w:ascii="Calibri" w:hAnsi="Calibri" w:cs="Calibri"/>
          <w:sz w:val="22"/>
          <w:szCs w:val="22"/>
        </w:rPr>
        <w:t>familiar</w:t>
      </w:r>
      <w:r w:rsidRPr="7D4EAB42" w:rsidR="009F0EF7">
        <w:rPr>
          <w:rFonts w:ascii="Calibri" w:hAnsi="Calibri" w:cs="Calibri"/>
          <w:sz w:val="22"/>
          <w:szCs w:val="22"/>
        </w:rPr>
        <w:t xml:space="preserve"> with the content of their supervisors’ training to ask about the frequency </w:t>
      </w:r>
      <w:r w:rsidR="002C10DB">
        <w:rPr>
          <w:rFonts w:ascii="Calibri" w:hAnsi="Calibri" w:cs="Calibri"/>
          <w:sz w:val="22"/>
          <w:szCs w:val="22"/>
        </w:rPr>
        <w:t>with which</w:t>
      </w:r>
      <w:r w:rsidRPr="7D4EAB42" w:rsidR="009F0EF7">
        <w:rPr>
          <w:rFonts w:ascii="Calibri" w:hAnsi="Calibri" w:cs="Calibri"/>
          <w:sz w:val="22"/>
          <w:szCs w:val="22"/>
        </w:rPr>
        <w:t xml:space="preserve"> their supervisors attend supervisor-specific training and whether supervisors attend training with home visitors. </w:t>
      </w:r>
    </w:p>
    <w:p w:rsidR="394A03C1" w:rsidRPr="002F5C2D" w:rsidP="00A36987" w14:paraId="062D4EFA" w14:textId="3AD9A401">
      <w:pPr>
        <w:pStyle w:val="Heading2"/>
        <w:rPr>
          <w:rFonts w:ascii="Calibri Light" w:hAnsi="Calibri Light" w:cs="Calibri Light"/>
          <w:color w:val="2F5496"/>
          <w:sz w:val="26"/>
          <w:szCs w:val="26"/>
        </w:rPr>
      </w:pPr>
      <w:r w:rsidRPr="002F5C2D">
        <w:rPr>
          <w:rFonts w:ascii="Calibri Light" w:hAnsi="Calibri Light" w:cs="Calibri Light"/>
          <w:color w:val="2F5496"/>
          <w:sz w:val="26"/>
          <w:szCs w:val="26"/>
        </w:rPr>
        <w:t>5. Individuals Consulted on Statistical Aspects and Individuals Collecting and/or Analyzing Data</w:t>
      </w:r>
    </w:p>
    <w:p w:rsidR="00E930CA" w:rsidRPr="00F00254" w:rsidP="00D4392E" w14:paraId="722C718D" w14:textId="122311F9">
      <w:pPr>
        <w:spacing w:line="240" w:lineRule="auto"/>
        <w:rPr>
          <w:rFonts w:ascii="Calibri" w:hAnsi="Calibri" w:cs="Calibri"/>
          <w:sz w:val="22"/>
          <w:szCs w:val="22"/>
        </w:rPr>
      </w:pPr>
      <w:r w:rsidRPr="00F00254">
        <w:rPr>
          <w:rFonts w:ascii="Calibri" w:hAnsi="Calibri" w:cs="Calibri"/>
          <w:sz w:val="22"/>
          <w:szCs w:val="22"/>
        </w:rPr>
        <w:t xml:space="preserve">There were no individuals consulted on the statistical aspects of the design. The research team designed the data collection strategy and will collect and analyze data. </w:t>
      </w:r>
      <w:r w:rsidRPr="00F00254">
        <w:rPr>
          <w:rFonts w:ascii="Calibri" w:hAnsi="Calibri" w:cs="Calibri"/>
          <w:sz w:val="22"/>
          <w:szCs w:val="22"/>
        </w:rPr>
        <w:t xml:space="preserve">The project received feedback on the study design from an interested party workgroup. This group includes families participating in home visiting, MIECHV awardees, home visiting model developers, and home visiting program administrators and staff. </w:t>
      </w:r>
      <w:r w:rsidRPr="00F00254">
        <w:rPr>
          <w:rFonts w:ascii="Calibri" w:hAnsi="Calibri" w:cs="Calibri"/>
          <w:sz w:val="22"/>
          <w:szCs w:val="22"/>
        </w:rPr>
        <w:t>The study team also consulted with experts on supervision</w:t>
      </w:r>
      <w:r w:rsidR="002C08C4">
        <w:rPr>
          <w:rFonts w:ascii="Calibri" w:hAnsi="Calibri" w:cs="Calibri"/>
          <w:sz w:val="22"/>
          <w:szCs w:val="22"/>
        </w:rPr>
        <w:t xml:space="preserve"> from academi</w:t>
      </w:r>
      <w:r w:rsidR="00926280">
        <w:rPr>
          <w:rFonts w:ascii="Calibri" w:hAnsi="Calibri" w:cs="Calibri"/>
          <w:sz w:val="22"/>
          <w:szCs w:val="22"/>
        </w:rPr>
        <w:t>c and research institutions</w:t>
      </w:r>
      <w:r w:rsidR="002C08C4">
        <w:rPr>
          <w:rFonts w:ascii="Calibri" w:hAnsi="Calibri" w:cs="Calibri"/>
          <w:sz w:val="22"/>
          <w:szCs w:val="22"/>
        </w:rPr>
        <w:t xml:space="preserve"> who have</w:t>
      </w:r>
      <w:r w:rsidR="00EF1D46">
        <w:rPr>
          <w:rFonts w:ascii="Calibri" w:hAnsi="Calibri" w:cs="Calibri"/>
          <w:sz w:val="22"/>
          <w:szCs w:val="22"/>
        </w:rPr>
        <w:t xml:space="preserve"> expertise in research methodology when</w:t>
      </w:r>
      <w:r w:rsidRPr="00F00254" w:rsidR="00EF1D46">
        <w:rPr>
          <w:rFonts w:ascii="Calibri" w:hAnsi="Calibri" w:cs="Calibri"/>
          <w:sz w:val="22"/>
          <w:szCs w:val="22"/>
        </w:rPr>
        <w:t xml:space="preserve"> </w:t>
      </w:r>
      <w:r w:rsidRPr="00F00254">
        <w:rPr>
          <w:rFonts w:ascii="Calibri" w:hAnsi="Calibri" w:cs="Calibri"/>
          <w:sz w:val="22"/>
          <w:szCs w:val="22"/>
        </w:rPr>
        <w:t xml:space="preserve">developing the study design and data collection instruments. </w:t>
      </w:r>
    </w:p>
    <w:p w:rsidR="1A41A4D3" w:rsidRPr="00F00254" w:rsidP="00D4392E" w14:paraId="488F88DE" w14:textId="0F925FFF">
      <w:pPr>
        <w:spacing w:line="240" w:lineRule="auto"/>
        <w:rPr>
          <w:rFonts w:ascii="Calibri" w:hAnsi="Calibri" w:cs="Calibri"/>
          <w:sz w:val="22"/>
          <w:szCs w:val="22"/>
        </w:rPr>
      </w:pPr>
      <w:r w:rsidRPr="00F00254">
        <w:rPr>
          <w:rFonts w:ascii="Calibri" w:hAnsi="Calibri" w:cs="Calibri"/>
          <w:sz w:val="22"/>
          <w:szCs w:val="22"/>
        </w:rPr>
        <w:t>HRSA has contracted with Child Trends and James Bell Associates to conduct this project. Child Trends and James Bell Associates are responsible for the collection and analysis of all information described in this Information Collection Request.</w:t>
      </w:r>
    </w:p>
    <w:sect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31067" w:rsidP="00AA75B1" w14:paraId="00C82CFF" w14:textId="77777777">
      <w:pPr>
        <w:spacing w:after="0" w:line="240" w:lineRule="auto"/>
      </w:pPr>
      <w:r>
        <w:separator/>
      </w:r>
    </w:p>
  </w:endnote>
  <w:endnote w:type="continuationSeparator" w:id="1">
    <w:p w:rsidR="00131067" w:rsidP="00AA75B1" w14:paraId="436BC9CC" w14:textId="77777777">
      <w:pPr>
        <w:spacing w:after="0" w:line="240" w:lineRule="auto"/>
      </w:pPr>
      <w:r>
        <w:continuationSeparator/>
      </w:r>
    </w:p>
  </w:endnote>
  <w:endnote w:type="continuationNotice" w:id="2">
    <w:p w:rsidR="00131067" w14:paraId="654802C6" w14:textId="77777777">
      <w:pPr>
        <w:spacing w:after="0" w:line="240" w:lineRule="auto"/>
      </w:pPr>
    </w:p>
  </w:endnote>
  <w:endnote w:id="3">
    <w:p w:rsidR="0023439F" w14:paraId="042C5C58" w14:textId="43A614AC">
      <w:pPr>
        <w:pStyle w:val="EndnoteText"/>
      </w:pPr>
      <w:r>
        <w:rPr>
          <w:rStyle w:val="EndnoteReference"/>
        </w:rPr>
        <w:endnoteRef/>
      </w:r>
      <w:r>
        <w:t xml:space="preserve"> </w:t>
      </w:r>
      <w:r w:rsidRPr="006F4B9B" w:rsidR="006F4B9B">
        <w:rPr>
          <w:rFonts w:ascii="Calibri" w:hAnsi="Calibri" w:cs="Calibri"/>
          <w:color w:val="222222"/>
          <w:shd w:val="clear" w:color="auto" w:fill="FFFFFF"/>
        </w:rPr>
        <w:t>Hennink, M., &amp; Kaiser, B. N. (2022). Sample sizes for saturation in qualitative research: A systematic review of empirical tests. </w:t>
      </w:r>
      <w:r w:rsidRPr="006F4B9B" w:rsidR="006F4B9B">
        <w:rPr>
          <w:rFonts w:ascii="Calibri" w:hAnsi="Calibri" w:cs="Calibri"/>
          <w:i/>
          <w:iCs/>
          <w:color w:val="222222"/>
          <w:shd w:val="clear" w:color="auto" w:fill="FFFFFF"/>
        </w:rPr>
        <w:t>Social science &amp; medicine</w:t>
      </w:r>
      <w:r w:rsidRPr="006F4B9B" w:rsidR="006F4B9B">
        <w:rPr>
          <w:rFonts w:ascii="Calibri" w:hAnsi="Calibri" w:cs="Calibri"/>
          <w:color w:val="222222"/>
          <w:shd w:val="clear" w:color="auto" w:fill="FFFFFF"/>
        </w:rPr>
        <w:t>, </w:t>
      </w:r>
      <w:r w:rsidRPr="006F4B9B" w:rsidR="006F4B9B">
        <w:rPr>
          <w:rFonts w:ascii="Calibri" w:hAnsi="Calibri" w:cs="Calibri"/>
          <w:i/>
          <w:iCs/>
          <w:color w:val="222222"/>
          <w:shd w:val="clear" w:color="auto" w:fill="FFFFFF"/>
        </w:rPr>
        <w:t>292</w:t>
      </w:r>
      <w:r w:rsidRPr="006F4B9B" w:rsidR="006F4B9B">
        <w:rPr>
          <w:rFonts w:ascii="Calibri" w:hAnsi="Calibri" w:cs="Calibri"/>
          <w:color w:val="222222"/>
          <w:shd w:val="clear" w:color="auto" w:fill="FFFFFF"/>
        </w:rPr>
        <w:t>, 114523.</w:t>
      </w:r>
    </w:p>
  </w:endnote>
  <w:endnote w:id="4">
    <w:p w:rsidR="00AA75B1" w:rsidRPr="002F5C2D" w:rsidP="00AA75B1" w14:paraId="6D44B039" w14:textId="77777777">
      <w:pPr>
        <w:pStyle w:val="EndnoteText"/>
        <w:rPr>
          <w:rFonts w:ascii="Calibri" w:hAnsi="Calibri" w:cs="Calibri"/>
        </w:rPr>
      </w:pPr>
      <w:r w:rsidRPr="002F5C2D">
        <w:rPr>
          <w:rStyle w:val="EndnoteReference"/>
          <w:rFonts w:ascii="Calibri" w:hAnsi="Calibri" w:cs="Calibri"/>
        </w:rPr>
        <w:endnoteRef/>
      </w:r>
      <w:r w:rsidRPr="002F5C2D">
        <w:rPr>
          <w:rFonts w:ascii="Calibri" w:hAnsi="Calibri" w:cs="Calibri"/>
        </w:rPr>
        <w:t xml:space="preserve"> Health Resources and Services Administration Maternal and Child Health. (2023). FY 2022 Maternal, Infant, and Early Childhood Home Visiting awards. https://mchb.hrsa.gov/programs-impact/programs/home-visiting/fy-2023-miechv-awards</w:t>
      </w:r>
    </w:p>
  </w:endnote>
  <w:endnote w:id="5">
    <w:p w:rsidR="006417AE" w:rsidRPr="002F5C2D" w:rsidP="006417AE" w14:paraId="72DA5A03" w14:textId="77777777">
      <w:pPr>
        <w:pStyle w:val="EndnoteText"/>
        <w:rPr>
          <w:rFonts w:ascii="Calibri" w:hAnsi="Calibri" w:cs="Calibri"/>
        </w:rPr>
      </w:pPr>
      <w:r w:rsidRPr="002F5C2D">
        <w:rPr>
          <w:rStyle w:val="EndnoteReference"/>
          <w:rFonts w:ascii="Calibri" w:hAnsi="Calibri" w:cs="Calibri"/>
        </w:rPr>
        <w:endnoteRef/>
      </w:r>
      <w:r w:rsidRPr="002F5C2D">
        <w:rPr>
          <w:rFonts w:ascii="Calibri" w:hAnsi="Calibri" w:cs="Calibri"/>
        </w:rPr>
        <w:t xml:space="preserve"> Office of Early Childhood Development. (2023). Tribal home visiting grantees. https://www.acf.hhs.gov/ecd/tribal/tribal-home-visiting/thv-grantees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EB501D"/>
    <w:rsid w:val="000200DE"/>
    <w:rsid w:val="00024D41"/>
    <w:rsid w:val="00044F92"/>
    <w:rsid w:val="00051102"/>
    <w:rsid w:val="000574A9"/>
    <w:rsid w:val="00062CA6"/>
    <w:rsid w:val="000A53F4"/>
    <w:rsid w:val="000C269D"/>
    <w:rsid w:val="000F4E67"/>
    <w:rsid w:val="00110AAD"/>
    <w:rsid w:val="00116071"/>
    <w:rsid w:val="00125C89"/>
    <w:rsid w:val="00131067"/>
    <w:rsid w:val="00166E35"/>
    <w:rsid w:val="00185346"/>
    <w:rsid w:val="001872C0"/>
    <w:rsid w:val="00194B16"/>
    <w:rsid w:val="001A4165"/>
    <w:rsid w:val="001B0E21"/>
    <w:rsid w:val="001D3051"/>
    <w:rsid w:val="001E0EBC"/>
    <w:rsid w:val="001F225F"/>
    <w:rsid w:val="001F415A"/>
    <w:rsid w:val="002057A8"/>
    <w:rsid w:val="0021461A"/>
    <w:rsid w:val="00225B56"/>
    <w:rsid w:val="00226786"/>
    <w:rsid w:val="002335C9"/>
    <w:rsid w:val="0023439F"/>
    <w:rsid w:val="0024672F"/>
    <w:rsid w:val="00246931"/>
    <w:rsid w:val="00246FE0"/>
    <w:rsid w:val="00250B1B"/>
    <w:rsid w:val="00250FC3"/>
    <w:rsid w:val="00263A9D"/>
    <w:rsid w:val="0029436E"/>
    <w:rsid w:val="0029574A"/>
    <w:rsid w:val="002A0AC8"/>
    <w:rsid w:val="002C08C4"/>
    <w:rsid w:val="002C10DB"/>
    <w:rsid w:val="002C1F3A"/>
    <w:rsid w:val="002C5D33"/>
    <w:rsid w:val="002C6E73"/>
    <w:rsid w:val="002D407A"/>
    <w:rsid w:val="002D76AD"/>
    <w:rsid w:val="002E0744"/>
    <w:rsid w:val="002E12F1"/>
    <w:rsid w:val="002F5C2D"/>
    <w:rsid w:val="003111BA"/>
    <w:rsid w:val="00315794"/>
    <w:rsid w:val="003272C1"/>
    <w:rsid w:val="00330056"/>
    <w:rsid w:val="00334946"/>
    <w:rsid w:val="0034335D"/>
    <w:rsid w:val="00356C44"/>
    <w:rsid w:val="00366BDD"/>
    <w:rsid w:val="00375A67"/>
    <w:rsid w:val="00376B83"/>
    <w:rsid w:val="003925C2"/>
    <w:rsid w:val="0039334B"/>
    <w:rsid w:val="00395FE0"/>
    <w:rsid w:val="003A42DE"/>
    <w:rsid w:val="003A4404"/>
    <w:rsid w:val="003A7F5A"/>
    <w:rsid w:val="003B0E88"/>
    <w:rsid w:val="003B2B28"/>
    <w:rsid w:val="003D2A29"/>
    <w:rsid w:val="003F18DD"/>
    <w:rsid w:val="003F58BF"/>
    <w:rsid w:val="004070F8"/>
    <w:rsid w:val="00414DEC"/>
    <w:rsid w:val="00420125"/>
    <w:rsid w:val="00424F44"/>
    <w:rsid w:val="004336B0"/>
    <w:rsid w:val="004437DA"/>
    <w:rsid w:val="004545F2"/>
    <w:rsid w:val="004549C8"/>
    <w:rsid w:val="00455216"/>
    <w:rsid w:val="0046762B"/>
    <w:rsid w:val="004706F0"/>
    <w:rsid w:val="00475581"/>
    <w:rsid w:val="004A34C4"/>
    <w:rsid w:val="004A660B"/>
    <w:rsid w:val="004B7252"/>
    <w:rsid w:val="004C5BA5"/>
    <w:rsid w:val="004E27FD"/>
    <w:rsid w:val="005110F5"/>
    <w:rsid w:val="00513D8C"/>
    <w:rsid w:val="005205FB"/>
    <w:rsid w:val="005375D2"/>
    <w:rsid w:val="0054342A"/>
    <w:rsid w:val="0054394B"/>
    <w:rsid w:val="00547B93"/>
    <w:rsid w:val="00561D4C"/>
    <w:rsid w:val="005671A5"/>
    <w:rsid w:val="00576007"/>
    <w:rsid w:val="005870A1"/>
    <w:rsid w:val="005A7843"/>
    <w:rsid w:val="005B5D50"/>
    <w:rsid w:val="005D04E1"/>
    <w:rsid w:val="005D152E"/>
    <w:rsid w:val="005D352F"/>
    <w:rsid w:val="005D38E3"/>
    <w:rsid w:val="005D41EB"/>
    <w:rsid w:val="005D7AB6"/>
    <w:rsid w:val="005F4FF8"/>
    <w:rsid w:val="005F7F46"/>
    <w:rsid w:val="00615576"/>
    <w:rsid w:val="00622E9F"/>
    <w:rsid w:val="006417AE"/>
    <w:rsid w:val="0067019A"/>
    <w:rsid w:val="00675EF9"/>
    <w:rsid w:val="006764A9"/>
    <w:rsid w:val="00686E6B"/>
    <w:rsid w:val="00687496"/>
    <w:rsid w:val="006916FC"/>
    <w:rsid w:val="00693A83"/>
    <w:rsid w:val="006A47E1"/>
    <w:rsid w:val="006A6F0F"/>
    <w:rsid w:val="006B2811"/>
    <w:rsid w:val="006C3CFE"/>
    <w:rsid w:val="006C47C9"/>
    <w:rsid w:val="006C6660"/>
    <w:rsid w:val="006D7E36"/>
    <w:rsid w:val="006F148E"/>
    <w:rsid w:val="006F2385"/>
    <w:rsid w:val="006F4B9B"/>
    <w:rsid w:val="006F4E03"/>
    <w:rsid w:val="006F5DD2"/>
    <w:rsid w:val="00710F32"/>
    <w:rsid w:val="007110FD"/>
    <w:rsid w:val="007310F9"/>
    <w:rsid w:val="007515F5"/>
    <w:rsid w:val="00754839"/>
    <w:rsid w:val="00757F92"/>
    <w:rsid w:val="0076073E"/>
    <w:rsid w:val="0076471E"/>
    <w:rsid w:val="00770A93"/>
    <w:rsid w:val="00772A6A"/>
    <w:rsid w:val="007740A5"/>
    <w:rsid w:val="00780D4D"/>
    <w:rsid w:val="00794BAC"/>
    <w:rsid w:val="007B0467"/>
    <w:rsid w:val="007B20AE"/>
    <w:rsid w:val="007D4BDD"/>
    <w:rsid w:val="007D7439"/>
    <w:rsid w:val="007D7C8B"/>
    <w:rsid w:val="007F6251"/>
    <w:rsid w:val="008033D5"/>
    <w:rsid w:val="008066E6"/>
    <w:rsid w:val="00807D7E"/>
    <w:rsid w:val="0081566E"/>
    <w:rsid w:val="008208BC"/>
    <w:rsid w:val="008344D2"/>
    <w:rsid w:val="00835795"/>
    <w:rsid w:val="00836C28"/>
    <w:rsid w:val="0084134C"/>
    <w:rsid w:val="00847B19"/>
    <w:rsid w:val="00863954"/>
    <w:rsid w:val="008652E0"/>
    <w:rsid w:val="008831F5"/>
    <w:rsid w:val="008877D6"/>
    <w:rsid w:val="008903CB"/>
    <w:rsid w:val="008918E3"/>
    <w:rsid w:val="00894D5E"/>
    <w:rsid w:val="008A0ECE"/>
    <w:rsid w:val="008B360C"/>
    <w:rsid w:val="008D200E"/>
    <w:rsid w:val="008D3530"/>
    <w:rsid w:val="008E158C"/>
    <w:rsid w:val="008F0AF5"/>
    <w:rsid w:val="008F1735"/>
    <w:rsid w:val="008F71F8"/>
    <w:rsid w:val="009066C0"/>
    <w:rsid w:val="00923730"/>
    <w:rsid w:val="0092409B"/>
    <w:rsid w:val="00926280"/>
    <w:rsid w:val="009451B0"/>
    <w:rsid w:val="00950EFB"/>
    <w:rsid w:val="009759FE"/>
    <w:rsid w:val="00991397"/>
    <w:rsid w:val="0099454A"/>
    <w:rsid w:val="009A3D00"/>
    <w:rsid w:val="009A70D0"/>
    <w:rsid w:val="009A718E"/>
    <w:rsid w:val="009B4169"/>
    <w:rsid w:val="009B4EC9"/>
    <w:rsid w:val="009C7649"/>
    <w:rsid w:val="009D1311"/>
    <w:rsid w:val="009D5AC6"/>
    <w:rsid w:val="009E0D83"/>
    <w:rsid w:val="009E11BA"/>
    <w:rsid w:val="009F0EF7"/>
    <w:rsid w:val="009F5D99"/>
    <w:rsid w:val="00A14585"/>
    <w:rsid w:val="00A14DC1"/>
    <w:rsid w:val="00A153F3"/>
    <w:rsid w:val="00A36987"/>
    <w:rsid w:val="00A521B1"/>
    <w:rsid w:val="00A54414"/>
    <w:rsid w:val="00A552EA"/>
    <w:rsid w:val="00A623A7"/>
    <w:rsid w:val="00A83DF4"/>
    <w:rsid w:val="00A96C36"/>
    <w:rsid w:val="00AA08A5"/>
    <w:rsid w:val="00AA75B1"/>
    <w:rsid w:val="00AB56AF"/>
    <w:rsid w:val="00AB65E6"/>
    <w:rsid w:val="00AB740F"/>
    <w:rsid w:val="00AC0C2B"/>
    <w:rsid w:val="00AC68A6"/>
    <w:rsid w:val="00AC6B7E"/>
    <w:rsid w:val="00AD6A6C"/>
    <w:rsid w:val="00AE566F"/>
    <w:rsid w:val="00B00994"/>
    <w:rsid w:val="00B11AA8"/>
    <w:rsid w:val="00B2326E"/>
    <w:rsid w:val="00B30BE2"/>
    <w:rsid w:val="00B521FE"/>
    <w:rsid w:val="00B557E2"/>
    <w:rsid w:val="00B560CD"/>
    <w:rsid w:val="00B821A6"/>
    <w:rsid w:val="00BA0785"/>
    <w:rsid w:val="00BA44B6"/>
    <w:rsid w:val="00BA7620"/>
    <w:rsid w:val="00BB469F"/>
    <w:rsid w:val="00BD0CA5"/>
    <w:rsid w:val="00BD16E8"/>
    <w:rsid w:val="00BD7E16"/>
    <w:rsid w:val="00BE21B9"/>
    <w:rsid w:val="00BE6E57"/>
    <w:rsid w:val="00BF0193"/>
    <w:rsid w:val="00BF0854"/>
    <w:rsid w:val="00BF3D5B"/>
    <w:rsid w:val="00C03F36"/>
    <w:rsid w:val="00C1602C"/>
    <w:rsid w:val="00C429EC"/>
    <w:rsid w:val="00C4636E"/>
    <w:rsid w:val="00C54642"/>
    <w:rsid w:val="00C54848"/>
    <w:rsid w:val="00C64A32"/>
    <w:rsid w:val="00C75FA8"/>
    <w:rsid w:val="00CA50E5"/>
    <w:rsid w:val="00CA772F"/>
    <w:rsid w:val="00CB3942"/>
    <w:rsid w:val="00CC0EDC"/>
    <w:rsid w:val="00CC6AC5"/>
    <w:rsid w:val="00CD771F"/>
    <w:rsid w:val="00CE0873"/>
    <w:rsid w:val="00CE0D12"/>
    <w:rsid w:val="00CE3C7C"/>
    <w:rsid w:val="00CE7D5B"/>
    <w:rsid w:val="00CF2568"/>
    <w:rsid w:val="00D12DFF"/>
    <w:rsid w:val="00D21B80"/>
    <w:rsid w:val="00D24E25"/>
    <w:rsid w:val="00D4392E"/>
    <w:rsid w:val="00D53DA5"/>
    <w:rsid w:val="00D67AFC"/>
    <w:rsid w:val="00D76BF2"/>
    <w:rsid w:val="00D76C93"/>
    <w:rsid w:val="00D81EDB"/>
    <w:rsid w:val="00D97BBA"/>
    <w:rsid w:val="00DB48D6"/>
    <w:rsid w:val="00DB5179"/>
    <w:rsid w:val="00DC42C4"/>
    <w:rsid w:val="00DD3B3A"/>
    <w:rsid w:val="00DE21FD"/>
    <w:rsid w:val="00DE6174"/>
    <w:rsid w:val="00DF4E1C"/>
    <w:rsid w:val="00DF5B70"/>
    <w:rsid w:val="00E00892"/>
    <w:rsid w:val="00E04B0B"/>
    <w:rsid w:val="00E04CEC"/>
    <w:rsid w:val="00E07D2C"/>
    <w:rsid w:val="00E24D6C"/>
    <w:rsid w:val="00E30C82"/>
    <w:rsid w:val="00E4689D"/>
    <w:rsid w:val="00E52E3C"/>
    <w:rsid w:val="00E65AA2"/>
    <w:rsid w:val="00E75511"/>
    <w:rsid w:val="00E836B8"/>
    <w:rsid w:val="00E930CA"/>
    <w:rsid w:val="00E97674"/>
    <w:rsid w:val="00EA6C7C"/>
    <w:rsid w:val="00EB0650"/>
    <w:rsid w:val="00EC6965"/>
    <w:rsid w:val="00EE5481"/>
    <w:rsid w:val="00EE7E54"/>
    <w:rsid w:val="00EF1D46"/>
    <w:rsid w:val="00F00254"/>
    <w:rsid w:val="00F0192A"/>
    <w:rsid w:val="00F14EB2"/>
    <w:rsid w:val="00F2306C"/>
    <w:rsid w:val="00F57762"/>
    <w:rsid w:val="00F769F8"/>
    <w:rsid w:val="00F8459F"/>
    <w:rsid w:val="00F87731"/>
    <w:rsid w:val="00F87DFC"/>
    <w:rsid w:val="00FB2EB3"/>
    <w:rsid w:val="00FB2ECB"/>
    <w:rsid w:val="00FB6DC3"/>
    <w:rsid w:val="00FC1E85"/>
    <w:rsid w:val="00FD2A33"/>
    <w:rsid w:val="00FF358B"/>
    <w:rsid w:val="1A41A4D3"/>
    <w:rsid w:val="394A03C1"/>
    <w:rsid w:val="3F73EAB2"/>
    <w:rsid w:val="489273AC"/>
    <w:rsid w:val="4A2E440D"/>
    <w:rsid w:val="4CEB501D"/>
    <w:rsid w:val="5A6486DA"/>
    <w:rsid w:val="631592E5"/>
    <w:rsid w:val="6A0B5A69"/>
    <w:rsid w:val="71842D3C"/>
    <w:rsid w:val="7D4EAB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B50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848"/>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455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5BA5"/>
    <w:rPr>
      <w:sz w:val="16"/>
      <w:szCs w:val="16"/>
    </w:rPr>
  </w:style>
  <w:style w:type="paragraph" w:styleId="CommentText">
    <w:name w:val="annotation text"/>
    <w:basedOn w:val="Normal"/>
    <w:link w:val="CommentTextChar"/>
    <w:uiPriority w:val="99"/>
    <w:unhideWhenUsed/>
    <w:rsid w:val="004C5BA5"/>
    <w:pPr>
      <w:spacing w:line="240" w:lineRule="auto"/>
    </w:pPr>
    <w:rPr>
      <w:sz w:val="20"/>
      <w:szCs w:val="20"/>
    </w:rPr>
  </w:style>
  <w:style w:type="character" w:customStyle="1" w:styleId="CommentTextChar">
    <w:name w:val="Comment Text Char"/>
    <w:basedOn w:val="DefaultParagraphFont"/>
    <w:link w:val="CommentText"/>
    <w:uiPriority w:val="99"/>
    <w:rsid w:val="004C5BA5"/>
    <w:rPr>
      <w:sz w:val="20"/>
      <w:szCs w:val="20"/>
    </w:rPr>
  </w:style>
  <w:style w:type="paragraph" w:styleId="CommentSubject">
    <w:name w:val="annotation subject"/>
    <w:basedOn w:val="CommentText"/>
    <w:next w:val="CommentText"/>
    <w:link w:val="CommentSubjectChar"/>
    <w:uiPriority w:val="99"/>
    <w:semiHidden/>
    <w:unhideWhenUsed/>
    <w:rsid w:val="004C5BA5"/>
    <w:rPr>
      <w:b/>
      <w:bCs/>
    </w:rPr>
  </w:style>
  <w:style w:type="character" w:customStyle="1" w:styleId="CommentSubjectChar">
    <w:name w:val="Comment Subject Char"/>
    <w:basedOn w:val="CommentTextChar"/>
    <w:link w:val="CommentSubject"/>
    <w:uiPriority w:val="99"/>
    <w:semiHidden/>
    <w:rsid w:val="004C5BA5"/>
    <w:rPr>
      <w:b/>
      <w:bCs/>
      <w:sz w:val="20"/>
      <w:szCs w:val="20"/>
    </w:rPr>
  </w:style>
  <w:style w:type="paragraph" w:styleId="EndnoteText">
    <w:name w:val="endnote text"/>
    <w:basedOn w:val="Normal"/>
    <w:link w:val="EndnoteTextChar"/>
    <w:uiPriority w:val="99"/>
    <w:unhideWhenUsed/>
    <w:rsid w:val="00AA75B1"/>
    <w:pPr>
      <w:spacing w:after="0" w:line="240" w:lineRule="auto"/>
    </w:pPr>
    <w:rPr>
      <w:rFonts w:ascii="Lato" w:hAnsi="Lato"/>
      <w:sz w:val="20"/>
      <w:szCs w:val="20"/>
      <w:lang w:eastAsia="en-US"/>
    </w:rPr>
  </w:style>
  <w:style w:type="character" w:customStyle="1" w:styleId="EndnoteTextChar">
    <w:name w:val="Endnote Text Char"/>
    <w:basedOn w:val="DefaultParagraphFont"/>
    <w:link w:val="EndnoteText"/>
    <w:uiPriority w:val="99"/>
    <w:rsid w:val="00AA75B1"/>
    <w:rPr>
      <w:rFonts w:ascii="Lato" w:hAnsi="Lato"/>
      <w:sz w:val="20"/>
      <w:szCs w:val="20"/>
      <w:lang w:eastAsia="en-US"/>
    </w:rPr>
  </w:style>
  <w:style w:type="character" w:styleId="EndnoteReference">
    <w:name w:val="endnote reference"/>
    <w:basedOn w:val="DefaultParagraphFont"/>
    <w:uiPriority w:val="99"/>
    <w:unhideWhenUsed/>
    <w:rsid w:val="00AA75B1"/>
    <w:rPr>
      <w:vertAlign w:val="superscript"/>
    </w:rPr>
  </w:style>
  <w:style w:type="paragraph" w:styleId="Header">
    <w:name w:val="header"/>
    <w:basedOn w:val="Normal"/>
    <w:link w:val="HeaderChar"/>
    <w:uiPriority w:val="99"/>
    <w:unhideWhenUsed/>
    <w:rsid w:val="00470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6F0"/>
  </w:style>
  <w:style w:type="paragraph" w:styleId="Footer">
    <w:name w:val="footer"/>
    <w:basedOn w:val="Normal"/>
    <w:link w:val="FooterChar"/>
    <w:uiPriority w:val="99"/>
    <w:unhideWhenUsed/>
    <w:rsid w:val="00470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6F0"/>
  </w:style>
  <w:style w:type="paragraph" w:styleId="Revision">
    <w:name w:val="Revision"/>
    <w:hidden/>
    <w:uiPriority w:val="99"/>
    <w:semiHidden/>
    <w:rsid w:val="00166E35"/>
    <w:pPr>
      <w:spacing w:after="0" w:line="240" w:lineRule="auto"/>
    </w:pPr>
  </w:style>
  <w:style w:type="character" w:styleId="Mention">
    <w:name w:val="Mention"/>
    <w:basedOn w:val="DefaultParagraphFont"/>
    <w:uiPriority w:val="99"/>
    <w:unhideWhenUsed/>
    <w:rsid w:val="00A153F3"/>
    <w:rPr>
      <w:color w:val="2B579A"/>
      <w:shd w:val="clear" w:color="auto" w:fill="E1DFDD"/>
    </w:rPr>
  </w:style>
  <w:style w:type="character" w:styleId="Hyperlink">
    <w:name w:val="Hyperlink"/>
    <w:basedOn w:val="DefaultParagraphFont"/>
    <w:uiPriority w:val="99"/>
    <w:unhideWhenUsed/>
    <w:rsid w:val="0076073E"/>
    <w:rPr>
      <w:color w:val="467886" w:themeColor="hyperlink"/>
      <w:u w:val="single"/>
    </w:rPr>
  </w:style>
  <w:style w:type="character" w:styleId="UnresolvedMention">
    <w:name w:val="Unresolved Mention"/>
    <w:basedOn w:val="DefaultParagraphFont"/>
    <w:uiPriority w:val="99"/>
    <w:semiHidden/>
    <w:unhideWhenUsed/>
    <w:rsid w:val="0076073E"/>
    <w:rPr>
      <w:color w:val="605E5C"/>
      <w:shd w:val="clear" w:color="auto" w:fill="E1DFDD"/>
    </w:rPr>
  </w:style>
  <w:style w:type="character" w:customStyle="1" w:styleId="cf01">
    <w:name w:val="cf01"/>
    <w:basedOn w:val="DefaultParagraphFont"/>
    <w:rsid w:val="008903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2" ma:contentTypeDescription="Create a new document." ma:contentTypeScope="" ma:versionID="3267863377206b37f167fafb3c10bbf5">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37db0a92ab763ebdafbe7d9fe14ce0fa"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PersonResponsible xmlns="08c46ab1-79c2-41f2-85cd-dc2be6a31754" xsi:nil="true"/>
    <Document_x0020_type xmlns="08c46ab1-79c2-41f2-85cd-dc2be6a31754" xsi:nil="true"/>
    <_dlc_DocId xmlns="f12dafca-ffd2-47b9-a7dc-ea73860b958a">CHY75YFUAV2K-1400183454-24386</_dlc_DocId>
    <_dlc_DocIdUrl xmlns="f12dafca-ffd2-47b9-a7dc-ea73860b958a">
      <Url>https://nih.sharepoint.com/sites/HRSA-MCHB/MCHB-Team/DHVECS/_layouts/15/DocIdRedir.aspx?ID=CHY75YFUAV2K-1400183454-24386</Url>
      <Description>CHY75YFUAV2K-1400183454-24386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Hen22</b:Tag>
    <b:SourceType>JournalArticle</b:SourceType>
    <b:Guid>{B8DC0210-3DC8-42AF-AF66-18E751B0B41C}</b:Guid>
    <b:Author>
      <b:Author>
        <b:NameList>
          <b:Person>
            <b:Last>Hennink</b:Last>
            <b:First>Monique</b:First>
          </b:Person>
          <b:Person>
            <b:Last>Kaiser</b:Last>
            <b:First>Bonnie</b:First>
            <b:Middle>N.</b:Middle>
          </b:Person>
        </b:NameList>
      </b:Author>
    </b:Author>
    <b:Title>Sample sizes for saturation in qualitative research: A systematic review of empirical tests</b:Title>
    <b:JournalName>Social Science and Medicine</b:JournalName>
    <b:Year>2022</b:Year>
    <b:RefOrder>1</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547C6-40C8-4856-9EA6-3DC12ABC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28B1E-DC0A-4212-8F9D-CCB51B92B365}">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08c46ab1-79c2-41f2-85cd-dc2be6a31754"/>
    <ds:schemaRef ds:uri="http://www.w3.org/XML/1998/namespace"/>
    <ds:schemaRef ds:uri="f12dafca-ffd2-47b9-a7dc-ea73860b958a"/>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9C6FDB13-6DED-49F7-83BF-0D3908F8ECEA}">
  <ds:schemaRefs>
    <ds:schemaRef ds:uri="http://schemas.openxmlformats.org/officeDocument/2006/bibliography"/>
  </ds:schemaRefs>
</ds:datastoreItem>
</file>

<file path=customXml/itemProps4.xml><?xml version="1.0" encoding="utf-8"?>
<ds:datastoreItem xmlns:ds="http://schemas.openxmlformats.org/officeDocument/2006/customXml" ds:itemID="{3EE7526D-9AFD-47CE-B6BB-8B7698FAAB2C}">
  <ds:schemaRefs>
    <ds:schemaRef ds:uri="http://schemas.microsoft.com/sharepoint/events"/>
  </ds:schemaRefs>
</ds:datastoreItem>
</file>

<file path=customXml/itemProps5.xml><?xml version="1.0" encoding="utf-8"?>
<ds:datastoreItem xmlns:ds="http://schemas.openxmlformats.org/officeDocument/2006/customXml" ds:itemID="{56EB0F11-0ED7-41D9-89B7-0836AEF4EB6C}">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2024-08-01T17:07:00Z</dcterms:created>
  <dcterms:modified xsi:type="dcterms:W3CDTF">2024-08-01T17:07:00Z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02ecbaa4-8c93-43d0-bdd8-21aedeaeeceb</vt:lpwstr>
  </property>
</Properties>
</file>