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F48BD" w14:paraId="0393FC5E" w14:textId="77777777">
      <w:pPr>
        <w:pStyle w:val="BodyText"/>
        <w:spacing w:before="60"/>
        <w:ind w:left="945" w:right="987"/>
        <w:jc w:val="center"/>
      </w:pPr>
      <w:r>
        <w:t>UNITED</w:t>
      </w:r>
      <w:r>
        <w:rPr>
          <w:spacing w:val="-6"/>
        </w:rPr>
        <w:t xml:space="preserve"> </w:t>
      </w:r>
      <w:r>
        <w:t>STATES</w:t>
      </w:r>
      <w:r>
        <w:rPr>
          <w:spacing w:val="-4"/>
        </w:rPr>
        <w:t xml:space="preserve"> </w:t>
      </w:r>
      <w:r>
        <w:t>FOOD</w:t>
      </w:r>
      <w:r>
        <w:rPr>
          <w:spacing w:val="-3"/>
        </w:rPr>
        <w:t xml:space="preserve"> </w:t>
      </w:r>
      <w:r>
        <w:t>&amp;</w:t>
      </w:r>
      <w:r>
        <w:rPr>
          <w:spacing w:val="-4"/>
        </w:rPr>
        <w:t xml:space="preserve"> </w:t>
      </w:r>
      <w:r>
        <w:t>DRUG</w:t>
      </w:r>
      <w:r>
        <w:rPr>
          <w:spacing w:val="-3"/>
        </w:rPr>
        <w:t xml:space="preserve"> </w:t>
      </w:r>
      <w:r>
        <w:rPr>
          <w:spacing w:val="-2"/>
        </w:rPr>
        <w:t>ADMINISTRATION</w:t>
      </w:r>
    </w:p>
    <w:p w:rsidR="004F48BD" w14:paraId="5F455998" w14:textId="77777777">
      <w:pPr>
        <w:pStyle w:val="BodyText"/>
      </w:pPr>
    </w:p>
    <w:p w:rsidR="0099198D" w14:paraId="38287816" w14:textId="0393A91E">
      <w:pPr>
        <w:pStyle w:val="BodyText"/>
        <w:ind w:left="945" w:right="987"/>
        <w:jc w:val="center"/>
        <w:rPr>
          <w:spacing w:val="-5"/>
        </w:rPr>
      </w:pPr>
      <w:r w:rsidRPr="0099198D">
        <w:rPr>
          <w:u w:val="single"/>
        </w:rPr>
        <w:t>OMB</w:t>
      </w:r>
      <w:r w:rsidRPr="0099198D">
        <w:rPr>
          <w:spacing w:val="-5"/>
          <w:u w:val="single"/>
        </w:rPr>
        <w:t xml:space="preserve"> </w:t>
      </w:r>
      <w:r w:rsidRPr="0099198D">
        <w:rPr>
          <w:u w:val="single"/>
        </w:rPr>
        <w:t>Control</w:t>
      </w:r>
      <w:r w:rsidRPr="0099198D">
        <w:rPr>
          <w:spacing w:val="-5"/>
          <w:u w:val="single"/>
        </w:rPr>
        <w:t xml:space="preserve"> </w:t>
      </w:r>
      <w:r w:rsidRPr="0099198D">
        <w:rPr>
          <w:u w:val="single"/>
        </w:rPr>
        <w:t>No.</w:t>
      </w:r>
      <w:r w:rsidRPr="0099198D">
        <w:rPr>
          <w:spacing w:val="-5"/>
          <w:u w:val="single"/>
        </w:rPr>
        <w:t xml:space="preserve"> </w:t>
      </w:r>
      <w:r w:rsidRPr="0099198D">
        <w:rPr>
          <w:u w:val="single"/>
        </w:rPr>
        <w:t>0910-0256</w:t>
      </w:r>
      <w:r>
        <w:rPr>
          <w:spacing w:val="-5"/>
        </w:rPr>
        <w:t xml:space="preserve"> </w:t>
      </w:r>
      <w:r>
        <w:t>–</w:t>
      </w:r>
      <w:r>
        <w:rPr>
          <w:spacing w:val="-5"/>
        </w:rPr>
        <w:t xml:space="preserve"> </w:t>
      </w:r>
    </w:p>
    <w:p w:rsidR="0099198D" w14:paraId="55786B11" w14:textId="77777777">
      <w:pPr>
        <w:pStyle w:val="BodyText"/>
        <w:ind w:left="945" w:right="987"/>
        <w:jc w:val="center"/>
      </w:pPr>
    </w:p>
    <w:p w:rsidR="004F48BD" w14:paraId="028B05F2" w14:textId="6CB777B6">
      <w:pPr>
        <w:pStyle w:val="BodyText"/>
        <w:ind w:left="945" w:right="987"/>
        <w:jc w:val="center"/>
      </w:pPr>
      <w:r>
        <w:t>Infant</w:t>
      </w:r>
      <w:r>
        <w:rPr>
          <w:spacing w:val="-5"/>
        </w:rPr>
        <w:t xml:space="preserve"> </w:t>
      </w:r>
      <w:r>
        <w:t>Formula</w:t>
      </w:r>
      <w:r>
        <w:rPr>
          <w:spacing w:val="-5"/>
        </w:rPr>
        <w:t xml:space="preserve"> </w:t>
      </w:r>
      <w:r>
        <w:t>Requirements</w:t>
      </w:r>
      <w:r w:rsidR="0099198D">
        <w:t xml:space="preserve"> and </w:t>
      </w:r>
      <w:r>
        <w:t>Exempt Infant Formula</w:t>
      </w:r>
    </w:p>
    <w:p w:rsidR="004F48BD" w14:paraId="2A6FD3B5" w14:textId="77777777">
      <w:pPr>
        <w:pStyle w:val="BodyText"/>
      </w:pPr>
    </w:p>
    <w:p w:rsidR="004F48BD" w14:paraId="1F19827A" w14:textId="77777777">
      <w:pPr>
        <w:pStyle w:val="BodyText"/>
      </w:pPr>
    </w:p>
    <w:p w:rsidR="004F48BD" w:rsidP="00EF1BA2" w14:paraId="30AF43E2" w14:textId="6369C3E6">
      <w:pPr>
        <w:pStyle w:val="BodyText"/>
      </w:pPr>
      <w:r w:rsidRPr="0099198D">
        <w:rPr>
          <w:b/>
          <w:bCs/>
        </w:rPr>
        <w:t>REQUEST</w:t>
      </w:r>
      <w:r w:rsidRPr="0099198D">
        <w:rPr>
          <w:b/>
          <w:bCs/>
          <w:spacing w:val="-5"/>
        </w:rPr>
        <w:t xml:space="preserve"> </w:t>
      </w:r>
      <w:r w:rsidRPr="0099198D">
        <w:rPr>
          <w:b/>
          <w:bCs/>
        </w:rPr>
        <w:t>FOR</w:t>
      </w:r>
      <w:r w:rsidRPr="0099198D">
        <w:rPr>
          <w:b/>
          <w:bCs/>
          <w:spacing w:val="-5"/>
        </w:rPr>
        <w:t xml:space="preserve"> </w:t>
      </w:r>
      <w:r w:rsidRPr="0099198D">
        <w:rPr>
          <w:b/>
          <w:bCs/>
        </w:rPr>
        <w:t>NON-MATERIAL</w:t>
      </w:r>
      <w:r w:rsidRPr="0099198D">
        <w:rPr>
          <w:b/>
          <w:bCs/>
          <w:spacing w:val="-5"/>
        </w:rPr>
        <w:t xml:space="preserve"> </w:t>
      </w:r>
      <w:r w:rsidRPr="0099198D">
        <w:rPr>
          <w:b/>
          <w:bCs/>
        </w:rPr>
        <w:t>CHANGE</w:t>
      </w:r>
      <w:r>
        <w:rPr>
          <w:spacing w:val="-2"/>
        </w:rPr>
        <w:t>:</w:t>
      </w:r>
    </w:p>
    <w:p w:rsidR="004F48BD" w14:paraId="7ECF8EB3" w14:textId="77777777">
      <w:pPr>
        <w:pStyle w:val="BodyText"/>
        <w:rPr>
          <w:b/>
        </w:rPr>
      </w:pPr>
    </w:p>
    <w:p w:rsidR="004546FE" w:rsidRPr="004546FE" w:rsidP="00EF1BA2" w14:paraId="09E161DB" w14:textId="449F45A5">
      <w:pPr>
        <w:pStyle w:val="BodyText"/>
        <w:ind w:right="202"/>
        <w:rPr>
          <w:i/>
          <w:iCs/>
        </w:rPr>
      </w:pPr>
      <w:r w:rsidRPr="004546FE">
        <w:rPr>
          <w:i/>
          <w:iCs/>
        </w:rPr>
        <w:t xml:space="preserve">Background – </w:t>
      </w:r>
    </w:p>
    <w:p w:rsidR="004546FE" w:rsidP="00EF1BA2" w14:paraId="7D95DED8" w14:textId="77777777">
      <w:pPr>
        <w:pStyle w:val="BodyText"/>
        <w:ind w:right="202"/>
      </w:pPr>
    </w:p>
    <w:p w:rsidR="004F48BD" w:rsidP="00EF1BA2" w14:paraId="2EE10627" w14:textId="2A451A3C">
      <w:pPr>
        <w:pStyle w:val="BodyText"/>
        <w:ind w:right="202"/>
      </w:pPr>
      <w:r>
        <w:t>The referenced information collection support</w:t>
      </w:r>
      <w:r w:rsidR="0099198D">
        <w:t>s</w:t>
      </w:r>
      <w:r>
        <w:t xml:space="preserve"> </w:t>
      </w:r>
      <w:r w:rsidR="0099198D">
        <w:t>implementation of statutory and regulatory authorities that govern infant formula.</w:t>
      </w:r>
      <w:r w:rsidR="0099198D">
        <w:rPr>
          <w:spacing w:val="-3"/>
        </w:rPr>
        <w:t xml:space="preserve">  Specifically, </w:t>
      </w:r>
      <w:r>
        <w:t>21</w:t>
      </w:r>
      <w:r>
        <w:rPr>
          <w:spacing w:val="-3"/>
        </w:rPr>
        <w:t xml:space="preserve"> </w:t>
      </w:r>
      <w:r>
        <w:t>CFR</w:t>
      </w:r>
      <w:r>
        <w:rPr>
          <w:spacing w:val="-3"/>
        </w:rPr>
        <w:t xml:space="preserve"> </w:t>
      </w:r>
      <w:r>
        <w:t xml:space="preserve">part 106 prescribes the steps manufacturers must take under section 412(b)(2) and (b)(3) of the Federal Food, Drug, and Cosmetic Act (21 U.S.C. 350a(b)(2) and (b)(3)) in </w:t>
      </w:r>
      <w:r w:rsidRPr="0099198D">
        <w:rPr>
          <w:i/>
          <w:iCs/>
          <w:u w:val="single"/>
        </w:rPr>
        <w:t>processing</w:t>
      </w:r>
      <w:r>
        <w:rPr>
          <w:spacing w:val="-2"/>
        </w:rPr>
        <w:t xml:space="preserve"> </w:t>
      </w:r>
      <w:r>
        <w:t>infant</w:t>
      </w:r>
      <w:r>
        <w:rPr>
          <w:spacing w:val="-1"/>
        </w:rPr>
        <w:t xml:space="preserve"> </w:t>
      </w:r>
      <w:r>
        <w:t>formula.</w:t>
      </w:r>
      <w:r>
        <w:rPr>
          <w:spacing w:val="40"/>
        </w:rPr>
        <w:t xml:space="preserve"> </w:t>
      </w:r>
      <w:r>
        <w:t>If</w:t>
      </w:r>
      <w:r>
        <w:rPr>
          <w:spacing w:val="-1"/>
        </w:rPr>
        <w:t xml:space="preserve"> </w:t>
      </w:r>
      <w:r>
        <w:t>the</w:t>
      </w:r>
      <w:r>
        <w:rPr>
          <w:spacing w:val="-1"/>
        </w:rPr>
        <w:t xml:space="preserve"> </w:t>
      </w:r>
      <w:r w:rsidRPr="0099198D">
        <w:rPr>
          <w:i/>
          <w:iCs/>
          <w:u w:val="single"/>
        </w:rPr>
        <w:t>processing</w:t>
      </w:r>
      <w:r>
        <w:rPr>
          <w:spacing w:val="-1"/>
        </w:rPr>
        <w:t xml:space="preserve"> </w:t>
      </w:r>
      <w:r>
        <w:t>of</w:t>
      </w:r>
      <w:r>
        <w:rPr>
          <w:spacing w:val="-1"/>
        </w:rPr>
        <w:t xml:space="preserve"> </w:t>
      </w:r>
      <w:r>
        <w:t>the</w:t>
      </w:r>
      <w:r>
        <w:rPr>
          <w:spacing w:val="-1"/>
        </w:rPr>
        <w:t xml:space="preserve"> </w:t>
      </w:r>
      <w:r>
        <w:t>formula</w:t>
      </w:r>
      <w:r>
        <w:rPr>
          <w:spacing w:val="-1"/>
        </w:rPr>
        <w:t xml:space="preserve"> </w:t>
      </w:r>
      <w:r>
        <w:t>does</w:t>
      </w:r>
      <w:r>
        <w:rPr>
          <w:spacing w:val="-2"/>
        </w:rPr>
        <w:t xml:space="preserve"> </w:t>
      </w:r>
      <w:r>
        <w:t>not</w:t>
      </w:r>
      <w:r>
        <w:rPr>
          <w:spacing w:val="-1"/>
        </w:rPr>
        <w:t xml:space="preserve"> </w:t>
      </w:r>
      <w:r>
        <w:t>comply</w:t>
      </w:r>
      <w:r>
        <w:rPr>
          <w:spacing w:val="-1"/>
        </w:rPr>
        <w:t xml:space="preserve"> </w:t>
      </w:r>
      <w:r>
        <w:t>with</w:t>
      </w:r>
      <w:r>
        <w:rPr>
          <w:spacing w:val="-1"/>
        </w:rPr>
        <w:t xml:space="preserve"> </w:t>
      </w:r>
      <w:r>
        <w:t>any</w:t>
      </w:r>
      <w:r>
        <w:rPr>
          <w:spacing w:val="-1"/>
        </w:rPr>
        <w:t xml:space="preserve"> </w:t>
      </w:r>
      <w:r>
        <w:t xml:space="preserve">of the applicable regulations, the infant formula will be deemed to be </w:t>
      </w:r>
      <w:r w:rsidRPr="0099198D">
        <w:rPr>
          <w:b/>
          <w:bCs/>
        </w:rPr>
        <w:t>adulterated</w:t>
      </w:r>
      <w:r>
        <w:t xml:space="preserve"> under section 412(a)(3) of the Federal Food, Drug, and Cosmetic Act.</w:t>
      </w:r>
      <w:r w:rsidR="0099198D">
        <w:t xml:space="preserve">  </w:t>
      </w:r>
      <w:r>
        <w:t>Re</w:t>
      </w:r>
      <w:r w:rsidR="00F12EF7">
        <w:t xml:space="preserve">gulations </w:t>
      </w:r>
      <w:r>
        <w:t xml:space="preserve">21 CFR part 107 sets forth the </w:t>
      </w:r>
      <w:r w:rsidRPr="0099198D">
        <w:rPr>
          <w:i/>
          <w:iCs/>
          <w:u w:val="single"/>
        </w:rPr>
        <w:t>labeling</w:t>
      </w:r>
      <w:r>
        <w:t xml:space="preserve"> requirements applicable to infant formula under section 403 of the Federal Food, Drug, and Cosmetic Act </w:t>
      </w:r>
      <w:r w:rsidR="00B0694D">
        <w:t xml:space="preserve">(FD&amp;C Act) </w:t>
      </w:r>
      <w:r>
        <w:t>(21 U.S.C 343).</w:t>
      </w:r>
      <w:r w:rsidR="0099198D">
        <w:t xml:space="preserve">  </w:t>
      </w:r>
      <w:r>
        <w:t xml:space="preserve">Failure to comply with any of the applicable regulations will render an infant formula </w:t>
      </w:r>
      <w:r w:rsidRPr="0099198D">
        <w:rPr>
          <w:b/>
          <w:bCs/>
        </w:rPr>
        <w:t>misbranded</w:t>
      </w:r>
      <w:r>
        <w:rPr>
          <w:spacing w:val="-3"/>
        </w:rPr>
        <w:t xml:space="preserve"> </w:t>
      </w:r>
      <w:r>
        <w:t>under</w:t>
      </w:r>
      <w:r>
        <w:rPr>
          <w:spacing w:val="-3"/>
        </w:rPr>
        <w:t xml:space="preserve"> </w:t>
      </w:r>
      <w:r>
        <w:t>section</w:t>
      </w:r>
      <w:r>
        <w:rPr>
          <w:spacing w:val="-3"/>
        </w:rPr>
        <w:t xml:space="preserve"> </w:t>
      </w:r>
      <w:r>
        <w:t>403</w:t>
      </w:r>
      <w:r>
        <w:rPr>
          <w:spacing w:val="-3"/>
        </w:rPr>
        <w:t xml:space="preserve"> </w:t>
      </w:r>
      <w:r>
        <w:t>of</w:t>
      </w:r>
      <w:r>
        <w:rPr>
          <w:spacing w:val="-3"/>
        </w:rPr>
        <w:t xml:space="preserve"> </w:t>
      </w:r>
      <w:r>
        <w:t>the</w:t>
      </w:r>
      <w:r>
        <w:rPr>
          <w:spacing w:val="-4"/>
        </w:rPr>
        <w:t xml:space="preserve"> </w:t>
      </w:r>
      <w:r>
        <w:t>Federal</w:t>
      </w:r>
      <w:r>
        <w:rPr>
          <w:spacing w:val="-3"/>
        </w:rPr>
        <w:t xml:space="preserve"> </w:t>
      </w:r>
      <w:r>
        <w:t>Food,</w:t>
      </w:r>
      <w:r>
        <w:rPr>
          <w:spacing w:val="-3"/>
        </w:rPr>
        <w:t xml:space="preserve"> </w:t>
      </w:r>
      <w:r>
        <w:t>Drug,</w:t>
      </w:r>
      <w:r>
        <w:rPr>
          <w:spacing w:val="-3"/>
        </w:rPr>
        <w:t xml:space="preserve"> </w:t>
      </w:r>
      <w:r>
        <w:t>and</w:t>
      </w:r>
      <w:r>
        <w:rPr>
          <w:spacing w:val="-3"/>
        </w:rPr>
        <w:t xml:space="preserve"> </w:t>
      </w:r>
      <w:r>
        <w:t>Cosmetic</w:t>
      </w:r>
      <w:r>
        <w:rPr>
          <w:spacing w:val="-3"/>
        </w:rPr>
        <w:t xml:space="preserve"> </w:t>
      </w:r>
      <w:r>
        <w:t>Act.</w:t>
      </w:r>
    </w:p>
    <w:p w:rsidR="0099198D" w:rsidP="00EF1BA2" w14:paraId="4B0E22E6" w14:textId="77777777">
      <w:pPr>
        <w:pStyle w:val="BodyText"/>
        <w:ind w:right="202"/>
      </w:pPr>
    </w:p>
    <w:p w:rsidR="004F48BD" w:rsidP="00EF1BA2" w14:paraId="22849B55" w14:textId="46EFC405">
      <w:pPr>
        <w:pStyle w:val="BodyText"/>
        <w:ind w:right="202"/>
      </w:pPr>
      <w:r>
        <w:t>In early 2019, with the onset of the COVID-19 Public Health Emergency (PHE), FDA</w:t>
      </w:r>
      <w:r w:rsidR="00B93DF8">
        <w:t xml:space="preserve"> began</w:t>
      </w:r>
      <w:r>
        <w:t xml:space="preserve"> modifying the information collection by expanding the scope of activity </w:t>
      </w:r>
      <w:r w:rsidR="00B93DF8">
        <w:t>and accounting for activity attendant to exempt infant formula regulations in 21 part 107, along with the associated guidance document</w:t>
      </w:r>
      <w:r w:rsidRPr="00B93DF8" w:rsidR="00B93DF8">
        <w:t>, “</w:t>
      </w:r>
      <w:r w:rsidRPr="00B93DF8" w:rsidR="00B93DF8">
        <w:rPr>
          <w:i/>
          <w:iCs/>
        </w:rPr>
        <w:t>Exempt Infant Formula Production: Current Good Manufacturing Practices (CGMPs)</w:t>
      </w:r>
      <w:r w:rsidR="00B93DF8">
        <w:t>,” (April 2016).</w:t>
      </w:r>
      <w:r w:rsidR="00320B16">
        <w:t xml:space="preserve">  </w:t>
      </w:r>
      <w:r w:rsidR="00B93DF8">
        <w:t>Next</w:t>
      </w:r>
      <w:r w:rsidR="001C2737">
        <w:t xml:space="preserve"> in 2022</w:t>
      </w:r>
      <w:r w:rsidR="00B93DF8">
        <w:t xml:space="preserve">, subsequent to the 2021 renewal cycle, we revised the information collection </w:t>
      </w:r>
      <w:r w:rsidR="001C2737">
        <w:t xml:space="preserve">as part of the Federal government’s response to address ongoing </w:t>
      </w:r>
      <w:r w:rsidRPr="00EB5640" w:rsidR="001C2737">
        <w:rPr>
          <w:i/>
          <w:iCs/>
          <w:u w:val="single"/>
        </w:rPr>
        <w:t>disruptions in the infant formula supply</w:t>
      </w:r>
      <w:r w:rsidR="001C2737">
        <w:t>.  We communicated our initial efforts to address the infant formula shortage in the May 2022 guidance document “</w:t>
      </w:r>
      <w:r w:rsidRPr="001C2737" w:rsidR="001C2737">
        <w:rPr>
          <w:i/>
          <w:iCs/>
        </w:rPr>
        <w:t>Infant Formula Enforcement Discretion Policy:  Guidance for Industry</w:t>
      </w:r>
      <w:r w:rsidR="001C2737">
        <w:t>” (Enforcement Discretion Guidance)</w:t>
      </w:r>
      <w:r w:rsidR="00D705E5">
        <w:t>;</w:t>
      </w:r>
      <w:r w:rsidR="001C2737">
        <w:t xml:space="preserve"> and clarified whether products currently subject to </w:t>
      </w:r>
      <w:r w:rsidR="00D705E5">
        <w:t xml:space="preserve">FDA’s </w:t>
      </w:r>
      <w:r w:rsidR="001C2737">
        <w:t>current enforcement discretion policy would be able to remain on the market in the guidance document, “</w:t>
      </w:r>
      <w:r w:rsidRPr="001C2737" w:rsidR="001C2737">
        <w:rPr>
          <w:i/>
          <w:iCs/>
        </w:rPr>
        <w:t>Infant Formula Transition Plan for Exercise of Enforcement Discretion:  Guidance for Industry</w:t>
      </w:r>
      <w:r w:rsidR="001C2737">
        <w:t>” (Infant Formula Transition Plan Guidance).  We also communicated efforts to leverage information already received for products over which we are temporarily exercising enforcement discretion (see Section III, Guiding Principles (p. 6)).</w:t>
      </w:r>
    </w:p>
    <w:p w:rsidR="001C2737" w:rsidP="00EF1BA2" w14:paraId="2182AD12" w14:textId="77777777">
      <w:pPr>
        <w:pStyle w:val="BodyText"/>
        <w:ind w:right="202"/>
      </w:pPr>
    </w:p>
    <w:p w:rsidR="004232CF" w:rsidP="00EF1BA2" w14:paraId="40C0E499" w14:textId="5811D53F">
      <w:pPr>
        <w:pStyle w:val="BodyText"/>
        <w:ind w:right="202"/>
      </w:pPr>
      <w:r>
        <w:t xml:space="preserve">In December 2022, </w:t>
      </w:r>
      <w:r w:rsidR="00394F21">
        <w:t>continu</w:t>
      </w:r>
      <w:r w:rsidR="00D92759">
        <w:t>ing efforts</w:t>
      </w:r>
      <w:r w:rsidR="00394F21">
        <w:t xml:space="preserve"> to </w:t>
      </w:r>
      <w:r w:rsidR="006F2CE7">
        <w:t xml:space="preserve">protect infants and improve formula supply, </w:t>
      </w:r>
      <w:r>
        <w:t xml:space="preserve">the </w:t>
      </w:r>
      <w:r w:rsidRPr="008D6343">
        <w:rPr>
          <w:i/>
          <w:iCs/>
        </w:rPr>
        <w:t>Consolidated Appropriations Act, 2023</w:t>
      </w:r>
      <w:r w:rsidR="006F2CE7">
        <w:t xml:space="preserve"> (Pub. Law 117-328)</w:t>
      </w:r>
      <w:r w:rsidR="00BA423B">
        <w:t xml:space="preserve"> – Sec. 3401 provide</w:t>
      </w:r>
      <w:r w:rsidR="00C67E27">
        <w:t>d</w:t>
      </w:r>
      <w:r w:rsidR="00BA423B">
        <w:t xml:space="preserve"> for premarket</w:t>
      </w:r>
      <w:r w:rsidR="008B6947">
        <w:t xml:space="preserve"> submissions to </w:t>
      </w:r>
      <w:r w:rsidR="00155820">
        <w:t xml:space="preserve">FDA to </w:t>
      </w:r>
      <w:r w:rsidR="008B6947">
        <w:t>address shortages.</w:t>
      </w:r>
      <w:r>
        <w:t xml:space="preserve">  Specifically, at </w:t>
      </w:r>
      <w:r w:rsidR="00B90E39">
        <w:t xml:space="preserve">section </w:t>
      </w:r>
      <w:r w:rsidR="00DF4F96">
        <w:t>3401(g)</w:t>
      </w:r>
      <w:r>
        <w:t>(5)</w:t>
      </w:r>
      <w:r w:rsidR="00DF4F96">
        <w:t>, the statute provides for guidance</w:t>
      </w:r>
      <w:r w:rsidR="004F1BBE">
        <w:t xml:space="preserve"> </w:t>
      </w:r>
      <w:r>
        <w:t>regarding information sponsors may consider including in</w:t>
      </w:r>
    </w:p>
    <w:p w:rsidR="0001765C" w:rsidP="00EF1BA2" w14:paraId="6790589A" w14:textId="16048646">
      <w:pPr>
        <w:pStyle w:val="BodyText"/>
        <w:ind w:right="202"/>
      </w:pPr>
      <w:r>
        <w:t xml:space="preserve">submissions </w:t>
      </w:r>
      <w:r w:rsidR="00B0694D">
        <w:t xml:space="preserve">as </w:t>
      </w:r>
      <w:r>
        <w:t>required under section 412</w:t>
      </w:r>
      <w:r w:rsidR="00B0694D">
        <w:t xml:space="preserve"> of </w:t>
      </w:r>
      <w:r>
        <w:t xml:space="preserve">the </w:t>
      </w:r>
      <w:r w:rsidR="00B0694D">
        <w:t xml:space="preserve">FD&amp;C Act </w:t>
      </w:r>
      <w:r w:rsidR="00007065">
        <w:t xml:space="preserve">.  Currently we communicate on our website </w:t>
      </w:r>
      <w:r w:rsidR="004640C6">
        <w:t xml:space="preserve">at </w:t>
      </w:r>
      <w:hyperlink r:id="rId4" w:anchor="export" w:history="1">
        <w:r w:rsidRPr="00BE4A8A" w:rsidR="00B122DA">
          <w:rPr>
            <w:rStyle w:val="Hyperlink"/>
          </w:rPr>
          <w:t>https://www.fda.gov/food/infant-formula-guidance-documents-regulatory-information/regulations-and-information-manufacture-and-distribution-infant-formula#export</w:t>
        </w:r>
      </w:hyperlink>
      <w:r w:rsidR="00B122DA">
        <w:t xml:space="preserve">, </w:t>
      </w:r>
      <w:r w:rsidR="00007065">
        <w:t xml:space="preserve">that </w:t>
      </w:r>
      <w:r>
        <w:t>persons responsible for the manufacture or distribution of in</w:t>
      </w:r>
      <w:r w:rsidR="007D7E52">
        <w:t xml:space="preserve">fant formula </w:t>
      </w:r>
      <w:r>
        <w:t xml:space="preserve">will be able to </w:t>
      </w:r>
      <w:r>
        <w:t xml:space="preserve">submit their registration </w:t>
      </w:r>
      <w:r w:rsidR="007D7E52">
        <w:t xml:space="preserve">and submission </w:t>
      </w:r>
      <w:r w:rsidR="004F064F">
        <w:t xml:space="preserve">of </w:t>
      </w:r>
      <w:r w:rsidR="007D7E52">
        <w:t xml:space="preserve">information </w:t>
      </w:r>
      <w:r>
        <w:t>electronically in the future</w:t>
      </w:r>
      <w:r w:rsidR="00C67E27">
        <w:t xml:space="preserve">.  </w:t>
      </w:r>
      <w:r w:rsidR="002D3E82">
        <w:t xml:space="preserve">As we </w:t>
      </w:r>
      <w:r w:rsidR="00AC4659">
        <w:t xml:space="preserve">announced officially on our website at </w:t>
      </w:r>
      <w:hyperlink r:id="rId5" w:history="1">
        <w:r w:rsidRPr="00BE4A8A" w:rsidR="00AC4659">
          <w:rPr>
            <w:rStyle w:val="Hyperlink"/>
          </w:rPr>
          <w:t>www.fda.gov</w:t>
        </w:r>
      </w:hyperlink>
      <w:r w:rsidR="00AC4659">
        <w:t xml:space="preserve"> on October 1, 2024, </w:t>
      </w:r>
      <w:r w:rsidR="002744BD">
        <w:t>FDA continues to undergo</w:t>
      </w:r>
      <w:r w:rsidR="00AC5028">
        <w:t xml:space="preserve"> an agency-wide </w:t>
      </w:r>
      <w:r w:rsidRPr="008E50D3" w:rsidR="00AC5028">
        <w:rPr>
          <w:i/>
          <w:iCs/>
          <w:u w:val="single"/>
        </w:rPr>
        <w:t>reorganization</w:t>
      </w:r>
      <w:r w:rsidR="00AC5028">
        <w:t xml:space="preserve"> that </w:t>
      </w:r>
      <w:r w:rsidR="00C67E27">
        <w:t xml:space="preserve">began </w:t>
      </w:r>
      <w:r w:rsidR="00E357F8">
        <w:t>in 2022</w:t>
      </w:r>
      <w:r w:rsidR="00AC4659">
        <w:t xml:space="preserve">.  </w:t>
      </w:r>
      <w:r w:rsidR="003F4958">
        <w:t xml:space="preserve">Currently, however, submissions may </w:t>
      </w:r>
      <w:r>
        <w:t>be directed in writing to:</w:t>
      </w:r>
    </w:p>
    <w:p w:rsidR="0001765C" w:rsidP="00EF1BA2" w14:paraId="27A3F6B8" w14:textId="77777777">
      <w:pPr>
        <w:pStyle w:val="BodyText"/>
        <w:ind w:right="202"/>
      </w:pPr>
    </w:p>
    <w:p w:rsidR="0001765C" w:rsidP="00EF1BA2" w14:paraId="583CC476" w14:textId="77777777">
      <w:pPr>
        <w:pStyle w:val="BodyText"/>
        <w:ind w:right="202"/>
      </w:pPr>
      <w:r>
        <w:t>Infant Formula and Medical Foods Staff (HFS-850)</w:t>
      </w:r>
    </w:p>
    <w:p w:rsidR="0001765C" w:rsidP="00EF1BA2" w14:paraId="2E49D7FB" w14:textId="77777777">
      <w:pPr>
        <w:pStyle w:val="BodyText"/>
        <w:ind w:right="202"/>
      </w:pPr>
      <w:r>
        <w:t>Office of Nutrition and Food Labeling</w:t>
      </w:r>
    </w:p>
    <w:p w:rsidR="0001765C" w:rsidP="00EF1BA2" w14:paraId="61EF8E59" w14:textId="77777777">
      <w:pPr>
        <w:pStyle w:val="BodyText"/>
        <w:ind w:right="202"/>
      </w:pPr>
      <w:r>
        <w:t>Food and Drug Administration</w:t>
      </w:r>
    </w:p>
    <w:p w:rsidR="0001765C" w:rsidP="00EF1BA2" w14:paraId="3E34E830" w14:textId="77777777">
      <w:pPr>
        <w:pStyle w:val="BodyText"/>
        <w:ind w:right="202"/>
      </w:pPr>
      <w:r>
        <w:t>5001 Campus Drive</w:t>
      </w:r>
    </w:p>
    <w:p w:rsidR="001C2737" w:rsidP="00EF1BA2" w14:paraId="15EB44D1" w14:textId="0EBC5CF2">
      <w:pPr>
        <w:pStyle w:val="BodyText"/>
        <w:ind w:right="202"/>
      </w:pPr>
      <w:r>
        <w:t>College Park, MD 20740-3835</w:t>
      </w:r>
    </w:p>
    <w:p w:rsidR="008D6343" w:rsidP="00EF1BA2" w14:paraId="78A3FBAF" w14:textId="77777777">
      <w:pPr>
        <w:pStyle w:val="BodyText"/>
        <w:ind w:right="202"/>
      </w:pPr>
    </w:p>
    <w:p w:rsidR="001512EA" w:rsidP="00EF1BA2" w14:paraId="7DB0DDB0" w14:textId="5995BC28">
      <w:pPr>
        <w:pStyle w:val="BodyText"/>
        <w:ind w:right="202"/>
      </w:pPr>
      <w:r>
        <w:t>Accordingly, w</w:t>
      </w:r>
      <w:r w:rsidR="00A53B03">
        <w:t xml:space="preserve">e developed the draft guidance </w:t>
      </w:r>
      <w:r w:rsidR="005F016B">
        <w:t>docu</w:t>
      </w:r>
      <w:r w:rsidR="00A53B03">
        <w:t>ment entitled, “</w:t>
      </w:r>
      <w:r w:rsidRPr="004546FE" w:rsidR="00DD0E8F">
        <w:rPr>
          <w:i/>
          <w:iCs/>
        </w:rPr>
        <w:t>Notifying the Food and Drug Administration of a Permanent Discontinuance in the Manufacture or an Interruption of the Manufacture of an Infant Formula</w:t>
      </w:r>
      <w:r w:rsidR="00A53B03">
        <w:t xml:space="preserve">,” </w:t>
      </w:r>
      <w:r w:rsidR="004624EC">
        <w:t>(</w:t>
      </w:r>
      <w:r w:rsidRPr="004624EC" w:rsidR="004624EC">
        <w:rPr>
          <w:i/>
          <w:iCs/>
        </w:rPr>
        <w:t>Shortages Guidance</w:t>
      </w:r>
      <w:r w:rsidR="004624EC">
        <w:t xml:space="preserve">) </w:t>
      </w:r>
      <w:r w:rsidR="00A53B03">
        <w:t xml:space="preserve">(December 2024) </w:t>
      </w:r>
      <w:r w:rsidR="005F016B">
        <w:t xml:space="preserve">and are inviting public comment under </w:t>
      </w:r>
      <w:r>
        <w:t xml:space="preserve">both </w:t>
      </w:r>
      <w:r w:rsidR="005F016B">
        <w:t>our Good Guidance Practice regulations in 21 CFR 10.115, as well as the</w:t>
      </w:r>
      <w:r w:rsidR="00F33627">
        <w:t xml:space="preserve"> PRA provisions in 5 CFR 1320.8(d).  See</w:t>
      </w:r>
      <w:r w:rsidR="007F7630">
        <w:t xml:space="preserve"> </w:t>
      </w:r>
      <w:hyperlink r:id="rId6" w:history="1">
        <w:r w:rsidRPr="007F7630" w:rsidR="007F7630">
          <w:rPr>
            <w:rStyle w:val="Hyperlink"/>
          </w:rPr>
          <w:t>89 FR 96261</w:t>
        </w:r>
      </w:hyperlink>
      <w:r w:rsidR="00421B6E">
        <w:t xml:space="preserve">.  </w:t>
      </w:r>
    </w:p>
    <w:p w:rsidR="001512EA" w:rsidP="00EF1BA2" w14:paraId="76AC5B90" w14:textId="77777777">
      <w:pPr>
        <w:pStyle w:val="BodyText"/>
        <w:ind w:right="202"/>
      </w:pPr>
    </w:p>
    <w:p w:rsidR="001512EA" w:rsidRPr="001512EA" w:rsidP="00EF1BA2" w14:paraId="4A255884" w14:textId="78C450E8">
      <w:pPr>
        <w:pStyle w:val="BodyText"/>
        <w:ind w:right="202"/>
        <w:rPr>
          <w:i/>
          <w:iCs/>
        </w:rPr>
      </w:pPr>
      <w:r w:rsidRPr="001512EA">
        <w:rPr>
          <w:i/>
          <w:iCs/>
        </w:rPr>
        <w:t>Action Requested:</w:t>
      </w:r>
    </w:p>
    <w:p w:rsidR="001512EA" w:rsidP="00EF1BA2" w14:paraId="3DBD435C" w14:textId="77777777">
      <w:pPr>
        <w:pStyle w:val="BodyText"/>
        <w:ind w:right="202"/>
      </w:pPr>
    </w:p>
    <w:p w:rsidR="00F33627" w:rsidP="00EF1BA2" w14:paraId="4E182BD4" w14:textId="6AEEAD2F">
      <w:pPr>
        <w:pStyle w:val="BodyText"/>
        <w:ind w:right="202"/>
      </w:pPr>
      <w:r>
        <w:t xml:space="preserve">We are requesting to expand the scope of the information collection to include </w:t>
      </w:r>
      <w:r w:rsidR="00296C58">
        <w:t xml:space="preserve">the statutory authority </w:t>
      </w:r>
      <w:r w:rsidR="00622958">
        <w:t xml:space="preserve">introduced </w:t>
      </w:r>
      <w:r w:rsidR="00296C58">
        <w:t xml:space="preserve">under Pub. Law 117-328 </w:t>
      </w:r>
      <w:r w:rsidR="00296C58">
        <w:t>and are planning to request any corresponding burden adjustment upon our submission to OMB under 5 CFR 1320.10</w:t>
      </w:r>
      <w:r w:rsidR="00D71CB9">
        <w:t xml:space="preserve"> of the </w:t>
      </w:r>
      <w:r w:rsidRPr="004624EC" w:rsidR="004624EC">
        <w:rPr>
          <w:i/>
          <w:iCs/>
        </w:rPr>
        <w:t>Shortages Guidance</w:t>
      </w:r>
      <w:r w:rsidR="004624EC">
        <w:t xml:space="preserve"> </w:t>
      </w:r>
      <w:r w:rsidRPr="004624EC" w:rsidR="004624EC">
        <w:t>prior to finalization</w:t>
      </w:r>
      <w:r w:rsidR="007A569D">
        <w:t>.</w:t>
      </w:r>
    </w:p>
    <w:p w:rsidR="00C55A42" w:rsidP="00EF1BA2" w14:paraId="25B218A1" w14:textId="77777777">
      <w:pPr>
        <w:pStyle w:val="BodyText"/>
        <w:ind w:right="202"/>
      </w:pPr>
    </w:p>
    <w:p w:rsidR="00955975" w:rsidP="00EF1BA2" w14:paraId="4EAD47D7" w14:textId="77777777">
      <w:pPr>
        <w:pStyle w:val="BodyText"/>
        <w:ind w:right="202"/>
      </w:pPr>
      <w:r>
        <w:t xml:space="preserve">Relatedly, we are </w:t>
      </w:r>
      <w:r w:rsidR="00C55A42">
        <w:t xml:space="preserve">also requesting </w:t>
      </w:r>
      <w:r w:rsidR="007A569D">
        <w:t>to include the guidance document entitled, “</w:t>
      </w:r>
      <w:r w:rsidRPr="00ED1EDE" w:rsidR="00ED1EDE">
        <w:t>Protein Efficiency Ratio (PER) Rat Bioassay Studies to Demonstrate That a New Infant Formula Supports the Quality Factor of Sufficient Biological Quality of Protein</w:t>
      </w:r>
      <w:r w:rsidR="00C2799E">
        <w:t xml:space="preserve">” </w:t>
      </w:r>
      <w:r w:rsidR="00F0492A">
        <w:t xml:space="preserve">among </w:t>
      </w:r>
      <w:r w:rsidR="004812C5">
        <w:t xml:space="preserve">the related </w:t>
      </w:r>
      <w:r w:rsidR="00F0492A">
        <w:t>supporting</w:t>
      </w:r>
      <w:r w:rsidR="004812C5">
        <w:t xml:space="preserve"> material for the information collectio</w:t>
      </w:r>
      <w:r w:rsidR="00B5125B">
        <w:t xml:space="preserve">n.  </w:t>
      </w:r>
      <w:r w:rsidR="00D64448">
        <w:t xml:space="preserve">Specifically, </w:t>
      </w:r>
      <w:r w:rsidR="00B5125B">
        <w:t xml:space="preserve">regulations in </w:t>
      </w:r>
      <w:r w:rsidR="00D64448">
        <w:t xml:space="preserve">21 CFR 106.96(f) describe how an infant formula manufacturer must demonstrate that a formula meets </w:t>
      </w:r>
      <w:r w:rsidR="00EE745E">
        <w:t xml:space="preserve">the </w:t>
      </w:r>
      <w:r w:rsidR="00B5125B">
        <w:t>PER</w:t>
      </w:r>
      <w:r w:rsidR="00EE745E">
        <w:t xml:space="preserve"> </w:t>
      </w:r>
      <w:r w:rsidR="00D64448">
        <w:t>quality factor</w:t>
      </w:r>
      <w:r w:rsidR="00EE745E">
        <w:t xml:space="preserve"> criteria.  </w:t>
      </w:r>
      <w:r w:rsidR="00604A64">
        <w:t xml:space="preserve">We </w:t>
      </w:r>
      <w:r w:rsidR="00D64448">
        <w:t>developed th</w:t>
      </w:r>
      <w:r w:rsidR="00604A64">
        <w:t>e</w:t>
      </w:r>
      <w:r w:rsidR="00D64448">
        <w:t xml:space="preserve"> guidance </w:t>
      </w:r>
      <w:r w:rsidR="00604A64">
        <w:t xml:space="preserve">document </w:t>
      </w:r>
      <w:r w:rsidR="00D64448">
        <w:t xml:space="preserve">to help manufacturers and laboratories in the design, conduct, evaluation, and reporting of PER studies.  The guidance is intended to explain how the PER study can be used to provide assurance that a new infant formula </w:t>
      </w:r>
      <w:r w:rsidR="00604A64">
        <w:t>complies with current requirements</w:t>
      </w:r>
      <w:r w:rsidR="000C3FEB">
        <w:t>, however we have made no adjustment to our currently approved burden estimate believing this</w:t>
      </w:r>
      <w:r>
        <w:t xml:space="preserve"> task already falls within the scope of activity.</w:t>
      </w:r>
    </w:p>
    <w:p w:rsidR="00955975" w:rsidP="00EF1BA2" w14:paraId="5B0359C1" w14:textId="77777777">
      <w:pPr>
        <w:pStyle w:val="BodyText"/>
        <w:ind w:right="202"/>
      </w:pPr>
    </w:p>
    <w:p w:rsidR="008D6343" w:rsidRPr="003772CC" w:rsidP="00EF1BA2" w14:paraId="5876B178" w14:textId="24E04291">
      <w:pPr>
        <w:pStyle w:val="BodyText"/>
        <w:ind w:right="202"/>
        <w:rPr>
          <w:b/>
          <w:bCs/>
        </w:rPr>
      </w:pPr>
      <w:r w:rsidRPr="003772CC">
        <w:rPr>
          <w:b/>
          <w:bCs/>
        </w:rPr>
        <w:t xml:space="preserve">December 2024 </w:t>
      </w:r>
    </w:p>
    <w:sectPr w:rsidSect="00EF1BA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PRA - DB">
    <w15:presenceInfo w15:providerId="None" w15:userId="APRA - 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BD"/>
    <w:rsid w:val="00007065"/>
    <w:rsid w:val="0001765C"/>
    <w:rsid w:val="000C3FEB"/>
    <w:rsid w:val="001512EA"/>
    <w:rsid w:val="00155820"/>
    <w:rsid w:val="001C2737"/>
    <w:rsid w:val="002416AC"/>
    <w:rsid w:val="002744BD"/>
    <w:rsid w:val="00296C58"/>
    <w:rsid w:val="002D3E82"/>
    <w:rsid w:val="00320B16"/>
    <w:rsid w:val="003772CC"/>
    <w:rsid w:val="00394F21"/>
    <w:rsid w:val="003C4F97"/>
    <w:rsid w:val="003F4958"/>
    <w:rsid w:val="00421B6E"/>
    <w:rsid w:val="004232CF"/>
    <w:rsid w:val="004546FE"/>
    <w:rsid w:val="004624EC"/>
    <w:rsid w:val="004640C6"/>
    <w:rsid w:val="004812C5"/>
    <w:rsid w:val="004F064F"/>
    <w:rsid w:val="004F1BBE"/>
    <w:rsid w:val="004F48BD"/>
    <w:rsid w:val="005F016B"/>
    <w:rsid w:val="00604A64"/>
    <w:rsid w:val="00622958"/>
    <w:rsid w:val="006C54A6"/>
    <w:rsid w:val="006F2CE7"/>
    <w:rsid w:val="007A569D"/>
    <w:rsid w:val="007B76F7"/>
    <w:rsid w:val="007D7E52"/>
    <w:rsid w:val="007F7630"/>
    <w:rsid w:val="008B6947"/>
    <w:rsid w:val="008D6343"/>
    <w:rsid w:val="008E50D3"/>
    <w:rsid w:val="00955975"/>
    <w:rsid w:val="0099198D"/>
    <w:rsid w:val="009B2E28"/>
    <w:rsid w:val="009D07AB"/>
    <w:rsid w:val="00A53B03"/>
    <w:rsid w:val="00AC4659"/>
    <w:rsid w:val="00AC5028"/>
    <w:rsid w:val="00B0694D"/>
    <w:rsid w:val="00B122DA"/>
    <w:rsid w:val="00B5125B"/>
    <w:rsid w:val="00B90E39"/>
    <w:rsid w:val="00B93DF8"/>
    <w:rsid w:val="00BA423B"/>
    <w:rsid w:val="00BE4A8A"/>
    <w:rsid w:val="00C273F1"/>
    <w:rsid w:val="00C2799E"/>
    <w:rsid w:val="00C55A42"/>
    <w:rsid w:val="00C67E27"/>
    <w:rsid w:val="00D64448"/>
    <w:rsid w:val="00D705E5"/>
    <w:rsid w:val="00D71CB9"/>
    <w:rsid w:val="00D92759"/>
    <w:rsid w:val="00DD0E8F"/>
    <w:rsid w:val="00DE5005"/>
    <w:rsid w:val="00DF4F96"/>
    <w:rsid w:val="00E357F8"/>
    <w:rsid w:val="00EB5640"/>
    <w:rsid w:val="00ED1EDE"/>
    <w:rsid w:val="00EE745E"/>
    <w:rsid w:val="00EF1BA2"/>
    <w:rsid w:val="00F0492A"/>
    <w:rsid w:val="00F12EF7"/>
    <w:rsid w:val="00F33627"/>
    <w:rsid w:val="00F81E56"/>
    <w:rsid w:val="00FF5B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FD4AE"/>
  <w15:docId w15:val="{EAF8F097-7D18-43D9-944A-D987FBBF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122DA"/>
    <w:rPr>
      <w:color w:val="0000FF" w:themeColor="hyperlink"/>
      <w:u w:val="single"/>
    </w:rPr>
  </w:style>
  <w:style w:type="character" w:styleId="UnresolvedMention">
    <w:name w:val="Unresolved Mention"/>
    <w:basedOn w:val="DefaultParagraphFont"/>
    <w:uiPriority w:val="99"/>
    <w:semiHidden/>
    <w:unhideWhenUsed/>
    <w:rsid w:val="00B122DA"/>
    <w:rPr>
      <w:color w:val="605E5C"/>
      <w:shd w:val="clear" w:color="auto" w:fill="E1DFDD"/>
    </w:rPr>
  </w:style>
  <w:style w:type="character" w:styleId="CommentReference">
    <w:name w:val="annotation reference"/>
    <w:basedOn w:val="DefaultParagraphFont"/>
    <w:uiPriority w:val="99"/>
    <w:semiHidden/>
    <w:unhideWhenUsed/>
    <w:rsid w:val="003772CC"/>
    <w:rPr>
      <w:sz w:val="16"/>
      <w:szCs w:val="16"/>
    </w:rPr>
  </w:style>
  <w:style w:type="paragraph" w:styleId="CommentText">
    <w:name w:val="annotation text"/>
    <w:basedOn w:val="Normal"/>
    <w:link w:val="CommentTextChar"/>
    <w:uiPriority w:val="99"/>
    <w:unhideWhenUsed/>
    <w:rsid w:val="003772CC"/>
    <w:rPr>
      <w:sz w:val="20"/>
      <w:szCs w:val="20"/>
    </w:rPr>
  </w:style>
  <w:style w:type="character" w:customStyle="1" w:styleId="CommentTextChar">
    <w:name w:val="Comment Text Char"/>
    <w:basedOn w:val="DefaultParagraphFont"/>
    <w:link w:val="CommentText"/>
    <w:uiPriority w:val="99"/>
    <w:rsid w:val="003772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72CC"/>
    <w:rPr>
      <w:b/>
      <w:bCs/>
    </w:rPr>
  </w:style>
  <w:style w:type="character" w:customStyle="1" w:styleId="CommentSubjectChar">
    <w:name w:val="Comment Subject Char"/>
    <w:basedOn w:val="CommentTextChar"/>
    <w:link w:val="CommentSubject"/>
    <w:uiPriority w:val="99"/>
    <w:semiHidden/>
    <w:rsid w:val="003772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infant-formula-guidance-documents-regulatory-information/regulations-and-information-manufacture-and-distribution-infant-formula" TargetMode="External" /><Relationship Id="rId5" Type="http://schemas.openxmlformats.org/officeDocument/2006/relationships/hyperlink" Target="http://www.fda.gov" TargetMode="External" /><Relationship Id="rId6" Type="http://schemas.openxmlformats.org/officeDocument/2006/relationships/hyperlink" Target="https://www.govinfo.gov/content/pkg/FR-2024-12-04/pdf/2024-28230.pdf" TargetMode="Externa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- 0256 Nonsub 0811 Discontinue MAR 2019.docx</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- 0256 Nonsub 0811 Discontinue MAR 2019.docx</dc:title>
  <dc:creator>DHC</dc:creator>
  <cp:lastModifiedBy>PRAB - DB</cp:lastModifiedBy>
  <cp:revision>2</cp:revision>
  <dcterms:created xsi:type="dcterms:W3CDTF">2025-02-25T22:04:00Z</dcterms:created>
  <dcterms:modified xsi:type="dcterms:W3CDTF">2025-02-25T22:04:00Z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2019-03-16T00:00:00Z</vt:filetime>
  </property>
  <property fmtid="{D5CDD505-2E9C-101B-9397-08002B2CF9AE}" pid="3" name="Creator">
    <vt:lpwstr>PScript5.dll Version 5.2.2</vt:lpwstr>
  </property>
  <property fmtid="{D5CDD505-2E9C-101B-9397-08002B2CF9AE}" pid="4" name="LastSaved">
    <vt:filetime>2024-12-09T00:00:00Z</vt:filetime>
  </property>
  <property fmtid="{D5CDD505-2E9C-101B-9397-08002B2CF9AE}" pid="5" name="Producer">
    <vt:lpwstr>Acrobat Distiller 17.0 (Windows)</vt:lpwstr>
  </property>
</Properties>
</file>